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5C03" w14:textId="69387F66" w:rsidR="00D707B1" w:rsidRPr="00624753" w:rsidRDefault="00D707B1" w:rsidP="002A699F">
      <w:pPr>
        <w:jc w:val="both"/>
        <w:rPr>
          <w:rFonts w:ascii="Calibri" w:hAnsi="Calibri" w:cs="Calibri"/>
          <w:b/>
          <w:sz w:val="24"/>
          <w:szCs w:val="24"/>
        </w:rPr>
      </w:pPr>
      <w:r w:rsidRPr="00624753">
        <w:rPr>
          <w:rFonts w:ascii="Calibri" w:hAnsi="Calibri" w:cs="Calibri"/>
          <w:b/>
          <w:sz w:val="24"/>
          <w:szCs w:val="24"/>
        </w:rPr>
        <w:t xml:space="preserve">Lttr13 (2024), </w:t>
      </w:r>
      <w:r w:rsidRPr="00624753">
        <w:rPr>
          <w:rFonts w:ascii="Calibri" w:hAnsi="Calibri" w:cs="Calibri"/>
          <w:b/>
          <w:i/>
          <w:iCs/>
          <w:sz w:val="24"/>
          <w:szCs w:val="24"/>
        </w:rPr>
        <w:t>Le discours de la linguistique. Gestes et imaginaires du savoir</w:t>
      </w:r>
      <w:r w:rsidRPr="00624753">
        <w:rPr>
          <w:rFonts w:ascii="Calibri" w:hAnsi="Calibri" w:cs="Calibri"/>
          <w:b/>
          <w:sz w:val="24"/>
          <w:szCs w:val="24"/>
        </w:rPr>
        <w:t>, Lyon : ENS Éditions</w:t>
      </w:r>
      <w:r w:rsidR="00E6364A" w:rsidRPr="00624753">
        <w:rPr>
          <w:rFonts w:ascii="Calibri" w:hAnsi="Calibri" w:cs="Calibri"/>
          <w:b/>
          <w:sz w:val="24"/>
          <w:szCs w:val="24"/>
        </w:rPr>
        <w:t>, 282 p., ISBN 979-10-362-0697-9.</w:t>
      </w:r>
    </w:p>
    <w:p w14:paraId="7E259ACC" w14:textId="432645B0" w:rsidR="0095176B" w:rsidRPr="00624753" w:rsidRDefault="008F5670" w:rsidP="002A699F">
      <w:pPr>
        <w:jc w:val="both"/>
        <w:rPr>
          <w:rFonts w:ascii="Calibri" w:hAnsi="Calibri" w:cs="Calibri"/>
          <w:sz w:val="24"/>
          <w:szCs w:val="24"/>
        </w:rPr>
      </w:pPr>
      <w:r w:rsidRPr="00624753">
        <w:rPr>
          <w:rFonts w:ascii="Calibri" w:hAnsi="Calibri" w:cs="Calibri"/>
          <w:sz w:val="24"/>
          <w:szCs w:val="24"/>
        </w:rPr>
        <w:t xml:space="preserve">Paru en 2024, l’ouvrage du collectif Lttr13 intitulé </w:t>
      </w:r>
      <w:r w:rsidRPr="00624753">
        <w:rPr>
          <w:rFonts w:ascii="Calibri" w:hAnsi="Calibri" w:cs="Calibri"/>
          <w:i/>
          <w:iCs/>
          <w:sz w:val="24"/>
          <w:szCs w:val="24"/>
        </w:rPr>
        <w:t>Le discours de la linguistique</w:t>
      </w:r>
      <w:r w:rsidRPr="00624753">
        <w:rPr>
          <w:rFonts w:ascii="Calibri" w:hAnsi="Calibri" w:cs="Calibri"/>
          <w:sz w:val="24"/>
          <w:szCs w:val="24"/>
        </w:rPr>
        <w:t xml:space="preserve"> </w:t>
      </w:r>
      <w:r w:rsidR="0095176B" w:rsidRPr="00624753">
        <w:rPr>
          <w:rFonts w:ascii="Calibri" w:hAnsi="Calibri" w:cs="Calibri"/>
          <w:sz w:val="24"/>
          <w:szCs w:val="24"/>
        </w:rPr>
        <w:t>comprend, outre une introduction et une conclusion, six chapitres. Les quatre premiers constituent des remaniements d’articles ou d’actes de colloque. Le cinquième chapitre est quant à lui tiré d’une communication orale, tandis que le dernier chapitre est inédit. L’ouvrage se termine par un index des noms et un index des concepts.</w:t>
      </w:r>
    </w:p>
    <w:p w14:paraId="6A3E2AEA" w14:textId="268780C9" w:rsidR="008F5670" w:rsidRPr="00624753" w:rsidRDefault="008A513D" w:rsidP="002A699F">
      <w:pPr>
        <w:jc w:val="both"/>
        <w:rPr>
          <w:rFonts w:ascii="Calibri" w:hAnsi="Calibri" w:cs="Calibri"/>
          <w:sz w:val="24"/>
          <w:szCs w:val="24"/>
        </w:rPr>
      </w:pPr>
      <w:r w:rsidRPr="00624753">
        <w:rPr>
          <w:rFonts w:ascii="Calibri" w:hAnsi="Calibri" w:cs="Calibri"/>
          <w:sz w:val="24"/>
          <w:szCs w:val="24"/>
        </w:rPr>
        <w:t>Il s’agit d’</w:t>
      </w:r>
      <w:r w:rsidR="008F5670" w:rsidRPr="00624753">
        <w:rPr>
          <w:rFonts w:ascii="Calibri" w:hAnsi="Calibri" w:cs="Calibri"/>
          <w:sz w:val="24"/>
          <w:szCs w:val="24"/>
        </w:rPr>
        <w:t xml:space="preserve">une </w:t>
      </w:r>
      <w:r w:rsidR="00651755" w:rsidRPr="00624753">
        <w:rPr>
          <w:rFonts w:ascii="Calibri" w:hAnsi="Calibri" w:cs="Calibri"/>
          <w:sz w:val="24"/>
          <w:szCs w:val="24"/>
        </w:rPr>
        <w:t>publication</w:t>
      </w:r>
      <w:r w:rsidR="008F5670" w:rsidRPr="00624753">
        <w:rPr>
          <w:rFonts w:ascii="Calibri" w:hAnsi="Calibri" w:cs="Calibri"/>
          <w:sz w:val="24"/>
          <w:szCs w:val="24"/>
        </w:rPr>
        <w:t xml:space="preserve"> originale à plusieurs égards. Originalité auctoriale tout d’abord</w:t>
      </w:r>
      <w:r w:rsidR="00EE5D27" w:rsidRPr="00624753">
        <w:rPr>
          <w:rFonts w:ascii="Calibri" w:hAnsi="Calibri" w:cs="Calibri"/>
          <w:sz w:val="24"/>
          <w:szCs w:val="24"/>
        </w:rPr>
        <w:t>. L</w:t>
      </w:r>
      <w:r w:rsidR="00AD0D81" w:rsidRPr="00624753">
        <w:rPr>
          <w:rFonts w:ascii="Calibri" w:hAnsi="Calibri" w:cs="Calibri"/>
          <w:sz w:val="24"/>
          <w:szCs w:val="24"/>
        </w:rPr>
        <w:t>e collectif</w:t>
      </w:r>
      <w:r w:rsidR="00EB6174" w:rsidRPr="00624753">
        <w:rPr>
          <w:rFonts w:ascii="Calibri" w:hAnsi="Calibri" w:cs="Calibri"/>
          <w:sz w:val="24"/>
          <w:szCs w:val="24"/>
        </w:rPr>
        <w:t> </w:t>
      </w:r>
      <w:r w:rsidR="00AD0D81" w:rsidRPr="00624753">
        <w:rPr>
          <w:rFonts w:ascii="Calibri" w:hAnsi="Calibri" w:cs="Calibri"/>
          <w:sz w:val="24"/>
          <w:szCs w:val="24"/>
        </w:rPr>
        <w:t>Lttr13 rassemble trois enseignants-chercheurs de l’U</w:t>
      </w:r>
      <w:r w:rsidR="00304EDF" w:rsidRPr="00624753">
        <w:rPr>
          <w:rFonts w:ascii="Calibri" w:hAnsi="Calibri" w:cs="Calibri"/>
          <w:sz w:val="24"/>
          <w:szCs w:val="24"/>
        </w:rPr>
        <w:t xml:space="preserve">niversité de </w:t>
      </w:r>
      <w:r w:rsidR="00AD0D81" w:rsidRPr="00624753">
        <w:rPr>
          <w:rFonts w:ascii="Calibri" w:hAnsi="Calibri" w:cs="Calibri"/>
          <w:sz w:val="24"/>
          <w:szCs w:val="24"/>
        </w:rPr>
        <w:t xml:space="preserve">Liège, Sémir Badir, Stéphane Polis et François Provenzano, qui ne s’inscrivent pas strictement dans les mêmes champs disciplinaires (respectivement la sémiotique, l’égyptologie et la rhétorique). </w:t>
      </w:r>
      <w:r w:rsidR="001F6D31" w:rsidRPr="00624753">
        <w:rPr>
          <w:rFonts w:ascii="Calibri" w:hAnsi="Calibri" w:cs="Calibri"/>
          <w:sz w:val="24"/>
          <w:szCs w:val="24"/>
        </w:rPr>
        <w:t xml:space="preserve">Plus précisément, </w:t>
      </w:r>
      <w:r w:rsidR="00AD0D81" w:rsidRPr="00624753">
        <w:rPr>
          <w:rFonts w:ascii="Calibri" w:hAnsi="Calibri" w:cs="Calibri"/>
          <w:sz w:val="24"/>
          <w:szCs w:val="24"/>
        </w:rPr>
        <w:t>Lttr13</w:t>
      </w:r>
      <w:r w:rsidR="001F6D31" w:rsidRPr="00624753">
        <w:rPr>
          <w:rFonts w:ascii="Calibri" w:hAnsi="Calibri" w:cs="Calibri"/>
          <w:sz w:val="24"/>
          <w:szCs w:val="24"/>
        </w:rPr>
        <w:t xml:space="preserve"> vise à analyser l’histoire et l’épistémologie des sciences du langage au moyen des outils rhétoriques et sémiotiques. L’influence du Groupe µ, autre collectif liégeois ayant contribué à la refondation de la rhétorique et au développement de la sémiotique, est indéniable. </w:t>
      </w:r>
      <w:r w:rsidR="00CF10C4" w:rsidRPr="00624753">
        <w:rPr>
          <w:rFonts w:ascii="Calibri" w:hAnsi="Calibri" w:cs="Calibri"/>
          <w:sz w:val="24"/>
          <w:szCs w:val="24"/>
        </w:rPr>
        <w:t>Le caractère interdisciplinaire du projet se manifeste également par les références théoriques mobilisées, qui convoquent, outre la rhétorique et la sémiotique, la linguistique, la théorie littéraire, la sociologie et la philosophie</w:t>
      </w:r>
      <w:r w:rsidR="00D02C18" w:rsidRPr="00624753">
        <w:rPr>
          <w:rFonts w:ascii="Calibri" w:hAnsi="Calibri" w:cs="Calibri"/>
          <w:sz w:val="24"/>
          <w:szCs w:val="24"/>
        </w:rPr>
        <w:t xml:space="preserve">. </w:t>
      </w:r>
      <w:r w:rsidR="00867735" w:rsidRPr="00624753">
        <w:rPr>
          <w:rFonts w:ascii="Calibri" w:hAnsi="Calibri" w:cs="Calibri"/>
          <w:sz w:val="24"/>
          <w:szCs w:val="24"/>
        </w:rPr>
        <w:t>Originalité de projet ensuite</w:t>
      </w:r>
      <w:r w:rsidR="00EE5D27" w:rsidRPr="00624753">
        <w:rPr>
          <w:rFonts w:ascii="Calibri" w:hAnsi="Calibri" w:cs="Calibri"/>
          <w:sz w:val="24"/>
          <w:szCs w:val="24"/>
        </w:rPr>
        <w:t>.</w:t>
      </w:r>
      <w:r w:rsidR="00D02C18" w:rsidRPr="00624753">
        <w:rPr>
          <w:rFonts w:ascii="Calibri" w:hAnsi="Calibri" w:cs="Calibri"/>
          <w:sz w:val="24"/>
          <w:szCs w:val="24"/>
        </w:rPr>
        <w:t xml:space="preserve"> Afin d’étudier la linguistique en tant que pratique discursive du savoir, les auteurs choisissent de s’intéresser non pas aux </w:t>
      </w:r>
      <w:r w:rsidR="00D02C18" w:rsidRPr="00624753">
        <w:rPr>
          <w:rFonts w:ascii="Calibri" w:hAnsi="Calibri" w:cs="Calibri"/>
          <w:i/>
          <w:iCs/>
          <w:sz w:val="24"/>
          <w:szCs w:val="24"/>
        </w:rPr>
        <w:t xml:space="preserve">énoncés </w:t>
      </w:r>
      <w:r w:rsidR="00D02C18" w:rsidRPr="00624753">
        <w:rPr>
          <w:rFonts w:ascii="Calibri" w:hAnsi="Calibri" w:cs="Calibri"/>
          <w:sz w:val="24"/>
          <w:szCs w:val="24"/>
        </w:rPr>
        <w:t xml:space="preserve">des linguistes mais bien à leurs </w:t>
      </w:r>
      <w:r w:rsidR="00D02C18" w:rsidRPr="00624753">
        <w:rPr>
          <w:rFonts w:ascii="Calibri" w:hAnsi="Calibri" w:cs="Calibri"/>
          <w:i/>
          <w:iCs/>
          <w:sz w:val="24"/>
          <w:szCs w:val="24"/>
        </w:rPr>
        <w:t>énonciations</w:t>
      </w:r>
      <w:r w:rsidR="00D02C18" w:rsidRPr="00624753">
        <w:rPr>
          <w:rFonts w:ascii="Calibri" w:hAnsi="Calibri" w:cs="Calibri"/>
          <w:sz w:val="24"/>
          <w:szCs w:val="24"/>
        </w:rPr>
        <w:t>, c’est-à-dire aux «</w:t>
      </w:r>
      <w:r w:rsidR="00EB6174" w:rsidRPr="00624753">
        <w:rPr>
          <w:rFonts w:ascii="Calibri" w:hAnsi="Calibri" w:cs="Calibri"/>
          <w:sz w:val="24"/>
          <w:szCs w:val="24"/>
        </w:rPr>
        <w:t> </w:t>
      </w:r>
      <w:r w:rsidR="00D02C18" w:rsidRPr="00624753">
        <w:rPr>
          <w:rFonts w:ascii="Calibri" w:hAnsi="Calibri" w:cs="Calibri"/>
          <w:sz w:val="24"/>
          <w:szCs w:val="24"/>
        </w:rPr>
        <w:t>manières de dire en linguiste</w:t>
      </w:r>
      <w:r w:rsidR="00EB6174" w:rsidRPr="00624753">
        <w:rPr>
          <w:rFonts w:ascii="Calibri" w:hAnsi="Calibri" w:cs="Calibri"/>
          <w:sz w:val="24"/>
          <w:szCs w:val="24"/>
        </w:rPr>
        <w:t> </w:t>
      </w:r>
      <w:r w:rsidR="00D02C18" w:rsidRPr="00624753">
        <w:rPr>
          <w:rFonts w:ascii="Calibri" w:hAnsi="Calibri" w:cs="Calibri"/>
          <w:sz w:val="24"/>
          <w:szCs w:val="24"/>
        </w:rPr>
        <w:t>» (p.</w:t>
      </w:r>
      <w:r w:rsidR="00EB6174" w:rsidRPr="00624753">
        <w:rPr>
          <w:rFonts w:ascii="Calibri" w:hAnsi="Calibri" w:cs="Calibri"/>
          <w:sz w:val="24"/>
          <w:szCs w:val="24"/>
        </w:rPr>
        <w:t> </w:t>
      </w:r>
      <w:r w:rsidR="00D02C18" w:rsidRPr="00624753">
        <w:rPr>
          <w:rFonts w:ascii="Calibri" w:hAnsi="Calibri" w:cs="Calibri"/>
          <w:sz w:val="24"/>
          <w:szCs w:val="24"/>
        </w:rPr>
        <w:t>11</w:t>
      </w:r>
      <w:r w:rsidR="008737D4" w:rsidRPr="00624753">
        <w:rPr>
          <w:rFonts w:ascii="Calibri" w:hAnsi="Calibri" w:cs="Calibri"/>
          <w:sz w:val="24"/>
          <w:szCs w:val="24"/>
        </w:rPr>
        <w:t>). Partant</w:t>
      </w:r>
      <w:r w:rsidR="00D02C18" w:rsidRPr="00624753">
        <w:rPr>
          <w:rFonts w:ascii="Calibri" w:hAnsi="Calibri" w:cs="Calibri"/>
          <w:sz w:val="24"/>
          <w:szCs w:val="24"/>
        </w:rPr>
        <w:t xml:space="preserve">, les auteurs se distinguent d’approches </w:t>
      </w:r>
      <w:r w:rsidR="00A97B96" w:rsidRPr="00624753">
        <w:rPr>
          <w:rFonts w:ascii="Calibri" w:hAnsi="Calibri" w:cs="Calibri"/>
          <w:sz w:val="24"/>
          <w:szCs w:val="24"/>
        </w:rPr>
        <w:t xml:space="preserve">plus </w:t>
      </w:r>
      <w:r w:rsidR="00FD68EB" w:rsidRPr="00624753">
        <w:rPr>
          <w:rFonts w:ascii="Calibri" w:hAnsi="Calibri" w:cs="Calibri"/>
          <w:sz w:val="24"/>
          <w:szCs w:val="24"/>
        </w:rPr>
        <w:t>ordinaires</w:t>
      </w:r>
      <w:r w:rsidR="00D02C18" w:rsidRPr="00624753">
        <w:rPr>
          <w:rFonts w:ascii="Calibri" w:hAnsi="Calibri" w:cs="Calibri"/>
          <w:sz w:val="24"/>
          <w:szCs w:val="24"/>
        </w:rPr>
        <w:t xml:space="preserve">, que ces dernières </w:t>
      </w:r>
      <w:r w:rsidR="0046503C" w:rsidRPr="00624753">
        <w:rPr>
          <w:rFonts w:ascii="Calibri" w:hAnsi="Calibri" w:cs="Calibri"/>
          <w:sz w:val="24"/>
          <w:szCs w:val="24"/>
        </w:rPr>
        <w:t>soient situées</w:t>
      </w:r>
      <w:r w:rsidR="00D02C18" w:rsidRPr="00624753">
        <w:rPr>
          <w:rFonts w:ascii="Calibri" w:hAnsi="Calibri" w:cs="Calibri"/>
          <w:sz w:val="24"/>
          <w:szCs w:val="24"/>
        </w:rPr>
        <w:t xml:space="preserve"> dans les champs de l’histoire des idées linguistiques,</w:t>
      </w:r>
      <w:r w:rsidR="00D54739" w:rsidRPr="00624753">
        <w:rPr>
          <w:rFonts w:ascii="Calibri" w:hAnsi="Calibri" w:cs="Calibri"/>
          <w:sz w:val="24"/>
          <w:szCs w:val="24"/>
        </w:rPr>
        <w:t xml:space="preserve"> de l’épistémologie,</w:t>
      </w:r>
      <w:r w:rsidR="00D02C18" w:rsidRPr="00624753">
        <w:rPr>
          <w:rFonts w:ascii="Calibri" w:hAnsi="Calibri" w:cs="Calibri"/>
          <w:sz w:val="24"/>
          <w:szCs w:val="24"/>
        </w:rPr>
        <w:t xml:space="preserve"> de l’analyse du discours ou de la sociologie des sciences. Au niveau théorique, Lttr13 </w:t>
      </w:r>
      <w:r w:rsidR="00065876">
        <w:rPr>
          <w:rFonts w:ascii="Calibri" w:hAnsi="Calibri" w:cs="Calibri"/>
          <w:sz w:val="24"/>
          <w:szCs w:val="24"/>
        </w:rPr>
        <w:t>élabore</w:t>
      </w:r>
      <w:r w:rsidR="002E5863" w:rsidRPr="00624753">
        <w:rPr>
          <w:rFonts w:ascii="Calibri" w:hAnsi="Calibri" w:cs="Calibri"/>
          <w:sz w:val="24"/>
          <w:szCs w:val="24"/>
        </w:rPr>
        <w:t xml:space="preserve"> </w:t>
      </w:r>
      <w:r w:rsidR="00D02C18" w:rsidRPr="00624753">
        <w:rPr>
          <w:rFonts w:ascii="Calibri" w:hAnsi="Calibri" w:cs="Calibri"/>
          <w:sz w:val="24"/>
          <w:szCs w:val="24"/>
        </w:rPr>
        <w:t xml:space="preserve">un couple </w:t>
      </w:r>
      <w:r w:rsidR="00100AF7">
        <w:rPr>
          <w:rFonts w:ascii="Calibri" w:hAnsi="Calibri" w:cs="Calibri"/>
          <w:sz w:val="24"/>
          <w:szCs w:val="24"/>
        </w:rPr>
        <w:t xml:space="preserve">de </w:t>
      </w:r>
      <w:r w:rsidR="00BF1422">
        <w:rPr>
          <w:rFonts w:ascii="Calibri" w:hAnsi="Calibri" w:cs="Calibri"/>
          <w:sz w:val="24"/>
          <w:szCs w:val="24"/>
        </w:rPr>
        <w:t>concepts</w:t>
      </w:r>
      <w:r w:rsidR="00D02C18" w:rsidRPr="00624753">
        <w:rPr>
          <w:rFonts w:ascii="Calibri" w:hAnsi="Calibri" w:cs="Calibri"/>
          <w:sz w:val="24"/>
          <w:szCs w:val="24"/>
        </w:rPr>
        <w:t> : le geste discursif et l’imaginaire épistémique, que l’on retrouve en sous-titre de l’ouvrage (</w:t>
      </w:r>
      <w:r w:rsidR="00D02C18" w:rsidRPr="00624753">
        <w:rPr>
          <w:rFonts w:ascii="Calibri" w:hAnsi="Calibri" w:cs="Calibri"/>
          <w:i/>
          <w:iCs/>
          <w:sz w:val="24"/>
          <w:szCs w:val="24"/>
        </w:rPr>
        <w:t>Gestes et imaginaires du savoir</w:t>
      </w:r>
      <w:r w:rsidR="00D02C18" w:rsidRPr="00624753">
        <w:rPr>
          <w:rFonts w:ascii="Calibri" w:hAnsi="Calibri" w:cs="Calibri"/>
          <w:sz w:val="24"/>
          <w:szCs w:val="24"/>
        </w:rPr>
        <w:t>).</w:t>
      </w:r>
      <w:r w:rsidR="0042646C" w:rsidRPr="00624753">
        <w:rPr>
          <w:rFonts w:ascii="Calibri" w:hAnsi="Calibri" w:cs="Calibri"/>
          <w:sz w:val="24"/>
          <w:szCs w:val="24"/>
        </w:rPr>
        <w:t xml:space="preserve"> </w:t>
      </w:r>
      <w:r w:rsidR="008F5670" w:rsidRPr="00624753">
        <w:rPr>
          <w:rFonts w:ascii="Calibri" w:hAnsi="Calibri" w:cs="Calibri"/>
          <w:sz w:val="24"/>
          <w:szCs w:val="24"/>
        </w:rPr>
        <w:t>Originalité des données</w:t>
      </w:r>
      <w:r w:rsidR="0074229C" w:rsidRPr="00624753">
        <w:rPr>
          <w:rFonts w:ascii="Calibri" w:hAnsi="Calibri" w:cs="Calibri"/>
          <w:sz w:val="24"/>
          <w:szCs w:val="24"/>
        </w:rPr>
        <w:t> également</w:t>
      </w:r>
      <w:r w:rsidR="00EE5D27" w:rsidRPr="00624753">
        <w:rPr>
          <w:rFonts w:ascii="Calibri" w:hAnsi="Calibri" w:cs="Calibri"/>
          <w:sz w:val="24"/>
          <w:szCs w:val="24"/>
        </w:rPr>
        <w:t xml:space="preserve">. </w:t>
      </w:r>
      <w:r w:rsidR="00AD35A4" w:rsidRPr="00624753">
        <w:rPr>
          <w:rFonts w:ascii="Calibri" w:hAnsi="Calibri" w:cs="Calibri"/>
          <w:sz w:val="24"/>
          <w:szCs w:val="24"/>
        </w:rPr>
        <w:t>Au-delà des formes traditionnelles dans lesquelles s’écrit</w:t>
      </w:r>
      <w:r w:rsidR="00A5173C" w:rsidRPr="00624753">
        <w:rPr>
          <w:rFonts w:ascii="Calibri" w:hAnsi="Calibri" w:cs="Calibri"/>
          <w:sz w:val="24"/>
          <w:szCs w:val="24"/>
        </w:rPr>
        <w:t xml:space="preserve"> actuellement</w:t>
      </w:r>
      <w:r w:rsidR="00AD35A4" w:rsidRPr="00624753">
        <w:rPr>
          <w:rFonts w:ascii="Calibri" w:hAnsi="Calibri" w:cs="Calibri"/>
          <w:sz w:val="24"/>
          <w:szCs w:val="24"/>
        </w:rPr>
        <w:t xml:space="preserve"> le savoir</w:t>
      </w:r>
      <w:r w:rsidR="00A5173C" w:rsidRPr="00624753">
        <w:rPr>
          <w:rFonts w:ascii="Calibri" w:hAnsi="Calibri" w:cs="Calibri"/>
          <w:sz w:val="24"/>
          <w:szCs w:val="24"/>
        </w:rPr>
        <w:t xml:space="preserve">, </w:t>
      </w:r>
      <w:r w:rsidR="00E03EAC" w:rsidRPr="00624753">
        <w:rPr>
          <w:rFonts w:ascii="Calibri" w:hAnsi="Calibri" w:cs="Calibri"/>
          <w:sz w:val="24"/>
          <w:szCs w:val="24"/>
        </w:rPr>
        <w:t>comme</w:t>
      </w:r>
      <w:r w:rsidR="00A5173C" w:rsidRPr="00624753">
        <w:rPr>
          <w:rFonts w:ascii="Calibri" w:hAnsi="Calibri" w:cs="Calibri"/>
          <w:sz w:val="24"/>
          <w:szCs w:val="24"/>
        </w:rPr>
        <w:t xml:space="preserve"> </w:t>
      </w:r>
      <w:r w:rsidR="00AD35A4" w:rsidRPr="00624753">
        <w:rPr>
          <w:rFonts w:ascii="Calibri" w:hAnsi="Calibri" w:cs="Calibri"/>
          <w:sz w:val="24"/>
          <w:szCs w:val="24"/>
        </w:rPr>
        <w:t xml:space="preserve">l’article ou l’ouvrage scientifique, les chercheurs </w:t>
      </w:r>
      <w:r w:rsidR="00D02C18" w:rsidRPr="00624753">
        <w:rPr>
          <w:rFonts w:ascii="Calibri" w:hAnsi="Calibri" w:cs="Calibri"/>
          <w:sz w:val="24"/>
          <w:szCs w:val="24"/>
        </w:rPr>
        <w:t>investiguent</w:t>
      </w:r>
      <w:r w:rsidR="00A5173C" w:rsidRPr="00624753">
        <w:rPr>
          <w:rFonts w:ascii="Calibri" w:hAnsi="Calibri" w:cs="Calibri"/>
          <w:sz w:val="24"/>
          <w:szCs w:val="24"/>
        </w:rPr>
        <w:t xml:space="preserve"> d’autres espaces discursifs, tels que </w:t>
      </w:r>
      <w:r w:rsidR="005543DB" w:rsidRPr="00624753">
        <w:rPr>
          <w:rFonts w:ascii="Calibri" w:hAnsi="Calibri" w:cs="Calibri"/>
          <w:sz w:val="24"/>
          <w:szCs w:val="24"/>
        </w:rPr>
        <w:t>l</w:t>
      </w:r>
      <w:r w:rsidR="00A5173C" w:rsidRPr="00624753">
        <w:rPr>
          <w:rFonts w:ascii="Calibri" w:hAnsi="Calibri" w:cs="Calibri"/>
          <w:sz w:val="24"/>
          <w:szCs w:val="24"/>
        </w:rPr>
        <w:t>es échanges sur un forum en ligne spécialisé (chapitre</w:t>
      </w:r>
      <w:r w:rsidR="00EB6174" w:rsidRPr="00624753">
        <w:rPr>
          <w:rFonts w:ascii="Calibri" w:hAnsi="Calibri" w:cs="Calibri"/>
          <w:sz w:val="24"/>
          <w:szCs w:val="24"/>
        </w:rPr>
        <w:t> </w:t>
      </w:r>
      <w:r w:rsidR="00A5173C" w:rsidRPr="00624753">
        <w:rPr>
          <w:rFonts w:ascii="Calibri" w:hAnsi="Calibri" w:cs="Calibri"/>
          <w:sz w:val="24"/>
          <w:szCs w:val="24"/>
        </w:rPr>
        <w:t>5) ou</w:t>
      </w:r>
      <w:r w:rsidR="005543DB" w:rsidRPr="00624753">
        <w:rPr>
          <w:rFonts w:ascii="Calibri" w:hAnsi="Calibri" w:cs="Calibri"/>
          <w:sz w:val="24"/>
          <w:szCs w:val="24"/>
        </w:rPr>
        <w:t> l</w:t>
      </w:r>
      <w:r w:rsidR="00A5173C" w:rsidRPr="00624753">
        <w:rPr>
          <w:rFonts w:ascii="Calibri" w:hAnsi="Calibri" w:cs="Calibri"/>
          <w:sz w:val="24"/>
          <w:szCs w:val="24"/>
        </w:rPr>
        <w:t>es préfaces d’ouvrages (chapitre</w:t>
      </w:r>
      <w:r w:rsidR="00EB6174" w:rsidRPr="00624753">
        <w:rPr>
          <w:rFonts w:ascii="Calibri" w:hAnsi="Calibri" w:cs="Calibri"/>
          <w:sz w:val="24"/>
          <w:szCs w:val="24"/>
        </w:rPr>
        <w:t> </w:t>
      </w:r>
      <w:r w:rsidR="00A5173C" w:rsidRPr="00624753">
        <w:rPr>
          <w:rFonts w:ascii="Calibri" w:hAnsi="Calibri" w:cs="Calibri"/>
          <w:sz w:val="24"/>
          <w:szCs w:val="24"/>
        </w:rPr>
        <w:t>6).</w:t>
      </w:r>
      <w:r w:rsidR="005543DB" w:rsidRPr="00624753">
        <w:rPr>
          <w:rFonts w:ascii="Calibri" w:hAnsi="Calibri" w:cs="Calibri"/>
          <w:sz w:val="24"/>
          <w:szCs w:val="24"/>
        </w:rPr>
        <w:t xml:space="preserve"> </w:t>
      </w:r>
      <w:r w:rsidR="008F5670" w:rsidRPr="00624753">
        <w:rPr>
          <w:rFonts w:ascii="Calibri" w:hAnsi="Calibri" w:cs="Calibri"/>
          <w:sz w:val="24"/>
          <w:szCs w:val="24"/>
        </w:rPr>
        <w:t>Originalité éditoriale enfin.</w:t>
      </w:r>
      <w:r w:rsidR="007E0E49" w:rsidRPr="00624753">
        <w:rPr>
          <w:rFonts w:ascii="Calibri" w:hAnsi="Calibri" w:cs="Calibri"/>
          <w:sz w:val="24"/>
          <w:szCs w:val="24"/>
        </w:rPr>
        <w:t xml:space="preserve"> Fait </w:t>
      </w:r>
      <w:r w:rsidR="005543DB" w:rsidRPr="00624753">
        <w:rPr>
          <w:rFonts w:ascii="Calibri" w:hAnsi="Calibri" w:cs="Calibri"/>
          <w:sz w:val="24"/>
          <w:szCs w:val="24"/>
        </w:rPr>
        <w:t>suffisamment rare pour être souligné</w:t>
      </w:r>
      <w:r w:rsidR="007E0E49" w:rsidRPr="00624753">
        <w:rPr>
          <w:rFonts w:ascii="Calibri" w:hAnsi="Calibri" w:cs="Calibri"/>
          <w:sz w:val="24"/>
          <w:szCs w:val="24"/>
        </w:rPr>
        <w:t>, l’ouvrage</w:t>
      </w:r>
      <w:r w:rsidR="00B01A15" w:rsidRPr="00624753">
        <w:rPr>
          <w:rFonts w:ascii="Calibri" w:hAnsi="Calibri" w:cs="Calibri"/>
          <w:sz w:val="24"/>
          <w:szCs w:val="24"/>
        </w:rPr>
        <w:t xml:space="preserve"> a paru conjointement </w:t>
      </w:r>
      <w:r w:rsidR="00A81872" w:rsidRPr="00624753">
        <w:rPr>
          <w:rFonts w:ascii="Calibri" w:hAnsi="Calibri" w:cs="Calibri"/>
          <w:sz w:val="24"/>
          <w:szCs w:val="24"/>
        </w:rPr>
        <w:t xml:space="preserve">aux éditions ENS </w:t>
      </w:r>
      <w:r w:rsidR="00B01A15" w:rsidRPr="00624753">
        <w:rPr>
          <w:rFonts w:ascii="Calibri" w:hAnsi="Calibri" w:cs="Calibri"/>
          <w:sz w:val="24"/>
          <w:szCs w:val="24"/>
        </w:rPr>
        <w:t>en version imprimée et en version numérique, cette dernière étant diffusée en accès ouvert sur la plateforme OpenEdition Books</w:t>
      </w:r>
      <w:r w:rsidR="00A81872" w:rsidRPr="00624753">
        <w:rPr>
          <w:rFonts w:ascii="Calibri" w:hAnsi="Calibri" w:cs="Calibri"/>
          <w:sz w:val="24"/>
          <w:szCs w:val="24"/>
        </w:rPr>
        <w:t>.</w:t>
      </w:r>
    </w:p>
    <w:p w14:paraId="5841B0E8" w14:textId="53D51FB7" w:rsidR="0095176B" w:rsidRPr="00624753" w:rsidRDefault="009179D0" w:rsidP="002A699F">
      <w:pPr>
        <w:jc w:val="both"/>
        <w:rPr>
          <w:rFonts w:ascii="Calibri" w:hAnsi="Calibri" w:cs="Calibri"/>
          <w:sz w:val="24"/>
          <w:szCs w:val="24"/>
        </w:rPr>
      </w:pPr>
      <w:r w:rsidRPr="00624753">
        <w:rPr>
          <w:rFonts w:ascii="Calibri" w:hAnsi="Calibri" w:cs="Calibri"/>
          <w:sz w:val="24"/>
          <w:szCs w:val="24"/>
        </w:rPr>
        <w:t>L’homogénéité de l’étude est garantie par l’introduction</w:t>
      </w:r>
      <w:r w:rsidR="002F5BB1" w:rsidRPr="00624753">
        <w:rPr>
          <w:rFonts w:ascii="Calibri" w:hAnsi="Calibri" w:cs="Calibri"/>
          <w:sz w:val="24"/>
          <w:szCs w:val="24"/>
        </w:rPr>
        <w:t xml:space="preserve"> (p.</w:t>
      </w:r>
      <w:r w:rsidR="00EB6174" w:rsidRPr="00624753">
        <w:rPr>
          <w:rFonts w:ascii="Calibri" w:hAnsi="Calibri" w:cs="Calibri"/>
          <w:sz w:val="24"/>
          <w:szCs w:val="24"/>
        </w:rPr>
        <w:t> </w:t>
      </w:r>
      <w:r w:rsidR="002F5BB1" w:rsidRPr="00624753">
        <w:rPr>
          <w:rFonts w:ascii="Calibri" w:hAnsi="Calibri" w:cs="Calibri"/>
          <w:sz w:val="24"/>
          <w:szCs w:val="24"/>
        </w:rPr>
        <w:t>5-19)</w:t>
      </w:r>
      <w:r w:rsidRPr="00624753">
        <w:rPr>
          <w:rFonts w:ascii="Calibri" w:hAnsi="Calibri" w:cs="Calibri"/>
          <w:sz w:val="24"/>
          <w:szCs w:val="24"/>
        </w:rPr>
        <w:t xml:space="preserve">, qui en balise le cadrage théorique et </w:t>
      </w:r>
      <w:r w:rsidRPr="00830D97">
        <w:rPr>
          <w:rFonts w:ascii="Calibri" w:hAnsi="Calibri" w:cs="Calibri"/>
          <w:sz w:val="24"/>
          <w:szCs w:val="24"/>
        </w:rPr>
        <w:t xml:space="preserve">méthodologique. </w:t>
      </w:r>
      <w:r w:rsidR="002F5BB1" w:rsidRPr="00830D97">
        <w:rPr>
          <w:rFonts w:ascii="Calibri" w:hAnsi="Calibri" w:cs="Calibri"/>
          <w:sz w:val="24"/>
          <w:szCs w:val="24"/>
        </w:rPr>
        <w:t>Celle-ci</w:t>
      </w:r>
      <w:r w:rsidR="002A2036" w:rsidRPr="00830D97">
        <w:rPr>
          <w:rFonts w:ascii="Calibri" w:hAnsi="Calibri" w:cs="Calibri"/>
          <w:sz w:val="24"/>
          <w:szCs w:val="24"/>
        </w:rPr>
        <w:t xml:space="preserve"> </w:t>
      </w:r>
      <w:r w:rsidR="0046503C" w:rsidRPr="00830D97">
        <w:rPr>
          <w:rFonts w:ascii="Calibri" w:hAnsi="Calibri" w:cs="Calibri"/>
          <w:sz w:val="24"/>
          <w:szCs w:val="24"/>
        </w:rPr>
        <w:t xml:space="preserve">s’ouvre par la mention d’un article de Claudine Normand paru en 1980 dans la revue </w:t>
      </w:r>
      <w:r w:rsidR="0046503C" w:rsidRPr="00830D97">
        <w:rPr>
          <w:rFonts w:ascii="Calibri" w:hAnsi="Calibri" w:cs="Calibri"/>
          <w:i/>
          <w:iCs/>
          <w:sz w:val="24"/>
          <w:szCs w:val="24"/>
        </w:rPr>
        <w:t>Linx</w:t>
      </w:r>
      <w:r w:rsidR="00774E95" w:rsidRPr="00830D97">
        <w:rPr>
          <w:rFonts w:ascii="Calibri" w:hAnsi="Calibri" w:cs="Calibri"/>
          <w:sz w:val="24"/>
          <w:szCs w:val="24"/>
        </w:rPr>
        <w:t>. D</w:t>
      </w:r>
      <w:r w:rsidR="0046503C" w:rsidRPr="00830D97">
        <w:rPr>
          <w:rFonts w:ascii="Calibri" w:hAnsi="Calibri" w:cs="Calibri"/>
          <w:sz w:val="24"/>
          <w:szCs w:val="24"/>
        </w:rPr>
        <w:t xml:space="preserve">ans le sillage </w:t>
      </w:r>
      <w:r w:rsidR="00774E95" w:rsidRPr="00830D97">
        <w:rPr>
          <w:rFonts w:ascii="Calibri" w:hAnsi="Calibri" w:cs="Calibri"/>
          <w:sz w:val="24"/>
          <w:szCs w:val="24"/>
        </w:rPr>
        <w:t xml:space="preserve">de cet article donnant à voir les présupposés philosophiques du discours des linguistes, </w:t>
      </w:r>
      <w:r w:rsidR="0046503C" w:rsidRPr="00830D97">
        <w:rPr>
          <w:rFonts w:ascii="Calibri" w:hAnsi="Calibri" w:cs="Calibri"/>
          <w:sz w:val="24"/>
          <w:szCs w:val="24"/>
        </w:rPr>
        <w:t>Lttr13</w:t>
      </w:r>
      <w:r w:rsidR="00D54739" w:rsidRPr="00830D97">
        <w:rPr>
          <w:rFonts w:ascii="Calibri" w:hAnsi="Calibri" w:cs="Calibri"/>
          <w:sz w:val="24"/>
          <w:szCs w:val="24"/>
        </w:rPr>
        <w:t xml:space="preserve"> </w:t>
      </w:r>
      <w:r w:rsidR="00774E95" w:rsidRPr="00830D97">
        <w:rPr>
          <w:rFonts w:ascii="Calibri" w:hAnsi="Calibri" w:cs="Calibri"/>
          <w:sz w:val="24"/>
          <w:szCs w:val="24"/>
        </w:rPr>
        <w:t>se propose d’</w:t>
      </w:r>
      <w:r w:rsidR="00D54739" w:rsidRPr="00830D97">
        <w:rPr>
          <w:rFonts w:ascii="Calibri" w:hAnsi="Calibri" w:cs="Calibri"/>
          <w:sz w:val="24"/>
          <w:szCs w:val="24"/>
        </w:rPr>
        <w:t xml:space="preserve">étudier </w:t>
      </w:r>
      <w:r w:rsidR="00774E95" w:rsidRPr="00830D97">
        <w:rPr>
          <w:rFonts w:ascii="Calibri" w:hAnsi="Calibri" w:cs="Calibri"/>
          <w:sz w:val="24"/>
          <w:szCs w:val="24"/>
        </w:rPr>
        <w:t xml:space="preserve">les énonciations </w:t>
      </w:r>
      <w:r w:rsidR="00EB6174" w:rsidRPr="00830D97">
        <w:rPr>
          <w:rFonts w:ascii="Calibri" w:hAnsi="Calibri" w:cs="Calibri"/>
          <w:sz w:val="24"/>
          <w:szCs w:val="24"/>
        </w:rPr>
        <w:t>—</w:t>
      </w:r>
      <w:r w:rsidR="00774E95" w:rsidRPr="00830D97">
        <w:rPr>
          <w:rFonts w:ascii="Calibri" w:hAnsi="Calibri" w:cs="Calibri"/>
          <w:sz w:val="24"/>
          <w:szCs w:val="24"/>
        </w:rPr>
        <w:t xml:space="preserve"> et non plus seulement</w:t>
      </w:r>
      <w:r w:rsidR="00774E95" w:rsidRPr="00624753">
        <w:rPr>
          <w:rFonts w:ascii="Calibri" w:hAnsi="Calibri" w:cs="Calibri"/>
          <w:sz w:val="24"/>
          <w:szCs w:val="24"/>
        </w:rPr>
        <w:t xml:space="preserve"> les énoncés </w:t>
      </w:r>
      <w:r w:rsidR="00EB6174" w:rsidRPr="00624753">
        <w:rPr>
          <w:rFonts w:ascii="Calibri" w:hAnsi="Calibri" w:cs="Calibri"/>
          <w:sz w:val="24"/>
          <w:szCs w:val="24"/>
        </w:rPr>
        <w:t>—</w:t>
      </w:r>
      <w:r w:rsidR="00774E95" w:rsidRPr="00624753">
        <w:rPr>
          <w:rFonts w:ascii="Calibri" w:hAnsi="Calibri" w:cs="Calibri"/>
          <w:sz w:val="24"/>
          <w:szCs w:val="24"/>
        </w:rPr>
        <w:t xml:space="preserve"> de ce </w:t>
      </w:r>
      <w:r w:rsidR="00875307" w:rsidRPr="00624753">
        <w:rPr>
          <w:rFonts w:ascii="Calibri" w:hAnsi="Calibri" w:cs="Calibri"/>
          <w:sz w:val="24"/>
          <w:szCs w:val="24"/>
        </w:rPr>
        <w:t>d</w:t>
      </w:r>
      <w:r w:rsidR="00875307">
        <w:rPr>
          <w:rFonts w:ascii="Calibri" w:hAnsi="Calibri" w:cs="Calibri"/>
          <w:sz w:val="24"/>
          <w:szCs w:val="24"/>
        </w:rPr>
        <w:t>i</w:t>
      </w:r>
      <w:r w:rsidR="00875307" w:rsidRPr="00624753">
        <w:rPr>
          <w:rFonts w:ascii="Calibri" w:hAnsi="Calibri" w:cs="Calibri"/>
          <w:sz w:val="24"/>
          <w:szCs w:val="24"/>
        </w:rPr>
        <w:t>scours</w:t>
      </w:r>
      <w:r w:rsidR="00774E95" w:rsidRPr="00624753">
        <w:rPr>
          <w:rFonts w:ascii="Calibri" w:hAnsi="Calibri" w:cs="Calibri"/>
          <w:sz w:val="24"/>
          <w:szCs w:val="24"/>
        </w:rPr>
        <w:t xml:space="preserve">. </w:t>
      </w:r>
      <w:r w:rsidR="004B29A5" w:rsidRPr="00624753">
        <w:rPr>
          <w:rFonts w:ascii="Calibri" w:hAnsi="Calibri" w:cs="Calibri"/>
          <w:sz w:val="24"/>
          <w:szCs w:val="24"/>
        </w:rPr>
        <w:t>Ce faisant</w:t>
      </w:r>
      <w:r w:rsidR="00F847F5" w:rsidRPr="00624753">
        <w:rPr>
          <w:rFonts w:ascii="Calibri" w:hAnsi="Calibri" w:cs="Calibri"/>
          <w:sz w:val="24"/>
          <w:szCs w:val="24"/>
        </w:rPr>
        <w:t>, les auteurs font le pari d’une reconfiguration discursive</w:t>
      </w:r>
      <w:r w:rsidR="008613C4" w:rsidRPr="00624753">
        <w:rPr>
          <w:rFonts w:ascii="Calibri" w:hAnsi="Calibri" w:cs="Calibri"/>
          <w:sz w:val="24"/>
          <w:szCs w:val="24"/>
        </w:rPr>
        <w:t> </w:t>
      </w:r>
      <w:r w:rsidR="00F847F5" w:rsidRPr="00624753">
        <w:rPr>
          <w:rFonts w:ascii="Calibri" w:hAnsi="Calibri" w:cs="Calibri"/>
          <w:sz w:val="24"/>
          <w:szCs w:val="24"/>
        </w:rPr>
        <w:t>des strates sociohistoriques et épistémiques de la discipline linguistique</w:t>
      </w:r>
      <w:r w:rsidR="004B29A5" w:rsidRPr="00624753">
        <w:rPr>
          <w:rFonts w:ascii="Calibri" w:hAnsi="Calibri" w:cs="Calibri"/>
          <w:sz w:val="24"/>
          <w:szCs w:val="24"/>
        </w:rPr>
        <w:t>.</w:t>
      </w:r>
      <w:r w:rsidR="0043745A" w:rsidRPr="00624753">
        <w:rPr>
          <w:rFonts w:ascii="Calibri" w:hAnsi="Calibri" w:cs="Calibri"/>
          <w:sz w:val="24"/>
          <w:szCs w:val="24"/>
        </w:rPr>
        <w:t xml:space="preserve"> Les énonciations </w:t>
      </w:r>
      <w:r w:rsidR="00A60B12" w:rsidRPr="00624753">
        <w:rPr>
          <w:rFonts w:ascii="Calibri" w:hAnsi="Calibri" w:cs="Calibri"/>
          <w:sz w:val="24"/>
          <w:szCs w:val="24"/>
        </w:rPr>
        <w:t>sont analysables à partir d</w:t>
      </w:r>
      <w:r w:rsidR="00916FB7" w:rsidRPr="00624753">
        <w:rPr>
          <w:rFonts w:ascii="Calibri" w:hAnsi="Calibri" w:cs="Calibri"/>
          <w:sz w:val="24"/>
          <w:szCs w:val="24"/>
        </w:rPr>
        <w:t>es</w:t>
      </w:r>
      <w:r w:rsidR="0043745A" w:rsidRPr="00624753">
        <w:rPr>
          <w:rFonts w:ascii="Calibri" w:hAnsi="Calibri" w:cs="Calibri"/>
          <w:sz w:val="24"/>
          <w:szCs w:val="24"/>
        </w:rPr>
        <w:t xml:space="preserve"> gestes</w:t>
      </w:r>
      <w:r w:rsidR="00A60B12" w:rsidRPr="00624753">
        <w:rPr>
          <w:rFonts w:ascii="Calibri" w:hAnsi="Calibri" w:cs="Calibri"/>
          <w:sz w:val="24"/>
          <w:szCs w:val="24"/>
        </w:rPr>
        <w:t xml:space="preserve"> et imaginaires qu’elles mobilisent. </w:t>
      </w:r>
      <w:r w:rsidR="00F93E74" w:rsidRPr="00624753">
        <w:rPr>
          <w:rFonts w:ascii="Calibri" w:hAnsi="Calibri" w:cs="Calibri"/>
          <w:sz w:val="24"/>
          <w:szCs w:val="24"/>
        </w:rPr>
        <w:t xml:space="preserve">Par </w:t>
      </w:r>
      <w:r w:rsidR="00F93E74" w:rsidRPr="00624753">
        <w:rPr>
          <w:rFonts w:ascii="Calibri" w:hAnsi="Calibri" w:cs="Calibri"/>
          <w:i/>
          <w:iCs/>
          <w:sz w:val="24"/>
          <w:szCs w:val="24"/>
        </w:rPr>
        <w:t>geste discursif</w:t>
      </w:r>
      <w:r w:rsidR="00F93E74" w:rsidRPr="00624753">
        <w:rPr>
          <w:rFonts w:ascii="Calibri" w:hAnsi="Calibri" w:cs="Calibri"/>
          <w:sz w:val="24"/>
          <w:szCs w:val="24"/>
        </w:rPr>
        <w:t>, Lttr13 entend désigner ce qui «</w:t>
      </w:r>
      <w:r w:rsidR="00EB6174" w:rsidRPr="00624753">
        <w:rPr>
          <w:rFonts w:ascii="Calibri" w:hAnsi="Calibri" w:cs="Calibri"/>
          <w:sz w:val="24"/>
          <w:szCs w:val="24"/>
        </w:rPr>
        <w:t> </w:t>
      </w:r>
      <w:r w:rsidR="00F93E74" w:rsidRPr="00624753">
        <w:rPr>
          <w:rFonts w:ascii="Calibri" w:hAnsi="Calibri" w:cs="Calibri"/>
          <w:sz w:val="24"/>
          <w:szCs w:val="24"/>
        </w:rPr>
        <w:t>marqu[e] l’incidence de la pensée sur l’énonciation discursive</w:t>
      </w:r>
      <w:r w:rsidR="00EB6174" w:rsidRPr="00624753">
        <w:rPr>
          <w:rFonts w:ascii="Calibri" w:hAnsi="Calibri" w:cs="Calibri"/>
          <w:sz w:val="24"/>
          <w:szCs w:val="24"/>
        </w:rPr>
        <w:t> </w:t>
      </w:r>
      <w:r w:rsidR="00F93E74" w:rsidRPr="00624753">
        <w:rPr>
          <w:rFonts w:ascii="Calibri" w:hAnsi="Calibri" w:cs="Calibri"/>
          <w:sz w:val="24"/>
          <w:szCs w:val="24"/>
        </w:rPr>
        <w:t>» (p.</w:t>
      </w:r>
      <w:r w:rsidR="00EB6174" w:rsidRPr="00624753">
        <w:rPr>
          <w:rFonts w:ascii="Calibri" w:hAnsi="Calibri" w:cs="Calibri"/>
          <w:sz w:val="24"/>
          <w:szCs w:val="24"/>
        </w:rPr>
        <w:t> </w:t>
      </w:r>
      <w:r w:rsidR="00F93E74" w:rsidRPr="00624753">
        <w:rPr>
          <w:rFonts w:ascii="Calibri" w:hAnsi="Calibri" w:cs="Calibri"/>
          <w:sz w:val="24"/>
          <w:szCs w:val="24"/>
        </w:rPr>
        <w:t xml:space="preserve">15). Sont </w:t>
      </w:r>
      <w:r w:rsidR="002E5863" w:rsidRPr="00624753">
        <w:rPr>
          <w:rFonts w:ascii="Calibri" w:hAnsi="Calibri" w:cs="Calibri"/>
          <w:sz w:val="24"/>
          <w:szCs w:val="24"/>
        </w:rPr>
        <w:t>par exemple</w:t>
      </w:r>
      <w:r w:rsidR="00F93E74" w:rsidRPr="00624753">
        <w:rPr>
          <w:rFonts w:ascii="Calibri" w:hAnsi="Calibri" w:cs="Calibri"/>
          <w:sz w:val="24"/>
          <w:szCs w:val="24"/>
        </w:rPr>
        <w:t xml:space="preserve"> évoqués les gestes d’explication, de clarification ou d’élucidation.</w:t>
      </w:r>
      <w:r w:rsidR="006D68DB" w:rsidRPr="00624753">
        <w:rPr>
          <w:rFonts w:ascii="Calibri" w:hAnsi="Calibri" w:cs="Calibri"/>
          <w:sz w:val="24"/>
          <w:szCs w:val="24"/>
        </w:rPr>
        <w:t xml:space="preserve"> </w:t>
      </w:r>
      <w:r w:rsidR="0043745A" w:rsidRPr="00624753">
        <w:rPr>
          <w:rFonts w:ascii="Calibri" w:hAnsi="Calibri" w:cs="Calibri"/>
          <w:sz w:val="24"/>
          <w:szCs w:val="24"/>
        </w:rPr>
        <w:t xml:space="preserve">Par </w:t>
      </w:r>
      <w:r w:rsidR="0043745A" w:rsidRPr="00624753">
        <w:rPr>
          <w:rFonts w:ascii="Calibri" w:hAnsi="Calibri" w:cs="Calibri"/>
          <w:i/>
          <w:iCs/>
          <w:sz w:val="24"/>
          <w:szCs w:val="24"/>
        </w:rPr>
        <w:t>imaginaire</w:t>
      </w:r>
      <w:r w:rsidR="0043745A" w:rsidRPr="00624753">
        <w:rPr>
          <w:rFonts w:ascii="Calibri" w:hAnsi="Calibri" w:cs="Calibri"/>
          <w:sz w:val="24"/>
          <w:szCs w:val="24"/>
        </w:rPr>
        <w:t xml:space="preserve">, </w:t>
      </w:r>
      <w:r w:rsidR="00916FB7" w:rsidRPr="00624753">
        <w:rPr>
          <w:rFonts w:ascii="Calibri" w:hAnsi="Calibri" w:cs="Calibri"/>
          <w:sz w:val="24"/>
          <w:szCs w:val="24"/>
        </w:rPr>
        <w:t>il faut entendre un ensemble de cr</w:t>
      </w:r>
      <w:r w:rsidR="0043745A" w:rsidRPr="00624753">
        <w:rPr>
          <w:rFonts w:ascii="Calibri" w:hAnsi="Calibri" w:cs="Calibri"/>
          <w:sz w:val="24"/>
          <w:szCs w:val="24"/>
        </w:rPr>
        <w:t xml:space="preserve">oyances </w:t>
      </w:r>
      <w:r w:rsidR="00916FB7" w:rsidRPr="00624753">
        <w:rPr>
          <w:rFonts w:ascii="Calibri" w:hAnsi="Calibri" w:cs="Calibri"/>
          <w:sz w:val="24"/>
          <w:szCs w:val="24"/>
        </w:rPr>
        <w:t>et de</w:t>
      </w:r>
      <w:r w:rsidR="0043745A" w:rsidRPr="00624753">
        <w:rPr>
          <w:rFonts w:ascii="Calibri" w:hAnsi="Calibri" w:cs="Calibri"/>
          <w:sz w:val="24"/>
          <w:szCs w:val="24"/>
        </w:rPr>
        <w:t xml:space="preserve"> représentations</w:t>
      </w:r>
      <w:r w:rsidR="00916FB7" w:rsidRPr="00624753">
        <w:rPr>
          <w:rFonts w:ascii="Calibri" w:hAnsi="Calibri" w:cs="Calibri"/>
          <w:sz w:val="24"/>
          <w:szCs w:val="24"/>
        </w:rPr>
        <w:t>,</w:t>
      </w:r>
      <w:r w:rsidR="0043745A" w:rsidRPr="00624753">
        <w:rPr>
          <w:rFonts w:ascii="Calibri" w:hAnsi="Calibri" w:cs="Calibri"/>
          <w:sz w:val="24"/>
          <w:szCs w:val="24"/>
        </w:rPr>
        <w:t> </w:t>
      </w:r>
      <w:r w:rsidR="00916FB7" w:rsidRPr="00624753">
        <w:rPr>
          <w:rFonts w:ascii="Calibri" w:hAnsi="Calibri" w:cs="Calibri"/>
          <w:sz w:val="24"/>
          <w:szCs w:val="24"/>
        </w:rPr>
        <w:t>qui</w:t>
      </w:r>
      <w:r w:rsidR="0043745A" w:rsidRPr="00624753">
        <w:rPr>
          <w:rFonts w:ascii="Calibri" w:hAnsi="Calibri" w:cs="Calibri"/>
          <w:sz w:val="24"/>
          <w:szCs w:val="24"/>
        </w:rPr>
        <w:t xml:space="preserve"> permettent dès lors </w:t>
      </w:r>
      <w:r w:rsidR="006D68DB" w:rsidRPr="00624753">
        <w:rPr>
          <w:rFonts w:ascii="Calibri" w:hAnsi="Calibri" w:cs="Calibri"/>
          <w:sz w:val="24"/>
          <w:szCs w:val="24"/>
        </w:rPr>
        <w:t>à Lttr13</w:t>
      </w:r>
      <w:r w:rsidR="00916FB7" w:rsidRPr="00624753">
        <w:rPr>
          <w:rFonts w:ascii="Calibri" w:hAnsi="Calibri" w:cs="Calibri"/>
          <w:sz w:val="24"/>
          <w:szCs w:val="24"/>
        </w:rPr>
        <w:t xml:space="preserve"> </w:t>
      </w:r>
      <w:r w:rsidR="0043745A" w:rsidRPr="00624753">
        <w:rPr>
          <w:rFonts w:ascii="Calibri" w:hAnsi="Calibri" w:cs="Calibri"/>
          <w:sz w:val="24"/>
          <w:szCs w:val="24"/>
        </w:rPr>
        <w:t>d’avoir prise sur la dimension passionnelle de</w:t>
      </w:r>
      <w:r w:rsidR="006D68DB" w:rsidRPr="00624753">
        <w:rPr>
          <w:rFonts w:ascii="Calibri" w:hAnsi="Calibri" w:cs="Calibri"/>
          <w:sz w:val="24"/>
          <w:szCs w:val="24"/>
        </w:rPr>
        <w:t xml:space="preserve">s </w:t>
      </w:r>
      <w:r w:rsidR="0043745A" w:rsidRPr="00624753">
        <w:rPr>
          <w:rFonts w:ascii="Calibri" w:hAnsi="Calibri" w:cs="Calibri"/>
          <w:sz w:val="24"/>
          <w:szCs w:val="24"/>
        </w:rPr>
        <w:t xml:space="preserve">pratiques discursives du savoir, que l’on ne peut réduire à </w:t>
      </w:r>
      <w:r w:rsidR="00A50AA6" w:rsidRPr="00624753">
        <w:rPr>
          <w:rFonts w:ascii="Calibri" w:hAnsi="Calibri" w:cs="Calibri"/>
          <w:sz w:val="24"/>
          <w:szCs w:val="24"/>
        </w:rPr>
        <w:t>leur</w:t>
      </w:r>
      <w:r w:rsidR="0043745A" w:rsidRPr="00624753">
        <w:rPr>
          <w:rFonts w:ascii="Calibri" w:hAnsi="Calibri" w:cs="Calibri"/>
          <w:sz w:val="24"/>
          <w:szCs w:val="24"/>
        </w:rPr>
        <w:t xml:space="preserve"> dimension </w:t>
      </w:r>
      <w:r w:rsidR="0043745A" w:rsidRPr="00624753">
        <w:rPr>
          <w:rFonts w:ascii="Calibri" w:hAnsi="Calibri" w:cs="Calibri"/>
          <w:sz w:val="24"/>
          <w:szCs w:val="24"/>
        </w:rPr>
        <w:lastRenderedPageBreak/>
        <w:t>rationnelle.</w:t>
      </w:r>
      <w:r w:rsidR="00FC5740" w:rsidRPr="00624753">
        <w:rPr>
          <w:rFonts w:ascii="Calibri" w:hAnsi="Calibri" w:cs="Calibri"/>
          <w:sz w:val="24"/>
          <w:szCs w:val="24"/>
        </w:rPr>
        <w:t xml:space="preserve"> Les limites du corpus </w:t>
      </w:r>
      <w:r w:rsidR="004E4BA2" w:rsidRPr="00624753">
        <w:rPr>
          <w:rFonts w:ascii="Calibri" w:hAnsi="Calibri" w:cs="Calibri"/>
          <w:sz w:val="24"/>
          <w:szCs w:val="24"/>
        </w:rPr>
        <w:t>d</w:t>
      </w:r>
      <w:r w:rsidR="00A6540D" w:rsidRPr="00624753">
        <w:rPr>
          <w:rFonts w:ascii="Calibri" w:hAnsi="Calibri" w:cs="Calibri"/>
          <w:sz w:val="24"/>
          <w:szCs w:val="24"/>
        </w:rPr>
        <w:t>e l’</w:t>
      </w:r>
      <w:r w:rsidR="004E4BA2" w:rsidRPr="00624753">
        <w:rPr>
          <w:rFonts w:ascii="Calibri" w:hAnsi="Calibri" w:cs="Calibri"/>
          <w:sz w:val="24"/>
          <w:szCs w:val="24"/>
        </w:rPr>
        <w:t xml:space="preserve">étude </w:t>
      </w:r>
      <w:r w:rsidR="00FC5740" w:rsidRPr="00624753">
        <w:rPr>
          <w:rFonts w:ascii="Calibri" w:hAnsi="Calibri" w:cs="Calibri"/>
          <w:sz w:val="24"/>
          <w:szCs w:val="24"/>
        </w:rPr>
        <w:t xml:space="preserve">sont </w:t>
      </w:r>
      <w:r w:rsidR="00265353" w:rsidRPr="00624753">
        <w:rPr>
          <w:rFonts w:ascii="Calibri" w:hAnsi="Calibri" w:cs="Calibri"/>
          <w:sz w:val="24"/>
          <w:szCs w:val="24"/>
        </w:rPr>
        <w:t>alors</w:t>
      </w:r>
      <w:r w:rsidR="00FC5740" w:rsidRPr="00624753">
        <w:rPr>
          <w:rFonts w:ascii="Calibri" w:hAnsi="Calibri" w:cs="Calibri"/>
          <w:sz w:val="24"/>
          <w:szCs w:val="24"/>
        </w:rPr>
        <w:t xml:space="preserve"> définies : </w:t>
      </w:r>
      <w:r w:rsidR="00E91306" w:rsidRPr="00624753">
        <w:rPr>
          <w:rFonts w:ascii="Calibri" w:hAnsi="Calibri" w:cs="Calibri"/>
          <w:sz w:val="24"/>
          <w:szCs w:val="24"/>
        </w:rPr>
        <w:t>volontairement élargi</w:t>
      </w:r>
      <w:r w:rsidR="00EB6174" w:rsidRPr="00624753">
        <w:rPr>
          <w:rFonts w:ascii="Calibri" w:hAnsi="Calibri" w:cs="Calibri"/>
          <w:sz w:val="24"/>
          <w:szCs w:val="24"/>
        </w:rPr>
        <w:t>es</w:t>
      </w:r>
      <w:r w:rsidR="00E91306" w:rsidRPr="00624753">
        <w:rPr>
          <w:rFonts w:ascii="Calibri" w:hAnsi="Calibri" w:cs="Calibri"/>
          <w:sz w:val="24"/>
          <w:szCs w:val="24"/>
        </w:rPr>
        <w:t xml:space="preserve">, les données concernent les discours anglophones et francophones de la linguistique au sens large, avec toutefois une prédominance des études des deux premiers tiers du </w:t>
      </w:r>
      <w:r w:rsidR="00E91306" w:rsidRPr="00624753">
        <w:rPr>
          <w:rFonts w:ascii="Calibri" w:hAnsi="Calibri" w:cs="Calibri"/>
          <w:smallCaps/>
          <w:sz w:val="24"/>
          <w:szCs w:val="24"/>
        </w:rPr>
        <w:t>xx</w:t>
      </w:r>
      <w:r w:rsidR="00E91306" w:rsidRPr="00624753">
        <w:rPr>
          <w:rFonts w:ascii="Calibri" w:hAnsi="Calibri" w:cs="Calibri"/>
          <w:sz w:val="24"/>
          <w:szCs w:val="24"/>
          <w:vertAlign w:val="superscript"/>
        </w:rPr>
        <w:t>e</w:t>
      </w:r>
      <w:r w:rsidR="00EB6174" w:rsidRPr="00624753">
        <w:rPr>
          <w:rFonts w:ascii="Calibri" w:hAnsi="Calibri" w:cs="Calibri"/>
          <w:sz w:val="24"/>
          <w:szCs w:val="24"/>
        </w:rPr>
        <w:t> </w:t>
      </w:r>
      <w:r w:rsidR="00E91306" w:rsidRPr="00624753">
        <w:rPr>
          <w:rFonts w:ascii="Calibri" w:hAnsi="Calibri" w:cs="Calibri"/>
          <w:sz w:val="24"/>
          <w:szCs w:val="24"/>
        </w:rPr>
        <w:t>siècle</w:t>
      </w:r>
      <w:r w:rsidR="009330BF">
        <w:rPr>
          <w:rFonts w:ascii="Calibri" w:hAnsi="Calibri" w:cs="Calibri"/>
          <w:sz w:val="24"/>
          <w:szCs w:val="24"/>
        </w:rPr>
        <w:t>,</w:t>
      </w:r>
      <w:r w:rsidR="00E91306" w:rsidRPr="00624753">
        <w:rPr>
          <w:rFonts w:ascii="Calibri" w:hAnsi="Calibri" w:cs="Calibri"/>
          <w:sz w:val="24"/>
          <w:szCs w:val="24"/>
        </w:rPr>
        <w:t xml:space="preserve"> ainsi que les travaux relevant des approches énonciatives ou cognitives. Par opposition, les études à dominante quantitative et computationnelle </w:t>
      </w:r>
      <w:r w:rsidR="00DA7348" w:rsidRPr="00624753">
        <w:rPr>
          <w:rFonts w:ascii="Calibri" w:hAnsi="Calibri" w:cs="Calibri"/>
          <w:sz w:val="24"/>
          <w:szCs w:val="24"/>
        </w:rPr>
        <w:t>ont été</w:t>
      </w:r>
      <w:r w:rsidR="00E91306" w:rsidRPr="00624753">
        <w:rPr>
          <w:rFonts w:ascii="Calibri" w:hAnsi="Calibri" w:cs="Calibri"/>
          <w:sz w:val="24"/>
          <w:szCs w:val="24"/>
        </w:rPr>
        <w:t xml:space="preserve"> </w:t>
      </w:r>
      <w:r w:rsidR="00A50AA6" w:rsidRPr="00624753">
        <w:rPr>
          <w:rFonts w:ascii="Calibri" w:hAnsi="Calibri" w:cs="Calibri"/>
          <w:sz w:val="24"/>
          <w:szCs w:val="24"/>
        </w:rPr>
        <w:t xml:space="preserve">délibérément </w:t>
      </w:r>
      <w:r w:rsidR="00E91306" w:rsidRPr="00624753">
        <w:rPr>
          <w:rFonts w:ascii="Calibri" w:hAnsi="Calibri" w:cs="Calibri"/>
          <w:sz w:val="24"/>
          <w:szCs w:val="24"/>
        </w:rPr>
        <w:t>délaissées</w:t>
      </w:r>
      <w:r w:rsidR="00DA7348" w:rsidRPr="00624753">
        <w:rPr>
          <w:rFonts w:ascii="Calibri" w:hAnsi="Calibri" w:cs="Calibri"/>
          <w:sz w:val="24"/>
          <w:szCs w:val="24"/>
        </w:rPr>
        <w:t xml:space="preserve">, malgré leur tendance hégémonique depuis la fin du </w:t>
      </w:r>
      <w:r w:rsidR="00DA7348" w:rsidRPr="00624753">
        <w:rPr>
          <w:rFonts w:ascii="Calibri" w:hAnsi="Calibri" w:cs="Calibri"/>
          <w:smallCaps/>
          <w:sz w:val="24"/>
          <w:szCs w:val="24"/>
        </w:rPr>
        <w:t>xx</w:t>
      </w:r>
      <w:r w:rsidR="00DA7348" w:rsidRPr="00624753">
        <w:rPr>
          <w:rFonts w:ascii="Calibri" w:hAnsi="Calibri" w:cs="Calibri"/>
          <w:sz w:val="24"/>
          <w:szCs w:val="24"/>
          <w:vertAlign w:val="superscript"/>
        </w:rPr>
        <w:t>e</w:t>
      </w:r>
      <w:r w:rsidR="00EB6174" w:rsidRPr="00624753">
        <w:rPr>
          <w:rFonts w:ascii="Calibri" w:hAnsi="Calibri" w:cs="Calibri"/>
          <w:sz w:val="24"/>
          <w:szCs w:val="24"/>
        </w:rPr>
        <w:t> </w:t>
      </w:r>
      <w:r w:rsidR="00DA7348" w:rsidRPr="00624753">
        <w:rPr>
          <w:rFonts w:ascii="Calibri" w:hAnsi="Calibri" w:cs="Calibri"/>
          <w:sz w:val="24"/>
          <w:szCs w:val="24"/>
        </w:rPr>
        <w:t>siècle. À cet égard, l’étude acqui</w:t>
      </w:r>
      <w:r w:rsidR="00EB6174" w:rsidRPr="00624753">
        <w:rPr>
          <w:rFonts w:ascii="Calibri" w:hAnsi="Calibri" w:cs="Calibri"/>
          <w:sz w:val="24"/>
          <w:szCs w:val="24"/>
        </w:rPr>
        <w:t>ert</w:t>
      </w:r>
      <w:r w:rsidR="00DA7348" w:rsidRPr="00624753">
        <w:rPr>
          <w:rFonts w:ascii="Calibri" w:hAnsi="Calibri" w:cs="Calibri"/>
          <w:sz w:val="24"/>
          <w:szCs w:val="24"/>
        </w:rPr>
        <w:t xml:space="preserve"> une portée plus explicitement critique : «</w:t>
      </w:r>
      <w:r w:rsidR="00EB6174" w:rsidRPr="00624753">
        <w:rPr>
          <w:rFonts w:ascii="Calibri" w:hAnsi="Calibri" w:cs="Calibri"/>
          <w:sz w:val="24"/>
          <w:szCs w:val="24"/>
        </w:rPr>
        <w:t> </w:t>
      </w:r>
      <w:r w:rsidR="00BE1F2E" w:rsidRPr="00624753">
        <w:rPr>
          <w:rFonts w:ascii="Calibri" w:hAnsi="Calibri" w:cs="Calibri"/>
          <w:sz w:val="24"/>
          <w:szCs w:val="24"/>
        </w:rPr>
        <w:t>en nous centrant sur des faire linguistiques qui échappent (encore, ou en partie)</w:t>
      </w:r>
      <w:r w:rsidR="001507EE">
        <w:rPr>
          <w:rFonts w:ascii="Calibri" w:hAnsi="Calibri" w:cs="Calibri"/>
          <w:sz w:val="24"/>
          <w:szCs w:val="24"/>
        </w:rPr>
        <w:t xml:space="preserve"> à</w:t>
      </w:r>
      <w:r w:rsidR="00BE1F2E" w:rsidRPr="00624753">
        <w:rPr>
          <w:rFonts w:ascii="Calibri" w:hAnsi="Calibri" w:cs="Calibri"/>
          <w:sz w:val="24"/>
          <w:szCs w:val="24"/>
        </w:rPr>
        <w:t xml:space="preserve"> ce dispositif, nous [les auteurs] espérons peut-être aussi en dénaturaliser la force d’imposition globale</w:t>
      </w:r>
      <w:r w:rsidR="00EB6174" w:rsidRPr="00624753">
        <w:rPr>
          <w:rFonts w:ascii="Calibri" w:hAnsi="Calibri" w:cs="Calibri"/>
          <w:sz w:val="24"/>
          <w:szCs w:val="24"/>
        </w:rPr>
        <w:t> </w:t>
      </w:r>
      <w:r w:rsidR="001A4102" w:rsidRPr="00624753">
        <w:rPr>
          <w:rFonts w:ascii="Calibri" w:hAnsi="Calibri" w:cs="Calibri"/>
          <w:sz w:val="24"/>
          <w:szCs w:val="24"/>
        </w:rPr>
        <w:t>» (p.</w:t>
      </w:r>
      <w:r w:rsidR="00EB6174" w:rsidRPr="00624753">
        <w:rPr>
          <w:rFonts w:ascii="Calibri" w:hAnsi="Calibri" w:cs="Calibri"/>
          <w:sz w:val="24"/>
          <w:szCs w:val="24"/>
        </w:rPr>
        <w:t> </w:t>
      </w:r>
      <w:r w:rsidR="001A4102" w:rsidRPr="00624753">
        <w:rPr>
          <w:rFonts w:ascii="Calibri" w:hAnsi="Calibri" w:cs="Calibri"/>
          <w:sz w:val="24"/>
          <w:szCs w:val="24"/>
        </w:rPr>
        <w:t xml:space="preserve">19). </w:t>
      </w:r>
      <w:r w:rsidR="009E354F" w:rsidRPr="00624753">
        <w:rPr>
          <w:rFonts w:ascii="Calibri" w:hAnsi="Calibri" w:cs="Calibri"/>
          <w:sz w:val="24"/>
          <w:szCs w:val="24"/>
        </w:rPr>
        <w:t>La critique de cette rationalité au</w:t>
      </w:r>
      <w:r w:rsidR="001507EE">
        <w:rPr>
          <w:rFonts w:ascii="Calibri" w:hAnsi="Calibri" w:cs="Calibri"/>
          <w:sz w:val="24"/>
          <w:szCs w:val="24"/>
        </w:rPr>
        <w:t xml:space="preserve"> profit </w:t>
      </w:r>
      <w:r w:rsidR="009E354F" w:rsidRPr="00624753">
        <w:rPr>
          <w:rFonts w:ascii="Calibri" w:hAnsi="Calibri" w:cs="Calibri"/>
          <w:sz w:val="24"/>
          <w:szCs w:val="24"/>
        </w:rPr>
        <w:t xml:space="preserve">de pratiques discursives </w:t>
      </w:r>
      <w:r w:rsidR="00A50AA6" w:rsidRPr="00624753">
        <w:rPr>
          <w:rFonts w:ascii="Calibri" w:hAnsi="Calibri" w:cs="Calibri"/>
          <w:sz w:val="24"/>
          <w:szCs w:val="24"/>
        </w:rPr>
        <w:t>davantage</w:t>
      </w:r>
      <w:r w:rsidR="009E354F" w:rsidRPr="00624753">
        <w:rPr>
          <w:rFonts w:ascii="Calibri" w:hAnsi="Calibri" w:cs="Calibri"/>
          <w:sz w:val="24"/>
          <w:szCs w:val="24"/>
        </w:rPr>
        <w:t xml:space="preserve"> diversifiées et incarnées est </w:t>
      </w:r>
      <w:r w:rsidR="00136336" w:rsidRPr="00624753">
        <w:rPr>
          <w:rFonts w:ascii="Calibri" w:hAnsi="Calibri" w:cs="Calibri"/>
          <w:sz w:val="24"/>
          <w:szCs w:val="24"/>
        </w:rPr>
        <w:t>réitérée au fil de l’ouvrage (</w:t>
      </w:r>
      <w:r w:rsidR="000270D6" w:rsidRPr="00624753">
        <w:rPr>
          <w:rFonts w:ascii="Calibri" w:hAnsi="Calibri" w:cs="Calibri"/>
          <w:sz w:val="24"/>
          <w:szCs w:val="24"/>
        </w:rPr>
        <w:t xml:space="preserve">voir entre autres </w:t>
      </w:r>
      <w:r w:rsidR="00136336" w:rsidRPr="00624753">
        <w:rPr>
          <w:rFonts w:ascii="Calibri" w:hAnsi="Calibri" w:cs="Calibri"/>
          <w:sz w:val="24"/>
          <w:szCs w:val="24"/>
        </w:rPr>
        <w:t>p</w:t>
      </w:r>
      <w:r w:rsidR="00FD247C" w:rsidRPr="00624753">
        <w:rPr>
          <w:rFonts w:ascii="Calibri" w:hAnsi="Calibri" w:cs="Calibri"/>
          <w:sz w:val="24"/>
          <w:szCs w:val="24"/>
        </w:rPr>
        <w:t>.</w:t>
      </w:r>
      <w:r w:rsidR="00136336" w:rsidRPr="00624753">
        <w:rPr>
          <w:rFonts w:ascii="Calibri" w:hAnsi="Calibri" w:cs="Calibri"/>
          <w:sz w:val="24"/>
          <w:szCs w:val="24"/>
        </w:rPr>
        <w:t xml:space="preserve"> </w:t>
      </w:r>
      <w:r w:rsidR="000270D6" w:rsidRPr="00624753">
        <w:rPr>
          <w:rFonts w:ascii="Calibri" w:hAnsi="Calibri" w:cs="Calibri"/>
          <w:sz w:val="24"/>
          <w:szCs w:val="24"/>
        </w:rPr>
        <w:t>15, 103, 184</w:t>
      </w:r>
      <w:r w:rsidR="00136336" w:rsidRPr="00624753">
        <w:rPr>
          <w:rFonts w:ascii="Calibri" w:hAnsi="Calibri" w:cs="Calibri"/>
          <w:sz w:val="24"/>
          <w:szCs w:val="24"/>
        </w:rPr>
        <w:t>).</w:t>
      </w:r>
      <w:r w:rsidR="0095176B" w:rsidRPr="00624753">
        <w:rPr>
          <w:rFonts w:ascii="Calibri" w:hAnsi="Calibri" w:cs="Calibri"/>
          <w:sz w:val="24"/>
          <w:szCs w:val="24"/>
        </w:rPr>
        <w:t xml:space="preserve"> </w:t>
      </w:r>
    </w:p>
    <w:p w14:paraId="52FEBF76" w14:textId="321393D1" w:rsidR="00380441" w:rsidRPr="00624753" w:rsidRDefault="00330947" w:rsidP="002A699F">
      <w:pPr>
        <w:jc w:val="both"/>
        <w:rPr>
          <w:rFonts w:ascii="Calibri" w:hAnsi="Calibri" w:cs="Calibri"/>
          <w:sz w:val="24"/>
          <w:szCs w:val="24"/>
        </w:rPr>
      </w:pPr>
      <w:r w:rsidRPr="00624753">
        <w:rPr>
          <w:rFonts w:ascii="Calibri" w:hAnsi="Calibri" w:cs="Calibri"/>
          <w:sz w:val="24"/>
          <w:szCs w:val="24"/>
        </w:rPr>
        <w:t>La première partie, intitulée «</w:t>
      </w:r>
      <w:r w:rsidR="00EB6174" w:rsidRPr="00624753">
        <w:rPr>
          <w:rFonts w:ascii="Calibri" w:hAnsi="Calibri" w:cs="Calibri"/>
          <w:sz w:val="24"/>
          <w:szCs w:val="24"/>
        </w:rPr>
        <w:t> </w:t>
      </w:r>
      <w:r w:rsidRPr="00624753">
        <w:rPr>
          <w:rFonts w:ascii="Calibri" w:hAnsi="Calibri" w:cs="Calibri"/>
          <w:sz w:val="24"/>
          <w:szCs w:val="24"/>
        </w:rPr>
        <w:t>Du mot au geste</w:t>
      </w:r>
      <w:r w:rsidR="00EB6174" w:rsidRPr="00624753">
        <w:rPr>
          <w:rFonts w:ascii="Calibri" w:hAnsi="Calibri" w:cs="Calibri"/>
          <w:sz w:val="24"/>
          <w:szCs w:val="24"/>
        </w:rPr>
        <w:t> </w:t>
      </w:r>
      <w:r w:rsidRPr="00624753">
        <w:rPr>
          <w:rFonts w:ascii="Calibri" w:hAnsi="Calibri" w:cs="Calibri"/>
          <w:sz w:val="24"/>
          <w:szCs w:val="24"/>
        </w:rPr>
        <w:t xml:space="preserve">», est composée </w:t>
      </w:r>
      <w:r w:rsidR="00A50AA6" w:rsidRPr="00624753">
        <w:rPr>
          <w:rFonts w:ascii="Calibri" w:hAnsi="Calibri" w:cs="Calibri"/>
          <w:sz w:val="24"/>
          <w:szCs w:val="24"/>
        </w:rPr>
        <w:t>de trois</w:t>
      </w:r>
      <w:r w:rsidRPr="00624753">
        <w:rPr>
          <w:rFonts w:ascii="Calibri" w:hAnsi="Calibri" w:cs="Calibri"/>
          <w:sz w:val="24"/>
          <w:szCs w:val="24"/>
        </w:rPr>
        <w:t xml:space="preserve"> chapitres</w:t>
      </w:r>
      <w:r w:rsidR="00D50A2A" w:rsidRPr="00624753">
        <w:rPr>
          <w:rFonts w:ascii="Calibri" w:hAnsi="Calibri" w:cs="Calibri"/>
          <w:sz w:val="24"/>
          <w:szCs w:val="24"/>
        </w:rPr>
        <w:t>. Le premier (p.</w:t>
      </w:r>
      <w:r w:rsidR="00EB6174" w:rsidRPr="00624753">
        <w:rPr>
          <w:rFonts w:ascii="Calibri" w:hAnsi="Calibri" w:cs="Calibri"/>
          <w:sz w:val="24"/>
          <w:szCs w:val="24"/>
        </w:rPr>
        <w:t> </w:t>
      </w:r>
      <w:r w:rsidR="00D50A2A" w:rsidRPr="00624753">
        <w:rPr>
          <w:rFonts w:ascii="Calibri" w:hAnsi="Calibri" w:cs="Calibri"/>
          <w:sz w:val="24"/>
          <w:szCs w:val="24"/>
        </w:rPr>
        <w:t xml:space="preserve">23-47) porte sur </w:t>
      </w:r>
      <w:r w:rsidR="00380441" w:rsidRPr="00624753">
        <w:rPr>
          <w:rFonts w:ascii="Calibri" w:hAnsi="Calibri" w:cs="Calibri"/>
          <w:sz w:val="24"/>
          <w:szCs w:val="24"/>
        </w:rPr>
        <w:t>le parcours</w:t>
      </w:r>
      <w:r w:rsidR="00D50A2A" w:rsidRPr="00624753">
        <w:rPr>
          <w:rFonts w:ascii="Calibri" w:hAnsi="Calibri" w:cs="Calibri"/>
          <w:sz w:val="24"/>
          <w:szCs w:val="24"/>
        </w:rPr>
        <w:t xml:space="preserve"> du mot </w:t>
      </w:r>
      <w:r w:rsidR="00D50A2A" w:rsidRPr="00624753">
        <w:rPr>
          <w:rFonts w:ascii="Calibri" w:hAnsi="Calibri" w:cs="Calibri"/>
          <w:i/>
          <w:iCs/>
          <w:sz w:val="24"/>
          <w:szCs w:val="24"/>
        </w:rPr>
        <w:t>énonciation</w:t>
      </w:r>
      <w:r w:rsidR="00D50A2A" w:rsidRPr="00624753">
        <w:rPr>
          <w:rFonts w:ascii="Calibri" w:hAnsi="Calibri" w:cs="Calibri"/>
          <w:sz w:val="24"/>
          <w:szCs w:val="24"/>
        </w:rPr>
        <w:t>.</w:t>
      </w:r>
      <w:r w:rsidR="00380441" w:rsidRPr="00624753">
        <w:rPr>
          <w:rFonts w:ascii="Calibri" w:hAnsi="Calibri" w:cs="Calibri"/>
          <w:sz w:val="24"/>
          <w:szCs w:val="24"/>
        </w:rPr>
        <w:t xml:space="preserve"> Alors que le mot n’a pas de sens stabilisé chez </w:t>
      </w:r>
      <w:r w:rsidR="00A50AA6" w:rsidRPr="00624753">
        <w:rPr>
          <w:rFonts w:ascii="Calibri" w:hAnsi="Calibri" w:cs="Calibri"/>
          <w:sz w:val="24"/>
          <w:szCs w:val="24"/>
        </w:rPr>
        <w:t xml:space="preserve">Émile </w:t>
      </w:r>
      <w:r w:rsidR="00380441" w:rsidRPr="00624753">
        <w:rPr>
          <w:rFonts w:ascii="Calibri" w:hAnsi="Calibri" w:cs="Calibri"/>
          <w:sz w:val="24"/>
          <w:szCs w:val="24"/>
        </w:rPr>
        <w:t>Benveniste, l’énonciation devient un «</w:t>
      </w:r>
      <w:r w:rsidR="00EB6174" w:rsidRPr="00624753">
        <w:rPr>
          <w:rFonts w:ascii="Calibri" w:hAnsi="Calibri" w:cs="Calibri"/>
          <w:sz w:val="24"/>
          <w:szCs w:val="24"/>
        </w:rPr>
        <w:t> </w:t>
      </w:r>
      <w:r w:rsidR="00380441" w:rsidRPr="00624753">
        <w:rPr>
          <w:rFonts w:ascii="Calibri" w:hAnsi="Calibri" w:cs="Calibri"/>
          <w:sz w:val="24"/>
          <w:szCs w:val="24"/>
        </w:rPr>
        <w:t>vocable</w:t>
      </w:r>
      <w:r w:rsidR="00EB6174" w:rsidRPr="00624753">
        <w:rPr>
          <w:rFonts w:ascii="Calibri" w:hAnsi="Calibri" w:cs="Calibri"/>
          <w:sz w:val="24"/>
          <w:szCs w:val="24"/>
        </w:rPr>
        <w:t> </w:t>
      </w:r>
      <w:r w:rsidR="00380441" w:rsidRPr="00624753">
        <w:rPr>
          <w:rFonts w:ascii="Calibri" w:hAnsi="Calibri" w:cs="Calibri"/>
          <w:sz w:val="24"/>
          <w:szCs w:val="24"/>
        </w:rPr>
        <w:t>»</w:t>
      </w:r>
      <w:r w:rsidR="00283987" w:rsidRPr="00624753">
        <w:rPr>
          <w:rFonts w:ascii="Calibri" w:hAnsi="Calibri" w:cs="Calibri"/>
          <w:sz w:val="24"/>
          <w:szCs w:val="24"/>
        </w:rPr>
        <w:t xml:space="preserve"> (Barthes 1984), un terme fétichisé associé à une série de fonctions</w:t>
      </w:r>
      <w:r w:rsidR="00F1413F" w:rsidRPr="00624753">
        <w:rPr>
          <w:rFonts w:ascii="Calibri" w:hAnsi="Calibri" w:cs="Calibri"/>
          <w:sz w:val="24"/>
          <w:szCs w:val="24"/>
        </w:rPr>
        <w:t xml:space="preserve"> imaginaires</w:t>
      </w:r>
      <w:r w:rsidR="00563820" w:rsidRPr="00624753">
        <w:rPr>
          <w:rFonts w:ascii="Calibri" w:hAnsi="Calibri" w:cs="Calibri"/>
          <w:sz w:val="24"/>
          <w:szCs w:val="24"/>
        </w:rPr>
        <w:t>. D’une part, il acqui</w:t>
      </w:r>
      <w:r w:rsidR="00EB6174" w:rsidRPr="00624753">
        <w:rPr>
          <w:rFonts w:ascii="Calibri" w:hAnsi="Calibri" w:cs="Calibri"/>
          <w:sz w:val="24"/>
          <w:szCs w:val="24"/>
        </w:rPr>
        <w:t>ert</w:t>
      </w:r>
      <w:r w:rsidR="00563820" w:rsidRPr="00624753">
        <w:rPr>
          <w:rFonts w:ascii="Calibri" w:hAnsi="Calibri" w:cs="Calibri"/>
          <w:sz w:val="24"/>
          <w:szCs w:val="24"/>
        </w:rPr>
        <w:t xml:space="preserve"> une </w:t>
      </w:r>
      <w:r w:rsidR="00283987" w:rsidRPr="00624753">
        <w:rPr>
          <w:rFonts w:ascii="Calibri" w:hAnsi="Calibri" w:cs="Calibri"/>
          <w:sz w:val="24"/>
          <w:szCs w:val="24"/>
        </w:rPr>
        <w:t xml:space="preserve">fonction disciplinaire </w:t>
      </w:r>
      <w:r w:rsidR="00563820" w:rsidRPr="00624753">
        <w:rPr>
          <w:rFonts w:ascii="Calibri" w:hAnsi="Calibri" w:cs="Calibri"/>
          <w:sz w:val="24"/>
          <w:szCs w:val="24"/>
        </w:rPr>
        <w:t xml:space="preserve">gnoséologique </w:t>
      </w:r>
      <w:r w:rsidR="00283987" w:rsidRPr="00624753">
        <w:rPr>
          <w:rFonts w:ascii="Calibri" w:hAnsi="Calibri" w:cs="Calibri"/>
          <w:sz w:val="24"/>
          <w:szCs w:val="24"/>
        </w:rPr>
        <w:t>par sa capacité à d</w:t>
      </w:r>
      <w:r w:rsidR="00EB6174" w:rsidRPr="00624753">
        <w:rPr>
          <w:rFonts w:ascii="Calibri" w:hAnsi="Calibri" w:cs="Calibri"/>
          <w:sz w:val="24"/>
          <w:szCs w:val="24"/>
        </w:rPr>
        <w:t>é</w:t>
      </w:r>
      <w:r w:rsidR="00283987" w:rsidRPr="00624753">
        <w:rPr>
          <w:rFonts w:ascii="Calibri" w:hAnsi="Calibri" w:cs="Calibri"/>
          <w:sz w:val="24"/>
          <w:szCs w:val="24"/>
        </w:rPr>
        <w:t>signer un domaine du savoir et</w:t>
      </w:r>
      <w:r w:rsidR="00563820" w:rsidRPr="00624753">
        <w:rPr>
          <w:rFonts w:ascii="Calibri" w:hAnsi="Calibri" w:cs="Calibri"/>
          <w:sz w:val="24"/>
          <w:szCs w:val="24"/>
        </w:rPr>
        <w:t xml:space="preserve"> une fonction disciplinaire praxéologique</w:t>
      </w:r>
      <w:r w:rsidR="00283987" w:rsidRPr="00624753">
        <w:rPr>
          <w:rFonts w:ascii="Calibri" w:hAnsi="Calibri" w:cs="Calibri"/>
          <w:sz w:val="24"/>
          <w:szCs w:val="24"/>
        </w:rPr>
        <w:t xml:space="preserve"> pa</w:t>
      </w:r>
      <w:r w:rsidR="00563820" w:rsidRPr="00624753">
        <w:rPr>
          <w:rFonts w:ascii="Calibri" w:hAnsi="Calibri" w:cs="Calibri"/>
          <w:sz w:val="24"/>
          <w:szCs w:val="24"/>
        </w:rPr>
        <w:t xml:space="preserve">r les pratiques disciplinaires qu’il </w:t>
      </w:r>
      <w:r w:rsidR="00180152" w:rsidRPr="00624753">
        <w:rPr>
          <w:rFonts w:ascii="Calibri" w:hAnsi="Calibri" w:cs="Calibri"/>
          <w:sz w:val="24"/>
          <w:szCs w:val="24"/>
        </w:rPr>
        <w:t>impose</w:t>
      </w:r>
      <w:r w:rsidR="00563820" w:rsidRPr="00624753">
        <w:rPr>
          <w:rFonts w:ascii="Calibri" w:hAnsi="Calibri" w:cs="Calibri"/>
          <w:sz w:val="24"/>
          <w:szCs w:val="24"/>
        </w:rPr>
        <w:t xml:space="preserve"> (en l’occurrence, la théorisation ou la problématisation). </w:t>
      </w:r>
      <w:r w:rsidR="00F1413F" w:rsidRPr="00624753">
        <w:rPr>
          <w:rFonts w:ascii="Calibri" w:hAnsi="Calibri" w:cs="Calibri"/>
          <w:sz w:val="24"/>
          <w:szCs w:val="24"/>
        </w:rPr>
        <w:t xml:space="preserve">D’autre part, </w:t>
      </w:r>
      <w:r w:rsidR="006D0B11" w:rsidRPr="00624753">
        <w:rPr>
          <w:rFonts w:ascii="Calibri" w:hAnsi="Calibri" w:cs="Calibri"/>
          <w:sz w:val="24"/>
          <w:szCs w:val="24"/>
        </w:rPr>
        <w:t>Littr13</w:t>
      </w:r>
      <w:r w:rsidR="00F1413F" w:rsidRPr="00624753">
        <w:rPr>
          <w:rFonts w:ascii="Calibri" w:hAnsi="Calibri" w:cs="Calibri"/>
          <w:sz w:val="24"/>
          <w:szCs w:val="24"/>
        </w:rPr>
        <w:t xml:space="preserve"> </w:t>
      </w:r>
      <w:r w:rsidR="006D0B11" w:rsidRPr="00624753">
        <w:rPr>
          <w:rFonts w:ascii="Calibri" w:hAnsi="Calibri" w:cs="Calibri"/>
          <w:sz w:val="24"/>
          <w:szCs w:val="24"/>
        </w:rPr>
        <w:t>évoque</w:t>
      </w:r>
      <w:r w:rsidR="00F1413F" w:rsidRPr="00624753">
        <w:rPr>
          <w:rFonts w:ascii="Calibri" w:hAnsi="Calibri" w:cs="Calibri"/>
          <w:sz w:val="24"/>
          <w:szCs w:val="24"/>
        </w:rPr>
        <w:t xml:space="preserve"> une fonction de sublimation de la discipline, ce qui «</w:t>
      </w:r>
      <w:r w:rsidR="00EB6174" w:rsidRPr="00624753">
        <w:rPr>
          <w:rFonts w:ascii="Calibri" w:hAnsi="Calibri" w:cs="Calibri"/>
          <w:sz w:val="24"/>
          <w:szCs w:val="24"/>
        </w:rPr>
        <w:t> </w:t>
      </w:r>
      <w:r w:rsidR="00F1413F" w:rsidRPr="00624753">
        <w:rPr>
          <w:rFonts w:ascii="Calibri" w:hAnsi="Calibri" w:cs="Calibri"/>
          <w:sz w:val="24"/>
          <w:szCs w:val="24"/>
        </w:rPr>
        <w:t xml:space="preserve">correspond à la rencontre entre le terme et un </w:t>
      </w:r>
      <w:r w:rsidR="00F1413F" w:rsidRPr="00624753">
        <w:rPr>
          <w:rFonts w:ascii="Calibri" w:hAnsi="Calibri" w:cs="Calibri"/>
          <w:i/>
          <w:iCs/>
          <w:sz w:val="24"/>
          <w:szCs w:val="24"/>
        </w:rPr>
        <w:t xml:space="preserve">air du temps </w:t>
      </w:r>
      <w:r w:rsidR="00F1413F" w:rsidRPr="00624753">
        <w:rPr>
          <w:rFonts w:ascii="Calibri" w:hAnsi="Calibri" w:cs="Calibri"/>
          <w:sz w:val="24"/>
          <w:szCs w:val="24"/>
        </w:rPr>
        <w:t>qui lui permet de trouver une incidence inattendue</w:t>
      </w:r>
      <w:r w:rsidR="00EB6174" w:rsidRPr="00624753">
        <w:rPr>
          <w:rFonts w:ascii="Calibri" w:hAnsi="Calibri" w:cs="Calibri"/>
          <w:sz w:val="24"/>
          <w:szCs w:val="24"/>
        </w:rPr>
        <w:t> </w:t>
      </w:r>
      <w:r w:rsidR="00F1413F" w:rsidRPr="00624753">
        <w:rPr>
          <w:rFonts w:ascii="Calibri" w:hAnsi="Calibri" w:cs="Calibri"/>
          <w:sz w:val="24"/>
          <w:szCs w:val="24"/>
        </w:rPr>
        <w:t>» (p.</w:t>
      </w:r>
      <w:r w:rsidR="00EB6174" w:rsidRPr="00624753">
        <w:rPr>
          <w:rFonts w:ascii="Calibri" w:hAnsi="Calibri" w:cs="Calibri"/>
          <w:sz w:val="24"/>
          <w:szCs w:val="24"/>
        </w:rPr>
        <w:t> </w:t>
      </w:r>
      <w:r w:rsidR="00F1413F" w:rsidRPr="00624753">
        <w:rPr>
          <w:rFonts w:ascii="Calibri" w:hAnsi="Calibri" w:cs="Calibri"/>
          <w:sz w:val="24"/>
          <w:szCs w:val="24"/>
        </w:rPr>
        <w:t xml:space="preserve">40). </w:t>
      </w:r>
      <w:r w:rsidR="00B174C9" w:rsidRPr="00624753">
        <w:rPr>
          <w:rFonts w:ascii="Calibri" w:hAnsi="Calibri" w:cs="Calibri"/>
          <w:sz w:val="24"/>
          <w:szCs w:val="24"/>
        </w:rPr>
        <w:t xml:space="preserve">Pour autant, la fétichisation du terme </w:t>
      </w:r>
      <w:r w:rsidR="009B2E11" w:rsidRPr="00624753">
        <w:rPr>
          <w:rFonts w:ascii="Calibri" w:hAnsi="Calibri" w:cs="Calibri"/>
          <w:sz w:val="24"/>
          <w:szCs w:val="24"/>
        </w:rPr>
        <w:t>risque d’</w:t>
      </w:r>
      <w:r w:rsidR="00B174C9" w:rsidRPr="00624753">
        <w:rPr>
          <w:rFonts w:ascii="Calibri" w:hAnsi="Calibri" w:cs="Calibri"/>
          <w:sz w:val="24"/>
          <w:szCs w:val="24"/>
        </w:rPr>
        <w:t xml:space="preserve">entrainer sa disparition, dans la mesure où ce dernier </w:t>
      </w:r>
      <w:r w:rsidR="009B2E11" w:rsidRPr="00624753">
        <w:rPr>
          <w:rFonts w:ascii="Calibri" w:hAnsi="Calibri" w:cs="Calibri"/>
          <w:sz w:val="24"/>
          <w:szCs w:val="24"/>
        </w:rPr>
        <w:t>fonctionne moins en</w:t>
      </w:r>
      <w:r w:rsidR="00B174C9" w:rsidRPr="00624753">
        <w:rPr>
          <w:rFonts w:ascii="Calibri" w:hAnsi="Calibri" w:cs="Calibri"/>
          <w:sz w:val="24"/>
          <w:szCs w:val="24"/>
        </w:rPr>
        <w:t xml:space="preserve"> tant que concept </w:t>
      </w:r>
      <w:r w:rsidR="009B2E11" w:rsidRPr="00624753">
        <w:rPr>
          <w:rFonts w:ascii="Calibri" w:hAnsi="Calibri" w:cs="Calibri"/>
          <w:sz w:val="24"/>
          <w:szCs w:val="24"/>
        </w:rPr>
        <w:t>que</w:t>
      </w:r>
      <w:r w:rsidR="00B174C9" w:rsidRPr="00624753">
        <w:rPr>
          <w:rFonts w:ascii="Calibri" w:hAnsi="Calibri" w:cs="Calibri"/>
          <w:sz w:val="24"/>
          <w:szCs w:val="24"/>
        </w:rPr>
        <w:t xml:space="preserve"> comme unité faisant signe à un imaginaire. C’est c</w:t>
      </w:r>
      <w:r w:rsidR="006D0B11" w:rsidRPr="00624753">
        <w:rPr>
          <w:rFonts w:ascii="Calibri" w:hAnsi="Calibri" w:cs="Calibri"/>
          <w:sz w:val="24"/>
          <w:szCs w:val="24"/>
        </w:rPr>
        <w:t xml:space="preserve">e que </w:t>
      </w:r>
      <w:r w:rsidR="00EE74DA" w:rsidRPr="00624753">
        <w:rPr>
          <w:rFonts w:ascii="Calibri" w:hAnsi="Calibri" w:cs="Calibri"/>
          <w:sz w:val="24"/>
          <w:szCs w:val="24"/>
        </w:rPr>
        <w:t>semble</w:t>
      </w:r>
      <w:r w:rsidR="006D0B11" w:rsidRPr="00624753">
        <w:rPr>
          <w:rFonts w:ascii="Calibri" w:hAnsi="Calibri" w:cs="Calibri"/>
          <w:sz w:val="24"/>
          <w:szCs w:val="24"/>
        </w:rPr>
        <w:t xml:space="preserve"> subir le terme d’</w:t>
      </w:r>
      <w:r w:rsidR="006D0B11" w:rsidRPr="00624753">
        <w:rPr>
          <w:rFonts w:ascii="Calibri" w:hAnsi="Calibri" w:cs="Calibri"/>
          <w:i/>
          <w:iCs/>
          <w:sz w:val="24"/>
          <w:szCs w:val="24"/>
        </w:rPr>
        <w:t>énonciation</w:t>
      </w:r>
      <w:r w:rsidR="006D0B11" w:rsidRPr="00624753">
        <w:rPr>
          <w:rFonts w:ascii="Calibri" w:hAnsi="Calibri" w:cs="Calibri"/>
          <w:sz w:val="24"/>
          <w:szCs w:val="24"/>
        </w:rPr>
        <w:t xml:space="preserve">, qui perd de sa pertinence gnoséologique et praxéologique et qui se voit </w:t>
      </w:r>
      <w:r w:rsidR="00FE16BC" w:rsidRPr="00624753">
        <w:rPr>
          <w:rFonts w:ascii="Calibri" w:hAnsi="Calibri" w:cs="Calibri"/>
          <w:sz w:val="24"/>
          <w:szCs w:val="24"/>
        </w:rPr>
        <w:t xml:space="preserve">actuellement </w:t>
      </w:r>
      <w:r w:rsidR="006D0B11" w:rsidRPr="00624753">
        <w:rPr>
          <w:rFonts w:ascii="Calibri" w:hAnsi="Calibri" w:cs="Calibri"/>
          <w:sz w:val="24"/>
          <w:szCs w:val="24"/>
        </w:rPr>
        <w:t>remplacé par des concepts tels qu’</w:t>
      </w:r>
      <w:r w:rsidR="006D0B11" w:rsidRPr="00624753">
        <w:rPr>
          <w:rFonts w:ascii="Calibri" w:hAnsi="Calibri" w:cs="Calibri"/>
          <w:i/>
          <w:iCs/>
          <w:sz w:val="24"/>
          <w:szCs w:val="24"/>
        </w:rPr>
        <w:t>éthos</w:t>
      </w:r>
      <w:r w:rsidR="006D0B11" w:rsidRPr="00624753">
        <w:rPr>
          <w:rFonts w:ascii="Calibri" w:hAnsi="Calibri" w:cs="Calibri"/>
          <w:sz w:val="24"/>
          <w:szCs w:val="24"/>
        </w:rPr>
        <w:t xml:space="preserve">. Notons que le titre de l’ouvrage, qui aurait pu s’appeler </w:t>
      </w:r>
      <w:r w:rsidR="006D0B11" w:rsidRPr="00624753">
        <w:rPr>
          <w:rFonts w:ascii="Calibri" w:hAnsi="Calibri" w:cs="Calibri"/>
          <w:i/>
          <w:iCs/>
          <w:sz w:val="24"/>
          <w:szCs w:val="24"/>
        </w:rPr>
        <w:t>les énonciations du discours de la linguistique</w:t>
      </w:r>
      <w:r w:rsidR="006D0B11" w:rsidRPr="00624753">
        <w:rPr>
          <w:rFonts w:ascii="Calibri" w:hAnsi="Calibri" w:cs="Calibri"/>
          <w:sz w:val="24"/>
          <w:szCs w:val="24"/>
        </w:rPr>
        <w:t>, tend à accréditer ce déclin.</w:t>
      </w:r>
      <w:r w:rsidR="00D11410" w:rsidRPr="00624753">
        <w:rPr>
          <w:rFonts w:ascii="Calibri" w:hAnsi="Calibri" w:cs="Calibri"/>
          <w:sz w:val="24"/>
          <w:szCs w:val="24"/>
        </w:rPr>
        <w:t xml:space="preserve"> </w:t>
      </w:r>
      <w:r w:rsidR="009D2727" w:rsidRPr="00624753">
        <w:rPr>
          <w:rFonts w:ascii="Calibri" w:hAnsi="Calibri" w:cs="Calibri"/>
          <w:sz w:val="24"/>
          <w:szCs w:val="24"/>
        </w:rPr>
        <w:t>Plus fondamentalement</w:t>
      </w:r>
      <w:r w:rsidR="00D11410" w:rsidRPr="00624753">
        <w:rPr>
          <w:rFonts w:ascii="Calibri" w:hAnsi="Calibri" w:cs="Calibri"/>
          <w:sz w:val="24"/>
          <w:szCs w:val="24"/>
        </w:rPr>
        <w:t>, et c’est là sa troisième fonction imaginaire, le terme d’</w:t>
      </w:r>
      <w:r w:rsidR="00D11410" w:rsidRPr="00624753">
        <w:rPr>
          <w:rFonts w:ascii="Calibri" w:hAnsi="Calibri" w:cs="Calibri"/>
          <w:i/>
          <w:iCs/>
          <w:sz w:val="24"/>
          <w:szCs w:val="24"/>
        </w:rPr>
        <w:t xml:space="preserve">énonciation </w:t>
      </w:r>
      <w:r w:rsidR="00D11410" w:rsidRPr="00624753">
        <w:rPr>
          <w:rFonts w:ascii="Calibri" w:hAnsi="Calibri" w:cs="Calibri"/>
          <w:sz w:val="24"/>
          <w:szCs w:val="24"/>
        </w:rPr>
        <w:t xml:space="preserve">invite à un geste réflexif du linguiste sur sa </w:t>
      </w:r>
      <w:r w:rsidR="008C4577" w:rsidRPr="00624753">
        <w:rPr>
          <w:rFonts w:ascii="Calibri" w:hAnsi="Calibri" w:cs="Calibri"/>
          <w:sz w:val="24"/>
          <w:szCs w:val="24"/>
        </w:rPr>
        <w:t xml:space="preserve">propre </w:t>
      </w:r>
      <w:r w:rsidR="00D11410" w:rsidRPr="00624753">
        <w:rPr>
          <w:rFonts w:ascii="Calibri" w:hAnsi="Calibri" w:cs="Calibri"/>
          <w:sz w:val="24"/>
          <w:szCs w:val="24"/>
        </w:rPr>
        <w:t>terminologie.</w:t>
      </w:r>
    </w:p>
    <w:p w14:paraId="3AB840E6" w14:textId="519C868E" w:rsidR="00B37429" w:rsidRPr="00624753" w:rsidRDefault="00EE74DA" w:rsidP="002A699F">
      <w:pPr>
        <w:jc w:val="both"/>
        <w:rPr>
          <w:rFonts w:ascii="Calibri" w:hAnsi="Calibri" w:cs="Calibri"/>
          <w:sz w:val="24"/>
          <w:szCs w:val="24"/>
        </w:rPr>
      </w:pPr>
      <w:r w:rsidRPr="00624753">
        <w:rPr>
          <w:rFonts w:ascii="Calibri" w:hAnsi="Calibri" w:cs="Calibri"/>
          <w:sz w:val="24"/>
          <w:szCs w:val="24"/>
        </w:rPr>
        <w:t>Dans</w:t>
      </w:r>
      <w:r w:rsidR="00AB520A" w:rsidRPr="00624753">
        <w:rPr>
          <w:rFonts w:ascii="Calibri" w:hAnsi="Calibri" w:cs="Calibri"/>
          <w:sz w:val="24"/>
          <w:szCs w:val="24"/>
        </w:rPr>
        <w:t xml:space="preserve"> le deuxième chapitre (</w:t>
      </w:r>
      <w:r w:rsidR="00D94D7C" w:rsidRPr="00624753">
        <w:rPr>
          <w:rFonts w:ascii="Calibri" w:hAnsi="Calibri" w:cs="Calibri"/>
          <w:sz w:val="24"/>
          <w:szCs w:val="24"/>
        </w:rPr>
        <w:t>p.</w:t>
      </w:r>
      <w:r w:rsidR="00EB6174" w:rsidRPr="00624753">
        <w:rPr>
          <w:rFonts w:ascii="Calibri" w:hAnsi="Calibri" w:cs="Calibri"/>
          <w:sz w:val="24"/>
          <w:szCs w:val="24"/>
        </w:rPr>
        <w:t> </w:t>
      </w:r>
      <w:r w:rsidR="00AB520A" w:rsidRPr="00624753">
        <w:rPr>
          <w:rFonts w:ascii="Calibri" w:hAnsi="Calibri" w:cs="Calibri"/>
          <w:sz w:val="24"/>
          <w:szCs w:val="24"/>
        </w:rPr>
        <w:t>49-74),</w:t>
      </w:r>
      <w:r w:rsidRPr="00624753">
        <w:rPr>
          <w:rFonts w:ascii="Calibri" w:hAnsi="Calibri" w:cs="Calibri"/>
          <w:sz w:val="24"/>
          <w:szCs w:val="24"/>
        </w:rPr>
        <w:t xml:space="preserve"> les trois chercheurs s’intéressent</w:t>
      </w:r>
      <w:r w:rsidR="00AB520A" w:rsidRPr="00624753">
        <w:rPr>
          <w:rFonts w:ascii="Calibri" w:hAnsi="Calibri" w:cs="Calibri"/>
          <w:sz w:val="24"/>
          <w:szCs w:val="24"/>
        </w:rPr>
        <w:t xml:space="preserve"> aux fonctions rhétoriques du geste de dénomination</w:t>
      </w:r>
      <w:r w:rsidRPr="00624753">
        <w:rPr>
          <w:rFonts w:ascii="Calibri" w:hAnsi="Calibri" w:cs="Calibri"/>
          <w:sz w:val="24"/>
          <w:szCs w:val="24"/>
        </w:rPr>
        <w:t xml:space="preserve">, qu’ils opposent à la définition. En effet, la dénomination associe la conceptualisation du terme à l’élément thématique, </w:t>
      </w:r>
      <w:r w:rsidR="00265353" w:rsidRPr="00624753">
        <w:rPr>
          <w:rFonts w:ascii="Calibri" w:hAnsi="Calibri" w:cs="Calibri"/>
          <w:sz w:val="24"/>
          <w:szCs w:val="24"/>
        </w:rPr>
        <w:t>tandis</w:t>
      </w:r>
      <w:r w:rsidRPr="00624753">
        <w:rPr>
          <w:rFonts w:ascii="Calibri" w:hAnsi="Calibri" w:cs="Calibri"/>
          <w:sz w:val="24"/>
          <w:szCs w:val="24"/>
        </w:rPr>
        <w:t xml:space="preserve"> que le signifié du terme défini forme l’élément rhématique</w:t>
      </w:r>
      <w:r w:rsidR="00B37C46" w:rsidRPr="00624753">
        <w:rPr>
          <w:rFonts w:ascii="Calibri" w:hAnsi="Calibri" w:cs="Calibri"/>
          <w:sz w:val="24"/>
          <w:szCs w:val="24"/>
        </w:rPr>
        <w:t xml:space="preserve"> dans la définition</w:t>
      </w:r>
      <w:r w:rsidRPr="00624753">
        <w:rPr>
          <w:rFonts w:ascii="Calibri" w:hAnsi="Calibri" w:cs="Calibri"/>
          <w:sz w:val="24"/>
          <w:szCs w:val="24"/>
        </w:rPr>
        <w:t>. Si les deux opérations discursives s’opposent, elles doivent être considérées au sein du texte, qui peut les articuler de façon plus ou moins complexe.</w:t>
      </w:r>
      <w:r w:rsidR="001D11B7" w:rsidRPr="00624753">
        <w:rPr>
          <w:rFonts w:ascii="Calibri" w:hAnsi="Calibri" w:cs="Calibri"/>
          <w:sz w:val="24"/>
          <w:szCs w:val="24"/>
        </w:rPr>
        <w:t xml:space="preserve"> Lttr13 considère que la dénomination correspond à un geste discursif, sans indiquer explicitement le statut de </w:t>
      </w:r>
      <w:r w:rsidR="00DE3F63" w:rsidRPr="00624753">
        <w:rPr>
          <w:rFonts w:ascii="Calibri" w:hAnsi="Calibri" w:cs="Calibri"/>
          <w:sz w:val="24"/>
          <w:szCs w:val="24"/>
        </w:rPr>
        <w:t>la</w:t>
      </w:r>
      <w:r w:rsidR="001D11B7" w:rsidRPr="00624753">
        <w:rPr>
          <w:rFonts w:ascii="Calibri" w:hAnsi="Calibri" w:cs="Calibri"/>
          <w:sz w:val="24"/>
          <w:szCs w:val="24"/>
        </w:rPr>
        <w:t xml:space="preserve"> définition. Si </w:t>
      </w:r>
      <w:r w:rsidR="00B37429" w:rsidRPr="00624753">
        <w:rPr>
          <w:rFonts w:ascii="Calibri" w:hAnsi="Calibri" w:cs="Calibri"/>
          <w:sz w:val="24"/>
          <w:szCs w:val="24"/>
        </w:rPr>
        <w:t>la mention d’un geste de définition dans l’index des concepts (p.</w:t>
      </w:r>
      <w:r w:rsidR="00EB6174" w:rsidRPr="00624753">
        <w:rPr>
          <w:rFonts w:ascii="Calibri" w:hAnsi="Calibri" w:cs="Calibri"/>
          <w:sz w:val="24"/>
          <w:szCs w:val="24"/>
        </w:rPr>
        <w:t> </w:t>
      </w:r>
      <w:r w:rsidR="00B37429" w:rsidRPr="00624753">
        <w:rPr>
          <w:rFonts w:ascii="Calibri" w:hAnsi="Calibri" w:cs="Calibri"/>
          <w:sz w:val="24"/>
          <w:szCs w:val="24"/>
        </w:rPr>
        <w:t>270) clarifie ce dernier, il nous semble que la section</w:t>
      </w:r>
      <w:r w:rsidR="00EB6174" w:rsidRPr="00624753">
        <w:rPr>
          <w:rFonts w:ascii="Calibri" w:hAnsi="Calibri" w:cs="Calibri"/>
          <w:sz w:val="24"/>
          <w:szCs w:val="24"/>
        </w:rPr>
        <w:t> </w:t>
      </w:r>
      <w:r w:rsidR="00B37429" w:rsidRPr="00624753">
        <w:rPr>
          <w:rFonts w:ascii="Calibri" w:hAnsi="Calibri" w:cs="Calibri"/>
          <w:sz w:val="24"/>
          <w:szCs w:val="24"/>
        </w:rPr>
        <w:t>1.3 (p.</w:t>
      </w:r>
      <w:r w:rsidR="00EB6174" w:rsidRPr="00624753">
        <w:rPr>
          <w:rFonts w:ascii="Calibri" w:hAnsi="Calibri" w:cs="Calibri"/>
          <w:sz w:val="24"/>
          <w:szCs w:val="24"/>
        </w:rPr>
        <w:t> </w:t>
      </w:r>
      <w:r w:rsidR="00B37429" w:rsidRPr="00624753">
        <w:rPr>
          <w:rFonts w:ascii="Calibri" w:hAnsi="Calibri" w:cs="Calibri"/>
          <w:sz w:val="24"/>
          <w:szCs w:val="24"/>
        </w:rPr>
        <w:t>55-56) manque de clarté à ce propos.</w:t>
      </w:r>
      <w:r w:rsidR="00891297" w:rsidRPr="00624753">
        <w:rPr>
          <w:rFonts w:ascii="Calibri" w:hAnsi="Calibri" w:cs="Calibri"/>
          <w:sz w:val="24"/>
          <w:szCs w:val="24"/>
        </w:rPr>
        <w:t xml:space="preserve"> À partir d’un corpus </w:t>
      </w:r>
      <w:r w:rsidR="0005576F" w:rsidRPr="00624753">
        <w:rPr>
          <w:rFonts w:ascii="Calibri" w:hAnsi="Calibri" w:cs="Calibri"/>
          <w:sz w:val="24"/>
          <w:szCs w:val="24"/>
        </w:rPr>
        <w:t xml:space="preserve">varié </w:t>
      </w:r>
      <w:r w:rsidR="00891297" w:rsidRPr="00624753">
        <w:rPr>
          <w:rFonts w:ascii="Calibri" w:hAnsi="Calibri" w:cs="Calibri"/>
          <w:sz w:val="24"/>
          <w:szCs w:val="24"/>
        </w:rPr>
        <w:t xml:space="preserve">d’écrits de linguistes, les trois chercheurs distinguent </w:t>
      </w:r>
      <w:r w:rsidR="0005576F" w:rsidRPr="00624753">
        <w:rPr>
          <w:rFonts w:ascii="Calibri" w:hAnsi="Calibri" w:cs="Calibri"/>
          <w:sz w:val="24"/>
          <w:szCs w:val="24"/>
        </w:rPr>
        <w:t xml:space="preserve">et illustrent </w:t>
      </w:r>
      <w:r w:rsidR="00891297" w:rsidRPr="00624753">
        <w:rPr>
          <w:rFonts w:ascii="Calibri" w:hAnsi="Calibri" w:cs="Calibri"/>
          <w:sz w:val="24"/>
          <w:szCs w:val="24"/>
        </w:rPr>
        <w:t>quatre manières d’énoncer la dénomination, correspondant à autant de gestes distincts</w:t>
      </w:r>
      <w:r w:rsidR="00D4779B" w:rsidRPr="00624753">
        <w:rPr>
          <w:rFonts w:ascii="Calibri" w:hAnsi="Calibri" w:cs="Calibri"/>
          <w:sz w:val="24"/>
          <w:szCs w:val="24"/>
        </w:rPr>
        <w:t xml:space="preserve"> par le type de marques (temporelles ou subjectives) convoquées</w:t>
      </w:r>
      <w:r w:rsidR="00EB6174" w:rsidRPr="00624753">
        <w:rPr>
          <w:rFonts w:ascii="Calibri" w:hAnsi="Calibri" w:cs="Calibri"/>
          <w:sz w:val="24"/>
          <w:szCs w:val="24"/>
        </w:rPr>
        <w:t> </w:t>
      </w:r>
      <w:r w:rsidR="00891297" w:rsidRPr="00624753">
        <w:rPr>
          <w:rFonts w:ascii="Calibri" w:hAnsi="Calibri" w:cs="Calibri"/>
          <w:sz w:val="24"/>
          <w:szCs w:val="24"/>
        </w:rPr>
        <w:t>: la scénarisation, soit l’effacement énonciatif du sujet au profit de la temporalité de la réflexion</w:t>
      </w:r>
      <w:r w:rsidR="00EB6174" w:rsidRPr="00624753">
        <w:rPr>
          <w:rFonts w:ascii="Calibri" w:hAnsi="Calibri" w:cs="Calibri"/>
          <w:sz w:val="24"/>
          <w:szCs w:val="24"/>
        </w:rPr>
        <w:t> </w:t>
      </w:r>
      <w:r w:rsidR="00891297" w:rsidRPr="00624753">
        <w:rPr>
          <w:rFonts w:ascii="Calibri" w:hAnsi="Calibri" w:cs="Calibri"/>
          <w:sz w:val="24"/>
          <w:szCs w:val="24"/>
        </w:rPr>
        <w:t xml:space="preserve">; la </w:t>
      </w:r>
      <w:r w:rsidR="00D4779B" w:rsidRPr="00624753">
        <w:rPr>
          <w:rFonts w:ascii="Calibri" w:hAnsi="Calibri" w:cs="Calibri"/>
          <w:sz w:val="24"/>
          <w:szCs w:val="24"/>
        </w:rPr>
        <w:t>sacralisation, soit la</w:t>
      </w:r>
      <w:r w:rsidR="00F16D6A" w:rsidRPr="00624753">
        <w:rPr>
          <w:rFonts w:ascii="Calibri" w:hAnsi="Calibri" w:cs="Calibri"/>
          <w:sz w:val="24"/>
          <w:szCs w:val="24"/>
        </w:rPr>
        <w:t xml:space="preserve"> </w:t>
      </w:r>
      <w:r w:rsidR="00D4779B" w:rsidRPr="00624753">
        <w:rPr>
          <w:rFonts w:ascii="Calibri" w:hAnsi="Calibri" w:cs="Calibri"/>
          <w:sz w:val="24"/>
          <w:szCs w:val="24"/>
        </w:rPr>
        <w:t>modalisation et la subjectivation du terme</w:t>
      </w:r>
      <w:r w:rsidR="00EB6174" w:rsidRPr="00624753">
        <w:rPr>
          <w:rFonts w:ascii="Calibri" w:hAnsi="Calibri" w:cs="Calibri"/>
          <w:sz w:val="24"/>
          <w:szCs w:val="24"/>
        </w:rPr>
        <w:t> </w:t>
      </w:r>
      <w:r w:rsidR="00D4779B" w:rsidRPr="00624753">
        <w:rPr>
          <w:rFonts w:ascii="Calibri" w:hAnsi="Calibri" w:cs="Calibri"/>
          <w:sz w:val="24"/>
          <w:szCs w:val="24"/>
        </w:rPr>
        <w:t>; la révélation, soit l’absence de marques énonciatives</w:t>
      </w:r>
      <w:r w:rsidR="00EB6174" w:rsidRPr="00624753">
        <w:rPr>
          <w:rFonts w:ascii="Calibri" w:hAnsi="Calibri" w:cs="Calibri"/>
          <w:sz w:val="24"/>
          <w:szCs w:val="24"/>
        </w:rPr>
        <w:t> </w:t>
      </w:r>
      <w:r w:rsidR="00D4779B" w:rsidRPr="00624753">
        <w:rPr>
          <w:rFonts w:ascii="Calibri" w:hAnsi="Calibri" w:cs="Calibri"/>
          <w:sz w:val="24"/>
          <w:szCs w:val="24"/>
        </w:rPr>
        <w:t xml:space="preserve">; l’emblématisation, soit </w:t>
      </w:r>
      <w:r w:rsidR="0005576F" w:rsidRPr="00624753">
        <w:rPr>
          <w:rFonts w:ascii="Calibri" w:hAnsi="Calibri" w:cs="Calibri"/>
          <w:sz w:val="24"/>
          <w:szCs w:val="24"/>
        </w:rPr>
        <w:t>la combinaison de</w:t>
      </w:r>
      <w:r w:rsidR="000057DF" w:rsidRPr="00624753">
        <w:rPr>
          <w:rFonts w:ascii="Calibri" w:hAnsi="Calibri" w:cs="Calibri"/>
          <w:sz w:val="24"/>
          <w:szCs w:val="24"/>
        </w:rPr>
        <w:t xml:space="preserve"> la scénarisation et de la sacralisation.</w:t>
      </w:r>
    </w:p>
    <w:p w14:paraId="34CA897E" w14:textId="2C753C20" w:rsidR="001D11B7" w:rsidRPr="00624753" w:rsidRDefault="00265353" w:rsidP="002A699F">
      <w:pPr>
        <w:jc w:val="both"/>
        <w:rPr>
          <w:rFonts w:ascii="Calibri" w:hAnsi="Calibri" w:cs="Calibri"/>
          <w:sz w:val="24"/>
          <w:szCs w:val="24"/>
        </w:rPr>
      </w:pPr>
      <w:r w:rsidRPr="00624753">
        <w:rPr>
          <w:rFonts w:ascii="Calibri" w:hAnsi="Calibri" w:cs="Calibri"/>
          <w:sz w:val="24"/>
          <w:szCs w:val="24"/>
        </w:rPr>
        <w:lastRenderedPageBreak/>
        <w:t>Le troisième chapitre (p.</w:t>
      </w:r>
      <w:r w:rsidR="00EB6174" w:rsidRPr="00624753">
        <w:rPr>
          <w:rFonts w:ascii="Calibri" w:hAnsi="Calibri" w:cs="Calibri"/>
          <w:sz w:val="24"/>
          <w:szCs w:val="24"/>
        </w:rPr>
        <w:t> </w:t>
      </w:r>
      <w:r w:rsidRPr="00624753">
        <w:rPr>
          <w:rFonts w:ascii="Calibri" w:hAnsi="Calibri" w:cs="Calibri"/>
          <w:sz w:val="24"/>
          <w:szCs w:val="24"/>
        </w:rPr>
        <w:t xml:space="preserve">75-103) </w:t>
      </w:r>
      <w:r w:rsidR="00BA4B42" w:rsidRPr="00624753">
        <w:rPr>
          <w:rFonts w:ascii="Calibri" w:hAnsi="Calibri" w:cs="Calibri"/>
          <w:sz w:val="24"/>
          <w:szCs w:val="24"/>
        </w:rPr>
        <w:t>débute</w:t>
      </w:r>
      <w:r w:rsidRPr="00624753">
        <w:rPr>
          <w:rFonts w:ascii="Calibri" w:hAnsi="Calibri" w:cs="Calibri"/>
          <w:sz w:val="24"/>
          <w:szCs w:val="24"/>
        </w:rPr>
        <w:t xml:space="preserve"> par une clarification conceptuelle et terminologique des gestes discursifs, notamment vis-à-vis de la rhétorique : ces derniers contribuent à construire le logos (en relevant plutôt de l’</w:t>
      </w:r>
      <w:r w:rsidRPr="00624753">
        <w:rPr>
          <w:rFonts w:ascii="Calibri" w:hAnsi="Calibri" w:cs="Calibri"/>
          <w:i/>
          <w:iCs/>
          <w:sz w:val="24"/>
          <w:szCs w:val="24"/>
        </w:rPr>
        <w:t>inventio</w:t>
      </w:r>
      <w:r w:rsidR="00E504B7" w:rsidRPr="00624753">
        <w:rPr>
          <w:rFonts w:ascii="Calibri" w:hAnsi="Calibri" w:cs="Calibri"/>
          <w:sz w:val="24"/>
          <w:szCs w:val="24"/>
        </w:rPr>
        <w:t>, l</w:t>
      </w:r>
      <w:r w:rsidR="001D1D98" w:rsidRPr="00624753">
        <w:rPr>
          <w:rFonts w:ascii="Calibri" w:hAnsi="Calibri" w:cs="Calibri"/>
          <w:sz w:val="24"/>
          <w:szCs w:val="24"/>
        </w:rPr>
        <w:t xml:space="preserve">’inventaire </w:t>
      </w:r>
      <w:r w:rsidR="00E504B7" w:rsidRPr="00624753">
        <w:rPr>
          <w:rFonts w:ascii="Calibri" w:hAnsi="Calibri" w:cs="Calibri"/>
          <w:sz w:val="24"/>
          <w:szCs w:val="24"/>
        </w:rPr>
        <w:t>des preuves,</w:t>
      </w:r>
      <w:r w:rsidRPr="00624753">
        <w:rPr>
          <w:rFonts w:ascii="Calibri" w:hAnsi="Calibri" w:cs="Calibri"/>
          <w:sz w:val="24"/>
          <w:szCs w:val="24"/>
        </w:rPr>
        <w:t xml:space="preserve"> ou de la </w:t>
      </w:r>
      <w:r w:rsidRPr="00624753">
        <w:rPr>
          <w:rFonts w:ascii="Calibri" w:hAnsi="Calibri" w:cs="Calibri"/>
          <w:i/>
          <w:iCs/>
          <w:sz w:val="24"/>
          <w:szCs w:val="24"/>
        </w:rPr>
        <w:t>dispositio</w:t>
      </w:r>
      <w:r w:rsidR="00E504B7" w:rsidRPr="00624753">
        <w:rPr>
          <w:rFonts w:ascii="Calibri" w:hAnsi="Calibri" w:cs="Calibri"/>
          <w:sz w:val="24"/>
          <w:szCs w:val="24"/>
        </w:rPr>
        <w:t xml:space="preserve">, leur </w:t>
      </w:r>
      <w:r w:rsidR="00E504B7" w:rsidRPr="002A5378">
        <w:rPr>
          <w:rFonts w:ascii="Calibri" w:hAnsi="Calibri" w:cs="Calibri"/>
          <w:sz w:val="24"/>
          <w:szCs w:val="24"/>
        </w:rPr>
        <w:t>agencement</w:t>
      </w:r>
      <w:r w:rsidRPr="002A5378">
        <w:rPr>
          <w:rFonts w:ascii="Calibri" w:hAnsi="Calibri" w:cs="Calibri"/>
          <w:sz w:val="24"/>
          <w:szCs w:val="24"/>
        </w:rPr>
        <w:t>), mais également</w:t>
      </w:r>
      <w:r w:rsidR="002E694F" w:rsidRPr="002A5378">
        <w:rPr>
          <w:rFonts w:ascii="Calibri" w:hAnsi="Calibri" w:cs="Calibri"/>
          <w:sz w:val="24"/>
          <w:szCs w:val="24"/>
        </w:rPr>
        <w:t xml:space="preserve"> à façonner</w:t>
      </w:r>
      <w:r w:rsidRPr="002A5378">
        <w:rPr>
          <w:rFonts w:ascii="Calibri" w:hAnsi="Calibri" w:cs="Calibri"/>
          <w:sz w:val="24"/>
          <w:szCs w:val="24"/>
        </w:rPr>
        <w:t xml:space="preserve"> </w:t>
      </w:r>
      <w:r w:rsidR="002E694F" w:rsidRPr="002A5378">
        <w:rPr>
          <w:rFonts w:ascii="Calibri" w:hAnsi="Calibri" w:cs="Calibri"/>
          <w:sz w:val="24"/>
          <w:szCs w:val="24"/>
        </w:rPr>
        <w:t>l’éthos</w:t>
      </w:r>
      <w:r w:rsidRPr="002A5378">
        <w:rPr>
          <w:rFonts w:ascii="Calibri" w:hAnsi="Calibri" w:cs="Calibri"/>
          <w:sz w:val="24"/>
          <w:szCs w:val="24"/>
        </w:rPr>
        <w:t xml:space="preserve"> (</w:t>
      </w:r>
      <w:r w:rsidR="002E694F" w:rsidRPr="002A5378">
        <w:rPr>
          <w:rFonts w:ascii="Calibri" w:hAnsi="Calibri" w:cs="Calibri"/>
          <w:sz w:val="24"/>
          <w:szCs w:val="24"/>
        </w:rPr>
        <w:t>l’énonciateur</w:t>
      </w:r>
      <w:r w:rsidRPr="002A5378">
        <w:rPr>
          <w:rFonts w:ascii="Calibri" w:hAnsi="Calibri" w:cs="Calibri"/>
          <w:sz w:val="24"/>
          <w:szCs w:val="24"/>
        </w:rPr>
        <w:t xml:space="preserve">) ainsi que </w:t>
      </w:r>
      <w:r w:rsidR="002E694F" w:rsidRPr="002A5378">
        <w:rPr>
          <w:rFonts w:ascii="Calibri" w:hAnsi="Calibri" w:cs="Calibri"/>
          <w:sz w:val="24"/>
          <w:szCs w:val="24"/>
        </w:rPr>
        <w:t>le pathos</w:t>
      </w:r>
      <w:r w:rsidRPr="002A5378">
        <w:rPr>
          <w:rFonts w:ascii="Calibri" w:hAnsi="Calibri" w:cs="Calibri"/>
          <w:sz w:val="24"/>
          <w:szCs w:val="24"/>
        </w:rPr>
        <w:t xml:space="preserve"> (</w:t>
      </w:r>
      <w:r w:rsidR="002E694F" w:rsidRPr="002A5378">
        <w:rPr>
          <w:rFonts w:ascii="Calibri" w:hAnsi="Calibri" w:cs="Calibri"/>
          <w:sz w:val="24"/>
          <w:szCs w:val="24"/>
        </w:rPr>
        <w:t>l’énonciataire</w:t>
      </w:r>
      <w:r w:rsidRPr="002A5378">
        <w:rPr>
          <w:rFonts w:ascii="Calibri" w:hAnsi="Calibri" w:cs="Calibri"/>
          <w:sz w:val="24"/>
          <w:szCs w:val="24"/>
        </w:rPr>
        <w:t>). L’analyse</w:t>
      </w:r>
      <w:r w:rsidRPr="00624753">
        <w:rPr>
          <w:rFonts w:ascii="Calibri" w:hAnsi="Calibri" w:cs="Calibri"/>
          <w:sz w:val="24"/>
          <w:szCs w:val="24"/>
        </w:rPr>
        <w:t xml:space="preserve"> vise ensuite </w:t>
      </w:r>
      <w:r w:rsidR="00DE3F63" w:rsidRPr="00624753">
        <w:rPr>
          <w:rFonts w:ascii="Calibri" w:hAnsi="Calibri" w:cs="Calibri"/>
          <w:sz w:val="24"/>
          <w:szCs w:val="24"/>
        </w:rPr>
        <w:t>à identifier les principaux gestes mobilisés dans trois articles de revue sur l’accent : le premier (Le Gall 1903) constitue une description, l’</w:t>
      </w:r>
      <w:r w:rsidR="00DE3F63" w:rsidRPr="00624753">
        <w:rPr>
          <w:rFonts w:ascii="Calibri" w:hAnsi="Calibri" w:cs="Calibri"/>
          <w:i/>
          <w:iCs/>
          <w:sz w:val="24"/>
          <w:szCs w:val="24"/>
        </w:rPr>
        <w:t xml:space="preserve">inventio </w:t>
      </w:r>
      <w:r w:rsidR="00DE3F63" w:rsidRPr="00624753">
        <w:rPr>
          <w:rFonts w:ascii="Calibri" w:hAnsi="Calibri" w:cs="Calibri"/>
          <w:sz w:val="24"/>
          <w:szCs w:val="24"/>
        </w:rPr>
        <w:t xml:space="preserve">ayant prévalu </w:t>
      </w:r>
      <w:r w:rsidR="007F2DAE">
        <w:rPr>
          <w:rFonts w:ascii="Calibri" w:hAnsi="Calibri" w:cs="Calibri"/>
          <w:sz w:val="24"/>
          <w:szCs w:val="24"/>
        </w:rPr>
        <w:t>sur</w:t>
      </w:r>
      <w:r w:rsidR="00DE3F63" w:rsidRPr="00624753">
        <w:rPr>
          <w:rFonts w:ascii="Calibri" w:hAnsi="Calibri" w:cs="Calibri"/>
          <w:sz w:val="24"/>
          <w:szCs w:val="24"/>
        </w:rPr>
        <w:t xml:space="preserve"> la </w:t>
      </w:r>
      <w:r w:rsidR="00DE3F63" w:rsidRPr="00624753">
        <w:rPr>
          <w:rFonts w:ascii="Calibri" w:hAnsi="Calibri" w:cs="Calibri"/>
          <w:i/>
          <w:iCs/>
          <w:sz w:val="24"/>
          <w:szCs w:val="24"/>
        </w:rPr>
        <w:t xml:space="preserve">dispositio </w:t>
      </w:r>
      <w:r w:rsidR="00DE3F63" w:rsidRPr="00624753">
        <w:rPr>
          <w:rFonts w:ascii="Calibri" w:hAnsi="Calibri" w:cs="Calibri"/>
          <w:sz w:val="24"/>
          <w:szCs w:val="24"/>
        </w:rPr>
        <w:t xml:space="preserve">et </w:t>
      </w:r>
      <w:r w:rsidR="005A2D3F">
        <w:rPr>
          <w:rFonts w:ascii="Calibri" w:hAnsi="Calibri" w:cs="Calibri"/>
          <w:sz w:val="24"/>
          <w:szCs w:val="24"/>
        </w:rPr>
        <w:t>sur</w:t>
      </w:r>
      <w:r w:rsidR="00DE3F63" w:rsidRPr="00624753">
        <w:rPr>
          <w:rFonts w:ascii="Calibri" w:hAnsi="Calibri" w:cs="Calibri"/>
          <w:sz w:val="24"/>
          <w:szCs w:val="24"/>
        </w:rPr>
        <w:t xml:space="preserve"> l’</w:t>
      </w:r>
      <w:r w:rsidR="00DE3F63" w:rsidRPr="00624753">
        <w:rPr>
          <w:rFonts w:ascii="Calibri" w:hAnsi="Calibri" w:cs="Calibri"/>
          <w:i/>
          <w:iCs/>
          <w:sz w:val="24"/>
          <w:szCs w:val="24"/>
        </w:rPr>
        <w:t>elocutio</w:t>
      </w:r>
      <w:r w:rsidR="00EB6174" w:rsidRPr="00624753">
        <w:rPr>
          <w:rFonts w:ascii="Calibri" w:hAnsi="Calibri" w:cs="Calibri"/>
          <w:i/>
          <w:iCs/>
          <w:sz w:val="24"/>
          <w:szCs w:val="24"/>
        </w:rPr>
        <w:t> </w:t>
      </w:r>
      <w:r w:rsidR="00DE3F63" w:rsidRPr="00624753">
        <w:rPr>
          <w:rFonts w:ascii="Calibri" w:hAnsi="Calibri" w:cs="Calibri"/>
          <w:sz w:val="24"/>
          <w:szCs w:val="24"/>
        </w:rPr>
        <w:t xml:space="preserve">; le </w:t>
      </w:r>
      <w:r w:rsidR="002042E9" w:rsidRPr="00624753">
        <w:rPr>
          <w:rFonts w:ascii="Calibri" w:hAnsi="Calibri" w:cs="Calibri"/>
          <w:sz w:val="24"/>
          <w:szCs w:val="24"/>
        </w:rPr>
        <w:t>deuxième</w:t>
      </w:r>
      <w:r w:rsidR="00DE3F63" w:rsidRPr="00624753">
        <w:rPr>
          <w:rFonts w:ascii="Calibri" w:hAnsi="Calibri" w:cs="Calibri"/>
          <w:sz w:val="24"/>
          <w:szCs w:val="24"/>
        </w:rPr>
        <w:t xml:space="preserve"> (Tesnière 1929) </w:t>
      </w:r>
      <w:r w:rsidR="00E504B7" w:rsidRPr="00624753">
        <w:rPr>
          <w:rFonts w:ascii="Calibri" w:hAnsi="Calibri" w:cs="Calibri"/>
          <w:sz w:val="24"/>
          <w:szCs w:val="24"/>
        </w:rPr>
        <w:t xml:space="preserve">est construit </w:t>
      </w:r>
      <w:r w:rsidR="00E22F7E" w:rsidRPr="00624753">
        <w:rPr>
          <w:rFonts w:ascii="Calibri" w:hAnsi="Calibri" w:cs="Calibri"/>
          <w:sz w:val="24"/>
          <w:szCs w:val="24"/>
        </w:rPr>
        <w:t>autour d’</w:t>
      </w:r>
      <w:r w:rsidR="00E504B7" w:rsidRPr="00624753">
        <w:rPr>
          <w:rFonts w:ascii="Calibri" w:hAnsi="Calibri" w:cs="Calibri"/>
          <w:sz w:val="24"/>
          <w:szCs w:val="24"/>
        </w:rPr>
        <w:t xml:space="preserve">un geste de discussion fondé sur la </w:t>
      </w:r>
      <w:r w:rsidR="00E504B7" w:rsidRPr="00624753">
        <w:rPr>
          <w:rFonts w:ascii="Calibri" w:hAnsi="Calibri" w:cs="Calibri"/>
          <w:i/>
          <w:iCs/>
          <w:sz w:val="24"/>
          <w:szCs w:val="24"/>
        </w:rPr>
        <w:t>dispositio</w:t>
      </w:r>
      <w:r w:rsidR="00E504B7" w:rsidRPr="00624753">
        <w:rPr>
          <w:rFonts w:ascii="Calibri" w:hAnsi="Calibri" w:cs="Calibri"/>
          <w:sz w:val="24"/>
          <w:szCs w:val="24"/>
        </w:rPr>
        <w:t xml:space="preserve">, </w:t>
      </w:r>
      <w:r w:rsidR="002042E9" w:rsidRPr="00624753">
        <w:rPr>
          <w:rFonts w:ascii="Calibri" w:hAnsi="Calibri" w:cs="Calibri"/>
          <w:sz w:val="24"/>
          <w:szCs w:val="24"/>
        </w:rPr>
        <w:t xml:space="preserve">puis </w:t>
      </w:r>
      <w:r w:rsidR="00E22F7E" w:rsidRPr="00624753">
        <w:rPr>
          <w:rFonts w:ascii="Calibri" w:hAnsi="Calibri" w:cs="Calibri"/>
          <w:sz w:val="24"/>
          <w:szCs w:val="24"/>
        </w:rPr>
        <w:t>autour d’</w:t>
      </w:r>
      <w:r w:rsidR="002042E9" w:rsidRPr="00624753">
        <w:rPr>
          <w:rFonts w:ascii="Calibri" w:hAnsi="Calibri" w:cs="Calibri"/>
          <w:sz w:val="24"/>
          <w:szCs w:val="24"/>
        </w:rPr>
        <w:t xml:space="preserve">un geste de problématisation </w:t>
      </w:r>
      <w:r w:rsidR="00E22F7E" w:rsidRPr="00624753">
        <w:rPr>
          <w:rFonts w:ascii="Calibri" w:hAnsi="Calibri" w:cs="Calibri"/>
          <w:sz w:val="24"/>
          <w:szCs w:val="24"/>
        </w:rPr>
        <w:t>rendant</w:t>
      </w:r>
      <w:r w:rsidR="002042E9" w:rsidRPr="00624753">
        <w:rPr>
          <w:rFonts w:ascii="Calibri" w:hAnsi="Calibri" w:cs="Calibri"/>
          <w:sz w:val="24"/>
          <w:szCs w:val="24"/>
        </w:rPr>
        <w:t xml:space="preserve"> l’énonciateur polémiste</w:t>
      </w:r>
      <w:r w:rsidR="00EB6174" w:rsidRPr="00624753">
        <w:rPr>
          <w:rFonts w:ascii="Calibri" w:hAnsi="Calibri" w:cs="Calibri"/>
          <w:sz w:val="24"/>
          <w:szCs w:val="24"/>
        </w:rPr>
        <w:t> </w:t>
      </w:r>
      <w:r w:rsidR="002042E9" w:rsidRPr="00624753">
        <w:rPr>
          <w:rFonts w:ascii="Calibri" w:hAnsi="Calibri" w:cs="Calibri"/>
          <w:sz w:val="24"/>
          <w:szCs w:val="24"/>
        </w:rPr>
        <w:t>; le troisième</w:t>
      </w:r>
      <w:r w:rsidR="00E504B7" w:rsidRPr="00624753">
        <w:rPr>
          <w:rFonts w:ascii="Calibri" w:hAnsi="Calibri" w:cs="Calibri"/>
          <w:sz w:val="24"/>
          <w:szCs w:val="24"/>
        </w:rPr>
        <w:t xml:space="preserve"> </w:t>
      </w:r>
      <w:r w:rsidR="002042E9" w:rsidRPr="00624753">
        <w:rPr>
          <w:rFonts w:ascii="Calibri" w:hAnsi="Calibri" w:cs="Calibri"/>
          <w:sz w:val="24"/>
          <w:szCs w:val="24"/>
        </w:rPr>
        <w:t>(André</w:t>
      </w:r>
      <w:r w:rsidR="00EB6174" w:rsidRPr="00624753">
        <w:rPr>
          <w:rFonts w:ascii="Calibri" w:hAnsi="Calibri" w:cs="Calibri"/>
          <w:sz w:val="24"/>
          <w:szCs w:val="24"/>
        </w:rPr>
        <w:t> </w:t>
      </w:r>
      <w:r w:rsidR="002042E9" w:rsidRPr="00624753">
        <w:rPr>
          <w:rFonts w:ascii="Calibri" w:hAnsi="Calibri" w:cs="Calibri"/>
          <w:sz w:val="24"/>
          <w:szCs w:val="24"/>
        </w:rPr>
        <w:t>1957-1958)</w:t>
      </w:r>
      <w:r w:rsidR="001D1D98" w:rsidRPr="00624753">
        <w:rPr>
          <w:rFonts w:ascii="Calibri" w:hAnsi="Calibri" w:cs="Calibri"/>
          <w:sz w:val="24"/>
          <w:szCs w:val="24"/>
        </w:rPr>
        <w:t>, qui</w:t>
      </w:r>
      <w:r w:rsidR="002042E9" w:rsidRPr="00624753">
        <w:rPr>
          <w:rFonts w:ascii="Calibri" w:hAnsi="Calibri" w:cs="Calibri"/>
          <w:sz w:val="24"/>
          <w:szCs w:val="24"/>
        </w:rPr>
        <w:t xml:space="preserve"> relève de l’élucidation, </w:t>
      </w:r>
      <w:r w:rsidR="001D1D98" w:rsidRPr="00624753">
        <w:rPr>
          <w:rFonts w:ascii="Calibri" w:hAnsi="Calibri" w:cs="Calibri"/>
          <w:sz w:val="24"/>
          <w:szCs w:val="24"/>
        </w:rPr>
        <w:t>crée</w:t>
      </w:r>
      <w:r w:rsidR="002042E9" w:rsidRPr="00624753">
        <w:rPr>
          <w:rFonts w:ascii="Calibri" w:hAnsi="Calibri" w:cs="Calibri"/>
          <w:sz w:val="24"/>
          <w:szCs w:val="24"/>
        </w:rPr>
        <w:t xml:space="preserve"> un effet de surprise </w:t>
      </w:r>
      <w:r w:rsidR="001D1D98" w:rsidRPr="00624753">
        <w:rPr>
          <w:rFonts w:ascii="Calibri" w:hAnsi="Calibri" w:cs="Calibri"/>
          <w:sz w:val="24"/>
          <w:szCs w:val="24"/>
        </w:rPr>
        <w:t>au moyen d’</w:t>
      </w:r>
      <w:r w:rsidR="002042E9" w:rsidRPr="00624753">
        <w:rPr>
          <w:rFonts w:ascii="Calibri" w:hAnsi="Calibri" w:cs="Calibri"/>
          <w:sz w:val="24"/>
          <w:szCs w:val="24"/>
        </w:rPr>
        <w:t xml:space="preserve">une résolution </w:t>
      </w:r>
      <w:r w:rsidR="001D1D98" w:rsidRPr="00624753">
        <w:rPr>
          <w:rFonts w:ascii="Calibri" w:hAnsi="Calibri" w:cs="Calibri"/>
          <w:sz w:val="24"/>
          <w:szCs w:val="24"/>
        </w:rPr>
        <w:t>rebattant les cartes du</w:t>
      </w:r>
      <w:r w:rsidR="002042E9" w:rsidRPr="00624753">
        <w:rPr>
          <w:rFonts w:ascii="Calibri" w:hAnsi="Calibri" w:cs="Calibri"/>
          <w:sz w:val="24"/>
          <w:szCs w:val="24"/>
        </w:rPr>
        <w:t xml:space="preserve"> problème.</w:t>
      </w:r>
    </w:p>
    <w:p w14:paraId="11C38763" w14:textId="52CD15FA" w:rsidR="00597E01" w:rsidRPr="00624753" w:rsidRDefault="00642AE7" w:rsidP="002A699F">
      <w:pPr>
        <w:jc w:val="both"/>
        <w:rPr>
          <w:rFonts w:ascii="Calibri" w:hAnsi="Calibri" w:cs="Calibri"/>
          <w:sz w:val="24"/>
          <w:szCs w:val="24"/>
        </w:rPr>
      </w:pPr>
      <w:r w:rsidRPr="00624753">
        <w:rPr>
          <w:rFonts w:ascii="Calibri" w:hAnsi="Calibri" w:cs="Calibri"/>
          <w:sz w:val="24"/>
          <w:szCs w:val="24"/>
        </w:rPr>
        <w:t>Sous le titre «</w:t>
      </w:r>
      <w:r w:rsidR="00EB6174" w:rsidRPr="00624753">
        <w:rPr>
          <w:rFonts w:ascii="Calibri" w:hAnsi="Calibri" w:cs="Calibri"/>
          <w:sz w:val="24"/>
          <w:szCs w:val="24"/>
        </w:rPr>
        <w:t> </w:t>
      </w:r>
      <w:r w:rsidRPr="00624753">
        <w:rPr>
          <w:rFonts w:ascii="Calibri" w:hAnsi="Calibri" w:cs="Calibri"/>
          <w:sz w:val="24"/>
          <w:szCs w:val="24"/>
        </w:rPr>
        <w:t>Des gestes aux imaginaires</w:t>
      </w:r>
      <w:r w:rsidR="00EB6174" w:rsidRPr="00624753">
        <w:rPr>
          <w:rFonts w:ascii="Calibri" w:hAnsi="Calibri" w:cs="Calibri"/>
          <w:sz w:val="24"/>
          <w:szCs w:val="24"/>
        </w:rPr>
        <w:t> </w:t>
      </w:r>
      <w:r w:rsidRPr="00624753">
        <w:rPr>
          <w:rFonts w:ascii="Calibri" w:hAnsi="Calibri" w:cs="Calibri"/>
          <w:sz w:val="24"/>
          <w:szCs w:val="24"/>
        </w:rPr>
        <w:t>», la deuxième partie de l’ouvrage porte davantage sur la notion d’imaginaire en linguistique. En particulier et transversalement aux trois chapitres que comprend cette partie, Lttr13 souligne l’influence des sciences naturelles et l’importance de l’imaginaire du vivant.</w:t>
      </w:r>
      <w:r w:rsidR="00414779" w:rsidRPr="00624753">
        <w:rPr>
          <w:rFonts w:ascii="Calibri" w:hAnsi="Calibri" w:cs="Calibri"/>
          <w:sz w:val="24"/>
          <w:szCs w:val="24"/>
        </w:rPr>
        <w:t xml:space="preserve"> C’est justement la biolinguistique qui est </w:t>
      </w:r>
      <w:r w:rsidR="009B1CF6" w:rsidRPr="00624753">
        <w:rPr>
          <w:rFonts w:ascii="Calibri" w:hAnsi="Calibri" w:cs="Calibri"/>
          <w:sz w:val="24"/>
          <w:szCs w:val="24"/>
        </w:rPr>
        <w:t>étudiée</w:t>
      </w:r>
      <w:r w:rsidR="00414779" w:rsidRPr="00624753">
        <w:rPr>
          <w:rFonts w:ascii="Calibri" w:hAnsi="Calibri" w:cs="Calibri"/>
          <w:sz w:val="24"/>
          <w:szCs w:val="24"/>
        </w:rPr>
        <w:t xml:space="preserve"> dans le quatrième chapitre (p.</w:t>
      </w:r>
      <w:r w:rsidR="00EB6174" w:rsidRPr="00624753">
        <w:rPr>
          <w:rFonts w:ascii="Calibri" w:hAnsi="Calibri" w:cs="Calibri"/>
          <w:sz w:val="24"/>
          <w:szCs w:val="24"/>
        </w:rPr>
        <w:t> </w:t>
      </w:r>
      <w:r w:rsidR="00EF6A4A" w:rsidRPr="00624753">
        <w:rPr>
          <w:rFonts w:ascii="Calibri" w:hAnsi="Calibri" w:cs="Calibri"/>
          <w:sz w:val="24"/>
          <w:szCs w:val="24"/>
        </w:rPr>
        <w:t>109-144)</w:t>
      </w:r>
      <w:r w:rsidR="00041289" w:rsidRPr="00624753">
        <w:rPr>
          <w:rFonts w:ascii="Calibri" w:hAnsi="Calibri" w:cs="Calibri"/>
          <w:sz w:val="24"/>
          <w:szCs w:val="24"/>
        </w:rPr>
        <w:t>.</w:t>
      </w:r>
      <w:r w:rsidR="00EF6A4A" w:rsidRPr="00624753">
        <w:rPr>
          <w:rFonts w:ascii="Calibri" w:hAnsi="Calibri" w:cs="Calibri"/>
          <w:sz w:val="24"/>
          <w:szCs w:val="24"/>
        </w:rPr>
        <w:t xml:space="preserve"> </w:t>
      </w:r>
      <w:r w:rsidR="00F31D2E" w:rsidRPr="00624753">
        <w:rPr>
          <w:rFonts w:ascii="Calibri" w:hAnsi="Calibri" w:cs="Calibri"/>
          <w:sz w:val="24"/>
          <w:szCs w:val="24"/>
        </w:rPr>
        <w:t>À partir de</w:t>
      </w:r>
      <w:r w:rsidR="00041289" w:rsidRPr="00624753">
        <w:rPr>
          <w:rFonts w:ascii="Calibri" w:hAnsi="Calibri" w:cs="Calibri"/>
          <w:sz w:val="24"/>
          <w:szCs w:val="24"/>
        </w:rPr>
        <w:t xml:space="preserve">s travaux de quatre </w:t>
      </w:r>
      <w:r w:rsidR="00F31D2E" w:rsidRPr="00624753">
        <w:rPr>
          <w:rFonts w:ascii="Calibri" w:hAnsi="Calibri" w:cs="Calibri"/>
          <w:sz w:val="24"/>
          <w:szCs w:val="24"/>
        </w:rPr>
        <w:t>représentants de ce courant</w:t>
      </w:r>
      <w:r w:rsidR="00C12DC0" w:rsidRPr="00624753">
        <w:rPr>
          <w:rFonts w:ascii="Calibri" w:hAnsi="Calibri" w:cs="Calibri"/>
          <w:sz w:val="24"/>
          <w:szCs w:val="24"/>
        </w:rPr>
        <w:t xml:space="preserve"> (</w:t>
      </w:r>
      <w:r w:rsidR="00B84521" w:rsidRPr="00624753">
        <w:rPr>
          <w:rFonts w:ascii="Calibri" w:hAnsi="Calibri" w:cs="Calibri"/>
          <w:sz w:val="24"/>
          <w:szCs w:val="24"/>
        </w:rPr>
        <w:t xml:space="preserve">Noam </w:t>
      </w:r>
      <w:r w:rsidR="00C12DC0" w:rsidRPr="00624753">
        <w:rPr>
          <w:rFonts w:ascii="Calibri" w:hAnsi="Calibri" w:cs="Calibri"/>
          <w:sz w:val="24"/>
          <w:szCs w:val="24"/>
        </w:rPr>
        <w:t xml:space="preserve">Chomsky, </w:t>
      </w:r>
      <w:r w:rsidR="00B84521" w:rsidRPr="00624753">
        <w:rPr>
          <w:rFonts w:ascii="Calibri" w:hAnsi="Calibri" w:cs="Calibri"/>
          <w:sz w:val="24"/>
          <w:szCs w:val="24"/>
        </w:rPr>
        <w:t xml:space="preserve">Talmy </w:t>
      </w:r>
      <w:r w:rsidR="00C12DC0" w:rsidRPr="00624753">
        <w:rPr>
          <w:rFonts w:ascii="Calibri" w:hAnsi="Calibri" w:cs="Calibri"/>
          <w:sz w:val="24"/>
          <w:szCs w:val="24"/>
        </w:rPr>
        <w:t xml:space="preserve">Givón, </w:t>
      </w:r>
      <w:r w:rsidR="00B84521" w:rsidRPr="00624753">
        <w:rPr>
          <w:rFonts w:ascii="Calibri" w:hAnsi="Calibri" w:cs="Calibri"/>
          <w:sz w:val="24"/>
          <w:szCs w:val="24"/>
        </w:rPr>
        <w:t xml:space="preserve">Salikoko S. </w:t>
      </w:r>
      <w:r w:rsidR="00C12DC0" w:rsidRPr="00624753">
        <w:rPr>
          <w:rFonts w:ascii="Calibri" w:hAnsi="Calibri" w:cs="Calibri"/>
          <w:sz w:val="24"/>
          <w:szCs w:val="24"/>
        </w:rPr>
        <w:t xml:space="preserve">Mufwene et </w:t>
      </w:r>
      <w:r w:rsidR="00B84521" w:rsidRPr="00624753">
        <w:rPr>
          <w:rFonts w:ascii="Calibri" w:hAnsi="Calibri" w:cs="Calibri"/>
          <w:sz w:val="24"/>
          <w:szCs w:val="24"/>
        </w:rPr>
        <w:t xml:space="preserve">William </w:t>
      </w:r>
      <w:r w:rsidR="00C12DC0" w:rsidRPr="00624753">
        <w:rPr>
          <w:rFonts w:ascii="Calibri" w:hAnsi="Calibri" w:cs="Calibri"/>
          <w:sz w:val="24"/>
          <w:szCs w:val="24"/>
        </w:rPr>
        <w:t>Croft)</w:t>
      </w:r>
      <w:r w:rsidR="00F31D2E" w:rsidRPr="00624753">
        <w:rPr>
          <w:rFonts w:ascii="Calibri" w:hAnsi="Calibri" w:cs="Calibri"/>
          <w:sz w:val="24"/>
          <w:szCs w:val="24"/>
        </w:rPr>
        <w:t>, les chercheurs identifient la manière dont ces derniers font usage de la modélisation, entendue comme «</w:t>
      </w:r>
      <w:r w:rsidR="00EB6174" w:rsidRPr="00624753">
        <w:rPr>
          <w:rFonts w:ascii="Calibri" w:hAnsi="Calibri" w:cs="Calibri"/>
          <w:sz w:val="24"/>
          <w:szCs w:val="24"/>
        </w:rPr>
        <w:t> </w:t>
      </w:r>
      <w:r w:rsidR="00F31D2E" w:rsidRPr="00624753">
        <w:rPr>
          <w:rFonts w:ascii="Calibri" w:hAnsi="Calibri" w:cs="Calibri"/>
          <w:sz w:val="24"/>
          <w:szCs w:val="24"/>
        </w:rPr>
        <w:t xml:space="preserve">cette pratique très concrète et spécifique par laquelle un </w:t>
      </w:r>
      <w:r w:rsidR="00F31D2E" w:rsidRPr="00624753">
        <w:rPr>
          <w:rFonts w:ascii="Calibri" w:hAnsi="Calibri" w:cs="Calibri"/>
          <w:i/>
          <w:iCs/>
          <w:sz w:val="24"/>
          <w:szCs w:val="24"/>
        </w:rPr>
        <w:t>mode de représentation</w:t>
      </w:r>
      <w:r w:rsidR="00F31D2E" w:rsidRPr="00624753">
        <w:rPr>
          <w:rFonts w:ascii="Calibri" w:hAnsi="Calibri" w:cs="Calibri"/>
          <w:sz w:val="24"/>
          <w:szCs w:val="24"/>
        </w:rPr>
        <w:t xml:space="preserve"> (en l’occurrence centré sur le temps perçu tel que l’exprime la notion de vie) investit un objet d’étude (en l’occurrence le langage et les langues)</w:t>
      </w:r>
      <w:r w:rsidR="00EB6174" w:rsidRPr="00624753">
        <w:rPr>
          <w:rFonts w:ascii="Calibri" w:hAnsi="Calibri" w:cs="Calibri"/>
          <w:sz w:val="24"/>
          <w:szCs w:val="24"/>
        </w:rPr>
        <w:t> </w:t>
      </w:r>
      <w:r w:rsidR="00F31D2E" w:rsidRPr="00624753">
        <w:rPr>
          <w:rFonts w:ascii="Calibri" w:hAnsi="Calibri" w:cs="Calibri"/>
          <w:sz w:val="24"/>
          <w:szCs w:val="24"/>
        </w:rPr>
        <w:t>» (p.</w:t>
      </w:r>
      <w:r w:rsidR="00F3614C" w:rsidRPr="00624753">
        <w:rPr>
          <w:rFonts w:ascii="Calibri" w:hAnsi="Calibri" w:cs="Calibri"/>
          <w:sz w:val="24"/>
          <w:szCs w:val="24"/>
        </w:rPr>
        <w:t> </w:t>
      </w:r>
      <w:r w:rsidR="00F31D2E" w:rsidRPr="00624753">
        <w:rPr>
          <w:rFonts w:ascii="Calibri" w:hAnsi="Calibri" w:cs="Calibri"/>
          <w:sz w:val="24"/>
          <w:szCs w:val="24"/>
        </w:rPr>
        <w:t>116).</w:t>
      </w:r>
      <w:r w:rsidR="00A32EDC" w:rsidRPr="00624753">
        <w:rPr>
          <w:rFonts w:ascii="Calibri" w:hAnsi="Calibri" w:cs="Calibri"/>
          <w:sz w:val="24"/>
          <w:szCs w:val="24"/>
        </w:rPr>
        <w:t xml:space="preserve"> Une typologie est alors proposée</w:t>
      </w:r>
      <w:r w:rsidR="00C12DC0" w:rsidRPr="00624753">
        <w:rPr>
          <w:rFonts w:ascii="Calibri" w:hAnsi="Calibri" w:cs="Calibri"/>
          <w:sz w:val="24"/>
          <w:szCs w:val="24"/>
        </w:rPr>
        <w:t>. C</w:t>
      </w:r>
      <w:r w:rsidR="00A32EDC" w:rsidRPr="00624753">
        <w:rPr>
          <w:rFonts w:ascii="Calibri" w:hAnsi="Calibri" w:cs="Calibri"/>
          <w:sz w:val="24"/>
          <w:szCs w:val="24"/>
        </w:rPr>
        <w:t xml:space="preserve">hez Chomsky, </w:t>
      </w:r>
      <w:r w:rsidR="00C12DC0" w:rsidRPr="00624753">
        <w:rPr>
          <w:rFonts w:ascii="Calibri" w:hAnsi="Calibri" w:cs="Calibri"/>
          <w:sz w:val="24"/>
          <w:szCs w:val="24"/>
        </w:rPr>
        <w:t>la modélisation est littérale</w:t>
      </w:r>
      <w:r w:rsidR="00C26319" w:rsidRPr="00624753">
        <w:rPr>
          <w:rFonts w:ascii="Calibri" w:hAnsi="Calibri" w:cs="Calibri"/>
          <w:sz w:val="24"/>
          <w:szCs w:val="24"/>
        </w:rPr>
        <w:t xml:space="preserve">, </w:t>
      </w:r>
      <w:r w:rsidR="006E7D16" w:rsidRPr="00624753">
        <w:rPr>
          <w:rFonts w:ascii="Calibri" w:hAnsi="Calibri" w:cs="Calibri"/>
          <w:sz w:val="24"/>
          <w:szCs w:val="24"/>
        </w:rPr>
        <w:t xml:space="preserve">les concepts </w:t>
      </w:r>
      <w:r w:rsidR="00C26319" w:rsidRPr="00624753">
        <w:rPr>
          <w:rFonts w:ascii="Calibri" w:hAnsi="Calibri" w:cs="Calibri"/>
          <w:sz w:val="24"/>
          <w:szCs w:val="24"/>
        </w:rPr>
        <w:t>maintenant</w:t>
      </w:r>
      <w:r w:rsidR="006E7D16" w:rsidRPr="00624753">
        <w:rPr>
          <w:rFonts w:ascii="Calibri" w:hAnsi="Calibri" w:cs="Calibri"/>
          <w:sz w:val="24"/>
          <w:szCs w:val="24"/>
        </w:rPr>
        <w:t xml:space="preserve"> le</w:t>
      </w:r>
      <w:r w:rsidR="00C26319" w:rsidRPr="00624753">
        <w:rPr>
          <w:rFonts w:ascii="Calibri" w:hAnsi="Calibri" w:cs="Calibri"/>
          <w:sz w:val="24"/>
          <w:szCs w:val="24"/>
        </w:rPr>
        <w:t>ur</w:t>
      </w:r>
      <w:r w:rsidR="006E7D16" w:rsidRPr="00624753">
        <w:rPr>
          <w:rFonts w:ascii="Calibri" w:hAnsi="Calibri" w:cs="Calibri"/>
          <w:sz w:val="24"/>
          <w:szCs w:val="24"/>
        </w:rPr>
        <w:t xml:space="preserve"> sens </w:t>
      </w:r>
      <w:r w:rsidR="00C26319" w:rsidRPr="00624753">
        <w:rPr>
          <w:rFonts w:ascii="Calibri" w:hAnsi="Calibri" w:cs="Calibri"/>
          <w:sz w:val="24"/>
          <w:szCs w:val="24"/>
        </w:rPr>
        <w:t>biologique originel</w:t>
      </w:r>
      <w:r w:rsidR="006E7D16" w:rsidRPr="00624753">
        <w:rPr>
          <w:rFonts w:ascii="Calibri" w:hAnsi="Calibri" w:cs="Calibri"/>
          <w:sz w:val="24"/>
          <w:szCs w:val="24"/>
        </w:rPr>
        <w:t>.</w:t>
      </w:r>
      <w:r w:rsidR="00523483" w:rsidRPr="00624753">
        <w:rPr>
          <w:rFonts w:ascii="Calibri" w:hAnsi="Calibri" w:cs="Calibri"/>
          <w:sz w:val="24"/>
          <w:szCs w:val="24"/>
        </w:rPr>
        <w:t xml:space="preserve"> À l’inverse, chez Givón, les emprunts à la biologie sont métaphoriques : il s’agit de légitimer un programme de recherche. Mufwene et Croft se situent entre ces deux extrêmes</w:t>
      </w:r>
      <w:r w:rsidR="009367D5" w:rsidRPr="00624753">
        <w:rPr>
          <w:rFonts w:ascii="Calibri" w:hAnsi="Calibri" w:cs="Calibri"/>
          <w:sz w:val="24"/>
          <w:szCs w:val="24"/>
        </w:rPr>
        <w:t xml:space="preserve">. D’un côté, Mufwene </w:t>
      </w:r>
      <w:r w:rsidR="00597E01" w:rsidRPr="00624753">
        <w:rPr>
          <w:rFonts w:ascii="Calibri" w:hAnsi="Calibri" w:cs="Calibri"/>
          <w:sz w:val="24"/>
          <w:szCs w:val="24"/>
        </w:rPr>
        <w:t>privilégie l’analogie</w:t>
      </w:r>
      <w:r w:rsidR="00C26319" w:rsidRPr="00624753">
        <w:rPr>
          <w:rFonts w:ascii="Calibri" w:hAnsi="Calibri" w:cs="Calibri"/>
          <w:sz w:val="24"/>
          <w:szCs w:val="24"/>
        </w:rPr>
        <w:t xml:space="preserve">. Malgré plusieurs ambigüités quant à son positionnement, </w:t>
      </w:r>
      <w:r w:rsidR="00597E01" w:rsidRPr="00624753">
        <w:rPr>
          <w:rFonts w:ascii="Calibri" w:hAnsi="Calibri" w:cs="Calibri"/>
          <w:sz w:val="24"/>
          <w:szCs w:val="24"/>
        </w:rPr>
        <w:t>le linguiste s’appuie sur des concepts de la biologie, recalibrés et redéfinis pour la linguistique</w:t>
      </w:r>
      <w:r w:rsidR="00C26319" w:rsidRPr="00624753">
        <w:rPr>
          <w:rFonts w:ascii="Calibri" w:hAnsi="Calibri" w:cs="Calibri"/>
          <w:sz w:val="24"/>
          <w:szCs w:val="24"/>
        </w:rPr>
        <w:t>. De l’autre, Croft propose une modélisation homologique : à partir de principes darwiniens abstraits, il est question d’une théorie générale de l’évolution applicable aux objets linguistiques et biologiques.</w:t>
      </w:r>
      <w:r w:rsidR="00DB427B" w:rsidRPr="00624753">
        <w:rPr>
          <w:rFonts w:ascii="Calibri" w:hAnsi="Calibri" w:cs="Calibri"/>
          <w:sz w:val="24"/>
          <w:szCs w:val="24"/>
        </w:rPr>
        <w:t xml:space="preserve"> Plus généralement, le discours de la biolinguist</w:t>
      </w:r>
      <w:r w:rsidR="00BA06C3" w:rsidRPr="00624753">
        <w:rPr>
          <w:rFonts w:ascii="Calibri" w:hAnsi="Calibri" w:cs="Calibri"/>
          <w:sz w:val="24"/>
          <w:szCs w:val="24"/>
        </w:rPr>
        <w:t>ique</w:t>
      </w:r>
      <w:r w:rsidR="00DB427B" w:rsidRPr="00624753">
        <w:rPr>
          <w:rFonts w:ascii="Calibri" w:hAnsi="Calibri" w:cs="Calibri"/>
          <w:sz w:val="24"/>
          <w:szCs w:val="24"/>
        </w:rPr>
        <w:t xml:space="preserve"> mobilise un imaginaire </w:t>
      </w:r>
      <w:r w:rsidR="000A369B" w:rsidRPr="00624753">
        <w:rPr>
          <w:rFonts w:ascii="Calibri" w:hAnsi="Calibri" w:cs="Calibri"/>
          <w:sz w:val="24"/>
          <w:szCs w:val="24"/>
        </w:rPr>
        <w:t>partagé</w:t>
      </w:r>
      <w:r w:rsidR="00DB427B" w:rsidRPr="00624753">
        <w:rPr>
          <w:rFonts w:ascii="Calibri" w:hAnsi="Calibri" w:cs="Calibri"/>
          <w:sz w:val="24"/>
          <w:szCs w:val="24"/>
        </w:rPr>
        <w:t>, notamment caractérisé par l’insistance de l’explication, par le recours à la figure fondatrice de Darwin et par un certain optimisme social.</w:t>
      </w:r>
    </w:p>
    <w:p w14:paraId="5AEF7ECF" w14:textId="0FA34430" w:rsidR="004F5BA5" w:rsidRPr="00624753" w:rsidRDefault="0057064A" w:rsidP="002A699F">
      <w:pPr>
        <w:jc w:val="both"/>
        <w:rPr>
          <w:rFonts w:ascii="Calibri" w:hAnsi="Calibri" w:cs="Calibri"/>
          <w:sz w:val="24"/>
          <w:szCs w:val="24"/>
        </w:rPr>
      </w:pPr>
      <w:r w:rsidRPr="00624753">
        <w:rPr>
          <w:rFonts w:ascii="Calibri" w:hAnsi="Calibri" w:cs="Calibri"/>
          <w:sz w:val="24"/>
          <w:szCs w:val="24"/>
        </w:rPr>
        <w:t>C’est à un autre courant, la typologie linguistique, qu’est consacré le cinquième chapitre (p.</w:t>
      </w:r>
      <w:r w:rsidR="00EB6174" w:rsidRPr="00624753">
        <w:rPr>
          <w:rFonts w:ascii="Calibri" w:hAnsi="Calibri" w:cs="Calibri"/>
          <w:sz w:val="24"/>
          <w:szCs w:val="24"/>
        </w:rPr>
        <w:t> </w:t>
      </w:r>
      <w:r w:rsidRPr="00624753">
        <w:rPr>
          <w:rFonts w:ascii="Calibri" w:hAnsi="Calibri" w:cs="Calibri"/>
          <w:sz w:val="24"/>
          <w:szCs w:val="24"/>
        </w:rPr>
        <w:t>145</w:t>
      </w:r>
      <w:r w:rsidR="002A699F" w:rsidRPr="00624753">
        <w:rPr>
          <w:rFonts w:ascii="Calibri" w:hAnsi="Calibri" w:cs="Calibri"/>
          <w:sz w:val="24"/>
          <w:szCs w:val="24"/>
        </w:rPr>
        <w:noBreakHyphen/>
      </w:r>
      <w:r w:rsidRPr="00624753">
        <w:rPr>
          <w:rFonts w:ascii="Calibri" w:hAnsi="Calibri" w:cs="Calibri"/>
          <w:sz w:val="24"/>
          <w:szCs w:val="24"/>
        </w:rPr>
        <w:t xml:space="preserve">188). </w:t>
      </w:r>
      <w:r w:rsidR="009474F1" w:rsidRPr="00624753">
        <w:rPr>
          <w:rFonts w:ascii="Calibri" w:hAnsi="Calibri" w:cs="Calibri"/>
          <w:sz w:val="24"/>
          <w:szCs w:val="24"/>
        </w:rPr>
        <w:t>La</w:t>
      </w:r>
      <w:r w:rsidR="006C5B11" w:rsidRPr="00624753">
        <w:rPr>
          <w:rFonts w:ascii="Calibri" w:hAnsi="Calibri" w:cs="Calibri"/>
          <w:sz w:val="24"/>
          <w:szCs w:val="24"/>
        </w:rPr>
        <w:t xml:space="preserve"> discipline connait des pratiques de savoir diversifiées, de la description des traits d’un système à la classification des langues et à l’identification d’invariants linguistiques.</w:t>
      </w:r>
      <w:r w:rsidR="00AD0370" w:rsidRPr="00624753">
        <w:rPr>
          <w:rFonts w:ascii="Calibri" w:hAnsi="Calibri" w:cs="Calibri"/>
          <w:sz w:val="24"/>
          <w:szCs w:val="24"/>
        </w:rPr>
        <w:t xml:space="preserve"> L’histoire de la typologie, rappelée</w:t>
      </w:r>
      <w:r w:rsidR="007C30A3" w:rsidRPr="00624753">
        <w:rPr>
          <w:rFonts w:ascii="Calibri" w:hAnsi="Calibri" w:cs="Calibri"/>
          <w:sz w:val="24"/>
          <w:szCs w:val="24"/>
        </w:rPr>
        <w:t xml:space="preserve"> synthétiquement</w:t>
      </w:r>
      <w:r w:rsidR="00AD0370" w:rsidRPr="00624753">
        <w:rPr>
          <w:rFonts w:ascii="Calibri" w:hAnsi="Calibri" w:cs="Calibri"/>
          <w:sz w:val="24"/>
          <w:szCs w:val="24"/>
        </w:rPr>
        <w:t>, démontre</w:t>
      </w:r>
      <w:r w:rsidR="0034457B" w:rsidRPr="00624753">
        <w:rPr>
          <w:rFonts w:ascii="Calibri" w:hAnsi="Calibri" w:cs="Calibri"/>
          <w:sz w:val="24"/>
          <w:szCs w:val="24"/>
        </w:rPr>
        <w:t xml:space="preserve"> </w:t>
      </w:r>
      <w:r w:rsidR="000A369B" w:rsidRPr="00624753">
        <w:rPr>
          <w:rFonts w:ascii="Calibri" w:hAnsi="Calibri" w:cs="Calibri"/>
          <w:sz w:val="24"/>
          <w:szCs w:val="24"/>
        </w:rPr>
        <w:t>l’existence d’un imaginaire commun articulant à des dosages variés ces pratiques.</w:t>
      </w:r>
      <w:r w:rsidR="00340C11" w:rsidRPr="00624753">
        <w:rPr>
          <w:rFonts w:ascii="Calibri" w:hAnsi="Calibri" w:cs="Calibri"/>
          <w:sz w:val="24"/>
          <w:szCs w:val="24"/>
        </w:rPr>
        <w:t xml:space="preserve"> L’analyse de Lttr13 se focalise sur un </w:t>
      </w:r>
      <w:r w:rsidR="00AC0F3B" w:rsidRPr="00624753">
        <w:rPr>
          <w:rFonts w:ascii="Calibri" w:hAnsi="Calibri" w:cs="Calibri"/>
          <w:sz w:val="24"/>
          <w:szCs w:val="24"/>
        </w:rPr>
        <w:t>év</w:t>
      </w:r>
      <w:r w:rsidR="00EB6174" w:rsidRPr="00624753">
        <w:rPr>
          <w:rFonts w:ascii="Calibri" w:hAnsi="Calibri" w:cs="Calibri"/>
          <w:sz w:val="24"/>
          <w:szCs w:val="24"/>
        </w:rPr>
        <w:t>è</w:t>
      </w:r>
      <w:r w:rsidR="00AC0F3B" w:rsidRPr="00624753">
        <w:rPr>
          <w:rFonts w:ascii="Calibri" w:hAnsi="Calibri" w:cs="Calibri"/>
          <w:sz w:val="24"/>
          <w:szCs w:val="24"/>
        </w:rPr>
        <w:t>nement</w:t>
      </w:r>
      <w:r w:rsidR="00340C11" w:rsidRPr="00624753">
        <w:rPr>
          <w:rFonts w:ascii="Calibri" w:hAnsi="Calibri" w:cs="Calibri"/>
          <w:sz w:val="24"/>
          <w:szCs w:val="24"/>
        </w:rPr>
        <w:t xml:space="preserve"> cristallisant des enjeux </w:t>
      </w:r>
      <w:r w:rsidR="009936BD" w:rsidRPr="00624753">
        <w:rPr>
          <w:rFonts w:ascii="Calibri" w:hAnsi="Calibri" w:cs="Calibri"/>
          <w:sz w:val="24"/>
          <w:szCs w:val="24"/>
        </w:rPr>
        <w:t xml:space="preserve">rhétoriques, théoriques </w:t>
      </w:r>
      <w:r w:rsidR="00340C11" w:rsidRPr="00624753">
        <w:rPr>
          <w:rFonts w:ascii="Calibri" w:hAnsi="Calibri" w:cs="Calibri"/>
          <w:sz w:val="24"/>
          <w:szCs w:val="24"/>
        </w:rPr>
        <w:t>et épistémiques :</w:t>
      </w:r>
      <w:r w:rsidR="009936BD" w:rsidRPr="00624753">
        <w:rPr>
          <w:rFonts w:ascii="Calibri" w:hAnsi="Calibri" w:cs="Calibri"/>
          <w:sz w:val="24"/>
          <w:szCs w:val="24"/>
        </w:rPr>
        <w:t xml:space="preserve"> le débat qui eut lieu </w:t>
      </w:r>
      <w:r w:rsidR="00A662BF" w:rsidRPr="00624753">
        <w:rPr>
          <w:rFonts w:ascii="Calibri" w:hAnsi="Calibri" w:cs="Calibri"/>
          <w:sz w:val="24"/>
          <w:szCs w:val="24"/>
        </w:rPr>
        <w:t>au début de l’année</w:t>
      </w:r>
      <w:r w:rsidR="00EB6174" w:rsidRPr="00624753">
        <w:rPr>
          <w:rFonts w:ascii="Calibri" w:hAnsi="Calibri" w:cs="Calibri"/>
          <w:sz w:val="24"/>
          <w:szCs w:val="24"/>
        </w:rPr>
        <w:t> </w:t>
      </w:r>
      <w:r w:rsidR="009936BD" w:rsidRPr="00624753">
        <w:rPr>
          <w:rFonts w:ascii="Calibri" w:hAnsi="Calibri" w:cs="Calibri"/>
          <w:sz w:val="24"/>
          <w:szCs w:val="24"/>
        </w:rPr>
        <w:t xml:space="preserve">2016 sur le forum de discussion Lingtyp à propos des concepts comparatifs (angl. </w:t>
      </w:r>
      <w:r w:rsidR="009936BD" w:rsidRPr="00624753">
        <w:rPr>
          <w:rFonts w:ascii="Calibri" w:hAnsi="Calibri" w:cs="Calibri"/>
          <w:i/>
          <w:iCs/>
          <w:sz w:val="24"/>
          <w:szCs w:val="24"/>
        </w:rPr>
        <w:t>comparative concepts</w:t>
      </w:r>
      <w:r w:rsidR="009936BD" w:rsidRPr="00624753">
        <w:rPr>
          <w:rFonts w:ascii="Calibri" w:hAnsi="Calibri" w:cs="Calibri"/>
          <w:sz w:val="24"/>
          <w:szCs w:val="24"/>
        </w:rPr>
        <w:t>)</w:t>
      </w:r>
      <w:r w:rsidR="00B41591" w:rsidRPr="00624753">
        <w:rPr>
          <w:rFonts w:ascii="Calibri" w:hAnsi="Calibri" w:cs="Calibri"/>
          <w:sz w:val="24"/>
          <w:szCs w:val="24"/>
        </w:rPr>
        <w:t>, centraux dans la discipline</w:t>
      </w:r>
      <w:r w:rsidR="009936BD" w:rsidRPr="00624753">
        <w:rPr>
          <w:rFonts w:ascii="Calibri" w:hAnsi="Calibri" w:cs="Calibri"/>
          <w:sz w:val="24"/>
          <w:szCs w:val="24"/>
        </w:rPr>
        <w:t>. Ceux-ci désignent «</w:t>
      </w:r>
      <w:r w:rsidR="00EB6174" w:rsidRPr="00624753">
        <w:rPr>
          <w:rFonts w:ascii="Calibri" w:hAnsi="Calibri" w:cs="Calibri"/>
          <w:sz w:val="24"/>
          <w:szCs w:val="24"/>
        </w:rPr>
        <w:t> </w:t>
      </w:r>
      <w:r w:rsidR="009936BD" w:rsidRPr="00624753">
        <w:rPr>
          <w:rFonts w:ascii="Calibri" w:hAnsi="Calibri" w:cs="Calibri"/>
          <w:sz w:val="24"/>
          <w:szCs w:val="24"/>
        </w:rPr>
        <w:t xml:space="preserve">des catégories abstraites dont on observe la </w:t>
      </w:r>
      <w:r w:rsidR="009936BD" w:rsidRPr="00624753">
        <w:rPr>
          <w:rFonts w:ascii="Calibri" w:hAnsi="Calibri" w:cs="Calibri"/>
          <w:i/>
          <w:iCs/>
          <w:sz w:val="24"/>
          <w:szCs w:val="24"/>
        </w:rPr>
        <w:t>distribution</w:t>
      </w:r>
      <w:r w:rsidR="009936BD" w:rsidRPr="00624753">
        <w:rPr>
          <w:rFonts w:ascii="Calibri" w:hAnsi="Calibri" w:cs="Calibri"/>
          <w:sz w:val="24"/>
          <w:szCs w:val="24"/>
        </w:rPr>
        <w:t xml:space="preserve"> dans les langues particulières</w:t>
      </w:r>
      <w:r w:rsidR="00EB6174" w:rsidRPr="00624753">
        <w:rPr>
          <w:rFonts w:ascii="Calibri" w:hAnsi="Calibri" w:cs="Calibri"/>
          <w:sz w:val="24"/>
          <w:szCs w:val="24"/>
        </w:rPr>
        <w:t> </w:t>
      </w:r>
      <w:r w:rsidR="009936BD" w:rsidRPr="00624753">
        <w:rPr>
          <w:rFonts w:ascii="Calibri" w:hAnsi="Calibri" w:cs="Calibri"/>
          <w:sz w:val="24"/>
          <w:szCs w:val="24"/>
        </w:rPr>
        <w:t>» (p.</w:t>
      </w:r>
      <w:r w:rsidR="00EB6174" w:rsidRPr="00624753">
        <w:rPr>
          <w:rFonts w:ascii="Calibri" w:hAnsi="Calibri" w:cs="Calibri"/>
          <w:sz w:val="24"/>
          <w:szCs w:val="24"/>
        </w:rPr>
        <w:t> </w:t>
      </w:r>
      <w:r w:rsidR="009936BD" w:rsidRPr="00624753">
        <w:rPr>
          <w:rFonts w:ascii="Calibri" w:hAnsi="Calibri" w:cs="Calibri"/>
          <w:sz w:val="24"/>
          <w:szCs w:val="24"/>
        </w:rPr>
        <w:t xml:space="preserve">171), qui ne sont donc pas réductibles à des traits empiriques ou </w:t>
      </w:r>
      <w:r w:rsidR="0045598E" w:rsidRPr="00624753">
        <w:rPr>
          <w:rFonts w:ascii="Calibri" w:hAnsi="Calibri" w:cs="Calibri"/>
          <w:sz w:val="24"/>
          <w:szCs w:val="24"/>
        </w:rPr>
        <w:t xml:space="preserve">à </w:t>
      </w:r>
      <w:r w:rsidR="009936BD" w:rsidRPr="00624753">
        <w:rPr>
          <w:rFonts w:ascii="Calibri" w:hAnsi="Calibri" w:cs="Calibri"/>
          <w:sz w:val="24"/>
          <w:szCs w:val="24"/>
        </w:rPr>
        <w:t>des universaux</w:t>
      </w:r>
      <w:r w:rsidR="0045598E" w:rsidRPr="00624753">
        <w:rPr>
          <w:rFonts w:ascii="Calibri" w:hAnsi="Calibri" w:cs="Calibri"/>
          <w:sz w:val="24"/>
          <w:szCs w:val="24"/>
        </w:rPr>
        <w:t xml:space="preserve"> du langage</w:t>
      </w:r>
      <w:r w:rsidR="009936BD" w:rsidRPr="00624753">
        <w:rPr>
          <w:rFonts w:ascii="Calibri" w:hAnsi="Calibri" w:cs="Calibri"/>
          <w:sz w:val="24"/>
          <w:szCs w:val="24"/>
        </w:rPr>
        <w:t>.</w:t>
      </w:r>
      <w:r w:rsidR="00DD66CA" w:rsidRPr="00624753">
        <w:rPr>
          <w:rFonts w:ascii="Calibri" w:hAnsi="Calibri" w:cs="Calibri"/>
          <w:sz w:val="24"/>
          <w:szCs w:val="24"/>
        </w:rPr>
        <w:t xml:space="preserve"> </w:t>
      </w:r>
      <w:r w:rsidR="009474F1" w:rsidRPr="00624753">
        <w:rPr>
          <w:rFonts w:ascii="Calibri" w:hAnsi="Calibri" w:cs="Calibri"/>
          <w:sz w:val="24"/>
          <w:szCs w:val="24"/>
        </w:rPr>
        <w:t>Plusieurs</w:t>
      </w:r>
      <w:r w:rsidR="000865EA" w:rsidRPr="00624753">
        <w:rPr>
          <w:rFonts w:ascii="Calibri" w:hAnsi="Calibri" w:cs="Calibri"/>
          <w:sz w:val="24"/>
          <w:szCs w:val="24"/>
        </w:rPr>
        <w:t xml:space="preserve"> gestes</w:t>
      </w:r>
      <w:r w:rsidR="00E602CB" w:rsidRPr="00624753">
        <w:rPr>
          <w:rFonts w:ascii="Calibri" w:hAnsi="Calibri" w:cs="Calibri"/>
          <w:sz w:val="24"/>
          <w:szCs w:val="24"/>
        </w:rPr>
        <w:t xml:space="preserve"> discursifs</w:t>
      </w:r>
      <w:r w:rsidR="0057144A" w:rsidRPr="00624753">
        <w:rPr>
          <w:rFonts w:ascii="Calibri" w:hAnsi="Calibri" w:cs="Calibri"/>
          <w:sz w:val="24"/>
          <w:szCs w:val="24"/>
        </w:rPr>
        <w:t>,</w:t>
      </w:r>
      <w:r w:rsidR="00E602CB" w:rsidRPr="00624753">
        <w:rPr>
          <w:rFonts w:ascii="Calibri" w:hAnsi="Calibri" w:cs="Calibri"/>
          <w:sz w:val="24"/>
          <w:szCs w:val="24"/>
        </w:rPr>
        <w:t xml:space="preserve"> en ce compris péri- ou extra-disciplinaires, </w:t>
      </w:r>
      <w:r w:rsidR="000865EA" w:rsidRPr="00624753">
        <w:rPr>
          <w:rFonts w:ascii="Calibri" w:hAnsi="Calibri" w:cs="Calibri"/>
          <w:sz w:val="24"/>
          <w:szCs w:val="24"/>
        </w:rPr>
        <w:t>sont identifiés</w:t>
      </w:r>
      <w:r w:rsidR="00E46CA9" w:rsidRPr="00624753">
        <w:rPr>
          <w:rFonts w:ascii="Calibri" w:hAnsi="Calibri" w:cs="Calibri"/>
          <w:sz w:val="24"/>
          <w:szCs w:val="24"/>
        </w:rPr>
        <w:t xml:space="preserve"> et révèlent la dimension passionnelle de la pratique de savoir.</w:t>
      </w:r>
    </w:p>
    <w:p w14:paraId="79E0207D" w14:textId="4700C998" w:rsidR="00830D97" w:rsidRDefault="00913CD6" w:rsidP="002A699F">
      <w:pPr>
        <w:jc w:val="both"/>
        <w:rPr>
          <w:rFonts w:ascii="Calibri" w:hAnsi="Calibri" w:cs="Calibri"/>
          <w:sz w:val="24"/>
          <w:szCs w:val="24"/>
        </w:rPr>
      </w:pPr>
      <w:r w:rsidRPr="00624753">
        <w:rPr>
          <w:rFonts w:ascii="Calibri" w:hAnsi="Calibri" w:cs="Calibri"/>
          <w:sz w:val="24"/>
          <w:szCs w:val="24"/>
        </w:rPr>
        <w:lastRenderedPageBreak/>
        <w:t xml:space="preserve">Dans le dernier chapitre, les trois chercheurs </w:t>
      </w:r>
      <w:r w:rsidR="00F24425" w:rsidRPr="00624753">
        <w:rPr>
          <w:rFonts w:ascii="Calibri" w:hAnsi="Calibri" w:cs="Calibri"/>
          <w:sz w:val="24"/>
          <w:szCs w:val="24"/>
        </w:rPr>
        <w:t>étudient</w:t>
      </w:r>
      <w:r w:rsidRPr="00624753">
        <w:rPr>
          <w:rFonts w:ascii="Calibri" w:hAnsi="Calibri" w:cs="Calibri"/>
          <w:sz w:val="24"/>
          <w:szCs w:val="24"/>
        </w:rPr>
        <w:t xml:space="preserve"> la grammaire générative par le biais de la thématisation de son historicité (p.</w:t>
      </w:r>
      <w:r w:rsidR="00EB6174" w:rsidRPr="00624753">
        <w:rPr>
          <w:rFonts w:ascii="Calibri" w:hAnsi="Calibri" w:cs="Calibri"/>
          <w:sz w:val="24"/>
          <w:szCs w:val="24"/>
        </w:rPr>
        <w:t> </w:t>
      </w:r>
      <w:r w:rsidRPr="00624753">
        <w:rPr>
          <w:rFonts w:ascii="Calibri" w:hAnsi="Calibri" w:cs="Calibri"/>
          <w:sz w:val="24"/>
          <w:szCs w:val="24"/>
        </w:rPr>
        <w:t xml:space="preserve">189-228). Pour ce faire, </w:t>
      </w:r>
      <w:r w:rsidR="00F24425" w:rsidRPr="00624753">
        <w:rPr>
          <w:rFonts w:ascii="Calibri" w:hAnsi="Calibri" w:cs="Calibri"/>
          <w:sz w:val="24"/>
          <w:szCs w:val="24"/>
        </w:rPr>
        <w:t xml:space="preserve">ils procèdent à l’analyse des préfaces d’ouvrages de linguistique </w:t>
      </w:r>
      <w:r w:rsidR="00B316CD">
        <w:rPr>
          <w:rFonts w:ascii="Calibri" w:hAnsi="Calibri" w:cs="Calibri"/>
          <w:sz w:val="24"/>
          <w:szCs w:val="24"/>
        </w:rPr>
        <w:t>écrits ou coécrits par Noam Chomsky</w:t>
      </w:r>
      <w:r w:rsidR="00F24425" w:rsidRPr="00624753">
        <w:rPr>
          <w:rFonts w:ascii="Calibri" w:hAnsi="Calibri" w:cs="Calibri"/>
          <w:sz w:val="24"/>
          <w:szCs w:val="24"/>
        </w:rPr>
        <w:t xml:space="preserve">. Trois régimes d’historicité, plus ou moins </w:t>
      </w:r>
      <w:r w:rsidR="00277BA5" w:rsidRPr="00624753">
        <w:rPr>
          <w:rFonts w:ascii="Calibri" w:hAnsi="Calibri" w:cs="Calibri"/>
          <w:sz w:val="24"/>
          <w:szCs w:val="24"/>
        </w:rPr>
        <w:t>intensément énoncés</w:t>
      </w:r>
      <w:r w:rsidR="00334F4D" w:rsidRPr="00624753">
        <w:rPr>
          <w:rFonts w:ascii="Calibri" w:hAnsi="Calibri" w:cs="Calibri"/>
          <w:sz w:val="24"/>
          <w:szCs w:val="24"/>
        </w:rPr>
        <w:t>, sont distingués.</w:t>
      </w:r>
      <w:r w:rsidR="002E22AC" w:rsidRPr="00624753">
        <w:rPr>
          <w:rFonts w:ascii="Calibri" w:hAnsi="Calibri" w:cs="Calibri"/>
          <w:sz w:val="24"/>
          <w:szCs w:val="24"/>
        </w:rPr>
        <w:t xml:space="preserve"> </w:t>
      </w:r>
      <w:r w:rsidR="00334F4D" w:rsidRPr="00624753">
        <w:rPr>
          <w:rFonts w:ascii="Calibri" w:hAnsi="Calibri" w:cs="Calibri"/>
          <w:sz w:val="24"/>
          <w:szCs w:val="24"/>
        </w:rPr>
        <w:t xml:space="preserve">Premièrement, </w:t>
      </w:r>
      <w:r w:rsidR="00F04648" w:rsidRPr="00624753">
        <w:rPr>
          <w:rFonts w:ascii="Calibri" w:hAnsi="Calibri" w:cs="Calibri"/>
          <w:sz w:val="24"/>
          <w:szCs w:val="24"/>
        </w:rPr>
        <w:t>l’historicité temporelle vise, dans un enjeu de reconnaissance, à intégrer la grammaire générative dans l’histoire de la linguistique</w:t>
      </w:r>
      <w:r w:rsidR="006266FD" w:rsidRPr="00624753">
        <w:rPr>
          <w:rFonts w:ascii="Calibri" w:hAnsi="Calibri" w:cs="Calibri"/>
          <w:sz w:val="24"/>
          <w:szCs w:val="24"/>
        </w:rPr>
        <w:t> : l’énonciateur préfacier est narrateur</w:t>
      </w:r>
      <w:r w:rsidR="00F04648" w:rsidRPr="00624753">
        <w:rPr>
          <w:rFonts w:ascii="Calibri" w:hAnsi="Calibri" w:cs="Calibri"/>
          <w:sz w:val="24"/>
          <w:szCs w:val="24"/>
        </w:rPr>
        <w:t>. Deuxièmement,</w:t>
      </w:r>
      <w:r w:rsidR="006266FD" w:rsidRPr="00624753">
        <w:rPr>
          <w:rFonts w:ascii="Calibri" w:hAnsi="Calibri" w:cs="Calibri"/>
          <w:sz w:val="24"/>
          <w:szCs w:val="24"/>
        </w:rPr>
        <w:t xml:space="preserve"> </w:t>
      </w:r>
      <w:r w:rsidR="004D1328" w:rsidRPr="00624753">
        <w:rPr>
          <w:rFonts w:ascii="Calibri" w:hAnsi="Calibri" w:cs="Calibri"/>
          <w:sz w:val="24"/>
          <w:szCs w:val="24"/>
        </w:rPr>
        <w:t xml:space="preserve">à travers </w:t>
      </w:r>
      <w:r w:rsidR="006266FD" w:rsidRPr="00624753">
        <w:rPr>
          <w:rFonts w:ascii="Calibri" w:hAnsi="Calibri" w:cs="Calibri"/>
          <w:sz w:val="24"/>
          <w:szCs w:val="24"/>
        </w:rPr>
        <w:t xml:space="preserve">un énonciateur programmateur </w:t>
      </w:r>
      <w:r w:rsidR="000552AD" w:rsidRPr="00624753">
        <w:rPr>
          <w:rFonts w:ascii="Calibri" w:hAnsi="Calibri" w:cs="Calibri"/>
          <w:sz w:val="24"/>
          <w:szCs w:val="24"/>
        </w:rPr>
        <w:t>recourant à l’</w:t>
      </w:r>
      <w:r w:rsidR="006266FD" w:rsidRPr="00624753">
        <w:rPr>
          <w:rFonts w:ascii="Calibri" w:hAnsi="Calibri" w:cs="Calibri"/>
          <w:sz w:val="24"/>
          <w:szCs w:val="24"/>
        </w:rPr>
        <w:t xml:space="preserve">imaginaire issu des </w:t>
      </w:r>
      <w:r w:rsidR="00E741EF" w:rsidRPr="00624753">
        <w:rPr>
          <w:rFonts w:ascii="Calibri" w:hAnsi="Calibri" w:cs="Calibri"/>
          <w:sz w:val="24"/>
          <w:szCs w:val="24"/>
        </w:rPr>
        <w:t xml:space="preserve">sciences </w:t>
      </w:r>
      <w:r w:rsidR="00E31777" w:rsidRPr="00624753">
        <w:rPr>
          <w:rFonts w:ascii="Calibri" w:hAnsi="Calibri" w:cs="Calibri"/>
          <w:sz w:val="24"/>
          <w:szCs w:val="24"/>
        </w:rPr>
        <w:t>«</w:t>
      </w:r>
      <w:r w:rsidR="00EB6174" w:rsidRPr="00624753">
        <w:rPr>
          <w:rFonts w:ascii="Calibri" w:hAnsi="Calibri" w:cs="Calibri"/>
          <w:sz w:val="24"/>
          <w:szCs w:val="24"/>
        </w:rPr>
        <w:t> </w:t>
      </w:r>
      <w:r w:rsidR="00E741EF" w:rsidRPr="00624753">
        <w:rPr>
          <w:rFonts w:ascii="Calibri" w:hAnsi="Calibri" w:cs="Calibri"/>
          <w:sz w:val="24"/>
          <w:szCs w:val="24"/>
        </w:rPr>
        <w:t>exactes</w:t>
      </w:r>
      <w:r w:rsidR="00EB6174" w:rsidRPr="00624753">
        <w:rPr>
          <w:rFonts w:ascii="Calibri" w:hAnsi="Calibri" w:cs="Calibri"/>
          <w:sz w:val="24"/>
          <w:szCs w:val="24"/>
        </w:rPr>
        <w:t> </w:t>
      </w:r>
      <w:r w:rsidR="00E31777" w:rsidRPr="00624753">
        <w:rPr>
          <w:rFonts w:ascii="Calibri" w:hAnsi="Calibri" w:cs="Calibri"/>
          <w:sz w:val="24"/>
          <w:szCs w:val="24"/>
        </w:rPr>
        <w:t>»</w:t>
      </w:r>
      <w:r w:rsidR="006266FD" w:rsidRPr="00624753">
        <w:rPr>
          <w:rFonts w:ascii="Calibri" w:hAnsi="Calibri" w:cs="Calibri"/>
          <w:sz w:val="24"/>
          <w:szCs w:val="24"/>
        </w:rPr>
        <w:t>,</w:t>
      </w:r>
      <w:r w:rsidR="00F04648" w:rsidRPr="00624753">
        <w:rPr>
          <w:rFonts w:ascii="Calibri" w:hAnsi="Calibri" w:cs="Calibri"/>
          <w:sz w:val="24"/>
          <w:szCs w:val="24"/>
        </w:rPr>
        <w:t xml:space="preserve"> l’historicité rationnelle </w:t>
      </w:r>
      <w:r w:rsidR="006266FD" w:rsidRPr="00624753">
        <w:rPr>
          <w:rFonts w:ascii="Calibri" w:hAnsi="Calibri" w:cs="Calibri"/>
          <w:sz w:val="24"/>
          <w:szCs w:val="24"/>
        </w:rPr>
        <w:t xml:space="preserve">consiste à </w:t>
      </w:r>
      <w:r w:rsidR="00E741EF" w:rsidRPr="00624753">
        <w:rPr>
          <w:rFonts w:ascii="Calibri" w:hAnsi="Calibri" w:cs="Calibri"/>
          <w:sz w:val="24"/>
          <w:szCs w:val="24"/>
        </w:rPr>
        <w:t xml:space="preserve">décrire les étapes logiques qu’a dû ou que doit </w:t>
      </w:r>
      <w:r w:rsidR="00562DCA" w:rsidRPr="00624753">
        <w:rPr>
          <w:rFonts w:ascii="Calibri" w:hAnsi="Calibri" w:cs="Calibri"/>
          <w:sz w:val="24"/>
          <w:szCs w:val="24"/>
        </w:rPr>
        <w:t xml:space="preserve">nécessairement </w:t>
      </w:r>
      <w:r w:rsidR="00E741EF" w:rsidRPr="00624753">
        <w:rPr>
          <w:rFonts w:ascii="Calibri" w:hAnsi="Calibri" w:cs="Calibri"/>
          <w:sz w:val="24"/>
          <w:szCs w:val="24"/>
        </w:rPr>
        <w:t>parcourir le générativisme.</w:t>
      </w:r>
      <w:r w:rsidR="00562DCA" w:rsidRPr="00624753">
        <w:rPr>
          <w:rFonts w:ascii="Calibri" w:hAnsi="Calibri" w:cs="Calibri"/>
          <w:sz w:val="24"/>
          <w:szCs w:val="24"/>
        </w:rPr>
        <w:t xml:space="preserve"> Troisièmement, </w:t>
      </w:r>
      <w:r w:rsidR="00EC4F8D" w:rsidRPr="00624753">
        <w:rPr>
          <w:rFonts w:ascii="Calibri" w:hAnsi="Calibri" w:cs="Calibri"/>
          <w:sz w:val="24"/>
          <w:szCs w:val="24"/>
        </w:rPr>
        <w:t xml:space="preserve">la grammaire générative se veut durable en adoptant un régime d’historicité naturelle : </w:t>
      </w:r>
      <w:r w:rsidR="00E532A8" w:rsidRPr="00624753">
        <w:rPr>
          <w:rFonts w:ascii="Calibri" w:hAnsi="Calibri" w:cs="Calibri"/>
          <w:sz w:val="24"/>
          <w:szCs w:val="24"/>
        </w:rPr>
        <w:t xml:space="preserve">on observe une biologisation de la grammaire générative et de ses objets, </w:t>
      </w:r>
      <w:r w:rsidR="00DB55CF" w:rsidRPr="00624753">
        <w:rPr>
          <w:rFonts w:ascii="Calibri" w:hAnsi="Calibri" w:cs="Calibri"/>
          <w:sz w:val="24"/>
          <w:szCs w:val="24"/>
        </w:rPr>
        <w:t>considérés</w:t>
      </w:r>
      <w:r w:rsidR="00E532A8" w:rsidRPr="00624753">
        <w:rPr>
          <w:rFonts w:ascii="Calibri" w:hAnsi="Calibri" w:cs="Calibri"/>
          <w:sz w:val="24"/>
          <w:szCs w:val="24"/>
        </w:rPr>
        <w:t xml:space="preserve"> comme des </w:t>
      </w:r>
      <w:r w:rsidR="00E532A8" w:rsidRPr="00E42CCB">
        <w:rPr>
          <w:rFonts w:ascii="Calibri" w:hAnsi="Calibri" w:cs="Calibri"/>
          <w:sz w:val="24"/>
          <w:szCs w:val="24"/>
        </w:rPr>
        <w:t xml:space="preserve">organismes. </w:t>
      </w:r>
      <w:r w:rsidR="00170EF4" w:rsidRPr="00E42CCB">
        <w:rPr>
          <w:rFonts w:ascii="Calibri" w:hAnsi="Calibri" w:cs="Calibri"/>
          <w:sz w:val="24"/>
          <w:szCs w:val="24"/>
        </w:rPr>
        <w:t xml:space="preserve">L’énonciateur </w:t>
      </w:r>
      <w:r w:rsidR="00E532A8" w:rsidRPr="00E42CCB">
        <w:rPr>
          <w:rFonts w:ascii="Calibri" w:hAnsi="Calibri" w:cs="Calibri"/>
          <w:sz w:val="24"/>
          <w:szCs w:val="24"/>
        </w:rPr>
        <w:t>devient</w:t>
      </w:r>
      <w:r w:rsidR="00170EF4" w:rsidRPr="00E42CCB">
        <w:rPr>
          <w:rFonts w:ascii="Calibri" w:hAnsi="Calibri" w:cs="Calibri"/>
          <w:sz w:val="24"/>
          <w:szCs w:val="24"/>
        </w:rPr>
        <w:t xml:space="preserve"> </w:t>
      </w:r>
      <w:r w:rsidR="00830D97" w:rsidRPr="00E42CCB">
        <w:rPr>
          <w:rFonts w:ascii="Calibri" w:hAnsi="Calibri" w:cs="Calibri"/>
          <w:sz w:val="24"/>
          <w:szCs w:val="24"/>
        </w:rPr>
        <w:t xml:space="preserve">un </w:t>
      </w:r>
      <w:r w:rsidR="00170EF4" w:rsidRPr="00E42CCB">
        <w:rPr>
          <w:rFonts w:ascii="Calibri" w:hAnsi="Calibri" w:cs="Calibri"/>
          <w:sz w:val="24"/>
          <w:szCs w:val="24"/>
        </w:rPr>
        <w:t xml:space="preserve">poète ou prophète </w:t>
      </w:r>
      <w:r w:rsidR="00830D97" w:rsidRPr="00E42CCB">
        <w:rPr>
          <w:rFonts w:ascii="Calibri" w:hAnsi="Calibri" w:cs="Calibri"/>
          <w:sz w:val="24"/>
          <w:szCs w:val="24"/>
        </w:rPr>
        <w:t xml:space="preserve">visionnaire qui </w:t>
      </w:r>
      <w:r w:rsidR="00A87AB8" w:rsidRPr="00E42CCB">
        <w:rPr>
          <w:rFonts w:ascii="Calibri" w:hAnsi="Calibri" w:cs="Calibri"/>
          <w:sz w:val="24"/>
          <w:szCs w:val="24"/>
        </w:rPr>
        <w:t>situe</w:t>
      </w:r>
      <w:r w:rsidR="00830D97" w:rsidRPr="00E42CCB">
        <w:rPr>
          <w:rFonts w:ascii="Calibri" w:hAnsi="Calibri" w:cs="Calibri"/>
          <w:sz w:val="24"/>
          <w:szCs w:val="24"/>
        </w:rPr>
        <w:t xml:space="preserve"> </w:t>
      </w:r>
      <w:r w:rsidR="0061763A" w:rsidRPr="00E42CCB">
        <w:rPr>
          <w:rFonts w:ascii="Calibri" w:hAnsi="Calibri" w:cs="Calibri"/>
          <w:sz w:val="24"/>
          <w:szCs w:val="24"/>
        </w:rPr>
        <w:t>son étude</w:t>
      </w:r>
      <w:r w:rsidR="00830D97" w:rsidRPr="00E42CCB">
        <w:rPr>
          <w:rFonts w:ascii="Calibri" w:hAnsi="Calibri" w:cs="Calibri"/>
          <w:sz w:val="24"/>
          <w:szCs w:val="24"/>
        </w:rPr>
        <w:t xml:space="preserve"> dans l</w:t>
      </w:r>
      <w:r w:rsidR="00B07B7D" w:rsidRPr="00E42CCB">
        <w:rPr>
          <w:rFonts w:ascii="Calibri" w:hAnsi="Calibri" w:cs="Calibri"/>
          <w:sz w:val="24"/>
          <w:szCs w:val="24"/>
        </w:rPr>
        <w:t>’évolution de l</w:t>
      </w:r>
      <w:r w:rsidR="00830D97" w:rsidRPr="00E42CCB">
        <w:rPr>
          <w:rFonts w:ascii="Calibri" w:hAnsi="Calibri" w:cs="Calibri"/>
          <w:sz w:val="24"/>
          <w:szCs w:val="24"/>
        </w:rPr>
        <w:t>a pensée occidentale.</w:t>
      </w:r>
    </w:p>
    <w:p w14:paraId="21C9AC8B" w14:textId="50D9FE95" w:rsidR="001D1D98" w:rsidRPr="00624753" w:rsidRDefault="007C30A3" w:rsidP="002A699F">
      <w:pPr>
        <w:jc w:val="both"/>
        <w:rPr>
          <w:rFonts w:ascii="Calibri" w:hAnsi="Calibri" w:cs="Calibri"/>
          <w:sz w:val="24"/>
          <w:szCs w:val="24"/>
        </w:rPr>
      </w:pPr>
      <w:r w:rsidRPr="00624753">
        <w:rPr>
          <w:rFonts w:ascii="Calibri" w:hAnsi="Calibri" w:cs="Calibri"/>
          <w:sz w:val="24"/>
          <w:szCs w:val="24"/>
        </w:rPr>
        <w:t>Le chapitre conclusif (p.</w:t>
      </w:r>
      <w:r w:rsidR="00EB6174" w:rsidRPr="00624753">
        <w:rPr>
          <w:rFonts w:ascii="Calibri" w:hAnsi="Calibri" w:cs="Calibri"/>
          <w:sz w:val="24"/>
          <w:szCs w:val="24"/>
        </w:rPr>
        <w:t> </w:t>
      </w:r>
      <w:r w:rsidR="00ED50C5" w:rsidRPr="00624753">
        <w:rPr>
          <w:rFonts w:ascii="Calibri" w:hAnsi="Calibri" w:cs="Calibri"/>
          <w:sz w:val="24"/>
          <w:szCs w:val="24"/>
        </w:rPr>
        <w:t>229-239</w:t>
      </w:r>
      <w:r w:rsidRPr="00624753">
        <w:rPr>
          <w:rFonts w:ascii="Calibri" w:hAnsi="Calibri" w:cs="Calibri"/>
          <w:sz w:val="24"/>
          <w:szCs w:val="24"/>
        </w:rPr>
        <w:t>)</w:t>
      </w:r>
      <w:r w:rsidR="002A1766" w:rsidRPr="00624753">
        <w:rPr>
          <w:rFonts w:ascii="Calibri" w:hAnsi="Calibri" w:cs="Calibri"/>
          <w:sz w:val="24"/>
          <w:szCs w:val="24"/>
        </w:rPr>
        <w:t xml:space="preserve"> </w:t>
      </w:r>
      <w:r w:rsidR="009B1CF6" w:rsidRPr="00624753">
        <w:rPr>
          <w:rFonts w:ascii="Calibri" w:hAnsi="Calibri" w:cs="Calibri"/>
          <w:sz w:val="24"/>
          <w:szCs w:val="24"/>
        </w:rPr>
        <w:t>dresse le bilan de l’investigation : il existe bien un discours de la linguistique</w:t>
      </w:r>
      <w:r w:rsidR="0024707A" w:rsidRPr="00624753">
        <w:rPr>
          <w:rFonts w:ascii="Calibri" w:hAnsi="Calibri" w:cs="Calibri"/>
          <w:sz w:val="24"/>
          <w:szCs w:val="24"/>
        </w:rPr>
        <w:t>. E</w:t>
      </w:r>
      <w:r w:rsidR="00500D91" w:rsidRPr="00624753">
        <w:rPr>
          <w:rFonts w:ascii="Calibri" w:hAnsi="Calibri" w:cs="Calibri"/>
          <w:sz w:val="24"/>
          <w:szCs w:val="24"/>
        </w:rPr>
        <w:t>n tant que «</w:t>
      </w:r>
      <w:r w:rsidR="00EB6174" w:rsidRPr="00624753">
        <w:rPr>
          <w:rFonts w:ascii="Calibri" w:hAnsi="Calibri" w:cs="Calibri"/>
          <w:sz w:val="24"/>
          <w:szCs w:val="24"/>
        </w:rPr>
        <w:t> </w:t>
      </w:r>
      <w:r w:rsidR="00500D91" w:rsidRPr="00624753">
        <w:rPr>
          <w:rFonts w:ascii="Calibri" w:hAnsi="Calibri" w:cs="Calibri"/>
          <w:sz w:val="24"/>
          <w:szCs w:val="24"/>
        </w:rPr>
        <w:t>discours constituant</w:t>
      </w:r>
      <w:r w:rsidR="00EB6174" w:rsidRPr="00624753">
        <w:rPr>
          <w:rFonts w:ascii="Calibri" w:hAnsi="Calibri" w:cs="Calibri"/>
          <w:sz w:val="24"/>
          <w:szCs w:val="24"/>
        </w:rPr>
        <w:t> </w:t>
      </w:r>
      <w:r w:rsidR="00500D91" w:rsidRPr="00624753">
        <w:rPr>
          <w:rFonts w:ascii="Calibri" w:hAnsi="Calibri" w:cs="Calibri"/>
          <w:sz w:val="24"/>
          <w:szCs w:val="24"/>
        </w:rPr>
        <w:t xml:space="preserve">» (Maingueneau et Cossutta 1995), </w:t>
      </w:r>
      <w:r w:rsidR="0024707A" w:rsidRPr="00624753">
        <w:rPr>
          <w:rFonts w:ascii="Calibri" w:hAnsi="Calibri" w:cs="Calibri"/>
          <w:sz w:val="24"/>
          <w:szCs w:val="24"/>
        </w:rPr>
        <w:t>ce dernier «</w:t>
      </w:r>
      <w:r w:rsidR="00EB6174" w:rsidRPr="00624753">
        <w:rPr>
          <w:rFonts w:ascii="Calibri" w:hAnsi="Calibri" w:cs="Calibri"/>
          <w:sz w:val="24"/>
          <w:szCs w:val="24"/>
        </w:rPr>
        <w:t> </w:t>
      </w:r>
      <w:r w:rsidR="0024707A" w:rsidRPr="00624753">
        <w:rPr>
          <w:rFonts w:ascii="Calibri" w:hAnsi="Calibri" w:cs="Calibri"/>
          <w:sz w:val="24"/>
          <w:szCs w:val="24"/>
        </w:rPr>
        <w:t>apporte une validation en acte du socle épistémique de la linguistique : c’est en s’énonçant comme linguiste qu’on énonc</w:t>
      </w:r>
      <w:r w:rsidR="00EB6174" w:rsidRPr="00624753">
        <w:rPr>
          <w:rFonts w:ascii="Calibri" w:hAnsi="Calibri" w:cs="Calibri"/>
          <w:sz w:val="24"/>
          <w:szCs w:val="24"/>
        </w:rPr>
        <w:t>e</w:t>
      </w:r>
      <w:r w:rsidR="0024707A" w:rsidRPr="00624753">
        <w:rPr>
          <w:rFonts w:ascii="Calibri" w:hAnsi="Calibri" w:cs="Calibri"/>
          <w:sz w:val="24"/>
          <w:szCs w:val="24"/>
        </w:rPr>
        <w:t xml:space="preserve"> du même coup la linguistique comme discipline scientifique</w:t>
      </w:r>
      <w:r w:rsidR="00EB6174" w:rsidRPr="00624753">
        <w:rPr>
          <w:rFonts w:ascii="Calibri" w:hAnsi="Calibri" w:cs="Calibri"/>
          <w:sz w:val="24"/>
          <w:szCs w:val="24"/>
        </w:rPr>
        <w:t> </w:t>
      </w:r>
      <w:r w:rsidR="0024707A" w:rsidRPr="00624753">
        <w:rPr>
          <w:rFonts w:ascii="Calibri" w:hAnsi="Calibri" w:cs="Calibri"/>
          <w:sz w:val="24"/>
          <w:szCs w:val="24"/>
        </w:rPr>
        <w:t>» (p.</w:t>
      </w:r>
      <w:r w:rsidR="00EB6174" w:rsidRPr="00624753">
        <w:rPr>
          <w:rFonts w:ascii="Calibri" w:hAnsi="Calibri" w:cs="Calibri"/>
          <w:sz w:val="24"/>
          <w:szCs w:val="24"/>
        </w:rPr>
        <w:t> </w:t>
      </w:r>
      <w:r w:rsidR="0024707A" w:rsidRPr="00624753">
        <w:rPr>
          <w:rFonts w:ascii="Calibri" w:hAnsi="Calibri" w:cs="Calibri"/>
          <w:sz w:val="24"/>
          <w:szCs w:val="24"/>
        </w:rPr>
        <w:t>229).</w:t>
      </w:r>
      <w:r w:rsidR="00EB6174" w:rsidRPr="00624753">
        <w:rPr>
          <w:rFonts w:ascii="Calibri" w:hAnsi="Calibri" w:cs="Calibri"/>
          <w:sz w:val="24"/>
          <w:szCs w:val="24"/>
        </w:rPr>
        <w:t xml:space="preserve"> </w:t>
      </w:r>
      <w:r w:rsidR="00E31777" w:rsidRPr="00624753">
        <w:rPr>
          <w:rFonts w:ascii="Calibri" w:hAnsi="Calibri" w:cs="Calibri"/>
          <w:sz w:val="24"/>
          <w:szCs w:val="24"/>
        </w:rPr>
        <w:t>Pour autant, ce discours témoigne d’une pluralité des manières d’énoncer, sans cesse mouvantes. Cette «</w:t>
      </w:r>
      <w:r w:rsidR="00EB6174" w:rsidRPr="00624753">
        <w:rPr>
          <w:rFonts w:ascii="Calibri" w:hAnsi="Calibri" w:cs="Calibri"/>
          <w:sz w:val="24"/>
          <w:szCs w:val="24"/>
        </w:rPr>
        <w:t> </w:t>
      </w:r>
      <w:r w:rsidR="00E31777" w:rsidRPr="00624753">
        <w:rPr>
          <w:rFonts w:ascii="Calibri" w:hAnsi="Calibri" w:cs="Calibri"/>
          <w:sz w:val="24"/>
          <w:szCs w:val="24"/>
        </w:rPr>
        <w:t>inquiétude de la pratique de savoir</w:t>
      </w:r>
      <w:r w:rsidR="00EB6174" w:rsidRPr="00624753">
        <w:rPr>
          <w:rFonts w:ascii="Calibri" w:hAnsi="Calibri" w:cs="Calibri"/>
          <w:sz w:val="24"/>
          <w:szCs w:val="24"/>
        </w:rPr>
        <w:t> </w:t>
      </w:r>
      <w:r w:rsidR="00E31777" w:rsidRPr="00624753">
        <w:rPr>
          <w:rFonts w:ascii="Calibri" w:hAnsi="Calibri" w:cs="Calibri"/>
          <w:sz w:val="24"/>
          <w:szCs w:val="24"/>
        </w:rPr>
        <w:t>» (p.</w:t>
      </w:r>
      <w:r w:rsidR="00EB6174" w:rsidRPr="00624753">
        <w:rPr>
          <w:rFonts w:ascii="Calibri" w:hAnsi="Calibri" w:cs="Calibri"/>
          <w:sz w:val="24"/>
          <w:szCs w:val="24"/>
        </w:rPr>
        <w:t> </w:t>
      </w:r>
      <w:r w:rsidR="00E31777" w:rsidRPr="00624753">
        <w:rPr>
          <w:rFonts w:ascii="Calibri" w:hAnsi="Calibri" w:cs="Calibri"/>
          <w:sz w:val="24"/>
          <w:szCs w:val="24"/>
        </w:rPr>
        <w:t xml:space="preserve">230) est </w:t>
      </w:r>
      <w:r w:rsidR="00993822" w:rsidRPr="00624753">
        <w:rPr>
          <w:rFonts w:ascii="Calibri" w:hAnsi="Calibri" w:cs="Calibri"/>
          <w:sz w:val="24"/>
          <w:szCs w:val="24"/>
        </w:rPr>
        <w:t>en partie</w:t>
      </w:r>
      <w:r w:rsidR="00E31777" w:rsidRPr="00624753">
        <w:rPr>
          <w:rFonts w:ascii="Calibri" w:hAnsi="Calibri" w:cs="Calibri"/>
          <w:sz w:val="24"/>
          <w:szCs w:val="24"/>
        </w:rPr>
        <w:t xml:space="preserve"> due au statut </w:t>
      </w:r>
      <w:r w:rsidR="00A50FEC" w:rsidRPr="00624753">
        <w:rPr>
          <w:rFonts w:ascii="Calibri" w:hAnsi="Calibri" w:cs="Calibri"/>
          <w:sz w:val="24"/>
          <w:szCs w:val="24"/>
        </w:rPr>
        <w:t xml:space="preserve">épistémologique </w:t>
      </w:r>
      <w:r w:rsidR="00E31777" w:rsidRPr="00624753">
        <w:rPr>
          <w:rFonts w:ascii="Calibri" w:hAnsi="Calibri" w:cs="Calibri"/>
          <w:sz w:val="24"/>
          <w:szCs w:val="24"/>
        </w:rPr>
        <w:t>incertain de la linguistique, entre les humanités et les sciences «</w:t>
      </w:r>
      <w:r w:rsidR="00EB6174" w:rsidRPr="00624753">
        <w:rPr>
          <w:rFonts w:ascii="Calibri" w:hAnsi="Calibri" w:cs="Calibri"/>
          <w:sz w:val="24"/>
          <w:szCs w:val="24"/>
        </w:rPr>
        <w:t> </w:t>
      </w:r>
      <w:r w:rsidR="00E31777" w:rsidRPr="00624753">
        <w:rPr>
          <w:rFonts w:ascii="Calibri" w:hAnsi="Calibri" w:cs="Calibri"/>
          <w:sz w:val="24"/>
          <w:szCs w:val="24"/>
        </w:rPr>
        <w:t>exactes</w:t>
      </w:r>
      <w:r w:rsidR="00EB6174" w:rsidRPr="00624753">
        <w:rPr>
          <w:rFonts w:ascii="Calibri" w:hAnsi="Calibri" w:cs="Calibri"/>
          <w:sz w:val="24"/>
          <w:szCs w:val="24"/>
        </w:rPr>
        <w:t> </w:t>
      </w:r>
      <w:r w:rsidR="00E31777" w:rsidRPr="00624753">
        <w:rPr>
          <w:rFonts w:ascii="Calibri" w:hAnsi="Calibri" w:cs="Calibri"/>
          <w:sz w:val="24"/>
          <w:szCs w:val="24"/>
        </w:rPr>
        <w:t>»</w:t>
      </w:r>
      <w:r w:rsidR="00A50FEC" w:rsidRPr="00624753">
        <w:rPr>
          <w:rFonts w:ascii="Calibri" w:hAnsi="Calibri" w:cs="Calibri"/>
          <w:sz w:val="24"/>
          <w:szCs w:val="24"/>
        </w:rPr>
        <w:t xml:space="preserve">, d’où une tension entre des </w:t>
      </w:r>
      <w:r w:rsidR="00680544" w:rsidRPr="00624753">
        <w:rPr>
          <w:rFonts w:ascii="Calibri" w:hAnsi="Calibri" w:cs="Calibri"/>
          <w:sz w:val="24"/>
          <w:szCs w:val="24"/>
        </w:rPr>
        <w:t xml:space="preserve">présupposés </w:t>
      </w:r>
      <w:r w:rsidR="00A42419" w:rsidRPr="00624753">
        <w:rPr>
          <w:rFonts w:ascii="Calibri" w:hAnsi="Calibri" w:cs="Calibri"/>
          <w:sz w:val="24"/>
          <w:szCs w:val="24"/>
        </w:rPr>
        <w:t>divergents</w:t>
      </w:r>
      <w:r w:rsidR="00A50FEC" w:rsidRPr="00624753">
        <w:rPr>
          <w:rFonts w:ascii="Calibri" w:hAnsi="Calibri" w:cs="Calibri"/>
          <w:sz w:val="24"/>
          <w:szCs w:val="24"/>
        </w:rPr>
        <w:t xml:space="preserve"> (par exemple</w:t>
      </w:r>
      <w:r w:rsidR="00230F69" w:rsidRPr="00624753">
        <w:rPr>
          <w:rFonts w:ascii="Calibri" w:hAnsi="Calibri" w:cs="Calibri"/>
          <w:sz w:val="24"/>
          <w:szCs w:val="24"/>
        </w:rPr>
        <w:t xml:space="preserve">, </w:t>
      </w:r>
      <w:r w:rsidR="00680544" w:rsidRPr="00624753">
        <w:rPr>
          <w:rFonts w:ascii="Calibri" w:hAnsi="Calibri" w:cs="Calibri"/>
          <w:sz w:val="24"/>
          <w:szCs w:val="24"/>
        </w:rPr>
        <w:t xml:space="preserve">le rapport entre </w:t>
      </w:r>
      <w:r w:rsidR="00A50FEC" w:rsidRPr="00624753">
        <w:rPr>
          <w:rFonts w:ascii="Calibri" w:hAnsi="Calibri" w:cs="Calibri"/>
          <w:sz w:val="24"/>
          <w:szCs w:val="24"/>
        </w:rPr>
        <w:t xml:space="preserve">théorie </w:t>
      </w:r>
      <w:r w:rsidR="00230F69" w:rsidRPr="00624753">
        <w:rPr>
          <w:rFonts w:ascii="Calibri" w:hAnsi="Calibri" w:cs="Calibri"/>
          <w:sz w:val="24"/>
          <w:szCs w:val="24"/>
        </w:rPr>
        <w:t>et</w:t>
      </w:r>
      <w:r w:rsidR="00A50FEC" w:rsidRPr="00624753">
        <w:rPr>
          <w:rFonts w:ascii="Calibri" w:hAnsi="Calibri" w:cs="Calibri"/>
          <w:i/>
          <w:iCs/>
          <w:sz w:val="24"/>
          <w:szCs w:val="24"/>
        </w:rPr>
        <w:t xml:space="preserve"> </w:t>
      </w:r>
      <w:r w:rsidR="00A50FEC" w:rsidRPr="00624753">
        <w:rPr>
          <w:rFonts w:ascii="Calibri" w:hAnsi="Calibri" w:cs="Calibri"/>
          <w:sz w:val="24"/>
          <w:szCs w:val="24"/>
        </w:rPr>
        <w:t>empirie).</w:t>
      </w:r>
      <w:r w:rsidR="0066549F" w:rsidRPr="00624753">
        <w:rPr>
          <w:rFonts w:ascii="Calibri" w:hAnsi="Calibri" w:cs="Calibri"/>
          <w:sz w:val="24"/>
          <w:szCs w:val="24"/>
        </w:rPr>
        <w:t xml:space="preserve"> La conclusion se termine par une relance théorique. Lttr13 suggère en effet </w:t>
      </w:r>
      <w:r w:rsidR="002C65B5" w:rsidRPr="00624753">
        <w:rPr>
          <w:rFonts w:ascii="Calibri" w:hAnsi="Calibri" w:cs="Calibri"/>
          <w:sz w:val="24"/>
          <w:szCs w:val="24"/>
        </w:rPr>
        <w:t xml:space="preserve">que les gestes discursifs </w:t>
      </w:r>
      <w:r w:rsidR="003D1DD2" w:rsidRPr="00624753">
        <w:rPr>
          <w:rFonts w:ascii="Calibri" w:hAnsi="Calibri" w:cs="Calibri"/>
          <w:sz w:val="24"/>
          <w:szCs w:val="24"/>
        </w:rPr>
        <w:t>sont modalisés par des états mentaux</w:t>
      </w:r>
      <w:r w:rsidR="004E5D8A" w:rsidRPr="00624753">
        <w:rPr>
          <w:rFonts w:ascii="Calibri" w:hAnsi="Calibri" w:cs="Calibri"/>
          <w:sz w:val="24"/>
          <w:szCs w:val="24"/>
        </w:rPr>
        <w:t xml:space="preserve"> (de volonté, de croyance, etc.)</w:t>
      </w:r>
      <w:r w:rsidR="003D1DD2" w:rsidRPr="00624753">
        <w:rPr>
          <w:rFonts w:ascii="Calibri" w:hAnsi="Calibri" w:cs="Calibri"/>
          <w:sz w:val="24"/>
          <w:szCs w:val="24"/>
        </w:rPr>
        <w:t xml:space="preserve"> et aspectualisés par des perspectives perceptuelles</w:t>
      </w:r>
      <w:r w:rsidR="004E5D8A" w:rsidRPr="00624753">
        <w:rPr>
          <w:rFonts w:ascii="Calibri" w:hAnsi="Calibri" w:cs="Calibri"/>
          <w:sz w:val="24"/>
          <w:szCs w:val="24"/>
        </w:rPr>
        <w:t xml:space="preserve"> (perfective, ponctuelle, etc.), ces ceux dimensions étant nourries par </w:t>
      </w:r>
      <w:r w:rsidR="001C46B9" w:rsidRPr="00624753">
        <w:rPr>
          <w:rFonts w:ascii="Calibri" w:hAnsi="Calibri" w:cs="Calibri"/>
          <w:sz w:val="24"/>
          <w:szCs w:val="24"/>
        </w:rPr>
        <w:t>d</w:t>
      </w:r>
      <w:r w:rsidR="004E5D8A" w:rsidRPr="00624753">
        <w:rPr>
          <w:rFonts w:ascii="Calibri" w:hAnsi="Calibri" w:cs="Calibri"/>
          <w:sz w:val="24"/>
          <w:szCs w:val="24"/>
        </w:rPr>
        <w:t>es imaginaires.</w:t>
      </w:r>
    </w:p>
    <w:p w14:paraId="615F0129" w14:textId="12BFD5D7" w:rsidR="0023085A" w:rsidRPr="00624753" w:rsidRDefault="008B38FB" w:rsidP="002A699F">
      <w:pPr>
        <w:jc w:val="both"/>
        <w:rPr>
          <w:rFonts w:ascii="Calibri" w:hAnsi="Calibri" w:cs="Calibri"/>
          <w:sz w:val="24"/>
          <w:szCs w:val="24"/>
        </w:rPr>
      </w:pPr>
      <w:r w:rsidRPr="00624753">
        <w:rPr>
          <w:rFonts w:ascii="Calibri" w:hAnsi="Calibri" w:cs="Calibri"/>
          <w:sz w:val="24"/>
          <w:szCs w:val="24"/>
        </w:rPr>
        <w:t xml:space="preserve">On l’aura compris, cet ouvrage </w:t>
      </w:r>
      <w:r w:rsidR="0026582B" w:rsidRPr="00624753">
        <w:rPr>
          <w:rFonts w:ascii="Calibri" w:hAnsi="Calibri" w:cs="Calibri"/>
          <w:sz w:val="24"/>
          <w:szCs w:val="24"/>
        </w:rPr>
        <w:t xml:space="preserve">dresse de nouvelles pistes </w:t>
      </w:r>
      <w:r w:rsidR="00BC044C" w:rsidRPr="00624753">
        <w:rPr>
          <w:rFonts w:ascii="Calibri" w:hAnsi="Calibri" w:cs="Calibri"/>
          <w:sz w:val="24"/>
          <w:szCs w:val="24"/>
        </w:rPr>
        <w:t xml:space="preserve">d’analyse du discours (du savoir en linguistique) en déployant les outils du geste discursif et de l’imaginaire du savoir. </w:t>
      </w:r>
      <w:r w:rsidR="001E15C4" w:rsidRPr="00624753">
        <w:rPr>
          <w:rFonts w:ascii="Calibri" w:hAnsi="Calibri" w:cs="Calibri"/>
          <w:sz w:val="24"/>
          <w:szCs w:val="24"/>
        </w:rPr>
        <w:t>S</w:t>
      </w:r>
      <w:r w:rsidR="0023085A" w:rsidRPr="00624753">
        <w:rPr>
          <w:rFonts w:ascii="Calibri" w:hAnsi="Calibri" w:cs="Calibri"/>
          <w:sz w:val="24"/>
          <w:szCs w:val="24"/>
        </w:rPr>
        <w:t xml:space="preserve">i </w:t>
      </w:r>
      <w:r w:rsidR="00036A23" w:rsidRPr="00624753">
        <w:rPr>
          <w:rFonts w:ascii="Calibri" w:hAnsi="Calibri" w:cs="Calibri"/>
          <w:sz w:val="24"/>
          <w:szCs w:val="24"/>
        </w:rPr>
        <w:t>l’étude que</w:t>
      </w:r>
      <w:r w:rsidR="0023085A" w:rsidRPr="00624753">
        <w:rPr>
          <w:rFonts w:ascii="Calibri" w:hAnsi="Calibri" w:cs="Calibri"/>
          <w:sz w:val="24"/>
          <w:szCs w:val="24"/>
        </w:rPr>
        <w:t xml:space="preserve"> propose Lttr13 </w:t>
      </w:r>
      <w:r w:rsidR="00036A23" w:rsidRPr="00624753">
        <w:rPr>
          <w:rFonts w:ascii="Calibri" w:hAnsi="Calibri" w:cs="Calibri"/>
          <w:sz w:val="24"/>
          <w:szCs w:val="24"/>
        </w:rPr>
        <w:t xml:space="preserve">est </w:t>
      </w:r>
      <w:r w:rsidR="0023085A" w:rsidRPr="00624753">
        <w:rPr>
          <w:rFonts w:ascii="Calibri" w:hAnsi="Calibri" w:cs="Calibri"/>
          <w:sz w:val="24"/>
          <w:szCs w:val="24"/>
        </w:rPr>
        <w:t>parfois dense</w:t>
      </w:r>
      <w:r w:rsidR="005E7A62" w:rsidRPr="00624753">
        <w:rPr>
          <w:rFonts w:ascii="Calibri" w:hAnsi="Calibri" w:cs="Calibri"/>
          <w:sz w:val="24"/>
          <w:szCs w:val="24"/>
        </w:rPr>
        <w:t xml:space="preserve"> et érudite</w:t>
      </w:r>
      <w:r w:rsidR="00036A23" w:rsidRPr="00624753">
        <w:rPr>
          <w:rFonts w:ascii="Calibri" w:hAnsi="Calibri" w:cs="Calibri"/>
          <w:sz w:val="24"/>
          <w:szCs w:val="24"/>
        </w:rPr>
        <w:t xml:space="preserve"> </w:t>
      </w:r>
      <w:r w:rsidR="0023085A" w:rsidRPr="00624753">
        <w:rPr>
          <w:rFonts w:ascii="Calibri" w:hAnsi="Calibri" w:cs="Calibri"/>
          <w:sz w:val="24"/>
          <w:szCs w:val="24"/>
        </w:rPr>
        <w:t xml:space="preserve">(en particulier dans les deux premiers chapitres), elle </w:t>
      </w:r>
      <w:r w:rsidR="00036A23" w:rsidRPr="00624753">
        <w:rPr>
          <w:rFonts w:ascii="Calibri" w:hAnsi="Calibri" w:cs="Calibri"/>
          <w:sz w:val="24"/>
          <w:szCs w:val="24"/>
        </w:rPr>
        <w:t>est solidement documentée et permet de décortiquer</w:t>
      </w:r>
      <w:r w:rsidR="0023085A" w:rsidRPr="00624753">
        <w:rPr>
          <w:rFonts w:ascii="Calibri" w:hAnsi="Calibri" w:cs="Calibri"/>
          <w:sz w:val="24"/>
          <w:szCs w:val="24"/>
        </w:rPr>
        <w:t xml:space="preserve"> efficacement la fabrique discursive de la linguistique</w:t>
      </w:r>
      <w:r w:rsidR="00021BEA" w:rsidRPr="00624753">
        <w:rPr>
          <w:rFonts w:ascii="Calibri" w:hAnsi="Calibri" w:cs="Calibri"/>
          <w:sz w:val="24"/>
          <w:szCs w:val="24"/>
        </w:rPr>
        <w:t>.</w:t>
      </w:r>
      <w:r w:rsidR="00023394" w:rsidRPr="00624753">
        <w:rPr>
          <w:rFonts w:ascii="Calibri" w:hAnsi="Calibri" w:cs="Calibri"/>
          <w:sz w:val="24"/>
          <w:szCs w:val="24"/>
        </w:rPr>
        <w:t xml:space="preserve"> Le projet n’est toutefois pas clos, puisque plusieurs </w:t>
      </w:r>
      <w:r w:rsidR="008F19D5" w:rsidRPr="00624753">
        <w:rPr>
          <w:rFonts w:ascii="Calibri" w:hAnsi="Calibri" w:cs="Calibri"/>
          <w:sz w:val="24"/>
          <w:szCs w:val="24"/>
        </w:rPr>
        <w:t>perspectives</w:t>
      </w:r>
      <w:r w:rsidR="00023394" w:rsidRPr="00624753">
        <w:rPr>
          <w:rFonts w:ascii="Calibri" w:hAnsi="Calibri" w:cs="Calibri"/>
          <w:sz w:val="24"/>
          <w:szCs w:val="24"/>
        </w:rPr>
        <w:t xml:space="preserve"> de </w:t>
      </w:r>
      <w:r w:rsidR="008F19D5" w:rsidRPr="00624753">
        <w:rPr>
          <w:rFonts w:ascii="Calibri" w:hAnsi="Calibri" w:cs="Calibri"/>
          <w:sz w:val="24"/>
          <w:szCs w:val="24"/>
        </w:rPr>
        <w:t>recherche restent à approfondir : la description des gestes discursifs de la linguistique fondée sur la rationalité computationnelle (p.</w:t>
      </w:r>
      <w:r w:rsidR="00EB6174" w:rsidRPr="00624753">
        <w:rPr>
          <w:rFonts w:ascii="Calibri" w:hAnsi="Calibri" w:cs="Calibri"/>
          <w:sz w:val="24"/>
          <w:szCs w:val="24"/>
        </w:rPr>
        <w:t> </w:t>
      </w:r>
      <w:r w:rsidR="008F19D5" w:rsidRPr="00624753">
        <w:rPr>
          <w:rFonts w:ascii="Calibri" w:hAnsi="Calibri" w:cs="Calibri"/>
          <w:sz w:val="24"/>
          <w:szCs w:val="24"/>
        </w:rPr>
        <w:t xml:space="preserve">18), </w:t>
      </w:r>
      <w:r w:rsidR="00023394" w:rsidRPr="00624753">
        <w:rPr>
          <w:rFonts w:ascii="Calibri" w:hAnsi="Calibri" w:cs="Calibri"/>
          <w:sz w:val="24"/>
          <w:szCs w:val="24"/>
        </w:rPr>
        <w:t>l’historiographie des «</w:t>
      </w:r>
      <w:r w:rsidR="00EB6174" w:rsidRPr="00624753">
        <w:rPr>
          <w:rFonts w:ascii="Calibri" w:hAnsi="Calibri" w:cs="Calibri"/>
          <w:sz w:val="24"/>
          <w:szCs w:val="24"/>
        </w:rPr>
        <w:t> </w:t>
      </w:r>
      <w:r w:rsidR="00023394" w:rsidRPr="00624753">
        <w:rPr>
          <w:rFonts w:ascii="Calibri" w:hAnsi="Calibri" w:cs="Calibri"/>
          <w:sz w:val="24"/>
          <w:szCs w:val="24"/>
        </w:rPr>
        <w:t>oublis</w:t>
      </w:r>
      <w:r w:rsidR="00EB6174" w:rsidRPr="00624753">
        <w:rPr>
          <w:rFonts w:ascii="Calibri" w:hAnsi="Calibri" w:cs="Calibri"/>
          <w:sz w:val="24"/>
          <w:szCs w:val="24"/>
        </w:rPr>
        <w:t> </w:t>
      </w:r>
      <w:r w:rsidR="00023394" w:rsidRPr="00624753">
        <w:rPr>
          <w:rFonts w:ascii="Calibri" w:hAnsi="Calibri" w:cs="Calibri"/>
          <w:sz w:val="24"/>
          <w:szCs w:val="24"/>
        </w:rPr>
        <w:t>» (p.</w:t>
      </w:r>
      <w:r w:rsidR="00EB6174" w:rsidRPr="00624753">
        <w:rPr>
          <w:rFonts w:ascii="Calibri" w:hAnsi="Calibri" w:cs="Calibri"/>
          <w:sz w:val="24"/>
          <w:szCs w:val="24"/>
        </w:rPr>
        <w:t> </w:t>
      </w:r>
      <w:r w:rsidR="00023394" w:rsidRPr="00624753">
        <w:rPr>
          <w:rFonts w:ascii="Calibri" w:hAnsi="Calibri" w:cs="Calibri"/>
          <w:sz w:val="24"/>
          <w:szCs w:val="24"/>
        </w:rPr>
        <w:t xml:space="preserve">143-144), </w:t>
      </w:r>
      <w:r w:rsidR="008F19D5" w:rsidRPr="00624753">
        <w:rPr>
          <w:rFonts w:ascii="Calibri" w:hAnsi="Calibri" w:cs="Calibri"/>
          <w:sz w:val="24"/>
          <w:szCs w:val="24"/>
        </w:rPr>
        <w:t>l’analyse des modalités dans le discours de la linguistique (p.</w:t>
      </w:r>
      <w:r w:rsidR="00EB6174" w:rsidRPr="00624753">
        <w:rPr>
          <w:rFonts w:ascii="Calibri" w:hAnsi="Calibri" w:cs="Calibri"/>
          <w:sz w:val="24"/>
          <w:szCs w:val="24"/>
        </w:rPr>
        <w:t> </w:t>
      </w:r>
      <w:r w:rsidR="008F19D5" w:rsidRPr="00624753">
        <w:rPr>
          <w:rFonts w:ascii="Calibri" w:hAnsi="Calibri" w:cs="Calibri"/>
          <w:sz w:val="24"/>
          <w:szCs w:val="24"/>
        </w:rPr>
        <w:t>236) et plus largement l’étude d’autres corpus, afin d’éprouver les concepts</w:t>
      </w:r>
      <w:r w:rsidR="00E439C2" w:rsidRPr="00624753">
        <w:rPr>
          <w:rFonts w:ascii="Calibri" w:hAnsi="Calibri" w:cs="Calibri"/>
          <w:sz w:val="24"/>
          <w:szCs w:val="24"/>
        </w:rPr>
        <w:t xml:space="preserve"> développés</w:t>
      </w:r>
      <w:r w:rsidR="008F19D5" w:rsidRPr="00624753">
        <w:rPr>
          <w:rFonts w:ascii="Calibri" w:hAnsi="Calibri" w:cs="Calibri"/>
          <w:sz w:val="24"/>
          <w:szCs w:val="24"/>
        </w:rPr>
        <w:t xml:space="preserve">. </w:t>
      </w:r>
      <w:r w:rsidR="0023085A" w:rsidRPr="00624753">
        <w:rPr>
          <w:rFonts w:ascii="Calibri" w:hAnsi="Calibri" w:cs="Calibri"/>
          <w:sz w:val="24"/>
          <w:szCs w:val="24"/>
        </w:rPr>
        <w:t xml:space="preserve">Un regret </w:t>
      </w:r>
      <w:r w:rsidR="00C06D77" w:rsidRPr="00624753">
        <w:rPr>
          <w:rFonts w:ascii="Calibri" w:hAnsi="Calibri" w:cs="Calibri"/>
          <w:sz w:val="24"/>
          <w:szCs w:val="24"/>
        </w:rPr>
        <w:t>est toutefois à mentionner</w:t>
      </w:r>
      <w:r w:rsidR="0023085A" w:rsidRPr="00624753">
        <w:rPr>
          <w:rFonts w:ascii="Calibri" w:hAnsi="Calibri" w:cs="Calibri"/>
          <w:sz w:val="24"/>
          <w:szCs w:val="24"/>
        </w:rPr>
        <w:t xml:space="preserve"> : l’ajout d’un glossaire aurait </w:t>
      </w:r>
      <w:r w:rsidR="00521965" w:rsidRPr="00624753">
        <w:rPr>
          <w:rFonts w:ascii="Calibri" w:hAnsi="Calibri" w:cs="Calibri"/>
          <w:sz w:val="24"/>
          <w:szCs w:val="24"/>
        </w:rPr>
        <w:t>sans doute</w:t>
      </w:r>
      <w:r w:rsidR="00573738" w:rsidRPr="00624753">
        <w:rPr>
          <w:rFonts w:ascii="Calibri" w:hAnsi="Calibri" w:cs="Calibri"/>
          <w:sz w:val="24"/>
          <w:szCs w:val="24"/>
        </w:rPr>
        <w:t xml:space="preserve"> </w:t>
      </w:r>
      <w:r w:rsidR="0023085A" w:rsidRPr="00624753">
        <w:rPr>
          <w:rFonts w:ascii="Calibri" w:hAnsi="Calibri" w:cs="Calibri"/>
          <w:sz w:val="24"/>
          <w:szCs w:val="24"/>
        </w:rPr>
        <w:t>permis une meilleure appréhension des concepts mobilisés par les auteurs, d’autant que l’élaboration théorique se voit en partie disséminée au fil des chapitres (</w:t>
      </w:r>
      <w:r w:rsidR="002B0739">
        <w:rPr>
          <w:rFonts w:ascii="Calibri" w:hAnsi="Calibri" w:cs="Calibri"/>
          <w:sz w:val="24"/>
          <w:szCs w:val="24"/>
        </w:rPr>
        <w:t xml:space="preserve">le </w:t>
      </w:r>
      <w:r w:rsidR="0023085A" w:rsidRPr="00624753">
        <w:rPr>
          <w:rFonts w:ascii="Calibri" w:hAnsi="Calibri" w:cs="Calibri"/>
          <w:i/>
          <w:iCs/>
          <w:sz w:val="24"/>
          <w:szCs w:val="24"/>
        </w:rPr>
        <w:t xml:space="preserve">geste discursif </w:t>
      </w:r>
      <w:r w:rsidR="0023085A" w:rsidRPr="00624753">
        <w:rPr>
          <w:rFonts w:ascii="Calibri" w:hAnsi="Calibri" w:cs="Calibri"/>
          <w:sz w:val="24"/>
          <w:szCs w:val="24"/>
        </w:rPr>
        <w:t xml:space="preserve">est </w:t>
      </w:r>
      <w:r w:rsidR="000778EA" w:rsidRPr="00624753">
        <w:rPr>
          <w:rFonts w:ascii="Calibri" w:hAnsi="Calibri" w:cs="Calibri"/>
          <w:sz w:val="24"/>
          <w:szCs w:val="24"/>
        </w:rPr>
        <w:t xml:space="preserve">par exemple </w:t>
      </w:r>
      <w:r w:rsidR="0023085A" w:rsidRPr="00624753">
        <w:rPr>
          <w:rFonts w:ascii="Calibri" w:hAnsi="Calibri" w:cs="Calibri"/>
          <w:sz w:val="24"/>
          <w:szCs w:val="24"/>
        </w:rPr>
        <w:t>théorisé aux p.</w:t>
      </w:r>
      <w:r w:rsidR="006716BB">
        <w:rPr>
          <w:rFonts w:ascii="Calibri" w:hAnsi="Calibri" w:cs="Calibri"/>
          <w:sz w:val="24"/>
          <w:szCs w:val="24"/>
        </w:rPr>
        <w:t> </w:t>
      </w:r>
      <w:r w:rsidR="0023085A" w:rsidRPr="00624753">
        <w:rPr>
          <w:rFonts w:ascii="Calibri" w:hAnsi="Calibri" w:cs="Calibri"/>
          <w:sz w:val="24"/>
          <w:szCs w:val="24"/>
        </w:rPr>
        <w:t>15-16</w:t>
      </w:r>
      <w:r w:rsidR="000778EA" w:rsidRPr="00624753">
        <w:rPr>
          <w:rFonts w:ascii="Calibri" w:hAnsi="Calibri" w:cs="Calibri"/>
          <w:sz w:val="24"/>
          <w:szCs w:val="24"/>
        </w:rPr>
        <w:t>,</w:t>
      </w:r>
      <w:r w:rsidR="007F0FD1" w:rsidRPr="00624753">
        <w:rPr>
          <w:rFonts w:ascii="Calibri" w:hAnsi="Calibri" w:cs="Calibri"/>
          <w:sz w:val="24"/>
          <w:szCs w:val="24"/>
        </w:rPr>
        <w:t xml:space="preserve"> </w:t>
      </w:r>
      <w:r w:rsidR="0023085A" w:rsidRPr="00624753">
        <w:rPr>
          <w:rFonts w:ascii="Calibri" w:hAnsi="Calibri" w:cs="Calibri"/>
          <w:sz w:val="24"/>
          <w:szCs w:val="24"/>
        </w:rPr>
        <w:t>75-82, 198, 231-239).</w:t>
      </w:r>
      <w:r w:rsidR="00BA59BD" w:rsidRPr="00624753">
        <w:rPr>
          <w:rFonts w:ascii="Calibri" w:hAnsi="Calibri" w:cs="Calibri"/>
          <w:sz w:val="24"/>
          <w:szCs w:val="24"/>
        </w:rPr>
        <w:t xml:space="preserve"> Il n’en demeure pas moins que </w:t>
      </w:r>
      <w:r w:rsidR="00BA59BD" w:rsidRPr="00624753">
        <w:rPr>
          <w:rFonts w:ascii="Calibri" w:hAnsi="Calibri" w:cs="Calibri"/>
          <w:i/>
          <w:iCs/>
          <w:sz w:val="24"/>
          <w:szCs w:val="24"/>
        </w:rPr>
        <w:t xml:space="preserve">Le discours de la linguistique </w:t>
      </w:r>
      <w:r w:rsidR="00BA59BD" w:rsidRPr="00624753">
        <w:rPr>
          <w:rFonts w:ascii="Calibri" w:hAnsi="Calibri" w:cs="Calibri"/>
          <w:sz w:val="24"/>
          <w:szCs w:val="24"/>
        </w:rPr>
        <w:t>constitue un ouvrage</w:t>
      </w:r>
      <w:r w:rsidR="00613DB2" w:rsidRPr="00624753">
        <w:rPr>
          <w:rFonts w:ascii="Calibri" w:hAnsi="Calibri" w:cs="Calibri"/>
          <w:sz w:val="24"/>
          <w:szCs w:val="24"/>
        </w:rPr>
        <w:t xml:space="preserve"> </w:t>
      </w:r>
      <w:r w:rsidR="00DA0D4A" w:rsidRPr="00624753">
        <w:rPr>
          <w:rFonts w:ascii="Calibri" w:hAnsi="Calibri" w:cs="Calibri"/>
          <w:sz w:val="24"/>
          <w:szCs w:val="24"/>
        </w:rPr>
        <w:t>novateur</w:t>
      </w:r>
      <w:r w:rsidR="00613DB2" w:rsidRPr="00624753">
        <w:rPr>
          <w:rFonts w:ascii="Calibri" w:hAnsi="Calibri" w:cs="Calibri"/>
          <w:sz w:val="24"/>
          <w:szCs w:val="24"/>
        </w:rPr>
        <w:t>,</w:t>
      </w:r>
      <w:r w:rsidR="00BA59BD" w:rsidRPr="00624753">
        <w:rPr>
          <w:rFonts w:ascii="Calibri" w:hAnsi="Calibri" w:cs="Calibri"/>
          <w:sz w:val="24"/>
          <w:szCs w:val="24"/>
        </w:rPr>
        <w:t xml:space="preserve"> qui intéressera les historiens et épistémologues de la linguistique, les analystes du discours et plus largement les linguistes </w:t>
      </w:r>
      <w:r w:rsidR="00D805F0" w:rsidRPr="00624753">
        <w:rPr>
          <w:rFonts w:ascii="Calibri" w:hAnsi="Calibri" w:cs="Calibri"/>
          <w:sz w:val="24"/>
          <w:szCs w:val="24"/>
        </w:rPr>
        <w:t>s’intéressant à</w:t>
      </w:r>
      <w:r w:rsidR="00BA59BD" w:rsidRPr="00624753">
        <w:rPr>
          <w:rFonts w:ascii="Calibri" w:hAnsi="Calibri" w:cs="Calibri"/>
          <w:sz w:val="24"/>
          <w:szCs w:val="24"/>
        </w:rPr>
        <w:t xml:space="preserve"> leur propre pratique</w:t>
      </w:r>
      <w:r w:rsidR="00D805F0" w:rsidRPr="00624753">
        <w:rPr>
          <w:rFonts w:ascii="Calibri" w:hAnsi="Calibri" w:cs="Calibri"/>
          <w:sz w:val="24"/>
          <w:szCs w:val="24"/>
        </w:rPr>
        <w:t>, dans une démarche critique et réflexive.</w:t>
      </w:r>
    </w:p>
    <w:p w14:paraId="435CDF63" w14:textId="77777777" w:rsidR="00FA67DA" w:rsidRDefault="00FA67DA" w:rsidP="000D437D">
      <w:pPr>
        <w:jc w:val="both"/>
        <w:rPr>
          <w:rFonts w:ascii="Calibri" w:hAnsi="Calibri" w:cs="Calibri"/>
          <w:b/>
          <w:sz w:val="24"/>
          <w:szCs w:val="24"/>
        </w:rPr>
      </w:pPr>
    </w:p>
    <w:p w14:paraId="68330ADF" w14:textId="50F0DD0B" w:rsidR="000D437D" w:rsidRPr="00624753" w:rsidRDefault="008A513D" w:rsidP="000D437D">
      <w:pPr>
        <w:jc w:val="both"/>
        <w:rPr>
          <w:rFonts w:ascii="Calibri" w:hAnsi="Calibri" w:cs="Calibri"/>
          <w:b/>
          <w:sz w:val="24"/>
          <w:szCs w:val="24"/>
        </w:rPr>
      </w:pPr>
      <w:r w:rsidRPr="00624753">
        <w:rPr>
          <w:rFonts w:ascii="Calibri" w:hAnsi="Calibri" w:cs="Calibri"/>
          <w:b/>
          <w:sz w:val="24"/>
          <w:szCs w:val="24"/>
        </w:rPr>
        <w:t>Bibliographie</w:t>
      </w:r>
    </w:p>
    <w:p w14:paraId="320FD522" w14:textId="2C9F3E49" w:rsidR="00DA0D4A" w:rsidRPr="00624753" w:rsidRDefault="00DA0D4A" w:rsidP="000D437D">
      <w:pPr>
        <w:jc w:val="both"/>
        <w:rPr>
          <w:rFonts w:ascii="Calibri" w:hAnsi="Calibri" w:cs="Calibri"/>
          <w:sz w:val="24"/>
          <w:szCs w:val="24"/>
        </w:rPr>
      </w:pPr>
      <w:r w:rsidRPr="00624753">
        <w:rPr>
          <w:rFonts w:ascii="Calibri" w:hAnsi="Calibri" w:cs="Calibri"/>
          <w:sz w:val="24"/>
          <w:szCs w:val="24"/>
        </w:rPr>
        <w:lastRenderedPageBreak/>
        <w:t>ANDRÉ, J., 1957-1958, «</w:t>
      </w:r>
      <w:r w:rsidR="00EB6174" w:rsidRPr="00624753">
        <w:rPr>
          <w:rFonts w:ascii="Calibri" w:hAnsi="Calibri" w:cs="Calibri"/>
          <w:sz w:val="24"/>
          <w:szCs w:val="24"/>
        </w:rPr>
        <w:t> </w:t>
      </w:r>
      <w:r w:rsidRPr="00624753">
        <w:rPr>
          <w:rFonts w:ascii="Calibri" w:hAnsi="Calibri" w:cs="Calibri"/>
          <w:sz w:val="24"/>
          <w:szCs w:val="24"/>
        </w:rPr>
        <w:t xml:space="preserve">Accent, timbre et quantité dans les emprunts du latin au grec postérieurs au </w:t>
      </w:r>
      <w:r w:rsidRPr="00624753">
        <w:rPr>
          <w:rFonts w:ascii="Calibri" w:hAnsi="Calibri" w:cs="Calibri"/>
          <w:smallCaps/>
          <w:sz w:val="24"/>
          <w:szCs w:val="24"/>
        </w:rPr>
        <w:t>iii</w:t>
      </w:r>
      <w:r w:rsidRPr="00624753">
        <w:rPr>
          <w:rFonts w:ascii="Calibri" w:hAnsi="Calibri" w:cs="Calibri"/>
          <w:sz w:val="24"/>
          <w:szCs w:val="24"/>
          <w:vertAlign w:val="superscript"/>
        </w:rPr>
        <w:t>e</w:t>
      </w:r>
      <w:r w:rsidR="00EB6174" w:rsidRPr="00624753">
        <w:rPr>
          <w:rFonts w:ascii="Calibri" w:hAnsi="Calibri" w:cs="Calibri"/>
          <w:sz w:val="24"/>
          <w:szCs w:val="24"/>
        </w:rPr>
        <w:t> </w:t>
      </w:r>
      <w:r w:rsidRPr="00624753">
        <w:rPr>
          <w:rFonts w:ascii="Calibri" w:hAnsi="Calibri" w:cs="Calibri"/>
          <w:sz w:val="24"/>
          <w:szCs w:val="24"/>
        </w:rPr>
        <w:t>siècle après J.-C.</w:t>
      </w:r>
      <w:r w:rsidR="00EB6174" w:rsidRPr="00624753">
        <w:rPr>
          <w:rFonts w:ascii="Calibri" w:hAnsi="Calibri" w:cs="Calibri"/>
          <w:sz w:val="24"/>
          <w:szCs w:val="24"/>
        </w:rPr>
        <w:t> </w:t>
      </w:r>
      <w:r w:rsidRPr="00624753">
        <w:rPr>
          <w:rFonts w:ascii="Calibri" w:hAnsi="Calibri" w:cs="Calibri"/>
          <w:sz w:val="24"/>
          <w:szCs w:val="24"/>
        </w:rPr>
        <w:t xml:space="preserve">», </w:t>
      </w:r>
      <w:r w:rsidRPr="00624753">
        <w:rPr>
          <w:rFonts w:ascii="Calibri" w:hAnsi="Calibri" w:cs="Calibri"/>
          <w:i/>
          <w:iCs/>
          <w:sz w:val="24"/>
          <w:szCs w:val="24"/>
        </w:rPr>
        <w:t>Bulletin de la Société de linguistique de Paris</w:t>
      </w:r>
      <w:r w:rsidRPr="00624753">
        <w:rPr>
          <w:rFonts w:ascii="Calibri" w:hAnsi="Calibri" w:cs="Calibri"/>
          <w:sz w:val="24"/>
          <w:szCs w:val="24"/>
        </w:rPr>
        <w:t>, 53/1, p.</w:t>
      </w:r>
      <w:r w:rsidR="00EB6174" w:rsidRPr="00624753">
        <w:rPr>
          <w:rFonts w:ascii="Calibri" w:hAnsi="Calibri" w:cs="Calibri"/>
          <w:sz w:val="24"/>
          <w:szCs w:val="24"/>
        </w:rPr>
        <w:t> </w:t>
      </w:r>
      <w:r w:rsidRPr="00624753">
        <w:rPr>
          <w:rFonts w:ascii="Calibri" w:hAnsi="Calibri" w:cs="Calibri"/>
          <w:sz w:val="24"/>
          <w:szCs w:val="24"/>
        </w:rPr>
        <w:t>138-158.</w:t>
      </w:r>
    </w:p>
    <w:p w14:paraId="2470506C" w14:textId="39B9CC2E" w:rsidR="00DA0D4A" w:rsidRPr="00624753" w:rsidRDefault="00DA0D4A" w:rsidP="000D437D">
      <w:pPr>
        <w:jc w:val="both"/>
        <w:rPr>
          <w:rFonts w:ascii="Calibri" w:hAnsi="Calibri" w:cs="Calibri"/>
          <w:sz w:val="24"/>
          <w:szCs w:val="24"/>
        </w:rPr>
      </w:pPr>
      <w:r w:rsidRPr="00624753">
        <w:rPr>
          <w:rFonts w:ascii="Calibri" w:hAnsi="Calibri" w:cs="Calibri"/>
          <w:sz w:val="24"/>
          <w:szCs w:val="24"/>
        </w:rPr>
        <w:t>BARTHES, R., 1984 [1972], «</w:t>
      </w:r>
      <w:r w:rsidR="00EB6174" w:rsidRPr="00624753">
        <w:rPr>
          <w:rFonts w:ascii="Calibri" w:hAnsi="Calibri" w:cs="Calibri"/>
          <w:sz w:val="24"/>
          <w:szCs w:val="24"/>
        </w:rPr>
        <w:t> </w:t>
      </w:r>
      <w:r w:rsidRPr="00624753">
        <w:rPr>
          <w:rFonts w:ascii="Calibri" w:hAnsi="Calibri" w:cs="Calibri"/>
          <w:sz w:val="24"/>
          <w:szCs w:val="24"/>
        </w:rPr>
        <w:t>Les sorties du texte</w:t>
      </w:r>
      <w:r w:rsidR="00EB6174" w:rsidRPr="00624753">
        <w:rPr>
          <w:rFonts w:ascii="Calibri" w:hAnsi="Calibri" w:cs="Calibri"/>
          <w:sz w:val="24"/>
          <w:szCs w:val="24"/>
        </w:rPr>
        <w:t> </w:t>
      </w:r>
      <w:r w:rsidRPr="00624753">
        <w:rPr>
          <w:rFonts w:ascii="Calibri" w:hAnsi="Calibri" w:cs="Calibri"/>
          <w:sz w:val="24"/>
          <w:szCs w:val="24"/>
        </w:rPr>
        <w:t xml:space="preserve">», dans </w:t>
      </w:r>
      <w:r w:rsidRPr="00624753">
        <w:rPr>
          <w:rFonts w:ascii="Calibri" w:hAnsi="Calibri" w:cs="Calibri"/>
          <w:i/>
          <w:iCs/>
          <w:sz w:val="24"/>
          <w:szCs w:val="24"/>
        </w:rPr>
        <w:t>Le bruissement de la langue. Essais critiques</w:t>
      </w:r>
      <w:r w:rsidR="00EB6174" w:rsidRPr="00624753">
        <w:rPr>
          <w:rFonts w:ascii="Calibri" w:hAnsi="Calibri" w:cs="Calibri"/>
          <w:i/>
          <w:iCs/>
          <w:sz w:val="24"/>
          <w:szCs w:val="24"/>
        </w:rPr>
        <w:t> </w:t>
      </w:r>
      <w:r w:rsidRPr="00624753">
        <w:rPr>
          <w:rFonts w:ascii="Calibri" w:hAnsi="Calibri" w:cs="Calibri"/>
          <w:sz w:val="24"/>
          <w:szCs w:val="24"/>
        </w:rPr>
        <w:t>IV, Paris, Seuil, p.</w:t>
      </w:r>
      <w:r w:rsidR="00EB6174" w:rsidRPr="00624753">
        <w:rPr>
          <w:rFonts w:ascii="Calibri" w:hAnsi="Calibri" w:cs="Calibri"/>
          <w:sz w:val="24"/>
          <w:szCs w:val="24"/>
        </w:rPr>
        <w:t> </w:t>
      </w:r>
      <w:r w:rsidRPr="00624753">
        <w:rPr>
          <w:rFonts w:ascii="Calibri" w:hAnsi="Calibri" w:cs="Calibri"/>
          <w:sz w:val="24"/>
          <w:szCs w:val="24"/>
        </w:rPr>
        <w:t>281-283.</w:t>
      </w:r>
    </w:p>
    <w:p w14:paraId="03C9F543" w14:textId="130D58BE" w:rsidR="00DA0D4A" w:rsidRPr="00624753" w:rsidRDefault="00DA0D4A" w:rsidP="000D437D">
      <w:pPr>
        <w:jc w:val="both"/>
        <w:rPr>
          <w:rFonts w:ascii="Calibri" w:hAnsi="Calibri" w:cs="Calibri"/>
          <w:sz w:val="24"/>
          <w:szCs w:val="24"/>
        </w:rPr>
      </w:pPr>
      <w:r w:rsidRPr="00624753">
        <w:rPr>
          <w:rFonts w:ascii="Calibri" w:hAnsi="Calibri" w:cs="Calibri"/>
          <w:sz w:val="24"/>
          <w:szCs w:val="24"/>
        </w:rPr>
        <w:t>LE GALL, J., 1903, «</w:t>
      </w:r>
      <w:r w:rsidR="00EB6174" w:rsidRPr="00624753">
        <w:rPr>
          <w:rFonts w:ascii="Calibri" w:hAnsi="Calibri" w:cs="Calibri"/>
          <w:sz w:val="24"/>
          <w:szCs w:val="24"/>
        </w:rPr>
        <w:t> </w:t>
      </w:r>
      <w:r w:rsidRPr="00624753">
        <w:rPr>
          <w:rFonts w:ascii="Calibri" w:hAnsi="Calibri" w:cs="Calibri"/>
          <w:sz w:val="24"/>
          <w:szCs w:val="24"/>
        </w:rPr>
        <w:t>Quelques recherches sur l’accent, le timbre et la quantité des voyelles dans le dialecte breton de Botsorhel</w:t>
      </w:r>
      <w:r w:rsidR="00EB6174" w:rsidRPr="00624753">
        <w:rPr>
          <w:rFonts w:ascii="Calibri" w:hAnsi="Calibri" w:cs="Calibri"/>
          <w:sz w:val="24"/>
          <w:szCs w:val="24"/>
        </w:rPr>
        <w:t> </w:t>
      </w:r>
      <w:r w:rsidRPr="00624753">
        <w:rPr>
          <w:rFonts w:ascii="Calibri" w:hAnsi="Calibri" w:cs="Calibri"/>
          <w:sz w:val="24"/>
          <w:szCs w:val="24"/>
        </w:rPr>
        <w:t xml:space="preserve">», </w:t>
      </w:r>
      <w:r w:rsidRPr="00624753">
        <w:rPr>
          <w:rFonts w:ascii="Calibri" w:hAnsi="Calibri" w:cs="Calibri"/>
          <w:i/>
          <w:iCs/>
          <w:sz w:val="24"/>
          <w:szCs w:val="24"/>
        </w:rPr>
        <w:t>Annales de Bretagne</w:t>
      </w:r>
      <w:r w:rsidRPr="00624753">
        <w:rPr>
          <w:rFonts w:ascii="Calibri" w:hAnsi="Calibri" w:cs="Calibri"/>
          <w:sz w:val="24"/>
          <w:szCs w:val="24"/>
        </w:rPr>
        <w:t>, 19/2, p.</w:t>
      </w:r>
      <w:r w:rsidR="00EB6174" w:rsidRPr="00624753">
        <w:rPr>
          <w:rFonts w:ascii="Calibri" w:hAnsi="Calibri" w:cs="Calibri"/>
          <w:sz w:val="24"/>
          <w:szCs w:val="24"/>
        </w:rPr>
        <w:t> </w:t>
      </w:r>
      <w:r w:rsidRPr="00624753">
        <w:rPr>
          <w:rFonts w:ascii="Calibri" w:hAnsi="Calibri" w:cs="Calibri"/>
          <w:sz w:val="24"/>
          <w:szCs w:val="24"/>
        </w:rPr>
        <w:t>249-266.</w:t>
      </w:r>
    </w:p>
    <w:p w14:paraId="75D2BD64" w14:textId="0C6E1B6B" w:rsidR="00DA0D4A" w:rsidRPr="00624753" w:rsidRDefault="00DA0D4A" w:rsidP="000D437D">
      <w:pPr>
        <w:jc w:val="both"/>
        <w:rPr>
          <w:rFonts w:ascii="Calibri" w:hAnsi="Calibri" w:cs="Calibri"/>
          <w:sz w:val="24"/>
          <w:szCs w:val="24"/>
        </w:rPr>
      </w:pPr>
      <w:r w:rsidRPr="00624753">
        <w:rPr>
          <w:rFonts w:ascii="Calibri" w:hAnsi="Calibri" w:cs="Calibri"/>
          <w:sz w:val="24"/>
          <w:szCs w:val="24"/>
        </w:rPr>
        <w:t>MAINGUENEAU, D. et COSSUTTA, D., 1995, «</w:t>
      </w:r>
      <w:r w:rsidR="00EB6174" w:rsidRPr="00624753">
        <w:rPr>
          <w:rFonts w:ascii="Calibri" w:hAnsi="Calibri" w:cs="Calibri"/>
          <w:sz w:val="24"/>
          <w:szCs w:val="24"/>
        </w:rPr>
        <w:t> </w:t>
      </w:r>
      <w:r w:rsidRPr="00624753">
        <w:rPr>
          <w:rFonts w:ascii="Calibri" w:hAnsi="Calibri" w:cs="Calibri"/>
          <w:sz w:val="24"/>
          <w:szCs w:val="24"/>
        </w:rPr>
        <w:t>L’analyse des discours constituants</w:t>
      </w:r>
      <w:r w:rsidR="00EB6174" w:rsidRPr="00624753">
        <w:rPr>
          <w:rFonts w:ascii="Calibri" w:hAnsi="Calibri" w:cs="Calibri"/>
          <w:sz w:val="24"/>
          <w:szCs w:val="24"/>
        </w:rPr>
        <w:t> </w:t>
      </w:r>
      <w:r w:rsidRPr="00624753">
        <w:rPr>
          <w:rFonts w:ascii="Calibri" w:hAnsi="Calibri" w:cs="Calibri"/>
          <w:sz w:val="24"/>
          <w:szCs w:val="24"/>
        </w:rPr>
        <w:t xml:space="preserve">», </w:t>
      </w:r>
      <w:r w:rsidRPr="00624753">
        <w:rPr>
          <w:rFonts w:ascii="Calibri" w:hAnsi="Calibri" w:cs="Calibri"/>
          <w:i/>
          <w:iCs/>
          <w:sz w:val="24"/>
          <w:szCs w:val="24"/>
        </w:rPr>
        <w:t>Langages</w:t>
      </w:r>
      <w:r w:rsidRPr="00624753">
        <w:rPr>
          <w:rFonts w:ascii="Calibri" w:hAnsi="Calibri" w:cs="Calibri"/>
          <w:sz w:val="24"/>
          <w:szCs w:val="24"/>
        </w:rPr>
        <w:t>, 117, p.</w:t>
      </w:r>
      <w:r w:rsidR="00EB6174" w:rsidRPr="00624753">
        <w:rPr>
          <w:rFonts w:ascii="Calibri" w:hAnsi="Calibri" w:cs="Calibri"/>
          <w:sz w:val="24"/>
          <w:szCs w:val="24"/>
        </w:rPr>
        <w:t> </w:t>
      </w:r>
      <w:r w:rsidRPr="00624753">
        <w:rPr>
          <w:rFonts w:ascii="Calibri" w:hAnsi="Calibri" w:cs="Calibri"/>
          <w:sz w:val="24"/>
          <w:szCs w:val="24"/>
        </w:rPr>
        <w:t>112-125.</w:t>
      </w:r>
    </w:p>
    <w:p w14:paraId="30B88C0E" w14:textId="69DA7DBD" w:rsidR="00DA0D4A" w:rsidRPr="00624753" w:rsidRDefault="00DA0D4A" w:rsidP="000D437D">
      <w:pPr>
        <w:jc w:val="both"/>
        <w:rPr>
          <w:rFonts w:ascii="Calibri" w:hAnsi="Calibri" w:cs="Calibri"/>
          <w:sz w:val="24"/>
          <w:szCs w:val="24"/>
        </w:rPr>
      </w:pPr>
      <w:r w:rsidRPr="00624753">
        <w:rPr>
          <w:rFonts w:ascii="Calibri" w:hAnsi="Calibri" w:cs="Calibri"/>
          <w:sz w:val="24"/>
          <w:szCs w:val="24"/>
        </w:rPr>
        <w:t>NORMAND, C., 1980, «</w:t>
      </w:r>
      <w:r w:rsidR="00EB6174" w:rsidRPr="00624753">
        <w:rPr>
          <w:rFonts w:ascii="Calibri" w:hAnsi="Calibri" w:cs="Calibri"/>
          <w:sz w:val="24"/>
          <w:szCs w:val="24"/>
        </w:rPr>
        <w:t> </w:t>
      </w:r>
      <w:r w:rsidRPr="00624753">
        <w:rPr>
          <w:rFonts w:ascii="Calibri" w:hAnsi="Calibri" w:cs="Calibri"/>
          <w:sz w:val="24"/>
          <w:szCs w:val="24"/>
        </w:rPr>
        <w:t>Faut-il se demander ce que parler veut dire</w:t>
      </w:r>
      <w:r w:rsidR="00EB6174" w:rsidRPr="00624753">
        <w:rPr>
          <w:rFonts w:ascii="Calibri" w:hAnsi="Calibri" w:cs="Calibri"/>
          <w:sz w:val="24"/>
          <w:szCs w:val="24"/>
        </w:rPr>
        <w:t> </w:t>
      </w:r>
      <w:r w:rsidRPr="00624753">
        <w:rPr>
          <w:rFonts w:ascii="Calibri" w:hAnsi="Calibri" w:cs="Calibri"/>
          <w:sz w:val="24"/>
          <w:szCs w:val="24"/>
        </w:rPr>
        <w:t>?</w:t>
      </w:r>
      <w:r w:rsidR="00EB6174" w:rsidRPr="00624753">
        <w:rPr>
          <w:rFonts w:ascii="Calibri" w:hAnsi="Calibri" w:cs="Calibri"/>
          <w:sz w:val="24"/>
          <w:szCs w:val="24"/>
        </w:rPr>
        <w:t> </w:t>
      </w:r>
      <w:r w:rsidRPr="00624753">
        <w:rPr>
          <w:rFonts w:ascii="Calibri" w:hAnsi="Calibri" w:cs="Calibri"/>
          <w:sz w:val="24"/>
          <w:szCs w:val="24"/>
        </w:rPr>
        <w:t xml:space="preserve">», </w:t>
      </w:r>
      <w:r w:rsidRPr="00624753">
        <w:rPr>
          <w:rFonts w:ascii="Calibri" w:hAnsi="Calibri" w:cs="Calibri"/>
          <w:i/>
          <w:iCs/>
          <w:sz w:val="24"/>
          <w:szCs w:val="24"/>
        </w:rPr>
        <w:t>Linx</w:t>
      </w:r>
      <w:r w:rsidRPr="00624753">
        <w:rPr>
          <w:rFonts w:ascii="Calibri" w:hAnsi="Calibri" w:cs="Calibri"/>
          <w:sz w:val="24"/>
          <w:szCs w:val="24"/>
        </w:rPr>
        <w:t>, 3, p.</w:t>
      </w:r>
      <w:r w:rsidR="00EB6174" w:rsidRPr="00624753">
        <w:rPr>
          <w:rFonts w:ascii="Calibri" w:hAnsi="Calibri" w:cs="Calibri"/>
          <w:sz w:val="24"/>
          <w:szCs w:val="24"/>
        </w:rPr>
        <w:t> </w:t>
      </w:r>
      <w:r w:rsidRPr="00624753">
        <w:rPr>
          <w:rFonts w:ascii="Calibri" w:hAnsi="Calibri" w:cs="Calibri"/>
          <w:sz w:val="24"/>
          <w:szCs w:val="24"/>
        </w:rPr>
        <w:t>7-64.</w:t>
      </w:r>
    </w:p>
    <w:p w14:paraId="40F87A77" w14:textId="6613BBD8" w:rsidR="000D437D" w:rsidRPr="00624753" w:rsidRDefault="00DA0D4A" w:rsidP="002A699F">
      <w:pPr>
        <w:jc w:val="both"/>
        <w:rPr>
          <w:rFonts w:ascii="Calibri" w:hAnsi="Calibri" w:cs="Calibri"/>
          <w:sz w:val="24"/>
          <w:szCs w:val="24"/>
        </w:rPr>
      </w:pPr>
      <w:r w:rsidRPr="00624753">
        <w:rPr>
          <w:rFonts w:ascii="Calibri" w:hAnsi="Calibri" w:cs="Calibri"/>
          <w:sz w:val="24"/>
          <w:szCs w:val="24"/>
        </w:rPr>
        <w:t>TESNIÈRE, L., 1929, «</w:t>
      </w:r>
      <w:r w:rsidR="00EB6174" w:rsidRPr="00624753">
        <w:rPr>
          <w:rFonts w:ascii="Calibri" w:hAnsi="Calibri" w:cs="Calibri"/>
          <w:sz w:val="24"/>
          <w:szCs w:val="24"/>
        </w:rPr>
        <w:t> </w:t>
      </w:r>
      <w:r w:rsidRPr="00624753">
        <w:rPr>
          <w:rFonts w:ascii="Calibri" w:hAnsi="Calibri" w:cs="Calibri"/>
          <w:sz w:val="24"/>
          <w:szCs w:val="24"/>
        </w:rPr>
        <w:t>L’accent slovène et le timbre des voyelles</w:t>
      </w:r>
      <w:r w:rsidR="00EB6174" w:rsidRPr="00624753">
        <w:rPr>
          <w:rFonts w:ascii="Calibri" w:hAnsi="Calibri" w:cs="Calibri"/>
          <w:sz w:val="24"/>
          <w:szCs w:val="24"/>
        </w:rPr>
        <w:t> </w:t>
      </w:r>
      <w:r w:rsidRPr="00624753">
        <w:rPr>
          <w:rFonts w:ascii="Calibri" w:hAnsi="Calibri" w:cs="Calibri"/>
          <w:sz w:val="24"/>
          <w:szCs w:val="24"/>
        </w:rPr>
        <w:t xml:space="preserve">», </w:t>
      </w:r>
      <w:r w:rsidRPr="00624753">
        <w:rPr>
          <w:rFonts w:ascii="Calibri" w:hAnsi="Calibri" w:cs="Calibri"/>
          <w:i/>
          <w:iCs/>
          <w:sz w:val="24"/>
          <w:szCs w:val="24"/>
        </w:rPr>
        <w:t>Revue des études slaves</w:t>
      </w:r>
      <w:r w:rsidRPr="00624753">
        <w:rPr>
          <w:rFonts w:ascii="Calibri" w:hAnsi="Calibri" w:cs="Calibri"/>
          <w:sz w:val="24"/>
          <w:szCs w:val="24"/>
        </w:rPr>
        <w:t>, 9/1-2, p.</w:t>
      </w:r>
      <w:r w:rsidR="00EB6174" w:rsidRPr="00624753">
        <w:rPr>
          <w:rFonts w:ascii="Calibri" w:hAnsi="Calibri" w:cs="Calibri"/>
          <w:sz w:val="24"/>
          <w:szCs w:val="24"/>
        </w:rPr>
        <w:t> </w:t>
      </w:r>
      <w:r w:rsidRPr="00624753">
        <w:rPr>
          <w:rFonts w:ascii="Calibri" w:hAnsi="Calibri" w:cs="Calibri"/>
          <w:sz w:val="24"/>
          <w:szCs w:val="24"/>
        </w:rPr>
        <w:t>89-118.</w:t>
      </w:r>
    </w:p>
    <w:sectPr w:rsidR="000D437D" w:rsidRPr="006247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DB8F" w14:textId="77777777" w:rsidR="00CA2FB1" w:rsidRDefault="00CA2FB1" w:rsidP="0043745A">
      <w:pPr>
        <w:spacing w:after="0" w:line="240" w:lineRule="auto"/>
      </w:pPr>
      <w:r>
        <w:separator/>
      </w:r>
    </w:p>
  </w:endnote>
  <w:endnote w:type="continuationSeparator" w:id="0">
    <w:p w14:paraId="1AB91EBE" w14:textId="77777777" w:rsidR="00CA2FB1" w:rsidRDefault="00CA2FB1" w:rsidP="0043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20044"/>
      <w:docPartObj>
        <w:docPartGallery w:val="Page Numbers (Bottom of Page)"/>
        <w:docPartUnique/>
      </w:docPartObj>
    </w:sdtPr>
    <w:sdtEndPr>
      <w:rPr>
        <w:rFonts w:asciiTheme="minorHAnsi" w:hAnsiTheme="minorHAnsi"/>
      </w:rPr>
    </w:sdtEndPr>
    <w:sdtContent>
      <w:p w14:paraId="75AAE0AB" w14:textId="61F3EF84" w:rsidR="0043745A" w:rsidRPr="0043745A" w:rsidRDefault="0043745A" w:rsidP="0043745A">
        <w:pPr>
          <w:pStyle w:val="Pieddepage"/>
          <w:jc w:val="center"/>
          <w:rPr>
            <w:rFonts w:asciiTheme="minorHAnsi" w:hAnsiTheme="minorHAnsi"/>
          </w:rPr>
        </w:pPr>
        <w:r w:rsidRPr="0043745A">
          <w:rPr>
            <w:rFonts w:asciiTheme="minorHAnsi" w:hAnsiTheme="minorHAnsi"/>
          </w:rPr>
          <w:fldChar w:fldCharType="begin"/>
        </w:r>
        <w:r w:rsidRPr="0043745A">
          <w:rPr>
            <w:rFonts w:asciiTheme="minorHAnsi" w:hAnsiTheme="minorHAnsi"/>
          </w:rPr>
          <w:instrText>PAGE   \* MERGEFORMAT</w:instrText>
        </w:r>
        <w:r w:rsidRPr="0043745A">
          <w:rPr>
            <w:rFonts w:asciiTheme="minorHAnsi" w:hAnsiTheme="minorHAnsi"/>
          </w:rPr>
          <w:fldChar w:fldCharType="separate"/>
        </w:r>
        <w:r w:rsidRPr="0043745A">
          <w:rPr>
            <w:rFonts w:asciiTheme="minorHAnsi" w:hAnsiTheme="minorHAnsi"/>
            <w:lang w:val="fr-FR"/>
          </w:rPr>
          <w:t>2</w:t>
        </w:r>
        <w:r w:rsidRPr="0043745A">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7015" w14:textId="77777777" w:rsidR="00CA2FB1" w:rsidRDefault="00CA2FB1" w:rsidP="0043745A">
      <w:pPr>
        <w:spacing w:after="0" w:line="240" w:lineRule="auto"/>
      </w:pPr>
      <w:r>
        <w:separator/>
      </w:r>
    </w:p>
  </w:footnote>
  <w:footnote w:type="continuationSeparator" w:id="0">
    <w:p w14:paraId="3CF94149" w14:textId="77777777" w:rsidR="00CA2FB1" w:rsidRDefault="00CA2FB1" w:rsidP="00437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2C2B"/>
    <w:multiLevelType w:val="hybridMultilevel"/>
    <w:tmpl w:val="B364A2C4"/>
    <w:lvl w:ilvl="0" w:tplc="44E09A0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9566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2D"/>
    <w:rsid w:val="000057DF"/>
    <w:rsid w:val="00021BEA"/>
    <w:rsid w:val="00023394"/>
    <w:rsid w:val="000270D6"/>
    <w:rsid w:val="00030CA0"/>
    <w:rsid w:val="00036A23"/>
    <w:rsid w:val="00041289"/>
    <w:rsid w:val="000552AD"/>
    <w:rsid w:val="0005576F"/>
    <w:rsid w:val="00065876"/>
    <w:rsid w:val="00070F66"/>
    <w:rsid w:val="00073754"/>
    <w:rsid w:val="00075352"/>
    <w:rsid w:val="000778EA"/>
    <w:rsid w:val="00085B2D"/>
    <w:rsid w:val="000865EA"/>
    <w:rsid w:val="00095213"/>
    <w:rsid w:val="00097F26"/>
    <w:rsid w:val="000A369B"/>
    <w:rsid w:val="000C7575"/>
    <w:rsid w:val="000D437D"/>
    <w:rsid w:val="00100AF7"/>
    <w:rsid w:val="00105E3C"/>
    <w:rsid w:val="00111CFA"/>
    <w:rsid w:val="00114078"/>
    <w:rsid w:val="001149BA"/>
    <w:rsid w:val="00136336"/>
    <w:rsid w:val="001507EE"/>
    <w:rsid w:val="00152650"/>
    <w:rsid w:val="00167799"/>
    <w:rsid w:val="00170EF4"/>
    <w:rsid w:val="00180152"/>
    <w:rsid w:val="001A4102"/>
    <w:rsid w:val="001A74D4"/>
    <w:rsid w:val="001C46B9"/>
    <w:rsid w:val="001D11B7"/>
    <w:rsid w:val="001D1D98"/>
    <w:rsid w:val="001E0F6C"/>
    <w:rsid w:val="001E15C4"/>
    <w:rsid w:val="001E6BDC"/>
    <w:rsid w:val="001F6D31"/>
    <w:rsid w:val="002042E9"/>
    <w:rsid w:val="00221FCF"/>
    <w:rsid w:val="0023085A"/>
    <w:rsid w:val="00230F69"/>
    <w:rsid w:val="0023593C"/>
    <w:rsid w:val="0024707A"/>
    <w:rsid w:val="00255FCD"/>
    <w:rsid w:val="00265353"/>
    <w:rsid w:val="0026582B"/>
    <w:rsid w:val="00276274"/>
    <w:rsid w:val="00276F2A"/>
    <w:rsid w:val="00277BA5"/>
    <w:rsid w:val="00283987"/>
    <w:rsid w:val="002A1766"/>
    <w:rsid w:val="002A2036"/>
    <w:rsid w:val="002A5378"/>
    <w:rsid w:val="002A699F"/>
    <w:rsid w:val="002B0739"/>
    <w:rsid w:val="002B41C7"/>
    <w:rsid w:val="002B676C"/>
    <w:rsid w:val="002B7417"/>
    <w:rsid w:val="002C25D1"/>
    <w:rsid w:val="002C65B5"/>
    <w:rsid w:val="002C6C64"/>
    <w:rsid w:val="002E14C4"/>
    <w:rsid w:val="002E22AC"/>
    <w:rsid w:val="002E5863"/>
    <w:rsid w:val="002E694F"/>
    <w:rsid w:val="002F5BB1"/>
    <w:rsid w:val="00300A3E"/>
    <w:rsid w:val="00304EDF"/>
    <w:rsid w:val="00305E64"/>
    <w:rsid w:val="00310C59"/>
    <w:rsid w:val="00313FDD"/>
    <w:rsid w:val="00324EB6"/>
    <w:rsid w:val="00330947"/>
    <w:rsid w:val="00334F4D"/>
    <w:rsid w:val="0033557C"/>
    <w:rsid w:val="00340C11"/>
    <w:rsid w:val="00344520"/>
    <w:rsid w:val="0034457B"/>
    <w:rsid w:val="00374355"/>
    <w:rsid w:val="00380441"/>
    <w:rsid w:val="00395975"/>
    <w:rsid w:val="003A711F"/>
    <w:rsid w:val="003D0560"/>
    <w:rsid w:val="003D1DD2"/>
    <w:rsid w:val="004004DD"/>
    <w:rsid w:val="00414779"/>
    <w:rsid w:val="004161D5"/>
    <w:rsid w:val="0042646C"/>
    <w:rsid w:val="00435151"/>
    <w:rsid w:val="0043745A"/>
    <w:rsid w:val="0045598E"/>
    <w:rsid w:val="0046503C"/>
    <w:rsid w:val="00475964"/>
    <w:rsid w:val="004840F0"/>
    <w:rsid w:val="004B29A5"/>
    <w:rsid w:val="004D050E"/>
    <w:rsid w:val="004D1328"/>
    <w:rsid w:val="004E4BA2"/>
    <w:rsid w:val="004E5D8A"/>
    <w:rsid w:val="004F3F70"/>
    <w:rsid w:val="004F5BA5"/>
    <w:rsid w:val="00500D91"/>
    <w:rsid w:val="00521965"/>
    <w:rsid w:val="00523483"/>
    <w:rsid w:val="0053174C"/>
    <w:rsid w:val="00544466"/>
    <w:rsid w:val="005543DB"/>
    <w:rsid w:val="00562DCA"/>
    <w:rsid w:val="00563820"/>
    <w:rsid w:val="00570578"/>
    <w:rsid w:val="0057064A"/>
    <w:rsid w:val="0057144A"/>
    <w:rsid w:val="005718CC"/>
    <w:rsid w:val="00573738"/>
    <w:rsid w:val="00586A4F"/>
    <w:rsid w:val="005949DA"/>
    <w:rsid w:val="00597E01"/>
    <w:rsid w:val="005A1A91"/>
    <w:rsid w:val="005A2D3F"/>
    <w:rsid w:val="005B07F5"/>
    <w:rsid w:val="005E7A62"/>
    <w:rsid w:val="005F421E"/>
    <w:rsid w:val="00613DB2"/>
    <w:rsid w:val="0061763A"/>
    <w:rsid w:val="00624753"/>
    <w:rsid w:val="006266FD"/>
    <w:rsid w:val="00642AE7"/>
    <w:rsid w:val="00651346"/>
    <w:rsid w:val="00651755"/>
    <w:rsid w:val="0066549F"/>
    <w:rsid w:val="006716BB"/>
    <w:rsid w:val="00680544"/>
    <w:rsid w:val="006A3955"/>
    <w:rsid w:val="006A669C"/>
    <w:rsid w:val="006C5B11"/>
    <w:rsid w:val="006D0B11"/>
    <w:rsid w:val="006D1C8D"/>
    <w:rsid w:val="006D68DB"/>
    <w:rsid w:val="006E7D16"/>
    <w:rsid w:val="006F5A82"/>
    <w:rsid w:val="00706562"/>
    <w:rsid w:val="00730A16"/>
    <w:rsid w:val="0074229C"/>
    <w:rsid w:val="00753CD3"/>
    <w:rsid w:val="00774E95"/>
    <w:rsid w:val="007C30A3"/>
    <w:rsid w:val="007E0E49"/>
    <w:rsid w:val="007E3048"/>
    <w:rsid w:val="007F0FD1"/>
    <w:rsid w:val="007F2DAE"/>
    <w:rsid w:val="007F680A"/>
    <w:rsid w:val="008151D9"/>
    <w:rsid w:val="00830D97"/>
    <w:rsid w:val="008613C4"/>
    <w:rsid w:val="00867735"/>
    <w:rsid w:val="008737D4"/>
    <w:rsid w:val="00874492"/>
    <w:rsid w:val="00875307"/>
    <w:rsid w:val="00885749"/>
    <w:rsid w:val="00890665"/>
    <w:rsid w:val="00891297"/>
    <w:rsid w:val="008A513D"/>
    <w:rsid w:val="008B0D34"/>
    <w:rsid w:val="008B38FB"/>
    <w:rsid w:val="008C04F8"/>
    <w:rsid w:val="008C4577"/>
    <w:rsid w:val="008C4EDB"/>
    <w:rsid w:val="008F19D5"/>
    <w:rsid w:val="008F5670"/>
    <w:rsid w:val="00912BF1"/>
    <w:rsid w:val="00913CD6"/>
    <w:rsid w:val="00916FB7"/>
    <w:rsid w:val="009179D0"/>
    <w:rsid w:val="00927EC5"/>
    <w:rsid w:val="009330BF"/>
    <w:rsid w:val="009335E1"/>
    <w:rsid w:val="009367D5"/>
    <w:rsid w:val="0094359B"/>
    <w:rsid w:val="009474F1"/>
    <w:rsid w:val="0094759F"/>
    <w:rsid w:val="0095176B"/>
    <w:rsid w:val="00952938"/>
    <w:rsid w:val="0096282D"/>
    <w:rsid w:val="00983684"/>
    <w:rsid w:val="009936BD"/>
    <w:rsid w:val="00993822"/>
    <w:rsid w:val="00996D09"/>
    <w:rsid w:val="009B1CF6"/>
    <w:rsid w:val="009B2E11"/>
    <w:rsid w:val="009B7392"/>
    <w:rsid w:val="009D2727"/>
    <w:rsid w:val="009E354F"/>
    <w:rsid w:val="009E4D28"/>
    <w:rsid w:val="009E73E3"/>
    <w:rsid w:val="00A01739"/>
    <w:rsid w:val="00A066EF"/>
    <w:rsid w:val="00A11A14"/>
    <w:rsid w:val="00A32EDC"/>
    <w:rsid w:val="00A36330"/>
    <w:rsid w:val="00A42419"/>
    <w:rsid w:val="00A50AA6"/>
    <w:rsid w:val="00A50FEC"/>
    <w:rsid w:val="00A5173C"/>
    <w:rsid w:val="00A52A3F"/>
    <w:rsid w:val="00A60B12"/>
    <w:rsid w:val="00A6540D"/>
    <w:rsid w:val="00A662BF"/>
    <w:rsid w:val="00A756F8"/>
    <w:rsid w:val="00A7616D"/>
    <w:rsid w:val="00A81872"/>
    <w:rsid w:val="00A87AB8"/>
    <w:rsid w:val="00A903FD"/>
    <w:rsid w:val="00A937C2"/>
    <w:rsid w:val="00A96DE1"/>
    <w:rsid w:val="00A97B96"/>
    <w:rsid w:val="00AA5C57"/>
    <w:rsid w:val="00AB33B4"/>
    <w:rsid w:val="00AB520A"/>
    <w:rsid w:val="00AB5283"/>
    <w:rsid w:val="00AC0B7A"/>
    <w:rsid w:val="00AC0F3B"/>
    <w:rsid w:val="00AD0370"/>
    <w:rsid w:val="00AD0D81"/>
    <w:rsid w:val="00AD35A4"/>
    <w:rsid w:val="00AE3492"/>
    <w:rsid w:val="00AF0B2D"/>
    <w:rsid w:val="00AF1209"/>
    <w:rsid w:val="00B01A15"/>
    <w:rsid w:val="00B07B7D"/>
    <w:rsid w:val="00B174C9"/>
    <w:rsid w:val="00B27D92"/>
    <w:rsid w:val="00B316CD"/>
    <w:rsid w:val="00B32564"/>
    <w:rsid w:val="00B37429"/>
    <w:rsid w:val="00B37C46"/>
    <w:rsid w:val="00B41591"/>
    <w:rsid w:val="00B62BD3"/>
    <w:rsid w:val="00B6306E"/>
    <w:rsid w:val="00B663FE"/>
    <w:rsid w:val="00B84521"/>
    <w:rsid w:val="00B849A8"/>
    <w:rsid w:val="00B90E79"/>
    <w:rsid w:val="00BA06C3"/>
    <w:rsid w:val="00BA4B42"/>
    <w:rsid w:val="00BA59BD"/>
    <w:rsid w:val="00BC044C"/>
    <w:rsid w:val="00BD3FAA"/>
    <w:rsid w:val="00BE1F2E"/>
    <w:rsid w:val="00BE5208"/>
    <w:rsid w:val="00BF1422"/>
    <w:rsid w:val="00C06D77"/>
    <w:rsid w:val="00C11718"/>
    <w:rsid w:val="00C12DC0"/>
    <w:rsid w:val="00C26319"/>
    <w:rsid w:val="00C36AC4"/>
    <w:rsid w:val="00C4281D"/>
    <w:rsid w:val="00C51492"/>
    <w:rsid w:val="00C85280"/>
    <w:rsid w:val="00C92B10"/>
    <w:rsid w:val="00CA2E09"/>
    <w:rsid w:val="00CA2FB1"/>
    <w:rsid w:val="00CB0C27"/>
    <w:rsid w:val="00CB29D0"/>
    <w:rsid w:val="00CD5889"/>
    <w:rsid w:val="00CF10C4"/>
    <w:rsid w:val="00CF3E39"/>
    <w:rsid w:val="00CF4E4F"/>
    <w:rsid w:val="00D016D6"/>
    <w:rsid w:val="00D02C18"/>
    <w:rsid w:val="00D11410"/>
    <w:rsid w:val="00D407BE"/>
    <w:rsid w:val="00D429F7"/>
    <w:rsid w:val="00D4779B"/>
    <w:rsid w:val="00D47CF6"/>
    <w:rsid w:val="00D50A2A"/>
    <w:rsid w:val="00D54739"/>
    <w:rsid w:val="00D707B1"/>
    <w:rsid w:val="00D805F0"/>
    <w:rsid w:val="00D83821"/>
    <w:rsid w:val="00D903AD"/>
    <w:rsid w:val="00D94D7C"/>
    <w:rsid w:val="00DA0D4A"/>
    <w:rsid w:val="00DA7348"/>
    <w:rsid w:val="00DB1525"/>
    <w:rsid w:val="00DB427B"/>
    <w:rsid w:val="00DB55CF"/>
    <w:rsid w:val="00DC7841"/>
    <w:rsid w:val="00DD66CA"/>
    <w:rsid w:val="00DE3F63"/>
    <w:rsid w:val="00DF3990"/>
    <w:rsid w:val="00E03EAC"/>
    <w:rsid w:val="00E22F7E"/>
    <w:rsid w:val="00E2745B"/>
    <w:rsid w:val="00E31777"/>
    <w:rsid w:val="00E42CCB"/>
    <w:rsid w:val="00E439C2"/>
    <w:rsid w:val="00E46CA9"/>
    <w:rsid w:val="00E504B7"/>
    <w:rsid w:val="00E532A8"/>
    <w:rsid w:val="00E602CB"/>
    <w:rsid w:val="00E6364A"/>
    <w:rsid w:val="00E741EF"/>
    <w:rsid w:val="00E84BDA"/>
    <w:rsid w:val="00E91306"/>
    <w:rsid w:val="00EB2D0F"/>
    <w:rsid w:val="00EB6174"/>
    <w:rsid w:val="00EC4F8D"/>
    <w:rsid w:val="00ED50C5"/>
    <w:rsid w:val="00EE39D9"/>
    <w:rsid w:val="00EE5D27"/>
    <w:rsid w:val="00EE604A"/>
    <w:rsid w:val="00EE74DA"/>
    <w:rsid w:val="00EF6A4A"/>
    <w:rsid w:val="00F04648"/>
    <w:rsid w:val="00F1413F"/>
    <w:rsid w:val="00F16D6A"/>
    <w:rsid w:val="00F24425"/>
    <w:rsid w:val="00F31D2E"/>
    <w:rsid w:val="00F3614C"/>
    <w:rsid w:val="00F366E2"/>
    <w:rsid w:val="00F42284"/>
    <w:rsid w:val="00F56434"/>
    <w:rsid w:val="00F74353"/>
    <w:rsid w:val="00F847F5"/>
    <w:rsid w:val="00F93E74"/>
    <w:rsid w:val="00FA6534"/>
    <w:rsid w:val="00FA67DA"/>
    <w:rsid w:val="00FC5740"/>
    <w:rsid w:val="00FD223B"/>
    <w:rsid w:val="00FD247C"/>
    <w:rsid w:val="00FD68EB"/>
    <w:rsid w:val="00FE16BC"/>
    <w:rsid w:val="00FE3BD0"/>
    <w:rsid w:val="00FE527D"/>
    <w:rsid w:val="00FF37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4B55"/>
  <w15:chartTrackingRefBased/>
  <w15:docId w15:val="{0498FD2A-A2CC-4D07-A5C2-411EA5D2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70"/>
    <w:rPr>
      <w:rFonts w:ascii="Times New Roman" w:hAnsi="Times New Roman"/>
    </w:rPr>
  </w:style>
  <w:style w:type="paragraph" w:styleId="Titre1">
    <w:name w:val="heading 1"/>
    <w:basedOn w:val="Normal"/>
    <w:next w:val="Normal"/>
    <w:link w:val="Titre1Car"/>
    <w:uiPriority w:val="9"/>
    <w:qFormat/>
    <w:rsid w:val="00085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5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5B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5B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85B2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85B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85B2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85B2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85B2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B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5B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5B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5B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5B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5B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5B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5B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5B2D"/>
    <w:rPr>
      <w:rFonts w:eastAsiaTheme="majorEastAsia" w:cstheme="majorBidi"/>
      <w:color w:val="272727" w:themeColor="text1" w:themeTint="D8"/>
    </w:rPr>
  </w:style>
  <w:style w:type="paragraph" w:styleId="Titre">
    <w:name w:val="Title"/>
    <w:basedOn w:val="Normal"/>
    <w:next w:val="Normal"/>
    <w:link w:val="TitreCar"/>
    <w:uiPriority w:val="10"/>
    <w:qFormat/>
    <w:rsid w:val="00085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5B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5B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5B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5B2D"/>
    <w:pPr>
      <w:spacing w:before="160"/>
      <w:jc w:val="center"/>
    </w:pPr>
    <w:rPr>
      <w:i/>
      <w:iCs/>
      <w:color w:val="404040" w:themeColor="text1" w:themeTint="BF"/>
    </w:rPr>
  </w:style>
  <w:style w:type="character" w:customStyle="1" w:styleId="CitationCar">
    <w:name w:val="Citation Car"/>
    <w:basedOn w:val="Policepardfaut"/>
    <w:link w:val="Citation"/>
    <w:uiPriority w:val="29"/>
    <w:rsid w:val="00085B2D"/>
    <w:rPr>
      <w:rFonts w:ascii="Times New Roman" w:hAnsi="Times New Roman"/>
      <w:i/>
      <w:iCs/>
      <w:color w:val="404040" w:themeColor="text1" w:themeTint="BF"/>
    </w:rPr>
  </w:style>
  <w:style w:type="paragraph" w:styleId="Paragraphedeliste">
    <w:name w:val="List Paragraph"/>
    <w:basedOn w:val="Normal"/>
    <w:uiPriority w:val="34"/>
    <w:qFormat/>
    <w:rsid w:val="00085B2D"/>
    <w:pPr>
      <w:ind w:left="720"/>
      <w:contextualSpacing/>
    </w:pPr>
  </w:style>
  <w:style w:type="character" w:styleId="Accentuationintense">
    <w:name w:val="Intense Emphasis"/>
    <w:basedOn w:val="Policepardfaut"/>
    <w:uiPriority w:val="21"/>
    <w:qFormat/>
    <w:rsid w:val="00085B2D"/>
    <w:rPr>
      <w:i/>
      <w:iCs/>
      <w:color w:val="0F4761" w:themeColor="accent1" w:themeShade="BF"/>
    </w:rPr>
  </w:style>
  <w:style w:type="paragraph" w:styleId="Citationintense">
    <w:name w:val="Intense Quote"/>
    <w:basedOn w:val="Normal"/>
    <w:next w:val="Normal"/>
    <w:link w:val="CitationintenseCar"/>
    <w:uiPriority w:val="30"/>
    <w:qFormat/>
    <w:rsid w:val="0008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5B2D"/>
    <w:rPr>
      <w:rFonts w:ascii="Times New Roman" w:hAnsi="Times New Roman"/>
      <w:i/>
      <w:iCs/>
      <w:color w:val="0F4761" w:themeColor="accent1" w:themeShade="BF"/>
    </w:rPr>
  </w:style>
  <w:style w:type="character" w:styleId="Rfrenceintense">
    <w:name w:val="Intense Reference"/>
    <w:basedOn w:val="Policepardfaut"/>
    <w:uiPriority w:val="32"/>
    <w:qFormat/>
    <w:rsid w:val="00085B2D"/>
    <w:rPr>
      <w:b/>
      <w:bCs/>
      <w:smallCaps/>
      <w:color w:val="0F4761" w:themeColor="accent1" w:themeShade="BF"/>
      <w:spacing w:val="5"/>
    </w:rPr>
  </w:style>
  <w:style w:type="character" w:styleId="Lienhypertexte">
    <w:name w:val="Hyperlink"/>
    <w:basedOn w:val="Policepardfaut"/>
    <w:uiPriority w:val="99"/>
    <w:unhideWhenUsed/>
    <w:rsid w:val="00B01A15"/>
    <w:rPr>
      <w:color w:val="467886" w:themeColor="hyperlink"/>
      <w:u w:val="single"/>
    </w:rPr>
  </w:style>
  <w:style w:type="character" w:styleId="Mentionnonrsolue">
    <w:name w:val="Unresolved Mention"/>
    <w:basedOn w:val="Policepardfaut"/>
    <w:uiPriority w:val="99"/>
    <w:semiHidden/>
    <w:unhideWhenUsed/>
    <w:rsid w:val="00B01A15"/>
    <w:rPr>
      <w:color w:val="605E5C"/>
      <w:shd w:val="clear" w:color="auto" w:fill="E1DFDD"/>
    </w:rPr>
  </w:style>
  <w:style w:type="paragraph" w:styleId="En-tte">
    <w:name w:val="header"/>
    <w:basedOn w:val="Normal"/>
    <w:link w:val="En-tteCar"/>
    <w:uiPriority w:val="99"/>
    <w:unhideWhenUsed/>
    <w:rsid w:val="0043745A"/>
    <w:pPr>
      <w:tabs>
        <w:tab w:val="center" w:pos="4536"/>
        <w:tab w:val="right" w:pos="9072"/>
      </w:tabs>
      <w:spacing w:after="0" w:line="240" w:lineRule="auto"/>
    </w:pPr>
  </w:style>
  <w:style w:type="character" w:customStyle="1" w:styleId="En-tteCar">
    <w:name w:val="En-tête Car"/>
    <w:basedOn w:val="Policepardfaut"/>
    <w:link w:val="En-tte"/>
    <w:uiPriority w:val="99"/>
    <w:rsid w:val="0043745A"/>
    <w:rPr>
      <w:rFonts w:ascii="Times New Roman" w:hAnsi="Times New Roman"/>
    </w:rPr>
  </w:style>
  <w:style w:type="paragraph" w:styleId="Pieddepage">
    <w:name w:val="footer"/>
    <w:basedOn w:val="Normal"/>
    <w:link w:val="PieddepageCar"/>
    <w:uiPriority w:val="99"/>
    <w:unhideWhenUsed/>
    <w:rsid w:val="004374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45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5</Pages>
  <Words>2370</Words>
  <Characters>13510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Gregov Nicolas</dc:creator>
  <cp:keywords/>
  <dc:description/>
  <cp:lastModifiedBy>Nicolas Gregov</cp:lastModifiedBy>
  <cp:revision>311</cp:revision>
  <dcterms:created xsi:type="dcterms:W3CDTF">2025-02-21T10:11:00Z</dcterms:created>
  <dcterms:modified xsi:type="dcterms:W3CDTF">2025-03-08T12:24:00Z</dcterms:modified>
</cp:coreProperties>
</file>