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AA11D" w14:textId="0DF9FF8F" w:rsidR="00F038F2" w:rsidRDefault="00F038F2" w:rsidP="00F038F2">
      <w:pPr>
        <w:rPr>
          <w:b/>
          <w:bCs/>
        </w:rPr>
      </w:pPr>
      <w:r w:rsidRPr="00A174FD">
        <w:rPr>
          <w:b/>
          <w:bCs/>
        </w:rPr>
        <w:t xml:space="preserve">Le territoire et les musées de société : vers un </w:t>
      </w:r>
      <w:r w:rsidR="00476B60">
        <w:rPr>
          <w:b/>
          <w:bCs/>
        </w:rPr>
        <w:t>« </w:t>
      </w:r>
      <w:r w:rsidRPr="00A174FD">
        <w:rPr>
          <w:b/>
          <w:bCs/>
        </w:rPr>
        <w:t>musée de territoire</w:t>
      </w:r>
      <w:r w:rsidR="00476B60">
        <w:rPr>
          <w:b/>
          <w:bCs/>
        </w:rPr>
        <w:t> »</w:t>
      </w:r>
    </w:p>
    <w:p w14:paraId="511270FF" w14:textId="3BABBDA7" w:rsidR="00476B60" w:rsidRPr="00A174FD" w:rsidRDefault="00476B60" w:rsidP="00F038F2">
      <w:pPr>
        <w:rPr>
          <w:b/>
          <w:bCs/>
        </w:rPr>
      </w:pPr>
      <w:r>
        <w:rPr>
          <w:b/>
          <w:bCs/>
        </w:rPr>
        <w:t xml:space="preserve">Nicolas NAVARRO </w:t>
      </w:r>
    </w:p>
    <w:p w14:paraId="0B33B991" w14:textId="77777777" w:rsidR="00F038F2" w:rsidRDefault="00F038F2" w:rsidP="00F038F2"/>
    <w:p w14:paraId="655D1787" w14:textId="064DB3A9" w:rsidR="000F3ADD" w:rsidRDefault="000F3ADD" w:rsidP="000F3ADD">
      <w:r>
        <w:t xml:space="preserve">Le changement de nom relève-t-il simplement de l’anecdote dans l’histoire d’un musée ? Lorsque le </w:t>
      </w:r>
      <w:r w:rsidRPr="000F3ADD">
        <w:rPr>
          <w:i/>
          <w:iCs/>
        </w:rPr>
        <w:t xml:space="preserve">Musée diocésain en </w:t>
      </w:r>
      <w:proofErr w:type="spellStart"/>
      <w:r w:rsidRPr="000F3ADD">
        <w:rPr>
          <w:i/>
          <w:iCs/>
        </w:rPr>
        <w:t>Piconrue</w:t>
      </w:r>
      <w:proofErr w:type="spellEnd"/>
      <w:r w:rsidRPr="000F3ADD">
        <w:rPr>
          <w:i/>
          <w:iCs/>
        </w:rPr>
        <w:t xml:space="preserve">, ethnologie, légendes, arts religieux et croyances populaires en Ardenne et </w:t>
      </w:r>
      <w:r w:rsidR="003D455D">
        <w:rPr>
          <w:i/>
          <w:iCs/>
        </w:rPr>
        <w:t>Luxembourg,</w:t>
      </w:r>
      <w:r>
        <w:t xml:space="preserve"> ou en abrégé </w:t>
      </w:r>
      <w:r w:rsidRPr="000F3ADD">
        <w:rPr>
          <w:i/>
          <w:iCs/>
        </w:rPr>
        <w:t xml:space="preserve">Musée en </w:t>
      </w:r>
      <w:proofErr w:type="spellStart"/>
      <w:r w:rsidRPr="000F3ADD">
        <w:rPr>
          <w:i/>
          <w:iCs/>
        </w:rPr>
        <w:t>Piconrue</w:t>
      </w:r>
      <w:proofErr w:type="spellEnd"/>
      <w:r w:rsidR="003D455D">
        <w:rPr>
          <w:i/>
          <w:iCs/>
        </w:rPr>
        <w:t>,</w:t>
      </w:r>
      <w:r>
        <w:t xml:space="preserve"> décide en 2019 de changer de nom pour devenir </w:t>
      </w:r>
      <w:proofErr w:type="spellStart"/>
      <w:r w:rsidRPr="000F3ADD">
        <w:rPr>
          <w:i/>
          <w:iCs/>
        </w:rPr>
        <w:t>Piconrue</w:t>
      </w:r>
      <w:proofErr w:type="spellEnd"/>
      <w:r w:rsidRPr="000F3ADD">
        <w:rPr>
          <w:i/>
          <w:iCs/>
        </w:rPr>
        <w:t xml:space="preserve"> </w:t>
      </w:r>
      <w:r w:rsidR="00E74F37">
        <w:rPr>
          <w:i/>
          <w:iCs/>
        </w:rPr>
        <w:t>–</w:t>
      </w:r>
      <w:r w:rsidRPr="000F3ADD">
        <w:rPr>
          <w:i/>
          <w:iCs/>
        </w:rPr>
        <w:t xml:space="preserve"> Musée de la Grande Ardenne</w:t>
      </w:r>
      <w:r>
        <w:t xml:space="preserve">, ce n’est </w:t>
      </w:r>
      <w:r w:rsidR="00E74F37">
        <w:t xml:space="preserve">sans doute </w:t>
      </w:r>
      <w:r>
        <w:t>pas uniquement un nom qui est modifié mais l</w:t>
      </w:r>
      <w:r w:rsidR="00E74F37">
        <w:t>a manière de présenter, d’exposer au public l</w:t>
      </w:r>
      <w:r>
        <w:t xml:space="preserve">e projet muséal, politique qui lui est associé. </w:t>
      </w:r>
    </w:p>
    <w:p w14:paraId="492AE2D1" w14:textId="4AA69A1B" w:rsidR="000F3ADD" w:rsidRDefault="000F3ADD" w:rsidP="00DD125A">
      <w:r>
        <w:t xml:space="preserve">D’autres exemples récents ont démontré que ce changement était </w:t>
      </w:r>
      <w:r w:rsidR="00DD125A">
        <w:t>symptomatique d</w:t>
      </w:r>
      <w:r>
        <w:t>e</w:t>
      </w:r>
      <w:r w:rsidR="00DD125A">
        <w:t xml:space="preserve"> la</w:t>
      </w:r>
      <w:r>
        <w:t xml:space="preserve"> multiplicité de</w:t>
      </w:r>
      <w:r w:rsidR="00DD125A">
        <w:t>s</w:t>
      </w:r>
      <w:r>
        <w:t xml:space="preserve"> discours</w:t>
      </w:r>
      <w:r w:rsidR="00DD125A">
        <w:t xml:space="preserve"> et des imaginaires portés par un nom de musée</w:t>
      </w:r>
      <w:r>
        <w:t xml:space="preserve">. Pensons à la progressive </w:t>
      </w:r>
      <w:r w:rsidR="00DD125A">
        <w:t>« </w:t>
      </w:r>
      <w:r>
        <w:t>décolonisation</w:t>
      </w:r>
      <w:r w:rsidR="00DD125A">
        <w:t> »</w:t>
      </w:r>
      <w:r>
        <w:t xml:space="preserve"> du musée de Tervuren</w:t>
      </w:r>
      <w:r w:rsidR="00DD125A">
        <w:rPr>
          <w:rStyle w:val="Appelnotedebasdep"/>
        </w:rPr>
        <w:footnoteReference w:id="1"/>
      </w:r>
      <w:r w:rsidR="00DD125A">
        <w:t xml:space="preserve">, tour à tour </w:t>
      </w:r>
      <w:r w:rsidR="00DD125A" w:rsidRPr="00E74F37">
        <w:rPr>
          <w:i/>
          <w:iCs/>
        </w:rPr>
        <w:t>Musée du Congo</w:t>
      </w:r>
      <w:r w:rsidR="00DD125A">
        <w:t xml:space="preserve">, </w:t>
      </w:r>
      <w:r w:rsidR="00DD125A" w:rsidRPr="00E74F37">
        <w:rPr>
          <w:i/>
          <w:iCs/>
        </w:rPr>
        <w:t>Musée du Congo belge</w:t>
      </w:r>
      <w:r w:rsidR="00DD125A">
        <w:t xml:space="preserve"> </w:t>
      </w:r>
      <w:r w:rsidR="00E74F37">
        <w:t xml:space="preserve">(1910) </w:t>
      </w:r>
      <w:r w:rsidR="00DD125A">
        <w:t xml:space="preserve">puis </w:t>
      </w:r>
      <w:r w:rsidR="00DD125A" w:rsidRPr="00E74F37">
        <w:rPr>
          <w:i/>
          <w:iCs/>
        </w:rPr>
        <w:t>Musée royal du Congo belge</w:t>
      </w:r>
      <w:r w:rsidR="00E74F37">
        <w:t xml:space="preserve"> (1952)</w:t>
      </w:r>
      <w:r w:rsidR="00DD125A">
        <w:t xml:space="preserve">, </w:t>
      </w:r>
      <w:r w:rsidR="00DD125A" w:rsidRPr="00E74F37">
        <w:rPr>
          <w:i/>
          <w:iCs/>
        </w:rPr>
        <w:t>Musée royal de l'Afrique centrale</w:t>
      </w:r>
      <w:r w:rsidR="00DD125A">
        <w:t xml:space="preserve"> </w:t>
      </w:r>
      <w:r w:rsidR="00E74F37">
        <w:t xml:space="preserve">(1960) </w:t>
      </w:r>
      <w:r w:rsidR="00DD125A">
        <w:t xml:space="preserve">et enfin </w:t>
      </w:r>
      <w:proofErr w:type="spellStart"/>
      <w:r w:rsidR="00DD125A" w:rsidRPr="00E74F37">
        <w:rPr>
          <w:i/>
          <w:iCs/>
        </w:rPr>
        <w:t>AfricaMuseum</w:t>
      </w:r>
      <w:proofErr w:type="spellEnd"/>
      <w:r w:rsidR="00E74F37">
        <w:rPr>
          <w:i/>
          <w:iCs/>
        </w:rPr>
        <w:t xml:space="preserve"> </w:t>
      </w:r>
      <w:r w:rsidR="00E74F37" w:rsidRPr="00E74F37">
        <w:t>(2018)</w:t>
      </w:r>
      <w:r w:rsidR="00DD125A">
        <w:t>. De son côté le musée d’ethnographie de Genève a mis en place en 2021 une campagne participative « Le MEG change » en vue de trouver un nouveau nom au musée dans l’idée que « c</w:t>
      </w:r>
      <w:r w:rsidR="00DD125A" w:rsidRPr="00DD125A">
        <w:t>e nouveau nom est le symbole d’un changement profond et inéluctable, et non le simple changement d’un symbole</w:t>
      </w:r>
      <w:r w:rsidR="00DD125A">
        <w:t> »</w:t>
      </w:r>
      <w:r w:rsidR="00DD125A">
        <w:rPr>
          <w:rStyle w:val="Appelnotedebasdep"/>
        </w:rPr>
        <w:footnoteReference w:id="2"/>
      </w:r>
      <w:r w:rsidR="00DD125A">
        <w:t xml:space="preserve">. </w:t>
      </w:r>
    </w:p>
    <w:p w14:paraId="247A671A" w14:textId="7CF933ED" w:rsidR="00DD125A" w:rsidRDefault="00603772" w:rsidP="00DD125A">
      <w:r>
        <w:t>Cependant</w:t>
      </w:r>
      <w:r w:rsidR="00DD125A">
        <w:t>, contrairement aux titres d’exposition</w:t>
      </w:r>
      <w:r w:rsidR="00372BC7">
        <w:rPr>
          <w:rStyle w:val="Appelnotedebasdep"/>
        </w:rPr>
        <w:footnoteReference w:id="3"/>
      </w:r>
      <w:r w:rsidR="00DD125A">
        <w:t xml:space="preserve">, tout un travail reste à faire sur la </w:t>
      </w:r>
      <w:r w:rsidR="00372BC7">
        <w:t>« </w:t>
      </w:r>
      <w:r w:rsidR="00DD125A">
        <w:t>terminologie muséale</w:t>
      </w:r>
      <w:r w:rsidR="00372BC7">
        <w:t> ». La linguistique a pourtant démontré les enjeux propres à un</w:t>
      </w:r>
      <w:r w:rsidR="003D455D">
        <w:t>e</w:t>
      </w:r>
      <w:r w:rsidR="00372BC7">
        <w:t xml:space="preserve"> dénomination de type officielle d’une part et </w:t>
      </w:r>
      <w:r w:rsidR="003D455D">
        <w:t xml:space="preserve">à </w:t>
      </w:r>
      <w:r w:rsidR="00372BC7">
        <w:t>une nomination de type pragmatique d’autre part</w:t>
      </w:r>
      <w:r w:rsidR="00372BC7">
        <w:rPr>
          <w:rStyle w:val="Appelnotedebasdep"/>
        </w:rPr>
        <w:footnoteReference w:id="4"/>
      </w:r>
      <w:r w:rsidR="00372BC7">
        <w:t>. Mais pour en rester à la première, les noms de musée semblent de manière générale se caractériser par l’assemblage de deux « données » : une catégorie muséale construite selon les types de collection (beaux-arts, art contemporain, etc.) ou selon l’approche scientifique</w:t>
      </w:r>
      <w:r w:rsidR="00E74F37">
        <w:t xml:space="preserve"> du musée</w:t>
      </w:r>
      <w:r w:rsidR="00372BC7">
        <w:t xml:space="preserve"> (ethnographie, histoire, etc.) et un ancrage territorial correspondant à la ville, à la région, au pays, généralement tutelle institutionnelle du musée (Musées Royaux des Beaux-arts de Belgique, Bastogne </w:t>
      </w:r>
      <w:proofErr w:type="spellStart"/>
      <w:r w:rsidR="00372BC7">
        <w:t>War</w:t>
      </w:r>
      <w:proofErr w:type="spellEnd"/>
      <w:r w:rsidR="00372BC7">
        <w:t xml:space="preserve"> Museum, Musée archéologi</w:t>
      </w:r>
      <w:r w:rsidR="00880F79">
        <w:t>qu</w:t>
      </w:r>
      <w:r w:rsidR="00372BC7">
        <w:t xml:space="preserve">e d’Arlon, etc.). </w:t>
      </w:r>
    </w:p>
    <w:p w14:paraId="1DA616CD" w14:textId="77777777" w:rsidR="006B478B" w:rsidRDefault="00E74F37" w:rsidP="00F4163D">
      <w:r>
        <w:t>Le nom est ainsi fortement dépendant des catégories muséales créées progressivement d</w:t>
      </w:r>
      <w:r w:rsidR="003D455D">
        <w:t>ans</w:t>
      </w:r>
      <w:r>
        <w:t xml:space="preserve"> l’histoire des musées pour identifier et distinguer les musées entre eux. Georges-Henri Rivière, alors président de l’ICOM</w:t>
      </w:r>
      <w:r w:rsidR="00476B60">
        <w:t xml:space="preserve"> (Conseil international des musées)</w:t>
      </w:r>
      <w:r>
        <w:t xml:space="preserve">, propose </w:t>
      </w:r>
      <w:r w:rsidR="00476B60">
        <w:t xml:space="preserve">une première catégorie distinguant musées d’art / musées des sciences de l’homme / musées des sciences de la nature / musées des sciences et techniques. Celle-ci est reprise dans les catégories actuelles reconnues par l’UNESCO. Mais au-delà de ces catégories très générales, il est possible de trouver d’autres indicateurs de la manière dont les </w:t>
      </w:r>
      <w:proofErr w:type="spellStart"/>
      <w:r w:rsidR="00476B60">
        <w:t>professionnel.les</w:t>
      </w:r>
      <w:proofErr w:type="spellEnd"/>
      <w:r w:rsidR="00476B60">
        <w:t xml:space="preserve"> de musée considèrent leur propre institution et parmi eux les comités internationaux de l’ICOM constitués selon des « </w:t>
      </w:r>
      <w:r w:rsidR="00476B60" w:rsidRPr="00476B60">
        <w:t>spécialités muséales</w:t>
      </w:r>
      <w:r w:rsidR="00476B60">
        <w:t> »</w:t>
      </w:r>
      <w:r w:rsidR="006B478B" w:rsidRPr="006B478B">
        <w:rPr>
          <w:rStyle w:val="Appelnotedebasdep"/>
        </w:rPr>
        <w:t xml:space="preserve"> </w:t>
      </w:r>
      <w:r w:rsidR="006B478B">
        <w:rPr>
          <w:rStyle w:val="Appelnotedebasdep"/>
        </w:rPr>
        <w:footnoteReference w:id="5"/>
      </w:r>
      <w:r w:rsidR="00476B60">
        <w:t>.</w:t>
      </w:r>
      <w:r w:rsidR="006B478B">
        <w:t xml:space="preserve"> </w:t>
      </w:r>
    </w:p>
    <w:p w14:paraId="7B5E5263" w14:textId="70F20CCC" w:rsidR="00F038F2" w:rsidRPr="00476B60" w:rsidRDefault="00476B60" w:rsidP="00F4163D">
      <w:r>
        <w:t xml:space="preserve">Ces catégories témoignent ainsi d’une évolution </w:t>
      </w:r>
      <w:r w:rsidR="00F4163D">
        <w:t>du regard muséal, perceptible dans le passage du musée de propriétaire (collections royales</w:t>
      </w:r>
      <w:r w:rsidR="00880F79">
        <w:t xml:space="preserve">, </w:t>
      </w:r>
      <w:r w:rsidR="00F4163D">
        <w:t>cabinets de curiosité) au musée public, disciplinaire et discipliné</w:t>
      </w:r>
      <w:r w:rsidR="00F4163D">
        <w:rPr>
          <w:rStyle w:val="Appelnotedebasdep"/>
        </w:rPr>
        <w:footnoteReference w:id="6"/>
      </w:r>
      <w:r w:rsidR="00F4163D">
        <w:t xml:space="preserve">. L’exemple de la distinction entre un musée d’art antique et un musée d’archéologie rend ainsi compte, à partir d’un même type de collection, du poids du regard porté sur celles-ci dans la dénomination du musée et plus globalement dans l’histoire </w:t>
      </w:r>
      <w:r w:rsidR="00603772">
        <w:t>propre à chaque</w:t>
      </w:r>
      <w:r w:rsidR="00F4163D">
        <w:t xml:space="preserve"> musée. </w:t>
      </w:r>
    </w:p>
    <w:p w14:paraId="088D637F" w14:textId="722CF582" w:rsidR="00C40B1B" w:rsidRPr="00C40B1B" w:rsidRDefault="0057785B">
      <w:pPr>
        <w:rPr>
          <w:b/>
          <w:bCs/>
        </w:rPr>
      </w:pPr>
      <w:r>
        <w:rPr>
          <w:b/>
          <w:bCs/>
        </w:rPr>
        <w:t>Du</w:t>
      </w:r>
      <w:r w:rsidR="00F4163D">
        <w:rPr>
          <w:b/>
          <w:bCs/>
        </w:rPr>
        <w:t xml:space="preserve"> m</w:t>
      </w:r>
      <w:r w:rsidR="00C40B1B" w:rsidRPr="00C40B1B">
        <w:rPr>
          <w:b/>
          <w:bCs/>
        </w:rPr>
        <w:t xml:space="preserve">usée de société </w:t>
      </w:r>
      <w:r>
        <w:rPr>
          <w:b/>
          <w:bCs/>
        </w:rPr>
        <w:t>au</w:t>
      </w:r>
      <w:r w:rsidR="00F4163D">
        <w:rPr>
          <w:b/>
          <w:bCs/>
        </w:rPr>
        <w:t xml:space="preserve"> musée avec et pour la société</w:t>
      </w:r>
    </w:p>
    <w:p w14:paraId="6D98EABD" w14:textId="07804B08" w:rsidR="00C40B1B" w:rsidRDefault="00F4163D" w:rsidP="00F4163D">
      <w:r>
        <w:lastRenderedPageBreak/>
        <w:t>Cette évolution du regard est à l’origine de l’invention de la catégorie « musée de société »</w:t>
      </w:r>
      <w:r>
        <w:rPr>
          <w:rStyle w:val="Appelnotedebasdep"/>
        </w:rPr>
        <w:footnoteReference w:id="7"/>
      </w:r>
      <w:r>
        <w:t xml:space="preserve"> en tant que </w:t>
      </w:r>
      <w:r w:rsidR="00C40B1B">
        <w:t xml:space="preserve">musée de sciences humaines </w:t>
      </w:r>
      <w:r>
        <w:t xml:space="preserve">où </w:t>
      </w:r>
      <w:r w:rsidR="00C40B1B">
        <w:t xml:space="preserve">les objets sont </w:t>
      </w:r>
      <w:r w:rsidR="003D455D">
        <w:t xml:space="preserve">considérés comme </w:t>
      </w:r>
      <w:r w:rsidR="00C40B1B">
        <w:t>des documents et non des œuvres</w:t>
      </w:r>
      <w:r>
        <w:t xml:space="preserve"> : </w:t>
      </w:r>
    </w:p>
    <w:p w14:paraId="6A5447A9" w14:textId="4F608C17" w:rsidR="00C418FC" w:rsidRPr="003627CA" w:rsidRDefault="00C418FC" w:rsidP="00F4163D">
      <w:r w:rsidRPr="003627CA">
        <w:t>« </w:t>
      </w:r>
      <w:r w:rsidR="00F4163D" w:rsidRPr="003627CA">
        <w:t>C</w:t>
      </w:r>
      <w:r w:rsidRPr="003627CA">
        <w:t>e terme met l’accent sur la démarche commune : au lieu d’opposer les musées d’arts et traditions populaires aux musées d’ethnographie ou aux écomusées, les musées d’ethnographie aux musées d’histoire ou aux musées industriels</w:t>
      </w:r>
      <w:r w:rsidR="00F4163D" w:rsidRPr="003627CA">
        <w:t xml:space="preserve"> […]</w:t>
      </w:r>
      <w:r w:rsidR="00603772">
        <w:t>.</w:t>
      </w:r>
      <w:r w:rsidR="00F4163D" w:rsidRPr="003627CA">
        <w:t xml:space="preserve"> </w:t>
      </w:r>
      <w:r w:rsidR="00603772">
        <w:t>C</w:t>
      </w:r>
      <w:r w:rsidRPr="003627CA">
        <w:t>e terme est choisi pour rassembler les musées qui partagent le même objectif : étudier l’évolution de l’humanité dans ses composantes sociales et historiques, et transmettre les relais, les repères pour comprendre la diversité des cultures et des sociétés »</w:t>
      </w:r>
      <w:r w:rsidR="00F4163D" w:rsidRPr="003627CA">
        <w:rPr>
          <w:rStyle w:val="Appelnotedebasdep"/>
        </w:rPr>
        <w:footnoteReference w:id="8"/>
      </w:r>
      <w:r w:rsidR="00F4163D" w:rsidRPr="003627CA">
        <w:t xml:space="preserve">. </w:t>
      </w:r>
    </w:p>
    <w:p w14:paraId="3BAAC3EB" w14:textId="4352C955" w:rsidR="009770B3" w:rsidRDefault="00F4163D" w:rsidP="00E761D2">
      <w:r>
        <w:t xml:space="preserve">Dans la suite de la </w:t>
      </w:r>
      <w:r w:rsidR="003D455D">
        <w:t>N</w:t>
      </w:r>
      <w:r>
        <w:t xml:space="preserve">ouvelle muséologie, l’objet passe au second au plan </w:t>
      </w:r>
      <w:r w:rsidR="00603772">
        <w:t>au profit de</w:t>
      </w:r>
      <w:r>
        <w:t xml:space="preserve"> la société mis</w:t>
      </w:r>
      <w:r w:rsidR="00603772">
        <w:t>e</w:t>
      </w:r>
      <w:r>
        <w:t xml:space="preserve"> au premier plan. </w:t>
      </w:r>
      <w:r w:rsidR="00603772">
        <w:t>L</w:t>
      </w:r>
      <w:r>
        <w:t>es musées interrogent ainsi le passé, mais aussi le présent, d’une manière interdisciplinaire ou transversale</w:t>
      </w:r>
      <w:r>
        <w:rPr>
          <w:rStyle w:val="Appelnotedebasdep"/>
        </w:rPr>
        <w:footnoteReference w:id="9"/>
      </w:r>
      <w:r>
        <w:t>. Devenu « indiscipliné »</w:t>
      </w:r>
      <w:r w:rsidR="00880F79">
        <w:t>,</w:t>
      </w:r>
      <w:r>
        <w:t xml:space="preserve"> ou extrait des carcans disciplinaires, le musée peut repenser son rôle social. C’est à cette </w:t>
      </w:r>
      <w:r w:rsidR="00603772">
        <w:t>démarche</w:t>
      </w:r>
      <w:r>
        <w:t xml:space="preserve"> que le </w:t>
      </w:r>
      <w:r w:rsidR="00E761D2">
        <w:t>musée</w:t>
      </w:r>
      <w:r>
        <w:t xml:space="preserve"> de la Grande Ardenne s’identifie désormais</w:t>
      </w:r>
      <w:r w:rsidR="00E761D2">
        <w:t xml:space="preserve"> en tant que </w:t>
      </w:r>
      <w:r w:rsidR="00A20970">
        <w:t>musée d'ethnologie, constitué au départ d'un musée d'art religieux et développant une démarche de musée de société</w:t>
      </w:r>
      <w:r w:rsidR="00E761D2">
        <w:t xml:space="preserve"> qui l’</w:t>
      </w:r>
      <w:r w:rsidR="009770B3" w:rsidRPr="0063537A">
        <w:t>inscrit dans les préoccupations de son temps, ouvert aux questionnement</w:t>
      </w:r>
      <w:r w:rsidR="00880F79">
        <w:t>s</w:t>
      </w:r>
      <w:r w:rsidR="009770B3" w:rsidRPr="0063537A">
        <w:t xml:space="preserve"> de la société contemporaine, mondialisée et multiculturelle</w:t>
      </w:r>
      <w:r w:rsidR="00474BBB">
        <w:rPr>
          <w:rStyle w:val="Appelnotedebasdep"/>
        </w:rPr>
        <w:footnoteReference w:id="10"/>
      </w:r>
      <w:r w:rsidR="00E761D2">
        <w:t xml:space="preserve">. </w:t>
      </w:r>
    </w:p>
    <w:p w14:paraId="21B5FFC4" w14:textId="2D7F66BA" w:rsidR="005E3C81" w:rsidRDefault="003D455D" w:rsidP="0057785B">
      <w:r>
        <w:t>Cette perspective de l’inscription du musée dans la société a été au cœur des débats portant sur une nouvelle définition des musées par l’ICOM en 2019</w:t>
      </w:r>
      <w:r>
        <w:rPr>
          <w:rStyle w:val="Appelnotedebasdep"/>
        </w:rPr>
        <w:footnoteReference w:id="11"/>
      </w:r>
      <w:r>
        <w:t>, qui</w:t>
      </w:r>
      <w:r w:rsidR="0057785B">
        <w:t xml:space="preserve"> inclut désormais les termes « inclusif », « éthique » ou encore « participation des diverses communautés »</w:t>
      </w:r>
      <w:r w:rsidR="0057785B">
        <w:rPr>
          <w:rStyle w:val="Appelnotedebasdep"/>
        </w:rPr>
        <w:footnoteReference w:id="12"/>
      </w:r>
      <w:r w:rsidR="0057785B">
        <w:t>. Autrement dit, d’une catégorie distinctive, le concept de « musée de société » devient progressivement une approche transversale à tout type de musée, ce qu’expliquait déjà Yves Bergeron pour les musées nord-américains en 2010</w:t>
      </w:r>
      <w:r w:rsidR="0057785B">
        <w:rPr>
          <w:rStyle w:val="Appelnotedebasdep"/>
        </w:rPr>
        <w:footnoteReference w:id="13"/>
      </w:r>
      <w:r w:rsidR="0057785B">
        <w:t xml:space="preserve">. </w:t>
      </w:r>
    </w:p>
    <w:p w14:paraId="59896BF1" w14:textId="3C9DF020" w:rsidR="003D59AB" w:rsidRDefault="0057785B">
      <w:pPr>
        <w:rPr>
          <w:b/>
          <w:bCs/>
        </w:rPr>
      </w:pPr>
      <w:r w:rsidRPr="0057785B">
        <w:rPr>
          <w:b/>
          <w:bCs/>
        </w:rPr>
        <w:t xml:space="preserve">La perspective institutionnelle du musée </w:t>
      </w:r>
    </w:p>
    <w:p w14:paraId="36EC898C" w14:textId="38EF5DC2" w:rsidR="00155934" w:rsidRPr="00596264" w:rsidRDefault="0057785B" w:rsidP="00596264">
      <w:r w:rsidRPr="0057785B">
        <w:t xml:space="preserve">Pour mieux </w:t>
      </w:r>
      <w:r>
        <w:t xml:space="preserve">comprendre cette inscription du musée dans la société, il nous semble intéressant de développer une perspective institutionnelle qui permet à la fois de saisir la dimension formalisée de l’institution (avec le poids de son histoire, de la vie du musée et de sa collection) mais également les dynamiques et changements à l’œuvre. Dès lors, c’est aussi la deuxième « donnée » du nom du musée qui </w:t>
      </w:r>
      <w:r w:rsidR="00CC6613">
        <w:t xml:space="preserve">est </w:t>
      </w:r>
      <w:r>
        <w:t>convoquée : à savoir son ancrage territorial. L’analyse du « changement institutionnel »</w:t>
      </w:r>
      <w:r>
        <w:rPr>
          <w:rStyle w:val="Appelnotedebasdep"/>
        </w:rPr>
        <w:footnoteReference w:id="14"/>
      </w:r>
      <w:r>
        <w:t xml:space="preserve"> constitue un</w:t>
      </w:r>
      <w:r w:rsidR="00CC6613">
        <w:t xml:space="preserve">e ressource </w:t>
      </w:r>
      <w:r>
        <w:t xml:space="preserve">pour comprendre cette dynamique. </w:t>
      </w:r>
    </w:p>
    <w:p w14:paraId="1BBCF98A" w14:textId="2218210A" w:rsidR="00763FBF" w:rsidRDefault="00CC6613" w:rsidP="00D6675E">
      <w:r>
        <w:t>L</w:t>
      </w:r>
      <w:r w:rsidR="00763FBF">
        <w:t>e lien du musée avec son territoire d’appartenance</w:t>
      </w:r>
      <w:r w:rsidRPr="00CC6613">
        <w:t xml:space="preserve"> </w:t>
      </w:r>
      <w:r>
        <w:t>est dès lors mis en exergue</w:t>
      </w:r>
      <w:r w:rsidR="00763FBF">
        <w:t xml:space="preserve">. </w:t>
      </w:r>
      <w:r>
        <w:t>Or</w:t>
      </w:r>
      <w:r w:rsidR="00763FBF">
        <w:t xml:space="preserve"> l’appréhension de la notion de « territoire » reste encore complexe</w:t>
      </w:r>
      <w:r w:rsidR="000C2E3F">
        <w:t xml:space="preserve"> en sciences sociales et quasi absente en muséologie</w:t>
      </w:r>
      <w:r w:rsidR="00763FBF">
        <w:t>. Si elle a pu être définie comme une portion d’espace appropriée, elle met en jeu une appropriation tant matérielle qu’idéelle et symbolique</w:t>
      </w:r>
      <w:r w:rsidR="00763FBF">
        <w:rPr>
          <w:rStyle w:val="Appelnotedebasdep"/>
        </w:rPr>
        <w:footnoteReference w:id="15"/>
      </w:r>
      <w:r w:rsidR="00763FBF">
        <w:t xml:space="preserve">. </w:t>
      </w:r>
      <w:r w:rsidR="00D6675E">
        <w:t xml:space="preserve">Hervé </w:t>
      </w:r>
      <w:proofErr w:type="spellStart"/>
      <w:r w:rsidR="00D6675E">
        <w:t>Brédif</w:t>
      </w:r>
      <w:proofErr w:type="spellEnd"/>
      <w:r w:rsidR="00D6675E">
        <w:t xml:space="preserve"> propose de poursuivre cette analyse en énonçant quatre dimensions du territoire</w:t>
      </w:r>
      <w:r w:rsidR="00D6675E">
        <w:rPr>
          <w:rStyle w:val="Appelnotedebasdep"/>
        </w:rPr>
        <w:footnoteReference w:id="16"/>
      </w:r>
      <w:r w:rsidR="00D6675E">
        <w:t xml:space="preserve">, qui peuvent chacune faire écho au projet muséal : </w:t>
      </w:r>
    </w:p>
    <w:p w14:paraId="5B23AE4A" w14:textId="12B84DC9" w:rsidR="00731674" w:rsidRPr="00731674" w:rsidRDefault="00D6675E" w:rsidP="00D6675E">
      <w:pPr>
        <w:numPr>
          <w:ilvl w:val="0"/>
          <w:numId w:val="8"/>
        </w:numPr>
      </w:pPr>
      <w:r w:rsidRPr="00D6675E">
        <w:lastRenderedPageBreak/>
        <w:t xml:space="preserve">(1) </w:t>
      </w:r>
      <w:r w:rsidR="00731674" w:rsidRPr="00D6675E">
        <w:t>Le territoire animal ou végétal</w:t>
      </w:r>
      <w:r w:rsidR="00731674" w:rsidRPr="00731674">
        <w:t>, celui des phénomènes physiques ou biologiques</w:t>
      </w:r>
      <w:r>
        <w:t>, qui</w:t>
      </w:r>
      <w:r w:rsidR="00731674">
        <w:t xml:space="preserve"> </w:t>
      </w:r>
      <w:r w:rsidRPr="00731674">
        <w:t>rappelle</w:t>
      </w:r>
      <w:r w:rsidR="00731674" w:rsidRPr="00731674">
        <w:t xml:space="preserve"> la composante physique et biophysique de l’espace</w:t>
      </w:r>
      <w:r>
        <w:t xml:space="preserve">, </w:t>
      </w:r>
      <w:r w:rsidR="00731674">
        <w:t>sans oublier le poids de</w:t>
      </w:r>
      <w:r w:rsidR="00CC6613">
        <w:t>s</w:t>
      </w:r>
      <w:r w:rsidR="00731674">
        <w:t xml:space="preserve"> sociétés </w:t>
      </w:r>
      <w:r>
        <w:t>et prolonge la remise en question de la distinction entre « nature » et « culture »</w:t>
      </w:r>
      <w:r>
        <w:rPr>
          <w:rStyle w:val="Appelnotedebasdep"/>
        </w:rPr>
        <w:footnoteReference w:id="17"/>
      </w:r>
      <w:r>
        <w:t xml:space="preserve"> </w:t>
      </w:r>
      <w:r w:rsidR="000C2E3F">
        <w:t>au sein d</w:t>
      </w:r>
      <w:r>
        <w:t>es collections muséales ;</w:t>
      </w:r>
    </w:p>
    <w:p w14:paraId="02E225AD" w14:textId="2A7C1C72" w:rsidR="00731674" w:rsidRPr="00731674" w:rsidRDefault="00D6675E" w:rsidP="00D6675E">
      <w:pPr>
        <w:numPr>
          <w:ilvl w:val="0"/>
          <w:numId w:val="8"/>
        </w:numPr>
      </w:pPr>
      <w:r w:rsidRPr="00D6675E">
        <w:t xml:space="preserve">(2) </w:t>
      </w:r>
      <w:r w:rsidR="00731674" w:rsidRPr="00D6675E">
        <w:t>Le territoire comme aire de</w:t>
      </w:r>
      <w:r w:rsidR="00731674" w:rsidRPr="00731674">
        <w:rPr>
          <w:b/>
          <w:bCs/>
        </w:rPr>
        <w:t xml:space="preserve"> </w:t>
      </w:r>
      <w:r w:rsidR="00731674" w:rsidRPr="00D6675E">
        <w:t>souveraineté</w:t>
      </w:r>
      <w:r w:rsidR="00731674" w:rsidRPr="00731674">
        <w:rPr>
          <w:b/>
          <w:bCs/>
        </w:rPr>
        <w:t xml:space="preserve"> </w:t>
      </w:r>
      <w:r w:rsidR="00731674" w:rsidRPr="00731674">
        <w:t>et d’exercice d’une autorité politique</w:t>
      </w:r>
      <w:r w:rsidR="00731674">
        <w:t xml:space="preserve"> </w:t>
      </w:r>
      <w:r>
        <w:t xml:space="preserve">où </w:t>
      </w:r>
      <w:r w:rsidR="00731674">
        <w:t>l</w:t>
      </w:r>
      <w:r w:rsidR="00731674" w:rsidRPr="00731674">
        <w:t xml:space="preserve">’espace politique est </w:t>
      </w:r>
      <w:r>
        <w:t>envisagé comme</w:t>
      </w:r>
      <w:r w:rsidR="00731674" w:rsidRPr="00731674">
        <w:t xml:space="preserve"> </w:t>
      </w:r>
      <w:r w:rsidR="00CC6613">
        <w:t xml:space="preserve">un </w:t>
      </w:r>
      <w:r w:rsidR="00731674" w:rsidRPr="00731674">
        <w:t>emboîtement d’échelles et de pouvoirs</w:t>
      </w:r>
      <w:r>
        <w:t xml:space="preserve"> qui invite à penser la représentation </w:t>
      </w:r>
      <w:r w:rsidR="000C2E3F">
        <w:t xml:space="preserve">des pouvoirs (religieux, politiques, etc.) mais aussi </w:t>
      </w:r>
      <w:r>
        <w:t>des subalternités dans les collections ;</w:t>
      </w:r>
    </w:p>
    <w:p w14:paraId="38CC1AB1" w14:textId="3358B9C8" w:rsidR="00731674" w:rsidRPr="00731674" w:rsidRDefault="00D6675E" w:rsidP="00D6675E">
      <w:pPr>
        <w:numPr>
          <w:ilvl w:val="0"/>
          <w:numId w:val="8"/>
        </w:numPr>
      </w:pPr>
      <w:r w:rsidRPr="00D6675E">
        <w:t xml:space="preserve">(3) </w:t>
      </w:r>
      <w:r w:rsidR="00731674" w:rsidRPr="00D6675E">
        <w:t xml:space="preserve">Le territoire comme matrice culturelle </w:t>
      </w:r>
      <w:r w:rsidR="00731674" w:rsidRPr="00731674">
        <w:t>et lieu de la fabrique identitaire</w:t>
      </w:r>
      <w:r>
        <w:t xml:space="preserve">, expression de la </w:t>
      </w:r>
      <w:r w:rsidR="001E2B18" w:rsidRPr="001E2B18">
        <w:t>mémoire collective</w:t>
      </w:r>
      <w:r>
        <w:t xml:space="preserve"> </w:t>
      </w:r>
      <w:r w:rsidR="001E2B18" w:rsidRPr="001E2B18">
        <w:t>représenté</w:t>
      </w:r>
      <w:r>
        <w:t>e</w:t>
      </w:r>
      <w:r w:rsidR="001E2B18" w:rsidRPr="001E2B18">
        <w:t xml:space="preserve"> par des symboles et des hauts</w:t>
      </w:r>
      <w:r w:rsidR="00880F79">
        <w:t>-</w:t>
      </w:r>
      <w:r w:rsidR="001E2B18" w:rsidRPr="001E2B18">
        <w:t>lieux</w:t>
      </w:r>
      <w:r>
        <w:t xml:space="preserve">, </w:t>
      </w:r>
      <w:r w:rsidR="000C2E3F">
        <w:t xml:space="preserve">tant </w:t>
      </w:r>
      <w:r>
        <w:t xml:space="preserve">collections muséales </w:t>
      </w:r>
      <w:r w:rsidR="000C2E3F">
        <w:t>que</w:t>
      </w:r>
      <w:r>
        <w:t xml:space="preserve"> monuments </w:t>
      </w:r>
      <w:r w:rsidR="000C2E3F">
        <w:t xml:space="preserve">matériels et immatériels </w:t>
      </w:r>
      <w:r>
        <w:t>du territoire ;</w:t>
      </w:r>
    </w:p>
    <w:p w14:paraId="0928BEAA" w14:textId="597A2918" w:rsidR="00731674" w:rsidRPr="00731674" w:rsidRDefault="00D6675E" w:rsidP="00D6675E">
      <w:pPr>
        <w:numPr>
          <w:ilvl w:val="0"/>
          <w:numId w:val="8"/>
        </w:numPr>
      </w:pPr>
      <w:r>
        <w:t xml:space="preserve">(4) </w:t>
      </w:r>
      <w:r w:rsidR="00731674" w:rsidRPr="00731674">
        <w:t>Les nouveaux territoires nés de la connexion croissante des lieux entre eux, les territoires de la mondialisation</w:t>
      </w:r>
      <w:r>
        <w:t>, le</w:t>
      </w:r>
      <w:r w:rsidR="001E2B18">
        <w:t xml:space="preserve"> </w:t>
      </w:r>
      <w:r w:rsidR="001E2B18" w:rsidRPr="001E2B18">
        <w:t>territoire en réseau</w:t>
      </w:r>
      <w:r>
        <w:t xml:space="preserve"> qui invite à </w:t>
      </w:r>
      <w:r w:rsidR="001E2B18" w:rsidRPr="001E2B18">
        <w:t>dépass</w:t>
      </w:r>
      <w:r w:rsidR="001E2B18">
        <w:t>e</w:t>
      </w:r>
      <w:r>
        <w:t>r</w:t>
      </w:r>
      <w:r w:rsidR="001E2B18" w:rsidRPr="001E2B18">
        <w:t xml:space="preserve"> l’image figée du territoire identitaire</w:t>
      </w:r>
      <w:r>
        <w:t xml:space="preserve"> et à ouvrir les frontières pour considérer les échanges culturels. </w:t>
      </w:r>
    </w:p>
    <w:p w14:paraId="46C98525" w14:textId="72080318" w:rsidR="00731674" w:rsidRDefault="00D6675E" w:rsidP="00615D1D">
      <w:r>
        <w:t xml:space="preserve">Cette dynamique territoriale est au cœur du </w:t>
      </w:r>
      <w:r w:rsidRPr="00D6675E">
        <w:t>p</w:t>
      </w:r>
      <w:r w:rsidR="001E2B18" w:rsidRPr="00D6675E">
        <w:t>rojet du musée de la Grande Ardenne</w:t>
      </w:r>
      <w:r>
        <w:t xml:space="preserve">. </w:t>
      </w:r>
      <w:r w:rsidR="000C2E3F">
        <w:t>À</w:t>
      </w:r>
      <w:r>
        <w:t xml:space="preserve"> titre d’exemple, la pol</w:t>
      </w:r>
      <w:r w:rsidR="00731674">
        <w:t xml:space="preserve">itique d’acquisition </w:t>
      </w:r>
      <w:r>
        <w:t xml:space="preserve">s’étend </w:t>
      </w:r>
      <w:r w:rsidR="00731674">
        <w:t>sur le territoire de l’Ardenne</w:t>
      </w:r>
      <w:r w:rsidR="00615D1D">
        <w:t>, dans le but d’a</w:t>
      </w:r>
      <w:r w:rsidR="00731674" w:rsidRPr="0063537A">
        <w:t xml:space="preserve">cquérir des pièces relatives à </w:t>
      </w:r>
      <w:r w:rsidR="00880F79">
        <w:t>ce territoire</w:t>
      </w:r>
      <w:r w:rsidR="00731674" w:rsidRPr="0063537A">
        <w:t>, ses représentations et ses imaginaires</w:t>
      </w:r>
      <w:r w:rsidR="00615D1D">
        <w:t>, soit des objets où le « </w:t>
      </w:r>
      <w:r w:rsidR="00731674" w:rsidRPr="0063537A">
        <w:t>concept culturel d’Ardenne</w:t>
      </w:r>
      <w:r w:rsidR="00615D1D">
        <w:t> » est mobilisé</w:t>
      </w:r>
      <w:r w:rsidR="00731674" w:rsidRPr="0063537A">
        <w:t xml:space="preserve">. </w:t>
      </w:r>
      <w:r w:rsidR="00615D1D">
        <w:t>Il s’agit bien dès lors d’une évolution de la considération de la collection depuis le</w:t>
      </w:r>
      <w:r w:rsidR="00731674">
        <w:t xml:space="preserve"> patrimoine religieux </w:t>
      </w:r>
      <w:r w:rsidR="00615D1D">
        <w:t xml:space="preserve">originel vers une collection </w:t>
      </w:r>
      <w:r w:rsidR="00731674">
        <w:t xml:space="preserve">qui </w:t>
      </w:r>
      <w:r w:rsidR="00615D1D">
        <w:t>permette d’</w:t>
      </w:r>
      <w:r w:rsidR="00731674">
        <w:t>étudie</w:t>
      </w:r>
      <w:r w:rsidR="00615D1D">
        <w:t>r</w:t>
      </w:r>
      <w:r w:rsidR="00731674">
        <w:t xml:space="preserve"> </w:t>
      </w:r>
      <w:r w:rsidR="00615D1D">
        <w:t>« </w:t>
      </w:r>
      <w:bookmarkStart w:id="0" w:name="_Hlk185767368"/>
      <w:r w:rsidR="00731674">
        <w:t xml:space="preserve">l’évolution de la condition humaine dans sa diversité </w:t>
      </w:r>
      <w:bookmarkEnd w:id="0"/>
      <w:r w:rsidR="00731674">
        <w:t>à travers la sauvegarde et la mise en valeur du patrimoine culturel de l’Ardenne (patrimoines matériel et immatériel)</w:t>
      </w:r>
      <w:r w:rsidR="00615D1D">
        <w:t> »</w:t>
      </w:r>
      <w:r w:rsidR="00615D1D">
        <w:rPr>
          <w:rStyle w:val="Appelnotedebasdep"/>
        </w:rPr>
        <w:footnoteReference w:id="18"/>
      </w:r>
      <w:r w:rsidR="00615D1D">
        <w:t xml:space="preserve">. </w:t>
      </w:r>
    </w:p>
    <w:p w14:paraId="5E60C67F" w14:textId="3BAD3874" w:rsidR="00D00CB3" w:rsidRPr="00D00CB3" w:rsidRDefault="00D00CB3" w:rsidP="00155934">
      <w:pPr>
        <w:rPr>
          <w:b/>
          <w:bCs/>
        </w:rPr>
      </w:pPr>
      <w:r w:rsidRPr="00D00CB3">
        <w:rPr>
          <w:b/>
          <w:bCs/>
        </w:rPr>
        <w:t xml:space="preserve">Le musée et l’enjeu territorial </w:t>
      </w:r>
    </w:p>
    <w:p w14:paraId="3704E491" w14:textId="386B98FE" w:rsidR="00B02E15" w:rsidRDefault="00EE191C" w:rsidP="00EE191C">
      <w:r>
        <w:t xml:space="preserve">En prolongeant les travaux de Mazé </w:t>
      </w:r>
      <w:r w:rsidRPr="00CC6613">
        <w:rPr>
          <w:i/>
          <w:iCs/>
        </w:rPr>
        <w:t>et al.</w:t>
      </w:r>
      <w:r>
        <w:rPr>
          <w:rStyle w:val="Appelnotedebasdep"/>
        </w:rPr>
        <w:footnoteReference w:id="19"/>
      </w:r>
      <w:r>
        <w:t>, on peut émettre l’hypothèse d’une influence croissante du politique dans le champ des musées</w:t>
      </w:r>
      <w:r w:rsidR="00CC6613">
        <w:t>,</w:t>
      </w:r>
      <w:r>
        <w:t xml:space="preserve"> en raison d’une évolution des modes de politisation de la culture vers une perte de prérogative des acteurs culturels (conservateurs) au profi</w:t>
      </w:r>
      <w:r w:rsidR="00CC6613">
        <w:t>t</w:t>
      </w:r>
      <w:r>
        <w:t xml:space="preserve"> des élus. Ce retour du politique dans le projet muséal est perceptible dans la montée en puissance des processus d’accréditation et de labellisation qui induise</w:t>
      </w:r>
      <w:r w:rsidR="00CC6613">
        <w:t>nt</w:t>
      </w:r>
      <w:r>
        <w:t xml:space="preserve"> une forme de pression au conformisme voire au mimétisme entre institutions. Face à ce mouvement</w:t>
      </w:r>
      <w:r w:rsidR="00CC6613">
        <w:t xml:space="preserve"> et pour se distinguer les uns des autres</w:t>
      </w:r>
      <w:r>
        <w:t xml:space="preserve">, les musées </w:t>
      </w:r>
      <w:r w:rsidR="00B02E15">
        <w:t xml:space="preserve">doivent réinscrire leur projet au cœur de leur territoire, d’abord politique – pour répondre aux injonctions politiques locales, mais aussi en répondant plus globalement aux quatre dimensions du territoire évoquées précédemment. Quelques exemples de ces dynamiques sont ainsi perceptibles : </w:t>
      </w:r>
    </w:p>
    <w:p w14:paraId="385D950D" w14:textId="7C9CA83F" w:rsidR="002D55D0" w:rsidRDefault="00B02E15" w:rsidP="00F94FF6">
      <w:r>
        <w:t>La première est celle d’une volonté d’exhaustivité dans la représentation du territoire qui passe tant par la nécessité de repositionner les collections autour de nouvelles thématiques</w:t>
      </w:r>
      <w:r w:rsidR="00CC6613">
        <w:t>,</w:t>
      </w:r>
      <w:r>
        <w:t xml:space="preserve"> que dans la volonté pour les tutelles d’avoir dans leur corpus muséal une représentativité du territoire. On retrouve cette dynamique dans le développement des conservations départementales en France</w:t>
      </w:r>
      <w:r w:rsidR="00F94FF6">
        <w:rPr>
          <w:rStyle w:val="Appelnotedebasdep"/>
        </w:rPr>
        <w:footnoteReference w:id="20"/>
      </w:r>
      <w:r w:rsidR="0037575A">
        <w:t xml:space="preserve"> ou dans celui des pôles muséaux en Fédération Wallonie Bruxelles</w:t>
      </w:r>
      <w:r>
        <w:t xml:space="preserve">, </w:t>
      </w:r>
      <w:r w:rsidR="00F94FF6">
        <w:t xml:space="preserve">où l’enjeu de réseau territorial et </w:t>
      </w:r>
      <w:r w:rsidR="00CC6613">
        <w:t xml:space="preserve">de </w:t>
      </w:r>
      <w:r w:rsidR="00F94FF6">
        <w:t>mutualisation des ressources est central. L’exemple actuel du projet de musée d’histoire de Vienne (département de l’Isère) en est symptomatique lorsque le président du département évoque à son sujet</w:t>
      </w:r>
      <w:r w:rsidR="002D55D0">
        <w:t xml:space="preserve"> : </w:t>
      </w:r>
      <w:r w:rsidR="002D55D0" w:rsidRPr="002D55D0">
        <w:rPr>
          <w:i/>
          <w:iCs/>
        </w:rPr>
        <w:t>« Les musées départementaux sont très nombreux au sud de l'Isère. Celui-ci sera le flambeau des musées en Nord-Isère. La cohésion territoriale passe aussi par la culture et son rayonnement</w:t>
      </w:r>
      <w:r w:rsidR="00F94FF6">
        <w:rPr>
          <w:i/>
          <w:iCs/>
        </w:rPr>
        <w:t> »</w:t>
      </w:r>
      <w:r w:rsidR="00F94FF6">
        <w:rPr>
          <w:rStyle w:val="Appelnotedebasdep"/>
          <w:i/>
          <w:iCs/>
        </w:rPr>
        <w:footnoteReference w:id="21"/>
      </w:r>
      <w:r w:rsidR="002D55D0" w:rsidRPr="002D55D0">
        <w:rPr>
          <w:i/>
          <w:iCs/>
        </w:rPr>
        <w:t xml:space="preserve">. </w:t>
      </w:r>
    </w:p>
    <w:p w14:paraId="7B96236C" w14:textId="2FA37A51" w:rsidR="004E4CDE" w:rsidRDefault="00EB0640" w:rsidP="000B5BC3">
      <w:r>
        <w:lastRenderedPageBreak/>
        <w:t>La deuxième poursuit cette démarche en envisageant le rôle des musées dans les dynamiques de marketing territorial. Depuis la revendication d’un « effet Bilbao »</w:t>
      </w:r>
      <w:r>
        <w:rPr>
          <w:rStyle w:val="Appelnotedebasdep"/>
        </w:rPr>
        <w:footnoteReference w:id="22"/>
      </w:r>
      <w:r w:rsidR="0037575A">
        <w:t>,</w:t>
      </w:r>
      <w:r>
        <w:t xml:space="preserve"> suite à l’ouverture </w:t>
      </w:r>
      <w:r w:rsidR="00CC6613">
        <w:t xml:space="preserve">dans la ville </w:t>
      </w:r>
      <w:r>
        <w:t>d’une antenne de la fondation Guggenheim, la dimension marketing du musée est revendiquée dans le déploiement de marques muséales</w:t>
      </w:r>
      <w:r w:rsidR="000B5BC3">
        <w:rPr>
          <w:rStyle w:val="Appelnotedebasdep"/>
        </w:rPr>
        <w:footnoteReference w:id="23"/>
      </w:r>
      <w:r>
        <w:t xml:space="preserve"> </w:t>
      </w:r>
      <w:r w:rsidR="0037575A">
        <w:t>pour lesquelles</w:t>
      </w:r>
      <w:r>
        <w:t xml:space="preserve"> le nom de musée devient </w:t>
      </w:r>
      <w:r w:rsidR="0037575A">
        <w:t>un emblème</w:t>
      </w:r>
      <w:r>
        <w:t xml:space="preserve">. </w:t>
      </w:r>
    </w:p>
    <w:p w14:paraId="6EF9ACC6" w14:textId="1C4B21B0" w:rsidR="00D00CB3" w:rsidRPr="000B5BC3" w:rsidRDefault="000B5BC3" w:rsidP="000B5BC3">
      <w:r w:rsidRPr="000B5BC3">
        <w:t>La troisième</w:t>
      </w:r>
      <w:r>
        <w:t xml:space="preserve"> dynamique est celle de la nécessité de circonscrire le territoire, de le fabriquer conceptuellement, tel le </w:t>
      </w:r>
      <w:r w:rsidR="00CC6613">
        <w:t>« </w:t>
      </w:r>
      <w:r>
        <w:t>concept culturel de l’Ardenne</w:t>
      </w:r>
      <w:r w:rsidR="00CC6613">
        <w:t> »</w:t>
      </w:r>
      <w:r>
        <w:t xml:space="preserve"> qui pour le musée de la Grande Ardenne répond à quatre mots-clés : </w:t>
      </w:r>
      <w:r w:rsidRPr="00D00CB3">
        <w:rPr>
          <w:i/>
          <w:iCs/>
        </w:rPr>
        <w:t>la forêt, le merveilleux, la force et la paix</w:t>
      </w:r>
      <w:r>
        <w:rPr>
          <w:i/>
          <w:iCs/>
        </w:rPr>
        <w:t xml:space="preserve">. </w:t>
      </w:r>
    </w:p>
    <w:p w14:paraId="1972C43C" w14:textId="647487B6" w:rsidR="003D59AB" w:rsidRPr="000B5BC3" w:rsidRDefault="000B5BC3" w:rsidP="006B478B">
      <w:r w:rsidRPr="000B5BC3">
        <w:t>Enfin</w:t>
      </w:r>
      <w:r>
        <w:t>, la dernière dynamique envisage le territoire du musée au-delà de ces murs, dans une logique de « hors-les-murs »</w:t>
      </w:r>
      <w:r w:rsidR="00591D60">
        <w:rPr>
          <w:rStyle w:val="Appelnotedebasdep"/>
        </w:rPr>
        <w:footnoteReference w:id="24"/>
      </w:r>
      <w:r>
        <w:t xml:space="preserve"> </w:t>
      </w:r>
      <w:r w:rsidR="00591D60">
        <w:t>qui s’inspire d’abord des écomusées mais aussi des centres d’interprétation. Un musée comme La Fonderie, musée bruxellois de l’industrie et du travail</w:t>
      </w:r>
      <w:r w:rsidR="006B478B">
        <w:rPr>
          <w:rStyle w:val="Appelnotedebasdep"/>
        </w:rPr>
        <w:footnoteReference w:id="25"/>
      </w:r>
      <w:r w:rsidR="00591D60">
        <w:t xml:space="preserve">, </w:t>
      </w:r>
      <w:r w:rsidR="006B478B">
        <w:t>propose ainsi toute une programmation de visites, balades, parcours qui permettent une découverte de Bruxelles-Capitale</w:t>
      </w:r>
      <w:r w:rsidR="0037575A">
        <w:t xml:space="preserve"> et envisage le patrimoine du musée en dehors de ses seuls murs</w:t>
      </w:r>
      <w:r w:rsidR="006B478B">
        <w:t xml:space="preserve">. </w:t>
      </w:r>
    </w:p>
    <w:p w14:paraId="30FAA695" w14:textId="50BA8CCC" w:rsidR="00951B48" w:rsidRDefault="00DF71CD" w:rsidP="00155934">
      <w:r>
        <w:t>En conclusion, il ne s’agit pas ici de proposer une nouvelle catégorie à une ribambelle de catégorie</w:t>
      </w:r>
      <w:r w:rsidR="00CC6613">
        <w:t>s</w:t>
      </w:r>
      <w:r>
        <w:t xml:space="preserve"> préexistante</w:t>
      </w:r>
      <w:r w:rsidR="00CC6613">
        <w:t>s</w:t>
      </w:r>
      <w:r>
        <w:t>, mais plutôt d’envisager la manière dont le musée, au XXI</w:t>
      </w:r>
      <w:r w:rsidRPr="00DF71CD">
        <w:rPr>
          <w:vertAlign w:val="superscript"/>
        </w:rPr>
        <w:t>e</w:t>
      </w:r>
      <w:r>
        <w:t xml:space="preserve"> siècle, engage une multiplicité de rapport à son territoire. Cette perspective nécessite d’une part une approche ouverte de la notion de territoire et également une approche institutionnelle du musée qui, combinée, permettent de réinterroger le rôle social </w:t>
      </w:r>
      <w:r w:rsidR="00CC6613">
        <w:t xml:space="preserve">– parmi d’autres – </w:t>
      </w:r>
      <w:r>
        <w:t xml:space="preserve">du musée. </w:t>
      </w:r>
    </w:p>
    <w:sectPr w:rsidR="00951B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6B016" w14:textId="77777777" w:rsidR="000B7062" w:rsidRDefault="000B7062" w:rsidP="00DD125A">
      <w:pPr>
        <w:spacing w:after="0"/>
      </w:pPr>
      <w:r>
        <w:separator/>
      </w:r>
    </w:p>
  </w:endnote>
  <w:endnote w:type="continuationSeparator" w:id="0">
    <w:p w14:paraId="40B9E3BE" w14:textId="77777777" w:rsidR="000B7062" w:rsidRDefault="000B7062" w:rsidP="00DD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560CF" w14:textId="77777777" w:rsidR="000B7062" w:rsidRDefault="000B7062" w:rsidP="00DD125A">
      <w:pPr>
        <w:spacing w:after="0"/>
      </w:pPr>
      <w:r>
        <w:separator/>
      </w:r>
    </w:p>
  </w:footnote>
  <w:footnote w:type="continuationSeparator" w:id="0">
    <w:p w14:paraId="294EC2CA" w14:textId="77777777" w:rsidR="000B7062" w:rsidRDefault="000B7062" w:rsidP="00DD125A">
      <w:pPr>
        <w:spacing w:after="0"/>
      </w:pPr>
      <w:r>
        <w:continuationSeparator/>
      </w:r>
    </w:p>
  </w:footnote>
  <w:footnote w:id="1">
    <w:p w14:paraId="1605BC25" w14:textId="3C1CDBCB" w:rsidR="00DD125A" w:rsidRPr="00967442" w:rsidRDefault="00DD125A">
      <w:pPr>
        <w:pStyle w:val="Notedebasdepage"/>
        <w:rPr>
          <w:rFonts w:cs="Times New Roman"/>
        </w:rPr>
      </w:pPr>
      <w:r w:rsidRPr="00967442">
        <w:rPr>
          <w:rStyle w:val="Appelnotedebasdep"/>
          <w:rFonts w:cs="Times New Roman"/>
        </w:rPr>
        <w:footnoteRef/>
      </w:r>
      <w:r w:rsidRPr="00967442">
        <w:rPr>
          <w:rFonts w:cs="Times New Roman"/>
        </w:rPr>
        <w:t xml:space="preserve"> </w:t>
      </w:r>
      <w:r w:rsidR="00967442">
        <w:rPr>
          <w:rFonts w:cs="Times New Roman"/>
        </w:rPr>
        <w:t xml:space="preserve">Hélène </w:t>
      </w:r>
      <w:r w:rsidRPr="00967442">
        <w:rPr>
          <w:rFonts w:cs="Times New Roman"/>
        </w:rPr>
        <w:fldChar w:fldCharType="begin"/>
      </w:r>
      <w:r w:rsidRPr="00967442">
        <w:rPr>
          <w:rFonts w:cs="Times New Roman"/>
        </w:rPr>
        <w:instrText xml:space="preserve"> ADDIN ZOTERO_ITEM CSL_CITATION {"citationID":"qBXGFW5d","properties":{"formattedCitation":"{\\scaps Bocard} H., \\uc0\\u171{}\\uc0\\u160{}Trois mus\\uc0\\u233{}es face \\uc0\\u224{} leur pass\\uc0\\u233{} colonial\\uc0\\u8239{}: Bruxelles, Amsterdam et Paris\\uc0\\u160{}\\uc0\\u187{}, in {\\i{}Hommes &amp; Migrations}, vol.\\uc0\\u160{}1326 (15 octobre 2019), n\\super o\\nosupersub{}\\uc0\\u160{}3, p. 174\\uc0\\u8209{}181.","plainCitation":"Bocard H., « Trois musées face à leur passé colonial : Bruxelles, Amsterdam et Paris », in Hommes &amp; Migrations, vol. 1326 (15 octobre 2019), no 3, p. 174‑181.","noteIndex":1},"citationItems":[{"id":3377,"uris":["http://zotero.org/users/5196290/items/QSVJ7SPF"],"itemData":{"id":3377,"type":"article-journal","container-title":"Hommes &amp; Migrations","DOI":"10.4000/hommesmigrations.9877","ISSN":"1142-852X","issue":"3","language":"fr","note":"publisher: Musée de l’histoire de l’immigration","page":"174-181","source":"shs.cairn.info","title":"Trois musées face à leur passé colonial : Bruxelles, Amsterdam et Paris","title-short":"Trois musées face à leur passé colonial","volume":"1326","author":[{"family":"Bocard","given":"Hélène"}],"issued":{"date-parts":[["2019",10,15]]}}}],"schema":"https://github.com/citation-style-language/schema/raw/master/csl-citation.json"} </w:instrText>
      </w:r>
      <w:r w:rsidRPr="00967442">
        <w:rPr>
          <w:rFonts w:cs="Times New Roman"/>
        </w:rPr>
        <w:fldChar w:fldCharType="separate"/>
      </w:r>
      <w:r w:rsidRPr="00967442">
        <w:rPr>
          <w:rFonts w:cs="Times New Roman"/>
          <w:smallCaps/>
          <w:kern w:val="0"/>
        </w:rPr>
        <w:t>Bocard</w:t>
      </w:r>
      <w:r w:rsidRPr="00967442">
        <w:rPr>
          <w:rFonts w:cs="Times New Roman"/>
          <w:kern w:val="0"/>
        </w:rPr>
        <w:t>, « Trois musées face à leur passé colonial</w:t>
      </w:r>
      <w:r w:rsidR="003627CA">
        <w:rPr>
          <w:rFonts w:cs="Times New Roman"/>
          <w:kern w:val="0"/>
        </w:rPr>
        <w:t> :</w:t>
      </w:r>
      <w:r w:rsidRPr="00967442">
        <w:rPr>
          <w:rFonts w:cs="Times New Roman"/>
          <w:kern w:val="0"/>
        </w:rPr>
        <w:t xml:space="preserve"> Bruxelles, Amsterdam et Paris », </w:t>
      </w:r>
      <w:r w:rsidRPr="00967442">
        <w:rPr>
          <w:rFonts w:cs="Times New Roman"/>
          <w:i/>
          <w:iCs/>
          <w:kern w:val="0"/>
        </w:rPr>
        <w:t>Hommes &amp; Migrations</w:t>
      </w:r>
      <w:r w:rsidRPr="00967442">
        <w:rPr>
          <w:rFonts w:cs="Times New Roman"/>
          <w:kern w:val="0"/>
        </w:rPr>
        <w:t>, vol. 1326, n</w:t>
      </w:r>
      <w:r w:rsidRPr="00967442">
        <w:rPr>
          <w:rFonts w:cs="Times New Roman"/>
          <w:kern w:val="0"/>
          <w:vertAlign w:val="superscript"/>
        </w:rPr>
        <w:t>o</w:t>
      </w:r>
      <w:r w:rsidRPr="00967442">
        <w:rPr>
          <w:rFonts w:cs="Times New Roman"/>
          <w:kern w:val="0"/>
        </w:rPr>
        <w:t> 3</w:t>
      </w:r>
      <w:r w:rsidR="00967442">
        <w:rPr>
          <w:rFonts w:cs="Times New Roman"/>
          <w:kern w:val="0"/>
        </w:rPr>
        <w:t xml:space="preserve"> (2019)</w:t>
      </w:r>
      <w:r w:rsidRPr="00967442">
        <w:rPr>
          <w:rFonts w:cs="Times New Roman"/>
          <w:kern w:val="0"/>
        </w:rPr>
        <w:t>, p. 174‑181.</w:t>
      </w:r>
      <w:r w:rsidRPr="00967442">
        <w:rPr>
          <w:rFonts w:cs="Times New Roman"/>
        </w:rPr>
        <w:fldChar w:fldCharType="end"/>
      </w:r>
    </w:p>
  </w:footnote>
  <w:footnote w:id="2">
    <w:p w14:paraId="70940CB8" w14:textId="7D1E199E" w:rsidR="00DD125A" w:rsidRPr="00967442" w:rsidRDefault="00DD125A">
      <w:pPr>
        <w:pStyle w:val="Notedebasdepage"/>
        <w:rPr>
          <w:rFonts w:cs="Times New Roman"/>
        </w:rPr>
      </w:pPr>
      <w:r w:rsidRPr="00967442">
        <w:rPr>
          <w:rStyle w:val="Appelnotedebasdep"/>
          <w:rFonts w:cs="Times New Roman"/>
        </w:rPr>
        <w:footnoteRef/>
      </w:r>
      <w:r w:rsidRPr="00967442">
        <w:rPr>
          <w:rFonts w:cs="Times New Roman"/>
        </w:rPr>
        <w:t xml:space="preserve"> Site internet du MEG : </w:t>
      </w:r>
      <w:hyperlink r:id="rId1" w:history="1">
        <w:r w:rsidRPr="00967442">
          <w:rPr>
            <w:rStyle w:val="Lienhypertexte"/>
            <w:rFonts w:cs="Times New Roman"/>
          </w:rPr>
          <w:t>https://www.meg.ch/fr/propos-du-meg/changer-nom-du-meg</w:t>
        </w:r>
      </w:hyperlink>
      <w:r w:rsidRPr="00967442">
        <w:rPr>
          <w:rFonts w:cs="Times New Roman"/>
        </w:rPr>
        <w:t xml:space="preserve"> </w:t>
      </w:r>
    </w:p>
  </w:footnote>
  <w:footnote w:id="3">
    <w:p w14:paraId="27433577" w14:textId="360D1715" w:rsidR="00372BC7" w:rsidRPr="00967442" w:rsidRDefault="00372BC7">
      <w:pPr>
        <w:pStyle w:val="Notedebasdepage"/>
        <w:rPr>
          <w:rFonts w:cs="Times New Roman"/>
        </w:rPr>
      </w:pPr>
      <w:r w:rsidRPr="00967442">
        <w:rPr>
          <w:rStyle w:val="Appelnotedebasdep"/>
          <w:rFonts w:cs="Times New Roman"/>
        </w:rPr>
        <w:footnoteRef/>
      </w:r>
      <w:r w:rsidRPr="00967442">
        <w:rPr>
          <w:rFonts w:cs="Times New Roman"/>
        </w:rPr>
        <w:t xml:space="preserve"> </w:t>
      </w:r>
      <w:r w:rsidR="00967442">
        <w:rPr>
          <w:rFonts w:cs="Times New Roman"/>
        </w:rPr>
        <w:t xml:space="preserve">Marie-Sylvie </w:t>
      </w:r>
      <w:r w:rsidRPr="00967442">
        <w:rPr>
          <w:rFonts w:cs="Times New Roman"/>
        </w:rPr>
        <w:fldChar w:fldCharType="begin"/>
      </w:r>
      <w:r w:rsidRPr="00967442">
        <w:rPr>
          <w:rFonts w:cs="Times New Roman"/>
        </w:rPr>
        <w:instrText xml:space="preserve"> ADDIN ZOTERO_ITEM CSL_CITATION {"citationID":"wzpItxAS","properties":{"formattedCitation":"{\\scaps Poli} M.-S. et {\\scaps Gottesdiener} H., \\uc0\\u171{}\\uc0\\u160{}Les titres d\\uc0\\u8217{}expositions\\uc0\\u8239{}: sur quoi communiquent les mus\\uc0\\u233{}es\\uc0\\u160{}\\uc0\\u187{}, in {\\i{}Culture &amp; Mus\\uc0\\u233{}es}, vol.\\uc0\\u160{}11 (2008), n\\super o\\nosupersub{}\\uc0\\u160{}1, p. 81\\uc0\\u8209{}89.","plainCitation":"Poli M.-S. et Gottesdiener H., « Les titres d’expositions : sur quoi communiquent les musées », in Culture &amp; Musées, vol. 11 (2008), no 1, p. 81‑89.","noteIndex":3},"citationItems":[{"id":3379,"uris":["http://zotero.org/users/5196290/items/W7V28V2Q"],"itemData":{"id":3379,"type":"article-journal","container-title":"Culture &amp; Musées","DOI":"10.3406/pumus.2008.1471","issue":"1","language":"fre","license":"free","note":"Company: Persée - Portail des revues scientifiques en SHS\nDistributor: Persée - Portail des revues scientifiques en SHS\nInstitution: Persée - Portail des revues scientifiques en SHS\nLabel: Persée - Portail des revues scientifiques en SHS\npublisher: Presses Universitaires de Lyon","page":"81-89","source":"www.persee.fr","title":"Les titres d’expositions : sur quoi communiquent les musées","title-short":"Les titres d’expositions","volume":"11","author":[{"family":"Poli","given":"Marie-Sylvie"},{"family":"Gottesdiener","given":"Hana"}],"issued":{"date-parts":[["2008"]]}}}],"schema":"https://github.com/citation-style-language/schema/raw/master/csl-citation.json"} </w:instrText>
      </w:r>
      <w:r w:rsidRPr="00967442">
        <w:rPr>
          <w:rFonts w:cs="Times New Roman"/>
        </w:rPr>
        <w:fldChar w:fldCharType="separate"/>
      </w:r>
      <w:r w:rsidRPr="00967442">
        <w:rPr>
          <w:rFonts w:cs="Times New Roman"/>
          <w:smallCaps/>
          <w:kern w:val="0"/>
        </w:rPr>
        <w:t>Poli</w:t>
      </w:r>
      <w:r w:rsidRPr="00967442">
        <w:rPr>
          <w:rFonts w:cs="Times New Roman"/>
          <w:kern w:val="0"/>
        </w:rPr>
        <w:t xml:space="preserve">. </w:t>
      </w:r>
      <w:r w:rsidR="003627CA">
        <w:rPr>
          <w:rFonts w:cs="Times New Roman"/>
          <w:kern w:val="0"/>
        </w:rPr>
        <w:t>&amp;</w:t>
      </w:r>
      <w:r w:rsidRPr="00967442">
        <w:rPr>
          <w:rFonts w:cs="Times New Roman"/>
          <w:kern w:val="0"/>
        </w:rPr>
        <w:t xml:space="preserve"> </w:t>
      </w:r>
      <w:r w:rsidR="00967442">
        <w:rPr>
          <w:rFonts w:cs="Times New Roman"/>
          <w:kern w:val="0"/>
        </w:rPr>
        <w:t xml:space="preserve">Hana </w:t>
      </w:r>
      <w:proofErr w:type="spellStart"/>
      <w:r w:rsidRPr="00967442">
        <w:rPr>
          <w:rFonts w:cs="Times New Roman"/>
          <w:smallCaps/>
          <w:kern w:val="0"/>
        </w:rPr>
        <w:t>Gottesdiener</w:t>
      </w:r>
      <w:proofErr w:type="spellEnd"/>
      <w:r w:rsidRPr="00967442">
        <w:rPr>
          <w:rFonts w:cs="Times New Roman"/>
          <w:kern w:val="0"/>
        </w:rPr>
        <w:t xml:space="preserve">, « Les titres d’expositions : sur quoi communiquent les musées », </w:t>
      </w:r>
      <w:r w:rsidRPr="00967442">
        <w:rPr>
          <w:rFonts w:cs="Times New Roman"/>
          <w:i/>
          <w:iCs/>
          <w:kern w:val="0"/>
        </w:rPr>
        <w:t>Culture &amp; Musées</w:t>
      </w:r>
      <w:r w:rsidRPr="00967442">
        <w:rPr>
          <w:rFonts w:cs="Times New Roman"/>
          <w:kern w:val="0"/>
        </w:rPr>
        <w:t>, vol. 11, n</w:t>
      </w:r>
      <w:r w:rsidRPr="00967442">
        <w:rPr>
          <w:rFonts w:cs="Times New Roman"/>
          <w:kern w:val="0"/>
          <w:vertAlign w:val="superscript"/>
        </w:rPr>
        <w:t>o</w:t>
      </w:r>
      <w:r w:rsidRPr="00967442">
        <w:rPr>
          <w:rFonts w:cs="Times New Roman"/>
          <w:kern w:val="0"/>
        </w:rPr>
        <w:t> 1</w:t>
      </w:r>
      <w:r w:rsidR="003627CA">
        <w:rPr>
          <w:rFonts w:cs="Times New Roman"/>
          <w:kern w:val="0"/>
        </w:rPr>
        <w:t xml:space="preserve"> (2008)</w:t>
      </w:r>
      <w:r w:rsidRPr="00967442">
        <w:rPr>
          <w:rFonts w:cs="Times New Roman"/>
          <w:kern w:val="0"/>
        </w:rPr>
        <w:t>, p. 81‑89.</w:t>
      </w:r>
      <w:r w:rsidRPr="00967442">
        <w:rPr>
          <w:rFonts w:cs="Times New Roman"/>
        </w:rPr>
        <w:fldChar w:fldCharType="end"/>
      </w:r>
    </w:p>
  </w:footnote>
  <w:footnote w:id="4">
    <w:p w14:paraId="11BD85A4" w14:textId="63D91E10" w:rsidR="00372BC7" w:rsidRPr="00967442" w:rsidRDefault="00372BC7">
      <w:pPr>
        <w:pStyle w:val="Notedebasdepage"/>
        <w:rPr>
          <w:rFonts w:cs="Times New Roman"/>
        </w:rPr>
      </w:pPr>
      <w:r w:rsidRPr="00967442">
        <w:rPr>
          <w:rStyle w:val="Appelnotedebasdep"/>
          <w:rFonts w:cs="Times New Roman"/>
        </w:rPr>
        <w:footnoteRef/>
      </w:r>
      <w:r w:rsidRPr="00967442">
        <w:rPr>
          <w:rFonts w:cs="Times New Roman"/>
        </w:rPr>
        <w:t xml:space="preserve"> </w:t>
      </w:r>
      <w:r w:rsidR="003627CA">
        <w:rPr>
          <w:rFonts w:cs="Times New Roman"/>
        </w:rPr>
        <w:t xml:space="preserve">Paul </w:t>
      </w:r>
      <w:r w:rsidRPr="00967442">
        <w:rPr>
          <w:rFonts w:cs="Times New Roman"/>
        </w:rPr>
        <w:fldChar w:fldCharType="begin"/>
      </w:r>
      <w:r w:rsidRPr="00967442">
        <w:rPr>
          <w:rFonts w:cs="Times New Roman"/>
        </w:rPr>
        <w:instrText xml:space="preserve"> ADDIN ZOTERO_ITEM CSL_CITATION {"citationID":"9D7nuI8y","properties":{"formattedCitation":"{\\scaps Siblot} P., \\uc0\\u171{}\\uc0\\u160{}De la d\\uc0\\u233{}nomination \\uc0\\u224{} la nomination\\uc0\\u160{}\\uc0\\u187{}, in {\\i{}Cahiers de prax\\uc0\\u233{}matique},  (1 janvier 2001), n\\super o\\nosupersub{}\\uc0\\u160{}36, p. 189\\uc0\\u8209{}214.","plainCitation":"Siblot P., « De la dénomination à la nomination », in Cahiers de praxématique,  (1 janvier 2001), no 36, p. 189‑214.","noteIndex":4},"citationItems":[{"id":3380,"uris":["http://zotero.org/users/5196290/items/P9QI37G7"],"itemData":{"id":3380,"type":"article-journal","abstract":"La dénomination relève d’une approche statique établie au plan de la langue, alors que la nomination désigne un acte de parole contextualisé, saisi dans la dynamique de l’actualisation. La problématique du praxème permet de repérer dans la signifiance du nom les effets de la relation dialectique du sujet au réel, et ceux du dialogisme. Elle permet aussi d’interpréter le « prédicat de réalité » en termes de référence, et d’expliciter par l’absence de marques temporelles et personnelles dans la catégorie nominale « le propre du nom » : sa capacité à « évoquer les choses en tant que telles ».","container-title":"Cahiers de praxématique","DOI":"10.4000/praxematique.368","ISSN":"0765-4944","issue":"36","language":"fr","license":"https://creativecommons.org/licenses/by-nc-nd/4.0/","note":"number: 36\npublisher: Presses universitaires de la Méditerranée","page":"189-214","source":"journals.openedition.org","title":"De la dénomination à la nomination","author":[{"family":"Siblot","given":"Paul"}],"issued":{"date-parts":[["2001",1,1]]}}}],"schema":"https://github.com/citation-style-language/schema/raw/master/csl-citation.json"} </w:instrText>
      </w:r>
      <w:r w:rsidRPr="00967442">
        <w:rPr>
          <w:rFonts w:cs="Times New Roman"/>
        </w:rPr>
        <w:fldChar w:fldCharType="separate"/>
      </w:r>
      <w:proofErr w:type="spellStart"/>
      <w:r w:rsidRPr="00967442">
        <w:rPr>
          <w:rFonts w:cs="Times New Roman"/>
          <w:smallCaps/>
          <w:kern w:val="0"/>
        </w:rPr>
        <w:t>Siblot</w:t>
      </w:r>
      <w:proofErr w:type="spellEnd"/>
      <w:r w:rsidRPr="00967442">
        <w:rPr>
          <w:rFonts w:cs="Times New Roman"/>
          <w:kern w:val="0"/>
        </w:rPr>
        <w:t xml:space="preserve">, « De la dénomination à la nomination », </w:t>
      </w:r>
      <w:r w:rsidRPr="00967442">
        <w:rPr>
          <w:rFonts w:cs="Times New Roman"/>
          <w:i/>
          <w:iCs/>
          <w:kern w:val="0"/>
        </w:rPr>
        <w:t>Cahiers de praxématique</w:t>
      </w:r>
      <w:r w:rsidRPr="00967442">
        <w:rPr>
          <w:rFonts w:cs="Times New Roman"/>
          <w:kern w:val="0"/>
        </w:rPr>
        <w:t>, n</w:t>
      </w:r>
      <w:r w:rsidRPr="00967442">
        <w:rPr>
          <w:rFonts w:cs="Times New Roman"/>
          <w:kern w:val="0"/>
          <w:vertAlign w:val="superscript"/>
        </w:rPr>
        <w:t>o</w:t>
      </w:r>
      <w:r w:rsidRPr="00967442">
        <w:rPr>
          <w:rFonts w:cs="Times New Roman"/>
          <w:kern w:val="0"/>
        </w:rPr>
        <w:t> 36</w:t>
      </w:r>
      <w:r w:rsidR="003627CA">
        <w:rPr>
          <w:rFonts w:cs="Times New Roman"/>
          <w:kern w:val="0"/>
        </w:rPr>
        <w:t xml:space="preserve"> (2001)</w:t>
      </w:r>
      <w:r w:rsidRPr="00967442">
        <w:rPr>
          <w:rFonts w:cs="Times New Roman"/>
          <w:kern w:val="0"/>
        </w:rPr>
        <w:t>, p. 189‑214.</w:t>
      </w:r>
      <w:r w:rsidRPr="00967442">
        <w:rPr>
          <w:rFonts w:cs="Times New Roman"/>
        </w:rPr>
        <w:fldChar w:fldCharType="end"/>
      </w:r>
    </w:p>
  </w:footnote>
  <w:footnote w:id="5">
    <w:p w14:paraId="1E8113B3" w14:textId="77777777" w:rsidR="006B478B" w:rsidRPr="00967442" w:rsidRDefault="006B478B" w:rsidP="006B478B">
      <w:pPr>
        <w:pStyle w:val="Notedebasdepage"/>
        <w:rPr>
          <w:rFonts w:cs="Times New Roman"/>
        </w:rPr>
      </w:pPr>
      <w:r w:rsidRPr="00967442">
        <w:rPr>
          <w:rStyle w:val="Appelnotedebasdep"/>
          <w:rFonts w:cs="Times New Roman"/>
        </w:rPr>
        <w:footnoteRef/>
      </w:r>
      <w:r w:rsidRPr="00967442">
        <w:rPr>
          <w:rFonts w:cs="Times New Roman"/>
        </w:rPr>
        <w:t xml:space="preserve"> Site internet de l’ICOM, répertoire des comités : </w:t>
      </w:r>
      <w:hyperlink r:id="rId2" w:history="1">
        <w:r w:rsidRPr="00967442">
          <w:rPr>
            <w:rStyle w:val="Lienhypertexte"/>
            <w:rFonts w:cs="Times New Roman"/>
          </w:rPr>
          <w:t>https://icommuseum.com/fr/reseau/repertoire-des-comites/index%EF%B9%96type=218.html</w:t>
        </w:r>
      </w:hyperlink>
      <w:r w:rsidRPr="00967442">
        <w:rPr>
          <w:rFonts w:cs="Times New Roman"/>
        </w:rPr>
        <w:t xml:space="preserve"> </w:t>
      </w:r>
    </w:p>
  </w:footnote>
  <w:footnote w:id="6">
    <w:p w14:paraId="20CD108D" w14:textId="29C3115C" w:rsidR="00F4163D" w:rsidRPr="00F4163D" w:rsidRDefault="00F4163D">
      <w:pPr>
        <w:pStyle w:val="Notedebasdepage"/>
        <w:rPr>
          <w:lang w:val="en-GB"/>
        </w:rPr>
      </w:pPr>
      <w:r w:rsidRPr="00967442">
        <w:rPr>
          <w:rStyle w:val="Appelnotedebasdep"/>
          <w:rFonts w:cs="Times New Roman"/>
        </w:rPr>
        <w:footnoteRef/>
      </w:r>
      <w:r w:rsidRPr="00967442">
        <w:rPr>
          <w:rFonts w:cs="Times New Roman"/>
          <w:lang w:val="en-GB"/>
        </w:rPr>
        <w:t xml:space="preserve"> </w:t>
      </w:r>
      <w:r w:rsidR="003627CA">
        <w:rPr>
          <w:rFonts w:cs="Times New Roman"/>
          <w:lang w:val="en-GB"/>
        </w:rPr>
        <w:t xml:space="preserve">Tony </w:t>
      </w:r>
      <w:r w:rsidRPr="00967442">
        <w:rPr>
          <w:rFonts w:cs="Times New Roman"/>
        </w:rPr>
        <w:fldChar w:fldCharType="begin"/>
      </w:r>
      <w:r w:rsidRPr="00967442">
        <w:rPr>
          <w:rFonts w:cs="Times New Roman"/>
          <w:lang w:val="en-GB"/>
        </w:rPr>
        <w:instrText xml:space="preserve"> ADDIN ZOTERO_ITEM CSL_CITATION {"citationID":"xn3LkRHC","properties":{"formattedCitation":"{\\scaps Bennett} T., {\\i{}The birth of the museum: history, theory, politics}, London\\uc0\\u8239{}; New York, Routledge, 1995.","plainCitation":"Bennett T., The birth of the museum: history, theory, politics, London ; New York, Routledge, 1995.","noteIndex":6},"citationItems":[{"id":1232,"uris":["http://zotero.org/users/5196290/items/UVTBKLG7"],"itemData":{"id":1232,"type":"book","call-number":"AM7 .B39 1995","collection-title":"Culture : policies and politics","event-place":"London ; New York","ISBN":"978-0-415-05387-7","number-of-pages":"278","publisher":"Routledge","publisher-place":"London ; New York","source":"Library of Congress ISBN","title":"The birth of the museum: history, theory, politics","title-short":"The birth of the museum","author":[{"family":"Bennett","given":"Tony"}],"issued":{"date-parts":[["1995"]]}}}],"schema":"https://github.com/citation-style-language/schema/raw/master/csl-citation.json"} </w:instrText>
      </w:r>
      <w:r w:rsidRPr="00967442">
        <w:rPr>
          <w:rFonts w:cs="Times New Roman"/>
        </w:rPr>
        <w:fldChar w:fldCharType="separate"/>
      </w:r>
      <w:r w:rsidRPr="00967442">
        <w:rPr>
          <w:rFonts w:cs="Times New Roman"/>
          <w:smallCaps/>
          <w:kern w:val="0"/>
          <w:lang w:val="en-GB"/>
        </w:rPr>
        <w:t>Bennett</w:t>
      </w:r>
      <w:r w:rsidRPr="00967442">
        <w:rPr>
          <w:rFonts w:cs="Times New Roman"/>
          <w:kern w:val="0"/>
          <w:lang w:val="en-GB"/>
        </w:rPr>
        <w:t xml:space="preserve">, </w:t>
      </w:r>
      <w:r w:rsidRPr="00967442">
        <w:rPr>
          <w:rFonts w:cs="Times New Roman"/>
          <w:i/>
          <w:iCs/>
          <w:kern w:val="0"/>
          <w:lang w:val="en-GB"/>
        </w:rPr>
        <w:t>The birth of the museum: history, theory, politics</w:t>
      </w:r>
      <w:r w:rsidRPr="00967442">
        <w:rPr>
          <w:rFonts w:cs="Times New Roman"/>
          <w:kern w:val="0"/>
          <w:lang w:val="en-GB"/>
        </w:rPr>
        <w:t>, London, Routledge, 1995.</w:t>
      </w:r>
      <w:r w:rsidRPr="00967442">
        <w:rPr>
          <w:rFonts w:cs="Times New Roman"/>
        </w:rPr>
        <w:fldChar w:fldCharType="end"/>
      </w:r>
    </w:p>
  </w:footnote>
  <w:footnote w:id="7">
    <w:p w14:paraId="3FC9C794" w14:textId="7F5ACF3F" w:rsidR="00F4163D" w:rsidRPr="00967442" w:rsidRDefault="00F4163D">
      <w:pPr>
        <w:pStyle w:val="Notedebasdepage"/>
        <w:rPr>
          <w:rFonts w:cs="Times New Roman"/>
        </w:rPr>
      </w:pPr>
      <w:r w:rsidRPr="00967442">
        <w:rPr>
          <w:rStyle w:val="Appelnotedebasdep"/>
          <w:rFonts w:cs="Times New Roman"/>
        </w:rPr>
        <w:footnoteRef/>
      </w:r>
      <w:r w:rsidRPr="00967442">
        <w:rPr>
          <w:rFonts w:cs="Times New Roman"/>
        </w:rPr>
        <w:t xml:space="preserve"> </w:t>
      </w:r>
      <w:r w:rsidR="003627CA">
        <w:rPr>
          <w:rFonts w:cs="Times New Roman"/>
        </w:rPr>
        <w:t xml:space="preserve">Noémie </w:t>
      </w:r>
      <w:r w:rsidRPr="00967442">
        <w:rPr>
          <w:rFonts w:cs="Times New Roman"/>
        </w:rPr>
        <w:fldChar w:fldCharType="begin"/>
      </w:r>
      <w:r w:rsidRPr="00967442">
        <w:rPr>
          <w:rFonts w:cs="Times New Roman"/>
        </w:rPr>
        <w:instrText xml:space="preserve"> ADDIN ZOTERO_ITEM CSL_CITATION {"citationID":"NY3vQRMb","properties":{"formattedCitation":"{\\scaps Drouguet} N., {\\i{}Le mus\\uc0\\u233{}e de soci\\uc0\\u233{}t\\uc0\\u233{}: de l\\uc0\\u8217{}exposition de folklore aux enjeux contemporains}, Paris, Armand Colin, 2015.","plainCitation":"Drouguet N., Le musée de société: de l’exposition de folklore aux enjeux contemporains, Paris, Armand Colin, 2015.","noteIndex":7},"citationItems":[{"id":3382,"uris":["http://zotero.org/users/5196290/items/XCNZ6S9M"],"itemData":{"id":3382,"type":"book","call-number":"306.075","collection-title":"U","event-place":"Paris","ISBN":"978-2-200-28303-2","language":"fre","publisher":"Armand Colin","publisher-place":"Paris","source":"BnF ISBN","title":"Le musée de société: de l'exposition de folklore aux enjeux contemporains","title-short":"Le musée de société","author":[{"family":"Drouguet","given":"Noémie"}],"issued":{"date-parts":[["2015"]]}}}],"schema":"https://github.com/citation-style-language/schema/raw/master/csl-citation.json"} </w:instrText>
      </w:r>
      <w:r w:rsidRPr="00967442">
        <w:rPr>
          <w:rFonts w:cs="Times New Roman"/>
        </w:rPr>
        <w:fldChar w:fldCharType="separate"/>
      </w:r>
      <w:proofErr w:type="spellStart"/>
      <w:r w:rsidRPr="00967442">
        <w:rPr>
          <w:rFonts w:cs="Times New Roman"/>
          <w:smallCaps/>
          <w:kern w:val="0"/>
        </w:rPr>
        <w:t>Drouguet</w:t>
      </w:r>
      <w:proofErr w:type="spellEnd"/>
      <w:r w:rsidRPr="00967442">
        <w:rPr>
          <w:rFonts w:cs="Times New Roman"/>
          <w:kern w:val="0"/>
        </w:rPr>
        <w:t xml:space="preserve">, </w:t>
      </w:r>
      <w:r w:rsidRPr="00967442">
        <w:rPr>
          <w:rFonts w:cs="Times New Roman"/>
          <w:i/>
          <w:iCs/>
          <w:kern w:val="0"/>
        </w:rPr>
        <w:t>Le musée de société: de l’exposition de folklore aux enjeux contemporains</w:t>
      </w:r>
      <w:r w:rsidRPr="00967442">
        <w:rPr>
          <w:rFonts w:cs="Times New Roman"/>
          <w:kern w:val="0"/>
        </w:rPr>
        <w:t>, Paris, Armand Colin, 2015.</w:t>
      </w:r>
      <w:r w:rsidRPr="00967442">
        <w:rPr>
          <w:rFonts w:cs="Times New Roman"/>
        </w:rPr>
        <w:fldChar w:fldCharType="end"/>
      </w:r>
    </w:p>
  </w:footnote>
  <w:footnote w:id="8">
    <w:p w14:paraId="19AD710A" w14:textId="2DA855ED" w:rsidR="00F4163D" w:rsidRPr="00967442" w:rsidRDefault="00F4163D">
      <w:pPr>
        <w:pStyle w:val="Notedebasdepage"/>
        <w:rPr>
          <w:rFonts w:cs="Times New Roman"/>
        </w:rPr>
      </w:pPr>
      <w:r w:rsidRPr="00967442">
        <w:rPr>
          <w:rStyle w:val="Appelnotedebasdep"/>
          <w:rFonts w:cs="Times New Roman"/>
        </w:rPr>
        <w:footnoteRef/>
      </w:r>
      <w:r w:rsidRPr="00967442">
        <w:rPr>
          <w:rFonts w:cs="Times New Roman"/>
        </w:rPr>
        <w:t xml:space="preserve"> </w:t>
      </w:r>
      <w:r w:rsidR="003627CA" w:rsidRPr="00967442">
        <w:rPr>
          <w:rFonts w:cs="Times New Roman"/>
          <w:kern w:val="0"/>
        </w:rPr>
        <w:t>É</w:t>
      </w:r>
      <w:r w:rsidR="003627CA">
        <w:rPr>
          <w:rFonts w:cs="Times New Roman"/>
          <w:kern w:val="0"/>
        </w:rPr>
        <w:t>liane</w:t>
      </w:r>
      <w:r w:rsidR="003627CA" w:rsidRPr="00967442">
        <w:rPr>
          <w:rFonts w:cs="Times New Roman"/>
        </w:rPr>
        <w:t xml:space="preserve"> </w:t>
      </w:r>
      <w:r w:rsidRPr="00967442">
        <w:rPr>
          <w:rFonts w:cs="Times New Roman"/>
        </w:rPr>
        <w:fldChar w:fldCharType="begin"/>
      </w:r>
      <w:r w:rsidR="003D455D" w:rsidRPr="00967442">
        <w:rPr>
          <w:rFonts w:cs="Times New Roman"/>
        </w:rPr>
        <w:instrText xml:space="preserve"> ADDIN ZOTERO_ITEM CSL_CITATION {"citationID":"efusTSw3","properties":{"formattedCitation":"{\\scaps Barroso} \\uc0\\u201{}. et {\\scaps Vaillant} E.\\uc0\\u160{}(dir.), {\\i{}Mus\\uc0\\u233{}es et soci\\uc0\\u233{}t\\uc0\\u233{}s. Actes du colloque national Mus\\uc0\\u233{}es et soci\\uc0\\u233{}t\\uc0\\u233{}s, Mulhouse-Ungersheim, juin 1991}, Paris, Direction des mus\\uc0\\u233{}es de France, 1994.","plainCitation":"Barroso É. et Vaillant E. (dir.), Musées et sociétés. Actes du colloque national Musées et sociétés, Mulhouse-Ungersheim, juin 1991, Paris, Direction des musées de France, 1994.","dontUpdate":true,"noteIndex":8},"citationItems":[{"id":3328,"uris":["http://zotero.org/users/5196290/items/GYSFJTSY"],"itemData":{"id":3328,"type":"book","call-number":"0","event-place":"Paris","ISBN":"978-2-11-087422-1","language":"fre","number-of-pages":"446","publisher":"Direction des musées de France","publisher-place":"Paris","source":"BnF ISBN","title":"Musées et sociétés. Actes du colloque national Musées et sociétés, Mulhouse-Ungersheim, juin 1991","editor":[{"family":"Barroso","given":"Éliane"},{"family":"Vaillant","given":"Emilia"}],"issued":{"date-parts":[["1994"]]}}}],"schema":"https://github.com/citation-style-language/schema/raw/master/csl-citation.json"} </w:instrText>
      </w:r>
      <w:r w:rsidRPr="00967442">
        <w:rPr>
          <w:rFonts w:cs="Times New Roman"/>
        </w:rPr>
        <w:fldChar w:fldCharType="separate"/>
      </w:r>
      <w:r w:rsidRPr="00967442">
        <w:rPr>
          <w:rFonts w:cs="Times New Roman"/>
          <w:smallCaps/>
          <w:kern w:val="0"/>
        </w:rPr>
        <w:t>Barroso</w:t>
      </w:r>
      <w:r w:rsidR="003627CA">
        <w:rPr>
          <w:rFonts w:cs="Times New Roman"/>
          <w:kern w:val="0"/>
        </w:rPr>
        <w:t xml:space="preserve"> &amp;</w:t>
      </w:r>
      <w:r w:rsidRPr="00967442">
        <w:rPr>
          <w:rFonts w:cs="Times New Roman"/>
          <w:kern w:val="0"/>
        </w:rPr>
        <w:t xml:space="preserve"> </w:t>
      </w:r>
      <w:r w:rsidR="003627CA" w:rsidRPr="00967442">
        <w:rPr>
          <w:rFonts w:cs="Times New Roman"/>
          <w:kern w:val="0"/>
        </w:rPr>
        <w:t>É</w:t>
      </w:r>
      <w:r w:rsidR="003627CA">
        <w:rPr>
          <w:rFonts w:cs="Times New Roman"/>
          <w:kern w:val="0"/>
        </w:rPr>
        <w:t xml:space="preserve">milia </w:t>
      </w:r>
      <w:r w:rsidRPr="00967442">
        <w:rPr>
          <w:rFonts w:cs="Times New Roman"/>
          <w:smallCaps/>
          <w:kern w:val="0"/>
        </w:rPr>
        <w:t>Vaillant</w:t>
      </w:r>
      <w:r w:rsidRPr="00967442">
        <w:rPr>
          <w:rFonts w:cs="Times New Roman"/>
          <w:kern w:val="0"/>
        </w:rPr>
        <w:t> (</w:t>
      </w:r>
      <w:proofErr w:type="spellStart"/>
      <w:r w:rsidRPr="00967442">
        <w:rPr>
          <w:rFonts w:cs="Times New Roman"/>
          <w:kern w:val="0"/>
        </w:rPr>
        <w:t>dir</w:t>
      </w:r>
      <w:proofErr w:type="spellEnd"/>
      <w:r w:rsidRPr="00967442">
        <w:rPr>
          <w:rFonts w:cs="Times New Roman"/>
          <w:kern w:val="0"/>
        </w:rPr>
        <w:t xml:space="preserve">.), </w:t>
      </w:r>
      <w:r w:rsidRPr="00967442">
        <w:rPr>
          <w:rFonts w:cs="Times New Roman"/>
          <w:i/>
          <w:iCs/>
          <w:kern w:val="0"/>
        </w:rPr>
        <w:t>Musées et sociétés. Actes du colloque national Musées et sociétés, Mulhouse-Ungersheim, juin 1991</w:t>
      </w:r>
      <w:r w:rsidRPr="00967442">
        <w:rPr>
          <w:rFonts w:cs="Times New Roman"/>
          <w:kern w:val="0"/>
        </w:rPr>
        <w:t>, Paris, Direction des musées de France, 1994, p.37.</w:t>
      </w:r>
      <w:r w:rsidRPr="00967442">
        <w:rPr>
          <w:rFonts w:cs="Times New Roman"/>
        </w:rPr>
        <w:fldChar w:fldCharType="end"/>
      </w:r>
    </w:p>
  </w:footnote>
  <w:footnote w:id="9">
    <w:p w14:paraId="3406A9EB" w14:textId="1C68D598" w:rsidR="00F4163D" w:rsidRPr="00967442" w:rsidRDefault="00F4163D">
      <w:pPr>
        <w:pStyle w:val="Notedebasdepage"/>
        <w:rPr>
          <w:rFonts w:cs="Times New Roman"/>
        </w:rPr>
      </w:pPr>
      <w:r w:rsidRPr="00967442">
        <w:rPr>
          <w:rStyle w:val="Appelnotedebasdep"/>
          <w:rFonts w:cs="Times New Roman"/>
        </w:rPr>
        <w:footnoteRef/>
      </w:r>
      <w:r w:rsidRPr="00967442">
        <w:rPr>
          <w:rFonts w:cs="Times New Roman"/>
        </w:rPr>
        <w:t xml:space="preserve"> </w:t>
      </w:r>
      <w:r w:rsidR="003627CA">
        <w:rPr>
          <w:rFonts w:cs="Times New Roman"/>
        </w:rPr>
        <w:t xml:space="preserve">Noémie </w:t>
      </w:r>
      <w:r w:rsidRPr="00967442">
        <w:rPr>
          <w:rFonts w:cs="Times New Roman"/>
        </w:rPr>
        <w:fldChar w:fldCharType="begin"/>
      </w:r>
      <w:r w:rsidR="003D455D" w:rsidRPr="00967442">
        <w:rPr>
          <w:rFonts w:cs="Times New Roman"/>
        </w:rPr>
        <w:instrText xml:space="preserve"> ADDIN ZOTERO_ITEM CSL_CITATION {"citationID":"Zgxakx8I","properties":{"formattedCitation":"{\\scaps Drouguet} N., {\\i{}Le mus\\uc0\\u233{}e de soci\\uc0\\u233{}t\\uc0\\u233{}}, {\\i{}op.\\uc0\\u160{}cit.}","plainCitation":"Drouguet N., Le musée de société, op. cit.","dontUpdate":true,"noteIndex":9},"citationItems":[{"id":3382,"uris":["http://zotero.org/users/5196290/items/XCNZ6S9M"],"itemData":{"id":3382,"type":"book","call-number":"306.075","collection-title":"U","event-place":"Paris","ISBN":"978-2-200-28303-2","language":"fre","publisher":"Armand Colin","publisher-place":"Paris","source":"BnF ISBN","title":"Le musée de société: de l'exposition de folklore aux enjeux contemporains","title-short":"Le musée de société","author":[{"family":"Drouguet","given":"Noémie"}],"issued":{"date-parts":[["2015"]]}}}],"schema":"https://github.com/citation-style-language/schema/raw/master/csl-citation.json"} </w:instrText>
      </w:r>
      <w:r w:rsidRPr="00967442">
        <w:rPr>
          <w:rFonts w:cs="Times New Roman"/>
        </w:rPr>
        <w:fldChar w:fldCharType="separate"/>
      </w:r>
      <w:proofErr w:type="spellStart"/>
      <w:r w:rsidRPr="00967442">
        <w:rPr>
          <w:rFonts w:cs="Times New Roman"/>
          <w:smallCaps/>
          <w:kern w:val="0"/>
        </w:rPr>
        <w:t>Drouguet</w:t>
      </w:r>
      <w:proofErr w:type="spellEnd"/>
      <w:r w:rsidRPr="00967442">
        <w:rPr>
          <w:rFonts w:cs="Times New Roman"/>
          <w:kern w:val="0"/>
        </w:rPr>
        <w:t xml:space="preserve">, </w:t>
      </w:r>
      <w:r w:rsidRPr="00967442">
        <w:rPr>
          <w:rFonts w:cs="Times New Roman"/>
          <w:i/>
          <w:iCs/>
          <w:kern w:val="0"/>
        </w:rPr>
        <w:t>Le musée de société</w:t>
      </w:r>
      <w:r w:rsidRPr="00967442">
        <w:rPr>
          <w:rFonts w:cs="Times New Roman"/>
          <w:kern w:val="0"/>
        </w:rPr>
        <w:t>,</w:t>
      </w:r>
      <w:r w:rsidRPr="00967442">
        <w:rPr>
          <w:rFonts w:cs="Times New Roman"/>
          <w:i/>
          <w:iCs/>
          <w:kern w:val="0"/>
        </w:rPr>
        <w:t xml:space="preserve"> </w:t>
      </w:r>
      <w:r w:rsidRPr="00967442">
        <w:rPr>
          <w:rFonts w:cs="Times New Roman"/>
          <w:kern w:val="0"/>
        </w:rPr>
        <w:t>p.91</w:t>
      </w:r>
      <w:r w:rsidRPr="00967442">
        <w:rPr>
          <w:rFonts w:cs="Times New Roman"/>
          <w:i/>
          <w:iCs/>
          <w:kern w:val="0"/>
        </w:rPr>
        <w:t>.</w:t>
      </w:r>
      <w:r w:rsidRPr="00967442">
        <w:rPr>
          <w:rFonts w:cs="Times New Roman"/>
        </w:rPr>
        <w:fldChar w:fldCharType="end"/>
      </w:r>
    </w:p>
  </w:footnote>
  <w:footnote w:id="10">
    <w:p w14:paraId="7062F428" w14:textId="3BAC949C" w:rsidR="00474BBB" w:rsidRDefault="00474BBB">
      <w:pPr>
        <w:pStyle w:val="Notedebasdepage"/>
      </w:pPr>
      <w:r>
        <w:rPr>
          <w:rStyle w:val="Appelnotedebasdep"/>
        </w:rPr>
        <w:footnoteRef/>
      </w:r>
      <w:r>
        <w:t xml:space="preserve"> </w:t>
      </w:r>
      <w:r w:rsidRPr="00967442">
        <w:rPr>
          <w:rFonts w:cs="Times New Roman"/>
        </w:rPr>
        <w:t xml:space="preserve">« Concept et positionnement du musée », dans </w:t>
      </w:r>
      <w:proofErr w:type="spellStart"/>
      <w:r w:rsidRPr="00967442">
        <w:rPr>
          <w:rFonts w:cs="Times New Roman"/>
        </w:rPr>
        <w:t>letroisièmepole</w:t>
      </w:r>
      <w:proofErr w:type="spellEnd"/>
      <w:r w:rsidRPr="00967442">
        <w:rPr>
          <w:rFonts w:cs="Times New Roman"/>
        </w:rPr>
        <w:t xml:space="preserve">, </w:t>
      </w:r>
      <w:r w:rsidRPr="00967442">
        <w:rPr>
          <w:rFonts w:cs="Times New Roman"/>
          <w:i/>
          <w:iCs/>
        </w:rPr>
        <w:t xml:space="preserve">Etude de dynamisation touristique du musée en </w:t>
      </w:r>
      <w:proofErr w:type="spellStart"/>
      <w:r w:rsidRPr="00967442">
        <w:rPr>
          <w:rFonts w:cs="Times New Roman"/>
          <w:i/>
          <w:iCs/>
        </w:rPr>
        <w:t>Piconrue</w:t>
      </w:r>
      <w:proofErr w:type="spellEnd"/>
      <w:r w:rsidRPr="00967442">
        <w:rPr>
          <w:rFonts w:cs="Times New Roman"/>
          <w:i/>
          <w:iCs/>
        </w:rPr>
        <w:t>, Rapport intermédiaire de l’étude, Volet A - Diagnostic territorial, humain, financier, commercial et touristique</w:t>
      </w:r>
      <w:r w:rsidRPr="00967442">
        <w:rPr>
          <w:rFonts w:cs="Times New Roman"/>
        </w:rPr>
        <w:t>, 2020, p.21.</w:t>
      </w:r>
    </w:p>
  </w:footnote>
  <w:footnote w:id="11">
    <w:p w14:paraId="4D0E7A74" w14:textId="53AA1EBE" w:rsidR="003D455D" w:rsidRPr="00967442" w:rsidRDefault="003D455D">
      <w:pPr>
        <w:pStyle w:val="Notedebasdepage"/>
        <w:rPr>
          <w:rFonts w:cs="Times New Roman"/>
        </w:rPr>
      </w:pPr>
      <w:r w:rsidRPr="00967442">
        <w:rPr>
          <w:rStyle w:val="Appelnotedebasdep"/>
          <w:rFonts w:cs="Times New Roman"/>
        </w:rPr>
        <w:footnoteRef/>
      </w:r>
      <w:r w:rsidRPr="00967442">
        <w:rPr>
          <w:rFonts w:cs="Times New Roman"/>
        </w:rPr>
        <w:t xml:space="preserve"> Voir par exemple le dossier spécial « Définir le musée » de</w:t>
      </w:r>
      <w:r w:rsidRPr="00967442">
        <w:rPr>
          <w:rFonts w:cs="Times New Roman"/>
        </w:rPr>
        <w:fldChar w:fldCharType="begin"/>
      </w:r>
      <w:r w:rsidR="00EE191C" w:rsidRPr="00967442">
        <w:rPr>
          <w:rFonts w:cs="Times New Roman"/>
        </w:rPr>
        <w:instrText xml:space="preserve"> ADDIN ZOTERO_ITEM CSL_CITATION {"citationID":"dJyjsdZV","properties":{"formattedCitation":"{\\scaps Raoul-Duval} J., \\uc0\\u171{}\\uc0\\u160{}Vif d\\uc0\\u233{}bat sur la \\uc0\\u171{}\\uc0\\u8239{}d\\uc0\\u233{}finition des mus\\uc0\\u233{}es\\uc0\\u8239{}\\uc0\\u187{} \\uc0\\u224{} l\\uc0\\u8217{}Icom\\uc0\\u8239{}?\\uc0\\u160{}\\uc0\\u187{}, in {\\i{}La Lettre de l\\uc0\\u8217{}OCIM. Mus\\uc0\\u233{}es, Patrimoine et Culture scientifiques et techniques},  (1 novembre 2019), n\\super o\\nosupersub{}\\uc0\\u160{}186, p. 12\\uc0\\u8209{}14.","plainCitation":"Raoul-Duval J., « Vif débat sur la « définition des musées » à l’Icom ? », in La Lettre de l’OCIM. Musées, Patrimoine et Culture scientifiques et techniques,  (1 novembre 2019), no 186, p. 12‑14.","dontUpdate":true,"noteIndex":10},"citationItems":[{"id":3383,"uris":["http://zotero.org/users/5196290/items/J5XFTSRG"],"itemData":{"id":3383,"type":"article-journal","abstract":"Cet article est extrait du dossier « Vers une nouvelle définition du musée ? » dirigé par Ewa Maczek, directrice par intérim de l'Ocim. La définition du musée proposée depuis 2007 par l'Icom fait référence dans la sphère muséale mondiale. Si la volonté de faire évoluer cette définition fait sens, la proposition du Comité pour la Définition du musée, perspectives et potentiels (MDPP) de l'Icom a surpris bon nombre de professionnels et d'institutions, et tout particulièrement en France. La lettre de l'Ocim leur a ouvert ses pages pour qu’ils partagent leurs réactions.","container-title":"La Lettre de l’OCIM. Musées, Patrimoine et Culture scientifiques et techniques","DOI":"10.4000/ocim.3370","ISSN":"0994-1908","issue":"186","language":"fr","license":"All rights reserved","note":"number: 186\npublisher: Office de Coopération et d’Information Muséographiques","page":"12-14","source":"journals.openedition.org","title":"Vif débat sur la « définition des musées » à l’Icom ?","author":[{"family":"Raoul-Duval","given":"Juliette"}],"issued":{"date-parts":[["2019",11,1]]}}}],"schema":"https://github.com/citation-style-language/schema/raw/master/csl-citation.json"} </w:instrText>
      </w:r>
      <w:r w:rsidRPr="00967442">
        <w:rPr>
          <w:rFonts w:cs="Times New Roman"/>
        </w:rPr>
        <w:fldChar w:fldCharType="separate"/>
      </w:r>
      <w:r w:rsidRPr="00967442">
        <w:rPr>
          <w:rFonts w:cs="Times New Roman"/>
          <w:kern w:val="0"/>
        </w:rPr>
        <w:t xml:space="preserve"> </w:t>
      </w:r>
      <w:r w:rsidRPr="00967442">
        <w:rPr>
          <w:rFonts w:cs="Times New Roman"/>
          <w:i/>
          <w:iCs/>
          <w:kern w:val="0"/>
        </w:rPr>
        <w:t>La Lettre de l’OCIM. Musées, Patrimoine et Culture scientifiques et techniques</w:t>
      </w:r>
      <w:r w:rsidRPr="00967442">
        <w:rPr>
          <w:rFonts w:cs="Times New Roman"/>
          <w:kern w:val="0"/>
        </w:rPr>
        <w:t>, n</w:t>
      </w:r>
      <w:r w:rsidRPr="00967442">
        <w:rPr>
          <w:rFonts w:cs="Times New Roman"/>
          <w:kern w:val="0"/>
          <w:vertAlign w:val="superscript"/>
        </w:rPr>
        <w:t>o</w:t>
      </w:r>
      <w:r w:rsidRPr="00967442">
        <w:rPr>
          <w:rFonts w:cs="Times New Roman"/>
          <w:kern w:val="0"/>
        </w:rPr>
        <w:t> 186</w:t>
      </w:r>
      <w:r w:rsidR="00596264">
        <w:rPr>
          <w:rFonts w:cs="Times New Roman"/>
          <w:kern w:val="0"/>
        </w:rPr>
        <w:t xml:space="preserve"> (2019)</w:t>
      </w:r>
      <w:r w:rsidRPr="00967442">
        <w:rPr>
          <w:rFonts w:cs="Times New Roman"/>
          <w:kern w:val="0"/>
        </w:rPr>
        <w:t>.</w:t>
      </w:r>
      <w:r w:rsidRPr="00967442">
        <w:rPr>
          <w:rFonts w:cs="Times New Roman"/>
        </w:rPr>
        <w:fldChar w:fldCharType="end"/>
      </w:r>
    </w:p>
  </w:footnote>
  <w:footnote w:id="12">
    <w:p w14:paraId="0249DE17" w14:textId="16782E85" w:rsidR="0057785B" w:rsidRPr="00967442" w:rsidRDefault="0057785B">
      <w:pPr>
        <w:pStyle w:val="Notedebasdepage"/>
        <w:rPr>
          <w:rFonts w:cs="Times New Roman"/>
        </w:rPr>
      </w:pPr>
      <w:r w:rsidRPr="00967442">
        <w:rPr>
          <w:rStyle w:val="Appelnotedebasdep"/>
          <w:rFonts w:cs="Times New Roman"/>
        </w:rPr>
        <w:footnoteRef/>
      </w:r>
      <w:r w:rsidRPr="00967442">
        <w:rPr>
          <w:rFonts w:cs="Times New Roman"/>
        </w:rPr>
        <w:t xml:space="preserve"> Définition du musée proposée au vote par l’ICOM - International </w:t>
      </w:r>
      <w:proofErr w:type="spellStart"/>
      <w:r w:rsidRPr="00967442">
        <w:rPr>
          <w:rFonts w:cs="Times New Roman"/>
        </w:rPr>
        <w:t>council</w:t>
      </w:r>
      <w:proofErr w:type="spellEnd"/>
      <w:r w:rsidRPr="00967442">
        <w:rPr>
          <w:rFonts w:cs="Times New Roman"/>
        </w:rPr>
        <w:t xml:space="preserve"> of </w:t>
      </w:r>
      <w:proofErr w:type="spellStart"/>
      <w:r w:rsidRPr="00967442">
        <w:rPr>
          <w:rFonts w:cs="Times New Roman"/>
        </w:rPr>
        <w:t>museum</w:t>
      </w:r>
      <w:proofErr w:type="spellEnd"/>
      <w:r w:rsidRPr="00967442">
        <w:rPr>
          <w:rFonts w:cs="Times New Roman"/>
        </w:rPr>
        <w:t xml:space="preserve"> (2022)</w:t>
      </w:r>
    </w:p>
  </w:footnote>
  <w:footnote w:id="13">
    <w:p w14:paraId="0B94B954" w14:textId="133B05DB" w:rsidR="0057785B" w:rsidRPr="00967442" w:rsidRDefault="0057785B">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Yves </w:t>
      </w:r>
      <w:r w:rsidRPr="00967442">
        <w:rPr>
          <w:rFonts w:cs="Times New Roman"/>
        </w:rPr>
        <w:fldChar w:fldCharType="begin"/>
      </w:r>
      <w:r w:rsidRPr="00967442">
        <w:rPr>
          <w:rFonts w:cs="Times New Roman"/>
        </w:rPr>
        <w:instrText xml:space="preserve"> ADDIN ZOTERO_ITEM CSL_CITATION {"citationID":"t7ylYNQP","properties":{"formattedCitation":"{\\scaps Bergeron} Y., \\uc0\\u171{}\\uc0\\u160{}M\\uc0\\u233{}tissages entre mus\\uc0\\u233{}es d\\uc0\\u8217{}art et mus\\uc0\\u233{}es de soci\\uc0\\u233{}t\\uc0\\u233{} dans les mus\\uc0\\u233{}es nord-am\\uc0\\u233{}ricains\\uc0\\u160{}\\uc0\\u187{}, in {\\i{}Culture &amp; Mus\\uc0\\u233{}es}, vol.\\uc0\\u160{}16 (2010), n\\super o\\nosupersub{}\\uc0\\u160{}1, p. 45\\uc0\\u8209{}63.","plainCitation":"Bergeron Y., « Métissages entre musées d’art et musées de société dans les musées nord-américains », in Culture &amp; Musées, vol. 16 (2010), no 1, p. 45‑63.","noteIndex":12},"citationItems":[{"id":3385,"uris":["http://zotero.org/users/5196290/items/ESCCI2PD"],"itemData":{"id":3385,"type":"article-journal","abstract":"Este artículo analiza las transformaciones de la museografía de museos de arte y museos de sociedad en Norteamérica durante los últimos decenios. Teniendo en cuenta especificidades históricas que diferencian museos norteamericanos y europeos, el autor analiza el papel de los objetos en la definición de una museografía narrativa. Las innovaciones que aportaron los museos de sociedad en el tratamiento de exposiciones han cuestionado el estatus del objeto y sobre todo de la obra maestra. Los museos de arte norteamericanos poco a poco adoptaron este modelo museográfico con exposiciones temáticas que cuestionan la relación a la obra. Así ocurre un mestizaje entre dos formas museográficas que se parecen cada vez mas.","container-title":"Culture &amp; Musées","DOI":"10.3406/pumus.2010.1559","issue":"1","language":"fre","license":"free","note":"Company: Persée - Portail des revues scientifiques en SHS\nDistributor: Persée - Portail des revues scientifiques en SHS\nInstitution: Persée - Portail des revues scientifiques en SHS\nLabel: Persée - Portail des revues scientifiques en SHS\npublisher: Presses Universitaires de Lyon","page":"45-63","source":"www.persee.fr","title":"Métissages entre musées d’art et musées de société dans les musées nord-américains","volume":"16","author":[{"family":"Bergeron","given":"Yves"}],"issued":{"date-parts":[["2010"]]}}}],"schema":"https://github.com/citation-style-language/schema/raw/master/csl-citation.json"} </w:instrText>
      </w:r>
      <w:r w:rsidRPr="00967442">
        <w:rPr>
          <w:rFonts w:cs="Times New Roman"/>
        </w:rPr>
        <w:fldChar w:fldCharType="separate"/>
      </w:r>
      <w:r w:rsidRPr="00967442">
        <w:rPr>
          <w:rFonts w:cs="Times New Roman"/>
          <w:smallCaps/>
          <w:kern w:val="0"/>
        </w:rPr>
        <w:t>Bergeron</w:t>
      </w:r>
      <w:r w:rsidRPr="00967442">
        <w:rPr>
          <w:rFonts w:cs="Times New Roman"/>
          <w:kern w:val="0"/>
        </w:rPr>
        <w:t xml:space="preserve">, « Métissages entre musées d’art et musées de société dans les musées nord-américains », </w:t>
      </w:r>
      <w:r w:rsidRPr="00967442">
        <w:rPr>
          <w:rFonts w:cs="Times New Roman"/>
          <w:i/>
          <w:iCs/>
          <w:kern w:val="0"/>
        </w:rPr>
        <w:t>Culture &amp; Musées</w:t>
      </w:r>
      <w:r w:rsidRPr="00967442">
        <w:rPr>
          <w:rFonts w:cs="Times New Roman"/>
          <w:kern w:val="0"/>
        </w:rPr>
        <w:t>, vol. 16, n</w:t>
      </w:r>
      <w:r w:rsidRPr="00967442">
        <w:rPr>
          <w:rFonts w:cs="Times New Roman"/>
          <w:kern w:val="0"/>
          <w:vertAlign w:val="superscript"/>
        </w:rPr>
        <w:t>o</w:t>
      </w:r>
      <w:r w:rsidRPr="00967442">
        <w:rPr>
          <w:rFonts w:cs="Times New Roman"/>
          <w:kern w:val="0"/>
        </w:rPr>
        <w:t> 1</w:t>
      </w:r>
      <w:r w:rsidR="00596264">
        <w:rPr>
          <w:rFonts w:cs="Times New Roman"/>
          <w:kern w:val="0"/>
        </w:rPr>
        <w:t xml:space="preserve"> (2010)</w:t>
      </w:r>
      <w:r w:rsidRPr="00967442">
        <w:rPr>
          <w:rFonts w:cs="Times New Roman"/>
          <w:kern w:val="0"/>
        </w:rPr>
        <w:t>, p. 45‑63.</w:t>
      </w:r>
      <w:r w:rsidRPr="00967442">
        <w:rPr>
          <w:rFonts w:cs="Times New Roman"/>
        </w:rPr>
        <w:fldChar w:fldCharType="end"/>
      </w:r>
    </w:p>
  </w:footnote>
  <w:footnote w:id="14">
    <w:p w14:paraId="636828FD" w14:textId="199EC286" w:rsidR="0057785B" w:rsidRPr="00967442" w:rsidRDefault="0057785B">
      <w:pPr>
        <w:pStyle w:val="Notedebasdepage"/>
        <w:rPr>
          <w:rFonts w:cs="Times New Roman"/>
        </w:rPr>
      </w:pPr>
      <w:r w:rsidRPr="00967442">
        <w:rPr>
          <w:rStyle w:val="Appelnotedebasdep"/>
          <w:rFonts w:cs="Times New Roman"/>
        </w:rPr>
        <w:footnoteRef/>
      </w:r>
      <w:r w:rsidRPr="00967442">
        <w:rPr>
          <w:rFonts w:cs="Times New Roman"/>
        </w:rPr>
        <w:t xml:space="preserve"> </w:t>
      </w:r>
      <w:r w:rsidR="003627CA">
        <w:rPr>
          <w:rFonts w:cs="Times New Roman"/>
        </w:rPr>
        <w:t xml:space="preserve">Camille </w:t>
      </w:r>
      <w:r w:rsidRPr="00967442">
        <w:rPr>
          <w:rFonts w:cs="Times New Roman"/>
        </w:rPr>
        <w:fldChar w:fldCharType="begin"/>
      </w:r>
      <w:r w:rsidRPr="00967442">
        <w:rPr>
          <w:rFonts w:cs="Times New Roman"/>
        </w:rPr>
        <w:instrText xml:space="preserve"> ADDIN ZOTERO_ITEM CSL_CITATION {"citationID":"38yGn2Sx","properties":{"formattedCitation":"{\\scaps Maz\\uc0\\u233{}} C., {\\scaps Poulard} F. et {\\scaps Ventura} C.\\uc0\\u160{}(dir.), {\\i{}Les mus\\uc0\\u233{}es d\\uc0\\u8217{}ethnologie: culture, politique et changement institutionnel}, Paris, CTHS, 2013.","plainCitation":"Mazé C., Poulard F. et Ventura C. (dir.), Les musées d’ethnologie: culture, politique et changement institutionnel, Paris, CTHS, 2013.","noteIndex":13},"citationItems":[{"id":3238,"uris":["http://zotero.org/users/5196290/items/Z8RSSMIT"],"itemData":{"id":3238,"type":"book","call-number":"301.075","collection-number":"n° 24","collection-title":"Collection Orientations et méthodes","event-place":"Paris","ISBN":"978-2-7355-0789-4","language":"fre","number-of-pages":"295","publisher":"CTHS","publisher-place":"Paris","source":"BnF ISBN","title":"Les musées d'ethnologie: culture, politique et changement institutionnel","title-short":"Les musées d'ethnologie","editor":[{"family":"Mazé","given":"Camille"},{"family":"Poulard","given":"Frédéric"},{"family":"Ventura","given":"Christelle"}],"issued":{"date-parts":[["2013"]]}}}],"schema":"https://github.com/citation-style-language/schema/raw/master/csl-citation.json"} </w:instrText>
      </w:r>
      <w:r w:rsidRPr="00967442">
        <w:rPr>
          <w:rFonts w:cs="Times New Roman"/>
        </w:rPr>
        <w:fldChar w:fldCharType="separate"/>
      </w:r>
      <w:r w:rsidRPr="00967442">
        <w:rPr>
          <w:rFonts w:cs="Times New Roman"/>
          <w:smallCaps/>
          <w:kern w:val="0"/>
        </w:rPr>
        <w:t>Mazé</w:t>
      </w:r>
      <w:r w:rsidRPr="00967442">
        <w:rPr>
          <w:rFonts w:cs="Times New Roman"/>
          <w:kern w:val="0"/>
        </w:rPr>
        <w:t xml:space="preserve">., </w:t>
      </w:r>
      <w:r w:rsidR="003627CA">
        <w:rPr>
          <w:rFonts w:cs="Times New Roman"/>
          <w:kern w:val="0"/>
        </w:rPr>
        <w:t xml:space="preserve">Frédéric </w:t>
      </w:r>
      <w:proofErr w:type="spellStart"/>
      <w:r w:rsidRPr="00967442">
        <w:rPr>
          <w:rFonts w:cs="Times New Roman"/>
          <w:smallCaps/>
          <w:kern w:val="0"/>
        </w:rPr>
        <w:t>Poulard</w:t>
      </w:r>
      <w:proofErr w:type="spellEnd"/>
      <w:r w:rsidRPr="00967442">
        <w:rPr>
          <w:rFonts w:cs="Times New Roman"/>
          <w:kern w:val="0"/>
        </w:rPr>
        <w:t xml:space="preserve">. </w:t>
      </w:r>
      <w:r w:rsidR="003627CA">
        <w:rPr>
          <w:rFonts w:cs="Times New Roman"/>
          <w:kern w:val="0"/>
        </w:rPr>
        <w:t>&amp;</w:t>
      </w:r>
      <w:r w:rsidRPr="00967442">
        <w:rPr>
          <w:rFonts w:cs="Times New Roman"/>
          <w:kern w:val="0"/>
        </w:rPr>
        <w:t xml:space="preserve"> </w:t>
      </w:r>
      <w:r w:rsidR="003627CA">
        <w:rPr>
          <w:rFonts w:cs="Times New Roman"/>
          <w:kern w:val="0"/>
        </w:rPr>
        <w:t xml:space="preserve">Christelle </w:t>
      </w:r>
      <w:r w:rsidRPr="00967442">
        <w:rPr>
          <w:rFonts w:cs="Times New Roman"/>
          <w:smallCaps/>
          <w:kern w:val="0"/>
        </w:rPr>
        <w:t>Ventura</w:t>
      </w:r>
      <w:r w:rsidR="003627CA">
        <w:rPr>
          <w:rFonts w:cs="Times New Roman"/>
          <w:kern w:val="0"/>
        </w:rPr>
        <w:t> </w:t>
      </w:r>
      <w:r w:rsidRPr="00967442">
        <w:rPr>
          <w:rFonts w:cs="Times New Roman"/>
          <w:kern w:val="0"/>
        </w:rPr>
        <w:t>(</w:t>
      </w:r>
      <w:proofErr w:type="spellStart"/>
      <w:r w:rsidRPr="00967442">
        <w:rPr>
          <w:rFonts w:cs="Times New Roman"/>
          <w:kern w:val="0"/>
        </w:rPr>
        <w:t>dir</w:t>
      </w:r>
      <w:proofErr w:type="spellEnd"/>
      <w:r w:rsidRPr="00967442">
        <w:rPr>
          <w:rFonts w:cs="Times New Roman"/>
          <w:kern w:val="0"/>
        </w:rPr>
        <w:t xml:space="preserve">.), </w:t>
      </w:r>
      <w:r w:rsidRPr="00967442">
        <w:rPr>
          <w:rFonts w:cs="Times New Roman"/>
          <w:i/>
          <w:iCs/>
          <w:kern w:val="0"/>
        </w:rPr>
        <w:t>Les musées d’ethnologie</w:t>
      </w:r>
      <w:r w:rsidR="003627CA">
        <w:rPr>
          <w:rFonts w:cs="Times New Roman"/>
          <w:i/>
          <w:iCs/>
          <w:kern w:val="0"/>
        </w:rPr>
        <w:t> </w:t>
      </w:r>
      <w:r w:rsidRPr="00967442">
        <w:rPr>
          <w:rFonts w:cs="Times New Roman"/>
          <w:i/>
          <w:iCs/>
          <w:kern w:val="0"/>
        </w:rPr>
        <w:t>: culture, politique et changement institutionnel</w:t>
      </w:r>
      <w:r w:rsidRPr="00967442">
        <w:rPr>
          <w:rFonts w:cs="Times New Roman"/>
          <w:kern w:val="0"/>
        </w:rPr>
        <w:t>, Paris, CTHS, 2013.</w:t>
      </w:r>
      <w:r w:rsidRPr="00967442">
        <w:rPr>
          <w:rFonts w:cs="Times New Roman"/>
        </w:rPr>
        <w:fldChar w:fldCharType="end"/>
      </w:r>
    </w:p>
  </w:footnote>
  <w:footnote w:id="15">
    <w:p w14:paraId="26FF3A7C" w14:textId="09410150" w:rsidR="00763FBF" w:rsidRPr="00967442" w:rsidRDefault="00763FBF">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Fabrice </w:t>
      </w:r>
      <w:r w:rsidRPr="00967442">
        <w:rPr>
          <w:rFonts w:cs="Times New Roman"/>
        </w:rPr>
        <w:fldChar w:fldCharType="begin"/>
      </w:r>
      <w:r w:rsidR="00EE191C" w:rsidRPr="00967442">
        <w:rPr>
          <w:rFonts w:cs="Times New Roman"/>
        </w:rPr>
        <w:instrText xml:space="preserve"> ADDIN ZOTERO_ITEM CSL_CITATION {"citationID":"v5dRacRK","properties":{"formattedCitation":"{\\scaps Ripoll} F. et {\\scaps Veschambre} V., \\uc0\\u171{}\\uc0\\u160{}Introduction\\uc0\\u160{}\\uc0\\u187{}, in {\\i{}Norois. Environnement, am\\uc0\\u233{}nagement, soci\\uc0\\u233{}t\\uc0\\u233{}},  (1 juin 2005), n\\super o\\nosupersub{}\\uc0\\u160{}195, p. 7\\uc0\\u8209{}15.","plainCitation":"Ripoll F. et Veschambre V., « Introduction », in Norois. Environnement, aménagement, société,  (1 juin 2005), no 195, p. 7‑15.","dontUpdate":true,"noteIndex":16},"citationItems":[{"id":856,"uris":["http://zotero.org/users/5196290/items/2TJ5AEIE"],"itemData":{"id":856,"type":"article-journal","abstract":"L’appropriation de l’espace : une problématique à reprendre et développer Au-delà des terrains empiriques ou des thèses défendues dans les différents travaux présentés ici, ce numéro thématique a d’abord pour objectif de défendre cette idée simple que la question de « l’appropriation de l’espace » est incontournable en géographie, a fortiori en géographie sociale. Autrement dit, « l’appropriation de l’espace » non seulement peut mais doit nécessairement se trouver sur le chemin de tout géogra...","container-title":"Norois. Environnement, aménagement, société","ISSN":"0029-182X","issue":"195","language":"fr","license":"© Tous droits réservés","page":"7-15","source":"norois.revues.org","title":"Introduction","author":[{"family":"Ripoll","given":"Fabrice"},{"family":"Veschambre","given":"Vincent"}],"issued":{"date-parts":[["2005",6,1]]}}}],"schema":"https://github.com/citation-style-language/schema/raw/master/csl-citation.json"} </w:instrText>
      </w:r>
      <w:r w:rsidRPr="00967442">
        <w:rPr>
          <w:rFonts w:cs="Times New Roman"/>
        </w:rPr>
        <w:fldChar w:fldCharType="separate"/>
      </w:r>
      <w:r w:rsidRPr="00967442">
        <w:rPr>
          <w:rFonts w:cs="Times New Roman"/>
          <w:smallCaps/>
          <w:kern w:val="0"/>
        </w:rPr>
        <w:t>Ripoll</w:t>
      </w:r>
      <w:r w:rsidRPr="00967442">
        <w:rPr>
          <w:rFonts w:cs="Times New Roman"/>
          <w:kern w:val="0"/>
        </w:rPr>
        <w:t xml:space="preserve"> </w:t>
      </w:r>
      <w:r w:rsidR="00596264">
        <w:rPr>
          <w:rFonts w:cs="Times New Roman"/>
          <w:kern w:val="0"/>
        </w:rPr>
        <w:t>&amp;</w:t>
      </w:r>
      <w:r w:rsidRPr="00967442">
        <w:rPr>
          <w:rFonts w:cs="Times New Roman"/>
          <w:kern w:val="0"/>
        </w:rPr>
        <w:t xml:space="preserve"> </w:t>
      </w:r>
      <w:r w:rsidR="00596264">
        <w:rPr>
          <w:rFonts w:cs="Times New Roman"/>
          <w:kern w:val="0"/>
        </w:rPr>
        <w:t xml:space="preserve">Vincent </w:t>
      </w:r>
      <w:proofErr w:type="spellStart"/>
      <w:r w:rsidRPr="00967442">
        <w:rPr>
          <w:rFonts w:cs="Times New Roman"/>
          <w:smallCaps/>
          <w:kern w:val="0"/>
        </w:rPr>
        <w:t>Veschambre</w:t>
      </w:r>
      <w:proofErr w:type="spellEnd"/>
      <w:r w:rsidRPr="00967442">
        <w:rPr>
          <w:rFonts w:cs="Times New Roman"/>
          <w:kern w:val="0"/>
        </w:rPr>
        <w:t xml:space="preserve">, « Introduction », </w:t>
      </w:r>
      <w:r w:rsidRPr="00967442">
        <w:rPr>
          <w:rFonts w:cs="Times New Roman"/>
          <w:i/>
          <w:iCs/>
          <w:kern w:val="0"/>
        </w:rPr>
        <w:t>Norois. Environnement, aménagement, société</w:t>
      </w:r>
      <w:r w:rsidRPr="00967442">
        <w:rPr>
          <w:rFonts w:cs="Times New Roman"/>
          <w:kern w:val="0"/>
        </w:rPr>
        <w:t>, (1 juin 2005), n</w:t>
      </w:r>
      <w:r w:rsidRPr="00967442">
        <w:rPr>
          <w:rFonts w:cs="Times New Roman"/>
          <w:kern w:val="0"/>
          <w:vertAlign w:val="superscript"/>
        </w:rPr>
        <w:t>o</w:t>
      </w:r>
      <w:r w:rsidRPr="00967442">
        <w:rPr>
          <w:rFonts w:cs="Times New Roman"/>
          <w:kern w:val="0"/>
        </w:rPr>
        <w:t xml:space="preserve"> 195 </w:t>
      </w:r>
      <w:r w:rsidR="00596264" w:rsidRPr="00967442">
        <w:rPr>
          <w:rFonts w:cs="Times New Roman"/>
          <w:kern w:val="0"/>
        </w:rPr>
        <w:t>« </w:t>
      </w:r>
      <w:r w:rsidRPr="00967442">
        <w:rPr>
          <w:rFonts w:cs="Times New Roman"/>
          <w:kern w:val="0"/>
        </w:rPr>
        <w:t>L'appropriation de l'espace : sur la dimension spatiale des inégalités sociales et des rapports de pouvoir</w:t>
      </w:r>
      <w:r w:rsidR="00596264" w:rsidRPr="00967442">
        <w:rPr>
          <w:rFonts w:cs="Times New Roman"/>
          <w:kern w:val="0"/>
        </w:rPr>
        <w:t> »</w:t>
      </w:r>
      <w:r w:rsidR="00596264">
        <w:rPr>
          <w:rFonts w:cs="Times New Roman"/>
          <w:kern w:val="0"/>
        </w:rPr>
        <w:t xml:space="preserve"> (2005)</w:t>
      </w:r>
      <w:r w:rsidRPr="00967442">
        <w:rPr>
          <w:rFonts w:cs="Times New Roman"/>
          <w:kern w:val="0"/>
        </w:rPr>
        <w:t>, p. 7‑15.</w:t>
      </w:r>
      <w:r w:rsidRPr="00967442">
        <w:rPr>
          <w:rFonts w:cs="Times New Roman"/>
        </w:rPr>
        <w:fldChar w:fldCharType="end"/>
      </w:r>
    </w:p>
  </w:footnote>
  <w:footnote w:id="16">
    <w:p w14:paraId="400C0BDD" w14:textId="259EC667" w:rsidR="00D6675E" w:rsidRPr="00967442" w:rsidRDefault="00D6675E">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Hervé </w:t>
      </w:r>
      <w:r w:rsidRPr="00967442">
        <w:rPr>
          <w:rFonts w:cs="Times New Roman"/>
        </w:rPr>
        <w:fldChar w:fldCharType="begin"/>
      </w:r>
      <w:r w:rsidRPr="00967442">
        <w:rPr>
          <w:rFonts w:cs="Times New Roman"/>
        </w:rPr>
        <w:instrText xml:space="preserve"> ADDIN ZOTERO_ITEM CSL_CITATION {"citationID":"jVIzvN7Z","properties":{"formattedCitation":"{\\scaps Br\\uc0\\u233{}dif} H., {\\i{}R\\uc0\\u233{}aliser la terre: prise en charge du vivant et contrat territorial}, Paris, \\uc0\\u201{}ditions de la Sorbonne, 2021.","plainCitation":"Brédif H., Réaliser la terre: prise en charge du vivant et contrat territorial, Paris, Éditions de la Sorbonne, 2021.","noteIndex":17},"citationItems":[{"id":3390,"uris":["http://zotero.org/users/5196290/items/2Y6SC9RU"],"itemData":{"id":3390,"type":"book","abstract":"Prisonnières de conceptions binaires opposant l'intérêt particulier à l'intérêt général, le local au global, la vérité scientifique à la volonté politique, la nature à l'humanité, nombre d'approches censées porter remède à la crise écologique tiennent difficilement leurs promesses. La simplicité des diagnostics qu'elles posent se paie au prix fort : en éludant la variété et la complexité des situations concrètes, elles aboutissent souvent à des solutions impraticables et entretiennent un climat de désespoir. Loin du prêt-à-penser habituel qui entoure la question écologique, le présent essai plaide pour une réintégration du facteur humain dans la caractérisation même des problèmes. Reconnaître la richesse des relations des humains au vivant ouvre sur une tout autre lecture des enjeux et fait jaillir de nouvelles perspectives. Il faut s'affranchir du dualisme planète/humanité qui empêche de raisonner à nouveaux frais et stérilise les capacités d'engagement des acteurs. Conçu comme espace de coordination entre acteurs en vue d'objectifs partagés ou d'un projet commun, le territorial – et non le territoire – constitue un levier de changement décisif pour une prise en charge active du vivant. De la terre au ciel, de la biodiversité aux changements climatiques, des initiatives locales et territoriales aux stratégies globales, le présent ouvrage convie le lecteur à un véritable voyage. À l'issue de ce périple se précisent les conditions d'une reconquête de la qualité du vivant, dont celles du contrat territorial","call-number":"363.700 6","collection-number":"8","collection-title":"Territoires en mouvements","event-place":"Paris","ISBN":"979-10-351-0610-2","language":"fre","publisher":"Éditions de la Sorbonne","publisher-place":"Paris","source":"BnF ISBN","title":"Réaliser la terre: prise en charge du vivant et contrat territorial","title-short":"Réaliser la terre","author":[{"family":"Brédif","given":"Hervé"}],"issued":{"date-parts":[["2021"]]}}}],"schema":"https://github.com/citation-style-language/schema/raw/master/csl-citation.json"} </w:instrText>
      </w:r>
      <w:r w:rsidRPr="00967442">
        <w:rPr>
          <w:rFonts w:cs="Times New Roman"/>
        </w:rPr>
        <w:fldChar w:fldCharType="separate"/>
      </w:r>
      <w:proofErr w:type="spellStart"/>
      <w:r w:rsidRPr="00967442">
        <w:rPr>
          <w:rFonts w:cs="Times New Roman"/>
          <w:smallCaps/>
          <w:kern w:val="0"/>
        </w:rPr>
        <w:t>Brédif</w:t>
      </w:r>
      <w:proofErr w:type="spellEnd"/>
      <w:r w:rsidRPr="00967442">
        <w:rPr>
          <w:rFonts w:cs="Times New Roman"/>
          <w:kern w:val="0"/>
        </w:rPr>
        <w:t xml:space="preserve">, </w:t>
      </w:r>
      <w:r w:rsidRPr="00967442">
        <w:rPr>
          <w:rFonts w:cs="Times New Roman"/>
          <w:i/>
          <w:iCs/>
          <w:kern w:val="0"/>
        </w:rPr>
        <w:t>Réaliser la terre: prise en charge du vivant et contrat territorial</w:t>
      </w:r>
      <w:r w:rsidRPr="00967442">
        <w:rPr>
          <w:rFonts w:cs="Times New Roman"/>
          <w:kern w:val="0"/>
        </w:rPr>
        <w:t>, Paris, Éditions de la Sorbonne, 2021.</w:t>
      </w:r>
      <w:r w:rsidRPr="00967442">
        <w:rPr>
          <w:rFonts w:cs="Times New Roman"/>
        </w:rPr>
        <w:fldChar w:fldCharType="end"/>
      </w:r>
    </w:p>
  </w:footnote>
  <w:footnote w:id="17">
    <w:p w14:paraId="21C5ADF5" w14:textId="46BCFDCE" w:rsidR="00D6675E" w:rsidRPr="00967442" w:rsidRDefault="00D6675E">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Philippe </w:t>
      </w:r>
      <w:r w:rsidRPr="00967442">
        <w:rPr>
          <w:rFonts w:cs="Times New Roman"/>
        </w:rPr>
        <w:fldChar w:fldCharType="begin"/>
      </w:r>
      <w:r w:rsidRPr="00967442">
        <w:rPr>
          <w:rFonts w:cs="Times New Roman"/>
        </w:rPr>
        <w:instrText xml:space="preserve"> ADDIN ZOTERO_ITEM CSL_CITATION {"citationID":"uDU1vYYc","properties":{"formattedCitation":"{\\scaps Descola} P., {\\i{}Par-del\\uc0\\u224{} nature et culture}, Paris, Gallimard, 2015.","plainCitation":"Descola P., Par-delà nature et culture, Paris, Gallimard, 2015.","noteIndex":18},"citationItems":[{"id":3391,"uris":["http://zotero.org/users/5196290/items/73JB38QH"],"itemData":{"id":3391,"type":"book","call-number":"304.2","collection-number":"607","collection-title":"Collection Folio","event-place":"Paris","ISBN":"978-2-07-046587-3","language":"fre","publisher":"Gallimard","publisher-place":"Paris","source":"BnF ISBN","title":"Par-delà nature et culture","author":[{"family":"Descola","given":"Philippe"}],"issued":{"date-parts":[["2015"]]}}}],"schema":"https://github.com/citation-style-language/schema/raw/master/csl-citation.json"} </w:instrText>
      </w:r>
      <w:r w:rsidRPr="00967442">
        <w:rPr>
          <w:rFonts w:cs="Times New Roman"/>
        </w:rPr>
        <w:fldChar w:fldCharType="separate"/>
      </w:r>
      <w:r w:rsidRPr="00967442">
        <w:rPr>
          <w:rFonts w:cs="Times New Roman"/>
          <w:smallCaps/>
          <w:kern w:val="0"/>
        </w:rPr>
        <w:t>Descola</w:t>
      </w:r>
      <w:r w:rsidRPr="00967442">
        <w:rPr>
          <w:rFonts w:cs="Times New Roman"/>
          <w:kern w:val="0"/>
        </w:rPr>
        <w:t xml:space="preserve">, </w:t>
      </w:r>
      <w:r w:rsidRPr="00967442">
        <w:rPr>
          <w:rFonts w:cs="Times New Roman"/>
          <w:i/>
          <w:iCs/>
          <w:kern w:val="0"/>
        </w:rPr>
        <w:t>Par-delà nature et culture</w:t>
      </w:r>
      <w:r w:rsidRPr="00967442">
        <w:rPr>
          <w:rFonts w:cs="Times New Roman"/>
          <w:kern w:val="0"/>
        </w:rPr>
        <w:t>, Paris, Gallimard, 2015.</w:t>
      </w:r>
      <w:r w:rsidRPr="00967442">
        <w:rPr>
          <w:rFonts w:cs="Times New Roman"/>
        </w:rPr>
        <w:fldChar w:fldCharType="end"/>
      </w:r>
    </w:p>
  </w:footnote>
  <w:footnote w:id="18">
    <w:p w14:paraId="2E83500B" w14:textId="3AFD255F" w:rsidR="00615D1D" w:rsidRPr="00967442" w:rsidRDefault="00615D1D" w:rsidP="00EE191C">
      <w:pPr>
        <w:pStyle w:val="Notedebasdepage"/>
        <w:rPr>
          <w:rFonts w:cs="Times New Roman"/>
        </w:rPr>
      </w:pPr>
      <w:r w:rsidRPr="00967442">
        <w:rPr>
          <w:rStyle w:val="Appelnotedebasdep"/>
          <w:rFonts w:cs="Times New Roman"/>
        </w:rPr>
        <w:footnoteRef/>
      </w:r>
      <w:r w:rsidRPr="00967442">
        <w:rPr>
          <w:rFonts w:cs="Times New Roman"/>
        </w:rPr>
        <w:t xml:space="preserve"> </w:t>
      </w:r>
      <w:r w:rsidR="00EE191C" w:rsidRPr="00967442">
        <w:rPr>
          <w:rFonts w:cs="Times New Roman"/>
        </w:rPr>
        <w:t xml:space="preserve">« Concept et positionnement du musée », dans </w:t>
      </w:r>
      <w:proofErr w:type="spellStart"/>
      <w:r w:rsidR="00EE191C" w:rsidRPr="00967442">
        <w:rPr>
          <w:rFonts w:cs="Times New Roman"/>
        </w:rPr>
        <w:t>letroisièmepole</w:t>
      </w:r>
      <w:proofErr w:type="spellEnd"/>
      <w:r w:rsidR="00EE191C" w:rsidRPr="00967442">
        <w:rPr>
          <w:rFonts w:cs="Times New Roman"/>
        </w:rPr>
        <w:t xml:space="preserve">, </w:t>
      </w:r>
      <w:r w:rsidR="00EE191C" w:rsidRPr="00967442">
        <w:rPr>
          <w:rFonts w:cs="Times New Roman"/>
          <w:i/>
          <w:iCs/>
        </w:rPr>
        <w:t xml:space="preserve">Etude de dynamisation touristique du musée en </w:t>
      </w:r>
      <w:proofErr w:type="spellStart"/>
      <w:r w:rsidR="00EE191C" w:rsidRPr="00967442">
        <w:rPr>
          <w:rFonts w:cs="Times New Roman"/>
          <w:i/>
          <w:iCs/>
        </w:rPr>
        <w:t>Piconrue</w:t>
      </w:r>
      <w:proofErr w:type="spellEnd"/>
      <w:r w:rsidR="00EE191C" w:rsidRPr="00967442">
        <w:rPr>
          <w:rFonts w:cs="Times New Roman"/>
          <w:i/>
          <w:iCs/>
        </w:rPr>
        <w:t>, Rapport intermédiaire de l’étude, Volet A - Diagnostic territorial, humain, financier, commercial et touristique</w:t>
      </w:r>
      <w:r w:rsidR="00EE191C" w:rsidRPr="00967442">
        <w:rPr>
          <w:rFonts w:cs="Times New Roman"/>
        </w:rPr>
        <w:t>, 2020, p.21.</w:t>
      </w:r>
      <w:r w:rsidRPr="00967442">
        <w:rPr>
          <w:rFonts w:cs="Times New Roman"/>
        </w:rPr>
        <w:t xml:space="preserve"> </w:t>
      </w:r>
    </w:p>
  </w:footnote>
  <w:footnote w:id="19">
    <w:p w14:paraId="6EC8A093" w14:textId="69B86BE6" w:rsidR="00EE191C" w:rsidRDefault="00EE191C">
      <w:pPr>
        <w:pStyle w:val="Notedebasdepage"/>
      </w:pPr>
      <w:r w:rsidRPr="00967442">
        <w:rPr>
          <w:rStyle w:val="Appelnotedebasdep"/>
          <w:rFonts w:cs="Times New Roman"/>
        </w:rPr>
        <w:footnoteRef/>
      </w:r>
      <w:r w:rsidRPr="00967442">
        <w:rPr>
          <w:rFonts w:cs="Times New Roman"/>
        </w:rPr>
        <w:t xml:space="preserve"> </w:t>
      </w:r>
      <w:r w:rsidR="00596264">
        <w:rPr>
          <w:rFonts w:cs="Times New Roman"/>
        </w:rPr>
        <w:t xml:space="preserve">Camille </w:t>
      </w:r>
      <w:r w:rsidRPr="00967442">
        <w:rPr>
          <w:rFonts w:cs="Times New Roman"/>
        </w:rPr>
        <w:fldChar w:fldCharType="begin"/>
      </w:r>
      <w:r w:rsidRPr="00967442">
        <w:rPr>
          <w:rFonts w:cs="Times New Roman"/>
        </w:rPr>
        <w:instrText xml:space="preserve"> ADDIN ZOTERO_ITEM CSL_CITATION {"citationID":"Rm3TFyUu","properties":{"formattedCitation":"{\\scaps Maz\\uc0\\u233{}} C., {\\scaps Poulard} F. et {\\scaps Ventura} C.\\uc0\\u160{}(dir.), {\\i{}Les mus\\uc0\\u233{}es d\\uc0\\u8217{}ethnologie}, {\\i{}op.\\uc0\\u160{}cit.}","plainCitation":"Mazé C., Poulard F. et Ventura C. (dir.), Les musées d’ethnologie, op. cit.","noteIndex":20},"citationItems":[{"id":3238,"uris":["http://zotero.org/users/5196290/items/Z8RSSMIT"],"itemData":{"id":3238,"type":"book","call-number":"301.075","collection-number":"n° 24","collection-title":"Collection Orientations et méthodes","event-place":"Paris","ISBN":"978-2-7355-0789-4","language":"fre","number-of-pages":"295","publisher":"CTHS","publisher-place":"Paris","source":"BnF ISBN","title":"Les musées d'ethnologie: culture, politique et changement institutionnel","title-short":"Les musées d'ethnologie","editor":[{"family":"Mazé","given":"Camille"},{"family":"Poulard","given":"Frédéric"},{"family":"Ventura","given":"Christelle"}],"issued":{"date-parts":[["2013"]]}}}],"schema":"https://github.com/citation-style-language/schema/raw/master/csl-citation.json"} </w:instrText>
      </w:r>
      <w:r w:rsidRPr="00967442">
        <w:rPr>
          <w:rFonts w:cs="Times New Roman"/>
        </w:rPr>
        <w:fldChar w:fldCharType="separate"/>
      </w:r>
      <w:r w:rsidRPr="00967442">
        <w:rPr>
          <w:rFonts w:cs="Times New Roman"/>
          <w:smallCaps/>
          <w:kern w:val="0"/>
        </w:rPr>
        <w:t>Mazé</w:t>
      </w:r>
      <w:r w:rsidRPr="00967442">
        <w:rPr>
          <w:rFonts w:cs="Times New Roman"/>
          <w:kern w:val="0"/>
        </w:rPr>
        <w:t xml:space="preserve">, </w:t>
      </w:r>
      <w:r w:rsidR="00596264">
        <w:rPr>
          <w:rFonts w:cs="Times New Roman"/>
          <w:kern w:val="0"/>
        </w:rPr>
        <w:t xml:space="preserve">Frédéric </w:t>
      </w:r>
      <w:proofErr w:type="spellStart"/>
      <w:r w:rsidRPr="00967442">
        <w:rPr>
          <w:rFonts w:cs="Times New Roman"/>
          <w:smallCaps/>
          <w:kern w:val="0"/>
        </w:rPr>
        <w:t>Poulard</w:t>
      </w:r>
      <w:proofErr w:type="spellEnd"/>
      <w:r w:rsidRPr="00967442">
        <w:rPr>
          <w:rFonts w:cs="Times New Roman"/>
          <w:kern w:val="0"/>
        </w:rPr>
        <w:t xml:space="preserve"> </w:t>
      </w:r>
      <w:r w:rsidR="00596264">
        <w:rPr>
          <w:rFonts w:cs="Times New Roman"/>
          <w:kern w:val="0"/>
        </w:rPr>
        <w:t>&amp;</w:t>
      </w:r>
      <w:r w:rsidRPr="00967442">
        <w:rPr>
          <w:rFonts w:cs="Times New Roman"/>
          <w:kern w:val="0"/>
        </w:rPr>
        <w:t xml:space="preserve"> </w:t>
      </w:r>
      <w:proofErr w:type="spellStart"/>
      <w:r w:rsidR="00596264">
        <w:rPr>
          <w:rFonts w:cs="Times New Roman"/>
          <w:kern w:val="0"/>
        </w:rPr>
        <w:t>Christelle</w:t>
      </w:r>
      <w:r w:rsidRPr="00967442">
        <w:rPr>
          <w:rFonts w:cs="Times New Roman"/>
          <w:smallCaps/>
          <w:kern w:val="0"/>
        </w:rPr>
        <w:t>Ventura</w:t>
      </w:r>
      <w:proofErr w:type="spellEnd"/>
      <w:r w:rsidRPr="00967442">
        <w:rPr>
          <w:rFonts w:cs="Times New Roman"/>
          <w:kern w:val="0"/>
        </w:rPr>
        <w:t> (</w:t>
      </w:r>
      <w:proofErr w:type="spellStart"/>
      <w:r w:rsidRPr="00967442">
        <w:rPr>
          <w:rFonts w:cs="Times New Roman"/>
          <w:kern w:val="0"/>
        </w:rPr>
        <w:t>dir</w:t>
      </w:r>
      <w:proofErr w:type="spellEnd"/>
      <w:r w:rsidRPr="00967442">
        <w:rPr>
          <w:rFonts w:cs="Times New Roman"/>
          <w:kern w:val="0"/>
        </w:rPr>
        <w:t xml:space="preserve">.), </w:t>
      </w:r>
      <w:r w:rsidRPr="00967442">
        <w:rPr>
          <w:rFonts w:cs="Times New Roman"/>
          <w:i/>
          <w:iCs/>
          <w:kern w:val="0"/>
        </w:rPr>
        <w:t>Les musées d’ethnologie.</w:t>
      </w:r>
      <w:r w:rsidRPr="00967442">
        <w:rPr>
          <w:rFonts w:cs="Times New Roman"/>
        </w:rPr>
        <w:fldChar w:fldCharType="end"/>
      </w:r>
    </w:p>
  </w:footnote>
  <w:footnote w:id="20">
    <w:p w14:paraId="5EA14ECB" w14:textId="1F5DF6F9" w:rsidR="00F94FF6" w:rsidRPr="00967442" w:rsidRDefault="00F94FF6">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Cécile </w:t>
      </w:r>
      <w:r w:rsidRPr="00967442">
        <w:rPr>
          <w:rFonts w:cs="Times New Roman"/>
        </w:rPr>
        <w:fldChar w:fldCharType="begin"/>
      </w:r>
      <w:r w:rsidRPr="00967442">
        <w:rPr>
          <w:rFonts w:cs="Times New Roman"/>
        </w:rPr>
        <w:instrText xml:space="preserve"> ADDIN ZOTERO_ITEM CSL_CITATION {"citationID":"H39CUVu2","properties":{"formattedCitation":"{\\scaps Massot} C., \\uc0\\u171{}\\uc0\\u160{}Des conservations d\\uc0\\u233{}partementales aux coordinations d\\uc0\\u233{}partementales des mus\\uc0\\u233{}es\\uc0\\u160{}\\uc0\\u187{}, in {\\i{}La Lettre de l\\uc0\\u8217{}OCIM. Mus\\uc0\\u233{}es, Patrimoine et Culture scientifiques et techniques},  (1 janvier 2015), n\\super o\\nosupersub{}\\uc0\\u160{}157, p. 5\\uc0\\u8209{}11.","plainCitation":"Massot C., « Des conservations départementales aux coordinations départementales des musées », in La Lettre de l’OCIM. Musées, Patrimoine et Culture scientifiques et techniques,  (1 janvier 2015), no 157, p. 5‑11.","noteIndex":21},"citationItems":[{"id":3392,"uris":["http://zotero.org/users/5196290/items/AT79IF67"],"itemData":{"id":3392,"type":"article-journal","abstract":"Poursuivant le travail de deux enquêtes nationales menées par le ministère de la Culture en 1992 et 1999, l’auteure présente ici les résultats d’une recherche sur les conservations départementales des musées effectuée en 2013, analysant le contexte de leur création, leur fonctionnement et l’évolution de leurs missions ainsi que leur transformation progressive en organismes désormais chargés de la coordination culturelle du territoire.","container-title":"La Lettre de l’OCIM. Musées, Patrimoine et Culture scientifiques et techniques","DOI":"10.4000/ocim.1469","ISSN":"0994-1908","issue":"157","language":"fr","license":"All rights reserved","note":"number: 157\npublisher: Office de Coopération et d’Information Muséographiques","page":"5-11","source":"journals.openedition.org","title":"Des conservations départementales aux coordinations départementales des musées","author":[{"family":"Massot","given":"Cécile"}],"issued":{"date-parts":[["2015",1,1]]}}}],"schema":"https://github.com/citation-style-language/schema/raw/master/csl-citation.json"} </w:instrText>
      </w:r>
      <w:r w:rsidRPr="00967442">
        <w:rPr>
          <w:rFonts w:cs="Times New Roman"/>
        </w:rPr>
        <w:fldChar w:fldCharType="separate"/>
      </w:r>
      <w:r w:rsidRPr="00967442">
        <w:rPr>
          <w:rFonts w:cs="Times New Roman"/>
          <w:smallCaps/>
          <w:kern w:val="0"/>
        </w:rPr>
        <w:t>Massot</w:t>
      </w:r>
      <w:r w:rsidRPr="00967442">
        <w:rPr>
          <w:rFonts w:cs="Times New Roman"/>
          <w:kern w:val="0"/>
        </w:rPr>
        <w:t xml:space="preserve">, « Des conservations départementales aux coordinations départementales des musées », </w:t>
      </w:r>
      <w:r w:rsidRPr="00967442">
        <w:rPr>
          <w:rFonts w:cs="Times New Roman"/>
          <w:i/>
          <w:iCs/>
          <w:kern w:val="0"/>
        </w:rPr>
        <w:t>La Lettre de l’OCIM. Musées, Patrimoine et Culture scientifiques et techniques</w:t>
      </w:r>
      <w:r w:rsidRPr="00967442">
        <w:rPr>
          <w:rFonts w:cs="Times New Roman"/>
          <w:kern w:val="0"/>
        </w:rPr>
        <w:t>, n</w:t>
      </w:r>
      <w:r w:rsidRPr="00967442">
        <w:rPr>
          <w:rFonts w:cs="Times New Roman"/>
          <w:kern w:val="0"/>
          <w:vertAlign w:val="superscript"/>
        </w:rPr>
        <w:t>o</w:t>
      </w:r>
      <w:r w:rsidRPr="00967442">
        <w:rPr>
          <w:rFonts w:cs="Times New Roman"/>
          <w:kern w:val="0"/>
        </w:rPr>
        <w:t> 157</w:t>
      </w:r>
      <w:r w:rsidR="00596264">
        <w:rPr>
          <w:rFonts w:cs="Times New Roman"/>
          <w:kern w:val="0"/>
        </w:rPr>
        <w:t xml:space="preserve"> (2015)</w:t>
      </w:r>
      <w:r w:rsidRPr="00967442">
        <w:rPr>
          <w:rFonts w:cs="Times New Roman"/>
          <w:kern w:val="0"/>
        </w:rPr>
        <w:t>, p. 5‑11.</w:t>
      </w:r>
      <w:r w:rsidRPr="00967442">
        <w:rPr>
          <w:rFonts w:cs="Times New Roman"/>
        </w:rPr>
        <w:fldChar w:fldCharType="end"/>
      </w:r>
    </w:p>
  </w:footnote>
  <w:footnote w:id="21">
    <w:p w14:paraId="213F826C" w14:textId="79441FC8" w:rsidR="00F94FF6" w:rsidRPr="00967442" w:rsidRDefault="00F94FF6">
      <w:pPr>
        <w:pStyle w:val="Notedebasdepage"/>
        <w:rPr>
          <w:rFonts w:cs="Times New Roman"/>
        </w:rPr>
      </w:pPr>
      <w:r w:rsidRPr="00967442">
        <w:rPr>
          <w:rStyle w:val="Appelnotedebasdep"/>
          <w:rFonts w:cs="Times New Roman"/>
        </w:rPr>
        <w:footnoteRef/>
      </w:r>
      <w:r w:rsidRPr="00967442">
        <w:rPr>
          <w:rFonts w:cs="Times New Roman"/>
        </w:rPr>
        <w:t xml:space="preserve"> Musée d’histoire de Vienne : le coup d’envoi est donné, 05 juillet 2022 : </w:t>
      </w:r>
      <w:hyperlink r:id="rId3" w:history="1">
        <w:r w:rsidRPr="00967442">
          <w:rPr>
            <w:rStyle w:val="Lienhypertexte"/>
            <w:rFonts w:cs="Times New Roman"/>
          </w:rPr>
          <w:t>https://www.isere.fr/actualites/musee-dhistoire-de-vienne-le-coup-denvoi-est-donne</w:t>
        </w:r>
      </w:hyperlink>
      <w:r w:rsidRPr="00967442">
        <w:rPr>
          <w:rFonts w:cs="Times New Roman"/>
        </w:rPr>
        <w:t xml:space="preserve"> </w:t>
      </w:r>
    </w:p>
  </w:footnote>
  <w:footnote w:id="22">
    <w:p w14:paraId="1C1FC4DF" w14:textId="6BBD77C7" w:rsidR="00EB0640" w:rsidRPr="00967442" w:rsidRDefault="00EB0640">
      <w:pPr>
        <w:pStyle w:val="Notedebasdepage"/>
        <w:rPr>
          <w:rFonts w:cs="Times New Roman"/>
        </w:rPr>
      </w:pPr>
      <w:r w:rsidRPr="00967442">
        <w:rPr>
          <w:rStyle w:val="Appelnotedebasdep"/>
          <w:rFonts w:cs="Times New Roman"/>
        </w:rPr>
        <w:footnoteRef/>
      </w:r>
      <w:r w:rsidRPr="00967442">
        <w:rPr>
          <w:rFonts w:cs="Times New Roman"/>
        </w:rPr>
        <w:t xml:space="preserve"> « Effet Bilbao ou effet Guggenheim », dans </w:t>
      </w:r>
      <w:proofErr w:type="spellStart"/>
      <w:r w:rsidRPr="00967442">
        <w:rPr>
          <w:rFonts w:cs="Times New Roman"/>
        </w:rPr>
        <w:t>Geoconfluences</w:t>
      </w:r>
      <w:proofErr w:type="spellEnd"/>
      <w:r w:rsidRPr="00967442">
        <w:rPr>
          <w:rFonts w:cs="Times New Roman"/>
        </w:rPr>
        <w:t xml:space="preserve"> : </w:t>
      </w:r>
      <w:hyperlink r:id="rId4" w:history="1">
        <w:r w:rsidRPr="00967442">
          <w:rPr>
            <w:rStyle w:val="Lienhypertexte"/>
            <w:rFonts w:cs="Times New Roman"/>
          </w:rPr>
          <w:t>https://geoconfluences.ens-lyon.fr/glossaire/effet-bilbao-ou-effet-guggenheim</w:t>
        </w:r>
      </w:hyperlink>
      <w:r w:rsidRPr="00967442">
        <w:rPr>
          <w:rFonts w:cs="Times New Roman"/>
        </w:rPr>
        <w:t xml:space="preserve"> </w:t>
      </w:r>
    </w:p>
  </w:footnote>
  <w:footnote w:id="23">
    <w:p w14:paraId="4A169A61" w14:textId="3BA59DE7" w:rsidR="000B5BC3" w:rsidRPr="00967442" w:rsidRDefault="000B5BC3">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Martine </w:t>
      </w:r>
      <w:r w:rsidRPr="00967442">
        <w:rPr>
          <w:rFonts w:cs="Times New Roman"/>
        </w:rPr>
        <w:fldChar w:fldCharType="begin"/>
      </w:r>
      <w:r w:rsidRPr="00967442">
        <w:rPr>
          <w:rFonts w:cs="Times New Roman"/>
        </w:rPr>
        <w:instrText xml:space="preserve"> ADDIN ZOTERO_ITEM CSL_CITATION {"citationID":"RRpfyhn0","properties":{"formattedCitation":"{\\scaps Regourd} M.\\uc0\\u160{}(dir.), {\\i{}Marques mus\\uc0\\u233{}ales: un espace public revisit\\uc0\\u233{} [actes du colloque international, 2-3 juin 2016]}, Bayonne, Institut universitaire Varenne, 2018.","plainCitation":"Regourd M. (dir.), Marques muséales: un espace public revisité [actes du colloque international, 2-3 juin 2016], Bayonne, Institut universitaire Varenne, 2018.","noteIndex":24},"citationItems":[{"id":3394,"uris":["http://zotero.org/users/5196290/items/LCHTSSNZ"],"itemData":{"id":3394,"type":"book","call-number":"381.457 08","collection-number":"60","collection-title":"Colloques &amp; essais","event-place":"Bayonne","ISBN":"978-2-37032-161-9","language":"fre","number-of-pages":"307","publisher":"Institut universitaire Varenne","publisher-place":"Bayonne","source":"BnF ISBN","title":"Marques muséales: un espace public revisité [actes du colloque international, 2-3 juin 2016]","title-short":"Marques muséales","editor":[{"family":"Regourd","given":"Martine"}],"issued":{"date-parts":[["2018"]]}}}],"schema":"https://github.com/citation-style-language/schema/raw/master/csl-citation.json"} </w:instrText>
      </w:r>
      <w:r w:rsidRPr="00967442">
        <w:rPr>
          <w:rFonts w:cs="Times New Roman"/>
        </w:rPr>
        <w:fldChar w:fldCharType="separate"/>
      </w:r>
      <w:proofErr w:type="spellStart"/>
      <w:r w:rsidRPr="00967442">
        <w:rPr>
          <w:rFonts w:cs="Times New Roman"/>
          <w:smallCaps/>
          <w:kern w:val="0"/>
        </w:rPr>
        <w:t>Regourd</w:t>
      </w:r>
      <w:proofErr w:type="spellEnd"/>
      <w:r w:rsidRPr="00967442">
        <w:rPr>
          <w:rFonts w:cs="Times New Roman"/>
          <w:kern w:val="0"/>
        </w:rPr>
        <w:t> (</w:t>
      </w:r>
      <w:proofErr w:type="spellStart"/>
      <w:r w:rsidRPr="00967442">
        <w:rPr>
          <w:rFonts w:cs="Times New Roman"/>
          <w:kern w:val="0"/>
        </w:rPr>
        <w:t>dir</w:t>
      </w:r>
      <w:proofErr w:type="spellEnd"/>
      <w:r w:rsidRPr="00967442">
        <w:rPr>
          <w:rFonts w:cs="Times New Roman"/>
          <w:kern w:val="0"/>
        </w:rPr>
        <w:t xml:space="preserve">.), </w:t>
      </w:r>
      <w:r w:rsidRPr="00967442">
        <w:rPr>
          <w:rFonts w:cs="Times New Roman"/>
          <w:i/>
          <w:iCs/>
          <w:kern w:val="0"/>
        </w:rPr>
        <w:t>Marques muséales</w:t>
      </w:r>
      <w:r w:rsidR="00596264">
        <w:rPr>
          <w:rFonts w:cs="Times New Roman"/>
          <w:i/>
          <w:iCs/>
          <w:kern w:val="0"/>
        </w:rPr>
        <w:t> </w:t>
      </w:r>
      <w:r w:rsidRPr="00967442">
        <w:rPr>
          <w:rFonts w:cs="Times New Roman"/>
          <w:i/>
          <w:iCs/>
          <w:kern w:val="0"/>
        </w:rPr>
        <w:t>: un espace public revisité [actes du colloque international, 2-3 juin 2016]</w:t>
      </w:r>
      <w:r w:rsidRPr="00967442">
        <w:rPr>
          <w:rFonts w:cs="Times New Roman"/>
          <w:kern w:val="0"/>
        </w:rPr>
        <w:t>, Bayonne, Institut universitaire Varenne, 2018.</w:t>
      </w:r>
      <w:r w:rsidRPr="00967442">
        <w:rPr>
          <w:rFonts w:cs="Times New Roman"/>
        </w:rPr>
        <w:fldChar w:fldCharType="end"/>
      </w:r>
    </w:p>
  </w:footnote>
  <w:footnote w:id="24">
    <w:p w14:paraId="3BF035C4" w14:textId="610E2704" w:rsidR="00591D60" w:rsidRPr="00967442" w:rsidRDefault="00591D60">
      <w:pPr>
        <w:pStyle w:val="Notedebasdepage"/>
        <w:rPr>
          <w:rFonts w:cs="Times New Roman"/>
        </w:rPr>
      </w:pPr>
      <w:r w:rsidRPr="00967442">
        <w:rPr>
          <w:rStyle w:val="Appelnotedebasdep"/>
          <w:rFonts w:cs="Times New Roman"/>
        </w:rPr>
        <w:footnoteRef/>
      </w:r>
      <w:r w:rsidRPr="00967442">
        <w:rPr>
          <w:rFonts w:cs="Times New Roman"/>
        </w:rPr>
        <w:t xml:space="preserve"> </w:t>
      </w:r>
      <w:r w:rsidR="00596264">
        <w:rPr>
          <w:rFonts w:cs="Times New Roman"/>
        </w:rPr>
        <w:t xml:space="preserve">Serge </w:t>
      </w:r>
      <w:r w:rsidRPr="00967442">
        <w:rPr>
          <w:rFonts w:cs="Times New Roman"/>
        </w:rPr>
        <w:fldChar w:fldCharType="begin"/>
      </w:r>
      <w:r w:rsidRPr="00967442">
        <w:rPr>
          <w:rFonts w:cs="Times New Roman"/>
        </w:rPr>
        <w:instrText xml:space="preserve"> ADDIN ZOTERO_ITEM CSL_CITATION {"citationID":"fYSk1YZV","properties":{"formattedCitation":"{\\scaps Chaumier} S. et {\\scaps Kurzawa} M.\\uc0\\u160{}(dir.), {\\i{}Le mus\\uc0\\u233{}e hors les murs}, Dijon, OCIM EUD, 2019.","plainCitation":"Chaumier S. et Kurzawa M. (dir.), Le musée hors les murs, Dijon, OCIM EUD, 2019.","noteIndex":25},"citationItems":[{"id":3395,"uris":["http://zotero.org/users/5196290/items/HYMQ3IKJ"],"itemData":{"id":3395,"type":"book","abstract":"Parmi l'offre de médiation proposée par les musées, centres de science et centres d'art, un volet concerne les actions dites hors les murs. Il s'agit de répondre à des enjeux multiples : toucher de nouveaux publics, développer les partenariats, élargir ses missions, rayonner sur le territoire, trouver une parade lorsque l'accueil des visiteurs in situ est limité ou encore assurer la continuité lorsque le musée est fermé en raison de travaux d'aménagement et de rénovation. Ces exemples permettent de repenser les modalités de l'action culturelle et posent plus globalement des questions sur les missions du musée. Quelles relations construire aux territoires et aux publics éloignés ? Sur quels partenaires s'appuyer ? Pourquoi et comment penser la complémentarité et l'articulation des offres dans et hors les murs de l'institution ? En s'appuyant sur des exemples pris au sein d'institutions muséales multiples (muséum d'histoire naturelle, écomusée, musée des beaux-arts, musée archéologique, musée d'ethnographie, musée de société, centre de culture scientifique, technique et industrielle…), cet ouvrage propose un panorama des actions hors les murs","call-number":"069.094 4","collection-title":"Les dossiers de l'OCIM","event-place":"Dijon","ISBN":"978-2-493-44619-0","language":"fre","number-of-pages":"263","publisher":"OCIM EUD","publisher-place":"Dijon","source":"BnF ISBN","title":"Le musée hors les murs","editor":[{"family":"Chaumier","given":"Serge"},{"family":"Kurzawa","given":"Marie"}],"issued":{"date-parts":[["2019"]]}}}],"schema":"https://github.com/citation-style-language/schema/raw/master/csl-citation.json"} </w:instrText>
      </w:r>
      <w:r w:rsidRPr="00967442">
        <w:rPr>
          <w:rFonts w:cs="Times New Roman"/>
        </w:rPr>
        <w:fldChar w:fldCharType="separate"/>
      </w:r>
      <w:r w:rsidRPr="00967442">
        <w:rPr>
          <w:rFonts w:cs="Times New Roman"/>
          <w:smallCaps/>
          <w:kern w:val="0"/>
        </w:rPr>
        <w:t>Chaumier</w:t>
      </w:r>
      <w:r w:rsidRPr="00967442">
        <w:rPr>
          <w:rFonts w:cs="Times New Roman"/>
          <w:kern w:val="0"/>
        </w:rPr>
        <w:t xml:space="preserve"> </w:t>
      </w:r>
      <w:r w:rsidR="00596264">
        <w:rPr>
          <w:rFonts w:cs="Times New Roman"/>
          <w:kern w:val="0"/>
        </w:rPr>
        <w:t>&amp;</w:t>
      </w:r>
      <w:r w:rsidRPr="00967442">
        <w:rPr>
          <w:rFonts w:cs="Times New Roman"/>
          <w:kern w:val="0"/>
        </w:rPr>
        <w:t xml:space="preserve"> </w:t>
      </w:r>
      <w:r w:rsidR="00596264">
        <w:rPr>
          <w:rFonts w:cs="Times New Roman"/>
          <w:kern w:val="0"/>
        </w:rPr>
        <w:t xml:space="preserve">Marie </w:t>
      </w:r>
      <w:proofErr w:type="spellStart"/>
      <w:r w:rsidRPr="00967442">
        <w:rPr>
          <w:rFonts w:cs="Times New Roman"/>
          <w:smallCaps/>
          <w:kern w:val="0"/>
        </w:rPr>
        <w:t>Kurzaw</w:t>
      </w:r>
      <w:proofErr w:type="spellEnd"/>
      <w:r w:rsidRPr="00967442">
        <w:rPr>
          <w:rFonts w:cs="Times New Roman"/>
          <w:kern w:val="0"/>
        </w:rPr>
        <w:t> (</w:t>
      </w:r>
      <w:proofErr w:type="spellStart"/>
      <w:r w:rsidRPr="00967442">
        <w:rPr>
          <w:rFonts w:cs="Times New Roman"/>
          <w:kern w:val="0"/>
        </w:rPr>
        <w:t>dir</w:t>
      </w:r>
      <w:proofErr w:type="spellEnd"/>
      <w:r w:rsidRPr="00967442">
        <w:rPr>
          <w:rFonts w:cs="Times New Roman"/>
          <w:kern w:val="0"/>
        </w:rPr>
        <w:t xml:space="preserve">.), </w:t>
      </w:r>
      <w:r w:rsidRPr="00967442">
        <w:rPr>
          <w:rFonts w:cs="Times New Roman"/>
          <w:i/>
          <w:iCs/>
          <w:kern w:val="0"/>
        </w:rPr>
        <w:t>Le musée hors les murs</w:t>
      </w:r>
      <w:r w:rsidRPr="00967442">
        <w:rPr>
          <w:rFonts w:cs="Times New Roman"/>
          <w:kern w:val="0"/>
        </w:rPr>
        <w:t>, Dijon, OCIM, 2019.</w:t>
      </w:r>
      <w:r w:rsidRPr="00967442">
        <w:rPr>
          <w:rFonts w:cs="Times New Roman"/>
        </w:rPr>
        <w:fldChar w:fldCharType="end"/>
      </w:r>
    </w:p>
  </w:footnote>
  <w:footnote w:id="25">
    <w:p w14:paraId="44B0DBA8" w14:textId="081B2B86" w:rsidR="006B478B" w:rsidRDefault="006B478B">
      <w:pPr>
        <w:pStyle w:val="Notedebasdepage"/>
      </w:pPr>
      <w:r w:rsidRPr="00967442">
        <w:rPr>
          <w:rStyle w:val="Appelnotedebasdep"/>
          <w:rFonts w:cs="Times New Roman"/>
        </w:rPr>
        <w:footnoteRef/>
      </w:r>
      <w:r w:rsidRPr="00967442">
        <w:rPr>
          <w:rFonts w:cs="Times New Roman"/>
        </w:rPr>
        <w:t xml:space="preserve"> Site internet de La Fonderie, les parcours de la Fonderie : </w:t>
      </w:r>
      <w:hyperlink r:id="rId5" w:history="1">
        <w:r w:rsidRPr="00967442">
          <w:rPr>
            <w:rStyle w:val="Lienhypertexte"/>
            <w:rFonts w:cs="Times New Roman"/>
          </w:rPr>
          <w:t>https://www.lafonderie.be/musee-visites-et-activites/parcours-de-la-fonderie/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9BD"/>
    <w:multiLevelType w:val="hybridMultilevel"/>
    <w:tmpl w:val="074C56D0"/>
    <w:lvl w:ilvl="0" w:tplc="4D90F978">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EC0794"/>
    <w:multiLevelType w:val="hybridMultilevel"/>
    <w:tmpl w:val="754A1A2A"/>
    <w:lvl w:ilvl="0" w:tplc="62C804F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152078"/>
    <w:multiLevelType w:val="hybridMultilevel"/>
    <w:tmpl w:val="A406EA08"/>
    <w:lvl w:ilvl="0" w:tplc="F104CC9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415A4"/>
    <w:multiLevelType w:val="hybridMultilevel"/>
    <w:tmpl w:val="C5CA885C"/>
    <w:lvl w:ilvl="0" w:tplc="979831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C44C6B"/>
    <w:multiLevelType w:val="hybridMultilevel"/>
    <w:tmpl w:val="BEE026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2A27BA"/>
    <w:multiLevelType w:val="hybridMultilevel"/>
    <w:tmpl w:val="62EA25F6"/>
    <w:lvl w:ilvl="0" w:tplc="BDDC2B88">
      <w:start w:val="2019"/>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D314C3"/>
    <w:multiLevelType w:val="hybridMultilevel"/>
    <w:tmpl w:val="4F409AAC"/>
    <w:lvl w:ilvl="0" w:tplc="4B88117C">
      <w:start w:val="1"/>
      <w:numFmt w:val="bullet"/>
      <w:lvlText w:val="•"/>
      <w:lvlJc w:val="left"/>
      <w:pPr>
        <w:tabs>
          <w:tab w:val="num" w:pos="720"/>
        </w:tabs>
        <w:ind w:left="720" w:hanging="360"/>
      </w:pPr>
      <w:rPr>
        <w:rFonts w:ascii="Arial" w:hAnsi="Arial" w:hint="default"/>
      </w:rPr>
    </w:lvl>
    <w:lvl w:ilvl="1" w:tplc="1486A6A0" w:tentative="1">
      <w:start w:val="1"/>
      <w:numFmt w:val="bullet"/>
      <w:lvlText w:val="•"/>
      <w:lvlJc w:val="left"/>
      <w:pPr>
        <w:tabs>
          <w:tab w:val="num" w:pos="1440"/>
        </w:tabs>
        <w:ind w:left="1440" w:hanging="360"/>
      </w:pPr>
      <w:rPr>
        <w:rFonts w:ascii="Arial" w:hAnsi="Arial" w:hint="default"/>
      </w:rPr>
    </w:lvl>
    <w:lvl w:ilvl="2" w:tplc="DEFE51E4" w:tentative="1">
      <w:start w:val="1"/>
      <w:numFmt w:val="bullet"/>
      <w:lvlText w:val="•"/>
      <w:lvlJc w:val="left"/>
      <w:pPr>
        <w:tabs>
          <w:tab w:val="num" w:pos="2160"/>
        </w:tabs>
        <w:ind w:left="2160" w:hanging="360"/>
      </w:pPr>
      <w:rPr>
        <w:rFonts w:ascii="Arial" w:hAnsi="Arial" w:hint="default"/>
      </w:rPr>
    </w:lvl>
    <w:lvl w:ilvl="3" w:tplc="1310C414" w:tentative="1">
      <w:start w:val="1"/>
      <w:numFmt w:val="bullet"/>
      <w:lvlText w:val="•"/>
      <w:lvlJc w:val="left"/>
      <w:pPr>
        <w:tabs>
          <w:tab w:val="num" w:pos="2880"/>
        </w:tabs>
        <w:ind w:left="2880" w:hanging="360"/>
      </w:pPr>
      <w:rPr>
        <w:rFonts w:ascii="Arial" w:hAnsi="Arial" w:hint="default"/>
      </w:rPr>
    </w:lvl>
    <w:lvl w:ilvl="4" w:tplc="CE32D294" w:tentative="1">
      <w:start w:val="1"/>
      <w:numFmt w:val="bullet"/>
      <w:lvlText w:val="•"/>
      <w:lvlJc w:val="left"/>
      <w:pPr>
        <w:tabs>
          <w:tab w:val="num" w:pos="3600"/>
        </w:tabs>
        <w:ind w:left="3600" w:hanging="360"/>
      </w:pPr>
      <w:rPr>
        <w:rFonts w:ascii="Arial" w:hAnsi="Arial" w:hint="default"/>
      </w:rPr>
    </w:lvl>
    <w:lvl w:ilvl="5" w:tplc="240C6474" w:tentative="1">
      <w:start w:val="1"/>
      <w:numFmt w:val="bullet"/>
      <w:lvlText w:val="•"/>
      <w:lvlJc w:val="left"/>
      <w:pPr>
        <w:tabs>
          <w:tab w:val="num" w:pos="4320"/>
        </w:tabs>
        <w:ind w:left="4320" w:hanging="360"/>
      </w:pPr>
      <w:rPr>
        <w:rFonts w:ascii="Arial" w:hAnsi="Arial" w:hint="default"/>
      </w:rPr>
    </w:lvl>
    <w:lvl w:ilvl="6" w:tplc="24089982" w:tentative="1">
      <w:start w:val="1"/>
      <w:numFmt w:val="bullet"/>
      <w:lvlText w:val="•"/>
      <w:lvlJc w:val="left"/>
      <w:pPr>
        <w:tabs>
          <w:tab w:val="num" w:pos="5040"/>
        </w:tabs>
        <w:ind w:left="5040" w:hanging="360"/>
      </w:pPr>
      <w:rPr>
        <w:rFonts w:ascii="Arial" w:hAnsi="Arial" w:hint="default"/>
      </w:rPr>
    </w:lvl>
    <w:lvl w:ilvl="7" w:tplc="B0E4A9E4" w:tentative="1">
      <w:start w:val="1"/>
      <w:numFmt w:val="bullet"/>
      <w:lvlText w:val="•"/>
      <w:lvlJc w:val="left"/>
      <w:pPr>
        <w:tabs>
          <w:tab w:val="num" w:pos="5760"/>
        </w:tabs>
        <w:ind w:left="5760" w:hanging="360"/>
      </w:pPr>
      <w:rPr>
        <w:rFonts w:ascii="Arial" w:hAnsi="Arial" w:hint="default"/>
      </w:rPr>
    </w:lvl>
    <w:lvl w:ilvl="8" w:tplc="3BB892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D9477C0"/>
    <w:multiLevelType w:val="hybridMultilevel"/>
    <w:tmpl w:val="8FBA730A"/>
    <w:lvl w:ilvl="0" w:tplc="B5BEC8AA">
      <w:start w:val="1"/>
      <w:numFmt w:val="bullet"/>
      <w:lvlText w:val="•"/>
      <w:lvlJc w:val="left"/>
      <w:pPr>
        <w:tabs>
          <w:tab w:val="num" w:pos="720"/>
        </w:tabs>
        <w:ind w:left="720" w:hanging="360"/>
      </w:pPr>
      <w:rPr>
        <w:rFonts w:ascii="Arial" w:hAnsi="Arial" w:hint="default"/>
      </w:rPr>
    </w:lvl>
    <w:lvl w:ilvl="1" w:tplc="9D88075A" w:tentative="1">
      <w:start w:val="1"/>
      <w:numFmt w:val="bullet"/>
      <w:lvlText w:val="•"/>
      <w:lvlJc w:val="left"/>
      <w:pPr>
        <w:tabs>
          <w:tab w:val="num" w:pos="1440"/>
        </w:tabs>
        <w:ind w:left="1440" w:hanging="360"/>
      </w:pPr>
      <w:rPr>
        <w:rFonts w:ascii="Arial" w:hAnsi="Arial" w:hint="default"/>
      </w:rPr>
    </w:lvl>
    <w:lvl w:ilvl="2" w:tplc="6402FD40" w:tentative="1">
      <w:start w:val="1"/>
      <w:numFmt w:val="bullet"/>
      <w:lvlText w:val="•"/>
      <w:lvlJc w:val="left"/>
      <w:pPr>
        <w:tabs>
          <w:tab w:val="num" w:pos="2160"/>
        </w:tabs>
        <w:ind w:left="2160" w:hanging="360"/>
      </w:pPr>
      <w:rPr>
        <w:rFonts w:ascii="Arial" w:hAnsi="Arial" w:hint="default"/>
      </w:rPr>
    </w:lvl>
    <w:lvl w:ilvl="3" w:tplc="18943F04" w:tentative="1">
      <w:start w:val="1"/>
      <w:numFmt w:val="bullet"/>
      <w:lvlText w:val="•"/>
      <w:lvlJc w:val="left"/>
      <w:pPr>
        <w:tabs>
          <w:tab w:val="num" w:pos="2880"/>
        </w:tabs>
        <w:ind w:left="2880" w:hanging="360"/>
      </w:pPr>
      <w:rPr>
        <w:rFonts w:ascii="Arial" w:hAnsi="Arial" w:hint="default"/>
      </w:rPr>
    </w:lvl>
    <w:lvl w:ilvl="4" w:tplc="FFECB312" w:tentative="1">
      <w:start w:val="1"/>
      <w:numFmt w:val="bullet"/>
      <w:lvlText w:val="•"/>
      <w:lvlJc w:val="left"/>
      <w:pPr>
        <w:tabs>
          <w:tab w:val="num" w:pos="3600"/>
        </w:tabs>
        <w:ind w:left="3600" w:hanging="360"/>
      </w:pPr>
      <w:rPr>
        <w:rFonts w:ascii="Arial" w:hAnsi="Arial" w:hint="default"/>
      </w:rPr>
    </w:lvl>
    <w:lvl w:ilvl="5" w:tplc="3590591A" w:tentative="1">
      <w:start w:val="1"/>
      <w:numFmt w:val="bullet"/>
      <w:lvlText w:val="•"/>
      <w:lvlJc w:val="left"/>
      <w:pPr>
        <w:tabs>
          <w:tab w:val="num" w:pos="4320"/>
        </w:tabs>
        <w:ind w:left="4320" w:hanging="360"/>
      </w:pPr>
      <w:rPr>
        <w:rFonts w:ascii="Arial" w:hAnsi="Arial" w:hint="default"/>
      </w:rPr>
    </w:lvl>
    <w:lvl w:ilvl="6" w:tplc="939C694C" w:tentative="1">
      <w:start w:val="1"/>
      <w:numFmt w:val="bullet"/>
      <w:lvlText w:val="•"/>
      <w:lvlJc w:val="left"/>
      <w:pPr>
        <w:tabs>
          <w:tab w:val="num" w:pos="5040"/>
        </w:tabs>
        <w:ind w:left="5040" w:hanging="360"/>
      </w:pPr>
      <w:rPr>
        <w:rFonts w:ascii="Arial" w:hAnsi="Arial" w:hint="default"/>
      </w:rPr>
    </w:lvl>
    <w:lvl w:ilvl="7" w:tplc="05D406C4" w:tentative="1">
      <w:start w:val="1"/>
      <w:numFmt w:val="bullet"/>
      <w:lvlText w:val="•"/>
      <w:lvlJc w:val="left"/>
      <w:pPr>
        <w:tabs>
          <w:tab w:val="num" w:pos="5760"/>
        </w:tabs>
        <w:ind w:left="5760" w:hanging="360"/>
      </w:pPr>
      <w:rPr>
        <w:rFonts w:ascii="Arial" w:hAnsi="Arial" w:hint="default"/>
      </w:rPr>
    </w:lvl>
    <w:lvl w:ilvl="8" w:tplc="DAF0CB66" w:tentative="1">
      <w:start w:val="1"/>
      <w:numFmt w:val="bullet"/>
      <w:lvlText w:val="•"/>
      <w:lvlJc w:val="left"/>
      <w:pPr>
        <w:tabs>
          <w:tab w:val="num" w:pos="6480"/>
        </w:tabs>
        <w:ind w:left="6480" w:hanging="360"/>
      </w:pPr>
      <w:rPr>
        <w:rFonts w:ascii="Arial" w:hAnsi="Arial" w:hint="default"/>
      </w:rPr>
    </w:lvl>
  </w:abstractNum>
  <w:num w:numId="1" w16cid:durableId="1646011352">
    <w:abstractNumId w:val="4"/>
  </w:num>
  <w:num w:numId="2" w16cid:durableId="493567314">
    <w:abstractNumId w:val="1"/>
  </w:num>
  <w:num w:numId="3" w16cid:durableId="1821147110">
    <w:abstractNumId w:val="2"/>
  </w:num>
  <w:num w:numId="4" w16cid:durableId="2059085079">
    <w:abstractNumId w:val="0"/>
  </w:num>
  <w:num w:numId="5" w16cid:durableId="1074284097">
    <w:abstractNumId w:val="5"/>
  </w:num>
  <w:num w:numId="6" w16cid:durableId="370423916">
    <w:abstractNumId w:val="3"/>
  </w:num>
  <w:num w:numId="7" w16cid:durableId="1574968432">
    <w:abstractNumId w:val="6"/>
  </w:num>
  <w:num w:numId="8" w16cid:durableId="1573463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62"/>
    <w:rsid w:val="00001C75"/>
    <w:rsid w:val="0005770E"/>
    <w:rsid w:val="000B5BC3"/>
    <w:rsid w:val="000B7062"/>
    <w:rsid w:val="000C2E3F"/>
    <w:rsid w:val="000E019A"/>
    <w:rsid w:val="000F3ADD"/>
    <w:rsid w:val="00151337"/>
    <w:rsid w:val="00155934"/>
    <w:rsid w:val="001D0251"/>
    <w:rsid w:val="001E2B18"/>
    <w:rsid w:val="00201F62"/>
    <w:rsid w:val="00203C3A"/>
    <w:rsid w:val="00291498"/>
    <w:rsid w:val="002B754D"/>
    <w:rsid w:val="002D55D0"/>
    <w:rsid w:val="002E447E"/>
    <w:rsid w:val="00334F34"/>
    <w:rsid w:val="00347958"/>
    <w:rsid w:val="003627CA"/>
    <w:rsid w:val="00372BC7"/>
    <w:rsid w:val="0037575A"/>
    <w:rsid w:val="003D455D"/>
    <w:rsid w:val="003D59AB"/>
    <w:rsid w:val="00435C1B"/>
    <w:rsid w:val="00473383"/>
    <w:rsid w:val="00474BBB"/>
    <w:rsid w:val="00476B60"/>
    <w:rsid w:val="004B52D1"/>
    <w:rsid w:val="004E4CDE"/>
    <w:rsid w:val="005032CA"/>
    <w:rsid w:val="00536FF1"/>
    <w:rsid w:val="0057785B"/>
    <w:rsid w:val="00591D60"/>
    <w:rsid w:val="00596264"/>
    <w:rsid w:val="005A25A4"/>
    <w:rsid w:val="005C5AEF"/>
    <w:rsid w:val="005E3C81"/>
    <w:rsid w:val="00603772"/>
    <w:rsid w:val="00615D1D"/>
    <w:rsid w:val="0063537A"/>
    <w:rsid w:val="006B478B"/>
    <w:rsid w:val="00713E8E"/>
    <w:rsid w:val="00731674"/>
    <w:rsid w:val="00763FBF"/>
    <w:rsid w:val="007B390C"/>
    <w:rsid w:val="007E59B0"/>
    <w:rsid w:val="00850E94"/>
    <w:rsid w:val="00880F79"/>
    <w:rsid w:val="00951B48"/>
    <w:rsid w:val="00967442"/>
    <w:rsid w:val="009770B3"/>
    <w:rsid w:val="00A20970"/>
    <w:rsid w:val="00A56282"/>
    <w:rsid w:val="00B02E15"/>
    <w:rsid w:val="00B03402"/>
    <w:rsid w:val="00C40B1B"/>
    <w:rsid w:val="00C418FC"/>
    <w:rsid w:val="00CB3CF3"/>
    <w:rsid w:val="00CC6613"/>
    <w:rsid w:val="00D00CB3"/>
    <w:rsid w:val="00D14466"/>
    <w:rsid w:val="00D6675E"/>
    <w:rsid w:val="00D67CB9"/>
    <w:rsid w:val="00DD125A"/>
    <w:rsid w:val="00DE1E2B"/>
    <w:rsid w:val="00DF71CD"/>
    <w:rsid w:val="00E74082"/>
    <w:rsid w:val="00E74F37"/>
    <w:rsid w:val="00E761D2"/>
    <w:rsid w:val="00EB0640"/>
    <w:rsid w:val="00EC135F"/>
    <w:rsid w:val="00EC2022"/>
    <w:rsid w:val="00EC6C90"/>
    <w:rsid w:val="00EC7CD2"/>
    <w:rsid w:val="00EE191C"/>
    <w:rsid w:val="00F038F2"/>
    <w:rsid w:val="00F4163D"/>
    <w:rsid w:val="00F80EA3"/>
    <w:rsid w:val="00F94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6808"/>
  <w15:chartTrackingRefBased/>
  <w15:docId w15:val="{3D291589-E655-47D1-B43E-DBF5FEBC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42"/>
    <w:pPr>
      <w:spacing w:line="240" w:lineRule="auto"/>
      <w:jc w:val="both"/>
    </w:pPr>
    <w:rPr>
      <w:rFonts w:ascii="Times New Roman" w:hAnsi="Times New Roman"/>
    </w:rPr>
  </w:style>
  <w:style w:type="paragraph" w:styleId="Titre1">
    <w:name w:val="heading 1"/>
    <w:basedOn w:val="Normal"/>
    <w:next w:val="Normal"/>
    <w:link w:val="Titre1Car"/>
    <w:uiPriority w:val="9"/>
    <w:qFormat/>
    <w:rsid w:val="00201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01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1F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1F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1F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1F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1F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1F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1F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1F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01F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1F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1F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1F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1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1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1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1F62"/>
    <w:rPr>
      <w:rFonts w:eastAsiaTheme="majorEastAsia" w:cstheme="majorBidi"/>
      <w:color w:val="272727" w:themeColor="text1" w:themeTint="D8"/>
    </w:rPr>
  </w:style>
  <w:style w:type="paragraph" w:styleId="Titre">
    <w:name w:val="Title"/>
    <w:basedOn w:val="Normal"/>
    <w:next w:val="Normal"/>
    <w:link w:val="TitreCar"/>
    <w:uiPriority w:val="10"/>
    <w:qFormat/>
    <w:rsid w:val="00201F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1F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1F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1F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1F62"/>
    <w:pPr>
      <w:spacing w:before="160"/>
      <w:jc w:val="center"/>
    </w:pPr>
    <w:rPr>
      <w:i/>
      <w:iCs/>
      <w:color w:val="404040" w:themeColor="text1" w:themeTint="BF"/>
    </w:rPr>
  </w:style>
  <w:style w:type="character" w:customStyle="1" w:styleId="CitationCar">
    <w:name w:val="Citation Car"/>
    <w:basedOn w:val="Policepardfaut"/>
    <w:link w:val="Citation"/>
    <w:uiPriority w:val="29"/>
    <w:rsid w:val="00201F62"/>
    <w:rPr>
      <w:i/>
      <w:iCs/>
      <w:color w:val="404040" w:themeColor="text1" w:themeTint="BF"/>
    </w:rPr>
  </w:style>
  <w:style w:type="paragraph" w:styleId="Paragraphedeliste">
    <w:name w:val="List Paragraph"/>
    <w:basedOn w:val="Normal"/>
    <w:uiPriority w:val="34"/>
    <w:qFormat/>
    <w:rsid w:val="00201F62"/>
    <w:pPr>
      <w:ind w:left="720"/>
      <w:contextualSpacing/>
    </w:pPr>
  </w:style>
  <w:style w:type="character" w:styleId="Accentuationintense">
    <w:name w:val="Intense Emphasis"/>
    <w:basedOn w:val="Policepardfaut"/>
    <w:uiPriority w:val="21"/>
    <w:qFormat/>
    <w:rsid w:val="00201F62"/>
    <w:rPr>
      <w:i/>
      <w:iCs/>
      <w:color w:val="0F4761" w:themeColor="accent1" w:themeShade="BF"/>
    </w:rPr>
  </w:style>
  <w:style w:type="paragraph" w:styleId="Citationintense">
    <w:name w:val="Intense Quote"/>
    <w:basedOn w:val="Normal"/>
    <w:next w:val="Normal"/>
    <w:link w:val="CitationintenseCar"/>
    <w:uiPriority w:val="30"/>
    <w:qFormat/>
    <w:rsid w:val="00201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1F62"/>
    <w:rPr>
      <w:i/>
      <w:iCs/>
      <w:color w:val="0F4761" w:themeColor="accent1" w:themeShade="BF"/>
    </w:rPr>
  </w:style>
  <w:style w:type="character" w:styleId="Rfrenceintense">
    <w:name w:val="Intense Reference"/>
    <w:basedOn w:val="Policepardfaut"/>
    <w:uiPriority w:val="32"/>
    <w:qFormat/>
    <w:rsid w:val="00201F62"/>
    <w:rPr>
      <w:b/>
      <w:bCs/>
      <w:smallCaps/>
      <w:color w:val="0F4761" w:themeColor="accent1" w:themeShade="BF"/>
      <w:spacing w:val="5"/>
    </w:rPr>
  </w:style>
  <w:style w:type="paragraph" w:styleId="NormalWeb">
    <w:name w:val="Normal (Web)"/>
    <w:basedOn w:val="Normal"/>
    <w:uiPriority w:val="99"/>
    <w:semiHidden/>
    <w:unhideWhenUsed/>
    <w:rsid w:val="005E3C81"/>
    <w:pPr>
      <w:spacing w:before="100" w:beforeAutospacing="1" w:after="100" w:afterAutospacing="1"/>
    </w:pPr>
    <w:rPr>
      <w:rFonts w:eastAsia="Times New Roman" w:cs="Times New Roman"/>
      <w:kern w:val="0"/>
      <w:sz w:val="24"/>
      <w:szCs w:val="24"/>
      <w:lang w:eastAsia="fr-FR"/>
      <w14:ligatures w14:val="none"/>
    </w:rPr>
  </w:style>
  <w:style w:type="character" w:styleId="Lienhypertexte">
    <w:name w:val="Hyperlink"/>
    <w:basedOn w:val="Policepardfaut"/>
    <w:uiPriority w:val="99"/>
    <w:unhideWhenUsed/>
    <w:rsid w:val="005E3C81"/>
    <w:rPr>
      <w:color w:val="467886" w:themeColor="hyperlink"/>
      <w:u w:val="single"/>
    </w:rPr>
  </w:style>
  <w:style w:type="character" w:styleId="Mentionnonrsolue">
    <w:name w:val="Unresolved Mention"/>
    <w:basedOn w:val="Policepardfaut"/>
    <w:uiPriority w:val="99"/>
    <w:semiHidden/>
    <w:unhideWhenUsed/>
    <w:rsid w:val="005E3C81"/>
    <w:rPr>
      <w:color w:val="605E5C"/>
      <w:shd w:val="clear" w:color="auto" w:fill="E1DFDD"/>
    </w:rPr>
  </w:style>
  <w:style w:type="paragraph" w:styleId="Notedefin">
    <w:name w:val="endnote text"/>
    <w:basedOn w:val="Normal"/>
    <w:link w:val="NotedefinCar"/>
    <w:uiPriority w:val="99"/>
    <w:semiHidden/>
    <w:unhideWhenUsed/>
    <w:rsid w:val="00DD125A"/>
    <w:pPr>
      <w:spacing w:after="0"/>
    </w:pPr>
    <w:rPr>
      <w:sz w:val="20"/>
      <w:szCs w:val="20"/>
    </w:rPr>
  </w:style>
  <w:style w:type="character" w:customStyle="1" w:styleId="NotedefinCar">
    <w:name w:val="Note de fin Car"/>
    <w:basedOn w:val="Policepardfaut"/>
    <w:link w:val="Notedefin"/>
    <w:uiPriority w:val="99"/>
    <w:semiHidden/>
    <w:rsid w:val="00DD125A"/>
    <w:rPr>
      <w:sz w:val="20"/>
      <w:szCs w:val="20"/>
    </w:rPr>
  </w:style>
  <w:style w:type="character" w:styleId="Appeldenotedefin">
    <w:name w:val="endnote reference"/>
    <w:basedOn w:val="Policepardfaut"/>
    <w:uiPriority w:val="99"/>
    <w:semiHidden/>
    <w:unhideWhenUsed/>
    <w:rsid w:val="00DD125A"/>
    <w:rPr>
      <w:vertAlign w:val="superscript"/>
    </w:rPr>
  </w:style>
  <w:style w:type="paragraph" w:styleId="Notedebasdepage">
    <w:name w:val="footnote text"/>
    <w:basedOn w:val="Normal"/>
    <w:link w:val="NotedebasdepageCar"/>
    <w:uiPriority w:val="99"/>
    <w:semiHidden/>
    <w:unhideWhenUsed/>
    <w:rsid w:val="00DD125A"/>
    <w:pPr>
      <w:spacing w:after="0"/>
    </w:pPr>
    <w:rPr>
      <w:sz w:val="20"/>
      <w:szCs w:val="20"/>
    </w:rPr>
  </w:style>
  <w:style w:type="character" w:customStyle="1" w:styleId="NotedebasdepageCar">
    <w:name w:val="Note de bas de page Car"/>
    <w:basedOn w:val="Policepardfaut"/>
    <w:link w:val="Notedebasdepage"/>
    <w:uiPriority w:val="99"/>
    <w:semiHidden/>
    <w:rsid w:val="00DD125A"/>
    <w:rPr>
      <w:sz w:val="20"/>
      <w:szCs w:val="20"/>
    </w:rPr>
  </w:style>
  <w:style w:type="character" w:styleId="Appelnotedebasdep">
    <w:name w:val="footnote reference"/>
    <w:basedOn w:val="Policepardfaut"/>
    <w:uiPriority w:val="99"/>
    <w:semiHidden/>
    <w:unhideWhenUsed/>
    <w:rsid w:val="00DD125A"/>
    <w:rPr>
      <w:vertAlign w:val="superscript"/>
    </w:rPr>
  </w:style>
  <w:style w:type="character" w:styleId="Lienhypertextesuivivisit">
    <w:name w:val="FollowedHyperlink"/>
    <w:basedOn w:val="Policepardfaut"/>
    <w:uiPriority w:val="99"/>
    <w:semiHidden/>
    <w:unhideWhenUsed/>
    <w:rsid w:val="005778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35696">
      <w:bodyDiv w:val="1"/>
      <w:marLeft w:val="0"/>
      <w:marRight w:val="0"/>
      <w:marTop w:val="0"/>
      <w:marBottom w:val="0"/>
      <w:divBdr>
        <w:top w:val="none" w:sz="0" w:space="0" w:color="auto"/>
        <w:left w:val="none" w:sz="0" w:space="0" w:color="auto"/>
        <w:bottom w:val="none" w:sz="0" w:space="0" w:color="auto"/>
        <w:right w:val="none" w:sz="0" w:space="0" w:color="auto"/>
      </w:divBdr>
    </w:div>
    <w:div w:id="230888392">
      <w:bodyDiv w:val="1"/>
      <w:marLeft w:val="0"/>
      <w:marRight w:val="0"/>
      <w:marTop w:val="0"/>
      <w:marBottom w:val="0"/>
      <w:divBdr>
        <w:top w:val="none" w:sz="0" w:space="0" w:color="auto"/>
        <w:left w:val="none" w:sz="0" w:space="0" w:color="auto"/>
        <w:bottom w:val="none" w:sz="0" w:space="0" w:color="auto"/>
        <w:right w:val="none" w:sz="0" w:space="0" w:color="auto"/>
      </w:divBdr>
    </w:div>
    <w:div w:id="296222979">
      <w:bodyDiv w:val="1"/>
      <w:marLeft w:val="0"/>
      <w:marRight w:val="0"/>
      <w:marTop w:val="0"/>
      <w:marBottom w:val="0"/>
      <w:divBdr>
        <w:top w:val="none" w:sz="0" w:space="0" w:color="auto"/>
        <w:left w:val="none" w:sz="0" w:space="0" w:color="auto"/>
        <w:bottom w:val="none" w:sz="0" w:space="0" w:color="auto"/>
        <w:right w:val="none" w:sz="0" w:space="0" w:color="auto"/>
      </w:divBdr>
    </w:div>
    <w:div w:id="473260933">
      <w:bodyDiv w:val="1"/>
      <w:marLeft w:val="0"/>
      <w:marRight w:val="0"/>
      <w:marTop w:val="0"/>
      <w:marBottom w:val="0"/>
      <w:divBdr>
        <w:top w:val="none" w:sz="0" w:space="0" w:color="auto"/>
        <w:left w:val="none" w:sz="0" w:space="0" w:color="auto"/>
        <w:bottom w:val="none" w:sz="0" w:space="0" w:color="auto"/>
        <w:right w:val="none" w:sz="0" w:space="0" w:color="auto"/>
      </w:divBdr>
    </w:div>
    <w:div w:id="617183343">
      <w:bodyDiv w:val="1"/>
      <w:marLeft w:val="0"/>
      <w:marRight w:val="0"/>
      <w:marTop w:val="0"/>
      <w:marBottom w:val="0"/>
      <w:divBdr>
        <w:top w:val="none" w:sz="0" w:space="0" w:color="auto"/>
        <w:left w:val="none" w:sz="0" w:space="0" w:color="auto"/>
        <w:bottom w:val="none" w:sz="0" w:space="0" w:color="auto"/>
        <w:right w:val="none" w:sz="0" w:space="0" w:color="auto"/>
      </w:divBdr>
    </w:div>
    <w:div w:id="653609340">
      <w:bodyDiv w:val="1"/>
      <w:marLeft w:val="0"/>
      <w:marRight w:val="0"/>
      <w:marTop w:val="0"/>
      <w:marBottom w:val="0"/>
      <w:divBdr>
        <w:top w:val="none" w:sz="0" w:space="0" w:color="auto"/>
        <w:left w:val="none" w:sz="0" w:space="0" w:color="auto"/>
        <w:bottom w:val="none" w:sz="0" w:space="0" w:color="auto"/>
        <w:right w:val="none" w:sz="0" w:space="0" w:color="auto"/>
      </w:divBdr>
    </w:div>
    <w:div w:id="698821051">
      <w:bodyDiv w:val="1"/>
      <w:marLeft w:val="0"/>
      <w:marRight w:val="0"/>
      <w:marTop w:val="0"/>
      <w:marBottom w:val="0"/>
      <w:divBdr>
        <w:top w:val="none" w:sz="0" w:space="0" w:color="auto"/>
        <w:left w:val="none" w:sz="0" w:space="0" w:color="auto"/>
        <w:bottom w:val="none" w:sz="0" w:space="0" w:color="auto"/>
        <w:right w:val="none" w:sz="0" w:space="0" w:color="auto"/>
      </w:divBdr>
    </w:div>
    <w:div w:id="705058509">
      <w:bodyDiv w:val="1"/>
      <w:marLeft w:val="0"/>
      <w:marRight w:val="0"/>
      <w:marTop w:val="0"/>
      <w:marBottom w:val="0"/>
      <w:divBdr>
        <w:top w:val="none" w:sz="0" w:space="0" w:color="auto"/>
        <w:left w:val="none" w:sz="0" w:space="0" w:color="auto"/>
        <w:bottom w:val="none" w:sz="0" w:space="0" w:color="auto"/>
        <w:right w:val="none" w:sz="0" w:space="0" w:color="auto"/>
      </w:divBdr>
    </w:div>
    <w:div w:id="731662591">
      <w:bodyDiv w:val="1"/>
      <w:marLeft w:val="0"/>
      <w:marRight w:val="0"/>
      <w:marTop w:val="0"/>
      <w:marBottom w:val="0"/>
      <w:divBdr>
        <w:top w:val="none" w:sz="0" w:space="0" w:color="auto"/>
        <w:left w:val="none" w:sz="0" w:space="0" w:color="auto"/>
        <w:bottom w:val="none" w:sz="0" w:space="0" w:color="auto"/>
        <w:right w:val="none" w:sz="0" w:space="0" w:color="auto"/>
      </w:divBdr>
    </w:div>
    <w:div w:id="778834945">
      <w:bodyDiv w:val="1"/>
      <w:marLeft w:val="0"/>
      <w:marRight w:val="0"/>
      <w:marTop w:val="0"/>
      <w:marBottom w:val="0"/>
      <w:divBdr>
        <w:top w:val="none" w:sz="0" w:space="0" w:color="auto"/>
        <w:left w:val="none" w:sz="0" w:space="0" w:color="auto"/>
        <w:bottom w:val="none" w:sz="0" w:space="0" w:color="auto"/>
        <w:right w:val="none" w:sz="0" w:space="0" w:color="auto"/>
      </w:divBdr>
    </w:div>
    <w:div w:id="900292776">
      <w:bodyDiv w:val="1"/>
      <w:marLeft w:val="0"/>
      <w:marRight w:val="0"/>
      <w:marTop w:val="0"/>
      <w:marBottom w:val="0"/>
      <w:divBdr>
        <w:top w:val="none" w:sz="0" w:space="0" w:color="auto"/>
        <w:left w:val="none" w:sz="0" w:space="0" w:color="auto"/>
        <w:bottom w:val="none" w:sz="0" w:space="0" w:color="auto"/>
        <w:right w:val="none" w:sz="0" w:space="0" w:color="auto"/>
      </w:divBdr>
    </w:div>
    <w:div w:id="936138370">
      <w:bodyDiv w:val="1"/>
      <w:marLeft w:val="0"/>
      <w:marRight w:val="0"/>
      <w:marTop w:val="0"/>
      <w:marBottom w:val="0"/>
      <w:divBdr>
        <w:top w:val="none" w:sz="0" w:space="0" w:color="auto"/>
        <w:left w:val="none" w:sz="0" w:space="0" w:color="auto"/>
        <w:bottom w:val="none" w:sz="0" w:space="0" w:color="auto"/>
        <w:right w:val="none" w:sz="0" w:space="0" w:color="auto"/>
      </w:divBdr>
    </w:div>
    <w:div w:id="1154831822">
      <w:bodyDiv w:val="1"/>
      <w:marLeft w:val="0"/>
      <w:marRight w:val="0"/>
      <w:marTop w:val="0"/>
      <w:marBottom w:val="0"/>
      <w:divBdr>
        <w:top w:val="none" w:sz="0" w:space="0" w:color="auto"/>
        <w:left w:val="none" w:sz="0" w:space="0" w:color="auto"/>
        <w:bottom w:val="none" w:sz="0" w:space="0" w:color="auto"/>
        <w:right w:val="none" w:sz="0" w:space="0" w:color="auto"/>
      </w:divBdr>
    </w:div>
    <w:div w:id="1267080837">
      <w:bodyDiv w:val="1"/>
      <w:marLeft w:val="0"/>
      <w:marRight w:val="0"/>
      <w:marTop w:val="0"/>
      <w:marBottom w:val="0"/>
      <w:divBdr>
        <w:top w:val="none" w:sz="0" w:space="0" w:color="auto"/>
        <w:left w:val="none" w:sz="0" w:space="0" w:color="auto"/>
        <w:bottom w:val="none" w:sz="0" w:space="0" w:color="auto"/>
        <w:right w:val="none" w:sz="0" w:space="0" w:color="auto"/>
      </w:divBdr>
    </w:div>
    <w:div w:id="1270431214">
      <w:bodyDiv w:val="1"/>
      <w:marLeft w:val="0"/>
      <w:marRight w:val="0"/>
      <w:marTop w:val="0"/>
      <w:marBottom w:val="0"/>
      <w:divBdr>
        <w:top w:val="none" w:sz="0" w:space="0" w:color="auto"/>
        <w:left w:val="none" w:sz="0" w:space="0" w:color="auto"/>
        <w:bottom w:val="none" w:sz="0" w:space="0" w:color="auto"/>
        <w:right w:val="none" w:sz="0" w:space="0" w:color="auto"/>
      </w:divBdr>
    </w:div>
    <w:div w:id="1336571133">
      <w:bodyDiv w:val="1"/>
      <w:marLeft w:val="0"/>
      <w:marRight w:val="0"/>
      <w:marTop w:val="0"/>
      <w:marBottom w:val="0"/>
      <w:divBdr>
        <w:top w:val="none" w:sz="0" w:space="0" w:color="auto"/>
        <w:left w:val="none" w:sz="0" w:space="0" w:color="auto"/>
        <w:bottom w:val="none" w:sz="0" w:space="0" w:color="auto"/>
        <w:right w:val="none" w:sz="0" w:space="0" w:color="auto"/>
      </w:divBdr>
    </w:div>
    <w:div w:id="1606839821">
      <w:bodyDiv w:val="1"/>
      <w:marLeft w:val="0"/>
      <w:marRight w:val="0"/>
      <w:marTop w:val="0"/>
      <w:marBottom w:val="0"/>
      <w:divBdr>
        <w:top w:val="none" w:sz="0" w:space="0" w:color="auto"/>
        <w:left w:val="none" w:sz="0" w:space="0" w:color="auto"/>
        <w:bottom w:val="none" w:sz="0" w:space="0" w:color="auto"/>
        <w:right w:val="none" w:sz="0" w:space="0" w:color="auto"/>
      </w:divBdr>
    </w:div>
    <w:div w:id="1606882133">
      <w:bodyDiv w:val="1"/>
      <w:marLeft w:val="0"/>
      <w:marRight w:val="0"/>
      <w:marTop w:val="0"/>
      <w:marBottom w:val="0"/>
      <w:divBdr>
        <w:top w:val="none" w:sz="0" w:space="0" w:color="auto"/>
        <w:left w:val="none" w:sz="0" w:space="0" w:color="auto"/>
        <w:bottom w:val="none" w:sz="0" w:space="0" w:color="auto"/>
        <w:right w:val="none" w:sz="0" w:space="0" w:color="auto"/>
      </w:divBdr>
    </w:div>
    <w:div w:id="1612588014">
      <w:bodyDiv w:val="1"/>
      <w:marLeft w:val="0"/>
      <w:marRight w:val="0"/>
      <w:marTop w:val="0"/>
      <w:marBottom w:val="0"/>
      <w:divBdr>
        <w:top w:val="none" w:sz="0" w:space="0" w:color="auto"/>
        <w:left w:val="none" w:sz="0" w:space="0" w:color="auto"/>
        <w:bottom w:val="none" w:sz="0" w:space="0" w:color="auto"/>
        <w:right w:val="none" w:sz="0" w:space="0" w:color="auto"/>
      </w:divBdr>
    </w:div>
    <w:div w:id="1739982839">
      <w:bodyDiv w:val="1"/>
      <w:marLeft w:val="0"/>
      <w:marRight w:val="0"/>
      <w:marTop w:val="0"/>
      <w:marBottom w:val="0"/>
      <w:divBdr>
        <w:top w:val="none" w:sz="0" w:space="0" w:color="auto"/>
        <w:left w:val="none" w:sz="0" w:space="0" w:color="auto"/>
        <w:bottom w:val="none" w:sz="0" w:space="0" w:color="auto"/>
        <w:right w:val="none" w:sz="0" w:space="0" w:color="auto"/>
      </w:divBdr>
    </w:div>
    <w:div w:id="1742214214">
      <w:bodyDiv w:val="1"/>
      <w:marLeft w:val="0"/>
      <w:marRight w:val="0"/>
      <w:marTop w:val="0"/>
      <w:marBottom w:val="0"/>
      <w:divBdr>
        <w:top w:val="none" w:sz="0" w:space="0" w:color="auto"/>
        <w:left w:val="none" w:sz="0" w:space="0" w:color="auto"/>
        <w:bottom w:val="none" w:sz="0" w:space="0" w:color="auto"/>
        <w:right w:val="none" w:sz="0" w:space="0" w:color="auto"/>
      </w:divBdr>
    </w:div>
    <w:div w:id="1888106769">
      <w:bodyDiv w:val="1"/>
      <w:marLeft w:val="0"/>
      <w:marRight w:val="0"/>
      <w:marTop w:val="0"/>
      <w:marBottom w:val="0"/>
      <w:divBdr>
        <w:top w:val="none" w:sz="0" w:space="0" w:color="auto"/>
        <w:left w:val="none" w:sz="0" w:space="0" w:color="auto"/>
        <w:bottom w:val="none" w:sz="0" w:space="0" w:color="auto"/>
        <w:right w:val="none" w:sz="0" w:space="0" w:color="auto"/>
      </w:divBdr>
    </w:div>
    <w:div w:id="2036614852">
      <w:bodyDiv w:val="1"/>
      <w:marLeft w:val="0"/>
      <w:marRight w:val="0"/>
      <w:marTop w:val="0"/>
      <w:marBottom w:val="0"/>
      <w:divBdr>
        <w:top w:val="none" w:sz="0" w:space="0" w:color="auto"/>
        <w:left w:val="none" w:sz="0" w:space="0" w:color="auto"/>
        <w:bottom w:val="none" w:sz="0" w:space="0" w:color="auto"/>
        <w:right w:val="none" w:sz="0" w:space="0" w:color="auto"/>
      </w:divBdr>
      <w:divsChild>
        <w:div w:id="564265728">
          <w:marLeft w:val="547"/>
          <w:marRight w:val="0"/>
          <w:marTop w:val="0"/>
          <w:marBottom w:val="0"/>
          <w:divBdr>
            <w:top w:val="none" w:sz="0" w:space="0" w:color="auto"/>
            <w:left w:val="none" w:sz="0" w:space="0" w:color="auto"/>
            <w:bottom w:val="none" w:sz="0" w:space="0" w:color="auto"/>
            <w:right w:val="none" w:sz="0" w:space="0" w:color="auto"/>
          </w:divBdr>
        </w:div>
        <w:div w:id="1141340208">
          <w:marLeft w:val="547"/>
          <w:marRight w:val="0"/>
          <w:marTop w:val="0"/>
          <w:marBottom w:val="0"/>
          <w:divBdr>
            <w:top w:val="none" w:sz="0" w:space="0" w:color="auto"/>
            <w:left w:val="none" w:sz="0" w:space="0" w:color="auto"/>
            <w:bottom w:val="none" w:sz="0" w:space="0" w:color="auto"/>
            <w:right w:val="none" w:sz="0" w:space="0" w:color="auto"/>
          </w:divBdr>
        </w:div>
        <w:div w:id="1642033534">
          <w:marLeft w:val="446"/>
          <w:marRight w:val="0"/>
          <w:marTop w:val="0"/>
          <w:marBottom w:val="0"/>
          <w:divBdr>
            <w:top w:val="none" w:sz="0" w:space="0" w:color="auto"/>
            <w:left w:val="none" w:sz="0" w:space="0" w:color="auto"/>
            <w:bottom w:val="none" w:sz="0" w:space="0" w:color="auto"/>
            <w:right w:val="none" w:sz="0" w:space="0" w:color="auto"/>
          </w:divBdr>
        </w:div>
        <w:div w:id="1994674746">
          <w:marLeft w:val="446"/>
          <w:marRight w:val="0"/>
          <w:marTop w:val="0"/>
          <w:marBottom w:val="0"/>
          <w:divBdr>
            <w:top w:val="none" w:sz="0" w:space="0" w:color="auto"/>
            <w:left w:val="none" w:sz="0" w:space="0" w:color="auto"/>
            <w:bottom w:val="none" w:sz="0" w:space="0" w:color="auto"/>
            <w:right w:val="none" w:sz="0" w:space="0" w:color="auto"/>
          </w:divBdr>
        </w:div>
        <w:div w:id="1706562614">
          <w:marLeft w:val="446"/>
          <w:marRight w:val="0"/>
          <w:marTop w:val="0"/>
          <w:marBottom w:val="0"/>
          <w:divBdr>
            <w:top w:val="none" w:sz="0" w:space="0" w:color="auto"/>
            <w:left w:val="none" w:sz="0" w:space="0" w:color="auto"/>
            <w:bottom w:val="none" w:sz="0" w:space="0" w:color="auto"/>
            <w:right w:val="none" w:sz="0" w:space="0" w:color="auto"/>
          </w:divBdr>
        </w:div>
        <w:div w:id="1803499991">
          <w:marLeft w:val="446"/>
          <w:marRight w:val="0"/>
          <w:marTop w:val="0"/>
          <w:marBottom w:val="0"/>
          <w:divBdr>
            <w:top w:val="none" w:sz="0" w:space="0" w:color="auto"/>
            <w:left w:val="none" w:sz="0" w:space="0" w:color="auto"/>
            <w:bottom w:val="none" w:sz="0" w:space="0" w:color="auto"/>
            <w:right w:val="none" w:sz="0" w:space="0" w:color="auto"/>
          </w:divBdr>
        </w:div>
      </w:divsChild>
    </w:div>
    <w:div w:id="2108500375">
      <w:bodyDiv w:val="1"/>
      <w:marLeft w:val="0"/>
      <w:marRight w:val="0"/>
      <w:marTop w:val="0"/>
      <w:marBottom w:val="0"/>
      <w:divBdr>
        <w:top w:val="none" w:sz="0" w:space="0" w:color="auto"/>
        <w:left w:val="none" w:sz="0" w:space="0" w:color="auto"/>
        <w:bottom w:val="none" w:sz="0" w:space="0" w:color="auto"/>
        <w:right w:val="none" w:sz="0" w:space="0" w:color="auto"/>
      </w:divBdr>
    </w:div>
    <w:div w:id="21111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sere.fr/actualites/musee-dhistoire-de-vienne-le-coup-denvoi-est-donne" TargetMode="External"/><Relationship Id="rId2" Type="http://schemas.openxmlformats.org/officeDocument/2006/relationships/hyperlink" Target="https://icommuseum.com/fr/reseau/repertoire-des-comites/index%EF%B9%96type=218.html" TargetMode="External"/><Relationship Id="rId1" Type="http://schemas.openxmlformats.org/officeDocument/2006/relationships/hyperlink" Target="https://www.meg.ch/fr/propos-du-meg/changer-nom-du-meg" TargetMode="External"/><Relationship Id="rId5" Type="http://schemas.openxmlformats.org/officeDocument/2006/relationships/hyperlink" Target="https://www.lafonderie.be/musee-visites-et-activites/parcours-de-la-fonderie/" TargetMode="External"/><Relationship Id="rId4" Type="http://schemas.openxmlformats.org/officeDocument/2006/relationships/hyperlink" Target="https://geoconfluences.ens-lyon.fr/glossaire/effet-bilbao-ou-effet-guggenhei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5B1B-AF39-4EA3-9D0C-56672E32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1801</Words>
  <Characters>9711</Characters>
  <Application>Microsoft Office Word</Application>
  <DocSecurity>0</DocSecurity>
  <Lines>126</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Nicolas</dc:creator>
  <cp:keywords/>
  <dc:description/>
  <cp:lastModifiedBy>Navarro Nicolas</cp:lastModifiedBy>
  <cp:revision>13</cp:revision>
  <dcterms:created xsi:type="dcterms:W3CDTF">2024-12-19T14:07:00Z</dcterms:created>
  <dcterms:modified xsi:type="dcterms:W3CDTF">2024-12-23T09:20:00Z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id="Q8bCkmc3"/&gt;&lt;style id="http://www.zotero.org/styles/universite-de-liege-histoire" hasBibliography="1" bibliographyStyleHasBeenSet="0"/&gt;&lt;prefs&gt;&lt;pref name="fieldType" value="Field"/&gt;&lt;pref name="note</vt:lpwstr>
  </property>
  <property fmtid="{D5CDD505-2E9C-101B-9397-08002B2CF9AE}" pid="3" name="ZOTERO_PREF_2">
    <vt:lpwstr>Type" value="1"/&gt;&lt;/prefs&gt;&lt;/data&gt;</vt:lpwstr>
  </property>
</Properties>
</file>