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1F1C8C" w14:textId="6155B7BE" w:rsidR="00390D9B" w:rsidRPr="001F1634" w:rsidRDefault="003B7652" w:rsidP="00390D9B">
      <w:pPr>
        <w:pStyle w:val="Title"/>
      </w:pPr>
      <w:r>
        <w:t>How difficult is it to teach thermodynamics in tertiary education? T</w:t>
      </w:r>
      <w:r w:rsidR="00390D9B" w:rsidRPr="001F1634">
        <w:t xml:space="preserve">eachers’ opinions </w:t>
      </w:r>
      <w:r w:rsidR="00780A16" w:rsidRPr="001F1634">
        <w:t>and</w:t>
      </w:r>
      <w:r>
        <w:t xml:space="preserve"> </w:t>
      </w:r>
      <w:r w:rsidR="00CF5675">
        <w:t>predominance</w:t>
      </w:r>
      <w:r w:rsidR="00CF5675" w:rsidRPr="001F1634">
        <w:t xml:space="preserve"> </w:t>
      </w:r>
      <w:r w:rsidR="00066AE5" w:rsidRPr="001F1634">
        <w:t xml:space="preserve">of </w:t>
      </w:r>
      <w:r w:rsidR="00390D9B" w:rsidRPr="001F1634">
        <w:t xml:space="preserve">the disorder metaphor </w:t>
      </w:r>
    </w:p>
    <w:p w14:paraId="152214B4" w14:textId="77777777" w:rsidR="00390D9B" w:rsidRDefault="00390D9B" w:rsidP="00390D9B"/>
    <w:p w14:paraId="09F18297" w14:textId="0CC60DB3" w:rsidR="00A74584" w:rsidRDefault="00A74584" w:rsidP="00A74584">
      <w:pPr>
        <w:pStyle w:val="Title"/>
      </w:pPr>
      <w:r>
        <w:t>Abstract</w:t>
      </w:r>
    </w:p>
    <w:p w14:paraId="28C54620" w14:textId="24693F49" w:rsidR="009A2700" w:rsidRPr="009A2700" w:rsidRDefault="006A7C2A" w:rsidP="009A2700">
      <w:r w:rsidRPr="006A7C2A">
        <w:t xml:space="preserve">This study explores the challenges faced by university teachers in teaching thermodynamics, with a specific focus on entropy. </w:t>
      </w:r>
      <w:r w:rsidR="007003B4" w:rsidRPr="006A7C2A">
        <w:t xml:space="preserve">This study </w:t>
      </w:r>
      <w:r w:rsidR="007003B4">
        <w:t xml:space="preserve">completes and adds to current literature by providing self-reported perceptions of difficulty by teachers, which is </w:t>
      </w:r>
      <w:r w:rsidR="003D30DF">
        <w:t xml:space="preserve">lacking </w:t>
      </w:r>
      <w:r w:rsidR="007003B4">
        <w:t xml:space="preserve">compared to students’ opinions in this area of research. </w:t>
      </w:r>
      <w:r w:rsidRPr="006A7C2A">
        <w:t xml:space="preserve">Through a survey of </w:t>
      </w:r>
      <w:r>
        <w:t>41</w:t>
      </w:r>
      <w:r w:rsidRPr="006A7C2A">
        <w:t xml:space="preserve"> French-speaking thermodynamics</w:t>
      </w:r>
      <w:r w:rsidR="001B0654">
        <w:t xml:space="preserve"> teachers </w:t>
      </w:r>
      <w:r w:rsidRPr="006A7C2A">
        <w:t>in Belgium</w:t>
      </w:r>
      <w:r>
        <w:t xml:space="preserve"> (N = 26 full answers, N = 15 partial answers)</w:t>
      </w:r>
      <w:r w:rsidRPr="006A7C2A">
        <w:t xml:space="preserve">, we </w:t>
      </w:r>
      <w:r w:rsidR="001B0654">
        <w:t xml:space="preserve">report </w:t>
      </w:r>
      <w:r w:rsidR="00311886">
        <w:t>various</w:t>
      </w:r>
      <w:r w:rsidRPr="006A7C2A">
        <w:t xml:space="preserve"> obstacles</w:t>
      </w:r>
      <w:r w:rsidR="001B0654">
        <w:t xml:space="preserve"> in thermodynamics</w:t>
      </w:r>
      <w:r w:rsidRPr="006A7C2A">
        <w:t xml:space="preserve"> </w:t>
      </w:r>
      <w:r w:rsidR="001B0654">
        <w:t xml:space="preserve">identified by instructors, </w:t>
      </w:r>
      <w:r w:rsidRPr="006A7C2A">
        <w:t xml:space="preserve">including </w:t>
      </w:r>
      <w:r w:rsidR="00311886">
        <w:t xml:space="preserve">content aspects such as </w:t>
      </w:r>
      <w:r w:rsidRPr="006A7C2A">
        <w:t>the</w:t>
      </w:r>
      <w:r w:rsidR="003D30DF">
        <w:t xml:space="preserve">ir </w:t>
      </w:r>
      <w:r w:rsidRPr="006A7C2A">
        <w:t>abstract nature</w:t>
      </w:r>
      <w:r w:rsidR="00311886">
        <w:t>, but diverging opinions on mathematical difficulties</w:t>
      </w:r>
      <w:r w:rsidR="00CF5675">
        <w:t xml:space="preserve">. For </w:t>
      </w:r>
      <w:r w:rsidR="00311886">
        <w:t xml:space="preserve">teaching management aspects, </w:t>
      </w:r>
      <w:r w:rsidR="003D30DF">
        <w:t>instructors</w:t>
      </w:r>
      <w:r w:rsidR="00311886">
        <w:t xml:space="preserve"> report having enough resources, except maybe too many non-teaching tasks</w:t>
      </w:r>
      <w:r w:rsidRPr="006A7C2A">
        <w:t xml:space="preserve">. </w:t>
      </w:r>
      <w:r w:rsidR="007003B4">
        <w:t>For entropy</w:t>
      </w:r>
      <w:r w:rsidR="008738F5">
        <w:t xml:space="preserve"> specifically</w:t>
      </w:r>
      <w:r w:rsidR="007003B4">
        <w:t>, instructors</w:t>
      </w:r>
      <w:r w:rsidRPr="006A7C2A">
        <w:t xml:space="preserve"> report that </w:t>
      </w:r>
      <w:r w:rsidR="007003B4">
        <w:t>it</w:t>
      </w:r>
      <w:r w:rsidRPr="006A7C2A">
        <w:t xml:space="preserve"> is challenging due to its abstractness, lack of perceptibility, and the disconnect</w:t>
      </w:r>
      <w:r w:rsidR="008738F5">
        <w:t>ion</w:t>
      </w:r>
      <w:r w:rsidRPr="006A7C2A">
        <w:t xml:space="preserve"> between macroscopic and microscopic perspectives</w:t>
      </w:r>
      <w:r w:rsidR="007003B4">
        <w:t>, among others.</w:t>
      </w:r>
      <w:r w:rsidRPr="006A7C2A">
        <w:t xml:space="preserve"> 77% of respondents use the disorder metaphor</w:t>
      </w:r>
      <w:r w:rsidR="00333200">
        <w:t xml:space="preserve">. Invoked reasons </w:t>
      </w:r>
      <w:proofErr w:type="spellStart"/>
      <w:r w:rsidR="00333200">
        <w:t>includehelping</w:t>
      </w:r>
      <w:proofErr w:type="spellEnd"/>
      <w:r w:rsidRPr="006A7C2A">
        <w:t xml:space="preserve"> students visualize entropy</w:t>
      </w:r>
      <w:r w:rsidR="00333200">
        <w:t xml:space="preserve">, </w:t>
      </w:r>
      <w:r w:rsidR="007003B4">
        <w:t>make it simpler</w:t>
      </w:r>
      <w:r w:rsidR="00333200">
        <w:t>, or make it more concrete.</w:t>
      </w:r>
      <w:r w:rsidR="003D30DF">
        <w:t xml:space="preserve"> and</w:t>
      </w:r>
      <w:r w:rsidRPr="006A7C2A">
        <w:t xml:space="preserve">. </w:t>
      </w:r>
      <w:r w:rsidR="007003B4">
        <w:t xml:space="preserve">Comparison between teachers’ opinions and students’ opinions reported by </w:t>
      </w:r>
      <w:proofErr w:type="spellStart"/>
      <w:r w:rsidR="007003B4">
        <w:t>Sözbilir</w:t>
      </w:r>
      <w:proofErr w:type="spellEnd"/>
      <w:r w:rsidR="007003B4">
        <w:t xml:space="preserve"> (2004) shows agreements on some difficulties, but also tensions, such as the pedagogical relevance of the lecture format</w:t>
      </w:r>
      <w:r w:rsidR="003D30DF">
        <w:t xml:space="preserve"> or the need for links with everyday life.</w:t>
      </w:r>
    </w:p>
    <w:p w14:paraId="65ED1907" w14:textId="2E037D00" w:rsidR="00066AE5" w:rsidRPr="001F1634" w:rsidRDefault="00066AE5" w:rsidP="00066AE5">
      <w:pPr>
        <w:pStyle w:val="Title"/>
      </w:pPr>
      <w:r w:rsidRPr="001F1634">
        <w:t xml:space="preserve">Introduction </w:t>
      </w:r>
    </w:p>
    <w:p w14:paraId="3AE55235" w14:textId="5D0E41FB" w:rsidR="00922725" w:rsidRDefault="003B7652" w:rsidP="00922725">
      <w:r>
        <w:t xml:space="preserve">Teaching thermodynamics </w:t>
      </w:r>
      <w:r w:rsidR="003B6B22">
        <w:t>poses</w:t>
      </w:r>
      <w:r w:rsidR="00284617">
        <w:t xml:space="preserve"> multiple</w:t>
      </w:r>
      <w:r w:rsidR="003B6B22">
        <w:t xml:space="preserve"> didactical challenge</w:t>
      </w:r>
      <w:r w:rsidR="006761E6">
        <w:t>s</w:t>
      </w:r>
      <w:r w:rsidR="003B6B22">
        <w:t>.</w:t>
      </w:r>
      <w:r w:rsidR="00284617">
        <w:t xml:space="preserve"> The most recent review by </w:t>
      </w:r>
      <w:r w:rsidR="00284617">
        <w:fldChar w:fldCharType="begin"/>
      </w:r>
      <w:r w:rsidR="00B70426">
        <w:instrText xml:space="preserve"> ADDIN ZOTERO_ITEM CSL_CITATION {"citationID":"xYXicpKE","properties":{"formattedCitation":"(Bain et al., 2014)","plainCitation":"(Bain et al., 2014)","dontUpdate":true,"noteIndex":0},"citationItems":[{"id":225,"uris":["http://zotero.org/users/13843693/items/FDH373PD"],"itemData":{"id":225,"type":"article-journal","abstract":"We review previous research on the teaching and learning of thermodynamics in upper-level, undergraduate settings. As chemistry education researchers we use physical chemistry as a context for understanding the literature. During our synthesis four themes of research emerged: factors that influence student success in learning thermodynamics, understanding thermodynamics through mathematical concepts and representations, student reasoning using the particulate nature of matter, and students' alternative thermodynamic conceptions. We also draw from literature in physics education research, engineering education research, and research on undergraduate mathematics education communities to widen our perspective on the teaching and learning of thermodynamics across disciplines. Following our presentation of studies, we discuss gaps in the literature and directions for new research in line with the recommendations of the National Research Council's (2012) recent report on Discipline-Based Education Research. We also discuss implications for practice which we hope will provide increased pedagogical support for teaching thermodynamics in upper-level, undergraduate settings, especially physical chemistry.","container-title":"Chem. Educ. Res. Pract.","DOI":"10.1039/C4RP00011K","ISSN":"1109-4028, 1756-1108","issue":"3","journalAbbreviation":"Chem. Educ. Res. Pract.","language":"en","page":"320-335","source":"DOI.org (Crossref)","title":"A review of research on the teaching and learning of thermodynamics at the university level","volume":"15","author":[{"family":"Bain","given":"Kinsey"},{"family":"Moon","given":"Alena"},{"family":"Mack","given":"Michael R."},{"family":"Towns","given":"Marcy H."}],"issued":{"date-parts":[["2014"]]}}}],"schema":"https://github.com/citation-style-language/schema/raw/master/csl-citation.json"} </w:instrText>
      </w:r>
      <w:r w:rsidR="00284617">
        <w:fldChar w:fldCharType="separate"/>
      </w:r>
      <w:r w:rsidR="00284617" w:rsidRPr="00284617">
        <w:rPr>
          <w:rFonts w:ascii="Aptos" w:hAnsi="Aptos"/>
        </w:rPr>
        <w:t>Bain et al.</w:t>
      </w:r>
      <w:r w:rsidR="00284617">
        <w:rPr>
          <w:rFonts w:ascii="Aptos" w:hAnsi="Aptos"/>
        </w:rPr>
        <w:t xml:space="preserve"> (</w:t>
      </w:r>
      <w:r w:rsidR="00284617" w:rsidRPr="00284617">
        <w:rPr>
          <w:rFonts w:ascii="Aptos" w:hAnsi="Aptos"/>
        </w:rPr>
        <w:t>2014)</w:t>
      </w:r>
      <w:r w:rsidR="00284617">
        <w:fldChar w:fldCharType="end"/>
      </w:r>
      <w:r w:rsidR="003B6B22">
        <w:t xml:space="preserve"> </w:t>
      </w:r>
      <w:r w:rsidR="00284617">
        <w:t xml:space="preserve">concludes that four themes </w:t>
      </w:r>
      <w:r w:rsidR="00F10D5A">
        <w:t xml:space="preserve">of future research </w:t>
      </w:r>
      <w:r w:rsidR="00284617">
        <w:t xml:space="preserve">stem from </w:t>
      </w:r>
      <w:r w:rsidR="006761E6">
        <w:t xml:space="preserve">the review of </w:t>
      </w:r>
      <w:r w:rsidR="00284617">
        <w:t>literature: “</w:t>
      </w:r>
      <w:r w:rsidR="00284617" w:rsidRPr="00284617">
        <w:rPr>
          <w:i/>
          <w:iCs/>
        </w:rPr>
        <w:t xml:space="preserve">factors influencing student success in physical chemistry, the mathematics of physical chemistry, students’ reasoning using the </w:t>
      </w:r>
      <w:r w:rsidR="006761E6">
        <w:rPr>
          <w:i/>
          <w:iCs/>
        </w:rPr>
        <w:t>[particulate nature of matter]</w:t>
      </w:r>
      <w:r w:rsidR="00284617" w:rsidRPr="00284617">
        <w:rPr>
          <w:i/>
          <w:iCs/>
        </w:rPr>
        <w:t>, and students’ alternative conceptions of the First, Second, and Third Laws of Thermodynamics, spontaneity, and equilibrium</w:t>
      </w:r>
      <w:r w:rsidR="00284617" w:rsidRPr="00284617">
        <w:t>.</w:t>
      </w:r>
      <w:r w:rsidR="00284617">
        <w:t>”</w:t>
      </w:r>
      <w:r w:rsidR="00F10D5A">
        <w:t xml:space="preserve"> This study is part of the first theme, as it will explore teachers’ conceptions of students’ difficulties. Research in thermodynamics education has often focused</w:t>
      </w:r>
      <w:r w:rsidR="00F10D5A" w:rsidRPr="001F1634">
        <w:t xml:space="preserve"> on student difficulties </w:t>
      </w:r>
      <w:r w:rsidR="00F10D5A" w:rsidRPr="001F1634">
        <w:fldChar w:fldCharType="begin"/>
      </w:r>
      <w:r w:rsidR="00F10D5A" w:rsidRPr="001F1634">
        <w:instrText xml:space="preserve"> ADDIN ZOTERO_ITEM CSL_CITATION {"citationID":"8M56ct0r","properties":{"formattedCitation":"(Bain et al., 2014; Sreenivasulu &amp; Subramaniam, 2013)","plainCitation":"(Bain et al., 2014; Sreenivasulu &amp; Subramaniam, 2013)","noteIndex":0},"citationItems":[{"id":225,"uris":["http://zotero.org/users/13843693/items/FDH373PD"],"itemData":{"id":225,"type":"article-journal","abstract":"We review previous research on the teaching and learning of thermodynamics in upper-level, undergraduate settings. As chemistry education researchers we use physical chemistry as a context for understanding the literature. During our synthesis four themes of research emerged: factors that influence student success in learning thermodynamics, understanding thermodynamics through mathematical concepts and representations, student reasoning using the particulate nature of matter, and students' alternative thermodynamic conceptions. We also draw from literature in physics education research, engineering education research, and research on undergraduate mathematics education communities to widen our perspective on the teaching and learning of thermodynamics across disciplines. Following our presentation of studies, we discuss gaps in the literature and directions for new research in line with the recommendations of the National Research Council's (2012) recent report on Discipline-Based Education Research. We also discuss implications for practice which we hope will provide increased pedagogical support for teaching thermodynamics in upper-level, undergraduate settings, especially physical chemistry.","container-title":"Chem. Educ. Res. Pract.","DOI":"10.1039/C4RP00011K","ISSN":"1109-4028, 1756-1108","issue":"3","journalAbbreviation":"Chem. Educ. Res. Pract.","language":"en","page":"320-335","source":"DOI.org (Crossref)","title":"A review of research on the teaching and learning of thermodynamics at the university level","volume":"15","author":[{"family":"Bain","given":"Kinsey"},{"family":"Moon","given":"Alena"},{"family":"Mack","given":"Michael R."},{"family":"Towns","given":"Marcy H."}],"issued":{"date-parts":[["2014"]]}}},{"id":276,"uris":["http://zotero.org/users/13843693/items/PTMZ2GMB"],"itemData":{"id":276,"type":"article-journal","container-title":"International Journal of Science Education","DOI":"10.1080/09500693.2012.683460","ISSN":"0950-0693, 1464-5289","issue":"4","journalAbbreviation":"International Journal of Science Education","language":"en","page":"601-635","source":"DOI.org (Crossref)","title":"University Students’ Understanding of Chemical Thermodynamics","volume":"35","author":[{"family":"Sreenivasulu","given":"Bellam"},{"family":"Subramaniam","given":"R."}],"issued":{"date-parts":[["2013",3]]}}}],"schema":"https://github.com/citation-style-language/schema/raw/master/csl-citation.json"} </w:instrText>
      </w:r>
      <w:r w:rsidR="00F10D5A" w:rsidRPr="001F1634">
        <w:fldChar w:fldCharType="separate"/>
      </w:r>
      <w:r w:rsidR="00F10D5A" w:rsidRPr="001F1634">
        <w:rPr>
          <w:rFonts w:ascii="Aptos" w:hAnsi="Aptos"/>
        </w:rPr>
        <w:t>(Bain et al., 2014; Sreenivasulu &amp; Subramaniam, 2013)</w:t>
      </w:r>
      <w:r w:rsidR="00F10D5A" w:rsidRPr="001F1634">
        <w:fldChar w:fldCharType="end"/>
      </w:r>
      <w:r w:rsidR="00F10D5A" w:rsidRPr="001F1634">
        <w:t xml:space="preserve">, the order in which to </w:t>
      </w:r>
      <w:r>
        <w:t>introduce</w:t>
      </w:r>
      <w:r w:rsidRPr="001F1634">
        <w:t xml:space="preserve"> </w:t>
      </w:r>
      <w:r w:rsidR="00F10D5A" w:rsidRPr="001F1634">
        <w:t xml:space="preserve">concepts </w:t>
      </w:r>
      <w:r w:rsidR="00F10D5A" w:rsidRPr="001F1634">
        <w:fldChar w:fldCharType="begin"/>
      </w:r>
      <w:r w:rsidR="00903A9C">
        <w:instrText xml:space="preserve"> ADDIN ZOTERO_ITEM CSL_CITATION {"citationID":"wl8h6PE5","properties":{"formattedCitation":"(Tsaparlis, 2016)","plainCitation":"(Tsaparlis, 2016)","noteIndex":0},"citationItems":[{"id":"eiNidD72/Qg40fS6P","uris":["http://zotero.org/users/13843693/items/3WRRLWES"],"itemData":{"id":375,"type":"article-journal","abstract":"In a previous publication, Jensen's scheme for the logical structure of chemistry was employed to identify a logical structure for physical chemistry, which was further used as a tool for analyzing the organization of twenty physical chemistry textbooks. In addition, science education research was considered for the study of the psychological structure of physical chemistry. In this companion paper, the findings are presented of a semi-structured interview study with seventeen chemistry graduates, which aimed to find out their opinion about the difficulties of the various areas of physical chemistry, their disposition towards the subject, and their explanations for the difficulties identified, and in this way to study further the psychological structure of physical chemistry. A mixture of an intensive inductive and a confirmatory data analysis was carried out that revealed ideas and trends and allowed for a reliable portrait of learners to emerge by identifying similarities and differences in the data. Students unanimously found the phenomenological subjects (classical thermodynamics, electrochemistry, chemical kinetics) easier than the submicroscopic subjects of quantum chemistry and statistical thermodynamics. The reasons invoked included that the latter subjects deal with more difficult and abstract concepts, and also their highly mathematical nature. Many students found classical thermodynamics simpler than quantum chemistry, because it “has logic”, includes “tangible examples”, and they had encountered related topics before (especially in high school). The findings for electrochemistry and chemical kinetics were more or less similar to those for classical thermodynamics. Implications, generalizability, and limitations of the findings and prospects for further research are discussed.","container-title":"Chemistry Education Research and Practice","DOI":"10.1039/C5RP00203F","ISSN":"1109-4028, 1756-1108","issue":"2","journalAbbreviation":"Chem. Educ. Res. Pract.","language":"en","page":"320-336","source":"DOI.org (Crossref)","title":"The logical and psychological structure of physical chemistry and its relevance to graduate students' opinions about the difficulties of the major areas of the subject","volume":"17","author":[{"family":"Tsaparlis","given":"Georgios"}],"issued":{"date-parts":[["2016"]]}}}],"schema":"https://github.com/citation-style-language/schema/raw/master/csl-citation.json"} </w:instrText>
      </w:r>
      <w:r w:rsidR="00F10D5A" w:rsidRPr="001F1634">
        <w:fldChar w:fldCharType="separate"/>
      </w:r>
      <w:r w:rsidR="00F10D5A" w:rsidRPr="00B70426">
        <w:rPr>
          <w:rFonts w:ascii="Aptos" w:hAnsi="Aptos"/>
        </w:rPr>
        <w:t>(Tsaparlis, 2016)</w:t>
      </w:r>
      <w:r w:rsidR="00F10D5A" w:rsidRPr="001F1634">
        <w:fldChar w:fldCharType="end"/>
      </w:r>
      <w:r>
        <w:t>,</w:t>
      </w:r>
      <w:r w:rsidR="00F10D5A">
        <w:t xml:space="preserve"> or </w:t>
      </w:r>
      <w:r w:rsidR="00F10D5A" w:rsidRPr="001F1634">
        <w:t xml:space="preserve"> conceptual change </w:t>
      </w:r>
      <w:r w:rsidR="00F10D5A" w:rsidRPr="001F1634">
        <w:fldChar w:fldCharType="begin"/>
      </w:r>
      <w:r w:rsidR="00F10D5A">
        <w:instrText xml:space="preserve"> ADDIN ZOTERO_ITEM CSL_CITATION {"citationID":"B3FHz30q","properties":{"formattedCitation":"(L. Partanen, 2016)","plainCitation":"(L. Partanen, 2016)","dontUpdate":true,"noteIndex":0},"citationItems":[{"id":181,"uris":["http://zotero.org/users/13843693/items/HXNAAGKJ"],"itemData":{"id":181,"type":"article-journal","abstract":"The aim of this study was to apply current pedagogical research in order to develop an effective course and exercise structure for a physical chemistry thermodynamics course intended for second or third year university students of chemistry. A mixed-method approach was used to measure the impact the changes had on student learning. In its final form in 2014, the course consisted of lectures following a broken lecture structure that incorporated different kinds of activating learning tasks, and a three-tiered exercise structure including qualitative and quantitative tasks with a large emphasis on collaborative problem-solving. The new lecture and exercise structures improved student learning as measured by students' exercise points, exam results, and, between 2013 and 2014, the results of a conceptual thermodynamics test the students took at the beginning and end of the course. Even though the new exercise structure increased students' motivation, positive affect and satisfaction with the course, in both 2013 and 2014, it was the interactive lecture structure that students reported to be the most beneficial part of the course. In light of these results, this study demonstrates the advantages on student learning of adopting a multifaceted approach to both lectures and exercises.","container-title":"Chemistry Education Research and Practice","DOI":"10.1039/C6RP00049E","ISSN":"1109-4028, 1756-1108","issue":"4","journalAbbreviation":"Chem. Educ. Res. Pract.","language":"en","page":"766-787","source":"DOI.org (Crossref)","title":"Student oriented approaches in the teaching of thermodynamics at universities – developing an effective course structure","volume":"17","author":[{"family":"Partanen","given":"Lauri"}],"issued":{"date-parts":[["2016"]]}}}],"schema":"https://github.com/citation-style-language/schema/raw/master/csl-citation.json"} </w:instrText>
      </w:r>
      <w:r w:rsidR="00F10D5A" w:rsidRPr="001F1634">
        <w:fldChar w:fldCharType="separate"/>
      </w:r>
      <w:r w:rsidR="00F10D5A" w:rsidRPr="001F1634">
        <w:rPr>
          <w:rFonts w:ascii="Aptos" w:hAnsi="Aptos"/>
        </w:rPr>
        <w:t>(</w:t>
      </w:r>
      <w:r w:rsidR="00F10D5A">
        <w:rPr>
          <w:rFonts w:ascii="Aptos" w:hAnsi="Aptos"/>
        </w:rPr>
        <w:t xml:space="preserve">e.g. </w:t>
      </w:r>
      <w:r w:rsidR="00F10D5A" w:rsidRPr="001F1634">
        <w:rPr>
          <w:rFonts w:ascii="Aptos" w:hAnsi="Aptos"/>
        </w:rPr>
        <w:t>L. Partanen, 2016)</w:t>
      </w:r>
      <w:r w:rsidR="00F10D5A" w:rsidRPr="001F1634">
        <w:fldChar w:fldCharType="end"/>
      </w:r>
      <w:r w:rsidR="00F10D5A" w:rsidRPr="001F1634">
        <w:t>,</w:t>
      </w:r>
      <w:r w:rsidR="00F10D5A">
        <w:t xml:space="preserve"> </w:t>
      </w:r>
      <w:r w:rsidR="00F10D5A" w:rsidRPr="001F1634">
        <w:t xml:space="preserve">but less so on </w:t>
      </w:r>
      <w:r w:rsidR="00F10D5A">
        <w:t>teaching difficulties</w:t>
      </w:r>
      <w:r>
        <w:t xml:space="preserve"> felt by instructors</w:t>
      </w:r>
      <w:r w:rsidR="00F10D5A">
        <w:t>. T</w:t>
      </w:r>
      <w:r w:rsidR="00105B5A" w:rsidRPr="001F1634">
        <w:t>he existence of two competing ways</w:t>
      </w:r>
      <w:r>
        <w:t xml:space="preserve"> (classical vs. statistical)</w:t>
      </w:r>
      <w:r w:rsidR="00105B5A" w:rsidRPr="001F1634">
        <w:t xml:space="preserve"> to teach thermodynamics </w:t>
      </w:r>
      <w:r w:rsidR="00F10D5A">
        <w:t xml:space="preserve">also </w:t>
      </w:r>
      <w:r w:rsidR="00105B5A" w:rsidRPr="001F1634">
        <w:t>emphasize</w:t>
      </w:r>
      <w:r>
        <w:t>s</w:t>
      </w:r>
      <w:r w:rsidR="00105B5A" w:rsidRPr="001F1634">
        <w:t xml:space="preserve"> the classical difficulty of </w:t>
      </w:r>
      <w:r>
        <w:t xml:space="preserve">combining the </w:t>
      </w:r>
      <w:r w:rsidR="00105B5A" w:rsidRPr="001F1634">
        <w:t>macroscopic</w:t>
      </w:r>
      <w:r>
        <w:t xml:space="preserve"> and </w:t>
      </w:r>
      <w:r w:rsidR="00105B5A" w:rsidRPr="001F1634">
        <w:t xml:space="preserve">microscopic </w:t>
      </w:r>
      <w:r w:rsidR="006761E6">
        <w:t>points of view</w:t>
      </w:r>
      <w:r w:rsidR="00105B5A" w:rsidRPr="001F1634">
        <w:t xml:space="preserve"> in chemistry </w:t>
      </w:r>
      <w:r w:rsidR="00105B5A" w:rsidRPr="001F1634">
        <w:fldChar w:fldCharType="begin"/>
      </w:r>
      <w:r w:rsidR="00440F9D">
        <w:instrText xml:space="preserve"> ADDIN ZOTERO_ITEM CSL_CITATION {"citationID":"yPn1Ww3m","properties":{"formattedCitation":"(Johnstone, 1991; Taber, 2013)","plainCitation":"(Johnstone, 1991; Taber, 2013)","noteIndex":0},"citationItems":[{"id":227,"uris":["http://zotero.org/users/13843693/items/72ZQ3FXC"],"itemData":{"id":227,"type":"article-journal","abstract":"The difficulties of learning science are related to the nature of science itself and to the methods by which science is customarily taught without regard to what is known about children’slearning. An information processing model is proposed to guide thinking and research in this area.","container-title":"Journal of Computer Assisted Learning","DOI":"10.1111/j.1365-2729.1991.tb00230.x","ISSN":"0266-4909, 1365-2729","issue":"2","journalAbbreviation":"Computer Assisted Learning","language":"en","page":"75-83","source":"DOI.org (Crossref)","title":"Why is science difficult to learn? Things are seldom what they seem","title-short":"Why is science difficult to learn?","volume":"7","author":[{"family":"Johnstone","given":"A. H."}],"issued":{"date-parts":[["1991",6]]}}},{"id":564,"uris":["http://zotero.org/users/13843693/items/XNDHUQVZ"],"itemData":{"id":564,"type":"article-journal","container-title":"Chemistry Education Research and Practice","DOI":"10.1039/C3RP00012E","ISSN":"1109-4028, 1756-1108","issue":"2","journalAbbreviation":"Chem. Educ. Res. Pract.","language":"en","page":"156-168","source":"DOI.org (Crossref)","title":"Revisiting the chemistry triplet: drawing upon the nature of chemical knowledge and the psychology of learning to inform chemistry education","title-short":"Revisiting the chemistry triplet","volume":"14","author":[{"family":"Taber","given":"Keith S."}],"issued":{"date-parts":[["2013"]]}}}],"schema":"https://github.com/citation-style-language/schema/raw/master/csl-citation.json"} </w:instrText>
      </w:r>
      <w:r w:rsidR="00105B5A" w:rsidRPr="001F1634">
        <w:fldChar w:fldCharType="separate"/>
      </w:r>
      <w:r w:rsidR="00105B5A" w:rsidRPr="001F1634">
        <w:rPr>
          <w:rFonts w:ascii="Aptos" w:hAnsi="Aptos"/>
        </w:rPr>
        <w:t>(Johnstone, 1991; Taber, 2013)</w:t>
      </w:r>
      <w:r w:rsidR="00105B5A" w:rsidRPr="001F1634">
        <w:fldChar w:fldCharType="end"/>
      </w:r>
      <w:r w:rsidR="00105B5A" w:rsidRPr="001F1634">
        <w:t>. A key solution to this problem appears to be the use of simulation</w:t>
      </w:r>
      <w:r>
        <w:t>s</w:t>
      </w:r>
      <w:r w:rsidR="00105B5A" w:rsidRPr="001F1634">
        <w:t xml:space="preserve"> to alleviate mathematical complexity and promote the transition between the two point</w:t>
      </w:r>
      <w:r w:rsidR="006761E6">
        <w:t>s</w:t>
      </w:r>
      <w:r w:rsidR="00105B5A" w:rsidRPr="001F1634">
        <w:t xml:space="preserve"> of view (e.g. </w:t>
      </w:r>
      <w:r w:rsidR="00105B5A" w:rsidRPr="001F1634">
        <w:fldChar w:fldCharType="begin"/>
      </w:r>
      <w:r w:rsidR="001A296A">
        <w:instrText xml:space="preserve"> ADDIN ZOTERO_ITEM CSL_CITATION {"citationID":"oBaHPMko","properties":{"formattedCitation":"(Zwier, 2018)","plainCitation":"(Zwier, 2018)","dontUpdate":true,"noteIndex":0},"citationItems":[{"id":661,"uris":["http://zotero.org/users/13843693/items/6FH3UDZ8"],"itemData":{"id":661,"type":"chapter","abstract":"Because thermodynamics is concerned more with energy transfer than energy itself, a static picture of atoms and molecules is insufficient to explain thermodynamics; rather, the dynamics of atoms and molecules and how those dynamics are involved in the exchange of energy would seem to be necessary.","container-title":"ACS Symposium Series","event-place":"Washington, DC","ISBN":"978-0-8412-3288-4","language":"en","note":"DOI: 10.1021/bk-2018-1279.ch003","page":"33-48","publisher":"American Chemical Society","publisher-place":"Washington, DC","source":"DOI.org (Crossref)","title":"Bridging the Microscopic and Macroscopic in Thermodynamics with Molecular Dynamics Simulations: Lab Exercises for Undergraduate Physical Chemistry","title-short":"Bridging the Microscopic and Macroscopic in Thermodynamics with Molecular Dynamics Simulations","URL":"https://pubs.acs.org/doi/abs/10.1021/bk-2018-1279.ch003","volume":"1279","editor":[{"family":"Teague","given":"Craig M."},{"family":"Gardner","given":"David E."}],"author":[{"family":"Zwier","given":"Matthew C."}],"accessed":{"date-parts":[["2024",6,12]]},"issued":{"date-parts":[["2018",1]]}}}],"schema":"https://github.com/citation-style-language/schema/raw/master/csl-citation.json"} </w:instrText>
      </w:r>
      <w:r w:rsidR="00105B5A" w:rsidRPr="001F1634">
        <w:fldChar w:fldCharType="separate"/>
      </w:r>
      <w:r w:rsidR="00105B5A" w:rsidRPr="001F1634">
        <w:rPr>
          <w:rFonts w:ascii="Aptos" w:hAnsi="Aptos"/>
        </w:rPr>
        <w:t>Zwier, 2018</w:t>
      </w:r>
      <w:r w:rsidR="00105B5A" w:rsidRPr="001F1634">
        <w:fldChar w:fldCharType="end"/>
      </w:r>
      <w:r w:rsidR="00EA3350" w:rsidRPr="001F1634">
        <w:t xml:space="preserve">). </w:t>
      </w:r>
      <w:r w:rsidR="00105B5A" w:rsidRPr="001F1634">
        <w:t xml:space="preserve">Students often lack motivation </w:t>
      </w:r>
      <w:r w:rsidR="00105B5A" w:rsidRPr="001F1634">
        <w:lastRenderedPageBreak/>
        <w:t xml:space="preserve">towards thermodynamics </w:t>
      </w:r>
      <w:r w:rsidR="00105B5A" w:rsidRPr="001F1634">
        <w:fldChar w:fldCharType="begin"/>
      </w:r>
      <w:r w:rsidR="00105B5A" w:rsidRPr="001F1634">
        <w:instrText xml:space="preserve"> ADDIN ZOTERO_ITEM CSL_CITATION {"citationID":"4c0XbIFy","properties":{"formattedCitation":"(Donnelly &amp; Hern\\uc0\\u225{}ndez, 2018)","plainCitation":"(Donnelly &amp; Hernández, 2018)","noteIndex":0},"citationItems":[{"id":556,"uris":["http://zotero.org/users/13843693/items/QLII8Z6T"],"itemData":{"id":556,"type":"article-journal","abstract":"Physical chemistry students often have negative perceptions and low expectations for success in physical chemistry, attitudes that likely affect their performance in the course. Despite the results of several studies indicating increased positive perception of physical chemistry when active learning strategies are used, a recent survey of faculty in the U.S. revealed the continued prevalence of instructor-centered approaches in physical chemistry. In order to reveal a deeper understanding of student experiences in an active learning physical chemistry course, we present a phenomenological study of students’ perceptions of physical chemistry when the course is completely redesigned using active learning strategies. Using the flipped classroom, an active learning space, cooperative learning, and alternative assessments, we emphasized fundamental concepts and encouraged students to take responsibility for their learning. Based on open-ended surveys and interviews with students, we found that students struggled with the transition, but had some significant positive perceptions of the approach. This is in agreement with previous studies of physical chemistry courses in which cooperative learning was the focus. As part of a larger study of the effectiveness of this course redesign, we show how students perceive the effectiveness of these strategies and how they react to them. In addition, we discuss the implications of these findings for the active learning physical chemistry classroom.","container-title":"Chemistry Education Research and Practice","DOI":"10.1039/C7RP00186J","ISSN":"1109-4028, 1756-1108","issue":"2","journalAbbreviation":"Chem. Educ. Res. Pract.","language":"en","page":"520-532","source":"DOI.org (Crossref)","title":"Fusing a reversed and informal learning scheme and space: student perceptions of active learning in physical chemistry","title-short":"Fusing a reversed and informal learning scheme and space","volume":"19","author":[{"family":"Donnelly","given":"Julie"},{"family":"Hernández","given":"Florencio E."}],"issued":{"date-parts":[["2018"]]}}}],"schema":"https://github.com/citation-style-language/schema/raw/master/csl-citation.json"} </w:instrText>
      </w:r>
      <w:r w:rsidR="00105B5A" w:rsidRPr="001F1634">
        <w:fldChar w:fldCharType="separate"/>
      </w:r>
      <w:r w:rsidR="00105B5A" w:rsidRPr="001F1634">
        <w:rPr>
          <w:rFonts w:ascii="Aptos" w:hAnsi="Aptos" w:cs="Times New Roman"/>
          <w:kern w:val="0"/>
        </w:rPr>
        <w:t>(Donnelly &amp; Hernández, 2018)</w:t>
      </w:r>
      <w:r w:rsidR="00105B5A" w:rsidRPr="001F1634">
        <w:fldChar w:fldCharType="end"/>
      </w:r>
      <w:r w:rsidR="00105B5A" w:rsidRPr="001F1634">
        <w:t xml:space="preserve"> and this might be</w:t>
      </w:r>
      <w:r>
        <w:t>, at least in part,</w:t>
      </w:r>
      <w:r w:rsidR="00105B5A" w:rsidRPr="001F1634">
        <w:t xml:space="preserve"> attributable to </w:t>
      </w:r>
      <w:r>
        <w:t xml:space="preserve">the </w:t>
      </w:r>
      <w:r w:rsidR="00105B5A" w:rsidRPr="001F1634">
        <w:t>pedagogical choice</w:t>
      </w:r>
      <w:r>
        <w:t>s</w:t>
      </w:r>
      <w:r w:rsidR="00105B5A" w:rsidRPr="001F1634">
        <w:t xml:space="preserve"> </w:t>
      </w:r>
      <w:r>
        <w:t>of</w:t>
      </w:r>
      <w:r w:rsidRPr="001F1634">
        <w:t xml:space="preserve"> </w:t>
      </w:r>
      <w:r w:rsidR="00105B5A" w:rsidRPr="001F1634">
        <w:t>the teachers</w:t>
      </w:r>
      <w:r w:rsidR="006761E6">
        <w:t>. These choices are often</w:t>
      </w:r>
      <w:r w:rsidR="00105B5A" w:rsidRPr="001F1634">
        <w:t xml:space="preserve"> inspired by </w:t>
      </w:r>
      <w:r w:rsidR="00922725" w:rsidRPr="001F1634">
        <w:t xml:space="preserve">reference textbooks </w:t>
      </w:r>
      <w:r w:rsidR="00105B5A" w:rsidRPr="001F1634">
        <w:t>that are more content</w:t>
      </w:r>
      <w:r w:rsidR="00922725" w:rsidRPr="001F1634">
        <w:t>-</w:t>
      </w:r>
      <w:r w:rsidR="005B5E22" w:rsidRPr="001F1634">
        <w:t>centred</w:t>
      </w:r>
      <w:r w:rsidR="00922725" w:rsidRPr="001F1634">
        <w:t xml:space="preserve"> </w:t>
      </w:r>
      <w:r w:rsidR="00105B5A" w:rsidRPr="001F1634">
        <w:t>than learning-</w:t>
      </w:r>
      <w:r w:rsidR="005B5E22" w:rsidRPr="001F1634">
        <w:t>centred</w:t>
      </w:r>
      <w:r w:rsidR="00105B5A" w:rsidRPr="001F1634">
        <w:t xml:space="preserve"> </w:t>
      </w:r>
      <w:r w:rsidR="00105B5A" w:rsidRPr="001F1634">
        <w:fldChar w:fldCharType="begin"/>
      </w:r>
      <w:r w:rsidR="00105B5A" w:rsidRPr="001F1634">
        <w:instrText xml:space="preserve"> ADDIN ZOTERO_ITEM CSL_CITATION {"citationID":"zZYJJ4xN","properties":{"formattedCitation":"(Donnelly &amp; Winkelmann, 2021)","plainCitation":"(Donnelly &amp; Winkelmann, 2021)","noteIndex":0},"citationItems":[{"id":659,"uris":["http://zotero.org/users/13843693/items/H7JGHSBN"],"itemData":{"id":659,"type":"article-journal","abstract":"Students’ negative perceptions of physical chemistry courses are wellknown and are likely impacting their learning and performance in this upperdivision course for majors. The syllabus can be the ﬁrst interaction students have with a course and instructor and can be central to the expectations student set for the learning experience. While syllabi are not necessarily evidence of enacted classroom practice, their focus may be related to the enacted course design and instructional practices. Additionally, developing and modifying the document gives an instructor an opportunity to reﬂect on those same enacted practices, potentially facilitating a more learning-centered experience for students. In this study, we collected physical chemistry syllabi from across the United States and evaluated the learning-centeredness of this document using the Measuring the Promise syllabus rubric. Physical chemistry syllabi from 2017 to 2019 were largely content-focused. Analysis of the speciﬁc components of syllabi revealed potential improvements that may shift the focus of physical chemistry syllabi toward the learning end of the learningcenteredness spectrum. These include communicating learning goals and objectives across a wide range of dimensions, introducing transparency about the alignment of assessments with objectives, and creating supportive classroom climates via the syllabus.","container-title":"Journal of Chemical Education","DOI":"10.1021/acs.jchemed.1c00225","ISSN":"0021-9584, 1938-1328","issue":"6","journalAbbreviation":"J. Chem. Educ.","language":"en","license":"https://doi.org/10.15223/policy-029","page":"1888-1897","source":"DOI.org (Crossref)","title":"Analysis of the Learning-Centeredness of Physical Chemistry Syllabi","volume":"98","author":[{"family":"Donnelly","given":"Julie"},{"family":"Winkelmann","given":"Kurt"}],"issued":{"date-parts":[["2021",6,8]]}}}],"schema":"https://github.com/citation-style-language/schema/raw/master/csl-citation.json"} </w:instrText>
      </w:r>
      <w:r w:rsidR="00105B5A" w:rsidRPr="001F1634">
        <w:fldChar w:fldCharType="separate"/>
      </w:r>
      <w:r w:rsidR="00105B5A" w:rsidRPr="001F1634">
        <w:rPr>
          <w:rFonts w:ascii="Aptos" w:hAnsi="Aptos"/>
        </w:rPr>
        <w:t>(Donnelly &amp; Winkelmann, 2021)</w:t>
      </w:r>
      <w:r w:rsidR="00105B5A" w:rsidRPr="001F1634">
        <w:fldChar w:fldCharType="end"/>
      </w:r>
      <w:r w:rsidR="00105B5A" w:rsidRPr="001F1634">
        <w:t>.</w:t>
      </w:r>
      <w:r w:rsidR="004F05AE" w:rsidRPr="001F1634">
        <w:t xml:space="preserve"> Improving motivation might come from </w:t>
      </w:r>
      <w:r w:rsidR="000C74F4">
        <w:t>favouring</w:t>
      </w:r>
      <w:r w:rsidR="000C74F4" w:rsidRPr="001F1634">
        <w:t xml:space="preserve"> </w:t>
      </w:r>
      <w:r w:rsidR="004F05AE" w:rsidRPr="001F1634">
        <w:t>learning-</w:t>
      </w:r>
      <w:r w:rsidR="008B11D0" w:rsidRPr="001F1634">
        <w:t>centred</w:t>
      </w:r>
      <w:r w:rsidR="008B11D0">
        <w:t xml:space="preserve"> approaches</w:t>
      </w:r>
      <w:r w:rsidR="000C74F4" w:rsidRPr="001F1634">
        <w:t xml:space="preserve"> </w:t>
      </w:r>
      <w:r w:rsidR="004F05AE" w:rsidRPr="001F1634">
        <w:fldChar w:fldCharType="begin"/>
      </w:r>
      <w:r w:rsidR="004F05AE" w:rsidRPr="001F1634">
        <w:instrText xml:space="preserve"> ADDIN ZOTERO_ITEM CSL_CITATION {"citationID":"f2e4kh18","properties":{"formattedCitation":"(Fox &amp; Roehrig, 2015)","plainCitation":"(Fox &amp; Roehrig, 2015)","noteIndex":0},"citationItems":[{"id":665,"uris":["http://zotero.org/users/13843693/items/TTPZ8JNZ"],"itemData":{"id":665,"type":"article-journal","abstract":"A nationwide survey of the undergraduate physical chemistry course was conducted to investigate the depth and breadth of content that is covered, how content is delivered, how student understanding is assessed, and the experiences and beliefs of instructors. The survey was administered to instructors of physical chemistry (N = 331) at American Chemical Society certiﬁed colleges and universities in the United States. The majority of instructors (N = 187) provided contact information, allowing responses to be associated with their institution. The goal of this preliminary study is to provide an awareness of the current state of physical chemistry courses across the United States. Several relationships regarding the course curriculum were investigated such as depth versus breadth of course content, and goal for understanding versus types of assessment questions. Also, several relationships regarding instructor beliefs and experiences were investigated such as degree of teacher preparation experience versus course delivery, and instructor beliefs about the challenging nature of physical chemistry education versus proposed strategies to overcome those challenges. Information gained from this study may inform the development of new teaching practices, curriculum, assessments, and resources for physical chemistry education, as well as encourage instructors of physical chemistry and researches of chemical education to work together to improve student understanding of physical chemistry.","container-title":"Journal of Chemical Education","DOI":"10.1021/acs.jchemed.5b00070","ISSN":"0021-9584, 1938-1328","issue":"9","journalAbbreviation":"J. Chem. Educ.","language":"en","page":"1456-1465","source":"DOI.org (Crossref)","title":"Nationwide Survey of the Undergraduate Physical Chemistry Course","volume":"92","author":[{"family":"Fox","given":"Laura J."},{"family":"Roehrig","given":"Gillian H."}],"issued":{"date-parts":[["2015",9,8]]}}}],"schema":"https://github.com/citation-style-language/schema/raw/master/csl-citation.json"} </w:instrText>
      </w:r>
      <w:r w:rsidR="004F05AE" w:rsidRPr="001F1634">
        <w:fldChar w:fldCharType="separate"/>
      </w:r>
      <w:r w:rsidR="004F05AE" w:rsidRPr="001F1634">
        <w:rPr>
          <w:rFonts w:ascii="Aptos" w:hAnsi="Aptos"/>
        </w:rPr>
        <w:t>(Fox &amp; Roehrig, 2015)</w:t>
      </w:r>
      <w:r w:rsidR="004F05AE" w:rsidRPr="001F1634">
        <w:fldChar w:fldCharType="end"/>
      </w:r>
      <w:r w:rsidR="004F05AE" w:rsidRPr="001F1634">
        <w:t xml:space="preserve">, or reducing </w:t>
      </w:r>
      <w:r w:rsidR="000C74F4">
        <w:t>cognitive load</w:t>
      </w:r>
      <w:r w:rsidR="004F05AE" w:rsidRPr="001F1634">
        <w:t xml:space="preserve"> by promoting precise teaching methods that promote deep learning of thermodynamics, instead of unreflective learning </w:t>
      </w:r>
      <w:r w:rsidR="004F05AE" w:rsidRPr="001F1634">
        <w:fldChar w:fldCharType="begin"/>
      </w:r>
      <w:r w:rsidR="009A20FA" w:rsidRPr="001F1634">
        <w:instrText xml:space="preserve"> ADDIN ZOTERO_ITEM CSL_CITATION {"citationID":"fNXoRqjk","properties":{"formattedCitation":"(L. J. Partanen et al., 2024)","plainCitation":"(L. J. Partanen et al., 2024)","noteIndex":0},"citationItems":[{"id":663,"uris":["http://zotero.org/users/13843693/items/UYZW5IRV"],"itemData":{"id":663,"type":"article-journal","abstract":"We explored chemical engineering students’ approaches to learning, study-related burnout, and perceptions of peer and self-assessment in a challenging physical chemistry thermodynamics course. Cluster analysis revealed three learning profiles based on students’ approaches to learning: students who scored high in both organised studying and the deep approach to learning, students who scored high in the unreflective approach to learning, and students who scored high in all three approaches. According to our findings, students who employed deep learning strategies and managed their time carefully experience the least study-related burnout. These students also felt more efficacious when participating in assessment and had fever negative experiences of both peer and self-assessment. Consequently, physical chemistry educators should adopt practices that facilitate a deeper approach to learning, including paying careful attention to course workload and utilising teaching methodologies that can foster the deep approach like peer and self-assessment.","container-title":"Chemistry Education Research and Practice","DOI":"10.1039/D3RP00172E","ISSN":"1109-4028, 1756-1108","issue":"2","journalAbbreviation":"Chem. Educ. Res. Pract.","language":"en","page":"474-490","source":"DOI.org (Crossref)","title":"Physical chemistry students’ learning profiles and their relation to study-related burnout and perceptions of peer and self-assessment","volume":"25","author":[{"family":"Partanen","given":"Lauri J."},{"family":"Myyry","given":"Liisa"},{"family":"Asikainen","given":"Henna"}],"issued":{"date-parts":[["2024"]]}}}],"schema":"https://github.com/citation-style-language/schema/raw/master/csl-citation.json"} </w:instrText>
      </w:r>
      <w:r w:rsidR="004F05AE" w:rsidRPr="001F1634">
        <w:fldChar w:fldCharType="separate"/>
      </w:r>
      <w:r w:rsidR="009A20FA" w:rsidRPr="001F1634">
        <w:rPr>
          <w:rFonts w:ascii="Aptos" w:hAnsi="Aptos"/>
        </w:rPr>
        <w:t>(L. J. Partanen et al., 2024)</w:t>
      </w:r>
      <w:r w:rsidR="004F05AE" w:rsidRPr="001F1634">
        <w:fldChar w:fldCharType="end"/>
      </w:r>
      <w:r w:rsidR="004F05AE" w:rsidRPr="001F1634">
        <w:t>.</w:t>
      </w:r>
      <w:r w:rsidR="00EA3350" w:rsidRPr="001F1634">
        <w:t xml:space="preserve"> A recent study by </w:t>
      </w:r>
      <w:r w:rsidR="00EA3350" w:rsidRPr="001F1634">
        <w:fldChar w:fldCharType="begin"/>
      </w:r>
      <w:r w:rsidR="001A296A">
        <w:instrText xml:space="preserve"> ADDIN ZOTERO_ITEM CSL_CITATION {"citationID":"FJtZltmZ","properties":{"formattedCitation":"(Schwedler &amp; Kaldewey, 2020)","plainCitation":"(Schwedler &amp; Kaldewey, 2020)","dontUpdate":true,"noteIndex":0},"citationItems":[{"id":568,"uris":["http://zotero.org/users/13843693/items/GTGP4GUT"],"itemData":{"id":568,"type":"article-journal","abstract":"Research in the past decades repeatedly revealed university students’ struggles to properly understand physical chemistry concepts. In contrast to school, tertiary teaching relies heavily on the symbolic level, mainly applying abstract representations such as equations and diagrams. To follow the lessons and generate conceptual understanding, students need to connect those representations with macroscopic and submicroscopic aspects of the scientific concept depicted. For German first-year chemistry students, this increase in abstraction in a major subject of study contributes to excessive demand and demotivation (especially during out-of-class learning) and increases the risk of early dropouts. We designed a simulation-based learning environment (BIRC: Bridging Imagination and Representation in Chemistry) to suit the needs of first-year students and support them when learning physical chemistry at home. Our approach, featuring molecular dynamics simulations, requires students to assess their own mental models on the submicroscopic level and connect them to equations and diagrams on the symbolic level. Prior studies did already highlight the potential of individual BIRC learning units to foster conceptual understanding on specific topics. In this paper, we investigate if and how students of a broader sample use these learning activities as voluntary supplement beside regular coursework. During the term, we used think-aloud protocols, interviews and eight online questionnaires to analyse students’ mental and emotional interaction while working on BIRC, assessing whether students perceived BIRC as a suitable, enjoyable and supportive resource to enhance learning.\n              Via\n              two paper &amp; pencil achievement tests we examined students’ retention concerning submicroscopic mental models and their ability to connect these mental models with symbolic representations 5–10 weeks later. Our findings indicate a cognitively engaging, comparably enjoyable learning process, which strengthens conceptual understanding and – despite the necessary time and effort – induces a broad number of students to voluntarily work on several units at home.","container-title":"Chemistry Education Research and Practice","DOI":"10.1039/C9RP00211A","ISSN":"1109-4028, 1756-1108","issue":"4","journalAbbreviation":"Chem. Educ. Res. Pract.","language":"en","page":"1132-1147","source":"DOI.org (Crossref)","title":"Linking the submicroscopic and symbolic level in physical chemistry: how voluntary simulation-based learning activities foster first-year university students’ conceptual understanding","title-short":"Linking the submicroscopic and symbolic level in physical chemistry","volume":"21","author":[{"family":"Schwedler","given":"Stefanie"},{"family":"Kaldewey","given":"Marvin"}],"issued":{"date-parts":[["2020"]]}}}],"schema":"https://github.com/citation-style-language/schema/raw/master/csl-citation.json"} </w:instrText>
      </w:r>
      <w:r w:rsidR="00EA3350" w:rsidRPr="001F1634">
        <w:fldChar w:fldCharType="separate"/>
      </w:r>
      <w:r w:rsidR="00EA3350" w:rsidRPr="001F1634">
        <w:rPr>
          <w:rFonts w:ascii="Aptos" w:hAnsi="Aptos"/>
        </w:rPr>
        <w:t>Schwedler &amp; Kaldewey (2020)</w:t>
      </w:r>
      <w:r w:rsidR="00EA3350" w:rsidRPr="001F1634">
        <w:fldChar w:fldCharType="end"/>
      </w:r>
      <w:r w:rsidR="00EA3350" w:rsidRPr="001F1634">
        <w:t xml:space="preserve"> showed the </w:t>
      </w:r>
      <w:r w:rsidR="000C74F4">
        <w:t>impact on</w:t>
      </w:r>
      <w:r w:rsidR="000C74F4" w:rsidRPr="001F1634">
        <w:t xml:space="preserve"> student motivation </w:t>
      </w:r>
      <w:r w:rsidR="000C74F4">
        <w:t>of</w:t>
      </w:r>
      <w:r w:rsidR="00EA3350" w:rsidRPr="001F1634">
        <w:t xml:space="preserve"> using molecular simulation in a first-year undergraduate course</w:t>
      </w:r>
      <w:r w:rsidR="00B86B21">
        <w:t xml:space="preserve"> of</w:t>
      </w:r>
      <w:r w:rsidR="00EA3350" w:rsidRPr="001F1634">
        <w:t xml:space="preserve"> physical chemistry</w:t>
      </w:r>
      <w:r w:rsidR="00B86B21">
        <w:t>.</w:t>
      </w:r>
      <w:r w:rsidR="0025268D">
        <w:t xml:space="preserve"> </w:t>
      </w:r>
    </w:p>
    <w:p w14:paraId="47D4CA62" w14:textId="6D1C828E" w:rsidR="00284617" w:rsidRDefault="003B6B22" w:rsidP="003B6B22">
      <w:r w:rsidRPr="001F1634">
        <w:t xml:space="preserve"> </w:t>
      </w:r>
      <w:r>
        <w:t xml:space="preserve">To the best of our knowledge, only three articles targeted teachers’ perceptions of physical chemistry </w:t>
      </w:r>
      <w:r w:rsidR="006761E6">
        <w:t xml:space="preserve">difficulties </w:t>
      </w:r>
      <w:r>
        <w:fldChar w:fldCharType="begin"/>
      </w:r>
      <w:r>
        <w:instrText xml:space="preserve"> ADDIN ZOTERO_ITEM CSL_CITATION {"citationID":"NDEyRju5","properties":{"formattedCitation":"(Fox &amp; Roehrig, 2015; S\\uc0\\u246{}zbilir, 2004)","plainCitation":"(Fox &amp; Roehrig, 2015; Sözbilir, 2004)","noteIndex":0},"citationItems":[{"id":665,"uris":["http://zotero.org/users/13843693/items/TTPZ8JNZ"],"itemData":{"id":665,"type":"article-journal","abstract":"A nationwide survey of the undergraduate physical chemistry course was conducted to investigate the depth and breadth of content that is covered, how content is delivered, how student understanding is assessed, and the experiences and beliefs of instructors. The survey was administered to instructors of physical chemistry (N = 331) at American Chemical Society certiﬁed colleges and universities in the United States. The majority of instructors (N = 187) provided contact information, allowing responses to be associated with their institution. The goal of this preliminary study is to provide an awareness of the current state of physical chemistry courses across the United States. Several relationships regarding the course curriculum were investigated such as depth versus breadth of course content, and goal for understanding versus types of assessment questions. Also, several relationships regarding instructor beliefs and experiences were investigated such as degree of teacher preparation experience versus course delivery, and instructor beliefs about the challenging nature of physical chemistry education versus proposed strategies to overcome those challenges. Information gained from this study may inform the development of new teaching practices, curriculum, assessments, and resources for physical chemistry education, as well as encourage instructors of physical chemistry and researches of chemical education to work together to improve student understanding of physical chemistry.","container-title":"Journal of Chemical Education","DOI":"10.1021/acs.jchemed.5b00070","ISSN":"0021-9584, 1938-1328","issue":"9","journalAbbreviation":"J. Chem. Educ.","language":"en","page":"1456-1465","source":"DOI.org (Crossref)","title":"Nationwide Survey of the Undergraduate Physical Chemistry Course","volume":"92","author":[{"family":"Fox","given":"Laura J."},{"family":"Roehrig","given":"Gillian H."}],"issued":{"date-parts":[["2015",9,8]]}}},{"id":226,"uris":["http://zotero.org/users/13843693/items/Z93FMNDW"],"itemData":{"id":226,"type":"article-journal","container-title":"Journal of Chemical Education","DOI":"10.1021/ed081p573","ISSN":"0021-9584, 1938-1328","issue":"4","journalAbbreviation":"J. Chem. Educ.","language":"en","page":"573-578","source":"DOI.org (Crossref)","title":"What Makes Physical Chemistry Difficult? Perceptions of Turkish Chemistry Undergraduates and Lecturers","title-short":"What Makes Physical Chemistry Difficult?","volume":"81","author":[{"family":"Sözbilir","given":"Mustafa"}],"issued":{"date-parts":[["2004",4]]}}}],"schema":"https://github.com/citation-style-language/schema/raw/master/csl-citation.json"} </w:instrText>
      </w:r>
      <w:r>
        <w:fldChar w:fldCharType="separate"/>
      </w:r>
      <w:r w:rsidRPr="003B6B22">
        <w:rPr>
          <w:rFonts w:ascii="Aptos" w:hAnsi="Aptos" w:cs="Times New Roman"/>
          <w:kern w:val="0"/>
        </w:rPr>
        <w:t>(Fox &amp; Roehrig, 2015; Sözbilir, 2004)</w:t>
      </w:r>
      <w:r>
        <w:fldChar w:fldCharType="end"/>
      </w:r>
      <w:r>
        <w:t xml:space="preserve"> and entropy </w:t>
      </w:r>
      <w:r w:rsidR="006761E6">
        <w:t xml:space="preserve">difficulties </w:t>
      </w:r>
      <w:r>
        <w:fldChar w:fldCharType="begin"/>
      </w:r>
      <w:r w:rsidR="00440F9D">
        <w:instrText xml:space="preserve"> ADDIN ZOTERO_ITEM CSL_CITATION {"citationID":"YK5miOwF","properties":{"formattedCitation":"(Camacho et al., 2015)","plainCitation":"(Camacho et al., 2015)","noteIndex":0},"citationItems":[{"id":246,"uris":["http://zotero.org/users/13843693/items/8QAJIDAW"],"itemData":{"id":246,"type":"article-journal","container-title":"Revista Mexicana de Física","language":"en","page":"69-80","source":"Zotero","title":"The concept of entropy, from its origins to teachers","volume":"61","author":[{"family":"Camacho","given":"F Flores"},{"family":"Lugo","given":"N Ulloa"},{"family":"Martınez","given":"H Covarrubias"}],"issued":{"date-parts":[["2015"]]}}}],"schema":"https://github.com/citation-style-language/schema/raw/master/csl-citation.json"} </w:instrText>
      </w:r>
      <w:r>
        <w:fldChar w:fldCharType="separate"/>
      </w:r>
      <w:r w:rsidRPr="003B6B22">
        <w:rPr>
          <w:rFonts w:ascii="Aptos" w:hAnsi="Aptos"/>
        </w:rPr>
        <w:t>(Camacho et al., 2015)</w:t>
      </w:r>
      <w:r>
        <w:fldChar w:fldCharType="end"/>
      </w:r>
      <w:r>
        <w:t xml:space="preserve">, showing a gap of knowledge </w:t>
      </w:r>
      <w:r w:rsidR="006761E6">
        <w:t xml:space="preserve">of documenting teachers’ beliefs </w:t>
      </w:r>
      <w:r>
        <w:t>at the thermodynamics level of granularity</w:t>
      </w:r>
      <w:r w:rsidR="00284617">
        <w:t>. For ex</w:t>
      </w:r>
      <w:r w:rsidR="0025268D">
        <w:t>a</w:t>
      </w:r>
      <w:r w:rsidR="00284617">
        <w:t>mple, i</w:t>
      </w:r>
      <w:r w:rsidR="00284617" w:rsidRPr="001F1634">
        <w:t xml:space="preserve">n physical chemistry education research, </w:t>
      </w:r>
      <w:r w:rsidR="00284617" w:rsidRPr="001F1634">
        <w:fldChar w:fldCharType="begin"/>
      </w:r>
      <w:r w:rsidR="00284617">
        <w:instrText xml:space="preserve"> ADDIN ZOTERO_ITEM CSL_CITATION {"citationID":"UOplEsG1","properties":{"formattedCitation":"(Mack &amp; Towns, 2016)","plainCitation":"(Mack &amp; Towns, 2016)","dontUpdate":true,"noteIndex":0},"citationItems":[{"id":671,"uris":["http://zotero.org/users/13843693/items/LLPMMTSN"],"itemData":{"id":671,"type":"article-journal","abstract":"We report the results of a phenomenographic analysis of faculty beliefs about the purposes for teaching upper-division physical chemistry courses in the undergraduate curriculum. A purposeful sampling strategy was used to recruit a diverse group of faculty for interviews. Collectively, the participating faculty regularly teach or have taught physical chemistry courses in 16 different chemistry departments in the United States. While faculty agreed that the goal of teaching physical chemistry was to help students develop robust conceptual knowledge of the subject matter within thermodynamics, statistical mechanics, quantum mechanics, spectroscopy, chemical kinetics, and other major topics, some articulated strong beliefs about epistemic and social learning goals. An understanding of the relations between different ways of thinking about teaching upper-division physical chemistry courses offers practitioners with alternative perspectives that may help them expand their awareness of the purposes for teaching physical chemistry in the undergraduate curriculum. Furthermore, knowledge of faculty beliefs about their teaching provides educational researchers and curriculum developers with an understanding about the potential opportunities or barriers for helping faculty align their beliefs and goals for teaching with research-based instructional strategies. We discuss our findings with the intention to expand faculty awareness of the discourse on physical chemistry education to include various perspectives of the purpose for teaching upper-division physical chemistry courses.","container-title":"Chemistry Education Research and Practice","DOI":"10.1039/C5RP00148J","ISSN":"1109-4028, 1756-1108","issue":"1","journalAbbreviation":"Chem. Educ. Res. Pract.","language":"en","page":"80-99","source":"DOI.org (Crossref)","title":"Faculty beliefs about the purposes for teaching undergraduate physical chemistry courses","volume":"17","author":[{"family":"Mack","given":"Michael R."},{"family":"Towns","given":"Marcy H."}],"issued":{"date-parts":[["2016"]]}}}],"schema":"https://github.com/citation-style-language/schema/raw/master/csl-citation.json"} </w:instrText>
      </w:r>
      <w:r w:rsidR="00284617" w:rsidRPr="001F1634">
        <w:fldChar w:fldCharType="separate"/>
      </w:r>
      <w:r w:rsidR="00284617" w:rsidRPr="001F1634">
        <w:rPr>
          <w:rFonts w:ascii="Aptos" w:hAnsi="Aptos"/>
        </w:rPr>
        <w:t>Mack &amp; Towns (2016)</w:t>
      </w:r>
      <w:r w:rsidR="00284617" w:rsidRPr="001F1634">
        <w:fldChar w:fldCharType="end"/>
      </w:r>
      <w:r w:rsidR="00284617" w:rsidRPr="001F1634">
        <w:t xml:space="preserve"> demonstrated that teachers of a university chemistry faculty report didactical goals, such as explaining the particulate nature of matter, or mathematical modelling, but also social, and epistemic goals</w:t>
      </w:r>
      <w:r w:rsidR="00284617">
        <w:t xml:space="preserve">; but the authors did not aim at probing teachers’ perceived difficulties in their own subject. </w:t>
      </w:r>
    </w:p>
    <w:p w14:paraId="042CF3B4" w14:textId="61BAC4DB" w:rsidR="0025268D" w:rsidRPr="0025268D" w:rsidRDefault="0025268D" w:rsidP="003B6B22">
      <w:r>
        <w:t>Fox &amp; Roehrig (2015) report multiple beliefs of physical chemistry instructors. For example, 78% of respondents believe both the instructor and the student are responsible for the understanding of physical chemistry, while 21% believe that the student is “</w:t>
      </w:r>
      <w:r w:rsidRPr="0025268D">
        <w:rPr>
          <w:i/>
          <w:iCs/>
        </w:rPr>
        <w:t>mostly responsible and the instructor is somewhat responsible.”</w:t>
      </w:r>
      <w:r>
        <w:t xml:space="preserve"> The </w:t>
      </w:r>
      <w:r w:rsidR="006761E6">
        <w:t>study</w:t>
      </w:r>
      <w:r>
        <w:t xml:space="preserve"> also report</w:t>
      </w:r>
      <w:r w:rsidR="006761E6">
        <w:t>s</w:t>
      </w:r>
      <w:r>
        <w:t xml:space="preserve"> instructors</w:t>
      </w:r>
      <w:r w:rsidR="006761E6">
        <w:t>’</w:t>
      </w:r>
      <w:r>
        <w:t xml:space="preserve"> beliefs about student struggles</w:t>
      </w:r>
      <w:r w:rsidR="00964655">
        <w:t>, such as, for example,</w:t>
      </w:r>
      <w:r>
        <w:t xml:space="preserve"> lack of mathematics prerequisites</w:t>
      </w:r>
      <w:r w:rsidR="00964655">
        <w:t>, the connection of mathematics with physical chemistry concepts</w:t>
      </w:r>
      <w:r>
        <w:t>, lack of effort</w:t>
      </w:r>
      <w:r w:rsidR="006761E6">
        <w:t>, and</w:t>
      </w:r>
      <w:r>
        <w:t xml:space="preserve"> </w:t>
      </w:r>
      <w:r w:rsidR="00964655">
        <w:t xml:space="preserve">lack of physics prerequisites. </w:t>
      </w:r>
      <w:proofErr w:type="spellStart"/>
      <w:r w:rsidR="00964655">
        <w:t>Sözbilir</w:t>
      </w:r>
      <w:proofErr w:type="spellEnd"/>
      <w:r w:rsidR="00964655">
        <w:t xml:space="preserve"> (2004) contrasted students’ (N = 91) and teachers’ (N = 2) opinions on the difficulties inherent to physical chemistry. Students’ </w:t>
      </w:r>
      <w:r w:rsidR="003367C2">
        <w:t>favoured</w:t>
      </w:r>
      <w:r w:rsidR="00964655">
        <w:t xml:space="preserve"> reasons include their </w:t>
      </w:r>
      <w:r w:rsidR="003367C2">
        <w:t xml:space="preserve">own </w:t>
      </w:r>
      <w:r w:rsidR="00964655">
        <w:t>lack of motivation, the abstractness</w:t>
      </w:r>
      <w:r w:rsidR="003367C2">
        <w:t xml:space="preserve"> of content</w:t>
      </w:r>
      <w:r w:rsidR="00964655">
        <w:t>, the high quantity of content, the lack of</w:t>
      </w:r>
      <w:r w:rsidR="003367C2">
        <w:t xml:space="preserve"> promotion of</w:t>
      </w:r>
      <w:r w:rsidR="00964655">
        <w:t xml:space="preserve"> deep understanding and the teacher-centred teaching. The two teachers’ opinions include, for example, the difference in students’ background, students’ socio-economic conditions, the lack of material resources, and the teacher-centred teaching. </w:t>
      </w:r>
    </w:p>
    <w:p w14:paraId="5BB4D3BC" w14:textId="45539A6E" w:rsidR="00284617" w:rsidRPr="001F1634" w:rsidRDefault="003367C2" w:rsidP="00284617">
      <w:r>
        <w:t xml:space="preserve">Thermodynamics </w:t>
      </w:r>
      <w:r w:rsidR="008738F5">
        <w:t xml:space="preserve">relies </w:t>
      </w:r>
      <w:r>
        <w:t>on two central concepts: energy and entropy. E</w:t>
      </w:r>
      <w:r w:rsidR="00284617" w:rsidRPr="001F1634">
        <w:t xml:space="preserve">ntropy </w:t>
      </w:r>
      <w:r w:rsidR="00284617">
        <w:t xml:space="preserve">teaching </w:t>
      </w:r>
      <w:r w:rsidR="00284617" w:rsidRPr="001F1634">
        <w:t xml:space="preserve">is </w:t>
      </w:r>
      <w:r>
        <w:t xml:space="preserve">thus </w:t>
      </w:r>
      <w:r w:rsidR="00284617" w:rsidRPr="001F1634">
        <w:t xml:space="preserve">a </w:t>
      </w:r>
      <w:r>
        <w:t>critica</w:t>
      </w:r>
      <w:r w:rsidR="00284617" w:rsidRPr="001F1634">
        <w:t xml:space="preserve">l </w:t>
      </w:r>
      <w:r>
        <w:t>endeavour for thermodynamics education.</w:t>
      </w:r>
      <w:r w:rsidR="00284617" w:rsidRPr="001F1634">
        <w:t xml:space="preserve"> </w:t>
      </w:r>
      <w:r w:rsidR="00284617">
        <w:t xml:space="preserve"> </w:t>
      </w:r>
      <w:r>
        <w:t>On this topic, t</w:t>
      </w:r>
      <w:r w:rsidR="00284617">
        <w:t>he most recent comprehensive work</w:t>
      </w:r>
      <w:r w:rsidR="0025268D">
        <w:t>s</w:t>
      </w:r>
      <w:r w:rsidR="00284617">
        <w:t xml:space="preserve"> include </w:t>
      </w:r>
      <w:r w:rsidR="00284617">
        <w:fldChar w:fldCharType="begin"/>
      </w:r>
      <w:r w:rsidR="00B70426">
        <w:instrText xml:space="preserve"> ADDIN ZOTERO_ITEM CSL_CITATION {"citationID":"wrbLdvgR","properties":{"formattedCitation":"(Sreenivasulu &amp; Subramaniam, 2013)","plainCitation":"(Sreenivasulu &amp; Subramaniam, 2013)","dontUpdate":true,"noteIndex":0},"citationItems":[{"id":276,"uris":["http://zotero.org/users/13843693/items/PTMZ2GMB"],"itemData":{"id":276,"type":"article-journal","container-title":"International Journal of Science Education","DOI":"10.1080/09500693.2012.683460","ISSN":"0950-0693, 1464-5289","issue":"4","journalAbbreviation":"International Journal of Science Education","language":"en","page":"601-635","source":"DOI.org (Crossref)","title":"University Students’ Understanding of Chemical Thermodynamics","volume":"35","author":[{"family":"Sreenivasulu","given":"Bellam"},{"family":"Subramaniam","given":"R."}],"issued":{"date-parts":[["2013",3]]}}}],"schema":"https://github.com/citation-style-language/schema/raw/master/csl-citation.json"} </w:instrText>
      </w:r>
      <w:r w:rsidR="00284617">
        <w:fldChar w:fldCharType="separate"/>
      </w:r>
      <w:r w:rsidR="00284617" w:rsidRPr="00284617">
        <w:rPr>
          <w:rFonts w:ascii="Aptos" w:hAnsi="Aptos"/>
        </w:rPr>
        <w:t>Sreenivasulu &amp; Subramaniam</w:t>
      </w:r>
      <w:r w:rsidR="00284617">
        <w:rPr>
          <w:rFonts w:ascii="Aptos" w:hAnsi="Aptos"/>
        </w:rPr>
        <w:t xml:space="preserve"> (</w:t>
      </w:r>
      <w:r w:rsidR="00284617" w:rsidRPr="00284617">
        <w:rPr>
          <w:rFonts w:ascii="Aptos" w:hAnsi="Aptos"/>
        </w:rPr>
        <w:t>2013)</w:t>
      </w:r>
      <w:r w:rsidR="00284617">
        <w:fldChar w:fldCharType="end"/>
      </w:r>
      <w:r w:rsidR="0025268D">
        <w:t xml:space="preserve"> and Bain et al. (2014)</w:t>
      </w:r>
      <w:r w:rsidR="00284617">
        <w:t>, wh</w:t>
      </w:r>
      <w:r w:rsidR="0025268D">
        <w:t>ich</w:t>
      </w:r>
      <w:r w:rsidR="00284617">
        <w:t xml:space="preserve"> listed </w:t>
      </w:r>
      <w:r w:rsidR="0025268D">
        <w:t xml:space="preserve">numerous alternative conceptions concerning the first and second law of thermodynamics, as well as </w:t>
      </w:r>
      <w:r w:rsidR="0025268D">
        <w:fldChar w:fldCharType="begin"/>
      </w:r>
      <w:r w:rsidR="00B70426">
        <w:instrText xml:space="preserve"> ADDIN ZOTERO_ITEM CSL_CITATION {"citationID":"JwnVEjga","properties":{"formattedCitation":"(Atar\\uc0\\u233{}s et al., 2021)","plainCitation":"(Atarés et al., 2021)","dontUpdate":true,"noteIndex":0},"citationItems":[{"id":548,"uris":["http://zotero.org/users/13843693/items/P7NPXAJW"],"itemData":{"id":548,"type":"article-journal","abstract":"Pregraduate students often have low success expectations toward their thermodynamics courses, which are often considered too abstract and remarkably difﬁcult to understand. For this reason, they may not even try to reach any level of comprehension while settling for reproducing mathematical calculations and memorizing deﬁnitions to pass the exams. Traditional lectures on thermodynamics, focusing on mathematical deductions while neglecting the qualitative characterization of the concepts behind the equations, do not help in this respect. Aiming at a change in the teaching practice and focused on the second law of thermodynamics, the main goals of this work are to characterize the way of reasoning of the expert; to present a review on the most important learning difﬁculties encountered by students and categorize them into three groups: the disregard of qualitative understanding, the inherent conceptual difﬁculties, and those related to the students’ previous knowledge; and to propose some suitable teaching practices to assist instructors in this difﬁcult but rewarding task.","container-title":"Education Sciences","DOI":"10.3390/educsci11090539","ISSN":"2227-7102","issue":"9","journalAbbreviation":"Education Sciences","language":"en","license":"https://creativecommons.org/licenses/by/4.0/","page":"539-553","source":"DOI.org (Crossref)","title":"Helping Pregraduate Students Reach Deep Understanding of the Second Law of Thermodynamics","volume":"11","author":[{"family":"Atarés","given":"Lorena"},{"family":"Canet","given":"M. Jose"},{"family":"Trujillo","given":"Macarena"},{"family":"Benlloch-Dualde","given":"José Vte."},{"family":"Paricio Royo","given":"Javier"},{"family":"Fernandez-March","given":"Amparo"}],"issued":{"date-parts":[["2021",9,14]]}}}],"schema":"https://github.com/citation-style-language/schema/raw/master/csl-citation.json"} </w:instrText>
      </w:r>
      <w:r w:rsidR="0025268D">
        <w:fldChar w:fldCharType="separate"/>
      </w:r>
      <w:r w:rsidR="0025268D" w:rsidRPr="0025268D">
        <w:rPr>
          <w:rFonts w:ascii="Aptos" w:hAnsi="Aptos" w:cs="Times New Roman"/>
          <w:kern w:val="0"/>
        </w:rPr>
        <w:t>Atarés et al.</w:t>
      </w:r>
      <w:r w:rsidR="0025268D">
        <w:rPr>
          <w:rFonts w:ascii="Aptos" w:hAnsi="Aptos" w:cs="Times New Roman"/>
          <w:kern w:val="0"/>
        </w:rPr>
        <w:t xml:space="preserve"> (</w:t>
      </w:r>
      <w:r w:rsidR="0025268D" w:rsidRPr="0025268D">
        <w:rPr>
          <w:rFonts w:ascii="Aptos" w:hAnsi="Aptos" w:cs="Times New Roman"/>
          <w:kern w:val="0"/>
        </w:rPr>
        <w:t>2021)</w:t>
      </w:r>
      <w:r w:rsidR="0025268D">
        <w:fldChar w:fldCharType="end"/>
      </w:r>
      <w:r w:rsidR="0025268D">
        <w:t>, who identified in the literature, in addition to the</w:t>
      </w:r>
      <w:r>
        <w:t xml:space="preserve"> aforementioned</w:t>
      </w:r>
      <w:r w:rsidR="0025268D">
        <w:t xml:space="preserve"> </w:t>
      </w:r>
      <w:r w:rsidR="008738F5">
        <w:t xml:space="preserve">predominance </w:t>
      </w:r>
      <w:r w:rsidR="0025268D">
        <w:t>of entropy alternative conceptions, student-focused obstacles: strategic learning, abstractness, the disorder metaphor, and the</w:t>
      </w:r>
      <w:r>
        <w:t xml:space="preserve"> high</w:t>
      </w:r>
      <w:r w:rsidR="0025268D">
        <w:t xml:space="preserve"> mathematical needs. </w:t>
      </w:r>
      <w:r w:rsidR="00964655">
        <w:t xml:space="preserve">Camacho et al. (2015) investigated teachers’ opinions of the learning struggles of students concerning entropy, as well as teachers’ (N = 12) own conceptualization of entropy. They showed that the teachers believed students struggled, for example, because of their lack of mathematics prerequisites, lack of interest, alternative conceptions, or word confusion. Teachers </w:t>
      </w:r>
      <w:r w:rsidR="0027432C">
        <w:t xml:space="preserve">are </w:t>
      </w:r>
      <w:r w:rsidR="00964655">
        <w:t>also presented with alternative conceptions of entropy, often using multiple representations, and “</w:t>
      </w:r>
      <w:r w:rsidR="00964655" w:rsidRPr="00964655">
        <w:rPr>
          <w:i/>
          <w:iCs/>
        </w:rPr>
        <w:t xml:space="preserve">the problem with these expressions is that most teachers think that each of them implies a sufficient description of </w:t>
      </w:r>
      <w:r w:rsidR="00964655" w:rsidRPr="00964655">
        <w:rPr>
          <w:i/>
          <w:iCs/>
        </w:rPr>
        <w:lastRenderedPageBreak/>
        <w:t xml:space="preserve">entropy and that it is enough for students to understand entropy. These descriptions include the declaration that entropy has no definition and </w:t>
      </w:r>
      <w:r>
        <w:rPr>
          <w:i/>
          <w:iCs/>
        </w:rPr>
        <w:t>[no]</w:t>
      </w:r>
      <w:r w:rsidR="00964655" w:rsidRPr="00964655">
        <w:rPr>
          <w:i/>
          <w:iCs/>
        </w:rPr>
        <w:t xml:space="preserve"> physical meaning</w:t>
      </w:r>
      <w:r w:rsidR="00964655" w:rsidRPr="00964655">
        <w:t>.</w:t>
      </w:r>
      <w:r w:rsidR="00964655">
        <w:t>”</w:t>
      </w:r>
    </w:p>
    <w:p w14:paraId="73EE23D8" w14:textId="2884409C" w:rsidR="003367C2" w:rsidRDefault="00445473" w:rsidP="00066AE5">
      <w:r>
        <w:t xml:space="preserve">While reports of students’ difficulties do not lack (e.g. </w:t>
      </w:r>
      <w:r>
        <w:fldChar w:fldCharType="begin"/>
      </w:r>
      <w:r w:rsidR="00903A9C">
        <w:instrText xml:space="preserve"> ADDIN ZOTERO_ITEM CSL_CITATION {"citationID":"KrR5JBux","properties":{"formattedCitation":"(Bain et al., 2014; Tsaparlis, 2016b)","plainCitation":"(Bain et al., 2014; Tsaparlis, 2016b)","dontUpdate":true,"noteIndex":0},"citationItems":[{"id":225,"uris":["http://zotero.org/users/13843693/items/FDH373PD"],"itemData":{"id":225,"type":"article-journal","abstract":"We review previous research on the teaching and learning of thermodynamics in upper-level, undergraduate settings. As chemistry education researchers we use physical chemistry as a context for understanding the literature. During our synthesis four themes of research emerged: factors that influence student success in learning thermodynamics, understanding thermodynamics through mathematical concepts and representations, student reasoning using the particulate nature of matter, and students' alternative thermodynamic conceptions. We also draw from literature in physics education research, engineering education research, and research on undergraduate mathematics education communities to widen our perspective on the teaching and learning of thermodynamics across disciplines. Following our presentation of studies, we discuss gaps in the literature and directions for new research in line with the recommendations of the National Research Council's (2012) recent report on Discipline-Based Education Research. We also discuss implications for practice which we hope will provide increased pedagogical support for teaching thermodynamics in upper-level, undergraduate settings, especially physical chemistry.","container-title":"Chem. Educ. Res. Pract.","DOI":"10.1039/C4RP00011K","ISSN":"1109-4028, 1756-1108","issue":"3","journalAbbreviation":"Chem. Educ. Res. Pract.","language":"en","page":"320-335","source":"DOI.org (Crossref)","title":"A review of research on the teaching and learning of thermodynamics at the university level","volume":"15","author":[{"family":"Bain","given":"Kinsey"},{"family":"Moon","given":"Alena"},{"family":"Mack","given":"Michael R."},{"family":"Towns","given":"Marcy H."}],"issued":{"date-parts":[["2014"]]}}},{"id":"eiNidD72/Qg40fS6P","uris":["http://zotero.org/users/13843693/items/3WRRLWES"],"itemData":{"id":"QIj8RFMG/dVIQGaQn","type":"article-journal","abstract":"In a previous publication, Jensen's scheme for the logical structure of chemistry was employed to identify a logical structure for physical chemistry, which was further used as a tool for analyzing the organization of twenty physical chemistry textbooks. In addition, science education research was considered for the study of the psychological structure of physical chemistry. In this companion paper, the findings are presented of a semi-structured interview study with seventeen chemistry graduates, which aimed to find out their opinion about the difficulties of the various areas of physical chemistry, their disposition towards the subject, and their explanations for the difficulties identified, and in this way to study further the psychological structure of physical chemistry. A mixture of an intensive inductive and a confirmatory data analysis was carried out that revealed ideas and trends and allowed for a reliable portrait of learners to emerge by identifying similarities and differences in the data. Students unanimously found the phenomenological subjects (classical thermodynamics, electrochemistry, chemical kinetics) easier than the submicroscopic subjects of quantum chemistry and statistical thermodynamics. The reasons invoked included that the latter subjects deal with more difficult and abstract concepts, and also their highly mathematical nature. Many students found classical thermodynamics simpler than quantum chemistry, because it “has logic”, includes “tangible examples”, and they had encountered related topics before (especially in high school). The findings for electrochemistry and chemical kinetics were more or less similar to those for classical thermodynamics. Implications, generalizability, and limitations of the findings and prospects for further research are discussed.","container-title":"Chemistry Education Research and Practice","DOI":"10.1039/C5RP00203F","ISSN":"1109-4028, 1756-1108","issue":"2","journalAbbreviation":"Chem. Educ. Res. Pract.","language":"en","page":"320-336","source":"DOI.org (Crossref)","title":"The logical and psychological structure of physical chemistry and its relevance to graduate students' opinions about the difficulties of the major areas of the subject","volume":"17","author":[{"family":"Tsaparlis","given":"Georgios"}],"issued":{"date-parts":[["2016"]]}}}],"schema":"https://github.com/citation-style-language/schema/raw/master/csl-citation.json"} </w:instrText>
      </w:r>
      <w:r>
        <w:fldChar w:fldCharType="separate"/>
      </w:r>
      <w:r w:rsidRPr="00445473">
        <w:rPr>
          <w:rFonts w:ascii="Aptos" w:hAnsi="Aptos"/>
        </w:rPr>
        <w:t>Bain et al., 2014; Tsaparlis, 2016b)</w:t>
      </w:r>
      <w:r>
        <w:fldChar w:fldCharType="end"/>
      </w:r>
      <w:r>
        <w:t xml:space="preserve">, </w:t>
      </w:r>
      <w:r w:rsidR="00A42305">
        <w:t>the objective of this study is</w:t>
      </w:r>
      <w:r w:rsidR="008B11D0">
        <w:t xml:space="preserve"> twofold. First, we wanted</w:t>
      </w:r>
      <w:r w:rsidR="00A42305">
        <w:t xml:space="preserve"> to document and analyse teachers’ opinions of difficulties at the thermodynamics level, g</w:t>
      </w:r>
      <w:r w:rsidR="00964655">
        <w:t xml:space="preserve">iven the lack of studies </w:t>
      </w:r>
      <w:r w:rsidR="00A42305">
        <w:t xml:space="preserve">at this level of granularity, </w:t>
      </w:r>
      <w:r w:rsidR="003367C2">
        <w:t>since</w:t>
      </w:r>
      <w:r w:rsidR="00A42305">
        <w:t xml:space="preserve"> results exist in the literature only at </w:t>
      </w:r>
      <w:r w:rsidR="00AB2CCE">
        <w:t xml:space="preserve">a </w:t>
      </w:r>
      <w:r w:rsidR="00A42305">
        <w:t xml:space="preserve">broader level (physical chemistry) or for a specific subject inside thermodynamics (entropy). </w:t>
      </w:r>
      <w:r w:rsidR="008B11D0">
        <w:t>Second, s</w:t>
      </w:r>
      <w:r w:rsidR="0027432C">
        <w:t>timulated by the work of</w:t>
      </w:r>
      <w:r w:rsidR="003367C2">
        <w:t xml:space="preserve"> Camacho et al. (2015)</w:t>
      </w:r>
      <w:r w:rsidR="008B11D0">
        <w:t>, and because this article is part of a larger research effort around the improvement of the teaching of entropy</w:t>
      </w:r>
      <w:r w:rsidR="003367C2">
        <w:t xml:space="preserve">, we also want to dive into teachers’ conceptions of entropy, starting with the links they establish with disorder, since it is the most often used descriptor of entropy. </w:t>
      </w:r>
    </w:p>
    <w:p w14:paraId="33954C4D" w14:textId="3BF3B6E8" w:rsidR="00964655" w:rsidRDefault="0027432C" w:rsidP="00066AE5">
      <w:r w:rsidRPr="0027432C">
        <w:t>Through this work, we will provide researchers with valuable information that they can confront with the recommendations of science education research and the difficulties reported by students</w:t>
      </w:r>
      <w:r w:rsidR="003367C2">
        <w:t>. W</w:t>
      </w:r>
      <w:r w:rsidR="00A42305">
        <w:t xml:space="preserve">e will </w:t>
      </w:r>
      <w:r w:rsidR="003367C2">
        <w:t xml:space="preserve">also </w:t>
      </w:r>
      <w:r w:rsidR="00A42305">
        <w:t>provide instructors with a synthetic picture of their colleague’s opinions</w:t>
      </w:r>
      <w:r w:rsidR="003367C2">
        <w:t xml:space="preserve">, which can be </w:t>
      </w:r>
      <w:proofErr w:type="gramStart"/>
      <w:r w:rsidR="003367C2">
        <w:t>in itself difficult</w:t>
      </w:r>
      <w:proofErr w:type="gramEnd"/>
      <w:r w:rsidR="003367C2">
        <w:t xml:space="preserve"> to obtain, as teachers rarely have the chance to observe and question their colleagues in tertiary education. </w:t>
      </w:r>
      <w:r w:rsidR="00964655">
        <w:t xml:space="preserve"> </w:t>
      </w:r>
    </w:p>
    <w:p w14:paraId="69EDABDE" w14:textId="26308199" w:rsidR="00581488" w:rsidRPr="001F1634" w:rsidRDefault="00581488" w:rsidP="00581488">
      <w:pPr>
        <w:pStyle w:val="Title"/>
      </w:pPr>
      <w:r w:rsidRPr="001F1634">
        <w:t>Research questions</w:t>
      </w:r>
    </w:p>
    <w:p w14:paraId="4FEA6110" w14:textId="137D4D4A" w:rsidR="00581488" w:rsidRPr="001F1634" w:rsidRDefault="00581488" w:rsidP="00581488">
      <w:r w:rsidRPr="001F1634">
        <w:t xml:space="preserve">RQ1) What do thermodynamics teachers in tertiary education find difficult to teach and why? </w:t>
      </w:r>
    </w:p>
    <w:p w14:paraId="7BE0B179" w14:textId="57EB1839" w:rsidR="00581488" w:rsidRPr="001F1634" w:rsidRDefault="00581488" w:rsidP="00581488">
      <w:r w:rsidRPr="001F1634">
        <w:t>RQ2a) What do thermodynamics teachers in tertiary education find difficult to teach about entropy and the second law of thermodynamics</w:t>
      </w:r>
      <w:r w:rsidR="003367C2">
        <w:t xml:space="preserve"> and why</w:t>
      </w:r>
      <w:r w:rsidRPr="001F1634">
        <w:t xml:space="preserve">? </w:t>
      </w:r>
    </w:p>
    <w:p w14:paraId="0669DBDE" w14:textId="6A2D3160" w:rsidR="00581488" w:rsidRPr="001F1634" w:rsidRDefault="00581488" w:rsidP="00581488">
      <w:r w:rsidRPr="001F1634">
        <w:t xml:space="preserve">RQ2b) </w:t>
      </w:r>
      <w:r w:rsidR="003367C2">
        <w:t>What are</w:t>
      </w:r>
      <w:r w:rsidR="00711D75" w:rsidRPr="001F1634">
        <w:t xml:space="preserve"> thermodynamics teachers’ opinions </w:t>
      </w:r>
      <w:r w:rsidR="00CA3F2E">
        <w:t xml:space="preserve">about, </w:t>
      </w:r>
      <w:r w:rsidR="00711D75" w:rsidRPr="001F1634">
        <w:t xml:space="preserve">and use of the disorder metaphor to teach entropy? </w:t>
      </w:r>
    </w:p>
    <w:p w14:paraId="70A6BF7D" w14:textId="68B43F4B" w:rsidR="00390D9B" w:rsidRPr="001F1634" w:rsidRDefault="00390D9B" w:rsidP="00390D9B">
      <w:pPr>
        <w:pStyle w:val="Title"/>
      </w:pPr>
      <w:r w:rsidRPr="001F1634">
        <w:t>Method</w:t>
      </w:r>
    </w:p>
    <w:p w14:paraId="0B0401E6" w14:textId="04037FB2" w:rsidR="00043157" w:rsidRPr="001F1634" w:rsidRDefault="00322246" w:rsidP="00043157">
      <w:pPr>
        <w:pStyle w:val="Heading2"/>
      </w:pPr>
      <w:r w:rsidRPr="001F1634">
        <w:t>Respondents</w:t>
      </w:r>
    </w:p>
    <w:p w14:paraId="69FD49BB" w14:textId="52CBEDF0" w:rsidR="003D4CD8" w:rsidRPr="006911A0" w:rsidRDefault="00390D9B" w:rsidP="003D4CD8">
      <w:pPr>
        <w:rPr>
          <w:rFonts w:ascii="Arial" w:hAnsi="Arial" w:cs="Arial"/>
          <w:lang w:eastAsia="zh-CN"/>
        </w:rPr>
      </w:pPr>
      <w:r w:rsidRPr="001F1634">
        <w:t xml:space="preserve">In Belgium, tertiary education is shared </w:t>
      </w:r>
      <w:r w:rsidR="00F10D5A">
        <w:t>between</w:t>
      </w:r>
      <w:r w:rsidRPr="001F1634">
        <w:t xml:space="preserve"> two institutions, universities and </w:t>
      </w:r>
      <w:r w:rsidR="00CA3F2E">
        <w:t>“H</w:t>
      </w:r>
      <w:r w:rsidR="00CA3F2E" w:rsidRPr="001F1634">
        <w:t xml:space="preserve">autes </w:t>
      </w:r>
      <w:proofErr w:type="spellStart"/>
      <w:r w:rsidR="00CA3F2E">
        <w:t>E</w:t>
      </w:r>
      <w:r w:rsidR="00CA3F2E" w:rsidRPr="001F1634">
        <w:t>coles</w:t>
      </w:r>
      <w:proofErr w:type="spellEnd"/>
      <w:r w:rsidR="00CA3F2E">
        <w:t>”</w:t>
      </w:r>
      <w:r w:rsidR="00CA3F2E" w:rsidRPr="001F1634">
        <w:t xml:space="preserve"> </w:t>
      </w:r>
      <w:r w:rsidRPr="001F1634">
        <w:t>(</w:t>
      </w:r>
      <w:r w:rsidR="00F10D5A">
        <w:t xml:space="preserve">which is translated in English as </w:t>
      </w:r>
      <w:r w:rsidRPr="001F1634">
        <w:t>“high school”, but</w:t>
      </w:r>
      <w:r w:rsidR="00F10D5A">
        <w:t xml:space="preserve"> obviously</w:t>
      </w:r>
      <w:r w:rsidRPr="001F1634">
        <w:t xml:space="preserve"> with a different meaning from the English or American system</w:t>
      </w:r>
      <w:r w:rsidR="00F10D5A">
        <w:t>, so in the rest of this study, we will keep the untranslated “</w:t>
      </w:r>
      <w:r w:rsidR="00CA3F2E">
        <w:t>Haute Ecole</w:t>
      </w:r>
      <w:r w:rsidR="00F10D5A" w:rsidRPr="006911A0">
        <w:t>” term</w:t>
      </w:r>
      <w:r w:rsidRPr="006911A0">
        <w:t xml:space="preserve">). </w:t>
      </w:r>
      <w:r w:rsidR="00CB6991" w:rsidRPr="006911A0">
        <w:t xml:space="preserve">“Hautes </w:t>
      </w:r>
      <w:proofErr w:type="spellStart"/>
      <w:r w:rsidR="00CB6991" w:rsidRPr="006911A0">
        <w:t>Ecoles</w:t>
      </w:r>
      <w:proofErr w:type="spellEnd"/>
      <w:r w:rsidR="00CB6991" w:rsidRPr="006911A0">
        <w:t xml:space="preserve">” organize either bachelor only or bachelor + </w:t>
      </w:r>
      <w:proofErr w:type="gramStart"/>
      <w:r w:rsidR="00CB6991" w:rsidRPr="006911A0">
        <w:t>master</w:t>
      </w:r>
      <w:proofErr w:type="gramEnd"/>
      <w:r w:rsidR="00CB6991" w:rsidRPr="006911A0">
        <w:t xml:space="preserve"> degrees and are more focussed on technical </w:t>
      </w:r>
      <w:r w:rsidR="00CB6991" w:rsidRPr="006358B6">
        <w:t>education directly preparing to industry positions</w:t>
      </w:r>
      <w:r w:rsidR="00A4095E" w:rsidRPr="006358B6">
        <w:t>, while universities organize bachelor and master degrees and centre on theory-focused education preparing to research positions</w:t>
      </w:r>
      <w:r w:rsidR="00CB6991" w:rsidRPr="006358B6">
        <w:t xml:space="preserve">. </w:t>
      </w:r>
      <w:r w:rsidR="00711D75" w:rsidRPr="006358B6">
        <w:rPr>
          <w:lang w:val="fr-BE"/>
        </w:rPr>
        <w:t xml:space="preserve">27 institutions </w:t>
      </w:r>
      <w:proofErr w:type="spellStart"/>
      <w:r w:rsidR="00711D75" w:rsidRPr="006358B6">
        <w:rPr>
          <w:lang w:val="fr-BE"/>
        </w:rPr>
        <w:t>were</w:t>
      </w:r>
      <w:proofErr w:type="spellEnd"/>
      <w:r w:rsidR="00F10D5A" w:rsidRPr="006358B6">
        <w:rPr>
          <w:lang w:val="fr-BE"/>
        </w:rPr>
        <w:t xml:space="preserve"> </w:t>
      </w:r>
      <w:proofErr w:type="spellStart"/>
      <w:r w:rsidR="00711D75" w:rsidRPr="006358B6">
        <w:rPr>
          <w:lang w:val="fr-BE"/>
        </w:rPr>
        <w:t>screened</w:t>
      </w:r>
      <w:proofErr w:type="spellEnd"/>
      <w:r w:rsidR="00711D75" w:rsidRPr="006358B6">
        <w:rPr>
          <w:lang w:val="fr-BE"/>
        </w:rPr>
        <w:t xml:space="preserve"> to </w:t>
      </w:r>
      <w:proofErr w:type="spellStart"/>
      <w:r w:rsidR="00711D75" w:rsidRPr="006358B6">
        <w:rPr>
          <w:lang w:val="fr-BE"/>
        </w:rPr>
        <w:t>see</w:t>
      </w:r>
      <w:proofErr w:type="spellEnd"/>
      <w:r w:rsidR="00711D75" w:rsidRPr="006358B6">
        <w:rPr>
          <w:lang w:val="fr-BE"/>
        </w:rPr>
        <w:t xml:space="preserve"> if </w:t>
      </w:r>
      <w:proofErr w:type="spellStart"/>
      <w:r w:rsidR="00711D75" w:rsidRPr="006358B6">
        <w:rPr>
          <w:lang w:val="fr-BE"/>
        </w:rPr>
        <w:t>they</w:t>
      </w:r>
      <w:proofErr w:type="spellEnd"/>
      <w:r w:rsidR="00711D75" w:rsidRPr="006358B6">
        <w:rPr>
          <w:lang w:val="fr-BE"/>
        </w:rPr>
        <w:t xml:space="preserve"> </w:t>
      </w:r>
      <w:proofErr w:type="spellStart"/>
      <w:r w:rsidR="00711D75" w:rsidRPr="006358B6">
        <w:rPr>
          <w:lang w:val="fr-BE"/>
        </w:rPr>
        <w:t>proposed</w:t>
      </w:r>
      <w:proofErr w:type="spellEnd"/>
      <w:r w:rsidR="00711D75" w:rsidRPr="006358B6">
        <w:rPr>
          <w:lang w:val="fr-BE"/>
        </w:rPr>
        <w:t xml:space="preserve"> a </w:t>
      </w:r>
      <w:proofErr w:type="spellStart"/>
      <w:r w:rsidR="00711D75" w:rsidRPr="006358B6">
        <w:rPr>
          <w:lang w:val="fr-BE"/>
        </w:rPr>
        <w:t>chemistry</w:t>
      </w:r>
      <w:proofErr w:type="spellEnd"/>
      <w:r w:rsidR="00711D75" w:rsidRPr="006358B6">
        <w:rPr>
          <w:lang w:val="fr-BE"/>
        </w:rPr>
        <w:t xml:space="preserve"> </w:t>
      </w:r>
      <w:proofErr w:type="spellStart"/>
      <w:r w:rsidR="00711D75" w:rsidRPr="006358B6">
        <w:rPr>
          <w:lang w:val="fr-BE"/>
        </w:rPr>
        <w:t>bachelor</w:t>
      </w:r>
      <w:proofErr w:type="spellEnd"/>
      <w:r w:rsidR="00711D75" w:rsidRPr="006358B6">
        <w:rPr>
          <w:lang w:val="fr-BE"/>
        </w:rPr>
        <w:t xml:space="preserve"> or </w:t>
      </w:r>
      <w:proofErr w:type="spellStart"/>
      <w:r w:rsidR="00711D75" w:rsidRPr="006358B6">
        <w:rPr>
          <w:lang w:val="fr-BE"/>
        </w:rPr>
        <w:t>chemistry</w:t>
      </w:r>
      <w:proofErr w:type="spellEnd"/>
      <w:r w:rsidR="00711D75" w:rsidRPr="006358B6">
        <w:rPr>
          <w:lang w:val="fr-BE"/>
        </w:rPr>
        <w:t xml:space="preserve"> engineering </w:t>
      </w:r>
      <w:proofErr w:type="spellStart"/>
      <w:r w:rsidR="00711D75" w:rsidRPr="006358B6">
        <w:rPr>
          <w:lang w:val="fr-BE"/>
        </w:rPr>
        <w:t>bachelor</w:t>
      </w:r>
      <w:proofErr w:type="spellEnd"/>
      <w:r w:rsidR="006911A0" w:rsidRPr="006358B6">
        <w:rPr>
          <w:lang w:val="fr-BE"/>
        </w:rPr>
        <w:t>:</w:t>
      </w:r>
      <w:r w:rsidR="00711D75" w:rsidRPr="006358B6">
        <w:rPr>
          <w:lang w:val="fr-BE"/>
        </w:rPr>
        <w:t xml:space="preserve"> </w:t>
      </w:r>
      <w:r w:rsidRPr="006358B6">
        <w:rPr>
          <w:lang w:val="fr-BE"/>
        </w:rPr>
        <w:t xml:space="preserve">4 </w:t>
      </w:r>
      <w:proofErr w:type="spellStart"/>
      <w:r w:rsidR="00711D75" w:rsidRPr="006358B6">
        <w:rPr>
          <w:lang w:val="fr-BE"/>
        </w:rPr>
        <w:t>universities</w:t>
      </w:r>
      <w:proofErr w:type="spellEnd"/>
      <w:r w:rsidRPr="006358B6">
        <w:rPr>
          <w:lang w:val="fr-BE"/>
        </w:rPr>
        <w:t xml:space="preserve"> (</w:t>
      </w:r>
      <w:r w:rsidR="00CB6991" w:rsidRPr="006358B6">
        <w:rPr>
          <w:lang w:val="fr-BE"/>
        </w:rPr>
        <w:t xml:space="preserve">Free </w:t>
      </w:r>
      <w:proofErr w:type="spellStart"/>
      <w:r w:rsidR="00CB6991" w:rsidRPr="006358B6">
        <w:rPr>
          <w:lang w:val="fr-BE"/>
        </w:rPr>
        <w:t>University</w:t>
      </w:r>
      <w:proofErr w:type="spellEnd"/>
      <w:r w:rsidR="00CB6991" w:rsidRPr="006358B6">
        <w:rPr>
          <w:lang w:val="fr-BE"/>
        </w:rPr>
        <w:t xml:space="preserve"> of Brussels</w:t>
      </w:r>
      <w:r w:rsidRPr="006358B6">
        <w:rPr>
          <w:lang w:val="fr-BE"/>
        </w:rPr>
        <w:t xml:space="preserve">, </w:t>
      </w:r>
      <w:proofErr w:type="spellStart"/>
      <w:r w:rsidR="00CB6991" w:rsidRPr="006358B6">
        <w:rPr>
          <w:lang w:val="fr-BE"/>
        </w:rPr>
        <w:t>Catholic</w:t>
      </w:r>
      <w:proofErr w:type="spellEnd"/>
      <w:r w:rsidR="00CB6991" w:rsidRPr="006358B6">
        <w:rPr>
          <w:lang w:val="fr-BE"/>
        </w:rPr>
        <w:t xml:space="preserve"> </w:t>
      </w:r>
      <w:proofErr w:type="spellStart"/>
      <w:r w:rsidR="00CB6991" w:rsidRPr="006358B6">
        <w:rPr>
          <w:lang w:val="fr-BE"/>
        </w:rPr>
        <w:t>University</w:t>
      </w:r>
      <w:proofErr w:type="spellEnd"/>
      <w:r w:rsidR="00CB6991" w:rsidRPr="006358B6">
        <w:rPr>
          <w:lang w:val="fr-BE"/>
        </w:rPr>
        <w:t xml:space="preserve"> of Louvain</w:t>
      </w:r>
      <w:r w:rsidRPr="006358B6">
        <w:rPr>
          <w:lang w:val="fr-BE"/>
        </w:rPr>
        <w:t xml:space="preserve">, </w:t>
      </w:r>
      <w:proofErr w:type="spellStart"/>
      <w:r w:rsidRPr="006358B6">
        <w:rPr>
          <w:lang w:val="fr-BE"/>
        </w:rPr>
        <w:t>U</w:t>
      </w:r>
      <w:r w:rsidR="00CB6991" w:rsidRPr="006358B6">
        <w:rPr>
          <w:lang w:val="fr-BE"/>
        </w:rPr>
        <w:t>niversity</w:t>
      </w:r>
      <w:proofErr w:type="spellEnd"/>
      <w:r w:rsidR="00CB6991" w:rsidRPr="006358B6">
        <w:rPr>
          <w:lang w:val="fr-BE"/>
        </w:rPr>
        <w:t xml:space="preserve"> of </w:t>
      </w:r>
      <w:r w:rsidRPr="006358B6">
        <w:rPr>
          <w:lang w:val="fr-BE"/>
        </w:rPr>
        <w:t xml:space="preserve">Mons, </w:t>
      </w:r>
      <w:proofErr w:type="spellStart"/>
      <w:r w:rsidRPr="006358B6">
        <w:rPr>
          <w:lang w:val="fr-BE"/>
        </w:rPr>
        <w:t>U</w:t>
      </w:r>
      <w:r w:rsidR="00CB6991" w:rsidRPr="006358B6">
        <w:rPr>
          <w:lang w:val="fr-BE"/>
        </w:rPr>
        <w:t>niversity</w:t>
      </w:r>
      <w:proofErr w:type="spellEnd"/>
      <w:r w:rsidR="00CB6991" w:rsidRPr="006358B6">
        <w:rPr>
          <w:lang w:val="fr-BE"/>
        </w:rPr>
        <w:t xml:space="preserve"> of </w:t>
      </w:r>
      <w:r w:rsidRPr="006358B6">
        <w:rPr>
          <w:lang w:val="fr-BE"/>
        </w:rPr>
        <w:t>Namur)</w:t>
      </w:r>
      <w:r w:rsidR="00F10D5A" w:rsidRPr="006358B6">
        <w:rPr>
          <w:lang w:val="fr-BE"/>
        </w:rPr>
        <w:t xml:space="preserve"> </w:t>
      </w:r>
      <w:proofErr w:type="spellStart"/>
      <w:r w:rsidR="00F10D5A" w:rsidRPr="006358B6">
        <w:rPr>
          <w:lang w:val="fr-BE"/>
        </w:rPr>
        <w:t>under</w:t>
      </w:r>
      <w:proofErr w:type="spellEnd"/>
      <w:r w:rsidR="00F10D5A" w:rsidRPr="006358B6">
        <w:rPr>
          <w:lang w:val="fr-BE"/>
        </w:rPr>
        <w:t xml:space="preserve"> the </w:t>
      </w:r>
      <w:r w:rsidR="005A67AD" w:rsidRPr="006358B6">
        <w:rPr>
          <w:lang w:val="fr-BE"/>
        </w:rPr>
        <w:t xml:space="preserve">supervision </w:t>
      </w:r>
      <w:r w:rsidR="00F10D5A" w:rsidRPr="006358B6">
        <w:rPr>
          <w:lang w:val="fr-BE"/>
        </w:rPr>
        <w:t>of French-</w:t>
      </w:r>
      <w:proofErr w:type="spellStart"/>
      <w:r w:rsidR="00F10D5A" w:rsidRPr="006358B6">
        <w:rPr>
          <w:lang w:val="fr-BE"/>
        </w:rPr>
        <w:t>speaking</w:t>
      </w:r>
      <w:proofErr w:type="spellEnd"/>
      <w:r w:rsidR="00F10D5A" w:rsidRPr="006358B6">
        <w:rPr>
          <w:lang w:val="fr-BE"/>
        </w:rPr>
        <w:t xml:space="preserve"> </w:t>
      </w:r>
      <w:proofErr w:type="spellStart"/>
      <w:r w:rsidR="00F10D5A" w:rsidRPr="006358B6">
        <w:rPr>
          <w:lang w:val="fr-BE"/>
        </w:rPr>
        <w:t>government</w:t>
      </w:r>
      <w:proofErr w:type="spellEnd"/>
      <w:r w:rsidR="00F10D5A" w:rsidRPr="006358B6">
        <w:rPr>
          <w:lang w:val="fr-BE"/>
        </w:rPr>
        <w:t xml:space="preserve"> of </w:t>
      </w:r>
      <w:proofErr w:type="spellStart"/>
      <w:r w:rsidR="00F10D5A" w:rsidRPr="006358B6">
        <w:rPr>
          <w:lang w:val="fr-BE"/>
        </w:rPr>
        <w:t>Belgium</w:t>
      </w:r>
      <w:proofErr w:type="spellEnd"/>
      <w:r w:rsidRPr="006358B6">
        <w:rPr>
          <w:lang w:val="fr-BE"/>
        </w:rPr>
        <w:t xml:space="preserve">, </w:t>
      </w:r>
      <w:proofErr w:type="spellStart"/>
      <w:r w:rsidRPr="006358B6">
        <w:rPr>
          <w:lang w:val="fr-BE"/>
        </w:rPr>
        <w:t>except</w:t>
      </w:r>
      <w:proofErr w:type="spellEnd"/>
      <w:r w:rsidRPr="006358B6">
        <w:rPr>
          <w:lang w:val="fr-BE"/>
        </w:rPr>
        <w:t xml:space="preserve"> for</w:t>
      </w:r>
      <w:r w:rsidRPr="006911A0">
        <w:rPr>
          <w:lang w:val="fr-BE"/>
        </w:rPr>
        <w:t xml:space="preserve"> </w:t>
      </w:r>
      <w:r w:rsidR="00F10D5A" w:rsidRPr="006911A0">
        <w:rPr>
          <w:lang w:val="fr-BE"/>
        </w:rPr>
        <w:t xml:space="preserve">the </w:t>
      </w:r>
      <w:proofErr w:type="spellStart"/>
      <w:r w:rsidR="00F10D5A" w:rsidRPr="006911A0">
        <w:rPr>
          <w:lang w:val="fr-BE"/>
        </w:rPr>
        <w:t>authors</w:t>
      </w:r>
      <w:proofErr w:type="spellEnd"/>
      <w:r w:rsidR="00F10D5A" w:rsidRPr="006911A0">
        <w:rPr>
          <w:lang w:val="fr-BE"/>
        </w:rPr>
        <w:t xml:space="preserve">’ </w:t>
      </w:r>
      <w:proofErr w:type="spellStart"/>
      <w:r w:rsidR="00F10D5A" w:rsidRPr="006911A0">
        <w:rPr>
          <w:lang w:val="fr-BE"/>
        </w:rPr>
        <w:t>university</w:t>
      </w:r>
      <w:proofErr w:type="spellEnd"/>
      <w:r w:rsidR="00F10D5A" w:rsidRPr="006911A0">
        <w:rPr>
          <w:lang w:val="fr-BE"/>
        </w:rPr>
        <w:t xml:space="preserve"> (</w:t>
      </w:r>
      <w:r w:rsidRPr="006911A0">
        <w:rPr>
          <w:lang w:val="fr-BE"/>
        </w:rPr>
        <w:t>ULiège</w:t>
      </w:r>
      <w:r w:rsidR="00F10D5A" w:rsidRPr="006911A0">
        <w:rPr>
          <w:lang w:val="fr-BE"/>
        </w:rPr>
        <w:t>)</w:t>
      </w:r>
      <w:r w:rsidR="00C83965" w:rsidRPr="006911A0">
        <w:rPr>
          <w:lang w:val="fr-BE"/>
        </w:rPr>
        <w:t xml:space="preserve">, </w:t>
      </w:r>
      <w:proofErr w:type="spellStart"/>
      <w:r w:rsidR="00C83965" w:rsidRPr="006911A0">
        <w:rPr>
          <w:lang w:val="fr-BE"/>
        </w:rPr>
        <w:t>because</w:t>
      </w:r>
      <w:proofErr w:type="spellEnd"/>
      <w:r w:rsidR="00C83965" w:rsidRPr="006911A0">
        <w:rPr>
          <w:lang w:val="fr-BE"/>
        </w:rPr>
        <w:t xml:space="preserve"> the </w:t>
      </w:r>
      <w:proofErr w:type="spellStart"/>
      <w:r w:rsidR="00C83965" w:rsidRPr="006911A0">
        <w:rPr>
          <w:lang w:val="fr-BE"/>
        </w:rPr>
        <w:t>authors</w:t>
      </w:r>
      <w:proofErr w:type="spellEnd"/>
      <w:r w:rsidR="00C83965" w:rsidRPr="006911A0">
        <w:rPr>
          <w:lang w:val="fr-BE"/>
        </w:rPr>
        <w:t xml:space="preserve"> of </w:t>
      </w:r>
      <w:proofErr w:type="spellStart"/>
      <w:r w:rsidR="00C83965" w:rsidRPr="006911A0">
        <w:rPr>
          <w:lang w:val="fr-BE"/>
        </w:rPr>
        <w:t>this</w:t>
      </w:r>
      <w:proofErr w:type="spellEnd"/>
      <w:r w:rsidR="00C83965" w:rsidRPr="006911A0">
        <w:rPr>
          <w:lang w:val="fr-BE"/>
        </w:rPr>
        <w:t xml:space="preserve"> </w:t>
      </w:r>
      <w:proofErr w:type="spellStart"/>
      <w:r w:rsidR="00C83965" w:rsidRPr="006911A0">
        <w:rPr>
          <w:lang w:val="fr-BE"/>
        </w:rPr>
        <w:t>study</w:t>
      </w:r>
      <w:proofErr w:type="spellEnd"/>
      <w:r w:rsidR="00C83965" w:rsidRPr="006911A0">
        <w:rPr>
          <w:lang w:val="fr-BE"/>
        </w:rPr>
        <w:t xml:space="preserve"> </w:t>
      </w:r>
      <w:proofErr w:type="spellStart"/>
      <w:r w:rsidR="00C83965" w:rsidRPr="006911A0">
        <w:rPr>
          <w:lang w:val="fr-BE"/>
        </w:rPr>
        <w:t>already</w:t>
      </w:r>
      <w:proofErr w:type="spellEnd"/>
      <w:r w:rsidR="00C83965" w:rsidRPr="006911A0">
        <w:rPr>
          <w:lang w:val="fr-BE"/>
        </w:rPr>
        <w:t xml:space="preserve"> </w:t>
      </w:r>
      <w:proofErr w:type="spellStart"/>
      <w:r w:rsidR="00C83965" w:rsidRPr="006911A0">
        <w:rPr>
          <w:lang w:val="fr-BE"/>
        </w:rPr>
        <w:t>collaborated</w:t>
      </w:r>
      <w:proofErr w:type="spellEnd"/>
      <w:r w:rsidR="00C83965" w:rsidRPr="006911A0">
        <w:rPr>
          <w:lang w:val="fr-BE"/>
        </w:rPr>
        <w:t xml:space="preserve"> in </w:t>
      </w:r>
      <w:proofErr w:type="spellStart"/>
      <w:r w:rsidR="00C83965" w:rsidRPr="006911A0">
        <w:rPr>
          <w:lang w:val="fr-BE"/>
        </w:rPr>
        <w:t>previous</w:t>
      </w:r>
      <w:proofErr w:type="spellEnd"/>
      <w:r w:rsidR="00C83965" w:rsidRPr="006911A0">
        <w:rPr>
          <w:lang w:val="fr-BE"/>
        </w:rPr>
        <w:t xml:space="preserve"> </w:t>
      </w:r>
      <w:proofErr w:type="spellStart"/>
      <w:r w:rsidR="00C83965" w:rsidRPr="006911A0">
        <w:rPr>
          <w:lang w:val="fr-BE"/>
        </w:rPr>
        <w:t>research</w:t>
      </w:r>
      <w:proofErr w:type="spellEnd"/>
      <w:r w:rsidR="00C83965" w:rsidRPr="006911A0">
        <w:rPr>
          <w:lang w:val="fr-BE"/>
        </w:rPr>
        <w:t xml:space="preserve"> </w:t>
      </w:r>
      <w:proofErr w:type="spellStart"/>
      <w:r w:rsidR="00C83965" w:rsidRPr="006911A0">
        <w:rPr>
          <w:lang w:val="fr-BE"/>
        </w:rPr>
        <w:t>with</w:t>
      </w:r>
      <w:proofErr w:type="spellEnd"/>
      <w:r w:rsidR="00C83965" w:rsidRPr="006911A0">
        <w:rPr>
          <w:lang w:val="fr-BE"/>
        </w:rPr>
        <w:t xml:space="preserve"> the </w:t>
      </w:r>
      <w:proofErr w:type="spellStart"/>
      <w:r w:rsidR="00C83965" w:rsidRPr="006911A0">
        <w:rPr>
          <w:lang w:val="fr-BE"/>
        </w:rPr>
        <w:t>thermodynamics</w:t>
      </w:r>
      <w:proofErr w:type="spellEnd"/>
      <w:r w:rsidR="00C83965" w:rsidRPr="006911A0">
        <w:rPr>
          <w:lang w:val="fr-BE"/>
        </w:rPr>
        <w:t xml:space="preserve"> </w:t>
      </w:r>
      <w:proofErr w:type="spellStart"/>
      <w:r w:rsidR="00C83965" w:rsidRPr="006911A0">
        <w:rPr>
          <w:lang w:val="fr-BE"/>
        </w:rPr>
        <w:t>teachers</w:t>
      </w:r>
      <w:proofErr w:type="spellEnd"/>
      <w:r w:rsidR="00C83965" w:rsidRPr="006911A0">
        <w:rPr>
          <w:lang w:val="fr-BE"/>
        </w:rPr>
        <w:t xml:space="preserve"> </w:t>
      </w:r>
      <w:proofErr w:type="spellStart"/>
      <w:r w:rsidR="00C83965" w:rsidRPr="006911A0">
        <w:rPr>
          <w:lang w:val="fr-BE"/>
        </w:rPr>
        <w:t>that</w:t>
      </w:r>
      <w:proofErr w:type="spellEnd"/>
      <w:r w:rsidR="00C83965" w:rsidRPr="006911A0">
        <w:rPr>
          <w:lang w:val="fr-BE"/>
        </w:rPr>
        <w:t xml:space="preserve"> </w:t>
      </w:r>
      <w:proofErr w:type="spellStart"/>
      <w:r w:rsidR="00C83965" w:rsidRPr="006911A0">
        <w:rPr>
          <w:lang w:val="fr-BE"/>
        </w:rPr>
        <w:t>could</w:t>
      </w:r>
      <w:proofErr w:type="spellEnd"/>
      <w:r w:rsidR="00C83965" w:rsidRPr="006911A0">
        <w:rPr>
          <w:lang w:val="fr-BE"/>
        </w:rPr>
        <w:t xml:space="preserve"> have </w:t>
      </w:r>
      <w:proofErr w:type="spellStart"/>
      <w:r w:rsidR="00C83965" w:rsidRPr="006911A0">
        <w:rPr>
          <w:lang w:val="fr-BE"/>
        </w:rPr>
        <w:t>answered</w:t>
      </w:r>
      <w:proofErr w:type="spellEnd"/>
      <w:r w:rsidR="00C83965" w:rsidRPr="006911A0">
        <w:rPr>
          <w:lang w:val="fr-BE"/>
        </w:rPr>
        <w:t xml:space="preserve"> to </w:t>
      </w:r>
      <w:proofErr w:type="spellStart"/>
      <w:r w:rsidR="00C83965" w:rsidRPr="006911A0">
        <w:rPr>
          <w:lang w:val="fr-BE"/>
        </w:rPr>
        <w:t>this</w:t>
      </w:r>
      <w:proofErr w:type="spellEnd"/>
      <w:r w:rsidR="00C83965" w:rsidRPr="006911A0">
        <w:rPr>
          <w:lang w:val="fr-BE"/>
        </w:rPr>
        <w:t xml:space="preserve"> questionnaire at ULiège and </w:t>
      </w:r>
      <w:proofErr w:type="spellStart"/>
      <w:r w:rsidR="00C83965" w:rsidRPr="006911A0">
        <w:rPr>
          <w:lang w:val="fr-BE"/>
        </w:rPr>
        <w:t>these</w:t>
      </w:r>
      <w:proofErr w:type="spellEnd"/>
      <w:r w:rsidR="00C83965" w:rsidRPr="006911A0">
        <w:rPr>
          <w:lang w:val="fr-BE"/>
        </w:rPr>
        <w:t xml:space="preserve"> collaborations </w:t>
      </w:r>
      <w:proofErr w:type="spellStart"/>
      <w:r w:rsidR="00C83965" w:rsidRPr="006911A0">
        <w:rPr>
          <w:lang w:val="fr-BE"/>
        </w:rPr>
        <w:t>might</w:t>
      </w:r>
      <w:proofErr w:type="spellEnd"/>
      <w:r w:rsidR="00C83965" w:rsidRPr="006911A0">
        <w:rPr>
          <w:lang w:val="fr-BE"/>
        </w:rPr>
        <w:t xml:space="preserve"> have </w:t>
      </w:r>
      <w:proofErr w:type="spellStart"/>
      <w:r w:rsidR="00C83965" w:rsidRPr="006911A0">
        <w:rPr>
          <w:lang w:val="fr-BE"/>
        </w:rPr>
        <w:t>influenced</w:t>
      </w:r>
      <w:proofErr w:type="spellEnd"/>
      <w:r w:rsidR="00C83965" w:rsidRPr="006911A0">
        <w:rPr>
          <w:lang w:val="fr-BE"/>
        </w:rPr>
        <w:t xml:space="preserve"> </w:t>
      </w:r>
      <w:proofErr w:type="spellStart"/>
      <w:r w:rsidR="00C83965" w:rsidRPr="006911A0">
        <w:rPr>
          <w:lang w:val="fr-BE"/>
        </w:rPr>
        <w:t>their</w:t>
      </w:r>
      <w:proofErr w:type="spellEnd"/>
      <w:r w:rsidR="00C83965" w:rsidRPr="006911A0">
        <w:rPr>
          <w:lang w:val="fr-BE"/>
        </w:rPr>
        <w:t xml:space="preserve"> </w:t>
      </w:r>
      <w:proofErr w:type="spellStart"/>
      <w:r w:rsidR="00C83965" w:rsidRPr="006911A0">
        <w:rPr>
          <w:lang w:val="fr-BE"/>
        </w:rPr>
        <w:t>pedagogical</w:t>
      </w:r>
      <w:proofErr w:type="spellEnd"/>
      <w:r w:rsidR="00C83965" w:rsidRPr="006911A0">
        <w:rPr>
          <w:lang w:val="fr-BE"/>
        </w:rPr>
        <w:t xml:space="preserve"> opinions</w:t>
      </w:r>
      <w:r w:rsidR="006911A0" w:rsidRPr="006911A0">
        <w:rPr>
          <w:lang w:val="fr-BE"/>
        </w:rPr>
        <w:t>;</w:t>
      </w:r>
      <w:r w:rsidR="00C83965" w:rsidRPr="006911A0">
        <w:rPr>
          <w:lang w:val="fr-BE"/>
        </w:rPr>
        <w:t xml:space="preserve"> </w:t>
      </w:r>
      <w:r w:rsidRPr="006911A0">
        <w:rPr>
          <w:lang w:val="fr-BE"/>
        </w:rPr>
        <w:t xml:space="preserve">as </w:t>
      </w:r>
      <w:proofErr w:type="spellStart"/>
      <w:r w:rsidRPr="006911A0">
        <w:rPr>
          <w:lang w:val="fr-BE"/>
        </w:rPr>
        <w:t>well</w:t>
      </w:r>
      <w:proofErr w:type="spellEnd"/>
      <w:r w:rsidRPr="006911A0">
        <w:rPr>
          <w:lang w:val="fr-BE"/>
        </w:rPr>
        <w:t xml:space="preserve"> as 23 </w:t>
      </w:r>
      <w:r w:rsidR="005A67AD" w:rsidRPr="006911A0">
        <w:rPr>
          <w:lang w:val="fr-BE"/>
        </w:rPr>
        <w:t>Hautes Ecoles</w:t>
      </w:r>
      <w:r w:rsidR="00A4095E" w:rsidRPr="006911A0">
        <w:rPr>
          <w:lang w:val="fr-BE"/>
        </w:rPr>
        <w:t xml:space="preserve">: Haute </w:t>
      </w:r>
      <w:r w:rsidR="006911A0" w:rsidRPr="006911A0">
        <w:rPr>
          <w:lang w:val="fr-BE"/>
        </w:rPr>
        <w:t>É</w:t>
      </w:r>
      <w:r w:rsidR="00A4095E" w:rsidRPr="006911A0">
        <w:rPr>
          <w:lang w:val="fr-BE"/>
        </w:rPr>
        <w:t>cole de la Province de Liège</w:t>
      </w:r>
      <w:r w:rsidR="006911A0">
        <w:rPr>
          <w:lang w:val="fr-BE"/>
        </w:rPr>
        <w:t xml:space="preserve"> (HEPL)</w:t>
      </w:r>
      <w:r w:rsidR="00A4095E" w:rsidRPr="006911A0">
        <w:rPr>
          <w:lang w:val="fr-BE"/>
        </w:rPr>
        <w:t xml:space="preserve">, Haute </w:t>
      </w:r>
      <w:r w:rsidR="006911A0" w:rsidRPr="006911A0">
        <w:rPr>
          <w:lang w:val="fr-BE"/>
        </w:rPr>
        <w:t>É</w:t>
      </w:r>
      <w:r w:rsidR="00A4095E" w:rsidRPr="006911A0">
        <w:rPr>
          <w:lang w:val="fr-BE"/>
        </w:rPr>
        <w:t>cole Louvain en Hainaut</w:t>
      </w:r>
      <w:r w:rsidR="006911A0">
        <w:rPr>
          <w:lang w:val="fr-BE"/>
        </w:rPr>
        <w:t xml:space="preserve"> (HELHa)</w:t>
      </w:r>
      <w:r w:rsidR="00A4095E" w:rsidRPr="006911A0">
        <w:rPr>
          <w:lang w:val="fr-BE"/>
        </w:rPr>
        <w:t xml:space="preserve">, Haute </w:t>
      </w:r>
      <w:r w:rsidR="006911A0" w:rsidRPr="006911A0">
        <w:rPr>
          <w:lang w:val="fr-BE"/>
        </w:rPr>
        <w:t>É</w:t>
      </w:r>
      <w:r w:rsidR="00A4095E" w:rsidRPr="006911A0">
        <w:rPr>
          <w:lang w:val="fr-BE"/>
        </w:rPr>
        <w:t>cole Condorcet</w:t>
      </w:r>
      <w:r w:rsidR="006911A0">
        <w:rPr>
          <w:lang w:val="fr-BE"/>
        </w:rPr>
        <w:t xml:space="preserve"> (HE Condorcet)</w:t>
      </w:r>
      <w:r w:rsidR="00A4095E" w:rsidRPr="006911A0">
        <w:rPr>
          <w:lang w:val="fr-BE"/>
        </w:rPr>
        <w:t xml:space="preserve">, Haute </w:t>
      </w:r>
      <w:r w:rsidR="006911A0" w:rsidRPr="006911A0">
        <w:rPr>
          <w:lang w:val="fr-BE"/>
        </w:rPr>
        <w:t>É</w:t>
      </w:r>
      <w:r w:rsidR="00A4095E" w:rsidRPr="006911A0">
        <w:rPr>
          <w:lang w:val="fr-BE"/>
        </w:rPr>
        <w:t>cole Vinci</w:t>
      </w:r>
      <w:r w:rsidR="006911A0">
        <w:rPr>
          <w:lang w:val="fr-BE"/>
        </w:rPr>
        <w:t xml:space="preserve"> (HE Vinci)</w:t>
      </w:r>
      <w:r w:rsidR="00A4095E" w:rsidRPr="006911A0">
        <w:rPr>
          <w:lang w:val="fr-BE"/>
        </w:rPr>
        <w:t xml:space="preserve">, Haute </w:t>
      </w:r>
      <w:r w:rsidR="006911A0" w:rsidRPr="006911A0">
        <w:rPr>
          <w:lang w:val="fr-BE"/>
        </w:rPr>
        <w:t>É</w:t>
      </w:r>
      <w:r w:rsidR="00A4095E" w:rsidRPr="006911A0">
        <w:rPr>
          <w:lang w:val="fr-BE"/>
        </w:rPr>
        <w:t>cole Libre Mosane</w:t>
      </w:r>
      <w:r w:rsidR="006911A0">
        <w:rPr>
          <w:lang w:val="fr-BE"/>
        </w:rPr>
        <w:t xml:space="preserve"> (</w:t>
      </w:r>
      <w:proofErr w:type="spellStart"/>
      <w:r w:rsidR="006911A0">
        <w:rPr>
          <w:lang w:val="fr-BE"/>
        </w:rPr>
        <w:t>HELMo</w:t>
      </w:r>
      <w:proofErr w:type="spellEnd"/>
      <w:r w:rsidR="006911A0">
        <w:rPr>
          <w:lang w:val="fr-BE"/>
        </w:rPr>
        <w:t>)</w:t>
      </w:r>
      <w:r w:rsidR="00A4095E" w:rsidRPr="006911A0">
        <w:rPr>
          <w:lang w:val="fr-BE"/>
        </w:rPr>
        <w:t xml:space="preserve">, Haute </w:t>
      </w:r>
      <w:r w:rsidR="006911A0" w:rsidRPr="006911A0">
        <w:rPr>
          <w:lang w:val="fr-BE"/>
        </w:rPr>
        <w:t>É</w:t>
      </w:r>
      <w:r w:rsidR="00A4095E" w:rsidRPr="006911A0">
        <w:rPr>
          <w:lang w:val="fr-BE"/>
        </w:rPr>
        <w:t xml:space="preserve">cole de </w:t>
      </w:r>
      <w:r w:rsidR="00A4095E" w:rsidRPr="006911A0">
        <w:rPr>
          <w:lang w:val="fr-BE"/>
        </w:rPr>
        <w:lastRenderedPageBreak/>
        <w:t>Namur-Liège-</w:t>
      </w:r>
      <w:r w:rsidR="006911A0">
        <w:rPr>
          <w:lang w:val="fr-BE"/>
        </w:rPr>
        <w:t>Luxembourg (Hénallux)</w:t>
      </w:r>
      <w:r w:rsidR="00A4095E" w:rsidRPr="006911A0">
        <w:rPr>
          <w:lang w:val="fr-BE"/>
        </w:rPr>
        <w:t xml:space="preserve">, Haute </w:t>
      </w:r>
      <w:r w:rsidR="006911A0" w:rsidRPr="006911A0">
        <w:rPr>
          <w:lang w:val="fr-BE"/>
        </w:rPr>
        <w:t>É</w:t>
      </w:r>
      <w:r w:rsidR="00A4095E" w:rsidRPr="006911A0">
        <w:rPr>
          <w:lang w:val="fr-BE"/>
        </w:rPr>
        <w:t>cole Galilée</w:t>
      </w:r>
      <w:r w:rsidR="006911A0">
        <w:rPr>
          <w:lang w:val="fr-BE"/>
        </w:rPr>
        <w:t xml:space="preserve"> (HEG)</w:t>
      </w:r>
      <w:r w:rsidR="00A4095E" w:rsidRPr="006911A0">
        <w:rPr>
          <w:lang w:val="fr-BE"/>
        </w:rPr>
        <w:t xml:space="preserve">, </w:t>
      </w:r>
      <w:r w:rsidR="006911A0" w:rsidRPr="006911A0">
        <w:rPr>
          <w:lang w:val="fr-BE"/>
        </w:rPr>
        <w:t>É</w:t>
      </w:r>
      <w:r w:rsidR="00A4095E" w:rsidRPr="006911A0">
        <w:rPr>
          <w:lang w:val="fr-BE"/>
        </w:rPr>
        <w:t xml:space="preserve">cole </w:t>
      </w:r>
      <w:r w:rsidR="006911A0">
        <w:rPr>
          <w:lang w:val="fr-BE"/>
        </w:rPr>
        <w:t>P</w:t>
      </w:r>
      <w:r w:rsidR="00A4095E" w:rsidRPr="006911A0">
        <w:rPr>
          <w:lang w:val="fr-BE"/>
        </w:rPr>
        <w:t xml:space="preserve">ratique des </w:t>
      </w:r>
      <w:r w:rsidR="006911A0">
        <w:rPr>
          <w:lang w:val="fr-BE"/>
        </w:rPr>
        <w:t>H</w:t>
      </w:r>
      <w:r w:rsidR="00A4095E" w:rsidRPr="006911A0">
        <w:rPr>
          <w:lang w:val="fr-BE"/>
        </w:rPr>
        <w:t xml:space="preserve">autes </w:t>
      </w:r>
      <w:r w:rsidR="006911A0" w:rsidRPr="006911A0">
        <w:rPr>
          <w:lang w:val="fr-BE"/>
        </w:rPr>
        <w:t>É</w:t>
      </w:r>
      <w:r w:rsidR="00A4095E" w:rsidRPr="006911A0">
        <w:rPr>
          <w:lang w:val="fr-BE"/>
        </w:rPr>
        <w:t xml:space="preserve">tudes </w:t>
      </w:r>
      <w:r w:rsidR="006911A0">
        <w:rPr>
          <w:lang w:val="fr-BE"/>
        </w:rPr>
        <w:t>C</w:t>
      </w:r>
      <w:r w:rsidR="00A4095E" w:rsidRPr="006911A0">
        <w:rPr>
          <w:lang w:val="fr-BE"/>
        </w:rPr>
        <w:t>ommerciales</w:t>
      </w:r>
      <w:r w:rsidR="006911A0">
        <w:rPr>
          <w:lang w:val="fr-BE"/>
        </w:rPr>
        <w:t xml:space="preserve"> (EPHEC)</w:t>
      </w:r>
      <w:r w:rsidR="00A4095E" w:rsidRPr="006911A0">
        <w:rPr>
          <w:lang w:val="fr-BE"/>
        </w:rPr>
        <w:t xml:space="preserve">, Haute </w:t>
      </w:r>
      <w:r w:rsidR="006911A0" w:rsidRPr="006911A0">
        <w:rPr>
          <w:lang w:val="fr-BE"/>
        </w:rPr>
        <w:t>É</w:t>
      </w:r>
      <w:r w:rsidR="00A4095E" w:rsidRPr="006911A0">
        <w:rPr>
          <w:lang w:val="fr-BE"/>
        </w:rPr>
        <w:t>cole en Hainaut</w:t>
      </w:r>
      <w:r w:rsidR="006911A0">
        <w:rPr>
          <w:lang w:val="fr-BE"/>
        </w:rPr>
        <w:t xml:space="preserve"> (HEH)</w:t>
      </w:r>
      <w:r w:rsidR="00A4095E" w:rsidRPr="006911A0">
        <w:rPr>
          <w:lang w:val="fr-BE"/>
        </w:rPr>
        <w:t xml:space="preserve">, </w:t>
      </w:r>
      <w:r w:rsidR="006911A0" w:rsidRPr="006911A0">
        <w:rPr>
          <w:lang w:val="fr-BE"/>
        </w:rPr>
        <w:t>H</w:t>
      </w:r>
      <w:r w:rsidR="00A4095E" w:rsidRPr="006911A0">
        <w:rPr>
          <w:lang w:val="fr-BE"/>
        </w:rPr>
        <w:t xml:space="preserve">aute </w:t>
      </w:r>
      <w:r w:rsidR="006911A0" w:rsidRPr="006911A0">
        <w:rPr>
          <w:lang w:val="fr-BE"/>
        </w:rPr>
        <w:t>É</w:t>
      </w:r>
      <w:r w:rsidR="00A4095E" w:rsidRPr="006911A0">
        <w:rPr>
          <w:lang w:val="fr-BE"/>
        </w:rPr>
        <w:t>cole Charlemagne</w:t>
      </w:r>
      <w:r w:rsidR="006911A0">
        <w:rPr>
          <w:lang w:val="fr-BE"/>
        </w:rPr>
        <w:t xml:space="preserve"> (HECH)</w:t>
      </w:r>
      <w:r w:rsidR="00A4095E" w:rsidRPr="006911A0">
        <w:rPr>
          <w:lang w:val="fr-BE"/>
        </w:rPr>
        <w:t xml:space="preserve">, </w:t>
      </w:r>
      <w:r w:rsidR="00C83965" w:rsidRPr="006911A0">
        <w:rPr>
          <w:lang w:val="fr-BE"/>
        </w:rPr>
        <w:t xml:space="preserve">Institut </w:t>
      </w:r>
      <w:r w:rsidR="006911A0">
        <w:rPr>
          <w:lang w:val="fr-BE"/>
        </w:rPr>
        <w:t>C</w:t>
      </w:r>
      <w:r w:rsidR="00C83965" w:rsidRPr="006911A0">
        <w:rPr>
          <w:lang w:val="fr-BE"/>
        </w:rPr>
        <w:t xml:space="preserve">atholique des </w:t>
      </w:r>
      <w:r w:rsidR="006911A0">
        <w:rPr>
          <w:lang w:val="fr-BE"/>
        </w:rPr>
        <w:t>H</w:t>
      </w:r>
      <w:r w:rsidR="00C83965" w:rsidRPr="006911A0">
        <w:rPr>
          <w:lang w:val="fr-BE"/>
        </w:rPr>
        <w:t xml:space="preserve">autes </w:t>
      </w:r>
      <w:r w:rsidR="006911A0" w:rsidRPr="006911A0">
        <w:rPr>
          <w:lang w:val="fr-BE"/>
        </w:rPr>
        <w:t>É</w:t>
      </w:r>
      <w:r w:rsidR="00C83965" w:rsidRPr="006911A0">
        <w:rPr>
          <w:lang w:val="fr-BE"/>
        </w:rPr>
        <w:t xml:space="preserve">tudes </w:t>
      </w:r>
      <w:r w:rsidR="006911A0">
        <w:rPr>
          <w:lang w:val="fr-BE"/>
        </w:rPr>
        <w:t>C</w:t>
      </w:r>
      <w:r w:rsidR="00C83965" w:rsidRPr="006911A0">
        <w:rPr>
          <w:lang w:val="fr-BE"/>
        </w:rPr>
        <w:t>ommerciales Saint-Louis</w:t>
      </w:r>
      <w:r w:rsidR="006911A0">
        <w:rPr>
          <w:lang w:val="fr-BE"/>
        </w:rPr>
        <w:t xml:space="preserve"> (ICHEC-Saint-Louis)</w:t>
      </w:r>
      <w:r w:rsidR="00C83965" w:rsidRPr="006911A0">
        <w:rPr>
          <w:lang w:val="fr-BE"/>
        </w:rPr>
        <w:t xml:space="preserve">, Haute </w:t>
      </w:r>
      <w:r w:rsidR="006911A0" w:rsidRPr="006911A0">
        <w:rPr>
          <w:lang w:val="fr-BE"/>
        </w:rPr>
        <w:t>É</w:t>
      </w:r>
      <w:r w:rsidR="00C83965" w:rsidRPr="006911A0">
        <w:rPr>
          <w:lang w:val="fr-BE"/>
        </w:rPr>
        <w:t>cole Francisco Ferrer</w:t>
      </w:r>
      <w:r w:rsidR="006911A0">
        <w:rPr>
          <w:lang w:val="fr-BE"/>
        </w:rPr>
        <w:t xml:space="preserve"> (HEFF)</w:t>
      </w:r>
      <w:r w:rsidR="00C83965" w:rsidRPr="006911A0">
        <w:rPr>
          <w:lang w:val="fr-BE"/>
        </w:rPr>
        <w:t xml:space="preserve">, Haute </w:t>
      </w:r>
      <w:r w:rsidR="006911A0" w:rsidRPr="006911A0">
        <w:rPr>
          <w:lang w:val="fr-BE"/>
        </w:rPr>
        <w:t>É</w:t>
      </w:r>
      <w:r w:rsidR="00C83965" w:rsidRPr="006911A0">
        <w:rPr>
          <w:lang w:val="fr-BE"/>
        </w:rPr>
        <w:t>cole Bruxelles-Brabant</w:t>
      </w:r>
      <w:r w:rsidR="006911A0">
        <w:rPr>
          <w:lang w:val="fr-BE"/>
        </w:rPr>
        <w:t xml:space="preserve"> (HE2B)</w:t>
      </w:r>
      <w:r w:rsidR="00C83965" w:rsidRPr="006911A0">
        <w:rPr>
          <w:lang w:val="fr-BE"/>
        </w:rPr>
        <w:t xml:space="preserve">, Haute </w:t>
      </w:r>
      <w:r w:rsidR="006911A0" w:rsidRPr="006911A0">
        <w:rPr>
          <w:lang w:val="fr-BE"/>
        </w:rPr>
        <w:t>É</w:t>
      </w:r>
      <w:r w:rsidR="00C83965" w:rsidRPr="006911A0">
        <w:rPr>
          <w:lang w:val="fr-BE"/>
        </w:rPr>
        <w:t>cole Albert Jacquard</w:t>
      </w:r>
      <w:r w:rsidR="006911A0">
        <w:rPr>
          <w:lang w:val="fr-BE"/>
        </w:rPr>
        <w:t xml:space="preserve"> (HEAJ)</w:t>
      </w:r>
      <w:r w:rsidR="00C83965" w:rsidRPr="006911A0">
        <w:rPr>
          <w:lang w:val="fr-BE"/>
        </w:rPr>
        <w:t xml:space="preserve">, Haute </w:t>
      </w:r>
      <w:r w:rsidR="006911A0" w:rsidRPr="006911A0">
        <w:rPr>
          <w:lang w:val="fr-BE"/>
        </w:rPr>
        <w:t>É</w:t>
      </w:r>
      <w:r w:rsidR="00C83965" w:rsidRPr="006911A0">
        <w:rPr>
          <w:lang w:val="fr-BE"/>
        </w:rPr>
        <w:t xml:space="preserve">cole </w:t>
      </w:r>
      <w:r w:rsidR="006911A0">
        <w:rPr>
          <w:lang w:val="fr-BE"/>
        </w:rPr>
        <w:t>L</w:t>
      </w:r>
      <w:r w:rsidR="00C83965" w:rsidRPr="006911A0">
        <w:rPr>
          <w:lang w:val="fr-BE"/>
        </w:rPr>
        <w:t xml:space="preserve">ibre de </w:t>
      </w:r>
      <w:r w:rsidR="006911A0" w:rsidRPr="006911A0">
        <w:rPr>
          <w:lang w:val="fr-BE"/>
        </w:rPr>
        <w:t>B</w:t>
      </w:r>
      <w:r w:rsidR="00C83965" w:rsidRPr="006911A0">
        <w:rPr>
          <w:lang w:val="fr-BE"/>
        </w:rPr>
        <w:t>ruxelles Ilya Prigogine</w:t>
      </w:r>
      <w:r w:rsidR="006911A0">
        <w:rPr>
          <w:lang w:val="fr-BE"/>
        </w:rPr>
        <w:t xml:space="preserve"> (HE</w:t>
      </w:r>
      <w:r w:rsidR="009C7A5B">
        <w:rPr>
          <w:lang w:val="fr-BE"/>
        </w:rPr>
        <w:t>L</w:t>
      </w:r>
      <w:r w:rsidR="006911A0">
        <w:rPr>
          <w:lang w:val="fr-BE"/>
        </w:rPr>
        <w:t>B)</w:t>
      </w:r>
      <w:r w:rsidR="00C83965" w:rsidRPr="006911A0">
        <w:rPr>
          <w:lang w:val="fr-BE"/>
        </w:rPr>
        <w:t xml:space="preserve">, Haute </w:t>
      </w:r>
      <w:r w:rsidR="006911A0" w:rsidRPr="006911A0">
        <w:rPr>
          <w:lang w:val="fr-BE"/>
        </w:rPr>
        <w:t>É</w:t>
      </w:r>
      <w:r w:rsidR="00C83965" w:rsidRPr="006911A0">
        <w:rPr>
          <w:lang w:val="fr-BE"/>
        </w:rPr>
        <w:t>cole Robert Schuman</w:t>
      </w:r>
      <w:r w:rsidR="009C7A5B">
        <w:rPr>
          <w:lang w:val="fr-BE"/>
        </w:rPr>
        <w:t xml:space="preserve"> (HERS)</w:t>
      </w:r>
      <w:r w:rsidR="00C83965" w:rsidRPr="006911A0">
        <w:rPr>
          <w:lang w:val="fr-BE"/>
        </w:rPr>
        <w:t xml:space="preserve">, Haute </w:t>
      </w:r>
      <w:r w:rsidR="006911A0" w:rsidRPr="006911A0">
        <w:rPr>
          <w:lang w:val="fr-BE"/>
        </w:rPr>
        <w:t>É</w:t>
      </w:r>
      <w:r w:rsidR="00C83965" w:rsidRPr="006911A0">
        <w:rPr>
          <w:lang w:val="fr-BE"/>
        </w:rPr>
        <w:t>cole Lucia de Brouckère</w:t>
      </w:r>
      <w:r w:rsidR="009C7A5B">
        <w:rPr>
          <w:lang w:val="fr-BE"/>
        </w:rPr>
        <w:t xml:space="preserve"> (</w:t>
      </w:r>
      <w:proofErr w:type="spellStart"/>
      <w:r w:rsidR="009C7A5B">
        <w:rPr>
          <w:lang w:val="fr-BE"/>
        </w:rPr>
        <w:t>HELdB</w:t>
      </w:r>
      <w:proofErr w:type="spellEnd"/>
      <w:r w:rsidR="009C7A5B">
        <w:rPr>
          <w:lang w:val="fr-BE"/>
        </w:rPr>
        <w:t>)</w:t>
      </w:r>
      <w:r w:rsidR="00C83965" w:rsidRPr="006911A0">
        <w:rPr>
          <w:lang w:val="fr-BE"/>
        </w:rPr>
        <w:t xml:space="preserve">, Haute </w:t>
      </w:r>
      <w:r w:rsidR="006911A0" w:rsidRPr="006911A0">
        <w:rPr>
          <w:lang w:val="fr-BE"/>
        </w:rPr>
        <w:t>É</w:t>
      </w:r>
      <w:r w:rsidR="00C83965" w:rsidRPr="006911A0">
        <w:rPr>
          <w:lang w:val="fr-BE"/>
        </w:rPr>
        <w:t xml:space="preserve">cole de la Province de </w:t>
      </w:r>
      <w:r w:rsidR="006911A0">
        <w:rPr>
          <w:lang w:val="fr-BE"/>
        </w:rPr>
        <w:t>N</w:t>
      </w:r>
      <w:r w:rsidR="00C83965" w:rsidRPr="006911A0">
        <w:rPr>
          <w:lang w:val="fr-BE"/>
        </w:rPr>
        <w:t>amur</w:t>
      </w:r>
      <w:r w:rsidR="009C7A5B">
        <w:rPr>
          <w:lang w:val="fr-BE"/>
        </w:rPr>
        <w:t xml:space="preserve"> (HEPN)</w:t>
      </w:r>
      <w:r w:rsidR="00C83965" w:rsidRPr="006911A0">
        <w:rPr>
          <w:lang w:val="fr-BE"/>
        </w:rPr>
        <w:t xml:space="preserve">, Haute </w:t>
      </w:r>
      <w:r w:rsidR="006911A0" w:rsidRPr="006911A0">
        <w:rPr>
          <w:lang w:val="fr-BE"/>
        </w:rPr>
        <w:t>É</w:t>
      </w:r>
      <w:r w:rsidR="00C83965" w:rsidRPr="006911A0">
        <w:rPr>
          <w:lang w:val="fr-BE"/>
        </w:rPr>
        <w:t>cole de la Ville de Liège</w:t>
      </w:r>
      <w:r w:rsidR="009C7A5B">
        <w:rPr>
          <w:lang w:val="fr-BE"/>
        </w:rPr>
        <w:t xml:space="preserve"> (HEL)</w:t>
      </w:r>
      <w:r w:rsidR="00C83965" w:rsidRPr="006911A0">
        <w:rPr>
          <w:lang w:val="fr-BE"/>
        </w:rPr>
        <w:t xml:space="preserve">, Ecole </w:t>
      </w:r>
      <w:r w:rsidR="006911A0">
        <w:rPr>
          <w:lang w:val="fr-BE"/>
        </w:rPr>
        <w:t>I</w:t>
      </w:r>
      <w:r w:rsidR="00C83965" w:rsidRPr="006911A0">
        <w:rPr>
          <w:lang w:val="fr-BE"/>
        </w:rPr>
        <w:t xml:space="preserve">ndustrielle et </w:t>
      </w:r>
      <w:r w:rsidR="006911A0">
        <w:rPr>
          <w:lang w:val="fr-BE"/>
        </w:rPr>
        <w:t>C</w:t>
      </w:r>
      <w:r w:rsidR="00C83965" w:rsidRPr="006911A0">
        <w:rPr>
          <w:lang w:val="fr-BE"/>
        </w:rPr>
        <w:t>ommerciale de la Province de Namur</w:t>
      </w:r>
      <w:r w:rsidR="009C7A5B">
        <w:rPr>
          <w:lang w:val="fr-BE"/>
        </w:rPr>
        <w:t xml:space="preserve"> (EICVN)</w:t>
      </w:r>
      <w:r w:rsidR="00C83965" w:rsidRPr="006911A0">
        <w:rPr>
          <w:lang w:val="fr-BE"/>
        </w:rPr>
        <w:t>, Institut Supérieur Industriel de Promotion Social</w:t>
      </w:r>
      <w:r w:rsidR="00AB2CCE">
        <w:rPr>
          <w:lang w:val="fr-BE"/>
        </w:rPr>
        <w:t>e</w:t>
      </w:r>
      <w:r w:rsidR="00C83965" w:rsidRPr="006911A0">
        <w:rPr>
          <w:lang w:val="fr-BE"/>
        </w:rPr>
        <w:t xml:space="preserve"> de Charleroi</w:t>
      </w:r>
      <w:r w:rsidR="009C7A5B">
        <w:rPr>
          <w:lang w:val="fr-BE"/>
        </w:rPr>
        <w:t xml:space="preserve"> (ISI-PS)</w:t>
      </w:r>
      <w:r w:rsidR="00C83965" w:rsidRPr="006911A0">
        <w:rPr>
          <w:lang w:val="fr-BE"/>
        </w:rPr>
        <w:t xml:space="preserve">, Institut Roger </w:t>
      </w:r>
      <w:proofErr w:type="spellStart"/>
      <w:r w:rsidR="00C83965" w:rsidRPr="006911A0">
        <w:rPr>
          <w:lang w:val="fr-BE"/>
        </w:rPr>
        <w:t>Lambion</w:t>
      </w:r>
      <w:proofErr w:type="spellEnd"/>
      <w:r w:rsidR="00C83965" w:rsidRPr="006911A0">
        <w:rPr>
          <w:lang w:val="fr-BE"/>
        </w:rPr>
        <w:t>, Institut Provincial Supérieur Henri La Fontaine</w:t>
      </w:r>
      <w:r w:rsidR="009C7A5B">
        <w:rPr>
          <w:lang w:val="fr-BE"/>
        </w:rPr>
        <w:t xml:space="preserve"> (IPS HLF) and</w:t>
      </w:r>
      <w:r w:rsidR="00C83965" w:rsidRPr="006911A0">
        <w:rPr>
          <w:lang w:val="fr-BE"/>
        </w:rPr>
        <w:t xml:space="preserve"> Institut de Technologie</w:t>
      </w:r>
      <w:r w:rsidR="00043157" w:rsidRPr="006911A0">
        <w:rPr>
          <w:lang w:val="fr-BE"/>
        </w:rPr>
        <w:t xml:space="preserve">. </w:t>
      </w:r>
      <w:r w:rsidR="00F352B9" w:rsidRPr="006911A0">
        <w:t>The respondent numbers and char</w:t>
      </w:r>
      <w:r w:rsidR="00F352B9">
        <w:t>acteristics are presented at the beginning of the Results section</w:t>
      </w:r>
      <w:r w:rsidR="00AB2CCE">
        <w:t>.</w:t>
      </w:r>
      <w:r w:rsidR="006911A0">
        <w:t xml:space="preserve"> </w:t>
      </w:r>
    </w:p>
    <w:p w14:paraId="0374C98E" w14:textId="77777777" w:rsidR="00F10D5A" w:rsidRPr="001F1634" w:rsidRDefault="00F10D5A" w:rsidP="00F10D5A">
      <w:pPr>
        <w:pStyle w:val="Heading2"/>
      </w:pPr>
      <w:r w:rsidRPr="001F1634">
        <w:t xml:space="preserve">Questionnaire </w:t>
      </w:r>
    </w:p>
    <w:p w14:paraId="3264F7D2" w14:textId="77777777" w:rsidR="00F10D5A" w:rsidRPr="001F1634" w:rsidRDefault="00F10D5A" w:rsidP="00F10D5A">
      <w:r w:rsidRPr="001F1634">
        <w:t>The online survey</w:t>
      </w:r>
      <w:r>
        <w:t xml:space="preserve"> was sent by mail to all screened teachers. It</w:t>
      </w:r>
      <w:r w:rsidRPr="001F1634">
        <w:t xml:space="preserve"> consisted of 4 parts</w:t>
      </w:r>
      <w:r>
        <w:t xml:space="preserve">. </w:t>
      </w:r>
    </w:p>
    <w:p w14:paraId="668405B5" w14:textId="1AD7EC17" w:rsidR="00F10D5A" w:rsidRPr="001F1634" w:rsidRDefault="00F10D5A" w:rsidP="00F10D5A">
      <w:pPr>
        <w:pStyle w:val="ListParagraph"/>
        <w:numPr>
          <w:ilvl w:val="0"/>
          <w:numId w:val="1"/>
        </w:numPr>
      </w:pPr>
      <w:r w:rsidRPr="001F1634">
        <w:t>Personal information: age range, institution name, job status, if the respondents were thermodynamics researchers and their area of expertise, if they were education researchers and their area of expertise, number of years of experience</w:t>
      </w:r>
      <w:r w:rsidR="005A67AD">
        <w:t xml:space="preserve"> in</w:t>
      </w:r>
      <w:r w:rsidRPr="001F1634">
        <w:t xml:space="preserve"> teaching thermodynamics, pedagogical</w:t>
      </w:r>
      <w:r>
        <w:t xml:space="preserve"> diploma</w:t>
      </w:r>
      <w:r w:rsidRPr="001F1634">
        <w:t>.</w:t>
      </w:r>
    </w:p>
    <w:p w14:paraId="1C98459C" w14:textId="7B560256" w:rsidR="00F10D5A" w:rsidRPr="001F1634" w:rsidRDefault="00F10D5A" w:rsidP="00F10D5A">
      <w:pPr>
        <w:pStyle w:val="ListParagraph"/>
        <w:numPr>
          <w:ilvl w:val="0"/>
          <w:numId w:val="1"/>
        </w:numPr>
      </w:pPr>
      <w:r w:rsidRPr="001F1634">
        <w:t>Thermodynamics difficulties: why they found thermodynamics hard to teach, why they found entropy hard to teach,</w:t>
      </w:r>
      <w:r>
        <w:t xml:space="preserve"> </w:t>
      </w:r>
      <w:r>
        <w:tab/>
        <w:t xml:space="preserve">and </w:t>
      </w:r>
      <w:r w:rsidRPr="001F1634">
        <w:t xml:space="preserve">to what extent they agreed with statements from </w:t>
      </w:r>
      <w:proofErr w:type="spellStart"/>
      <w:r w:rsidRPr="001F1634">
        <w:t>Sözbilir</w:t>
      </w:r>
      <w:r>
        <w:t>’s</w:t>
      </w:r>
      <w:proofErr w:type="spellEnd"/>
      <w:r>
        <w:t xml:space="preserve"> article</w:t>
      </w:r>
      <w:r w:rsidRPr="001F1634">
        <w:t xml:space="preserve"> (2004) “What makes physical chemistry difficult? […]”</w:t>
      </w:r>
      <w:r>
        <w:t xml:space="preserve"> </w:t>
      </w:r>
    </w:p>
    <w:p w14:paraId="29365D99" w14:textId="4699CCA4" w:rsidR="00F10D5A" w:rsidRPr="001F1634" w:rsidRDefault="00F10D5A" w:rsidP="00F10D5A">
      <w:pPr>
        <w:pStyle w:val="ListParagraph"/>
        <w:numPr>
          <w:ilvl w:val="0"/>
          <w:numId w:val="1"/>
        </w:numPr>
      </w:pPr>
      <w:r w:rsidRPr="001F1634">
        <w:t xml:space="preserve">Declared practice:  if they used figures that connected macroscopic and symbolic/microscopic points of view, to what extent they found that usage important, if they had access to enough of </w:t>
      </w:r>
      <w:r w:rsidR="005A67AD">
        <w:t>such</w:t>
      </w:r>
      <w:r w:rsidR="005A67AD" w:rsidRPr="001F1634">
        <w:t xml:space="preserve"> </w:t>
      </w:r>
      <w:r w:rsidRPr="001F1634">
        <w:t xml:space="preserve">figures, if they proposed entropy-related laboratories to their students and if so, the </w:t>
      </w:r>
      <w:r w:rsidR="005A67AD" w:rsidRPr="001F1634">
        <w:t>t</w:t>
      </w:r>
      <w:r w:rsidR="005A67AD">
        <w:t>opic</w:t>
      </w:r>
      <w:r w:rsidR="005A67AD" w:rsidRPr="001F1634">
        <w:t xml:space="preserve">s </w:t>
      </w:r>
      <w:r w:rsidRPr="001F1634">
        <w:t>of these laboratories, and, from a list, what topics they covered in their course</w:t>
      </w:r>
      <w:r>
        <w:t xml:space="preserve"> </w:t>
      </w:r>
      <w:r w:rsidRPr="001F1634">
        <w:t xml:space="preserve">and how difficult they found </w:t>
      </w:r>
      <w:r>
        <w:t xml:space="preserve">the concepts </w:t>
      </w:r>
      <w:r w:rsidRPr="001F1634">
        <w:t xml:space="preserve">they </w:t>
      </w:r>
      <w:r w:rsidR="005A67AD" w:rsidRPr="001F1634">
        <w:t>t</w:t>
      </w:r>
      <w:r w:rsidR="005A67AD">
        <w:t>each</w:t>
      </w:r>
      <w:r w:rsidRPr="001F1634">
        <w:t xml:space="preserve">. </w:t>
      </w:r>
    </w:p>
    <w:p w14:paraId="6EAAC37E" w14:textId="154C9675" w:rsidR="00F10D5A" w:rsidRPr="001F1634" w:rsidRDefault="00F10D5A" w:rsidP="00F10D5A">
      <w:pPr>
        <w:pStyle w:val="ListParagraph"/>
        <w:numPr>
          <w:ilvl w:val="0"/>
          <w:numId w:val="1"/>
        </w:numPr>
      </w:pPr>
      <w:r w:rsidRPr="001F1634">
        <w:t xml:space="preserve">Disorder metaphor: whether the respondents used it; if they did, to what pedagogical </w:t>
      </w:r>
      <w:r w:rsidR="005A67AD">
        <w:t>aim</w:t>
      </w:r>
      <w:r w:rsidR="005A67AD" w:rsidRPr="001F1634">
        <w:t xml:space="preserve"> </w:t>
      </w:r>
      <w:r w:rsidRPr="001F1634">
        <w:t>they used it, what limits they gave to the validity of the metaphor and if they used counterexamples; if they did not, why, and if they used another metaphor instead.</w:t>
      </w:r>
    </w:p>
    <w:p w14:paraId="39117B0F" w14:textId="453B6748" w:rsidR="00F10D5A" w:rsidRPr="001F1634" w:rsidRDefault="00F10D5A" w:rsidP="00F10D5A">
      <w:r>
        <w:t xml:space="preserve">The full questionnaire is available in </w:t>
      </w:r>
      <w:r w:rsidRPr="000964FC">
        <w:t>the Supplementary Information, appendix I.</w:t>
      </w:r>
      <w:r>
        <w:t xml:space="preserve"> </w:t>
      </w:r>
    </w:p>
    <w:p w14:paraId="028C8F9B" w14:textId="49ECA082" w:rsidR="003D4CD8" w:rsidRPr="001F1634" w:rsidRDefault="003D4CD8" w:rsidP="003D4CD8">
      <w:pPr>
        <w:pStyle w:val="Heading2"/>
      </w:pPr>
      <w:proofErr w:type="spellStart"/>
      <w:r w:rsidRPr="001F1634">
        <w:t>Softwares</w:t>
      </w:r>
      <w:proofErr w:type="spellEnd"/>
    </w:p>
    <w:p w14:paraId="58EC28CF" w14:textId="0DD69C51" w:rsidR="003D4CD8" w:rsidRPr="001F1634" w:rsidRDefault="003D4CD8" w:rsidP="003D4CD8">
      <w:r w:rsidRPr="001F1634">
        <w:t>Graphs were made in software R</w:t>
      </w:r>
      <w:r w:rsidR="002234A8">
        <w:t xml:space="preserve"> or Microsoft Excel</w:t>
      </w:r>
      <w:r w:rsidRPr="001F1634">
        <w:t xml:space="preserve">. All translations were done by </w:t>
      </w:r>
      <w:proofErr w:type="spellStart"/>
      <w:r w:rsidRPr="001F1634">
        <w:t>DeepL</w:t>
      </w:r>
      <w:proofErr w:type="spellEnd"/>
      <w:r w:rsidRPr="001F1634">
        <w:t xml:space="preserve"> online and corrected by </w:t>
      </w:r>
      <w:r w:rsidR="00854050">
        <w:t xml:space="preserve">the </w:t>
      </w:r>
      <w:r w:rsidRPr="001F1634">
        <w:t xml:space="preserve">authors, mainly for specialized vocabulary. </w:t>
      </w:r>
    </w:p>
    <w:p w14:paraId="35073FD2" w14:textId="7250E988" w:rsidR="00043157" w:rsidRPr="001F1634" w:rsidRDefault="00096524" w:rsidP="00096524">
      <w:pPr>
        <w:pStyle w:val="Title"/>
      </w:pPr>
      <w:r w:rsidRPr="001F1634">
        <w:t>Results</w:t>
      </w:r>
    </w:p>
    <w:p w14:paraId="5ADB36AB" w14:textId="499BA078" w:rsidR="00FC0813" w:rsidRPr="001F1634" w:rsidRDefault="00811CA2" w:rsidP="00FC0813">
      <w:pPr>
        <w:pStyle w:val="Heading2"/>
      </w:pPr>
      <w:r>
        <w:t>Respondents’</w:t>
      </w:r>
      <w:r w:rsidR="00F10D5A">
        <w:t xml:space="preserve"> characteristics</w:t>
      </w:r>
    </w:p>
    <w:p w14:paraId="0A558B6D" w14:textId="33343072" w:rsidR="000557C4" w:rsidRDefault="00F10D5A" w:rsidP="00096524">
      <w:r w:rsidRPr="001F1634">
        <w:t xml:space="preserve">The 4 universities, as well as </w:t>
      </w:r>
      <w:r w:rsidR="009C7A5B">
        <w:t>8</w:t>
      </w:r>
      <w:r w:rsidRPr="001F1634">
        <w:t xml:space="preserve"> </w:t>
      </w:r>
      <w:r w:rsidR="00F352B9">
        <w:t>H</w:t>
      </w:r>
      <w:r w:rsidR="00F352B9" w:rsidRPr="001F1634">
        <w:t xml:space="preserve">autes </w:t>
      </w:r>
      <w:proofErr w:type="spellStart"/>
      <w:r w:rsidR="00F352B9">
        <w:t>E</w:t>
      </w:r>
      <w:r w:rsidR="00F352B9" w:rsidRPr="001F1634">
        <w:t>coles</w:t>
      </w:r>
      <w:proofErr w:type="spellEnd"/>
      <w:r w:rsidR="006911A0">
        <w:t xml:space="preserve"> </w:t>
      </w:r>
      <w:r w:rsidR="009C7A5B">
        <w:t>(HEPL, HELHa, HE Condorcet, HE Vinci, HELMo, HERS, HEL, ISI-HLF)</w:t>
      </w:r>
      <w:r w:rsidRPr="001F1634">
        <w:t>, did</w:t>
      </w:r>
      <w:r>
        <w:t xml:space="preserve"> offer a chemistry or engineering chemistry bachelor. </w:t>
      </w:r>
      <w:r w:rsidR="00322246" w:rsidRPr="001F1634">
        <w:t xml:space="preserve">4 </w:t>
      </w:r>
      <w:r w:rsidR="00F352B9">
        <w:t>H</w:t>
      </w:r>
      <w:r w:rsidR="00F352B9" w:rsidRPr="001F1634">
        <w:t xml:space="preserve">autes </w:t>
      </w:r>
      <w:proofErr w:type="spellStart"/>
      <w:r w:rsidR="00F352B9">
        <w:t>E</w:t>
      </w:r>
      <w:r w:rsidR="00F352B9" w:rsidRPr="001F1634">
        <w:t>coles</w:t>
      </w:r>
      <w:proofErr w:type="spellEnd"/>
      <w:r w:rsidR="00F352B9" w:rsidRPr="001F1634">
        <w:t xml:space="preserve"> </w:t>
      </w:r>
      <w:r w:rsidR="00322246" w:rsidRPr="001F1634">
        <w:t>did not answer</w:t>
      </w:r>
      <w:r>
        <w:t xml:space="preserve"> to our requests</w:t>
      </w:r>
      <w:r w:rsidR="00322246" w:rsidRPr="001F1634">
        <w:t xml:space="preserve">, thus leaving the 4 universities and </w:t>
      </w:r>
      <w:r w:rsidR="009C7A5B">
        <w:t>4</w:t>
      </w:r>
      <w:r w:rsidR="00322246" w:rsidRPr="001F1634">
        <w:t xml:space="preserve"> </w:t>
      </w:r>
      <w:proofErr w:type="spellStart"/>
      <w:r w:rsidR="00322246" w:rsidRPr="001F1634">
        <w:t>hautes</w:t>
      </w:r>
      <w:proofErr w:type="spellEnd"/>
      <w:r w:rsidR="00322246" w:rsidRPr="001F1634">
        <w:t xml:space="preserve"> écoles to answer our questionnaire. </w:t>
      </w:r>
      <w:r w:rsidR="000557C4">
        <w:t>41</w:t>
      </w:r>
      <w:r w:rsidR="00FC0813" w:rsidRPr="001F1634">
        <w:t xml:space="preserve"> </w:t>
      </w:r>
      <w:r w:rsidR="00096524" w:rsidRPr="001F1634">
        <w:t>people completed the survey, and 2</w:t>
      </w:r>
      <w:r w:rsidR="00322246" w:rsidRPr="001F1634">
        <w:t>6</w:t>
      </w:r>
      <w:r w:rsidR="00096524" w:rsidRPr="001F1634">
        <w:t xml:space="preserve"> </w:t>
      </w:r>
      <w:proofErr w:type="gramStart"/>
      <w:r w:rsidR="00F352B9" w:rsidRPr="001F1634">
        <w:t>complete</w:t>
      </w:r>
      <w:r w:rsidR="00F352B9">
        <w:t>ly</w:t>
      </w:r>
      <w:r w:rsidR="00F352B9" w:rsidRPr="001F1634">
        <w:t xml:space="preserve"> </w:t>
      </w:r>
      <w:r w:rsidR="00F352B9">
        <w:t>filled</w:t>
      </w:r>
      <w:proofErr w:type="gramEnd"/>
      <w:r w:rsidR="00F352B9">
        <w:t xml:space="preserve"> it out</w:t>
      </w:r>
      <w:r w:rsidR="000557C4">
        <w:t xml:space="preserve">. </w:t>
      </w:r>
      <w:r w:rsidR="0043022E">
        <w:t xml:space="preserve">The number of </w:t>
      </w:r>
      <w:r w:rsidR="0043022E">
        <w:lastRenderedPageBreak/>
        <w:t xml:space="preserve">effective respondents for each item addressed is mentioned in the corresponding figure captions. </w:t>
      </w:r>
      <w:r w:rsidR="009A6A8A">
        <w:t>Most respondents worked at the university (fig. 1), had between 10 and 15 years of experience of teaching thermodynamics (fig. 2) and about half of them had a “haute école” teaching diploma, or a</w:t>
      </w:r>
      <w:r w:rsidR="00811CA2">
        <w:t xml:space="preserve"> teaching certificate for</w:t>
      </w:r>
      <w:r w:rsidR="009A6A8A">
        <w:t xml:space="preserve"> secondary school (fig. 3). 21% of respondents </w:t>
      </w:r>
      <w:r w:rsidR="00F352B9">
        <w:t xml:space="preserve">perform(ed) research in </w:t>
      </w:r>
      <w:r w:rsidR="00811CA2">
        <w:t>thermodynamics. Areas of expertise include</w:t>
      </w:r>
      <w:r w:rsidR="009A6A8A">
        <w:t xml:space="preserve"> crystallization, phase diagrams, energy storage, molecular dynamics, molecular modelling, thermodynamical cycle optimisation, </w:t>
      </w:r>
      <w:r w:rsidR="00811CA2">
        <w:t xml:space="preserve">or </w:t>
      </w:r>
      <w:r w:rsidR="009A6A8A">
        <w:t>Carnot batter</w:t>
      </w:r>
      <w:r w:rsidR="00811CA2">
        <w:t>ies.</w:t>
      </w:r>
      <w:r w:rsidR="009A6A8A">
        <w:t xml:space="preserve"> No respondents reported </w:t>
      </w:r>
      <w:r w:rsidR="00F352B9">
        <w:t xml:space="preserve">research activities in </w:t>
      </w:r>
      <w:r w:rsidR="009A6A8A">
        <w:t xml:space="preserve">pedagogy or </w:t>
      </w:r>
      <w:r w:rsidR="00F352B9">
        <w:t>science education</w:t>
      </w:r>
      <w:r w:rsidR="009A6A8A">
        <w:t xml:space="preserve">. </w:t>
      </w:r>
      <w:r w:rsidR="00CA507A">
        <w:t>8% of teachers organized thermodynamics laboratory</w:t>
      </w:r>
      <w:r w:rsidR="00811CA2">
        <w:t xml:space="preserve"> in the context</w:t>
      </w:r>
      <w:r w:rsidR="00CA507A">
        <w:t xml:space="preserve"> </w:t>
      </w:r>
      <w:r w:rsidR="00460025">
        <w:t xml:space="preserve">of </w:t>
      </w:r>
      <w:r w:rsidR="00CA507A">
        <w:t>their</w:t>
      </w:r>
      <w:r w:rsidR="00811CA2">
        <w:t xml:space="preserve"> thermodynamics</w:t>
      </w:r>
      <w:r w:rsidR="00CA507A">
        <w:t xml:space="preserve"> courses. </w:t>
      </w:r>
    </w:p>
    <w:p w14:paraId="34790067" w14:textId="22AB795E" w:rsidR="009A6A8A" w:rsidRDefault="00AC0F8C" w:rsidP="000557C4">
      <w:r>
        <w:rPr>
          <w:noProof/>
        </w:rPr>
        <w:drawing>
          <wp:anchor distT="0" distB="0" distL="114300" distR="114300" simplePos="0" relativeHeight="251665408" behindDoc="0" locked="0" layoutInCell="1" allowOverlap="1" wp14:anchorId="275BC405" wp14:editId="5BE44AE2">
            <wp:simplePos x="0" y="0"/>
            <wp:positionH relativeFrom="column">
              <wp:posOffset>2081530</wp:posOffset>
            </wp:positionH>
            <wp:positionV relativeFrom="paragraph">
              <wp:posOffset>0</wp:posOffset>
            </wp:positionV>
            <wp:extent cx="1905000" cy="2828925"/>
            <wp:effectExtent l="0" t="0" r="0" b="9525"/>
            <wp:wrapSquare wrapText="bothSides"/>
            <wp:docPr id="417492283" name="Chart 1">
              <a:extLst xmlns:a="http://schemas.openxmlformats.org/drawingml/2006/main">
                <a:ext uri="{FF2B5EF4-FFF2-40B4-BE49-F238E27FC236}">
                  <a16:creationId xmlns:a16="http://schemas.microsoft.com/office/drawing/2014/main" id="{00000000-0008-0000-01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anchor>
        </w:drawing>
      </w:r>
    </w:p>
    <w:p w14:paraId="2FAFD517" w14:textId="41314C4F" w:rsidR="009A6A8A" w:rsidRDefault="009A6A8A" w:rsidP="000557C4"/>
    <w:p w14:paraId="03F6B29D" w14:textId="77777777" w:rsidR="009A6A8A" w:rsidRDefault="009A6A8A" w:rsidP="000557C4"/>
    <w:p w14:paraId="62327C15" w14:textId="42276EF0" w:rsidR="009A6A8A" w:rsidRDefault="009A6A8A" w:rsidP="000557C4"/>
    <w:p w14:paraId="34989984" w14:textId="446FEAF0" w:rsidR="009A6A8A" w:rsidRDefault="009A6A8A" w:rsidP="000557C4"/>
    <w:p w14:paraId="4B0F9586" w14:textId="042174D4" w:rsidR="000557C4" w:rsidRDefault="000557C4" w:rsidP="00096524"/>
    <w:p w14:paraId="51E3DB45" w14:textId="68CFF5CF" w:rsidR="00811CA2" w:rsidRPr="001F1634" w:rsidRDefault="00811CA2" w:rsidP="00096524"/>
    <w:p w14:paraId="3340A472" w14:textId="27A2DB90" w:rsidR="000557C4" w:rsidRDefault="000557C4" w:rsidP="00E25243">
      <w:pPr>
        <w:pStyle w:val="Heading2"/>
      </w:pPr>
    </w:p>
    <w:p w14:paraId="7666E011" w14:textId="6C7944A4" w:rsidR="009A6A8A" w:rsidRDefault="009A6A8A" w:rsidP="009A6A8A"/>
    <w:p w14:paraId="457BDBEB" w14:textId="14938A9C" w:rsidR="009A6A8A" w:rsidRDefault="009C7A5B" w:rsidP="009A6A8A">
      <w:r>
        <w:rPr>
          <w:noProof/>
          <w:lang w:val="fr-BE" w:eastAsia="fr-BE"/>
        </w:rPr>
        <mc:AlternateContent>
          <mc:Choice Requires="wps">
            <w:drawing>
              <wp:anchor distT="0" distB="0" distL="114300" distR="114300" simplePos="0" relativeHeight="251661312" behindDoc="0" locked="0" layoutInCell="1" allowOverlap="1" wp14:anchorId="6DB15CC6" wp14:editId="567CAA90">
                <wp:simplePos x="0" y="0"/>
                <wp:positionH relativeFrom="column">
                  <wp:posOffset>2100580</wp:posOffset>
                </wp:positionH>
                <wp:positionV relativeFrom="paragraph">
                  <wp:posOffset>205105</wp:posOffset>
                </wp:positionV>
                <wp:extent cx="1790700" cy="635"/>
                <wp:effectExtent l="0" t="0" r="0" b="0"/>
                <wp:wrapSquare wrapText="bothSides"/>
                <wp:docPr id="1705999382" name="Text Box 1"/>
                <wp:cNvGraphicFramePr/>
                <a:graphic xmlns:a="http://schemas.openxmlformats.org/drawingml/2006/main">
                  <a:graphicData uri="http://schemas.microsoft.com/office/word/2010/wordprocessingShape">
                    <wps:wsp>
                      <wps:cNvSpPr txBox="1"/>
                      <wps:spPr>
                        <a:xfrm>
                          <a:off x="0" y="0"/>
                          <a:ext cx="1790700" cy="635"/>
                        </a:xfrm>
                        <a:prstGeom prst="rect">
                          <a:avLst/>
                        </a:prstGeom>
                        <a:solidFill>
                          <a:prstClr val="white"/>
                        </a:solidFill>
                        <a:ln>
                          <a:noFill/>
                        </a:ln>
                      </wps:spPr>
                      <wps:txbx>
                        <w:txbxContent>
                          <w:p w14:paraId="45274D16" w14:textId="53179C42" w:rsidR="00434B44" w:rsidRPr="00CA54DA" w:rsidRDefault="00434B44" w:rsidP="00CA507A">
                            <w:pPr>
                              <w:pStyle w:val="Caption"/>
                              <w:rPr>
                                <w:noProof/>
                                <w:sz w:val="22"/>
                              </w:rPr>
                            </w:pPr>
                            <w:r>
                              <w:t xml:space="preserve">Figure </w:t>
                            </w:r>
                            <w:fldSimple w:instr=" SEQ Figure \* ARABIC ">
                              <w:r w:rsidR="009C7A5B">
                                <w:rPr>
                                  <w:noProof/>
                                </w:rPr>
                                <w:t>1</w:t>
                              </w:r>
                            </w:fldSimple>
                            <w:r>
                              <w:t>. Percentages of respondents as a function of what institution they work at. N = 33.</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w14:anchorId="6DB15CC6" id="_x0000_t202" coordsize="21600,21600" o:spt="202" path="m,l,21600r21600,l21600,xe">
                <v:stroke joinstyle="miter"/>
                <v:path gradientshapeok="t" o:connecttype="rect"/>
              </v:shapetype>
              <v:shape id="Text Box 1" o:spid="_x0000_s1026" type="#_x0000_t202" style="position:absolute;left:0;text-align:left;margin-left:165.4pt;margin-top:16.15pt;width:141pt;height:.0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" stroked="f">
                <v:textbox style="mso-fit-shape-to-text:t" inset="0,0,0,0">
                  <w:txbxContent>
                    <w:p w14:paraId="45274D16" w14:textId="53179C42" w:rsidR="00434B44" w:rsidRPr="00CA54DA" w:rsidRDefault="00434B44" w:rsidP="00CA507A">
                      <w:pPr>
                        <w:pStyle w:val="Caption"/>
                        <w:rPr>
                          <w:noProof/>
                          <w:sz w:val="22"/>
                        </w:rPr>
                      </w:pPr>
                      <w:r>
                        <w:t xml:space="preserve">Figure </w:t>
                      </w:r>
                      <w:fldSimple w:instr=" SEQ Figure \* ARABIC ">
                        <w:r w:rsidR="009C7A5B">
                          <w:rPr>
                            <w:noProof/>
                          </w:rPr>
                          <w:t>1</w:t>
                        </w:r>
                      </w:fldSimple>
                      <w:r>
                        <w:t>. Percentages of respondents as a function of what institution they work at. N = 33.</w:t>
                      </w:r>
                    </w:p>
                  </w:txbxContent>
                </v:textbox>
                <w10:wrap type="square"/>
              </v:shape>
            </w:pict>
          </mc:Fallback>
        </mc:AlternateContent>
      </w:r>
    </w:p>
    <w:p w14:paraId="01CE2B7E" w14:textId="78D7691C" w:rsidR="009A6A8A" w:rsidRDefault="009A6A8A" w:rsidP="009A6A8A"/>
    <w:p w14:paraId="5A3B3935" w14:textId="4276D7BE" w:rsidR="009A6A8A" w:rsidRDefault="009A6A8A" w:rsidP="009A6A8A"/>
    <w:p w14:paraId="24E3F5E3" w14:textId="643F5CED" w:rsidR="009A6A8A" w:rsidRDefault="00AC0F8C" w:rsidP="009A6A8A">
      <w:r>
        <w:rPr>
          <w:noProof/>
          <w:lang w:val="fr-BE" w:eastAsia="fr-BE"/>
        </w:rPr>
        <w:drawing>
          <wp:anchor distT="0" distB="0" distL="114300" distR="114300" simplePos="0" relativeHeight="251658240" behindDoc="0" locked="0" layoutInCell="1" allowOverlap="1" wp14:anchorId="06ADB45B" wp14:editId="05218DE3">
            <wp:simplePos x="0" y="0"/>
            <wp:positionH relativeFrom="column">
              <wp:posOffset>1824355</wp:posOffset>
            </wp:positionH>
            <wp:positionV relativeFrom="paragraph">
              <wp:posOffset>11430</wp:posOffset>
            </wp:positionV>
            <wp:extent cx="2305050" cy="2830195"/>
            <wp:effectExtent l="0" t="0" r="0" b="8255"/>
            <wp:wrapSquare wrapText="bothSides"/>
            <wp:docPr id="1480399730" name="Chart 1">
              <a:extLst xmlns:a="http://schemas.openxmlformats.org/drawingml/2006/main">
                <a:ext uri="{FF2B5EF4-FFF2-40B4-BE49-F238E27FC236}">
                  <a16:creationId xmlns:a16="http://schemas.microsoft.com/office/drawing/2014/main" id="{00000000-0008-0000-0100-000004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anchor>
        </w:drawing>
      </w:r>
    </w:p>
    <w:p w14:paraId="7A57AE64" w14:textId="5AA3C7F6" w:rsidR="009A6A8A" w:rsidRDefault="009A6A8A" w:rsidP="009A6A8A"/>
    <w:p w14:paraId="34584750" w14:textId="2FACEEFD" w:rsidR="009A6A8A" w:rsidRDefault="009A6A8A" w:rsidP="009A6A8A"/>
    <w:p w14:paraId="62CAC00B" w14:textId="2D41B918" w:rsidR="009A6A8A" w:rsidRDefault="009A6A8A" w:rsidP="009A6A8A"/>
    <w:p w14:paraId="1A8040C8" w14:textId="37CB7D52" w:rsidR="009A6A8A" w:rsidRDefault="009A6A8A" w:rsidP="009A6A8A"/>
    <w:p w14:paraId="1DA33BBA" w14:textId="7F7901BE" w:rsidR="00811CA2" w:rsidRDefault="00811CA2" w:rsidP="009A6A8A"/>
    <w:p w14:paraId="4E4A5605" w14:textId="4D669DAB" w:rsidR="00811CA2" w:rsidRDefault="009C7A5B" w:rsidP="009A6A8A">
      <w:r>
        <w:rPr>
          <w:noProof/>
          <w:lang w:val="fr-BE" w:eastAsia="fr-BE"/>
        </w:rPr>
        <mc:AlternateContent>
          <mc:Choice Requires="wps">
            <w:drawing>
              <wp:anchor distT="0" distB="0" distL="114300" distR="114300" simplePos="0" relativeHeight="251663360" behindDoc="0" locked="0" layoutInCell="1" allowOverlap="1" wp14:anchorId="00940EC8" wp14:editId="0B925DC7">
                <wp:simplePos x="0" y="0"/>
                <wp:positionH relativeFrom="column">
                  <wp:posOffset>1833880</wp:posOffset>
                </wp:positionH>
                <wp:positionV relativeFrom="paragraph">
                  <wp:posOffset>1169670</wp:posOffset>
                </wp:positionV>
                <wp:extent cx="2305050" cy="635"/>
                <wp:effectExtent l="0" t="0" r="0" b="0"/>
                <wp:wrapSquare wrapText="bothSides"/>
                <wp:docPr id="1490161897" name="Text Box 1"/>
                <wp:cNvGraphicFramePr/>
                <a:graphic xmlns:a="http://schemas.openxmlformats.org/drawingml/2006/main">
                  <a:graphicData uri="http://schemas.microsoft.com/office/word/2010/wordprocessingShape">
                    <wps:wsp>
                      <wps:cNvSpPr txBox="1"/>
                      <wps:spPr>
                        <a:xfrm>
                          <a:off x="0" y="0"/>
                          <a:ext cx="2305050" cy="635"/>
                        </a:xfrm>
                        <a:prstGeom prst="rect">
                          <a:avLst/>
                        </a:prstGeom>
                        <a:solidFill>
                          <a:prstClr val="white"/>
                        </a:solidFill>
                        <a:ln>
                          <a:noFill/>
                        </a:ln>
                      </wps:spPr>
                      <wps:txbx>
                        <w:txbxContent>
                          <w:p w14:paraId="445FBBFA" w14:textId="4C16AD0D" w:rsidR="00434B44" w:rsidRPr="00592612" w:rsidRDefault="00434B44" w:rsidP="00CA507A">
                            <w:pPr>
                              <w:pStyle w:val="Caption"/>
                              <w:rPr>
                                <w:noProof/>
                                <w:sz w:val="22"/>
                              </w:rPr>
                            </w:pPr>
                            <w:r>
                              <w:t xml:space="preserve">Figure </w:t>
                            </w:r>
                            <w:fldSimple w:instr=" SEQ Figure \* ARABIC ">
                              <w:r w:rsidR="009C7A5B">
                                <w:rPr>
                                  <w:noProof/>
                                </w:rPr>
                                <w:t>2</w:t>
                              </w:r>
                            </w:fldSimple>
                            <w:r>
                              <w:t>. Percentages of respondents as a function of the number of years of experience teaching thermodynamics. N = 33.</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00940EC8" id="_x0000_s1027" type="#_x0000_t202" style="position:absolute;left:0;text-align:left;margin-left:144.4pt;margin-top:92.1pt;width:181.5pt;height:.0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" stroked="f">
                <v:textbox style="mso-fit-shape-to-text:t" inset="0,0,0,0">
                  <w:txbxContent>
                    <w:p w14:paraId="445FBBFA" w14:textId="4C16AD0D" w:rsidR="00434B44" w:rsidRPr="00592612" w:rsidRDefault="00434B44" w:rsidP="00CA507A">
                      <w:pPr>
                        <w:pStyle w:val="Caption"/>
                        <w:rPr>
                          <w:noProof/>
                          <w:sz w:val="22"/>
                        </w:rPr>
                      </w:pPr>
                      <w:r>
                        <w:t xml:space="preserve">Figure </w:t>
                      </w:r>
                      <w:fldSimple w:instr=" SEQ Figure \* ARABIC ">
                        <w:r w:rsidR="009C7A5B">
                          <w:rPr>
                            <w:noProof/>
                          </w:rPr>
                          <w:t>2</w:t>
                        </w:r>
                      </w:fldSimple>
                      <w:r>
                        <w:t>. Percentages of respondents as a function of the number of years of experience teaching thermodynamics. N = 33.</w:t>
                      </w:r>
                    </w:p>
                  </w:txbxContent>
                </v:textbox>
                <w10:wrap type="square"/>
              </v:shape>
            </w:pict>
          </mc:Fallback>
        </mc:AlternateContent>
      </w:r>
    </w:p>
    <w:p w14:paraId="3AEED2DB" w14:textId="48EDDB3A" w:rsidR="00CA507A" w:rsidRDefault="00AC0F8C" w:rsidP="00CA507A">
      <w:pPr>
        <w:keepNext/>
        <w:jc w:val="center"/>
      </w:pPr>
      <w:r>
        <w:rPr>
          <w:noProof/>
        </w:rPr>
        <w:lastRenderedPageBreak/>
        <w:drawing>
          <wp:inline distT="0" distB="0" distL="0" distR="0" wp14:anchorId="68001FFA" wp14:editId="3C7E7F3E">
            <wp:extent cx="3590925" cy="2732405"/>
            <wp:effectExtent l="0" t="0" r="9525" b="10795"/>
            <wp:docPr id="1409809276" name="Chart 1">
              <a:extLst xmlns:a="http://schemas.openxmlformats.org/drawingml/2006/main">
                <a:ext uri="{FF2B5EF4-FFF2-40B4-BE49-F238E27FC236}">
                  <a16:creationId xmlns:a16="http://schemas.microsoft.com/office/drawing/2014/main" id="{00000000-0008-0000-0100-000005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113CD5CA" w14:textId="66E6AE30" w:rsidR="009A6A8A" w:rsidRDefault="00CA507A" w:rsidP="00CA507A">
      <w:pPr>
        <w:pStyle w:val="Caption"/>
        <w:jc w:val="center"/>
      </w:pPr>
      <w:r>
        <w:t xml:space="preserve">Figure </w:t>
      </w:r>
      <w:fldSimple w:instr=" SEQ Figure \* ARABIC ">
        <w:r>
          <w:rPr>
            <w:noProof/>
          </w:rPr>
          <w:t>3</w:t>
        </w:r>
      </w:fldSimple>
      <w:r w:rsidR="00811CA2">
        <w:t xml:space="preserve">. Percentages of respondents that have </w:t>
      </w:r>
      <w:r w:rsidR="00460025">
        <w:t xml:space="preserve">specified </w:t>
      </w:r>
      <w:r w:rsidR="00811CA2">
        <w:t>teaching diploma. N/A for respondents that did not answer the question, as opposed to those who declared they had “no</w:t>
      </w:r>
      <w:r w:rsidR="00460025">
        <w:t xml:space="preserve"> formal</w:t>
      </w:r>
      <w:r w:rsidR="00811CA2">
        <w:t xml:space="preserve"> training”.</w:t>
      </w:r>
      <w:r w:rsidR="00333200">
        <w:t xml:space="preserve"> N = 33.</w:t>
      </w:r>
      <w:r w:rsidR="00811CA2">
        <w:t xml:space="preserve"> </w:t>
      </w:r>
    </w:p>
    <w:p w14:paraId="372843E6" w14:textId="77777777" w:rsidR="009A6A8A" w:rsidRDefault="009A6A8A" w:rsidP="009A6A8A"/>
    <w:p w14:paraId="765D5A6A" w14:textId="77777777" w:rsidR="009A6A8A" w:rsidRPr="009A6A8A" w:rsidRDefault="009A6A8A" w:rsidP="009A6A8A"/>
    <w:p w14:paraId="22A9A97D" w14:textId="3569B48F" w:rsidR="00E25243" w:rsidRPr="001F1634" w:rsidRDefault="0019729C" w:rsidP="00E25243">
      <w:pPr>
        <w:pStyle w:val="Heading2"/>
      </w:pPr>
      <w:r w:rsidRPr="001F1634">
        <w:t xml:space="preserve">RQ1: </w:t>
      </w:r>
      <w:r w:rsidR="00E25243" w:rsidRPr="001F1634">
        <w:t xml:space="preserve">Why is thermodynamics difficult to teach? </w:t>
      </w:r>
    </w:p>
    <w:p w14:paraId="267C9291" w14:textId="54F4461A" w:rsidR="00A4296A" w:rsidRPr="001F1634" w:rsidRDefault="00A4296A" w:rsidP="00A4296A">
      <w:pPr>
        <w:pStyle w:val="Heading3"/>
      </w:pPr>
      <w:r w:rsidRPr="001F1634">
        <w:t>Students, teaching context and teaching management</w:t>
      </w:r>
    </w:p>
    <w:p w14:paraId="2DA2EEE9" w14:textId="65DC0B9D" w:rsidR="00A0404F" w:rsidRPr="001F1634" w:rsidRDefault="00D72DF0" w:rsidP="0019729C">
      <w:r>
        <w:t xml:space="preserve">The questions code we use hereafter are available in the full questionnaire, </w:t>
      </w:r>
      <w:r w:rsidR="00854050">
        <w:t xml:space="preserve">available </w:t>
      </w:r>
      <w:r>
        <w:t xml:space="preserve">in appendix I of the Supplementary Information. </w:t>
      </w:r>
      <w:r w:rsidR="0019729C" w:rsidRPr="001F1634">
        <w:t xml:space="preserve">We </w:t>
      </w:r>
      <w:r w:rsidR="00854050">
        <w:t>address</w:t>
      </w:r>
      <w:r w:rsidR="00854050" w:rsidRPr="001F1634">
        <w:t xml:space="preserve"> </w:t>
      </w:r>
      <w:r w:rsidR="00BB270F">
        <w:t xml:space="preserve">in the following paragraphs </w:t>
      </w:r>
      <w:r w:rsidR="0019729C" w:rsidRPr="001F1634">
        <w:t>a combination of</w:t>
      </w:r>
      <w:r w:rsidR="00BB270F">
        <w:t xml:space="preserve"> two</w:t>
      </w:r>
      <w:r w:rsidR="0019729C" w:rsidRPr="001F1634">
        <w:t xml:space="preserve"> questions</w:t>
      </w:r>
      <w:r w:rsidR="00BB270F">
        <w:t xml:space="preserve">, a multiple-choice question </w:t>
      </w:r>
      <w:r>
        <w:t xml:space="preserve">(Q17) </w:t>
      </w:r>
      <w:r w:rsidR="00BB270F">
        <w:t xml:space="preserve">and an open question requiring a written question from </w:t>
      </w:r>
      <w:r w:rsidR="00F80C72">
        <w:t>respondents</w:t>
      </w:r>
      <w:r>
        <w:t xml:space="preserve"> (Q15)</w:t>
      </w:r>
      <w:r w:rsidR="0019729C" w:rsidRPr="001F1634">
        <w:t xml:space="preserve">. First, in figure </w:t>
      </w:r>
      <w:r w:rsidR="00F80C72">
        <w:t>4</w:t>
      </w:r>
      <w:r w:rsidR="0019729C" w:rsidRPr="001F1634">
        <w:t>, we show the opinions of teachers</w:t>
      </w:r>
      <w:r w:rsidR="00F80C72">
        <w:t xml:space="preserve"> on difficulties</w:t>
      </w:r>
      <w:r w:rsidR="0019729C" w:rsidRPr="001F1634">
        <w:t xml:space="preserve"> that </w:t>
      </w:r>
      <w:proofErr w:type="spellStart"/>
      <w:r w:rsidR="0019729C" w:rsidRPr="001F1634">
        <w:t>Sözbilir</w:t>
      </w:r>
      <w:proofErr w:type="spellEnd"/>
      <w:r w:rsidR="0019729C" w:rsidRPr="001F1634">
        <w:t xml:space="preserve"> (2004) identified</w:t>
      </w:r>
      <w:r w:rsidR="00F80C72">
        <w:t xml:space="preserve"> in interviews with </w:t>
      </w:r>
      <w:r w:rsidR="003A206F">
        <w:t xml:space="preserve">two </w:t>
      </w:r>
      <w:r w:rsidR="00F80C72">
        <w:t>Turkish university professors. These hurdles</w:t>
      </w:r>
      <w:r w:rsidR="0081527E" w:rsidRPr="001F1634">
        <w:t xml:space="preserve"> are divided into </w:t>
      </w:r>
      <w:r w:rsidR="00C010B8" w:rsidRPr="001F1634">
        <w:t xml:space="preserve">four </w:t>
      </w:r>
      <w:r w:rsidR="0081527E" w:rsidRPr="001F1634">
        <w:t>categories</w:t>
      </w:r>
      <w:r w:rsidR="00A0404F" w:rsidRPr="001F1634">
        <w:t>: students (S), teaching context (TC)</w:t>
      </w:r>
      <w:r w:rsidR="00C010B8" w:rsidRPr="001F1634">
        <w:t>,</w:t>
      </w:r>
      <w:r w:rsidR="00A0404F" w:rsidRPr="001F1634">
        <w:t xml:space="preserve"> teaching management (TM)</w:t>
      </w:r>
      <w:r w:rsidR="00F80C72">
        <w:t xml:space="preserve"> and </w:t>
      </w:r>
      <w:r w:rsidR="00F80C72" w:rsidRPr="001F1634">
        <w:t>content (C)</w:t>
      </w:r>
      <w:r w:rsidR="00F80C72">
        <w:t>. The latter statements will be discussed in the “content” section.</w:t>
      </w:r>
    </w:p>
    <w:p w14:paraId="2DED7528" w14:textId="14D82E0E" w:rsidR="0019729C" w:rsidRPr="001F1634" w:rsidRDefault="00A0404F" w:rsidP="0019729C">
      <w:r w:rsidRPr="006A7C2A">
        <w:t xml:space="preserve">Teachers mainly agree with </w:t>
      </w:r>
      <w:r w:rsidR="00F80C72" w:rsidRPr="006A7C2A">
        <w:t xml:space="preserve">the </w:t>
      </w:r>
      <w:r w:rsidR="00434B44" w:rsidRPr="006A7C2A">
        <w:t>student-centred</w:t>
      </w:r>
      <w:r w:rsidRPr="006A7C2A">
        <w:t xml:space="preserve"> statement</w:t>
      </w:r>
      <w:r w:rsidR="00F80C72" w:rsidRPr="006A7C2A">
        <w:t>s</w:t>
      </w:r>
      <w:r w:rsidRPr="006A7C2A">
        <w:t xml:space="preserve">, except for “students are socio-economically disadvantaged”, where </w:t>
      </w:r>
      <w:r w:rsidR="00F80C72" w:rsidRPr="006A7C2A">
        <w:t>75</w:t>
      </w:r>
      <w:r w:rsidRPr="006A7C2A">
        <w:t>% of them</w:t>
      </w:r>
      <w:r w:rsidR="00F80C72" w:rsidRPr="006A7C2A">
        <w:t xml:space="preserve"> </w:t>
      </w:r>
      <w:r w:rsidR="006A7C2A" w:rsidRPr="006A7C2A">
        <w:t>completely disagree (cd, 30%), disagree (d, 25%), or rather disagree (</w:t>
      </w:r>
      <w:proofErr w:type="spellStart"/>
      <w:r w:rsidR="006A7C2A" w:rsidRPr="006A7C2A">
        <w:t>rd</w:t>
      </w:r>
      <w:proofErr w:type="spellEnd"/>
      <w:r w:rsidR="006A7C2A" w:rsidRPr="006A7C2A">
        <w:t>, 20%)</w:t>
      </w:r>
      <w:r w:rsidRPr="006A7C2A">
        <w:t xml:space="preserve">. Two important statements are </w:t>
      </w:r>
      <w:r w:rsidR="00C010B8" w:rsidRPr="006A7C2A">
        <w:t>favoured</w:t>
      </w:r>
      <w:r w:rsidRPr="006A7C2A">
        <w:t xml:space="preserve"> by teachers: </w:t>
      </w:r>
      <w:r w:rsidR="00B60CDB" w:rsidRPr="006A7C2A">
        <w:t>6</w:t>
      </w:r>
      <w:r w:rsidR="002F4CF8">
        <w:t>8</w:t>
      </w:r>
      <w:r w:rsidRPr="006A7C2A">
        <w:t xml:space="preserve">% of them </w:t>
      </w:r>
      <w:r w:rsidR="006A7C2A" w:rsidRPr="006A7C2A">
        <w:t>completely agree (ca, 12%), agree (a, 28%) or rather agree (</w:t>
      </w:r>
      <w:proofErr w:type="spellStart"/>
      <w:r w:rsidR="006A7C2A" w:rsidRPr="006A7C2A">
        <w:t>ra</w:t>
      </w:r>
      <w:proofErr w:type="spellEnd"/>
      <w:r w:rsidR="006A7C2A" w:rsidRPr="006A7C2A">
        <w:t>, 28%)</w:t>
      </w:r>
      <w:r w:rsidR="00F80C72" w:rsidRPr="006A7C2A">
        <w:t xml:space="preserve"> </w:t>
      </w:r>
      <w:r w:rsidR="00B60CDB" w:rsidRPr="006A7C2A">
        <w:t>that “</w:t>
      </w:r>
      <w:r w:rsidR="00C010B8" w:rsidRPr="006A7C2A">
        <w:t>s</w:t>
      </w:r>
      <w:r w:rsidR="00B60CDB" w:rsidRPr="006A7C2A">
        <w:t>tudents lack the prerequisite concepts to fully understand this subject, as physical chemistry is cumulative” and 57%</w:t>
      </w:r>
      <w:r w:rsidR="006A7C2A" w:rsidRPr="006A7C2A">
        <w:t xml:space="preserve"> (ca:23%, a:19%, ra:23%)</w:t>
      </w:r>
      <w:r w:rsidR="00B60CDB" w:rsidRPr="006A7C2A">
        <w:t xml:space="preserve"> that “students have very different levels of prior knowledge, and the groups are heterogeneous</w:t>
      </w:r>
      <w:r w:rsidR="006A7C2A" w:rsidRPr="006A7C2A">
        <w:t>.</w:t>
      </w:r>
      <w:r w:rsidR="00B60CDB" w:rsidRPr="006A7C2A">
        <w:t>”</w:t>
      </w:r>
      <w:r w:rsidR="006A7C2A" w:rsidRPr="006A7C2A">
        <w:t xml:space="preserve"> </w:t>
      </w:r>
      <w:r w:rsidR="00B60CDB" w:rsidRPr="006A7C2A">
        <w:t>These descriptive statistics</w:t>
      </w:r>
      <w:r w:rsidR="00C010B8" w:rsidRPr="006A7C2A">
        <w:t xml:space="preserve"> underpinning </w:t>
      </w:r>
      <w:r w:rsidR="00F80C72" w:rsidRPr="006A7C2A">
        <w:t>students’</w:t>
      </w:r>
      <w:r w:rsidR="00C010B8" w:rsidRPr="006A7C2A">
        <w:t xml:space="preserve"> lack of </w:t>
      </w:r>
      <w:proofErr w:type="gramStart"/>
      <w:r w:rsidR="00C010B8" w:rsidRPr="006A7C2A">
        <w:t>prerequisites</w:t>
      </w:r>
      <w:proofErr w:type="gramEnd"/>
      <w:r w:rsidR="00C010B8" w:rsidRPr="006A7C2A">
        <w:t xml:space="preserve"> and the heterogeneity of </w:t>
      </w:r>
      <w:r w:rsidR="00F80C72" w:rsidRPr="006A7C2A">
        <w:t xml:space="preserve">their </w:t>
      </w:r>
      <w:r w:rsidR="00C010B8" w:rsidRPr="006A7C2A">
        <w:t>prerequisites</w:t>
      </w:r>
      <w:r w:rsidR="00B60CDB" w:rsidRPr="006A7C2A">
        <w:t xml:space="preserve"> are completed by teachers</w:t>
      </w:r>
      <w:r w:rsidR="00C010B8" w:rsidRPr="006A7C2A">
        <w:t>’</w:t>
      </w:r>
      <w:r w:rsidR="00B60CDB" w:rsidRPr="006A7C2A">
        <w:t xml:space="preserve"> </w:t>
      </w:r>
      <w:r w:rsidR="00C010B8" w:rsidRPr="006A7C2A">
        <w:t xml:space="preserve">written </w:t>
      </w:r>
      <w:r w:rsidR="00B60CDB" w:rsidRPr="006A7C2A">
        <w:t>answers to the question “according to you, what makes teaching thermodynamics difficult?”</w:t>
      </w:r>
      <w:r w:rsidR="00F80C72" w:rsidRPr="006A7C2A">
        <w:t xml:space="preserve"> </w:t>
      </w:r>
      <w:r w:rsidR="00C010B8" w:rsidRPr="006A7C2A">
        <w:t>T</w:t>
      </w:r>
      <w:r w:rsidR="00F80C72" w:rsidRPr="006A7C2A">
        <w:t>his</w:t>
      </w:r>
      <w:r w:rsidR="00C010B8" w:rsidRPr="006A7C2A">
        <w:t xml:space="preserve"> question </w:t>
      </w:r>
      <w:r w:rsidR="00B60CDB" w:rsidRPr="006A7C2A">
        <w:t xml:space="preserve">was accessed by respondents before the </w:t>
      </w:r>
      <w:proofErr w:type="spellStart"/>
      <w:r w:rsidR="00B60CDB" w:rsidRPr="006A7C2A">
        <w:t>Sözbilir</w:t>
      </w:r>
      <w:proofErr w:type="spellEnd"/>
      <w:r w:rsidR="00B60CDB" w:rsidRPr="006A7C2A">
        <w:t xml:space="preserve"> (2004) statements, </w:t>
      </w:r>
      <w:r w:rsidR="00434B44" w:rsidRPr="006A7C2A">
        <w:t>to avoid</w:t>
      </w:r>
      <w:r w:rsidR="00B60CDB" w:rsidRPr="006A7C2A">
        <w:t xml:space="preserve"> </w:t>
      </w:r>
      <w:r w:rsidR="00434B44" w:rsidRPr="006A7C2A">
        <w:t xml:space="preserve">influencing </w:t>
      </w:r>
      <w:r w:rsidR="00B60CDB" w:rsidRPr="006A7C2A">
        <w:t>them.</w:t>
      </w:r>
      <w:r w:rsidR="00B60CDB" w:rsidRPr="001F1634">
        <w:t xml:space="preserve"> </w:t>
      </w:r>
    </w:p>
    <w:p w14:paraId="6F685658" w14:textId="45B684F7" w:rsidR="005B5E22" w:rsidRPr="001F1634" w:rsidRDefault="003D4CD8" w:rsidP="0019729C">
      <w:r w:rsidRPr="001F1634">
        <w:t xml:space="preserve">For example, one teacher </w:t>
      </w:r>
      <w:r w:rsidR="000417B4">
        <w:t>mention</w:t>
      </w:r>
      <w:r w:rsidR="000417B4" w:rsidRPr="001F1634">
        <w:t xml:space="preserve">s </w:t>
      </w:r>
      <w:r w:rsidRPr="001F1634">
        <w:t>that the difficulty</w:t>
      </w:r>
      <w:r w:rsidR="00F80C72">
        <w:t xml:space="preserve"> of teaching thermodynamics</w:t>
      </w:r>
      <w:r w:rsidRPr="001F1634">
        <w:t xml:space="preserve"> lies in the “</w:t>
      </w:r>
      <w:r w:rsidRPr="001F1634">
        <w:rPr>
          <w:i/>
          <w:iCs/>
        </w:rPr>
        <w:t>few student prerequisites (in first undergraduate year)</w:t>
      </w:r>
      <w:r w:rsidRPr="001F1634">
        <w:t xml:space="preserve">”, </w:t>
      </w:r>
      <w:r w:rsidR="005B5E22" w:rsidRPr="001F1634">
        <w:t>a</w:t>
      </w:r>
      <w:r w:rsidR="00F80C72">
        <w:t xml:space="preserve"> second </w:t>
      </w:r>
      <w:r w:rsidRPr="001F1634">
        <w:t>nuanc</w:t>
      </w:r>
      <w:r w:rsidR="00F80C72">
        <w:t>es</w:t>
      </w:r>
      <w:r w:rsidRPr="001F1634">
        <w:t xml:space="preserve"> that “</w:t>
      </w:r>
      <w:r w:rsidRPr="001F1634">
        <w:rPr>
          <w:i/>
          <w:iCs/>
        </w:rPr>
        <w:t>students are probably not sufficiently made aware of [thermodynamics] at secondary school”</w:t>
      </w:r>
      <w:r w:rsidR="005B5E22" w:rsidRPr="001F1634">
        <w:t>, and a third</w:t>
      </w:r>
      <w:r w:rsidRPr="001F1634">
        <w:t xml:space="preserve"> blam</w:t>
      </w:r>
      <w:r w:rsidR="00F80C72">
        <w:t>es</w:t>
      </w:r>
      <w:r w:rsidRPr="001F1634">
        <w:t xml:space="preserve"> “</w:t>
      </w:r>
      <w:r w:rsidRPr="001F1634">
        <w:rPr>
          <w:i/>
          <w:iCs/>
        </w:rPr>
        <w:t xml:space="preserve">the </w:t>
      </w:r>
      <w:r w:rsidRPr="001F1634">
        <w:rPr>
          <w:i/>
          <w:iCs/>
        </w:rPr>
        <w:lastRenderedPageBreak/>
        <w:t>large amount of maths, which students don't master</w:t>
      </w:r>
      <w:r w:rsidRPr="001F1634">
        <w:t>” when they enter tertiary education.</w:t>
      </w:r>
      <w:r w:rsidR="00F80C72">
        <w:t xml:space="preserve"> Secondary school content is addressed in the discussion section of this </w:t>
      </w:r>
      <w:r w:rsidR="003C0E20">
        <w:t>article</w:t>
      </w:r>
      <w:r w:rsidR="00F80C72">
        <w:t xml:space="preserve">. </w:t>
      </w:r>
      <w:r w:rsidR="009B75EE">
        <w:t>F</w:t>
      </w:r>
      <w:r w:rsidR="006C1F74" w:rsidRPr="001F1634">
        <w:t>inally, a teacher suggest</w:t>
      </w:r>
      <w:r w:rsidR="009B75EE">
        <w:t>s</w:t>
      </w:r>
      <w:r w:rsidR="006C1F74" w:rsidRPr="001F1634">
        <w:t xml:space="preserve"> that the difficulty in thermodynamics lies </w:t>
      </w:r>
      <w:r w:rsidR="00EC3A2D">
        <w:t>with students’ behaviour rather than prerequisites:</w:t>
      </w:r>
      <w:r w:rsidR="006C1F74" w:rsidRPr="001F1634">
        <w:t xml:space="preserve"> “</w:t>
      </w:r>
      <w:r w:rsidR="00F80C72">
        <w:rPr>
          <w:i/>
          <w:iCs/>
        </w:rPr>
        <w:t xml:space="preserve">it </w:t>
      </w:r>
      <w:r w:rsidR="006C1F74" w:rsidRPr="001F1634">
        <w:rPr>
          <w:i/>
          <w:iCs/>
        </w:rPr>
        <w:t>also requires a certain amount of commitment on the part of the student, as the concepts build on each other, which requires students to work on a regular basis as soon as the first course week, which is often not the case</w:t>
      </w:r>
      <w:r w:rsidR="006C1F74" w:rsidRPr="001F1634">
        <w:t>.”</w:t>
      </w:r>
    </w:p>
    <w:p w14:paraId="050F38B6" w14:textId="55D5FBCA" w:rsidR="00D45FC9" w:rsidRDefault="00F80C72" w:rsidP="001E3683">
      <w:r>
        <w:t>Concerning the</w:t>
      </w:r>
      <w:r w:rsidR="00D50F21" w:rsidRPr="001F1634">
        <w:t xml:space="preserve"> teaching context, t</w:t>
      </w:r>
      <w:r w:rsidR="006B78FB" w:rsidRPr="001F1634">
        <w:t xml:space="preserve">he respondents </w:t>
      </w:r>
      <w:r w:rsidR="00DA0366">
        <w:t>completely</w:t>
      </w:r>
      <w:r w:rsidR="006B78FB" w:rsidRPr="001F1634">
        <w:t xml:space="preserve"> disagree, disagree, or </w:t>
      </w:r>
      <w:r w:rsidR="00DA0366">
        <w:t>rather disagre</w:t>
      </w:r>
      <w:r w:rsidR="006A7C2A">
        <w:t>e</w:t>
      </w:r>
      <w:r w:rsidR="006B78FB" w:rsidRPr="001F1634">
        <w:t xml:space="preserve"> with </w:t>
      </w:r>
      <w:r w:rsidR="00D50F21" w:rsidRPr="001F1634">
        <w:t>all the proposed</w:t>
      </w:r>
      <w:r w:rsidR="006B78FB" w:rsidRPr="001F1634">
        <w:t xml:space="preserve"> </w:t>
      </w:r>
      <w:r>
        <w:t xml:space="preserve">statements, showing some discrepancy with </w:t>
      </w:r>
      <w:proofErr w:type="spellStart"/>
      <w:r>
        <w:t>Sözbilir’s</w:t>
      </w:r>
      <w:proofErr w:type="spellEnd"/>
      <w:r>
        <w:t xml:space="preserve"> respondents</w:t>
      </w:r>
      <w:r w:rsidR="006B78FB" w:rsidRPr="001F1634">
        <w:t>:</w:t>
      </w:r>
      <w:r w:rsidR="00ED114F" w:rsidRPr="001F1634">
        <w:t xml:space="preserve"> “the lecture format does not allow the subject matter to be explained properly” (</w:t>
      </w:r>
      <w:r w:rsidR="00DA0366">
        <w:t>cd:13%, d:38%, rd:33%, tot:</w:t>
      </w:r>
      <w:r w:rsidR="00ED114F" w:rsidRPr="001F1634">
        <w:t xml:space="preserve">83%) , </w:t>
      </w:r>
      <w:r w:rsidR="006B78FB" w:rsidRPr="001F1634">
        <w:t>“the teacher lacks the material resources to teach” (</w:t>
      </w:r>
      <w:r w:rsidR="00DA0366">
        <w:t>cd:18%, d:36%, rd:18%, tot:</w:t>
      </w:r>
      <w:r w:rsidR="00D50F21" w:rsidRPr="001F1634">
        <w:t>73</w:t>
      </w:r>
      <w:r w:rsidR="006B78FB" w:rsidRPr="001F1634">
        <w:t>%), “</w:t>
      </w:r>
      <w:r w:rsidR="00A4296A" w:rsidRPr="001F1634">
        <w:t>The classes are too populated” (</w:t>
      </w:r>
      <w:r w:rsidR="00DA0366">
        <w:t>cd:12%, d:36%, rd:24%, tot:</w:t>
      </w:r>
      <w:r w:rsidR="00D50F21" w:rsidRPr="001F1634">
        <w:t>72</w:t>
      </w:r>
      <w:r w:rsidR="00A4296A" w:rsidRPr="001F1634">
        <w:t>%)</w:t>
      </w:r>
      <w:r w:rsidR="00D50F21" w:rsidRPr="001F1634">
        <w:t xml:space="preserve">, </w:t>
      </w:r>
      <w:r w:rsidR="00A4296A" w:rsidRPr="001F1634">
        <w:t>“the teacher has too many courses to give” (</w:t>
      </w:r>
      <w:r w:rsidR="00DA0366">
        <w:t>cd:14%, d:32%, rd:23%, tot:</w:t>
      </w:r>
      <w:r w:rsidR="00D50F21" w:rsidRPr="001F1634">
        <w:t>68</w:t>
      </w:r>
      <w:r w:rsidR="00A4296A" w:rsidRPr="001F1634">
        <w:t>%)</w:t>
      </w:r>
      <w:r w:rsidR="00D50F21" w:rsidRPr="001F1634">
        <w:t>, “there is too much content to cover” (</w:t>
      </w:r>
      <w:r w:rsidR="00DA0366">
        <w:t>cd:</w:t>
      </w:r>
      <w:r w:rsidR="00712627">
        <w:t>9</w:t>
      </w:r>
      <w:r w:rsidR="00DA0366">
        <w:t>%, d:</w:t>
      </w:r>
      <w:r w:rsidR="00712627">
        <w:t>30</w:t>
      </w:r>
      <w:r w:rsidR="00DA0366">
        <w:t>%, rd:</w:t>
      </w:r>
      <w:r w:rsidR="00712627">
        <w:t>26</w:t>
      </w:r>
      <w:r w:rsidR="00DA0366">
        <w:t>%, tot:</w:t>
      </w:r>
      <w:r w:rsidR="00D50F21" w:rsidRPr="001F1634">
        <w:t>65%), and “</w:t>
      </w:r>
      <w:r>
        <w:t>i</w:t>
      </w:r>
      <w:r w:rsidR="00D50F21" w:rsidRPr="001F1634">
        <w:t>t is difficult, pedagogically speaking, to optimise the coherence between the theoretical course, the exercises and the laboratories” (</w:t>
      </w:r>
      <w:r w:rsidR="00DA0366">
        <w:t>cd:</w:t>
      </w:r>
      <w:r w:rsidR="00712627">
        <w:t>4</w:t>
      </w:r>
      <w:r w:rsidR="00DA0366">
        <w:t>%, d:</w:t>
      </w:r>
      <w:r w:rsidR="00712627">
        <w:t>29</w:t>
      </w:r>
      <w:r w:rsidR="00DA0366">
        <w:t>%, rd:</w:t>
      </w:r>
      <w:r w:rsidR="00712627">
        <w:t>25</w:t>
      </w:r>
      <w:r w:rsidR="00DA0366">
        <w:t>%, tot:</w:t>
      </w:r>
      <w:r w:rsidR="00D50F21" w:rsidRPr="001F1634">
        <w:t>58%). A reasonable explanation for the overall disagreement of teachers with these items might be the different teaching conditions in tertiary education between Turkey and Belgium</w:t>
      </w:r>
      <w:r w:rsidR="0010420C">
        <w:t xml:space="preserve">. According to </w:t>
      </w:r>
      <w:r w:rsidR="00D45FC9">
        <w:t xml:space="preserve">the Organisation for Economic Co-operation and Development (OECD), in a recent report on educational systems </w:t>
      </w:r>
      <w:r w:rsidR="00D45FC9">
        <w:fldChar w:fldCharType="begin"/>
      </w:r>
      <w:r w:rsidR="00D45FC9">
        <w:instrText xml:space="preserve"> ADDIN ZOTERO_ITEM CSL_CITATION {"citationID":"UklsVWzs","properties":{"formattedCitation":"(OCDE, 2023)","plainCitation":"(OCDE, 2023)","dontUpdate":true,"noteIndex":0},"citationItems":[{"id":723,"uris":["http://zotero.org/users/13843693/items/8M4GT96K"],"itemData":{"id":723,"type":"book","note":"type: doi:https://doi.org/10.1787/e13bef63-en","title":"Education at a Glance 2023","URL":"https://www.oecd-ilibrary.org/content/publication/e13bef63-en","author":[{"family":"OCDE","given":""}],"issued":{"date-parts":[["2023"]]}}}],"schema":"https://github.com/citation-style-language/schema/raw/master/csl-citation.json"} </w:instrText>
      </w:r>
      <w:r w:rsidR="00D45FC9">
        <w:fldChar w:fldCharType="separate"/>
      </w:r>
      <w:r w:rsidR="00D45FC9" w:rsidRPr="00D45FC9">
        <w:rPr>
          <w:rFonts w:ascii="Aptos" w:hAnsi="Aptos"/>
        </w:rPr>
        <w:t>(2023)</w:t>
      </w:r>
      <w:r w:rsidR="00D45FC9">
        <w:fldChar w:fldCharType="end"/>
      </w:r>
      <w:r w:rsidR="0010420C">
        <w:t xml:space="preserve">, </w:t>
      </w:r>
      <w:r w:rsidR="00D45FC9">
        <w:t>two indicators (C1 and C2) can support this hypothesis. Indicator C1 is the total expenditure on educational institutions per full-time equivalent student (in 2020). For tertiary education, Belgium spen</w:t>
      </w:r>
      <w:r w:rsidR="006A7C2A">
        <w:t>t</w:t>
      </w:r>
      <w:r w:rsidR="00D45FC9">
        <w:t xml:space="preserve"> 14791 $</w:t>
      </w:r>
      <w:r w:rsidR="006A7C2A">
        <w:t xml:space="preserve"> on each student</w:t>
      </w:r>
      <w:r w:rsidR="00D45FC9">
        <w:t>, while Turkey spen</w:t>
      </w:r>
      <w:r w:rsidR="006A7C2A">
        <w:t>t</w:t>
      </w:r>
      <w:r w:rsidR="00D45FC9">
        <w:t xml:space="preserve"> 7418 $ </w:t>
      </w:r>
      <w:r w:rsidR="006A7C2A">
        <w:t xml:space="preserve">on each student </w:t>
      </w:r>
      <w:r w:rsidR="00D45FC9">
        <w:t>(table C1.1)</w:t>
      </w:r>
      <w:r w:rsidR="00D50F21" w:rsidRPr="001F1634">
        <w:t>.</w:t>
      </w:r>
      <w:r w:rsidR="00D45FC9">
        <w:t xml:space="preserve"> Indicator C2 tracks the total expenditure on educational institutions as a percentage of gross domestic product (GDP, in 2020): Belgium spent 1.8% of its GDP on tertiary education, Turkey 1.2%. </w:t>
      </w:r>
    </w:p>
    <w:p w14:paraId="2690EFCB" w14:textId="33FF47A1" w:rsidR="00DA0366" w:rsidRDefault="00ED114F" w:rsidP="001E3683">
      <w:r w:rsidRPr="001F1634">
        <w:t xml:space="preserve">Accordingly, </w:t>
      </w:r>
      <w:r w:rsidR="00EC3A2D">
        <w:t>statements</w:t>
      </w:r>
      <w:r w:rsidR="000544E7">
        <w:t xml:space="preserve"> about</w:t>
      </w:r>
      <w:r w:rsidRPr="001F1634">
        <w:t xml:space="preserve"> </w:t>
      </w:r>
      <w:r w:rsidR="000544E7" w:rsidRPr="001F1634">
        <w:t>teaching management</w:t>
      </w:r>
      <w:r w:rsidR="000544E7">
        <w:t xml:space="preserve"> </w:t>
      </w:r>
      <w:r w:rsidRPr="001F1634">
        <w:t xml:space="preserve">were mostly </w:t>
      </w:r>
      <w:r w:rsidR="004B45B5" w:rsidRPr="001F1634">
        <w:t>disfavoured</w:t>
      </w:r>
      <w:r w:rsidRPr="001F1634">
        <w:t xml:space="preserve">: </w:t>
      </w:r>
      <w:r w:rsidR="004B45B5" w:rsidRPr="001F1634">
        <w:t>“the teacher has too many courses to give” (68%), “the teacher doesn't have enough time or support” (</w:t>
      </w:r>
      <w:r w:rsidR="00DA0366">
        <w:t>cd:</w:t>
      </w:r>
      <w:r w:rsidR="00712627">
        <w:t>14</w:t>
      </w:r>
      <w:r w:rsidR="00DA0366">
        <w:t>%, d:</w:t>
      </w:r>
      <w:r w:rsidR="00712627">
        <w:t>36</w:t>
      </w:r>
      <w:r w:rsidR="00DA0366">
        <w:t>%, rd:</w:t>
      </w:r>
      <w:r w:rsidR="00712627">
        <w:t>14</w:t>
      </w:r>
      <w:r w:rsidR="00DA0366">
        <w:t>%, tot:</w:t>
      </w:r>
      <w:r w:rsidR="004B45B5" w:rsidRPr="001F1634">
        <w:t>64%), “the teacher doesn't have enough opportunities to organise other types of courses (rehearsals, tutorials, laboratories, remediation, etc.) around the theoretical course” (</w:t>
      </w:r>
      <w:r w:rsidR="00DA0366">
        <w:t>cd:</w:t>
      </w:r>
      <w:r w:rsidR="00712627">
        <w:t>18</w:t>
      </w:r>
      <w:r w:rsidR="00DA0366">
        <w:t>%, d:</w:t>
      </w:r>
      <w:r w:rsidR="00712627">
        <w:t>27</w:t>
      </w:r>
      <w:r w:rsidR="00DA0366">
        <w:t>%, rd:</w:t>
      </w:r>
      <w:r w:rsidR="00712627">
        <w:t>18</w:t>
      </w:r>
      <w:r w:rsidR="00DA0366">
        <w:t>%, tot:</w:t>
      </w:r>
      <w:r w:rsidR="004B45B5" w:rsidRPr="001F1634">
        <w:t>64%).</w:t>
      </w:r>
      <w:r w:rsidR="001E3683">
        <w:t xml:space="preserve"> </w:t>
      </w:r>
    </w:p>
    <w:p w14:paraId="568F647F" w14:textId="44589154" w:rsidR="00EE417A" w:rsidRPr="001F1634" w:rsidRDefault="004B45B5" w:rsidP="001E3683">
      <w:r w:rsidRPr="001F1634">
        <w:t xml:space="preserve">Still, </w:t>
      </w:r>
      <w:r w:rsidR="00EC3A2D">
        <w:t>teacher</w:t>
      </w:r>
      <w:r w:rsidR="00DA0366">
        <w:t>s</w:t>
      </w:r>
      <w:r w:rsidR="00EC3A2D">
        <w:t xml:space="preserve"> </w:t>
      </w:r>
      <w:r w:rsidR="00DA0366">
        <w:t>completely</w:t>
      </w:r>
      <w:r w:rsidR="00EC3A2D">
        <w:t xml:space="preserve"> agreed</w:t>
      </w:r>
      <w:r w:rsidR="00DA0366">
        <w:t xml:space="preserve"> (ca)</w:t>
      </w:r>
      <w:r w:rsidR="00EC3A2D">
        <w:t>, agreed</w:t>
      </w:r>
      <w:r w:rsidR="00DA0366">
        <w:t xml:space="preserve"> (a),</w:t>
      </w:r>
      <w:r w:rsidR="00EC3A2D">
        <w:t xml:space="preserve"> or </w:t>
      </w:r>
      <w:r w:rsidR="00DA0366">
        <w:t>rather</w:t>
      </w:r>
      <w:r w:rsidR="00EC3A2D">
        <w:t xml:space="preserve"> agreed</w:t>
      </w:r>
      <w:r w:rsidR="00DA0366">
        <w:t xml:space="preserve"> (</w:t>
      </w:r>
      <w:proofErr w:type="spellStart"/>
      <w:r w:rsidR="00DA0366">
        <w:t>ra</w:t>
      </w:r>
      <w:proofErr w:type="spellEnd"/>
      <w:r w:rsidR="00DA0366">
        <w:t>)</w:t>
      </w:r>
      <w:r w:rsidR="00EC3A2D">
        <w:t xml:space="preserve"> with</w:t>
      </w:r>
      <w:r w:rsidRPr="001F1634">
        <w:t xml:space="preserve"> a single </w:t>
      </w:r>
      <w:r w:rsidR="00EC3A2D">
        <w:t>proposition</w:t>
      </w:r>
      <w:r w:rsidRPr="001F1634">
        <w:t>: “the teacher has too many non-teaching tasks to perform” (</w:t>
      </w:r>
      <w:r w:rsidR="00DA0366">
        <w:t>ca:</w:t>
      </w:r>
      <w:r w:rsidR="00712627">
        <w:t>22</w:t>
      </w:r>
      <w:r w:rsidR="00DA0366">
        <w:t>%, a:</w:t>
      </w:r>
      <w:r w:rsidR="00712627">
        <w:t>13</w:t>
      </w:r>
      <w:r w:rsidR="00DA0366">
        <w:t>%, ra:</w:t>
      </w:r>
      <w:r w:rsidR="00712627">
        <w:t>22</w:t>
      </w:r>
      <w:r w:rsidR="00DA0366">
        <w:t>%, tot:</w:t>
      </w:r>
      <w:r w:rsidRPr="001F1634">
        <w:t xml:space="preserve">57%). In the same </w:t>
      </w:r>
      <w:r w:rsidR="00EC3A2D">
        <w:t>category lied</w:t>
      </w:r>
      <w:r w:rsidRPr="001F1634">
        <w:t xml:space="preserve"> t</w:t>
      </w:r>
      <w:r w:rsidR="00D50F21" w:rsidRPr="001F1634">
        <w:t>he most disputed</w:t>
      </w:r>
      <w:r w:rsidR="001E3683">
        <w:t xml:space="preserve"> statement</w:t>
      </w:r>
      <w:r w:rsidRPr="001F1634">
        <w:t xml:space="preserve">: </w:t>
      </w:r>
      <w:r w:rsidR="00D50F21" w:rsidRPr="001F1634">
        <w:t xml:space="preserve">“there aren't enough opportunities for career development in teaching”, with 45% of teachers choosing “disagree” </w:t>
      </w:r>
      <w:r w:rsidR="00712627">
        <w:t xml:space="preserve">(25%) </w:t>
      </w:r>
      <w:r w:rsidR="00D50F21" w:rsidRPr="001F1634">
        <w:t>or “completely disagree”</w:t>
      </w:r>
      <w:r w:rsidR="00712627">
        <w:t xml:space="preserve"> (20%)</w:t>
      </w:r>
      <w:r w:rsidR="00D50F21" w:rsidRPr="001F1634">
        <w:t xml:space="preserve"> and 40% choosing “agree”</w:t>
      </w:r>
      <w:r w:rsidR="00712627">
        <w:t xml:space="preserve"> (20%)</w:t>
      </w:r>
      <w:r w:rsidR="00D50F21" w:rsidRPr="001F1634">
        <w:t xml:space="preserve"> or “completely agree”</w:t>
      </w:r>
      <w:r w:rsidR="00712627">
        <w:t xml:space="preserve"> (20%)</w:t>
      </w:r>
      <w:r w:rsidR="001B0654">
        <w:t xml:space="preserve">. </w:t>
      </w:r>
      <w:r w:rsidR="00D50F21" w:rsidRPr="001F1634">
        <w:t xml:space="preserve">A finer analysis shows that the </w:t>
      </w:r>
      <w:r w:rsidRPr="001F1634">
        <w:t>latter</w:t>
      </w:r>
      <w:r w:rsidR="00D50F21" w:rsidRPr="001F1634">
        <w:t xml:space="preserve"> group is made up of 5 “</w:t>
      </w:r>
      <w:r w:rsidR="001B0654">
        <w:t>h</w:t>
      </w:r>
      <w:r w:rsidR="000544E7" w:rsidRPr="001F1634">
        <w:t xml:space="preserve">aute </w:t>
      </w:r>
      <w:r w:rsidR="001B0654">
        <w:t>é</w:t>
      </w:r>
      <w:r w:rsidR="000544E7" w:rsidRPr="001F1634">
        <w:t>cole</w:t>
      </w:r>
      <w:r w:rsidR="00D50F21" w:rsidRPr="001F1634">
        <w:t xml:space="preserve">” teachers and 3 university teachers, while the former is composed of 1 “haute école” teacher and 8 university teachers. </w:t>
      </w:r>
      <w:r w:rsidR="00EC3A2D">
        <w:t>T</w:t>
      </w:r>
      <w:r w:rsidR="00D50F21" w:rsidRPr="001F1634">
        <w:t>hus, this statistic might say more about the varying opportunities in the two types of</w:t>
      </w:r>
      <w:r w:rsidR="00EC3A2D">
        <w:t xml:space="preserve"> Belgian</w:t>
      </w:r>
      <w:r w:rsidR="00D50F21" w:rsidRPr="001F1634">
        <w:t xml:space="preserve"> institutions</w:t>
      </w:r>
      <w:r w:rsidR="001E3683">
        <w:t xml:space="preserve"> r</w:t>
      </w:r>
      <w:r w:rsidR="00D50F21" w:rsidRPr="001F1634">
        <w:t>ather than</w:t>
      </w:r>
      <w:r w:rsidR="00434B44">
        <w:t xml:space="preserve"> on</w:t>
      </w:r>
      <w:r w:rsidR="00D50F21" w:rsidRPr="001F1634">
        <w:t xml:space="preserve"> thermodynamics teaching, specifically. </w:t>
      </w:r>
    </w:p>
    <w:p w14:paraId="64129D64" w14:textId="33F0B0D0" w:rsidR="00D50F21" w:rsidRPr="001F1634" w:rsidRDefault="00721C13" w:rsidP="00EE417A">
      <w:pPr>
        <w:pStyle w:val="Caption"/>
      </w:pPr>
      <w:r>
        <w:rPr>
          <w:noProof/>
        </w:rPr>
        <w:lastRenderedPageBreak/>
        <w:drawing>
          <wp:inline distT="0" distB="0" distL="0" distR="0" wp14:anchorId="288709A7" wp14:editId="25E23EAF">
            <wp:extent cx="5791200" cy="4567322"/>
            <wp:effectExtent l="0" t="0" r="0" b="5080"/>
            <wp:docPr id="47719126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800411" cy="4574587"/>
                    </a:xfrm>
                    <a:prstGeom prst="rect">
                      <a:avLst/>
                    </a:prstGeom>
                    <a:noFill/>
                  </pic:spPr>
                </pic:pic>
              </a:graphicData>
            </a:graphic>
          </wp:inline>
        </w:drawing>
      </w:r>
      <w:r w:rsidR="00EE417A" w:rsidRPr="001F1634">
        <w:t xml:space="preserve">Figure </w:t>
      </w:r>
      <w:fldSimple w:instr=" SEQ Figure \* ARABIC ">
        <w:r w:rsidR="00CA507A">
          <w:rPr>
            <w:noProof/>
          </w:rPr>
          <w:t>4</w:t>
        </w:r>
      </w:fldSimple>
      <w:r w:rsidR="00EE417A" w:rsidRPr="001F1634">
        <w:t xml:space="preserve">. </w:t>
      </w:r>
      <w:r w:rsidR="00BB1806" w:rsidRPr="001F1634">
        <w:t>Percentages of a</w:t>
      </w:r>
      <w:r w:rsidR="00EE417A" w:rsidRPr="001F1634">
        <w:t>nswers</w:t>
      </w:r>
      <w:r w:rsidR="00BB1806" w:rsidRPr="001F1634">
        <w:t xml:space="preserve"> on a Likert scale</w:t>
      </w:r>
      <w:r w:rsidR="00EE417A" w:rsidRPr="001F1634">
        <w:t xml:space="preserve"> to the question “Didactic research by M. </w:t>
      </w:r>
      <w:proofErr w:type="spellStart"/>
      <w:r w:rsidR="00EE417A" w:rsidRPr="001F1634">
        <w:t>Sözbilir</w:t>
      </w:r>
      <w:proofErr w:type="spellEnd"/>
      <w:r w:rsidR="00EE417A" w:rsidRPr="001F1634">
        <w:t xml:space="preserve"> (What Makes Physical Chemistry Difficult? Perceptions of Turkish Chemistry Undergraduates and Lecturers, Journal of Chemical Education, 2004) identified several difficulties in teaching thermodynamics at undergraduate level. To what extent do you agree with the following </w:t>
      </w:r>
      <w:r w:rsidR="000544E7">
        <w:t>statement</w:t>
      </w:r>
      <w:r w:rsidR="000544E7" w:rsidRPr="001F1634">
        <w:t xml:space="preserve">s </w:t>
      </w:r>
      <w:r w:rsidR="00EE417A" w:rsidRPr="001F1634">
        <w:t xml:space="preserve">for teaching difficulties, adapted from this article?” S for student-focused statement. C for content-focused statement. TM for teaching management statement. TC for teaching context statement. </w:t>
      </w:r>
      <w:r>
        <w:t xml:space="preserve">SE for socio-economic. </w:t>
      </w:r>
      <w:r w:rsidR="00EC3A2D">
        <w:t>N = 2</w:t>
      </w:r>
      <w:r>
        <w:t>6</w:t>
      </w:r>
      <w:r w:rsidR="00EC3A2D">
        <w:t>.</w:t>
      </w:r>
    </w:p>
    <w:p w14:paraId="495E3A67" w14:textId="6075637B" w:rsidR="00A4296A" w:rsidRPr="001F1634" w:rsidRDefault="00A4296A" w:rsidP="00A4296A">
      <w:pPr>
        <w:pStyle w:val="Heading3"/>
      </w:pPr>
      <w:r w:rsidRPr="001F1634">
        <w:t>Content</w:t>
      </w:r>
    </w:p>
    <w:p w14:paraId="59C6EC78" w14:textId="5914F3A0" w:rsidR="00D16121" w:rsidRPr="001F1634" w:rsidRDefault="00194859" w:rsidP="00E25243">
      <w:r w:rsidRPr="001F1634">
        <w:t>In fig</w:t>
      </w:r>
      <w:r w:rsidR="00BB1806" w:rsidRPr="001F1634">
        <w:t xml:space="preserve">ure </w:t>
      </w:r>
      <w:r w:rsidR="00EC3A2D">
        <w:t>4</w:t>
      </w:r>
      <w:r w:rsidRPr="001F1634">
        <w:t xml:space="preserve">, most teachers only </w:t>
      </w:r>
      <w:r w:rsidR="00712627">
        <w:t xml:space="preserve">completely </w:t>
      </w:r>
      <w:r w:rsidRPr="001F1634">
        <w:t xml:space="preserve">agree, agree, or </w:t>
      </w:r>
      <w:r w:rsidR="00712627">
        <w:t xml:space="preserve">rather </w:t>
      </w:r>
      <w:r w:rsidRPr="001F1634">
        <w:t>agree with one “content” statement: “</w:t>
      </w:r>
      <w:proofErr w:type="spellStart"/>
      <w:r w:rsidRPr="001F1634">
        <w:t>the</w:t>
      </w:r>
      <w:proofErr w:type="spellEnd"/>
      <w:r w:rsidRPr="001F1634">
        <w:t xml:space="preserve"> taught concepts are too abstract” (</w:t>
      </w:r>
      <w:r w:rsidR="00712627">
        <w:t>ca:21%, a:29%, ra:21%, tot:</w:t>
      </w:r>
      <w:r w:rsidRPr="001F1634">
        <w:t>71%), and report contradictory opinions for the answer “thermodynamics is too mathematical” (</w:t>
      </w:r>
      <w:r w:rsidR="00712627">
        <w:t>a:21%, ra:29%, tot:50% vs cd:17%, d:17%, rd:17%, tot:50</w:t>
      </w:r>
      <w:r w:rsidRPr="001F1634">
        <w:t xml:space="preserve">%). </w:t>
      </w:r>
      <w:proofErr w:type="gramStart"/>
      <w:r w:rsidRPr="001F1634">
        <w:t>The</w:t>
      </w:r>
      <w:r w:rsidR="00333200">
        <w:t xml:space="preserve"> majority of</w:t>
      </w:r>
      <w:proofErr w:type="gramEnd"/>
      <w:r w:rsidR="00333200">
        <w:t xml:space="preserve"> them </w:t>
      </w:r>
      <w:r w:rsidRPr="001F1634">
        <w:t xml:space="preserve"> </w:t>
      </w:r>
      <w:r w:rsidR="00712627">
        <w:t xml:space="preserve">completely </w:t>
      </w:r>
      <w:r w:rsidRPr="001F1634">
        <w:t xml:space="preserve">disagree, disagree or </w:t>
      </w:r>
      <w:r w:rsidR="00712627">
        <w:t>rather</w:t>
      </w:r>
      <w:r w:rsidRPr="001F1634">
        <w:t xml:space="preserve"> disagree with the fact that “</w:t>
      </w:r>
      <w:r w:rsidR="00EC3A2D">
        <w:t>i</w:t>
      </w:r>
      <w:r w:rsidRPr="001F1634">
        <w:t>t's hard to make the links with everyday life” (</w:t>
      </w:r>
      <w:r w:rsidR="00712627">
        <w:t>cd:16%, d:24%, rd:16%, tot:</w:t>
      </w:r>
      <w:r w:rsidRPr="001F1634">
        <w:t>5</w:t>
      </w:r>
      <w:r w:rsidR="00333200">
        <w:t>6</w:t>
      </w:r>
      <w:r w:rsidRPr="001F1634">
        <w:t>%).</w:t>
      </w:r>
    </w:p>
    <w:p w14:paraId="55DC46E2" w14:textId="4F4E50A1" w:rsidR="006C1F74" w:rsidRPr="00EF2646" w:rsidRDefault="00235D11" w:rsidP="00E25243">
      <w:r w:rsidRPr="001F1634">
        <w:t xml:space="preserve">Multiple </w:t>
      </w:r>
      <w:r w:rsidR="000544E7">
        <w:t>written comments</w:t>
      </w:r>
      <w:r w:rsidRPr="001F1634">
        <w:t xml:space="preserve"> complete these descriptive statistics, starting with abstractness: “</w:t>
      </w:r>
      <w:r w:rsidRPr="001F1634">
        <w:rPr>
          <w:i/>
          <w:iCs/>
        </w:rPr>
        <w:t>[thermodynamics] requires new capacities for abstraction in the first year at university</w:t>
      </w:r>
      <w:r w:rsidRPr="001F1634">
        <w:t>”; “</w:t>
      </w:r>
      <w:r w:rsidRPr="001F1634">
        <w:rPr>
          <w:i/>
          <w:iCs/>
        </w:rPr>
        <w:t>these are very abstract notions, which sometimes require you to accept that they are not linked to anything tangible</w:t>
      </w:r>
      <w:r w:rsidR="004863A0" w:rsidRPr="001F1634">
        <w:rPr>
          <w:i/>
          <w:iCs/>
        </w:rPr>
        <w:t>.</w:t>
      </w:r>
      <w:r w:rsidRPr="001F1634">
        <w:t xml:space="preserve">” 28% of written </w:t>
      </w:r>
      <w:r w:rsidR="000544E7">
        <w:t>comment</w:t>
      </w:r>
      <w:r w:rsidR="000544E7" w:rsidRPr="001F1634">
        <w:t xml:space="preserve">s </w:t>
      </w:r>
      <w:r w:rsidRPr="001F1634">
        <w:t>mention abstraction as a difficulty. Another teacher states that “</w:t>
      </w:r>
      <w:r w:rsidRPr="001F1634">
        <w:rPr>
          <w:i/>
          <w:iCs/>
        </w:rPr>
        <w:t>[thermodynamics is] a mixture of mathematics and abstract concepts, which makes it difficult for students to understand</w:t>
      </w:r>
      <w:r w:rsidRPr="001F1634">
        <w:t xml:space="preserve">”, which segways into the second difficulty: mathematics. In addition to the lack of mastered prerequisites mentioned in the </w:t>
      </w:r>
      <w:r w:rsidR="000544E7">
        <w:t>student-centred</w:t>
      </w:r>
      <w:r w:rsidRPr="001F1634">
        <w:t xml:space="preserve"> section of the results, </w:t>
      </w:r>
      <w:r w:rsidR="004863A0" w:rsidRPr="001F1634">
        <w:t>and the mix of abstraction and mathematics just described, other</w:t>
      </w:r>
      <w:r w:rsidR="006C1F74" w:rsidRPr="001F1634">
        <w:t xml:space="preserve"> </w:t>
      </w:r>
      <w:r w:rsidR="000544E7">
        <w:t xml:space="preserve">more specific aspects connecting </w:t>
      </w:r>
      <w:r w:rsidR="006C1F74" w:rsidRPr="001F1634">
        <w:t>chemistry</w:t>
      </w:r>
      <w:r w:rsidR="000544E7">
        <w:t xml:space="preserve"> and </w:t>
      </w:r>
      <w:r w:rsidR="006C1F74" w:rsidRPr="001F1634">
        <w:t>mathematics</w:t>
      </w:r>
      <w:r w:rsidR="004863A0" w:rsidRPr="001F1634">
        <w:t xml:space="preserve"> are drawn out by teachers: differential equations (‘“</w:t>
      </w:r>
      <w:r w:rsidR="004863A0" w:rsidRPr="001F1634">
        <w:rPr>
          <w:i/>
          <w:iCs/>
        </w:rPr>
        <w:t xml:space="preserve">all </w:t>
      </w:r>
      <w:r w:rsidR="004863A0" w:rsidRPr="001F1634">
        <w:rPr>
          <w:i/>
          <w:iCs/>
        </w:rPr>
        <w:lastRenderedPageBreak/>
        <w:t>the properties are linked via various differential equations, which can complicate things</w:t>
      </w:r>
      <w:r w:rsidR="004863A0" w:rsidRPr="001F1634">
        <w:t>”), students’ dislike of mathematics, “</w:t>
      </w:r>
      <w:r w:rsidR="004863A0" w:rsidRPr="001F1634">
        <w:rPr>
          <w:i/>
          <w:iCs/>
        </w:rPr>
        <w:t>many formulas</w:t>
      </w:r>
      <w:r w:rsidR="004863A0" w:rsidRPr="001F1634">
        <w:t>”, and boredom (“</w:t>
      </w:r>
      <w:r w:rsidR="004863A0" w:rsidRPr="001F1634">
        <w:rPr>
          <w:i/>
          <w:iCs/>
        </w:rPr>
        <w:t xml:space="preserve">I think it's boring because it's so formal and </w:t>
      </w:r>
      <w:r w:rsidR="004863A0" w:rsidRPr="00EF2646">
        <w:rPr>
          <w:i/>
          <w:iCs/>
        </w:rPr>
        <w:t>mathematical</w:t>
      </w:r>
      <w:r w:rsidR="004863A0" w:rsidRPr="00EF2646">
        <w:t xml:space="preserve">”). </w:t>
      </w:r>
    </w:p>
    <w:p w14:paraId="72586762" w14:textId="13D32F59" w:rsidR="004863A0" w:rsidRPr="00EF2646" w:rsidRDefault="004863A0" w:rsidP="00E25243">
      <w:r w:rsidRPr="00EF2646">
        <w:t xml:space="preserve">Analysis of </w:t>
      </w:r>
      <w:r w:rsidR="006C1F74" w:rsidRPr="00EF2646">
        <w:t>all</w:t>
      </w:r>
      <w:r w:rsidRPr="00EF2646">
        <w:t xml:space="preserve"> written </w:t>
      </w:r>
      <w:r w:rsidR="000544E7">
        <w:t>comment</w:t>
      </w:r>
      <w:r w:rsidR="000544E7" w:rsidRPr="00EF2646">
        <w:t xml:space="preserve">s </w:t>
      </w:r>
      <w:r w:rsidR="000544E7">
        <w:t>mention</w:t>
      </w:r>
      <w:r w:rsidR="000544E7" w:rsidRPr="00EF2646">
        <w:t xml:space="preserve">ed </w:t>
      </w:r>
      <w:r w:rsidRPr="00EF2646">
        <w:t>many content-centred difficulties</w:t>
      </w:r>
      <w:r w:rsidR="006C1F74" w:rsidRPr="00EF2646">
        <w:t xml:space="preserve">, which </w:t>
      </w:r>
      <w:r w:rsidR="00125BDF">
        <w:t>are listed</w:t>
      </w:r>
      <w:r w:rsidR="006C1F74" w:rsidRPr="00EF2646">
        <w:t xml:space="preserve"> below</w:t>
      </w:r>
      <w:r w:rsidR="00154D09" w:rsidRPr="00EF2646">
        <w:t>.</w:t>
      </w:r>
    </w:p>
    <w:p w14:paraId="30C28926" w14:textId="7624C1D9" w:rsidR="0005345C" w:rsidRPr="00EF2646" w:rsidRDefault="006C1F74" w:rsidP="0065023B">
      <w:pPr>
        <w:pStyle w:val="ListParagraph"/>
        <w:numPr>
          <w:ilvl w:val="1"/>
          <w:numId w:val="8"/>
        </w:numPr>
        <w:ind w:left="360"/>
        <w:rPr>
          <w:i/>
          <w:iCs/>
        </w:rPr>
      </w:pPr>
      <w:r w:rsidRPr="00EF2646">
        <w:t xml:space="preserve">Historical </w:t>
      </w:r>
      <w:r w:rsidR="0005345C" w:rsidRPr="00EF2646">
        <w:t>binarity</w:t>
      </w:r>
      <w:r w:rsidRPr="00EF2646">
        <w:t>: “</w:t>
      </w:r>
      <w:r w:rsidRPr="00EF2646">
        <w:rPr>
          <w:i/>
          <w:iCs/>
        </w:rPr>
        <w:t>An important historical aspect stemming from the steam engine.</w:t>
      </w:r>
      <w:r w:rsidRPr="00EF2646">
        <w:t>”</w:t>
      </w:r>
      <w:r w:rsidR="0005345C" w:rsidRPr="00EF2646">
        <w:t>, “</w:t>
      </w:r>
      <w:r w:rsidR="0005345C" w:rsidRPr="00EF2646">
        <w:rPr>
          <w:i/>
          <w:iCs/>
        </w:rPr>
        <w:t>[thermodynamics] combines a historical and still relevant macroscopic vision with a molecular vision that is still not very perceptible</w:t>
      </w:r>
      <w:r w:rsidR="0005345C" w:rsidRPr="00EF2646">
        <w:t>.”</w:t>
      </w:r>
    </w:p>
    <w:p w14:paraId="73B2C9D8" w14:textId="090F573D" w:rsidR="006C1F74" w:rsidRPr="00EF2646" w:rsidRDefault="006C1F74" w:rsidP="0065023B">
      <w:pPr>
        <w:pStyle w:val="ListParagraph"/>
        <w:numPr>
          <w:ilvl w:val="1"/>
          <w:numId w:val="8"/>
        </w:numPr>
        <w:ind w:left="360"/>
        <w:rPr>
          <w:i/>
          <w:iCs/>
        </w:rPr>
      </w:pPr>
      <w:r w:rsidRPr="00EF2646">
        <w:t>Postulates</w:t>
      </w:r>
      <w:r w:rsidR="0005345C" w:rsidRPr="00EF2646">
        <w:t>: “</w:t>
      </w:r>
      <w:r w:rsidR="0005345C" w:rsidRPr="00EF2646">
        <w:rPr>
          <w:i/>
          <w:iCs/>
        </w:rPr>
        <w:t xml:space="preserve">[thermodynamics is] based on principles that you </w:t>
      </w:r>
      <w:proofErr w:type="gramStart"/>
      <w:r w:rsidR="0005345C" w:rsidRPr="00EF2646">
        <w:rPr>
          <w:i/>
          <w:iCs/>
        </w:rPr>
        <w:t>have to</w:t>
      </w:r>
      <w:proofErr w:type="gramEnd"/>
      <w:r w:rsidR="0005345C" w:rsidRPr="00EF2646">
        <w:rPr>
          <w:i/>
          <w:iCs/>
        </w:rPr>
        <w:t xml:space="preserve"> 'accept'</w:t>
      </w:r>
      <w:r w:rsidR="00837D96">
        <w:rPr>
          <w:i/>
          <w:iCs/>
        </w:rPr>
        <w:t xml:space="preserve"> </w:t>
      </w:r>
      <w:r w:rsidR="0005345C" w:rsidRPr="00EF2646">
        <w:t>”</w:t>
      </w:r>
    </w:p>
    <w:p w14:paraId="2C631169" w14:textId="59CC9274" w:rsidR="006C1F74" w:rsidRPr="00EF2646" w:rsidRDefault="0005345C" w:rsidP="0065023B">
      <w:pPr>
        <w:pStyle w:val="ListParagraph"/>
        <w:numPr>
          <w:ilvl w:val="1"/>
          <w:numId w:val="8"/>
        </w:numPr>
        <w:ind w:left="360"/>
        <w:rPr>
          <w:i/>
          <w:iCs/>
        </w:rPr>
      </w:pPr>
      <w:r w:rsidRPr="00EF2646">
        <w:t>Misconceptions: “</w:t>
      </w:r>
      <w:r w:rsidRPr="00EF2646">
        <w:rPr>
          <w:i/>
          <w:iCs/>
        </w:rPr>
        <w:t>having taught [thermodynamics] in the first year of a bachelor's degree, I find that many students arrive with misconceptions about energy and entropy that are hard to shake off.</w:t>
      </w:r>
      <w:r w:rsidRPr="00EF2646">
        <w:t>”</w:t>
      </w:r>
    </w:p>
    <w:p w14:paraId="4A9E522A" w14:textId="27CC243A" w:rsidR="006C1F74" w:rsidRPr="00EF2646" w:rsidRDefault="006C1F74" w:rsidP="0065023B">
      <w:pPr>
        <w:pStyle w:val="ListParagraph"/>
        <w:numPr>
          <w:ilvl w:val="1"/>
          <w:numId w:val="8"/>
        </w:numPr>
        <w:ind w:left="360"/>
        <w:rPr>
          <w:i/>
          <w:iCs/>
        </w:rPr>
      </w:pPr>
      <w:r w:rsidRPr="00EF2646">
        <w:t>Interdisciplinar</w:t>
      </w:r>
      <w:r w:rsidR="00125BDF">
        <w:t>it</w:t>
      </w:r>
      <w:r w:rsidRPr="00EF2646">
        <w:t xml:space="preserve">y </w:t>
      </w:r>
      <w:r w:rsidR="00125BDF">
        <w:t xml:space="preserve">between </w:t>
      </w:r>
      <w:r w:rsidRPr="00EF2646">
        <w:t>physics</w:t>
      </w:r>
      <w:r w:rsidR="00125BDF">
        <w:t xml:space="preserve"> and </w:t>
      </w:r>
      <w:r w:rsidRPr="00EF2646">
        <w:t>chemistry</w:t>
      </w:r>
    </w:p>
    <w:p w14:paraId="2344979E" w14:textId="68872402" w:rsidR="006C1F74" w:rsidRPr="001F1634" w:rsidRDefault="0005345C" w:rsidP="0065023B">
      <w:pPr>
        <w:pStyle w:val="ListParagraph"/>
        <w:numPr>
          <w:ilvl w:val="2"/>
          <w:numId w:val="8"/>
        </w:numPr>
        <w:ind w:left="1080"/>
        <w:rPr>
          <w:i/>
          <w:iCs/>
        </w:rPr>
      </w:pPr>
      <w:r w:rsidRPr="00EF2646">
        <w:t>“</w:t>
      </w:r>
      <w:r w:rsidRPr="00EF2646">
        <w:rPr>
          <w:i/>
          <w:iCs/>
        </w:rPr>
        <w:t>For first</w:t>
      </w:r>
      <w:r w:rsidRPr="001F1634">
        <w:rPr>
          <w:i/>
          <w:iCs/>
        </w:rPr>
        <w:t>-year chemistry students, thermodynamics 'doesn't look like' chemistry.”</w:t>
      </w:r>
    </w:p>
    <w:p w14:paraId="5FA9123D" w14:textId="229A56D4" w:rsidR="006C1F74" w:rsidRPr="009D3A1E" w:rsidRDefault="0005345C" w:rsidP="0065023B">
      <w:pPr>
        <w:pStyle w:val="ListParagraph"/>
        <w:numPr>
          <w:ilvl w:val="2"/>
          <w:numId w:val="8"/>
        </w:numPr>
        <w:ind w:left="1080"/>
        <w:rPr>
          <w:i/>
          <w:iCs/>
        </w:rPr>
      </w:pPr>
      <w:r w:rsidRPr="001F1634">
        <w:t>“</w:t>
      </w:r>
      <w:r w:rsidRPr="001F1634">
        <w:rPr>
          <w:i/>
          <w:iCs/>
        </w:rPr>
        <w:t>Even if [thermodynamics] is taught in a chemistry course, it comes under the heading of physics, which some students find repulsive or frightening</w:t>
      </w:r>
      <w:r w:rsidRPr="001F1634">
        <w:t>.”</w:t>
      </w:r>
    </w:p>
    <w:p w14:paraId="0B1FA128" w14:textId="45911569" w:rsidR="009D3A1E" w:rsidRPr="001F1634" w:rsidRDefault="009D3A1E" w:rsidP="0065023B">
      <w:pPr>
        <w:pStyle w:val="ListParagraph"/>
        <w:numPr>
          <w:ilvl w:val="2"/>
          <w:numId w:val="8"/>
        </w:numPr>
        <w:ind w:left="1080"/>
        <w:rPr>
          <w:i/>
          <w:iCs/>
        </w:rPr>
      </w:pPr>
      <w:r>
        <w:t>“</w:t>
      </w:r>
      <w:r w:rsidRPr="009D3A1E">
        <w:rPr>
          <w:i/>
          <w:iCs/>
        </w:rPr>
        <w:t>It implies considering different disciplines: above all chemistry and physics [...] or rather elements deemed less central/essential to these disciplines.</w:t>
      </w:r>
      <w:r w:rsidRPr="009D3A1E">
        <w:rPr>
          <w:b/>
          <w:bCs/>
          <w:i/>
          <w:iCs/>
        </w:rPr>
        <w:t>”</w:t>
      </w:r>
    </w:p>
    <w:p w14:paraId="67A4C94E" w14:textId="3B500787" w:rsidR="00663A59" w:rsidRPr="001F1634" w:rsidRDefault="00154D09" w:rsidP="0065023B">
      <w:pPr>
        <w:pStyle w:val="ListParagraph"/>
        <w:numPr>
          <w:ilvl w:val="0"/>
          <w:numId w:val="10"/>
        </w:numPr>
        <w:ind w:left="360"/>
      </w:pPr>
      <w:r w:rsidRPr="001F1634">
        <w:t>Specific concepts</w:t>
      </w:r>
      <w:r w:rsidR="00AB4BA5">
        <w:t xml:space="preserve"> and their associated validity domains</w:t>
      </w:r>
    </w:p>
    <w:p w14:paraId="37CB995E" w14:textId="3F431DC6" w:rsidR="00663A59" w:rsidRPr="001F1634" w:rsidRDefault="00154D09" w:rsidP="0065023B">
      <w:pPr>
        <w:pStyle w:val="ListParagraph"/>
        <w:numPr>
          <w:ilvl w:val="2"/>
          <w:numId w:val="9"/>
        </w:numPr>
        <w:ind w:left="1080"/>
      </w:pPr>
      <w:r w:rsidRPr="001F1634">
        <w:t>“</w:t>
      </w:r>
      <w:r w:rsidRPr="001F1634">
        <w:rPr>
          <w:i/>
          <w:iCs/>
        </w:rPr>
        <w:t>Some formulas are used at constant volume, others at</w:t>
      </w:r>
      <w:r w:rsidR="004B4801">
        <w:rPr>
          <w:i/>
          <w:iCs/>
        </w:rPr>
        <w:t xml:space="preserve"> </w:t>
      </w:r>
      <w:r w:rsidRPr="001F1634">
        <w:rPr>
          <w:i/>
          <w:iCs/>
        </w:rPr>
        <w:t>constant pressure, which can be confusing</w:t>
      </w:r>
      <w:r w:rsidRPr="001F1634">
        <w:t>.”</w:t>
      </w:r>
    </w:p>
    <w:p w14:paraId="18C7716F" w14:textId="701F82A9" w:rsidR="00663A59" w:rsidRPr="001F1634" w:rsidRDefault="00154D09" w:rsidP="0065023B">
      <w:pPr>
        <w:pStyle w:val="ListParagraph"/>
        <w:numPr>
          <w:ilvl w:val="2"/>
          <w:numId w:val="9"/>
        </w:numPr>
        <w:ind w:left="1080"/>
      </w:pPr>
      <w:r w:rsidRPr="001F1634">
        <w:t>“</w:t>
      </w:r>
      <w:r w:rsidRPr="001F1634">
        <w:rPr>
          <w:i/>
          <w:iCs/>
        </w:rPr>
        <w:t>The concept of enthalpy itself is not always well understood. Its distinction from the notion of heat (which is broader) is difficult for many students to understand. Enthalpy (or its variation) is sometimes confused with temperature (or its variation).</w:t>
      </w:r>
      <w:r w:rsidRPr="001F1634">
        <w:t>”</w:t>
      </w:r>
    </w:p>
    <w:p w14:paraId="2ADC7C99" w14:textId="7507F193" w:rsidR="00663A59" w:rsidRDefault="001F1634" w:rsidP="00E25243">
      <w:r w:rsidRPr="001F1634">
        <w:t xml:space="preserve">Figure </w:t>
      </w:r>
      <w:r w:rsidR="00E6628E">
        <w:t>5</w:t>
      </w:r>
      <w:r w:rsidRPr="001F1634">
        <w:t xml:space="preserve"> documents the answers of teachers to a question asking them to evaluate the difficulty of </w:t>
      </w:r>
      <w:r>
        <w:t>teaching specific</w:t>
      </w:r>
      <w:r w:rsidRPr="001F1634">
        <w:t xml:space="preserve"> thermodynamical concepts</w:t>
      </w:r>
      <w:r w:rsidR="00E6628E">
        <w:t xml:space="preserve">, </w:t>
      </w:r>
      <w:r w:rsidR="00AB4BA5">
        <w:t xml:space="preserve">provided </w:t>
      </w:r>
      <w:r w:rsidR="00E6628E">
        <w:t xml:space="preserve">they cover </w:t>
      </w:r>
      <w:r w:rsidR="005D0FE2">
        <w:t xml:space="preserve">them </w:t>
      </w:r>
      <w:r w:rsidR="00E6628E">
        <w:t>in their course</w:t>
      </w:r>
      <w:r w:rsidR="005B5B4A">
        <w:t xml:space="preserve"> (Q23)</w:t>
      </w:r>
      <w:r w:rsidRPr="001F1634">
        <w:t xml:space="preserve">. </w:t>
      </w:r>
      <w:r w:rsidR="00980FBA">
        <w:t>In this section, two type</w:t>
      </w:r>
      <w:r w:rsidR="001E3683">
        <w:t>s</w:t>
      </w:r>
      <w:r w:rsidR="00980FBA">
        <w:t xml:space="preserve"> of percentages</w:t>
      </w:r>
      <w:r w:rsidR="00E6628E">
        <w:t xml:space="preserve"> should </w:t>
      </w:r>
      <w:r w:rsidR="00AB4BA5">
        <w:t xml:space="preserve">not </w:t>
      </w:r>
      <w:r w:rsidR="00E6628E">
        <w:t>be confused:</w:t>
      </w:r>
      <w:r w:rsidR="00980FBA">
        <w:t xml:space="preserve"> the percentages of teachers who cover a concept</w:t>
      </w:r>
      <w:r w:rsidR="0097432C">
        <w:t xml:space="preserve"> (in parenthesis in the y-axis labels of fig.</w:t>
      </w:r>
      <w:r w:rsidR="00E6628E">
        <w:t xml:space="preserve"> 5</w:t>
      </w:r>
      <w:r w:rsidR="0097432C">
        <w:t>)</w:t>
      </w:r>
      <w:r w:rsidR="00980FBA">
        <w:t>, and the percentages of teachers’ opinions</w:t>
      </w:r>
      <w:r w:rsidR="0097432C">
        <w:t xml:space="preserve"> (x-axis of fig. </w:t>
      </w:r>
      <w:r w:rsidR="003A6937">
        <w:t>5</w:t>
      </w:r>
      <w:r w:rsidR="0097432C">
        <w:t xml:space="preserve">). </w:t>
      </w:r>
      <w:r w:rsidRPr="001F1634">
        <w:t xml:space="preserve">Two concepts stand out as </w:t>
      </w:r>
      <w:r w:rsidR="005B5B4A">
        <w:t xml:space="preserve">very </w:t>
      </w:r>
      <w:r w:rsidRPr="001F1634">
        <w:t>difficult</w:t>
      </w:r>
      <w:r w:rsidR="005B5B4A">
        <w:t xml:space="preserve"> (</w:t>
      </w:r>
      <w:proofErr w:type="spellStart"/>
      <w:r w:rsidR="005B5B4A">
        <w:t>vdi</w:t>
      </w:r>
      <w:proofErr w:type="spellEnd"/>
      <w:r w:rsidR="005B5B4A">
        <w:t>),</w:t>
      </w:r>
      <w:r w:rsidRPr="001F1634">
        <w:t xml:space="preserve"> difficult </w:t>
      </w:r>
      <w:r w:rsidR="005B5B4A">
        <w:t xml:space="preserve">(di) </w:t>
      </w:r>
      <w:r w:rsidRPr="001F1634">
        <w:t>or</w:t>
      </w:r>
      <w:r w:rsidR="005B5B4A">
        <w:t xml:space="preserve"> rather </w:t>
      </w:r>
      <w:r>
        <w:t>difficult</w:t>
      </w:r>
      <w:r w:rsidR="005B5B4A">
        <w:t xml:space="preserve"> (</w:t>
      </w:r>
      <w:proofErr w:type="spellStart"/>
      <w:r w:rsidR="005B5B4A">
        <w:t>rdi</w:t>
      </w:r>
      <w:proofErr w:type="spellEnd"/>
      <w:r w:rsidR="005B5B4A">
        <w:t>)</w:t>
      </w:r>
      <w:r>
        <w:t xml:space="preserve"> for over 75% of teachers</w:t>
      </w:r>
      <w:r w:rsidR="005B5B4A">
        <w:t xml:space="preserve">: </w:t>
      </w:r>
      <w:r>
        <w:t xml:space="preserve">the Clausius definition of </w:t>
      </w:r>
      <w:r w:rsidRPr="009A2700">
        <w:t xml:space="preserve">entropy </w:t>
      </w:r>
      <w:r w:rsidR="005B5B4A">
        <w:t>(vdi:</w:t>
      </w:r>
      <w:r w:rsidR="00E93623">
        <w:t>13%</w:t>
      </w:r>
      <w:r w:rsidR="005B5B4A">
        <w:t>, di:</w:t>
      </w:r>
      <w:r w:rsidR="00E93623">
        <w:t>25%</w:t>
      </w:r>
      <w:r w:rsidR="005B5B4A">
        <w:t>, rdi:</w:t>
      </w:r>
      <w:r w:rsidR="00E93623">
        <w:t>44%</w:t>
      </w:r>
      <w:r w:rsidR="005B5B4A">
        <w:t>, tot:</w:t>
      </w:r>
      <w:r w:rsidR="009A2700" w:rsidRPr="009A2700">
        <w:t>8</w:t>
      </w:r>
      <w:r w:rsidR="00E93623">
        <w:t>2</w:t>
      </w:r>
      <w:r w:rsidRPr="009A2700">
        <w:t xml:space="preserve">%) and the second law of thermodynamics </w:t>
      </w:r>
      <w:r w:rsidR="00E93623">
        <w:t>(vdi:8%, di:20%, rdi:52%, tot:</w:t>
      </w:r>
      <w:r w:rsidR="009A2700" w:rsidRPr="009A2700">
        <w:t>80</w:t>
      </w:r>
      <w:r w:rsidRPr="009A2700">
        <w:t>%) and</w:t>
      </w:r>
      <w:r>
        <w:t xml:space="preserve"> there are respectively covered</w:t>
      </w:r>
      <w:r w:rsidR="00E93623">
        <w:t xml:space="preserve"> in their course</w:t>
      </w:r>
      <w:r>
        <w:t xml:space="preserve"> by 59% and 89% of respondents.  Many other entropy-related concepts (entropy</w:t>
      </w:r>
      <w:r w:rsidR="00721C13">
        <w:t xml:space="preserve"> itself</w:t>
      </w:r>
      <w:r>
        <w:t xml:space="preserve">, entropy-temperature diagrams, the Boltzmann definition of entropy, standard entropy) </w:t>
      </w:r>
      <w:r w:rsidR="00980FBA">
        <w:t>are also estimated as at least “rather difficult” by at least</w:t>
      </w:r>
      <w:r>
        <w:t xml:space="preserve"> 50% of </w:t>
      </w:r>
      <w:r w:rsidR="00980FBA">
        <w:t xml:space="preserve">teachers who cover this subject. </w:t>
      </w:r>
      <w:r w:rsidR="00D43582">
        <w:t xml:space="preserve">However, some of these concepts linked to entropy are not felt as difficult: </w:t>
      </w:r>
      <w:r w:rsidR="00980FBA">
        <w:t xml:space="preserve">the third law of thermodynamics and the entropy of mixing. </w:t>
      </w:r>
      <w:r w:rsidR="00D43582">
        <w:t xml:space="preserve">The concepts which induce the least difficulties are related to thermochemistry: </w:t>
      </w:r>
      <w:r w:rsidRPr="001F1634">
        <w:t>« </w:t>
      </w:r>
      <w:r>
        <w:t>isolated, closed and open systems”</w:t>
      </w:r>
      <w:r w:rsidR="00D43582">
        <w:t xml:space="preserve">, </w:t>
      </w:r>
      <w:r>
        <w:t xml:space="preserve">“endothermic, exothermic and </w:t>
      </w:r>
      <w:proofErr w:type="spellStart"/>
      <w:r>
        <w:t>athermic</w:t>
      </w:r>
      <w:proofErr w:type="spellEnd"/>
      <w:r>
        <w:t xml:space="preserve"> reactions”</w:t>
      </w:r>
      <w:r w:rsidR="00D43582">
        <w:t>, “types of energy” “Hess diagrams”, and “first law of thermodynamics”. Concepts linked to the second law are clearly felt as the most difficult in thermodynamics.</w:t>
      </w:r>
    </w:p>
    <w:p w14:paraId="7D12490E" w14:textId="77777777" w:rsidR="001F1634" w:rsidRPr="001F1634" w:rsidRDefault="001F1634" w:rsidP="00E25243"/>
    <w:p w14:paraId="21FDC6CD" w14:textId="77777777" w:rsidR="00BB1806" w:rsidRPr="001E3683" w:rsidRDefault="00BB1806" w:rsidP="00E25243"/>
    <w:p w14:paraId="58BBBC72" w14:textId="77777777" w:rsidR="00BB1806" w:rsidRPr="001F1634" w:rsidRDefault="00BB1806" w:rsidP="00BB1806">
      <w:pPr>
        <w:keepNext/>
      </w:pPr>
      <w:r w:rsidRPr="001F1634">
        <w:rPr>
          <w:noProof/>
          <w:lang w:val="fr-BE" w:eastAsia="fr-BE"/>
        </w:rPr>
        <w:lastRenderedPageBreak/>
        <w:drawing>
          <wp:inline distT="0" distB="0" distL="0" distR="0" wp14:anchorId="72566798" wp14:editId="573C6E7C">
            <wp:extent cx="5716535" cy="4063042"/>
            <wp:effectExtent l="0" t="0" r="0" b="0"/>
            <wp:docPr id="26132658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28995" cy="4071898"/>
                    </a:xfrm>
                    <a:prstGeom prst="rect">
                      <a:avLst/>
                    </a:prstGeom>
                    <a:noFill/>
                  </pic:spPr>
                </pic:pic>
              </a:graphicData>
            </a:graphic>
          </wp:inline>
        </w:drawing>
      </w:r>
    </w:p>
    <w:p w14:paraId="6BDD5FBC" w14:textId="52C1F28C" w:rsidR="00322246" w:rsidRPr="001F1634" w:rsidRDefault="00BB1806" w:rsidP="00BB1806">
      <w:pPr>
        <w:pStyle w:val="Caption"/>
      </w:pPr>
      <w:r w:rsidRPr="001F1634">
        <w:t xml:space="preserve">Figure </w:t>
      </w:r>
      <w:fldSimple w:instr=" SEQ Figure \* ARABIC ">
        <w:r w:rsidR="00CA507A">
          <w:rPr>
            <w:noProof/>
          </w:rPr>
          <w:t>5</w:t>
        </w:r>
      </w:fldSimple>
      <w:r w:rsidRPr="001F1634">
        <w:t xml:space="preserve">.  Percentages of answers on a Likert scale to the question “Indicate, for each of the concepts in the list below, 1. whether you are covering it as part of one of your thermodynamics courses. 2. If you cover it, your perception of the difficulty to teach this concept.” The x-axis represents the percentages of agreement to the difficulty of each concept, and the percentages in the parenthesis </w:t>
      </w:r>
      <w:r w:rsidR="005F72E6">
        <w:t>for</w:t>
      </w:r>
      <w:r w:rsidR="005F72E6" w:rsidRPr="001F1634">
        <w:t xml:space="preserve"> </w:t>
      </w:r>
      <w:r w:rsidRPr="001F1634">
        <w:t>each</w:t>
      </w:r>
      <w:r w:rsidR="005F72E6">
        <w:t xml:space="preserve"> concept</w:t>
      </w:r>
      <w:r w:rsidRPr="001F1634">
        <w:t xml:space="preserve"> represents the fraction of teacher</w:t>
      </w:r>
      <w:r w:rsidR="005F72E6">
        <w:t>s</w:t>
      </w:r>
      <w:r w:rsidRPr="001F1634">
        <w:t xml:space="preserve"> </w:t>
      </w:r>
      <w:r w:rsidR="005F72E6">
        <w:t>who</w:t>
      </w:r>
      <w:r w:rsidR="005F72E6" w:rsidRPr="001F1634">
        <w:t xml:space="preserve"> </w:t>
      </w:r>
      <w:r w:rsidRPr="001F1634">
        <w:t xml:space="preserve">cover this topic. </w:t>
      </w:r>
      <w:r w:rsidR="005F72E6">
        <w:t xml:space="preserve">Opinions of </w:t>
      </w:r>
      <w:r w:rsidRPr="001F1634">
        <w:t>teacher</w:t>
      </w:r>
      <w:r w:rsidR="005F72E6">
        <w:t>s who</w:t>
      </w:r>
      <w:r w:rsidRPr="001F1634">
        <w:t xml:space="preserve"> did not cover a concept</w:t>
      </w:r>
      <w:r w:rsidR="005F72E6">
        <w:t xml:space="preserve"> were</w:t>
      </w:r>
      <w:r w:rsidR="005F72E6" w:rsidRPr="001F1634">
        <w:t xml:space="preserve"> </w:t>
      </w:r>
      <w:r w:rsidRPr="001F1634">
        <w:t xml:space="preserve">not included. </w:t>
      </w:r>
      <w:r w:rsidR="00E6628E">
        <w:t>N = 26.</w:t>
      </w:r>
    </w:p>
    <w:p w14:paraId="19AB84FD" w14:textId="5F1D3E4D" w:rsidR="00CB3DFD" w:rsidRPr="00C338CA" w:rsidRDefault="00E6628E" w:rsidP="00154D09">
      <w:r>
        <w:t>As a counterpoint to the RQ1 results, in</w:t>
      </w:r>
      <w:r w:rsidR="00E320C1">
        <w:t xml:space="preserve"> the written answers to the question “what makes thermodynamics difficult</w:t>
      </w:r>
      <w:r>
        <w:t xml:space="preserve"> ?</w:t>
      </w:r>
      <w:r w:rsidR="00E320C1">
        <w:t xml:space="preserve">”, some respondents stated that they did not find thermodynamics difficult: 4 of them without giving any reason, </w:t>
      </w:r>
      <w:r w:rsidR="00C338CA">
        <w:t>and two claiming that statistical thermodynamics is easy to teach: “</w:t>
      </w:r>
      <w:r w:rsidR="00C338CA" w:rsidRPr="00C338CA">
        <w:rPr>
          <w:i/>
          <w:iCs/>
        </w:rPr>
        <w:t>I teach statistical thermodynamics ... and it's very easy to teach</w:t>
      </w:r>
      <w:r w:rsidR="00C338CA">
        <w:t>”; “</w:t>
      </w:r>
      <w:r w:rsidR="00C338CA" w:rsidRPr="00C338CA">
        <w:rPr>
          <w:i/>
          <w:iCs/>
        </w:rPr>
        <w:t>It's a difficult subject to teach if you don't start with the phenomena that occur on a microscopic scale, between the particles that make up matter. If you start from this understanding of the corpuscular world (not necessarily quantum to begin with), it's much simpler</w:t>
      </w:r>
      <w:r w:rsidR="00C338CA" w:rsidRPr="00C338CA">
        <w:t>.</w:t>
      </w:r>
      <w:r w:rsidR="00C338CA">
        <w:t>” Finally, a teacher advocates for the spacing of thermodynamics over two semesters: “</w:t>
      </w:r>
      <w:r w:rsidR="00C338CA" w:rsidRPr="00C338CA">
        <w:rPr>
          <w:i/>
          <w:iCs/>
        </w:rPr>
        <w:t xml:space="preserve">As a first-year course, the concepts are new to students. </w:t>
      </w:r>
      <w:proofErr w:type="gramStart"/>
      <w:r w:rsidR="00C338CA" w:rsidRPr="00C338CA">
        <w:rPr>
          <w:i/>
          <w:iCs/>
        </w:rPr>
        <w:t>So</w:t>
      </w:r>
      <w:proofErr w:type="gramEnd"/>
      <w:r w:rsidR="00C338CA" w:rsidRPr="00C338CA">
        <w:rPr>
          <w:i/>
          <w:iCs/>
        </w:rPr>
        <w:t xml:space="preserve"> they need time to grasp and 'digest' them. That said, I don't find this chapter particularly difficult to teach.  I prefer to teach it in two separate stages over the two terms: thermodynamics of the first law in the first term and thermodynamics of the second law in the second term. The time elapsed between the two and the January exam then allow the students to have studied the concepts of the first law and to have acquired them before tackling the second law.</w:t>
      </w:r>
      <w:r w:rsidR="00C338CA">
        <w:t>”</w:t>
      </w:r>
    </w:p>
    <w:p w14:paraId="3B5ACBCD" w14:textId="7AC3592D" w:rsidR="007B6F03" w:rsidRPr="007B6F03" w:rsidRDefault="00337565" w:rsidP="007B6F03">
      <w:pPr>
        <w:pStyle w:val="Heading2"/>
      </w:pPr>
      <w:r>
        <w:t xml:space="preserve">RQ2: </w:t>
      </w:r>
      <w:r w:rsidR="00E6628E">
        <w:t>Entropy and the disorder metaphor</w:t>
      </w:r>
      <w:r>
        <w:t xml:space="preserve"> </w:t>
      </w:r>
    </w:p>
    <w:p w14:paraId="2BD71982" w14:textId="14DD61BC" w:rsidR="00C827B6" w:rsidRPr="00C827B6" w:rsidRDefault="00C827B6" w:rsidP="00337565">
      <w:r w:rsidRPr="00C827B6">
        <w:t xml:space="preserve">The difficulties intrinsic to entropy were </w:t>
      </w:r>
      <w:r w:rsidR="007B6F03" w:rsidRPr="00C827B6">
        <w:t>investigated</w:t>
      </w:r>
      <w:r w:rsidRPr="00C827B6">
        <w:t xml:space="preserve"> with the following questions.</w:t>
      </w:r>
    </w:p>
    <w:p w14:paraId="28A54A7B" w14:textId="46B6C6BE" w:rsidR="00526AEB" w:rsidRPr="00C827B6" w:rsidRDefault="00526AEB" w:rsidP="00C827B6">
      <w:pPr>
        <w:pStyle w:val="ListParagraph"/>
        <w:numPr>
          <w:ilvl w:val="0"/>
          <w:numId w:val="11"/>
        </w:numPr>
      </w:pPr>
      <w:r w:rsidRPr="00C827B6">
        <w:t>Why is the concept of entropy difficult to teach?</w:t>
      </w:r>
      <w:r w:rsidR="003C0E20">
        <w:t xml:space="preserve"> (Q16)</w:t>
      </w:r>
    </w:p>
    <w:p w14:paraId="5D32C64A" w14:textId="68D6A3B8" w:rsidR="00337565" w:rsidRPr="00C827B6" w:rsidRDefault="00337565" w:rsidP="00C827B6">
      <w:pPr>
        <w:pStyle w:val="ListParagraph"/>
        <w:numPr>
          <w:ilvl w:val="0"/>
          <w:numId w:val="11"/>
        </w:numPr>
      </w:pPr>
      <w:r w:rsidRPr="00C827B6">
        <w:lastRenderedPageBreak/>
        <w:t>When you talk about entropy, do you use the metaphor of disorder (entropy is a measure of disorder, like a messy room or a shuffled pack of cards)?</w:t>
      </w:r>
      <w:r w:rsidR="003C0E20">
        <w:t xml:space="preserve"> (Q11)</w:t>
      </w:r>
    </w:p>
    <w:p w14:paraId="06AFD756" w14:textId="3BE21686" w:rsidR="002A46A5" w:rsidRPr="002A46A5" w:rsidRDefault="002A46A5" w:rsidP="00C827B6">
      <w:pPr>
        <w:pStyle w:val="ListParagraph"/>
        <w:numPr>
          <w:ilvl w:val="1"/>
          <w:numId w:val="7"/>
        </w:numPr>
      </w:pPr>
      <w:r w:rsidRPr="002A46A5">
        <w:t xml:space="preserve">If they answered “yes” to </w:t>
      </w:r>
      <w:r w:rsidR="003C0E20">
        <w:t>Q11:</w:t>
      </w:r>
    </w:p>
    <w:p w14:paraId="7FEDFB0B" w14:textId="3722664D" w:rsidR="00337565" w:rsidRPr="009D3A1E" w:rsidRDefault="00FD685C" w:rsidP="00C827B6">
      <w:pPr>
        <w:pStyle w:val="ListParagraph"/>
        <w:numPr>
          <w:ilvl w:val="2"/>
          <w:numId w:val="7"/>
        </w:numPr>
      </w:pPr>
      <w:r>
        <w:t>For which</w:t>
      </w:r>
      <w:r w:rsidRPr="00E108E4">
        <w:t xml:space="preserve"> </w:t>
      </w:r>
      <w:r w:rsidR="003C0E20" w:rsidRPr="00E108E4">
        <w:t>educational purposes do you use it</w:t>
      </w:r>
      <w:r w:rsidR="003C0E20">
        <w:t>? (Q12)</w:t>
      </w:r>
    </w:p>
    <w:p w14:paraId="67C4BFFE" w14:textId="16031438" w:rsidR="00337565" w:rsidRPr="009D3A1E" w:rsidRDefault="00337565" w:rsidP="00856BA7">
      <w:pPr>
        <w:pStyle w:val="ListParagraph"/>
        <w:numPr>
          <w:ilvl w:val="2"/>
          <w:numId w:val="7"/>
        </w:numPr>
      </w:pPr>
      <w:r w:rsidRPr="009D3A1E">
        <w:t xml:space="preserve">When you use this metaphor, </w:t>
      </w:r>
      <w:r w:rsidR="005F72E6">
        <w:t>how do you define its validity domain</w:t>
      </w:r>
      <w:r w:rsidRPr="009D3A1E">
        <w:t xml:space="preserve">? </w:t>
      </w:r>
      <w:r w:rsidR="003C0E20">
        <w:t>D</w:t>
      </w:r>
      <w:r w:rsidRPr="009D3A1E">
        <w:t xml:space="preserve">o you give any </w:t>
      </w:r>
      <w:r w:rsidR="009D3A1E" w:rsidRPr="009D3A1E">
        <w:t>counterexamples</w:t>
      </w:r>
      <w:r w:rsidRPr="009D3A1E">
        <w:t>?</w:t>
      </w:r>
      <w:r w:rsidR="003C0E20">
        <w:t xml:space="preserve"> (Q13)</w:t>
      </w:r>
    </w:p>
    <w:p w14:paraId="0720DF00" w14:textId="53F2BEC9" w:rsidR="002A46A5" w:rsidRPr="009D3A1E" w:rsidRDefault="002A46A5" w:rsidP="00C827B6">
      <w:pPr>
        <w:pStyle w:val="ListParagraph"/>
        <w:numPr>
          <w:ilvl w:val="1"/>
          <w:numId w:val="7"/>
        </w:numPr>
      </w:pPr>
      <w:r w:rsidRPr="009D3A1E">
        <w:t>If they answered “no” t</w:t>
      </w:r>
      <w:r w:rsidR="003C0E20">
        <w:t>o Q11:</w:t>
      </w:r>
    </w:p>
    <w:p w14:paraId="40CB837E" w14:textId="31963357" w:rsidR="00337565" w:rsidRDefault="002A46A5" w:rsidP="00C827B6">
      <w:pPr>
        <w:pStyle w:val="ListParagraph"/>
        <w:numPr>
          <w:ilvl w:val="2"/>
          <w:numId w:val="7"/>
        </w:numPr>
      </w:pPr>
      <w:r w:rsidRPr="009D3A1E">
        <w:t>Why not? Do you use another metaphor instead?</w:t>
      </w:r>
      <w:r w:rsidR="003C0E20">
        <w:t xml:space="preserve"> (Q15)</w:t>
      </w:r>
    </w:p>
    <w:p w14:paraId="0BFC2914" w14:textId="08A521E2" w:rsidR="007B6F03" w:rsidRPr="009D3A1E" w:rsidRDefault="00E6628E" w:rsidP="00E6628E">
      <w:pPr>
        <w:pStyle w:val="Heading3"/>
      </w:pPr>
      <w:r w:rsidRPr="001F1634">
        <w:t>RQ2</w:t>
      </w:r>
      <w:r>
        <w:t>a:</w:t>
      </w:r>
      <w:r w:rsidRPr="001F1634">
        <w:t xml:space="preserve"> What do thermodynamics teachers in tertiary education find difficult to teach about entropy and the second law of thermodynamics</w:t>
      </w:r>
      <w:r>
        <w:t xml:space="preserve"> and why</w:t>
      </w:r>
      <w:r w:rsidRPr="001F1634">
        <w:t xml:space="preserve">? </w:t>
      </w:r>
    </w:p>
    <w:p w14:paraId="0632835D" w14:textId="2D4049ED" w:rsidR="00C827B6" w:rsidRDefault="00C827B6" w:rsidP="009D3A1E">
      <w:r w:rsidRPr="001E3683">
        <w:t>Answers to the first question mainly highlight the same problem</w:t>
      </w:r>
      <w:r w:rsidR="00E6628E">
        <w:t>s</w:t>
      </w:r>
      <w:r w:rsidRPr="001E3683">
        <w:t xml:space="preserve"> </w:t>
      </w:r>
      <w:r w:rsidR="00B22184">
        <w:t>as</w:t>
      </w:r>
      <w:r w:rsidR="00B22184" w:rsidRPr="001E3683">
        <w:t xml:space="preserve"> </w:t>
      </w:r>
      <w:r w:rsidRPr="001E3683">
        <w:t>with thermodynamics</w:t>
      </w:r>
      <w:r w:rsidR="005F72E6">
        <w:t xml:space="preserve"> in general</w:t>
      </w:r>
      <w:r w:rsidRPr="001E3683">
        <w:t>: entropy</w:t>
      </w:r>
      <w:r w:rsidR="00337565" w:rsidRPr="001E3683">
        <w:t xml:space="preserve"> is abstract</w:t>
      </w:r>
      <w:r w:rsidRPr="001E3683">
        <w:t>, with multiple teacher opinions nuancing this fundamental hurdle:</w:t>
      </w:r>
      <w:r w:rsidR="00337565" w:rsidRPr="001E3683">
        <w:t xml:space="preserve"> </w:t>
      </w:r>
      <w:r w:rsidRPr="001E3683">
        <w:t xml:space="preserve">entropy is </w:t>
      </w:r>
      <w:r w:rsidR="00337565" w:rsidRPr="001E3683">
        <w:t xml:space="preserve">hard to relate to </w:t>
      </w:r>
      <w:r w:rsidRPr="001E3683">
        <w:t xml:space="preserve">everyday life, it is </w:t>
      </w:r>
      <w:r w:rsidR="00337565" w:rsidRPr="001E3683">
        <w:t>not concrete,</w:t>
      </w:r>
      <w:r w:rsidRPr="001E3683">
        <w:t xml:space="preserve"> it is</w:t>
      </w:r>
      <w:r w:rsidR="00337565" w:rsidRPr="001E3683">
        <w:t xml:space="preserve"> hard to visualize, </w:t>
      </w:r>
      <w:r w:rsidR="004B4801" w:rsidRPr="001E3683">
        <w:t>especially at</w:t>
      </w:r>
      <w:r w:rsidR="00337565" w:rsidRPr="001E3683">
        <w:t xml:space="preserve"> small scales</w:t>
      </w:r>
      <w:r w:rsidR="009D3A1E" w:rsidRPr="001E3683">
        <w:t xml:space="preserve">, </w:t>
      </w:r>
      <w:r w:rsidR="004B4801" w:rsidRPr="001E3683">
        <w:t>it is not</w:t>
      </w:r>
      <w:r w:rsidR="009D3A1E" w:rsidRPr="001E3683">
        <w:t xml:space="preserve"> perceptible with our senses</w:t>
      </w:r>
      <w:r w:rsidR="004B4801" w:rsidRPr="001E3683">
        <w:t>.</w:t>
      </w:r>
    </w:p>
    <w:p w14:paraId="5531989A" w14:textId="70965ED4" w:rsidR="00C827B6" w:rsidRDefault="00C827B6" w:rsidP="009D3A1E">
      <w:r>
        <w:t>A counterpoint is</w:t>
      </w:r>
      <w:r w:rsidR="004B4801">
        <w:t xml:space="preserve"> given</w:t>
      </w:r>
      <w:r>
        <w:t xml:space="preserve"> by one of the teachers</w:t>
      </w:r>
      <w:r w:rsidR="004B4801">
        <w:t>: “</w:t>
      </w:r>
      <w:r w:rsidR="004B4801">
        <w:rPr>
          <w:i/>
          <w:iCs/>
        </w:rPr>
        <w:t>p</w:t>
      </w:r>
      <w:r w:rsidR="004B4801" w:rsidRPr="004B4801">
        <w:rPr>
          <w:i/>
          <w:iCs/>
        </w:rPr>
        <w:t>ersonally, I find the concept of energy much more complicated, because a lot of students think they know what it is, when in fact they do not</w:t>
      </w:r>
      <w:r w:rsidR="004B4801">
        <w:t xml:space="preserve">”, raising </w:t>
      </w:r>
      <w:r w:rsidR="00505B79">
        <w:t>an age-old</w:t>
      </w:r>
      <w:r w:rsidR="004B4801">
        <w:t xml:space="preserve"> debate of whether it is more pedagogically useful to use terms that students do know in everyday life, such as temperature, heat or energy, and </w:t>
      </w:r>
      <w:r w:rsidR="00FD685C">
        <w:t xml:space="preserve">to make </w:t>
      </w:r>
      <w:r w:rsidR="004B4801">
        <w:t>unknown concepts like entropy more concrete by using, for example, the disorder metaphor</w:t>
      </w:r>
      <w:r w:rsidR="00505B79">
        <w:t>;</w:t>
      </w:r>
      <w:r w:rsidR="004B4801">
        <w:t xml:space="preserve"> or, </w:t>
      </w:r>
      <w:r w:rsidR="00FD685C">
        <w:t xml:space="preserve">whether </w:t>
      </w:r>
      <w:r w:rsidR="004B4801">
        <w:t>the absence of</w:t>
      </w:r>
      <w:r w:rsidR="00505B79">
        <w:t xml:space="preserve"> </w:t>
      </w:r>
      <w:r w:rsidR="004B4801">
        <w:t>a concept</w:t>
      </w:r>
      <w:r w:rsidR="00FD685C">
        <w:t>,</w:t>
      </w:r>
      <w:r w:rsidR="004B4801">
        <w:t xml:space="preserve"> </w:t>
      </w:r>
      <w:r w:rsidR="00FD685C">
        <w:t xml:space="preserve">such as entropy, in </w:t>
      </w:r>
      <w:r w:rsidR="004B4801">
        <w:t>everyday language</w:t>
      </w:r>
      <w:r w:rsidR="00505B79">
        <w:t xml:space="preserve"> should </w:t>
      </w:r>
      <w:r w:rsidR="00FD685C">
        <w:t xml:space="preserve">rather </w:t>
      </w:r>
      <w:r w:rsidR="00505B79">
        <w:t xml:space="preserve">be seen as </w:t>
      </w:r>
      <w:r w:rsidR="00B22184">
        <w:t xml:space="preserve">an advantage </w:t>
      </w:r>
      <w:r w:rsidR="00505B79">
        <w:t>since it</w:t>
      </w:r>
      <w:r w:rsidR="004B4801">
        <w:t xml:space="preserve"> shields </w:t>
      </w:r>
      <w:r w:rsidR="00505B79">
        <w:t>the concept</w:t>
      </w:r>
      <w:r w:rsidR="004B4801">
        <w:t xml:space="preserve"> from possible misinterpretations</w:t>
      </w:r>
      <w:r w:rsidR="00505B79">
        <w:t xml:space="preserve">. </w:t>
      </w:r>
    </w:p>
    <w:p w14:paraId="0A2D1B22" w14:textId="53C0D530" w:rsidR="004B4801" w:rsidRDefault="004B4801" w:rsidP="009D3A1E">
      <w:r>
        <w:t>Here are difficulties inherent to entropy</w:t>
      </w:r>
      <w:r w:rsidR="0065023B">
        <w:t xml:space="preserve"> that were not touched upon in the “thermodynamics difficulties” section, which could indicate </w:t>
      </w:r>
      <w:r w:rsidR="00453605">
        <w:t xml:space="preserve">specific </w:t>
      </w:r>
      <w:r w:rsidR="00582120">
        <w:t xml:space="preserve">obstacles </w:t>
      </w:r>
      <w:r w:rsidR="00B22184">
        <w:t xml:space="preserve">linked with the </w:t>
      </w:r>
      <w:r w:rsidR="00453605">
        <w:t>teaching</w:t>
      </w:r>
      <w:r w:rsidR="0065023B">
        <w:t xml:space="preserve"> </w:t>
      </w:r>
      <w:r w:rsidR="00B22184">
        <w:t xml:space="preserve">of </w:t>
      </w:r>
      <w:r w:rsidR="0065023B">
        <w:t>entropy</w:t>
      </w:r>
      <w:r w:rsidR="00453605">
        <w:t>.</w:t>
      </w:r>
    </w:p>
    <w:p w14:paraId="249ED7FE" w14:textId="0D52EFE5" w:rsidR="009D3A1E" w:rsidRPr="001F1634" w:rsidRDefault="00EF2D68" w:rsidP="0065023B">
      <w:pPr>
        <w:pStyle w:val="ListParagraph"/>
        <w:numPr>
          <w:ilvl w:val="0"/>
          <w:numId w:val="15"/>
        </w:numPr>
      </w:pPr>
      <w:r>
        <w:t>Different disciplinary “philosophies”</w:t>
      </w:r>
      <w:r w:rsidR="0065023B">
        <w:t>: “</w:t>
      </w:r>
      <w:r w:rsidR="0065023B" w:rsidRPr="0065023B">
        <w:rPr>
          <w:i/>
          <w:iCs/>
        </w:rPr>
        <w:t>it is seen in quite different ways in different curricula (chemistry approach vs. thermodynamics approach</w:t>
      </w:r>
      <w:r w:rsidR="00453605">
        <w:rPr>
          <w:i/>
          <w:iCs/>
        </w:rPr>
        <w:t>)</w:t>
      </w:r>
      <w:r w:rsidR="0065023B">
        <w:t>”</w:t>
      </w:r>
      <w:r w:rsidR="0065023B" w:rsidRPr="0065023B">
        <w:t xml:space="preserve"> </w:t>
      </w:r>
    </w:p>
    <w:p w14:paraId="7CD10363" w14:textId="00DD429A" w:rsidR="009D3A1E" w:rsidRPr="001F1634" w:rsidRDefault="009D3A1E" w:rsidP="0065023B">
      <w:pPr>
        <w:pStyle w:val="ListParagraph"/>
        <w:numPr>
          <w:ilvl w:val="0"/>
          <w:numId w:val="15"/>
        </w:numPr>
      </w:pPr>
      <w:r w:rsidRPr="00EF2D68">
        <w:t>Complexity</w:t>
      </w:r>
      <w:r w:rsidR="0065023B">
        <w:t xml:space="preserve">: </w:t>
      </w:r>
      <w:r w:rsidR="0065023B" w:rsidRPr="00453605">
        <w:rPr>
          <w:i/>
          <w:iCs/>
        </w:rPr>
        <w:t xml:space="preserve">“[entropy] </w:t>
      </w:r>
      <w:proofErr w:type="gramStart"/>
      <w:r w:rsidR="0065023B" w:rsidRPr="00453605">
        <w:rPr>
          <w:i/>
          <w:iCs/>
        </w:rPr>
        <w:t>remains</w:t>
      </w:r>
      <w:proofErr w:type="gramEnd"/>
      <w:r w:rsidR="0065023B" w:rsidRPr="00453605">
        <w:rPr>
          <w:i/>
          <w:iCs/>
        </w:rPr>
        <w:t xml:space="preserve"> a complex concept that is logically linked to the second principle, which is itself very complex in its consequences</w:t>
      </w:r>
      <w:r w:rsidR="0065023B">
        <w:t>”;</w:t>
      </w:r>
      <w:r w:rsidR="00EF2D68">
        <w:t xml:space="preserve"> “</w:t>
      </w:r>
      <w:r w:rsidR="00EF2D68" w:rsidRPr="00EF2D68">
        <w:rPr>
          <w:i/>
          <w:iCs/>
        </w:rPr>
        <w:t>it is conceptual, made up of small theoretical notions that are easy to tackle independently, but complex to understand when put together.</w:t>
      </w:r>
      <w:r w:rsidR="00EF2D68">
        <w:t>”</w:t>
      </w:r>
    </w:p>
    <w:p w14:paraId="75E8721F" w14:textId="29551736" w:rsidR="00337565" w:rsidRDefault="0065023B" w:rsidP="0065023B">
      <w:pPr>
        <w:pStyle w:val="ListParagraph"/>
        <w:numPr>
          <w:ilvl w:val="0"/>
          <w:numId w:val="15"/>
        </w:numPr>
      </w:pPr>
      <w:r>
        <w:t>Lack of</w:t>
      </w:r>
      <w:r w:rsidR="00337565" w:rsidRPr="0065023B">
        <w:rPr>
          <w:b/>
          <w:bCs/>
        </w:rPr>
        <w:t xml:space="preserve"> </w:t>
      </w:r>
      <w:r w:rsidR="00337565" w:rsidRPr="00EF2D68">
        <w:t>practical use</w:t>
      </w:r>
      <w:r w:rsidR="00EF2D68" w:rsidRPr="00EF2D68">
        <w:t>:</w:t>
      </w:r>
      <w:r w:rsidR="00EF2D68">
        <w:rPr>
          <w:b/>
          <w:bCs/>
        </w:rPr>
        <w:t xml:space="preserve"> </w:t>
      </w:r>
      <w:r w:rsidR="00EF2D68" w:rsidRPr="00453605">
        <w:rPr>
          <w:i/>
          <w:iCs/>
        </w:rPr>
        <w:t>“</w:t>
      </w:r>
      <w:r w:rsidR="00453605" w:rsidRPr="00453605">
        <w:rPr>
          <w:i/>
          <w:iCs/>
        </w:rPr>
        <w:t xml:space="preserve">[entropy is] </w:t>
      </w:r>
      <w:r w:rsidR="00EF2D68" w:rsidRPr="00EF2D68">
        <w:rPr>
          <w:i/>
          <w:iCs/>
        </w:rPr>
        <w:t>not used in the field by chemical technicians</w:t>
      </w:r>
      <w:r w:rsidR="001E3683">
        <w:rPr>
          <w:i/>
          <w:iCs/>
        </w:rPr>
        <w:t xml:space="preserve"> </w:t>
      </w:r>
      <w:r w:rsidR="00EF2D68" w:rsidRPr="00EF2D68">
        <w:rPr>
          <w:i/>
          <w:iCs/>
        </w:rPr>
        <w:t xml:space="preserve">and fortunately there's </w:t>
      </w:r>
      <w:r w:rsidR="00EF2D68" w:rsidRPr="00EF2D68">
        <w:rPr>
          <w:rFonts w:ascii="Segoe UI Symbol" w:hAnsi="Segoe UI Symbol"/>
          <w:i/>
          <w:iCs/>
        </w:rPr>
        <w:t>ΔG</w:t>
      </w:r>
      <w:r w:rsidR="00EF2D68" w:rsidRPr="00EF2D68">
        <w:rPr>
          <w:i/>
          <w:iCs/>
        </w:rPr>
        <w:t xml:space="preserve"> to get a better overview</w:t>
      </w:r>
      <w:r w:rsidR="00EF2D68">
        <w:t>”; “</w:t>
      </w:r>
      <w:r w:rsidR="00EF2D68" w:rsidRPr="00EF2D68">
        <w:rPr>
          <w:i/>
          <w:iCs/>
        </w:rPr>
        <w:t xml:space="preserve">I also believe that for chemists, </w:t>
      </w:r>
      <w:proofErr w:type="gramStart"/>
      <w:r w:rsidR="00EF2D68" w:rsidRPr="00EF2D68">
        <w:rPr>
          <w:i/>
          <w:iCs/>
        </w:rPr>
        <w:t>bio-engineers</w:t>
      </w:r>
      <w:proofErr w:type="gramEnd"/>
      <w:r w:rsidR="00EF2D68" w:rsidRPr="00EF2D68">
        <w:rPr>
          <w:i/>
          <w:iCs/>
        </w:rPr>
        <w:t xml:space="preserve">, biologists, etc., the important thing is to use the concepts and not to replicate them. </w:t>
      </w:r>
      <w:proofErr w:type="gramStart"/>
      <w:r w:rsidR="00EF2D68" w:rsidRPr="00EF2D68">
        <w:rPr>
          <w:i/>
          <w:iCs/>
        </w:rPr>
        <w:t>So</w:t>
      </w:r>
      <w:proofErr w:type="gramEnd"/>
      <w:r w:rsidR="00EF2D68" w:rsidRPr="00EF2D68">
        <w:rPr>
          <w:i/>
          <w:iCs/>
        </w:rPr>
        <w:t xml:space="preserve"> they need to have a practical notion of the concept</w:t>
      </w:r>
      <w:r w:rsidR="00EF2D68" w:rsidRPr="00EF2D68">
        <w:t>.</w:t>
      </w:r>
      <w:r w:rsidR="00EF2D68">
        <w:t>”</w:t>
      </w:r>
    </w:p>
    <w:p w14:paraId="07A067A4" w14:textId="0FFF9A89" w:rsidR="009D3A1E" w:rsidRPr="001F1634" w:rsidRDefault="00EF2D68" w:rsidP="0065023B">
      <w:pPr>
        <w:pStyle w:val="ListParagraph"/>
        <w:numPr>
          <w:ilvl w:val="0"/>
          <w:numId w:val="15"/>
        </w:numPr>
      </w:pPr>
      <w:r>
        <w:t xml:space="preserve">Student maturity: </w:t>
      </w:r>
      <w:r w:rsidRPr="00EF2D68">
        <w:t>“</w:t>
      </w:r>
      <w:r w:rsidRPr="00EF2D68">
        <w:rPr>
          <w:i/>
          <w:iCs/>
        </w:rPr>
        <w:t xml:space="preserve">[…] the concept is introduced in the first and second years, and the students don't yet have the necessary knowledge </w:t>
      </w:r>
      <w:r w:rsidR="00B22184" w:rsidRPr="00EF2D68">
        <w:rPr>
          <w:i/>
          <w:iCs/>
        </w:rPr>
        <w:t>b</w:t>
      </w:r>
      <w:r w:rsidR="00B22184">
        <w:rPr>
          <w:i/>
          <w:iCs/>
        </w:rPr>
        <w:t>ackground</w:t>
      </w:r>
      <w:r w:rsidR="00B22184" w:rsidRPr="00EF2D68">
        <w:rPr>
          <w:i/>
          <w:iCs/>
        </w:rPr>
        <w:t xml:space="preserve"> </w:t>
      </w:r>
      <w:r w:rsidRPr="00EF2D68">
        <w:rPr>
          <w:i/>
          <w:iCs/>
        </w:rPr>
        <w:t>at that stage</w:t>
      </w:r>
      <w:r w:rsidRPr="00EF2D68">
        <w:t>.</w:t>
      </w:r>
      <w:r>
        <w:t>”</w:t>
      </w:r>
      <w:r w:rsidR="009D3A1E" w:rsidRPr="001F1634">
        <w:t xml:space="preserve"> </w:t>
      </w:r>
    </w:p>
    <w:p w14:paraId="716EF4A3" w14:textId="528964CD" w:rsidR="00337565" w:rsidRPr="0065023B" w:rsidRDefault="00EF2D68" w:rsidP="0065023B">
      <w:pPr>
        <w:pStyle w:val="ListParagraph"/>
        <w:numPr>
          <w:ilvl w:val="0"/>
          <w:numId w:val="15"/>
        </w:numPr>
        <w:rPr>
          <w:b/>
          <w:bCs/>
        </w:rPr>
      </w:pPr>
      <w:r>
        <w:t>Specific didactical difficulties</w:t>
      </w:r>
    </w:p>
    <w:p w14:paraId="48AC0847" w14:textId="468547A6" w:rsidR="00337565" w:rsidRPr="001F1634" w:rsidRDefault="005139BC" w:rsidP="0065023B">
      <w:pPr>
        <w:pStyle w:val="ListParagraph"/>
        <w:numPr>
          <w:ilvl w:val="0"/>
          <w:numId w:val="14"/>
        </w:numPr>
        <w:ind w:left="1080"/>
      </w:pPr>
      <w:r>
        <w:t>“</w:t>
      </w:r>
      <w:r>
        <w:rPr>
          <w:i/>
          <w:iCs/>
        </w:rPr>
        <w:t xml:space="preserve">Difference between </w:t>
      </w:r>
      <w:proofErr w:type="spellStart"/>
      <w:r>
        <w:rPr>
          <w:i/>
          <w:iCs/>
        </w:rPr>
        <w:t>ΔS</w:t>
      </w:r>
      <w:r>
        <w:rPr>
          <w:i/>
          <w:iCs/>
          <w:vertAlign w:val="subscript"/>
        </w:rPr>
        <w:t>system</w:t>
      </w:r>
      <w:proofErr w:type="spellEnd"/>
      <w:r>
        <w:rPr>
          <w:i/>
          <w:iCs/>
        </w:rPr>
        <w:t xml:space="preserve"> and </w:t>
      </w:r>
      <w:proofErr w:type="spellStart"/>
      <w:r>
        <w:rPr>
          <w:i/>
          <w:iCs/>
        </w:rPr>
        <w:t>ΔS</w:t>
      </w:r>
      <w:r>
        <w:rPr>
          <w:i/>
          <w:iCs/>
          <w:vertAlign w:val="subscript"/>
        </w:rPr>
        <w:t>environment</w:t>
      </w:r>
      <w:proofErr w:type="spellEnd"/>
      <w:r>
        <w:rPr>
          <w:i/>
          <w:iCs/>
        </w:rPr>
        <w:t>”; “i</w:t>
      </w:r>
      <w:r w:rsidRPr="005139BC">
        <w:rPr>
          <w:i/>
          <w:iCs/>
        </w:rPr>
        <w:t xml:space="preserve">t is difficult to teach because you </w:t>
      </w:r>
      <w:proofErr w:type="gramStart"/>
      <w:r w:rsidRPr="005139BC">
        <w:rPr>
          <w:i/>
          <w:iCs/>
        </w:rPr>
        <w:t>have to</w:t>
      </w:r>
      <w:proofErr w:type="gramEnd"/>
      <w:r w:rsidRPr="005139BC">
        <w:rPr>
          <w:i/>
          <w:iCs/>
        </w:rPr>
        <w:t xml:space="preserve"> talk about the entropy of the universe. The concepts of system and universe are difficult for our students to understand</w:t>
      </w:r>
      <w:r>
        <w:rPr>
          <w:i/>
          <w:iCs/>
        </w:rPr>
        <w:t>”</w:t>
      </w:r>
      <w:r w:rsidR="00337565" w:rsidRPr="001F1634">
        <w:t xml:space="preserve"> </w:t>
      </w:r>
    </w:p>
    <w:p w14:paraId="0AC65766" w14:textId="289E0F15" w:rsidR="00337565" w:rsidRPr="001F1634" w:rsidRDefault="00C82023" w:rsidP="0065023B">
      <w:pPr>
        <w:pStyle w:val="ListParagraph"/>
        <w:numPr>
          <w:ilvl w:val="0"/>
          <w:numId w:val="14"/>
        </w:numPr>
        <w:ind w:left="1080"/>
      </w:pPr>
      <w:r>
        <w:t>“</w:t>
      </w:r>
      <w:r>
        <w:rPr>
          <w:i/>
          <w:iCs/>
        </w:rPr>
        <w:t>I</w:t>
      </w:r>
      <w:r w:rsidRPr="00C82023">
        <w:rPr>
          <w:i/>
          <w:iCs/>
        </w:rPr>
        <w:t xml:space="preserve">t is difficult to attribute to disorder the ability to steer the evolution of a system in one direction or another over time </w:t>
      </w:r>
      <w:r>
        <w:rPr>
          <w:i/>
          <w:iCs/>
        </w:rPr>
        <w:t xml:space="preserve"> […] </w:t>
      </w:r>
      <w:r w:rsidRPr="00C82023">
        <w:rPr>
          <w:i/>
          <w:iCs/>
        </w:rPr>
        <w:t xml:space="preserve">Entropy variation incorporates the notion of the </w:t>
      </w:r>
      <w:r w:rsidRPr="00C82023">
        <w:rPr>
          <w:i/>
          <w:iCs/>
        </w:rPr>
        <w:lastRenderedPageBreak/>
        <w:t>arrow of time, the evolution of a system towards equilibrium. But this time is never defined or quantified</w:t>
      </w:r>
      <w:r>
        <w:rPr>
          <w:i/>
          <w:iCs/>
        </w:rPr>
        <w:t>.</w:t>
      </w:r>
      <w:r>
        <w:t>”</w:t>
      </w:r>
      <w:r w:rsidR="00337565" w:rsidRPr="001F1634">
        <w:t xml:space="preserve"> </w:t>
      </w:r>
    </w:p>
    <w:p w14:paraId="7613A218" w14:textId="6B77BBFA" w:rsidR="00337565" w:rsidRPr="001F1634" w:rsidRDefault="00C82023" w:rsidP="0065023B">
      <w:pPr>
        <w:pStyle w:val="ListParagraph"/>
        <w:numPr>
          <w:ilvl w:val="0"/>
          <w:numId w:val="14"/>
        </w:numPr>
        <w:ind w:left="1080"/>
      </w:pPr>
      <w:r>
        <w:t>“</w:t>
      </w:r>
      <w:r>
        <w:rPr>
          <w:i/>
          <w:iCs/>
        </w:rPr>
        <w:t>B</w:t>
      </w:r>
      <w:r w:rsidRPr="00C82023">
        <w:rPr>
          <w:i/>
          <w:iCs/>
        </w:rPr>
        <w:t xml:space="preserve">ecause the second principle is an </w:t>
      </w:r>
      <w:proofErr w:type="spellStart"/>
      <w:r w:rsidRPr="00C82023">
        <w:rPr>
          <w:i/>
          <w:iCs/>
        </w:rPr>
        <w:t>INequality</w:t>
      </w:r>
      <w:proofErr w:type="spellEnd"/>
      <w:r>
        <w:t>” (emphasis by the teacher)</w:t>
      </w:r>
      <w:r w:rsidR="00337565" w:rsidRPr="001F1634">
        <w:t xml:space="preserve"> </w:t>
      </w:r>
    </w:p>
    <w:p w14:paraId="6A3E5BD7" w14:textId="5CD18BE1" w:rsidR="00337565" w:rsidRPr="001F1634" w:rsidRDefault="00C82023" w:rsidP="0065023B">
      <w:pPr>
        <w:pStyle w:val="ListParagraph"/>
        <w:numPr>
          <w:ilvl w:val="0"/>
          <w:numId w:val="14"/>
        </w:numPr>
        <w:ind w:left="1080"/>
      </w:pPr>
      <w:r>
        <w:t>“</w:t>
      </w:r>
      <w:proofErr w:type="spellStart"/>
      <w:r w:rsidRPr="00C82023">
        <w:rPr>
          <w:i/>
          <w:iCs/>
        </w:rPr>
        <w:t>dS</w:t>
      </w:r>
      <w:proofErr w:type="spellEnd"/>
      <w:r w:rsidRPr="00C82023">
        <w:rPr>
          <w:i/>
          <w:iCs/>
        </w:rPr>
        <w:t>=</w:t>
      </w:r>
      <w:proofErr w:type="spellStart"/>
      <w:r w:rsidRPr="00C82023">
        <w:rPr>
          <w:i/>
          <w:iCs/>
        </w:rPr>
        <w:t>dq</w:t>
      </w:r>
      <w:r w:rsidRPr="00333200">
        <w:rPr>
          <w:i/>
          <w:iCs/>
          <w:vertAlign w:val="subscript"/>
        </w:rPr>
        <w:t>rev</w:t>
      </w:r>
      <w:proofErr w:type="spellEnd"/>
      <w:r w:rsidRPr="00C82023">
        <w:rPr>
          <w:i/>
          <w:iCs/>
        </w:rPr>
        <w:t xml:space="preserve"> / T is also an abstract concept. Why do we have to use a reversible </w:t>
      </w:r>
      <w:proofErr w:type="gramStart"/>
      <w:r w:rsidRPr="00C82023">
        <w:rPr>
          <w:i/>
          <w:iCs/>
        </w:rPr>
        <w:t>path</w:t>
      </w:r>
      <w:proofErr w:type="gramEnd"/>
      <w:r w:rsidRPr="00C82023">
        <w:rPr>
          <w:i/>
          <w:iCs/>
        </w:rPr>
        <w:t xml:space="preserve"> and the result is ultimately independent of the path because S is a state function</w:t>
      </w:r>
      <w:r>
        <w:rPr>
          <w:i/>
          <w:iCs/>
        </w:rPr>
        <w:t>[?]</w:t>
      </w:r>
      <w:r w:rsidRPr="00C82023">
        <w:rPr>
          <w:i/>
          <w:iCs/>
        </w:rPr>
        <w:t xml:space="preserve"> This is confusing</w:t>
      </w:r>
      <w:r>
        <w:t>”; “</w:t>
      </w:r>
      <w:r>
        <w:rPr>
          <w:i/>
          <w:iCs/>
        </w:rPr>
        <w:t>p</w:t>
      </w:r>
      <w:r w:rsidRPr="00C82023">
        <w:rPr>
          <w:i/>
          <w:iCs/>
        </w:rPr>
        <w:t xml:space="preserve">roblem [is] that we use </w:t>
      </w:r>
      <w:proofErr w:type="spellStart"/>
      <w:r w:rsidRPr="00C82023">
        <w:rPr>
          <w:i/>
          <w:iCs/>
        </w:rPr>
        <w:t>q</w:t>
      </w:r>
      <w:r w:rsidRPr="00C82023">
        <w:rPr>
          <w:i/>
          <w:iCs/>
          <w:vertAlign w:val="subscript"/>
        </w:rPr>
        <w:t>reversible</w:t>
      </w:r>
      <w:proofErr w:type="spellEnd"/>
      <w:r w:rsidRPr="00C82023">
        <w:rPr>
          <w:i/>
          <w:iCs/>
        </w:rPr>
        <w:t xml:space="preserve"> even if the system is not reversible</w:t>
      </w:r>
      <w:r>
        <w:t>.”</w:t>
      </w:r>
      <w:r w:rsidR="00337565" w:rsidRPr="001F1634">
        <w:t xml:space="preserve"> </w:t>
      </w:r>
    </w:p>
    <w:p w14:paraId="09147DB9" w14:textId="42C06C40" w:rsidR="00337565" w:rsidRPr="001F1634" w:rsidRDefault="00C82023" w:rsidP="0065023B">
      <w:pPr>
        <w:pStyle w:val="ListParagraph"/>
        <w:numPr>
          <w:ilvl w:val="0"/>
          <w:numId w:val="14"/>
        </w:numPr>
        <w:ind w:left="1080"/>
      </w:pPr>
      <w:r>
        <w:t>“</w:t>
      </w:r>
      <w:r w:rsidRPr="00C82023">
        <w:rPr>
          <w:i/>
          <w:iCs/>
        </w:rPr>
        <w:t>In the absence of a basic understanding of statistical mechanics, it is practically impossible to calculate entropy using Boltzmann's relation for concrete cases in the first year.”</w:t>
      </w:r>
      <w:r w:rsidR="00337565" w:rsidRPr="001F1634">
        <w:t xml:space="preserve"> </w:t>
      </w:r>
    </w:p>
    <w:p w14:paraId="00A6DBC8" w14:textId="49D11C61" w:rsidR="001A296A" w:rsidRDefault="00453605" w:rsidP="00337565">
      <w:r>
        <w:t>S</w:t>
      </w:r>
      <w:r w:rsidR="00B804A3">
        <w:t>ome teachers do not find entropy difficult to teach</w:t>
      </w:r>
      <w:r>
        <w:t>, as was also pointed out in the “thermodynamics difficulties” section. T</w:t>
      </w:r>
      <w:r w:rsidR="00B804A3">
        <w:t xml:space="preserve">wo of them </w:t>
      </w:r>
      <w:r>
        <w:t>did not argue</w:t>
      </w:r>
      <w:r w:rsidR="00B804A3">
        <w:t xml:space="preserve"> why, and two argu</w:t>
      </w:r>
      <w:r>
        <w:t xml:space="preserve">ed </w:t>
      </w:r>
      <w:r w:rsidR="00B804A3">
        <w:t>it is easy thanks to the statistical thermodynamics approach, though one signals that it may “</w:t>
      </w:r>
      <w:r w:rsidR="001A296A">
        <w:rPr>
          <w:i/>
          <w:iCs/>
        </w:rPr>
        <w:t>[shift]</w:t>
      </w:r>
      <w:r w:rsidR="001A296A" w:rsidRPr="001A296A">
        <w:rPr>
          <w:i/>
          <w:iCs/>
        </w:rPr>
        <w:t xml:space="preserve"> certain problems/difficulties towards perhaps more complex mathematical concepts.</w:t>
      </w:r>
      <w:r w:rsidR="00B804A3">
        <w:t xml:space="preserve">” Two other teachers further the point raised in the “abstraction” paragraph: other concepts </w:t>
      </w:r>
      <w:r>
        <w:t>typical of</w:t>
      </w:r>
      <w:r w:rsidR="00B804A3">
        <w:t xml:space="preserve"> thermodynamics, such as temperature,</w:t>
      </w:r>
      <w:r>
        <w:t xml:space="preserve"> energy, heat </w:t>
      </w:r>
      <w:r w:rsidR="00B804A3">
        <w:t xml:space="preserve">or “free” energy may </w:t>
      </w:r>
      <w:r w:rsidR="00B804A3">
        <w:rPr>
          <w:i/>
          <w:iCs/>
        </w:rPr>
        <w:t xml:space="preserve">look like </w:t>
      </w:r>
      <w:r w:rsidR="00B804A3">
        <w:t>they are more comprehensible and contain less hurdles, but it is an illusion powered by the familiarity of these concepts with real life</w:t>
      </w:r>
      <w:r>
        <w:t>: they are no less complicated than entropy.</w:t>
      </w:r>
    </w:p>
    <w:p w14:paraId="17EB0EBF" w14:textId="2CFC26B8" w:rsidR="00E6628E" w:rsidRPr="001F1634" w:rsidRDefault="00E6628E" w:rsidP="00E6628E">
      <w:pPr>
        <w:pStyle w:val="Heading3"/>
      </w:pPr>
      <w:r w:rsidRPr="001F1634">
        <w:t>RQ2b</w:t>
      </w:r>
      <w:r>
        <w:t>: What are</w:t>
      </w:r>
      <w:r w:rsidRPr="001F1634">
        <w:t xml:space="preserve"> thermodynamics teachers’ opinions and use of the disorder metaphor to teach entropy? </w:t>
      </w:r>
    </w:p>
    <w:p w14:paraId="318FE3E4" w14:textId="372F4F05" w:rsidR="00091861" w:rsidRDefault="00091861" w:rsidP="00091861">
      <w:r>
        <w:t>In this question, 7</w:t>
      </w:r>
      <w:r w:rsidR="00D30DAC">
        <w:t>7</w:t>
      </w:r>
      <w:r>
        <w:t>% of teachers stated that they did use the metaphor, and 2</w:t>
      </w:r>
      <w:r w:rsidR="00D30DAC">
        <w:t>3</w:t>
      </w:r>
      <w:r>
        <w:t xml:space="preserve">% claimed they did not. Let us </w:t>
      </w:r>
      <w:r w:rsidR="007D0922">
        <w:t xml:space="preserve">first </w:t>
      </w:r>
      <w:r>
        <w:t xml:space="preserve">analyse the justification of the former group. </w:t>
      </w:r>
    </w:p>
    <w:p w14:paraId="71AF3F18" w14:textId="622FD548" w:rsidR="007B6F03" w:rsidRPr="007B6F03" w:rsidRDefault="00091861" w:rsidP="007B6F03">
      <w:pPr>
        <w:pStyle w:val="Heading4"/>
      </w:pPr>
      <w:r>
        <w:t>Teacher u</w:t>
      </w:r>
      <w:r w:rsidR="007B6F03">
        <w:t>se and reasons of use</w:t>
      </w:r>
    </w:p>
    <w:p w14:paraId="02802FCF" w14:textId="24E9B50A" w:rsidR="007B6F03" w:rsidRDefault="007D0922" w:rsidP="007B6F03">
      <w:r>
        <w:t>T</w:t>
      </w:r>
      <w:r w:rsidR="00200CA3">
        <w:t>he</w:t>
      </w:r>
      <w:r>
        <w:t xml:space="preserve"> teachers state that they</w:t>
      </w:r>
      <w:r w:rsidR="00200CA3">
        <w:t xml:space="preserve"> employ it to reduce the abstractness</w:t>
      </w:r>
      <w:r>
        <w:t xml:space="preserve"> </w:t>
      </w:r>
      <w:r w:rsidR="00200CA3">
        <w:t>(“</w:t>
      </w:r>
      <w:r w:rsidR="00200CA3" w:rsidRPr="00200CA3">
        <w:rPr>
          <w:i/>
          <w:iCs/>
        </w:rPr>
        <w:t>to make the concept of entropy more concrete</w:t>
      </w:r>
      <w:r w:rsidR="00200CA3">
        <w:t>”)</w:t>
      </w:r>
      <w:r w:rsidR="00D64B71">
        <w:t xml:space="preserve"> and</w:t>
      </w:r>
      <w:r w:rsidR="00200CA3">
        <w:t xml:space="preserve"> to help </w:t>
      </w:r>
      <w:r w:rsidR="00D64B71">
        <w:t xml:space="preserve">create mental images of </w:t>
      </w:r>
      <w:r w:rsidR="00200CA3">
        <w:t>entropy</w:t>
      </w:r>
      <w:r>
        <w:t>, which is coherent with the fact that it is the main hurdle they identify to teach entropy</w:t>
      </w:r>
      <w:r w:rsidR="00200CA3">
        <w:t>: “</w:t>
      </w:r>
      <w:r w:rsidR="00200CA3" w:rsidRPr="00200CA3">
        <w:rPr>
          <w:i/>
          <w:iCs/>
        </w:rPr>
        <w:t>so that students understand the concept and visualise it more clearly</w:t>
      </w:r>
      <w:r w:rsidR="00200CA3">
        <w:t>”, “</w:t>
      </w:r>
      <w:r w:rsidR="00200CA3" w:rsidRPr="00200CA3">
        <w:rPr>
          <w:i/>
          <w:iCs/>
        </w:rPr>
        <w:t>the idea is to make entropy correspond to something they can see</w:t>
      </w:r>
      <w:r w:rsidR="00200CA3">
        <w:t>”, “</w:t>
      </w:r>
      <w:r w:rsidR="00200CA3" w:rsidRPr="00200CA3">
        <w:rPr>
          <w:i/>
          <w:iCs/>
        </w:rPr>
        <w:t>so that students can imagine what entropy represents</w:t>
      </w:r>
      <w:r w:rsidR="00200CA3">
        <w:t>”, “</w:t>
      </w:r>
      <w:r w:rsidR="00200CA3" w:rsidRPr="00200CA3">
        <w:rPr>
          <w:i/>
          <w:iCs/>
        </w:rPr>
        <w:t>To make it easier to understand and link the defined magnitude to something concrete.</w:t>
      </w:r>
      <w:r w:rsidR="00200CA3">
        <w:rPr>
          <w:i/>
          <w:iCs/>
        </w:rPr>
        <w:t xml:space="preserve">” </w:t>
      </w:r>
      <w:r w:rsidR="00200CA3">
        <w:t xml:space="preserve"> </w:t>
      </w:r>
    </w:p>
    <w:p w14:paraId="0A6F4236" w14:textId="073A9F2A" w:rsidR="00292C6F" w:rsidRDefault="00292C6F" w:rsidP="00E56B0B">
      <w:pPr>
        <w:rPr>
          <w:i/>
          <w:iCs/>
        </w:rPr>
      </w:pPr>
      <w:r>
        <w:t xml:space="preserve">Another reported approach to the reduction of the </w:t>
      </w:r>
      <w:r w:rsidR="007D0922">
        <w:t>leap</w:t>
      </w:r>
      <w:r w:rsidR="004627D5">
        <w:t xml:space="preserve"> </w:t>
      </w:r>
      <w:r>
        <w:t xml:space="preserve">of abstraction that entropy requires </w:t>
      </w:r>
      <w:r w:rsidR="007D0922">
        <w:t xml:space="preserve">compared to other concepts such as heat, temperature or energy, </w:t>
      </w:r>
      <w:r>
        <w:t xml:space="preserve">is to use the disorder metaphor </w:t>
      </w:r>
      <w:r w:rsidR="007D0922">
        <w:t xml:space="preserve">as </w:t>
      </w:r>
      <w:r>
        <w:t>a first, simplifying step: “</w:t>
      </w:r>
      <w:r w:rsidRPr="00292C6F">
        <w:rPr>
          <w:i/>
          <w:iCs/>
        </w:rPr>
        <w:t>as the students have not yet seen [energy] state occupancy, I prefer to introduce them to [entropy] in a simple way</w:t>
      </w:r>
      <w:r>
        <w:t xml:space="preserve">”, </w:t>
      </w:r>
      <w:r w:rsidR="00E56B0B">
        <w:t>“</w:t>
      </w:r>
      <w:r w:rsidR="00E56B0B" w:rsidRPr="00E56B0B">
        <w:rPr>
          <w:i/>
          <w:iCs/>
        </w:rPr>
        <w:t>the disorder metaphor is used to introduce the notion of entropy to the students in the first instance (introductory part of the chapter on the second law of thermodynamics).</w:t>
      </w:r>
      <w:r w:rsidR="00E56B0B">
        <w:t xml:space="preserve"> </w:t>
      </w:r>
      <w:r w:rsidR="00E56B0B" w:rsidRPr="00E56B0B">
        <w:rPr>
          <w:i/>
          <w:iCs/>
        </w:rPr>
        <w:t>Secondly, this metaphor is related to the notion of the number of accessible microstates, when Boltzmann's formula for entropy is given</w:t>
      </w:r>
      <w:r w:rsidR="00E56B0B">
        <w:rPr>
          <w:i/>
          <w:iCs/>
        </w:rPr>
        <w:t>.”</w:t>
      </w:r>
    </w:p>
    <w:p w14:paraId="6AF4358B" w14:textId="76A81730" w:rsidR="00E56B0B" w:rsidRPr="00E56B0B" w:rsidRDefault="00E56B0B" w:rsidP="00E56B0B">
      <w:r>
        <w:t xml:space="preserve">This approach is analogous to the one used by </w:t>
      </w:r>
      <w:r w:rsidR="00146A78">
        <w:fldChar w:fldCharType="begin"/>
      </w:r>
      <w:r w:rsidR="00146A78">
        <w:instrText xml:space="preserve"> ADDIN ZOTERO_ITEM CSL_CITATION {"citationID":"VGsIkxuc","properties":{"formattedCitation":"(Atkins et al., 2023)","plainCitation":"(Atkins et al., 2023)","dontUpdate":true,"noteIndex":0},"citationItems":[{"id":643,"uris":["http://zotero.org/users/13843693/items/IUU2LB3N"],"itemData":{"id":643,"type":"book","edition":"12","publisher":"Oxford University Press","title":"Atkins' Physical Chemistry","author":[{"family":"Atkins","given":"Peter"},{"family":"De Paula","given":"Julio"},{"family":"Keeler","given":"James"}],"issued":{"date-parts":[["2023"]]}}}],"schema":"https://github.com/citation-style-language/schema/raw/master/csl-citation.json"} </w:instrText>
      </w:r>
      <w:r w:rsidR="00146A78">
        <w:fldChar w:fldCharType="separate"/>
      </w:r>
      <w:r w:rsidR="00146A78" w:rsidRPr="00146A78">
        <w:rPr>
          <w:rFonts w:ascii="Aptos" w:hAnsi="Aptos"/>
        </w:rPr>
        <w:t>Atkins et al.</w:t>
      </w:r>
      <w:r w:rsidR="00146A78">
        <w:rPr>
          <w:rFonts w:ascii="Aptos" w:hAnsi="Aptos"/>
        </w:rPr>
        <w:t xml:space="preserve"> (</w:t>
      </w:r>
      <w:r w:rsidR="00146A78" w:rsidRPr="00146A78">
        <w:rPr>
          <w:rFonts w:ascii="Aptos" w:hAnsi="Aptos"/>
        </w:rPr>
        <w:t>2023)</w:t>
      </w:r>
      <w:r w:rsidR="00146A78">
        <w:fldChar w:fldCharType="end"/>
      </w:r>
      <w:r w:rsidR="00146A78">
        <w:t xml:space="preserve"> </w:t>
      </w:r>
      <w:r>
        <w:t xml:space="preserve">in their </w:t>
      </w:r>
      <w:r w:rsidR="00E35544" w:rsidRPr="00333200">
        <w:t>famous</w:t>
      </w:r>
      <w:r w:rsidR="00E35544">
        <w:t xml:space="preserve"> </w:t>
      </w:r>
      <w:r>
        <w:t>physical chemistry textbook</w:t>
      </w:r>
      <w:r w:rsidR="007D0922">
        <w:t>, where, after having used “disorder” as an explanation for entropy, the authors signal disorder as an “ill-defined” first step</w:t>
      </w:r>
      <w:r>
        <w:t xml:space="preserve"> : “</w:t>
      </w:r>
      <w:r w:rsidRPr="00E56B0B">
        <w:rPr>
          <w:i/>
          <w:iCs/>
        </w:rPr>
        <w:t xml:space="preserve">The concept of the number of microstates makes quantitative the ill-defined qualitative concepts of ‘disorder’ and ‘the dispersal of matter and energy’ that are used widely to introduce the concept of entropy: a more ‘disorderly’ distribution </w:t>
      </w:r>
      <w:r w:rsidRPr="00E56B0B">
        <w:rPr>
          <w:i/>
          <w:iCs/>
        </w:rPr>
        <w:lastRenderedPageBreak/>
        <w:t>of energy and matter corresponds to a greater number of microstates associated with the same total energy</w:t>
      </w:r>
      <w:r>
        <w:t>” (p. 79).</w:t>
      </w:r>
    </w:p>
    <w:p w14:paraId="1A50CDAC" w14:textId="49B7801A" w:rsidR="00322246" w:rsidRPr="00E56B0B" w:rsidRDefault="00E35544" w:rsidP="00322246">
      <w:r>
        <w:t xml:space="preserve">Other teachers mention that the </w:t>
      </w:r>
      <w:r w:rsidR="00E56B0B">
        <w:t xml:space="preserve">main point of the metaphor </w:t>
      </w:r>
      <w:r w:rsidR="007D0922">
        <w:t>has</w:t>
      </w:r>
      <w:r w:rsidR="00E56B0B">
        <w:t xml:space="preserve"> always been “</w:t>
      </w:r>
      <w:r w:rsidR="00E56B0B" w:rsidRPr="00E56B0B">
        <w:rPr>
          <w:i/>
          <w:iCs/>
        </w:rPr>
        <w:t>to illustrate that a system with a large number of configurations is more likely to be encountered than one with fewer</w:t>
      </w:r>
      <w:r w:rsidR="00E56B0B">
        <w:t>” (</w:t>
      </w:r>
      <w:r w:rsidR="004627D5">
        <w:t xml:space="preserve">a disordered situation </w:t>
      </w:r>
      <w:r w:rsidR="00E56B0B">
        <w:t xml:space="preserve">is more </w:t>
      </w:r>
      <w:r w:rsidR="00E56B0B">
        <w:rPr>
          <w:i/>
          <w:iCs/>
        </w:rPr>
        <w:t>probable</w:t>
      </w:r>
      <w:r w:rsidR="00E56B0B">
        <w:t xml:space="preserve"> than </w:t>
      </w:r>
      <w:r w:rsidR="004627D5">
        <w:t>an ordered on</w:t>
      </w:r>
      <w:r w:rsidR="00E56B0B">
        <w:t>)</w:t>
      </w:r>
      <w:r w:rsidR="007D0922">
        <w:t>;</w:t>
      </w:r>
      <w:r w:rsidR="00E56B0B">
        <w:t xml:space="preserve"> “</w:t>
      </w:r>
      <w:r w:rsidR="00E56B0B" w:rsidRPr="00E56B0B">
        <w:rPr>
          <w:i/>
          <w:iCs/>
        </w:rPr>
        <w:t>rather to explain that a system that can have a greater number of configurations is more likely (thermostat). I use the metaphor of the bus (more likely to have the configuration of 1 passenger on 10 different benches than the configuration where 5 benches are occupied by 2 passengers (the others remaining free))”</w:t>
      </w:r>
    </w:p>
    <w:p w14:paraId="58D16761" w14:textId="219381FA" w:rsidR="007B6F03" w:rsidRPr="001F1634" w:rsidRDefault="00E56B0B" w:rsidP="007B6F03">
      <w:pPr>
        <w:rPr>
          <w:b/>
          <w:bCs/>
        </w:rPr>
      </w:pPr>
      <w:r>
        <w:t xml:space="preserve">Finally, as with other </w:t>
      </w:r>
      <w:r w:rsidR="007D0922">
        <w:t>statement</w:t>
      </w:r>
      <w:r>
        <w:t>s from our questionnaire, some teachers mention using the disorder metaphor to illustrate a specific concept.</w:t>
      </w:r>
      <w:r w:rsidR="001C0B17">
        <w:t xml:space="preserve"> For example:</w:t>
      </w:r>
    </w:p>
    <w:p w14:paraId="1BB9BF91" w14:textId="17CDAD37" w:rsidR="00E56B0B" w:rsidRDefault="007C4B58" w:rsidP="00E56B0B">
      <w:pPr>
        <w:pStyle w:val="ListParagraph"/>
        <w:numPr>
          <w:ilvl w:val="0"/>
          <w:numId w:val="16"/>
        </w:numPr>
      </w:pPr>
      <w:r>
        <w:t xml:space="preserve">Differentiation </w:t>
      </w:r>
      <w:r w:rsidR="00091861">
        <w:t>of</w:t>
      </w:r>
      <w:r w:rsidR="00E56B0B">
        <w:t xml:space="preserve"> heat and work: “</w:t>
      </w:r>
      <w:r w:rsidR="00E56B0B" w:rsidRPr="00E56B0B">
        <w:rPr>
          <w:i/>
          <w:iCs/>
        </w:rPr>
        <w:t>I also draw a parallel with the ball bouncing off the ground, which loses some of its energy in the form of heat, due to the disordered movements of the atoms in the ground, as opposed to work like pushing a piston.”</w:t>
      </w:r>
      <w:r w:rsidR="00091861">
        <w:rPr>
          <w:i/>
          <w:iCs/>
        </w:rPr>
        <w:t xml:space="preserve"> </w:t>
      </w:r>
    </w:p>
    <w:p w14:paraId="36150550" w14:textId="48FDB94A" w:rsidR="007B6F03" w:rsidRPr="001F1634" w:rsidRDefault="00091861" w:rsidP="00E56B0B">
      <w:pPr>
        <w:pStyle w:val="ListParagraph"/>
        <w:numPr>
          <w:ilvl w:val="0"/>
          <w:numId w:val="16"/>
        </w:numPr>
      </w:pPr>
      <w:r>
        <w:t>States of matter: “</w:t>
      </w:r>
      <w:r w:rsidRPr="00091861">
        <w:rPr>
          <w:i/>
          <w:iCs/>
        </w:rPr>
        <w:t>To show that the entropy of a gas is naturally greater than that of a liquid or solid</w:t>
      </w:r>
      <w:r w:rsidRPr="00091861">
        <w:t>.</w:t>
      </w:r>
      <w:r>
        <w:t>”</w:t>
      </w:r>
    </w:p>
    <w:p w14:paraId="59871673" w14:textId="10E171EA" w:rsidR="007B6F03" w:rsidRPr="001F1634" w:rsidRDefault="00091861" w:rsidP="00E56B0B">
      <w:pPr>
        <w:pStyle w:val="ListParagraph"/>
        <w:numPr>
          <w:ilvl w:val="0"/>
          <w:numId w:val="16"/>
        </w:numPr>
      </w:pPr>
      <w:r>
        <w:t>Third law: “</w:t>
      </w:r>
      <w:r w:rsidRPr="00091861">
        <w:rPr>
          <w:i/>
          <w:iCs/>
        </w:rPr>
        <w:t>to introduce it and illustrate the 3</w:t>
      </w:r>
      <w:r w:rsidRPr="00091861">
        <w:rPr>
          <w:i/>
          <w:iCs/>
          <w:vertAlign w:val="superscript"/>
        </w:rPr>
        <w:t xml:space="preserve">rd </w:t>
      </w:r>
      <w:r w:rsidRPr="00091861">
        <w:rPr>
          <w:i/>
          <w:iCs/>
        </w:rPr>
        <w:t>law</w:t>
      </w:r>
      <w:r>
        <w:t>”, “</w:t>
      </w:r>
      <w:r w:rsidRPr="00091861">
        <w:rPr>
          <w:i/>
          <w:iCs/>
        </w:rPr>
        <w:t>this metaphor is used to provide an intuitive justification for the third law of thermodynamics (S = 0 for zero disorder).”</w:t>
      </w:r>
    </w:p>
    <w:p w14:paraId="2E7528BF" w14:textId="23FAFA3D" w:rsidR="007B6F03" w:rsidRDefault="00091861" w:rsidP="00E56B0B">
      <w:pPr>
        <w:pStyle w:val="ListParagraph"/>
        <w:numPr>
          <w:ilvl w:val="0"/>
          <w:numId w:val="16"/>
        </w:numPr>
      </w:pPr>
      <w:r>
        <w:t>To reach equilibrium discussions: “</w:t>
      </w:r>
      <w:r w:rsidRPr="00091861">
        <w:rPr>
          <w:i/>
          <w:iCs/>
        </w:rPr>
        <w:t>to introduce the notion of a reaction leading to an equilibrium, I introduce the disorder criterion as a second criterion in addition to the energy criterion.</w:t>
      </w:r>
      <w:r>
        <w:t>”</w:t>
      </w:r>
    </w:p>
    <w:p w14:paraId="502711FE" w14:textId="6EED7AEC" w:rsidR="00322246" w:rsidRPr="001F1634" w:rsidRDefault="00322246" w:rsidP="007B6F03">
      <w:pPr>
        <w:pStyle w:val="Heading4"/>
      </w:pPr>
      <w:r w:rsidRPr="001F1634">
        <w:t>Use of counterexamples</w:t>
      </w:r>
    </w:p>
    <w:p w14:paraId="42EC6624" w14:textId="7FC2BCB8" w:rsidR="00322246" w:rsidRPr="001F1634" w:rsidRDefault="00D30DAC" w:rsidP="00322246">
      <w:r>
        <w:t xml:space="preserve">48% of the teachers </w:t>
      </w:r>
      <w:r w:rsidR="007C4B58">
        <w:t xml:space="preserve">who </w:t>
      </w:r>
      <w:r>
        <w:t>do use the disorder metaphor d</w:t>
      </w:r>
      <w:r w:rsidR="007D0922">
        <w:t xml:space="preserve">eclare </w:t>
      </w:r>
      <w:r>
        <w:t>not us</w:t>
      </w:r>
      <w:r w:rsidR="007D0922">
        <w:t>ing</w:t>
      </w:r>
      <w:r>
        <w:t xml:space="preserve"> any counterexamples, </w:t>
      </w:r>
      <w:r w:rsidR="007D0922">
        <w:t>and</w:t>
      </w:r>
      <w:r>
        <w:t xml:space="preserve"> not giv</w:t>
      </w:r>
      <w:r w:rsidR="007D0922">
        <w:t>ing</w:t>
      </w:r>
      <w:r>
        <w:t xml:space="preserve"> limits to the metaphor</w:t>
      </w:r>
      <w:r w:rsidR="00832999">
        <w:t xml:space="preserve"> (Q13).</w:t>
      </w:r>
    </w:p>
    <w:p w14:paraId="78F67329" w14:textId="46D77649" w:rsidR="00AE6ECF" w:rsidRDefault="00832999" w:rsidP="00D30DAC">
      <w:r>
        <w:t xml:space="preserve">In the 52% of </w:t>
      </w:r>
      <w:r w:rsidR="00D30DAC">
        <w:t>teachers</w:t>
      </w:r>
      <w:r>
        <w:t xml:space="preserve"> that declared giving some counterexamples at Q13, some, but not all, gave some precisions in the associated open question. For example, three teachers </w:t>
      </w:r>
      <w:r w:rsidR="007C4B58">
        <w:t xml:space="preserve">reported </w:t>
      </w:r>
      <w:r>
        <w:t xml:space="preserve">that they </w:t>
      </w:r>
      <w:r w:rsidR="007C4B58">
        <w:t>mention</w:t>
      </w:r>
      <w:r w:rsidR="00834B15">
        <w:t xml:space="preserve"> broad limits:</w:t>
      </w:r>
      <w:r w:rsidR="00AE6ECF">
        <w:t xml:space="preserve"> “</w:t>
      </w:r>
      <w:r w:rsidR="00AE6ECF" w:rsidRPr="00AE6ECF">
        <w:rPr>
          <w:i/>
          <w:iCs/>
        </w:rPr>
        <w:t>the limit of using a situation in the macroscopic world to describe a situation in the microscopic world</w:t>
      </w:r>
      <w:r w:rsidR="00AE6ECF">
        <w:t>”,</w:t>
      </w:r>
      <w:r w:rsidR="00834B15">
        <w:t xml:space="preserve"> “</w:t>
      </w:r>
      <w:r w:rsidR="00834B15" w:rsidRPr="00834B15">
        <w:rPr>
          <w:i/>
          <w:iCs/>
        </w:rPr>
        <w:t>[I use the disorder metaphor] while explaining the true definition, but insisting that it's not something they need to know</w:t>
      </w:r>
      <w:r w:rsidR="00834B15">
        <w:t>”; “</w:t>
      </w:r>
      <w:r w:rsidR="00834B15" w:rsidRPr="00A4095E">
        <w:rPr>
          <w:i/>
        </w:rPr>
        <w:t>I point out that this is not exactly the same thing and that there are underlying mathematical equations</w:t>
      </w:r>
      <w:r w:rsidR="00834B15">
        <w:t xml:space="preserve">”. </w:t>
      </w:r>
      <w:r>
        <w:t>Four</w:t>
      </w:r>
      <w:r w:rsidR="007C4B58">
        <w:t xml:space="preserve"> other teachers</w:t>
      </w:r>
      <w:r w:rsidR="00AE6ECF">
        <w:t xml:space="preserve"> </w:t>
      </w:r>
      <w:r w:rsidR="00834B15">
        <w:t xml:space="preserve">give </w:t>
      </w:r>
      <w:r w:rsidR="00AE6ECF">
        <w:t>precise</w:t>
      </w:r>
      <w:r w:rsidR="00834B15">
        <w:t xml:space="preserve"> limits</w:t>
      </w:r>
      <w:r w:rsidR="00D30DAC">
        <w:t>, such as</w:t>
      </w:r>
      <w:r w:rsidR="00AE6ECF">
        <w:t xml:space="preserve">: </w:t>
      </w:r>
    </w:p>
    <w:p w14:paraId="2168C710" w14:textId="7866D378" w:rsidR="00AE6ECF" w:rsidRDefault="00D30DAC" w:rsidP="00AE6ECF">
      <w:pPr>
        <w:pStyle w:val="ListParagraph"/>
        <w:numPr>
          <w:ilvl w:val="0"/>
          <w:numId w:val="17"/>
        </w:numPr>
      </w:pPr>
      <w:r>
        <w:t>the temperature dependence of entropy</w:t>
      </w:r>
      <w:r w:rsidR="00AE6ECF">
        <w:t xml:space="preserve">: </w:t>
      </w:r>
      <w:r w:rsidR="00AE6ECF" w:rsidRPr="00AE6ECF">
        <w:rPr>
          <w:i/>
          <w:iCs/>
        </w:rPr>
        <w:t xml:space="preserve">“entropy is defined at a given temperature. It is difficult to integrate this concept with that of a well-ordered or </w:t>
      </w:r>
      <w:proofErr w:type="gramStart"/>
      <w:r w:rsidR="00AE6ECF" w:rsidRPr="00AE6ECF">
        <w:rPr>
          <w:i/>
          <w:iCs/>
        </w:rPr>
        <w:t>badly-ordered</w:t>
      </w:r>
      <w:proofErr w:type="gramEnd"/>
      <w:r w:rsidR="00AE6ECF" w:rsidRPr="00AE6ECF">
        <w:rPr>
          <w:i/>
          <w:iCs/>
        </w:rPr>
        <w:t xml:space="preserve"> [student room]</w:t>
      </w:r>
      <w:r w:rsidR="00AE6ECF" w:rsidRPr="00AE6ECF">
        <w:t>”)</w:t>
      </w:r>
      <w:r w:rsidR="00322246" w:rsidRPr="001F1634">
        <w:t xml:space="preserve"> </w:t>
      </w:r>
    </w:p>
    <w:p w14:paraId="4889BF5D" w14:textId="0FC11DB6" w:rsidR="00AE6ECF" w:rsidRDefault="009906FD" w:rsidP="00AE6ECF">
      <w:pPr>
        <w:pStyle w:val="ListParagraph"/>
        <w:numPr>
          <w:ilvl w:val="0"/>
          <w:numId w:val="17"/>
        </w:numPr>
      </w:pPr>
      <w:r>
        <w:t xml:space="preserve">the exhaustion students can feel when they </w:t>
      </w:r>
      <w:proofErr w:type="gramStart"/>
      <w:r>
        <w:t>tidy</w:t>
      </w:r>
      <w:proofErr w:type="gramEnd"/>
      <w:r>
        <w:t xml:space="preserve"> they room </w:t>
      </w:r>
      <w:r w:rsidR="00825B89">
        <w:t xml:space="preserve">up, </w:t>
      </w:r>
      <w:r>
        <w:t>that could be confused with the energy lost by a system</w:t>
      </w:r>
      <w:r w:rsidR="00C97267" w:rsidRPr="00A4095E">
        <w:t xml:space="preserve">: </w:t>
      </w:r>
      <w:r w:rsidR="00AE6ECF">
        <w:t>“</w:t>
      </w:r>
      <w:r w:rsidR="00AE6ECF" w:rsidRPr="00AE6ECF">
        <w:rPr>
          <w:i/>
          <w:iCs/>
        </w:rPr>
        <w:t>you might object that it took a lot of energy to make a mess of the tidy room</w:t>
      </w:r>
      <w:r w:rsidR="00AE6ECF">
        <w:t xml:space="preserve">” </w:t>
      </w:r>
    </w:p>
    <w:p w14:paraId="7C7FDF58" w14:textId="2DA68100" w:rsidR="00322246" w:rsidRDefault="00C97267" w:rsidP="00AE6ECF">
      <w:pPr>
        <w:pStyle w:val="ListParagraph"/>
        <w:numPr>
          <w:ilvl w:val="0"/>
          <w:numId w:val="17"/>
        </w:numPr>
      </w:pPr>
      <w:r>
        <w:t xml:space="preserve">energy exchange: </w:t>
      </w:r>
      <w:r w:rsidR="00AE6ECF">
        <w:t>the counter-intuitive formation of a perfect crystal: “</w:t>
      </w:r>
      <w:r w:rsidR="00AE6ECF" w:rsidRPr="00AE6ECF">
        <w:rPr>
          <w:i/>
          <w:iCs/>
        </w:rPr>
        <w:t>generally, I use the formation of crystalline solids for systems of particles interacting as hard spheres. Maximising entropy implies the formation of a perfectly ordered crystal, which is rather counter-intuitive. It just goes to show the limits of the entropy equals disorder concept</w:t>
      </w:r>
      <w:r w:rsidR="00AE6ECF">
        <w:t>”</w:t>
      </w:r>
    </w:p>
    <w:p w14:paraId="7FE9AA21" w14:textId="2219E157" w:rsidR="00AE6ECF" w:rsidRPr="009906FD" w:rsidRDefault="00AE6ECF" w:rsidP="00834B15">
      <w:pPr>
        <w:pStyle w:val="ListParagraph"/>
        <w:numPr>
          <w:ilvl w:val="0"/>
          <w:numId w:val="17"/>
        </w:numPr>
        <w:rPr>
          <w:i/>
          <w:iCs/>
        </w:rPr>
      </w:pPr>
      <w:r>
        <w:lastRenderedPageBreak/>
        <w:t>the specific meaning of “disorder”: “</w:t>
      </w:r>
      <w:r w:rsidRPr="00AE6ECF">
        <w:rPr>
          <w:i/>
          <w:iCs/>
        </w:rPr>
        <w:t>entropy does not describe disorder in the everyday sense of the term. Rather, it measures the distribution of thermal energy in a system.</w:t>
      </w:r>
      <w:r w:rsidR="00834B15">
        <w:rPr>
          <w:i/>
          <w:iCs/>
        </w:rPr>
        <w:t xml:space="preserve"> </w:t>
      </w:r>
      <w:r w:rsidRPr="00834B15">
        <w:rPr>
          <w:i/>
          <w:iCs/>
        </w:rPr>
        <w:t xml:space="preserve">Entropy does not </w:t>
      </w:r>
      <w:proofErr w:type="gramStart"/>
      <w:r w:rsidRPr="00834B15">
        <w:rPr>
          <w:i/>
          <w:iCs/>
        </w:rPr>
        <w:t>take into account</w:t>
      </w:r>
      <w:proofErr w:type="gramEnd"/>
      <w:r w:rsidRPr="00834B15">
        <w:rPr>
          <w:i/>
          <w:iCs/>
        </w:rPr>
        <w:t xml:space="preserve"> the specific nature of individual particles in a system</w:t>
      </w:r>
      <w:r>
        <w:t xml:space="preserve">.” </w:t>
      </w:r>
    </w:p>
    <w:p w14:paraId="73A1BEE0" w14:textId="14DA0D01" w:rsidR="009906FD" w:rsidRPr="009906FD" w:rsidRDefault="009906FD" w:rsidP="009906FD">
      <w:r>
        <w:t xml:space="preserve">The second and third points from this list </w:t>
      </w:r>
      <w:r w:rsidRPr="009906FD">
        <w:t>illustrate a limitation of the disorder metaphor which is usually wrongly applied only to the system: by doing so, the essential contribution of the heat exchange with the environment and its associated entropy change are concealed.</w:t>
      </w:r>
    </w:p>
    <w:p w14:paraId="4774265E" w14:textId="223B47B5" w:rsidR="00D30DAC" w:rsidRPr="001F1634" w:rsidRDefault="00C97267" w:rsidP="00D30DAC">
      <w:pPr>
        <w:pStyle w:val="Heading4"/>
      </w:pPr>
      <w:r>
        <w:t>Teacher arguments for avoiding the disorder metaphor</w:t>
      </w:r>
    </w:p>
    <w:p w14:paraId="4DF0AFC0" w14:textId="49BEB256" w:rsidR="00D30DAC" w:rsidRDefault="00D30DAC" w:rsidP="00D30DAC">
      <w:r>
        <w:t>As mentioned</w:t>
      </w:r>
      <w:r w:rsidR="00AE6ECF">
        <w:t xml:space="preserve"> earlier</w:t>
      </w:r>
      <w:r>
        <w:t>, 2</w:t>
      </w:r>
      <w:r w:rsidR="00AE6ECF">
        <w:t>3</w:t>
      </w:r>
      <w:r>
        <w:t xml:space="preserve">% of teachers do not use the disorder metaphor. </w:t>
      </w:r>
      <w:r w:rsidR="00AE6ECF">
        <w:t xml:space="preserve">Two teachers point out </w:t>
      </w:r>
      <w:r w:rsidR="00662382">
        <w:t>two very different reasons</w:t>
      </w:r>
      <w:r w:rsidR="00C97267">
        <w:t xml:space="preserve">. the </w:t>
      </w:r>
      <w:r w:rsidR="00662382">
        <w:t>first</w:t>
      </w:r>
      <w:r w:rsidR="00C97267">
        <w:t xml:space="preserve"> one emphasizes</w:t>
      </w:r>
      <w:r w:rsidR="00662382">
        <w:t xml:space="preserve"> the lack of similar properties between entropy and disorder</w:t>
      </w:r>
      <w:r w:rsidR="00834B15">
        <w:t xml:space="preserve">: </w:t>
      </w:r>
      <w:r w:rsidR="00AE6ECF">
        <w:t>“</w:t>
      </w:r>
      <w:r w:rsidR="00662382" w:rsidRPr="00662382">
        <w:rPr>
          <w:i/>
          <w:iCs/>
        </w:rPr>
        <w:t>o</w:t>
      </w:r>
      <w:r w:rsidR="00AE6ECF" w:rsidRPr="00662382">
        <w:rPr>
          <w:i/>
          <w:iCs/>
        </w:rPr>
        <w:t xml:space="preserve">n a microscopic scale, the components of matter are distributed randomly between all possible states, resulting in the most probable distribution, which corresponds on a macroscopic scale to the maximisation of a function (entropy) that measures this distribution between microstates. </w:t>
      </w:r>
      <w:r w:rsidR="00AE6ECF" w:rsidRPr="00662382">
        <w:rPr>
          <w:b/>
          <w:bCs/>
          <w:i/>
          <w:iCs/>
        </w:rPr>
        <w:t>This has nothing to do with the notion of order and disorder</w:t>
      </w:r>
      <w:r w:rsidR="00AE6ECF" w:rsidRPr="00662382">
        <w:rPr>
          <w:i/>
          <w:iCs/>
        </w:rPr>
        <w:t>. I always work on entropy using statistical physics, which is very simplified for first-year students. This also makes it easy to understand why entropy increases for a transformation occurring in an isolated system - it's simply the play of chance</w:t>
      </w:r>
      <w:r w:rsidR="00AE6ECF">
        <w:t>”</w:t>
      </w:r>
      <w:r w:rsidR="00662382">
        <w:t xml:space="preserve"> (emphasis by us)</w:t>
      </w:r>
      <w:r w:rsidR="00834B15">
        <w:t>. The second</w:t>
      </w:r>
      <w:r w:rsidR="0055208F">
        <w:t xml:space="preserve"> teacher</w:t>
      </w:r>
      <w:r w:rsidR="00834B15">
        <w:t xml:space="preserve"> states that </w:t>
      </w:r>
      <w:r w:rsidR="0055208F">
        <w:t>a course for engineers does not require a microscopic explanation</w:t>
      </w:r>
      <w:r w:rsidR="00834B15">
        <w:t xml:space="preserve">: </w:t>
      </w:r>
      <w:r w:rsidR="00662382">
        <w:t>“</w:t>
      </w:r>
      <w:r w:rsidR="00834B15">
        <w:rPr>
          <w:i/>
          <w:iCs/>
        </w:rPr>
        <w:t>t</w:t>
      </w:r>
      <w:r w:rsidR="00662382" w:rsidRPr="00662382">
        <w:rPr>
          <w:i/>
          <w:iCs/>
        </w:rPr>
        <w:t xml:space="preserve">he reason for this is the confusion that arises when entropy is viewed in different ways (molecular and macroscopic scales). For example, in thermodynamic cycles, the definition of entropy is </w:t>
      </w:r>
      <w:proofErr w:type="spellStart"/>
      <w:r w:rsidR="00662382" w:rsidRPr="00662382">
        <w:rPr>
          <w:i/>
          <w:iCs/>
        </w:rPr>
        <w:t>dS</w:t>
      </w:r>
      <w:proofErr w:type="spellEnd"/>
      <w:r w:rsidR="00662382" w:rsidRPr="00662382">
        <w:rPr>
          <w:i/>
          <w:iCs/>
        </w:rPr>
        <w:t>=</w:t>
      </w:r>
      <w:proofErr w:type="spellStart"/>
      <w:r w:rsidR="00662382" w:rsidRPr="00662382">
        <w:rPr>
          <w:i/>
          <w:iCs/>
        </w:rPr>
        <w:t>d</w:t>
      </w:r>
      <w:r w:rsidR="00825B89">
        <w:rPr>
          <w:i/>
          <w:iCs/>
        </w:rPr>
        <w:t>q</w:t>
      </w:r>
      <w:r w:rsidR="00662382" w:rsidRPr="00333200">
        <w:rPr>
          <w:i/>
          <w:iCs/>
          <w:vertAlign w:val="subscript"/>
        </w:rPr>
        <w:t>rev</w:t>
      </w:r>
      <w:proofErr w:type="spellEnd"/>
      <w:r w:rsidR="00662382" w:rsidRPr="00662382">
        <w:rPr>
          <w:i/>
          <w:iCs/>
        </w:rPr>
        <w:t>/T. The link with disorder is present but is not useful for understanding the phenomena in cycles, which are based much more on the properties of entropy = state variable.</w:t>
      </w:r>
      <w:r w:rsidR="00662382">
        <w:t xml:space="preserve">” </w:t>
      </w:r>
    </w:p>
    <w:p w14:paraId="298C6E76" w14:textId="12231452" w:rsidR="00D30DAC" w:rsidRPr="00662382" w:rsidRDefault="00662382" w:rsidP="00D30DAC">
      <w:pPr>
        <w:rPr>
          <w:i/>
          <w:iCs/>
        </w:rPr>
      </w:pPr>
      <w:r>
        <w:t>Some teachers mention they use other proxy words for entropy, some inspired by statistical thermodynamics, such as “</w:t>
      </w:r>
      <w:r w:rsidRPr="00662382">
        <w:rPr>
          <w:i/>
          <w:iCs/>
        </w:rPr>
        <w:t>richness in terms of the number of positions and speeds accessible to molecules</w:t>
      </w:r>
      <w:r>
        <w:t>”, or “</w:t>
      </w:r>
      <w:r w:rsidRPr="00662382">
        <w:rPr>
          <w:i/>
          <w:iCs/>
        </w:rPr>
        <w:t>the number of configurations or states that a system can have</w:t>
      </w:r>
      <w:r>
        <w:t>”; two other teachers propose</w:t>
      </w:r>
      <w:r w:rsidR="00834B15">
        <w:t xml:space="preserve"> broader terms:</w:t>
      </w:r>
      <w:r>
        <w:t xml:space="preserve"> “</w:t>
      </w:r>
      <w:r w:rsidRPr="00662382">
        <w:rPr>
          <w:i/>
          <w:iCs/>
        </w:rPr>
        <w:t>a measure of irreversibility</w:t>
      </w:r>
      <w:r>
        <w:t>”, and “</w:t>
      </w:r>
      <w:r w:rsidRPr="00662382">
        <w:rPr>
          <w:i/>
          <w:iCs/>
        </w:rPr>
        <w:t>a fragmentation of energy</w:t>
      </w:r>
      <w:r>
        <w:t>”.</w:t>
      </w:r>
    </w:p>
    <w:p w14:paraId="3644277E" w14:textId="24C2DC67" w:rsidR="005C59E6" w:rsidRPr="00453605" w:rsidRDefault="004B55BD" w:rsidP="004B55BD">
      <w:pPr>
        <w:pStyle w:val="Title"/>
      </w:pPr>
      <w:r w:rsidRPr="00453605">
        <w:t>Discussion</w:t>
      </w:r>
    </w:p>
    <w:p w14:paraId="6B46B067" w14:textId="6F9B23BD" w:rsidR="00934EF1" w:rsidRDefault="00934EF1" w:rsidP="00934EF1">
      <w:r w:rsidRPr="00934EF1">
        <w:t>As a respondent elegantly puts it</w:t>
      </w:r>
      <w:r w:rsidR="003C0E20">
        <w:t xml:space="preserve">, one might wonder if </w:t>
      </w:r>
      <w:r w:rsidRPr="00834B15">
        <w:rPr>
          <w:i/>
          <w:iCs/>
        </w:rPr>
        <w:t>“[thermodynamics] is harder to understand than to teach</w:t>
      </w:r>
      <w:r w:rsidR="00834B15">
        <w:t>”</w:t>
      </w:r>
      <w:r w:rsidRPr="00934EF1">
        <w:t xml:space="preserve">. </w:t>
      </w:r>
      <w:r w:rsidRPr="001F1634">
        <w:t xml:space="preserve">Our </w:t>
      </w:r>
      <w:r>
        <w:t>aim, with this study,</w:t>
      </w:r>
      <w:r w:rsidRPr="001F1634">
        <w:t xml:space="preserve"> </w:t>
      </w:r>
      <w:r>
        <w:t>has</w:t>
      </w:r>
      <w:r w:rsidR="002A2E78">
        <w:t xml:space="preserve"> </w:t>
      </w:r>
      <w:r w:rsidR="0086013D">
        <w:t xml:space="preserve">precisely </w:t>
      </w:r>
      <w:r w:rsidR="002A2E78">
        <w:t>been</w:t>
      </w:r>
      <w:r>
        <w:t xml:space="preserve"> to complete the picture of thermodynamics difficulties, which are often </w:t>
      </w:r>
      <w:r w:rsidR="00834B15">
        <w:t>studied in the literature</w:t>
      </w:r>
      <w:r>
        <w:t xml:space="preserve"> from the student’s perspective</w:t>
      </w:r>
      <w:r w:rsidR="002A2E78">
        <w:t xml:space="preserve">. To the best of our knowledge, only three peer-reviewed studies reported </w:t>
      </w:r>
      <w:r w:rsidR="00834B15">
        <w:t xml:space="preserve">some </w:t>
      </w:r>
      <w:r w:rsidR="002A2E78">
        <w:t xml:space="preserve">data from teachers’ opinions on physical chemistry or thermodynamics </w:t>
      </w:r>
      <w:r w:rsidR="002A2E78">
        <w:fldChar w:fldCharType="begin"/>
      </w:r>
      <w:r w:rsidR="00440F9D">
        <w:instrText xml:space="preserve"> ADDIN ZOTERO_ITEM CSL_CITATION {"citationID":"MnED1e69","properties":{"formattedCitation":"(Camacho et al., 2015; Fox &amp; Roehrig, 2015; S\\uc0\\u246{}zbilir, 2004)","plainCitation":"(Camacho et al., 2015; Fox &amp; Roehrig, 2015; Sözbilir, 2004)","noteIndex":0},"citationItems":[{"id":246,"uris":["http://zotero.org/users/13843693/items/8QAJIDAW"],"itemData":{"id":246,"type":"article-journal","container-title":"Revista Mexicana de Física","language":"en","page":"69-80","source":"Zotero","title":"The concept of entropy, from its origins to teachers","volume":"61","author":[{"family":"Camacho","given":"F Flores"},{"family":"Lugo","given":"N Ulloa"},{"family":"Martınez","given":"H Covarrubias"}],"issued":{"date-parts":[["2015"]]}}},{"id":665,"uris":["http://zotero.org/users/13843693/items/TTPZ8JNZ"],"itemData":{"id":665,"type":"article-journal","abstract":"A nationwide survey of the undergraduate physical chemistry course was conducted to investigate the depth and breadth of content that is covered, how content is delivered, how student understanding is assessed, and the experiences and beliefs of instructors. The survey was administered to instructors of physical chemistry (N = 331) at American Chemical Society certiﬁed colleges and universities in the United States. The majority of instructors (N = 187) provided contact information, allowing responses to be associated with their institution. The goal of this preliminary study is to provide an awareness of the current state of physical chemistry courses across the United States. Several relationships regarding the course curriculum were investigated such as depth versus breadth of course content, and goal for understanding versus types of assessment questions. Also, several relationships regarding instructor beliefs and experiences were investigated such as degree of teacher preparation experience versus course delivery, and instructor beliefs about the challenging nature of physical chemistry education versus proposed strategies to overcome those challenges. Information gained from this study may inform the development of new teaching practices, curriculum, assessments, and resources for physical chemistry education, as well as encourage instructors of physical chemistry and researches of chemical education to work together to improve student understanding of physical chemistry.","container-title":"Journal of Chemical Education","DOI":"10.1021/acs.jchemed.5b00070","ISSN":"0021-9584, 1938-1328","issue":"9","journalAbbreviation":"J. Chem. Educ.","language":"en","page":"1456-1465","source":"DOI.org (Crossref)","title":"Nationwide Survey of the Undergraduate Physical Chemistry Course","volume":"92","author":[{"family":"Fox","given":"Laura J."},{"family":"Roehrig","given":"Gillian H."}],"issued":{"date-parts":[["2015",9,8]]}}},{"id":226,"uris":["http://zotero.org/users/13843693/items/Z93FMNDW"],"itemData":{"id":226,"type":"article-journal","container-title":"Journal of Chemical Education","DOI":"10.1021/ed081p573","ISSN":"0021-9584, 1938-1328","issue":"4","journalAbbreviation":"J. Chem. Educ.","language":"en","page":"573-578","source":"DOI.org (Crossref)","title":"What Makes Physical Chemistry Difficult? Perceptions of Turkish Chemistry Undergraduates and Lecturers","title-short":"What Makes Physical Chemistry Difficult?","volume":"81","author":[{"family":"Sözbilir","given":"Mustafa"}],"issued":{"date-parts":[["2004",4]]}}}],"schema":"https://github.com/citation-style-language/schema/raw/master/csl-citation.json"} </w:instrText>
      </w:r>
      <w:r w:rsidR="002A2E78">
        <w:fldChar w:fldCharType="separate"/>
      </w:r>
      <w:r w:rsidR="002A2E78" w:rsidRPr="002A2E78">
        <w:rPr>
          <w:rFonts w:ascii="Aptos" w:hAnsi="Aptos" w:cs="Times New Roman"/>
          <w:kern w:val="0"/>
        </w:rPr>
        <w:t>(Camacho et al., 2015; Fox &amp; Roehrig, 2015; Sözbilir, 2004)</w:t>
      </w:r>
      <w:r w:rsidR="002A2E78">
        <w:fldChar w:fldCharType="end"/>
      </w:r>
      <w:r w:rsidR="002A2E78">
        <w:t>.</w:t>
      </w:r>
    </w:p>
    <w:p w14:paraId="47DF649F" w14:textId="2DE53666" w:rsidR="005F62CC" w:rsidRDefault="005F62CC" w:rsidP="00934EF1">
      <w:r w:rsidRPr="006761E6">
        <w:t xml:space="preserve">The main comparison for the present study is </w:t>
      </w:r>
      <w:proofErr w:type="spellStart"/>
      <w:r w:rsidRPr="006761E6">
        <w:t>Sözbilir’s</w:t>
      </w:r>
      <w:proofErr w:type="spellEnd"/>
      <w:r w:rsidRPr="006761E6">
        <w:t xml:space="preserve"> </w:t>
      </w:r>
      <w:r w:rsidR="00834B15">
        <w:t xml:space="preserve">article </w:t>
      </w:r>
      <w:r w:rsidRPr="006761E6">
        <w:t>(2004)</w:t>
      </w:r>
      <w:r w:rsidR="00226BBA">
        <w:t xml:space="preserve">, who interviewed two university teachers and </w:t>
      </w:r>
      <w:r w:rsidR="0088008D">
        <w:t>provided qualitative descriptions of difficulties encountered in thermodynamics teaching</w:t>
      </w:r>
      <w:r w:rsidR="00226BBA">
        <w:t xml:space="preserve">. </w:t>
      </w:r>
      <w:r w:rsidR="0088008D">
        <w:t xml:space="preserve">As part of the questionnaire of the present work, </w:t>
      </w:r>
      <w:r w:rsidR="004A00EE">
        <w:t>t</w:t>
      </w:r>
      <w:r w:rsidR="0088008D">
        <w:t>he respondents were confr</w:t>
      </w:r>
      <w:r w:rsidR="004A00EE">
        <w:t>onted with the same items (figure 4)</w:t>
      </w:r>
      <w:r w:rsidR="00C8163B" w:rsidRPr="006761E6">
        <w:t xml:space="preserve">. </w:t>
      </w:r>
      <w:proofErr w:type="spellStart"/>
      <w:r w:rsidR="004A00EE">
        <w:t>Sözbilir</w:t>
      </w:r>
      <w:proofErr w:type="spellEnd"/>
      <w:r w:rsidR="004A00EE">
        <w:t xml:space="preserve"> also performed a survey about</w:t>
      </w:r>
      <w:r w:rsidR="004A00EE" w:rsidRPr="006761E6">
        <w:t xml:space="preserve"> </w:t>
      </w:r>
      <w:r w:rsidR="004A00EE">
        <w:t xml:space="preserve">learning </w:t>
      </w:r>
      <w:r w:rsidR="004A00EE" w:rsidRPr="006761E6">
        <w:t>difficulties identified by students</w:t>
      </w:r>
      <w:r w:rsidR="004A00EE">
        <w:t>.</w:t>
      </w:r>
      <w:r w:rsidR="004A00EE" w:rsidRPr="006761E6">
        <w:t xml:space="preserve"> </w:t>
      </w:r>
      <w:r w:rsidR="00C8163B" w:rsidRPr="006761E6">
        <w:t xml:space="preserve">In table </w:t>
      </w:r>
      <w:r w:rsidR="002234A8" w:rsidRPr="006761E6">
        <w:t>1</w:t>
      </w:r>
      <w:r w:rsidR="00C8163B" w:rsidRPr="006761E6">
        <w:t xml:space="preserve">, </w:t>
      </w:r>
      <w:r w:rsidR="004A00EE">
        <w:t>the latter are</w:t>
      </w:r>
      <w:r w:rsidR="004A00EE" w:rsidRPr="006761E6">
        <w:t xml:space="preserve"> </w:t>
      </w:r>
      <w:r w:rsidR="00C8163B" w:rsidRPr="006761E6">
        <w:t xml:space="preserve">put in perspective with </w:t>
      </w:r>
      <w:r w:rsidR="004A00EE">
        <w:t xml:space="preserve">the </w:t>
      </w:r>
      <w:r w:rsidR="00C8163B" w:rsidRPr="006761E6">
        <w:t>teaching difficulties identified by our responding teachers</w:t>
      </w:r>
      <w:r w:rsidR="00834B15">
        <w:t xml:space="preserve">. </w:t>
      </w:r>
    </w:p>
    <w:p w14:paraId="24A80674" w14:textId="1BB111BB" w:rsidR="00C51038" w:rsidRDefault="00C51038" w:rsidP="00C51038">
      <w:pPr>
        <w:pStyle w:val="Caption"/>
        <w:keepNext/>
      </w:pPr>
      <w:r>
        <w:t xml:space="preserve">Table </w:t>
      </w:r>
      <w:fldSimple w:instr=" SEQ Table \* ARABIC ">
        <w:r w:rsidR="00447A96">
          <w:rPr>
            <w:noProof/>
          </w:rPr>
          <w:t>1</w:t>
        </w:r>
      </w:fldSimple>
      <w:r w:rsidR="00806958">
        <w:t xml:space="preserve">. Comparison of the opinions </w:t>
      </w:r>
      <w:r w:rsidR="00FB0386">
        <w:t>about</w:t>
      </w:r>
      <w:r w:rsidR="00FB0386" w:rsidRPr="002C70F2">
        <w:t xml:space="preserve"> </w:t>
      </w:r>
      <w:r w:rsidR="002C70F2">
        <w:t xml:space="preserve">physical chemistry </w:t>
      </w:r>
      <w:r w:rsidR="00806958">
        <w:t xml:space="preserve">difficulties of N = 91 students in </w:t>
      </w:r>
      <w:proofErr w:type="spellStart"/>
      <w:r w:rsidR="00806958">
        <w:t>Sözbilir’s</w:t>
      </w:r>
      <w:proofErr w:type="spellEnd"/>
      <w:r w:rsidR="00806958">
        <w:t xml:space="preserve"> (2004) study and the opinions of teaching difficulties</w:t>
      </w:r>
      <w:r w:rsidR="002C70F2">
        <w:t xml:space="preserve"> in thermodynamics</w:t>
      </w:r>
      <w:r w:rsidR="00806958">
        <w:t xml:space="preserve"> of our N = 28 responding teachers, for statements where </w:t>
      </w:r>
      <w:r w:rsidR="00FB0386">
        <w:lastRenderedPageBreak/>
        <w:t>substantial agreement shows up. For teachers’ opinions, the percentages encompass the “rather agree”, “agree” and “completely agree” levels of the Likert scale.</w:t>
      </w:r>
      <w:r w:rsidR="00806958">
        <w:t xml:space="preserve"> </w:t>
      </w:r>
    </w:p>
    <w:tbl>
      <w:tblPr>
        <w:tblStyle w:val="TableGrid"/>
        <w:tblW w:w="8837" w:type="dxa"/>
        <w:jc w:val="center"/>
        <w:tblLook w:val="04A0" w:firstRow="1" w:lastRow="0" w:firstColumn="1" w:lastColumn="0" w:noHBand="0" w:noVBand="1"/>
      </w:tblPr>
      <w:tblGrid>
        <w:gridCol w:w="3942"/>
        <w:gridCol w:w="499"/>
        <w:gridCol w:w="3870"/>
        <w:gridCol w:w="526"/>
      </w:tblGrid>
      <w:tr w:rsidR="00DF5876" w:rsidRPr="009E21D8" w14:paraId="7B2C088A" w14:textId="77777777" w:rsidTr="00806958">
        <w:trPr>
          <w:trHeight w:val="259"/>
          <w:jc w:val="center"/>
        </w:trPr>
        <w:tc>
          <w:tcPr>
            <w:tcW w:w="3942" w:type="dxa"/>
            <w:tcBorders>
              <w:bottom w:val="single" w:sz="4" w:space="0" w:color="auto"/>
            </w:tcBorders>
          </w:tcPr>
          <w:p w14:paraId="690F573A" w14:textId="313A4D38" w:rsidR="00DF5876" w:rsidRPr="009E21D8" w:rsidRDefault="0001641F" w:rsidP="00934EF1">
            <w:r w:rsidRPr="009E21D8">
              <w:t xml:space="preserve">According to students, learning difficulties in </w:t>
            </w:r>
            <w:r w:rsidR="00C8163B" w:rsidRPr="009E21D8">
              <w:t>physical chemistry might</w:t>
            </w:r>
            <w:r w:rsidR="007258E1">
              <w:t xml:space="preserve"> be</w:t>
            </w:r>
            <w:r w:rsidR="00C8163B" w:rsidRPr="009E21D8">
              <w:t xml:space="preserve"> caused by…</w:t>
            </w:r>
          </w:p>
        </w:tc>
        <w:tc>
          <w:tcPr>
            <w:tcW w:w="499" w:type="dxa"/>
            <w:tcBorders>
              <w:bottom w:val="single" w:sz="4" w:space="0" w:color="auto"/>
            </w:tcBorders>
          </w:tcPr>
          <w:p w14:paraId="0C924635" w14:textId="6B25BD56" w:rsidR="00DF5876" w:rsidRPr="009E21D8" w:rsidRDefault="00C8163B" w:rsidP="00934EF1">
            <w:r w:rsidRPr="009E21D8">
              <w:t>%</w:t>
            </w:r>
          </w:p>
        </w:tc>
        <w:tc>
          <w:tcPr>
            <w:tcW w:w="3870" w:type="dxa"/>
            <w:tcBorders>
              <w:bottom w:val="single" w:sz="4" w:space="0" w:color="auto"/>
            </w:tcBorders>
          </w:tcPr>
          <w:p w14:paraId="3B4CD5B7" w14:textId="77777777" w:rsidR="00DF5876" w:rsidRPr="009E21D8" w:rsidRDefault="00C8163B" w:rsidP="00934EF1">
            <w:r w:rsidRPr="009E21D8">
              <w:t>According to teachers, teaching difficulties might be attributable to…</w:t>
            </w:r>
          </w:p>
          <w:p w14:paraId="629C1593" w14:textId="7301FB76" w:rsidR="002234A8" w:rsidRPr="009E21D8" w:rsidRDefault="002234A8" w:rsidP="00934EF1"/>
        </w:tc>
        <w:tc>
          <w:tcPr>
            <w:tcW w:w="526" w:type="dxa"/>
            <w:tcBorders>
              <w:bottom w:val="single" w:sz="4" w:space="0" w:color="auto"/>
            </w:tcBorders>
          </w:tcPr>
          <w:p w14:paraId="18F49CB2" w14:textId="6E74597C" w:rsidR="00DF5876" w:rsidRPr="009E21D8" w:rsidRDefault="00C8163B" w:rsidP="00934EF1">
            <w:r w:rsidRPr="009E21D8">
              <w:t>%</w:t>
            </w:r>
          </w:p>
        </w:tc>
      </w:tr>
      <w:tr w:rsidR="00DF5876" w:rsidRPr="009E21D8" w14:paraId="750F1F15" w14:textId="77777777" w:rsidTr="00806958">
        <w:trPr>
          <w:trHeight w:val="170"/>
          <w:jc w:val="center"/>
        </w:trPr>
        <w:tc>
          <w:tcPr>
            <w:tcW w:w="3942" w:type="dxa"/>
            <w:tcBorders>
              <w:bottom w:val="nil"/>
              <w:right w:val="nil"/>
            </w:tcBorders>
          </w:tcPr>
          <w:p w14:paraId="2608CE8A" w14:textId="3A22F6F6" w:rsidR="00DF5876" w:rsidRPr="009E21D8" w:rsidRDefault="00DF5876" w:rsidP="00A4095E">
            <w:pPr>
              <w:jc w:val="left"/>
            </w:pPr>
            <w:r w:rsidRPr="009E21D8">
              <w:t>Abstract concepts</w:t>
            </w:r>
          </w:p>
        </w:tc>
        <w:tc>
          <w:tcPr>
            <w:tcW w:w="499" w:type="dxa"/>
            <w:tcBorders>
              <w:left w:val="nil"/>
              <w:bottom w:val="nil"/>
            </w:tcBorders>
          </w:tcPr>
          <w:p w14:paraId="3AE84E50" w14:textId="345FCA98" w:rsidR="00DF5876" w:rsidRPr="009E21D8" w:rsidRDefault="00DF5876" w:rsidP="00934EF1">
            <w:r w:rsidRPr="009E21D8">
              <w:t>52</w:t>
            </w:r>
          </w:p>
        </w:tc>
        <w:tc>
          <w:tcPr>
            <w:tcW w:w="3870" w:type="dxa"/>
            <w:tcBorders>
              <w:bottom w:val="nil"/>
              <w:right w:val="nil"/>
            </w:tcBorders>
          </w:tcPr>
          <w:p w14:paraId="7D112628" w14:textId="2C4C2488" w:rsidR="00DF5876" w:rsidRPr="00806958" w:rsidRDefault="00DF5876" w:rsidP="00A4095E">
            <w:pPr>
              <w:jc w:val="left"/>
              <w:rPr>
                <w:rFonts w:cs="Arial"/>
                <w:szCs w:val="22"/>
              </w:rPr>
            </w:pPr>
            <w:r w:rsidRPr="00806958">
              <w:rPr>
                <w:rFonts w:cs="Arial"/>
                <w:szCs w:val="22"/>
              </w:rPr>
              <w:t xml:space="preserve">Taught concepts too abstract </w:t>
            </w:r>
          </w:p>
        </w:tc>
        <w:tc>
          <w:tcPr>
            <w:tcW w:w="526" w:type="dxa"/>
            <w:tcBorders>
              <w:left w:val="nil"/>
              <w:bottom w:val="nil"/>
            </w:tcBorders>
          </w:tcPr>
          <w:p w14:paraId="15F1B73B" w14:textId="358B34E0" w:rsidR="00DF5876" w:rsidRPr="009E21D8" w:rsidRDefault="00DF5876" w:rsidP="00934EF1">
            <w:r w:rsidRPr="009E21D8">
              <w:t>71</w:t>
            </w:r>
          </w:p>
        </w:tc>
      </w:tr>
      <w:tr w:rsidR="00DF5876" w:rsidRPr="009E21D8" w14:paraId="25A5AE82" w14:textId="77777777" w:rsidTr="00806958">
        <w:trPr>
          <w:trHeight w:val="148"/>
          <w:jc w:val="center"/>
        </w:trPr>
        <w:tc>
          <w:tcPr>
            <w:tcW w:w="3942" w:type="dxa"/>
            <w:tcBorders>
              <w:top w:val="nil"/>
              <w:bottom w:val="nil"/>
              <w:right w:val="nil"/>
            </w:tcBorders>
          </w:tcPr>
          <w:p w14:paraId="083F313B" w14:textId="69740990" w:rsidR="00DF5876" w:rsidRPr="009E21D8" w:rsidRDefault="00DF5876" w:rsidP="00A4095E">
            <w:pPr>
              <w:jc w:val="left"/>
            </w:pPr>
            <w:r w:rsidRPr="009E21D8">
              <w:t>Overload of course content</w:t>
            </w:r>
          </w:p>
        </w:tc>
        <w:tc>
          <w:tcPr>
            <w:tcW w:w="499" w:type="dxa"/>
            <w:tcBorders>
              <w:top w:val="nil"/>
              <w:left w:val="nil"/>
              <w:bottom w:val="nil"/>
            </w:tcBorders>
          </w:tcPr>
          <w:p w14:paraId="7B506505" w14:textId="4A36368C" w:rsidR="00DF5876" w:rsidRPr="009E21D8" w:rsidRDefault="00DF5876" w:rsidP="00934EF1">
            <w:r w:rsidRPr="009E21D8">
              <w:t>41</w:t>
            </w:r>
          </w:p>
        </w:tc>
        <w:tc>
          <w:tcPr>
            <w:tcW w:w="3870" w:type="dxa"/>
            <w:tcBorders>
              <w:top w:val="nil"/>
              <w:bottom w:val="nil"/>
              <w:right w:val="nil"/>
            </w:tcBorders>
          </w:tcPr>
          <w:p w14:paraId="564060AF" w14:textId="00224788" w:rsidR="00DF5876" w:rsidRPr="00806958" w:rsidRDefault="00DF5876" w:rsidP="00A4095E">
            <w:pPr>
              <w:jc w:val="left"/>
              <w:rPr>
                <w:rFonts w:cs="Arial"/>
                <w:szCs w:val="22"/>
              </w:rPr>
            </w:pPr>
            <w:r w:rsidRPr="00806958">
              <w:rPr>
                <w:rFonts w:cs="Arial"/>
                <w:szCs w:val="22"/>
              </w:rPr>
              <w:t xml:space="preserve">Too much content to cover </w:t>
            </w:r>
          </w:p>
        </w:tc>
        <w:tc>
          <w:tcPr>
            <w:tcW w:w="526" w:type="dxa"/>
            <w:tcBorders>
              <w:top w:val="nil"/>
              <w:left w:val="nil"/>
              <w:bottom w:val="nil"/>
            </w:tcBorders>
          </w:tcPr>
          <w:p w14:paraId="7EC9FAC1" w14:textId="5497CFF8" w:rsidR="00DF5876" w:rsidRPr="009E21D8" w:rsidRDefault="00DF5876" w:rsidP="00934EF1">
            <w:r w:rsidRPr="009E21D8">
              <w:t>35</w:t>
            </w:r>
          </w:p>
        </w:tc>
      </w:tr>
      <w:tr w:rsidR="0001641F" w:rsidRPr="009E21D8" w14:paraId="471F3889" w14:textId="77777777" w:rsidTr="00806958">
        <w:trPr>
          <w:trHeight w:val="304"/>
          <w:jc w:val="center"/>
        </w:trPr>
        <w:tc>
          <w:tcPr>
            <w:tcW w:w="3942" w:type="dxa"/>
            <w:vMerge w:val="restart"/>
            <w:tcBorders>
              <w:top w:val="nil"/>
              <w:bottom w:val="nil"/>
              <w:right w:val="nil"/>
            </w:tcBorders>
          </w:tcPr>
          <w:p w14:paraId="7EE2DF6E" w14:textId="653931DF" w:rsidR="0001641F" w:rsidRPr="009E21D8" w:rsidRDefault="0001641F" w:rsidP="00A4095E">
            <w:pPr>
              <w:jc w:val="left"/>
            </w:pPr>
            <w:r w:rsidRPr="009E21D8">
              <w:t>Inconsistency between exam/lecture/lab</w:t>
            </w:r>
          </w:p>
        </w:tc>
        <w:tc>
          <w:tcPr>
            <w:tcW w:w="499" w:type="dxa"/>
            <w:tcBorders>
              <w:top w:val="nil"/>
              <w:left w:val="nil"/>
              <w:bottom w:val="nil"/>
            </w:tcBorders>
          </w:tcPr>
          <w:p w14:paraId="15A929BF" w14:textId="77777777" w:rsidR="0001641F" w:rsidRPr="009E21D8" w:rsidRDefault="0001641F" w:rsidP="00934EF1">
            <w:r w:rsidRPr="009E21D8">
              <w:t>37</w:t>
            </w:r>
          </w:p>
          <w:p w14:paraId="60A26A2F" w14:textId="1C50BC8D" w:rsidR="0001641F" w:rsidRPr="009E21D8" w:rsidRDefault="0001641F" w:rsidP="00934EF1"/>
        </w:tc>
        <w:tc>
          <w:tcPr>
            <w:tcW w:w="3870" w:type="dxa"/>
            <w:tcBorders>
              <w:top w:val="nil"/>
              <w:bottom w:val="nil"/>
              <w:right w:val="nil"/>
            </w:tcBorders>
          </w:tcPr>
          <w:p w14:paraId="51D06437" w14:textId="5AD3B803" w:rsidR="0001641F" w:rsidRPr="00806958" w:rsidRDefault="00220C1F" w:rsidP="00835A87">
            <w:pPr>
              <w:jc w:val="left"/>
              <w:rPr>
                <w:rFonts w:cs="Arial"/>
                <w:szCs w:val="22"/>
              </w:rPr>
            </w:pPr>
            <w:r w:rsidRPr="00220C1F">
              <w:rPr>
                <w:rFonts w:cs="Arial"/>
                <w:szCs w:val="22"/>
              </w:rPr>
              <w:t>Difficulty to optimise the coherence between the theoretical course, the exercises and the laboratories</w:t>
            </w:r>
          </w:p>
        </w:tc>
        <w:tc>
          <w:tcPr>
            <w:tcW w:w="526" w:type="dxa"/>
            <w:tcBorders>
              <w:top w:val="nil"/>
              <w:left w:val="nil"/>
              <w:bottom w:val="nil"/>
            </w:tcBorders>
          </w:tcPr>
          <w:p w14:paraId="42A17556" w14:textId="02478724" w:rsidR="0001641F" w:rsidRPr="009E21D8" w:rsidRDefault="0001641F" w:rsidP="00934EF1">
            <w:r w:rsidRPr="009E21D8">
              <w:t>42</w:t>
            </w:r>
          </w:p>
        </w:tc>
      </w:tr>
      <w:tr w:rsidR="0001641F" w:rsidRPr="009E21D8" w14:paraId="0BFBDDCA" w14:textId="77777777" w:rsidTr="00806958">
        <w:trPr>
          <w:trHeight w:val="326"/>
          <w:jc w:val="center"/>
        </w:trPr>
        <w:tc>
          <w:tcPr>
            <w:tcW w:w="3942" w:type="dxa"/>
            <w:vMerge/>
            <w:tcBorders>
              <w:top w:val="nil"/>
              <w:bottom w:val="nil"/>
              <w:right w:val="nil"/>
            </w:tcBorders>
          </w:tcPr>
          <w:p w14:paraId="2675677A" w14:textId="77777777" w:rsidR="0001641F" w:rsidRPr="009E21D8" w:rsidRDefault="0001641F" w:rsidP="00A4095E">
            <w:pPr>
              <w:jc w:val="left"/>
            </w:pPr>
          </w:p>
        </w:tc>
        <w:tc>
          <w:tcPr>
            <w:tcW w:w="499" w:type="dxa"/>
            <w:tcBorders>
              <w:top w:val="nil"/>
              <w:left w:val="nil"/>
              <w:bottom w:val="nil"/>
            </w:tcBorders>
          </w:tcPr>
          <w:p w14:paraId="010F8033" w14:textId="77777777" w:rsidR="0001641F" w:rsidRPr="009E21D8" w:rsidRDefault="0001641F" w:rsidP="00934EF1"/>
        </w:tc>
        <w:tc>
          <w:tcPr>
            <w:tcW w:w="3870" w:type="dxa"/>
            <w:tcBorders>
              <w:top w:val="nil"/>
              <w:bottom w:val="nil"/>
              <w:right w:val="nil"/>
            </w:tcBorders>
          </w:tcPr>
          <w:p w14:paraId="4AB5E5F0" w14:textId="264FEDB5" w:rsidR="0001641F" w:rsidRPr="00806958" w:rsidRDefault="00DA0366" w:rsidP="00A4095E">
            <w:pPr>
              <w:jc w:val="left"/>
              <w:rPr>
                <w:rFonts w:cs="Arial"/>
                <w:szCs w:val="22"/>
              </w:rPr>
            </w:pPr>
            <w:r w:rsidRPr="00DA0366">
              <w:rPr>
                <w:rFonts w:cs="Arial"/>
                <w:szCs w:val="22"/>
              </w:rPr>
              <w:t>Lack of complementary activities (laboratories, problem solving classes)</w:t>
            </w:r>
          </w:p>
        </w:tc>
        <w:tc>
          <w:tcPr>
            <w:tcW w:w="526" w:type="dxa"/>
            <w:tcBorders>
              <w:top w:val="nil"/>
              <w:left w:val="nil"/>
              <w:bottom w:val="nil"/>
            </w:tcBorders>
          </w:tcPr>
          <w:p w14:paraId="3F4317FB" w14:textId="6F4750B8" w:rsidR="0001641F" w:rsidRPr="009E21D8" w:rsidRDefault="0001641F" w:rsidP="00934EF1">
            <w:r w:rsidRPr="009E21D8">
              <w:t>36</w:t>
            </w:r>
          </w:p>
        </w:tc>
      </w:tr>
      <w:tr w:rsidR="00DF5876" w:rsidRPr="009E21D8" w14:paraId="1562DE56" w14:textId="77777777" w:rsidTr="00806958">
        <w:trPr>
          <w:trHeight w:val="288"/>
          <w:jc w:val="center"/>
        </w:trPr>
        <w:tc>
          <w:tcPr>
            <w:tcW w:w="3942" w:type="dxa"/>
            <w:tcBorders>
              <w:top w:val="nil"/>
              <w:bottom w:val="nil"/>
              <w:right w:val="nil"/>
            </w:tcBorders>
          </w:tcPr>
          <w:p w14:paraId="62608DAB" w14:textId="61B221E8" w:rsidR="00DF5876" w:rsidRPr="009E21D8" w:rsidRDefault="00DF5876" w:rsidP="00A4095E">
            <w:pPr>
              <w:jc w:val="left"/>
            </w:pPr>
            <w:r w:rsidRPr="009E21D8">
              <w:t>Physical chemistry is too mathematical</w:t>
            </w:r>
          </w:p>
        </w:tc>
        <w:tc>
          <w:tcPr>
            <w:tcW w:w="499" w:type="dxa"/>
            <w:tcBorders>
              <w:top w:val="nil"/>
              <w:left w:val="nil"/>
              <w:bottom w:val="nil"/>
            </w:tcBorders>
          </w:tcPr>
          <w:p w14:paraId="2D27CC10" w14:textId="59997D5E" w:rsidR="00DF5876" w:rsidRPr="009E21D8" w:rsidRDefault="00DF5876" w:rsidP="00934EF1">
            <w:r w:rsidRPr="009E21D8">
              <w:t>33</w:t>
            </w:r>
          </w:p>
        </w:tc>
        <w:tc>
          <w:tcPr>
            <w:tcW w:w="3870" w:type="dxa"/>
            <w:tcBorders>
              <w:top w:val="nil"/>
              <w:bottom w:val="nil"/>
              <w:right w:val="nil"/>
            </w:tcBorders>
          </w:tcPr>
          <w:p w14:paraId="6ACC4DB6" w14:textId="2D9003F9" w:rsidR="00DF5876" w:rsidRPr="00806958" w:rsidRDefault="00DF5876" w:rsidP="00A4095E">
            <w:pPr>
              <w:jc w:val="left"/>
              <w:rPr>
                <w:rFonts w:cs="Arial"/>
                <w:szCs w:val="22"/>
              </w:rPr>
            </w:pPr>
            <w:r w:rsidRPr="00806958">
              <w:rPr>
                <w:rFonts w:cs="Arial"/>
                <w:szCs w:val="22"/>
              </w:rPr>
              <w:t>Thermodynamics</w:t>
            </w:r>
            <w:r w:rsidR="007900E9">
              <w:rPr>
                <w:rFonts w:cs="Arial"/>
                <w:szCs w:val="22"/>
              </w:rPr>
              <w:t xml:space="preserve"> is</w:t>
            </w:r>
            <w:r w:rsidRPr="00806958">
              <w:rPr>
                <w:rFonts w:cs="Arial"/>
                <w:szCs w:val="22"/>
              </w:rPr>
              <w:t xml:space="preserve"> too mathematical</w:t>
            </w:r>
          </w:p>
        </w:tc>
        <w:tc>
          <w:tcPr>
            <w:tcW w:w="526" w:type="dxa"/>
            <w:tcBorders>
              <w:top w:val="nil"/>
              <w:left w:val="nil"/>
              <w:bottom w:val="nil"/>
            </w:tcBorders>
          </w:tcPr>
          <w:p w14:paraId="3ACE3F65" w14:textId="311656D7" w:rsidR="00DF5876" w:rsidRPr="009E21D8" w:rsidRDefault="00DF5876" w:rsidP="00934EF1">
            <w:r w:rsidRPr="009E21D8">
              <w:t>50</w:t>
            </w:r>
          </w:p>
        </w:tc>
      </w:tr>
      <w:tr w:rsidR="00DF5876" w:rsidRPr="009E21D8" w14:paraId="20C8DBD6" w14:textId="77777777" w:rsidTr="00806958">
        <w:trPr>
          <w:trHeight w:val="70"/>
          <w:jc w:val="center"/>
        </w:trPr>
        <w:tc>
          <w:tcPr>
            <w:tcW w:w="3942" w:type="dxa"/>
            <w:tcBorders>
              <w:top w:val="nil"/>
              <w:bottom w:val="nil"/>
              <w:right w:val="nil"/>
            </w:tcBorders>
          </w:tcPr>
          <w:p w14:paraId="764DBC30" w14:textId="6D7DE968" w:rsidR="00DF5876" w:rsidRPr="009E21D8" w:rsidRDefault="00DF5876" w:rsidP="00A4095E">
            <w:pPr>
              <w:jc w:val="left"/>
            </w:pPr>
            <w:r w:rsidRPr="009E21D8">
              <w:t>Lack of resources</w:t>
            </w:r>
          </w:p>
        </w:tc>
        <w:tc>
          <w:tcPr>
            <w:tcW w:w="499" w:type="dxa"/>
            <w:tcBorders>
              <w:top w:val="nil"/>
              <w:left w:val="nil"/>
              <w:bottom w:val="nil"/>
            </w:tcBorders>
          </w:tcPr>
          <w:p w14:paraId="1F39728E" w14:textId="5B22D21C" w:rsidR="00DF5876" w:rsidRPr="009E21D8" w:rsidRDefault="00DF5876" w:rsidP="00934EF1">
            <w:r w:rsidRPr="009E21D8">
              <w:t>22</w:t>
            </w:r>
          </w:p>
        </w:tc>
        <w:tc>
          <w:tcPr>
            <w:tcW w:w="3870" w:type="dxa"/>
            <w:tcBorders>
              <w:top w:val="nil"/>
              <w:bottom w:val="nil"/>
              <w:right w:val="nil"/>
            </w:tcBorders>
          </w:tcPr>
          <w:p w14:paraId="79EC6176" w14:textId="4EB8C3F4" w:rsidR="00DF5876" w:rsidRPr="00806958" w:rsidRDefault="00DF5876" w:rsidP="00A4095E">
            <w:pPr>
              <w:jc w:val="left"/>
              <w:rPr>
                <w:rFonts w:cs="Arial"/>
                <w:szCs w:val="22"/>
              </w:rPr>
            </w:pPr>
            <w:r w:rsidRPr="00806958">
              <w:rPr>
                <w:rFonts w:cs="Arial"/>
                <w:szCs w:val="22"/>
              </w:rPr>
              <w:t>Teacher</w:t>
            </w:r>
            <w:r w:rsidR="007900E9">
              <w:rPr>
                <w:rFonts w:cs="Arial"/>
                <w:szCs w:val="22"/>
              </w:rPr>
              <w:t>s</w:t>
            </w:r>
            <w:r w:rsidRPr="00806958">
              <w:rPr>
                <w:rFonts w:cs="Arial"/>
                <w:szCs w:val="22"/>
              </w:rPr>
              <w:t xml:space="preserve"> lack material resource</w:t>
            </w:r>
            <w:r w:rsidR="00C8163B" w:rsidRPr="00806958">
              <w:rPr>
                <w:rFonts w:cs="Arial"/>
                <w:szCs w:val="22"/>
              </w:rPr>
              <w:t>s</w:t>
            </w:r>
          </w:p>
        </w:tc>
        <w:tc>
          <w:tcPr>
            <w:tcW w:w="526" w:type="dxa"/>
            <w:tcBorders>
              <w:top w:val="nil"/>
              <w:left w:val="nil"/>
              <w:bottom w:val="nil"/>
            </w:tcBorders>
          </w:tcPr>
          <w:p w14:paraId="7C63EEB0" w14:textId="27D4278A" w:rsidR="00DF5876" w:rsidRPr="009E21D8" w:rsidRDefault="00DF5876" w:rsidP="00934EF1">
            <w:r w:rsidRPr="009E21D8">
              <w:t>27</w:t>
            </w:r>
          </w:p>
        </w:tc>
      </w:tr>
      <w:tr w:rsidR="006761E6" w:rsidRPr="009E21D8" w14:paraId="1DE00883" w14:textId="77777777" w:rsidTr="00806958">
        <w:trPr>
          <w:trHeight w:val="70"/>
          <w:jc w:val="center"/>
        </w:trPr>
        <w:tc>
          <w:tcPr>
            <w:tcW w:w="3942" w:type="dxa"/>
            <w:tcBorders>
              <w:top w:val="nil"/>
              <w:right w:val="nil"/>
            </w:tcBorders>
            <w:shd w:val="clear" w:color="auto" w:fill="FFFFFF" w:themeFill="background1"/>
          </w:tcPr>
          <w:p w14:paraId="6CABFBC6" w14:textId="214241A2" w:rsidR="00DF5876" w:rsidRPr="009E21D8" w:rsidRDefault="007258E1" w:rsidP="00FB0386">
            <w:pPr>
              <w:jc w:val="left"/>
            </w:pPr>
            <w:r>
              <w:t>Absence of</w:t>
            </w:r>
            <w:r w:rsidRPr="009E21D8">
              <w:t xml:space="preserve"> </w:t>
            </w:r>
            <w:r w:rsidR="00DF5876" w:rsidRPr="009E21D8">
              <w:t>motivation</w:t>
            </w:r>
          </w:p>
        </w:tc>
        <w:tc>
          <w:tcPr>
            <w:tcW w:w="499" w:type="dxa"/>
            <w:tcBorders>
              <w:top w:val="nil"/>
              <w:left w:val="nil"/>
            </w:tcBorders>
            <w:shd w:val="clear" w:color="auto" w:fill="FFFFFF" w:themeFill="background1"/>
          </w:tcPr>
          <w:p w14:paraId="1CE6DF55" w14:textId="5304628D" w:rsidR="00DF5876" w:rsidRPr="009E21D8" w:rsidRDefault="00DF5876" w:rsidP="00934EF1">
            <w:r w:rsidRPr="009E21D8">
              <w:t>37</w:t>
            </w:r>
          </w:p>
        </w:tc>
        <w:tc>
          <w:tcPr>
            <w:tcW w:w="3870" w:type="dxa"/>
            <w:tcBorders>
              <w:top w:val="nil"/>
              <w:right w:val="nil"/>
            </w:tcBorders>
            <w:shd w:val="clear" w:color="auto" w:fill="FFFFFF" w:themeFill="background1"/>
          </w:tcPr>
          <w:p w14:paraId="601271DB" w14:textId="7B83993A" w:rsidR="00DF5876" w:rsidRPr="00806958" w:rsidRDefault="007900E9" w:rsidP="00A4095E">
            <w:pPr>
              <w:jc w:val="left"/>
              <w:rPr>
                <w:szCs w:val="22"/>
              </w:rPr>
            </w:pPr>
            <w:r>
              <w:rPr>
                <w:szCs w:val="22"/>
              </w:rPr>
              <w:t>Absence of motivation of the students</w:t>
            </w:r>
            <w:r w:rsidR="00DF5876" w:rsidRPr="00806958">
              <w:rPr>
                <w:szCs w:val="22"/>
              </w:rPr>
              <w:t xml:space="preserve"> </w:t>
            </w:r>
          </w:p>
        </w:tc>
        <w:tc>
          <w:tcPr>
            <w:tcW w:w="526" w:type="dxa"/>
            <w:tcBorders>
              <w:top w:val="nil"/>
              <w:left w:val="nil"/>
            </w:tcBorders>
            <w:shd w:val="clear" w:color="auto" w:fill="FFFFFF" w:themeFill="background1"/>
          </w:tcPr>
          <w:p w14:paraId="3EA6BE51" w14:textId="1D9C1B07" w:rsidR="00DF5876" w:rsidRPr="009E21D8" w:rsidRDefault="00DF5876" w:rsidP="00934EF1">
            <w:r w:rsidRPr="009E21D8">
              <w:t>35</w:t>
            </w:r>
          </w:p>
        </w:tc>
      </w:tr>
    </w:tbl>
    <w:p w14:paraId="0B61CBE7" w14:textId="77777777" w:rsidR="009E21D8" w:rsidRPr="009E21D8" w:rsidRDefault="009E21D8" w:rsidP="00934EF1"/>
    <w:p w14:paraId="18D4660C" w14:textId="77777777" w:rsidR="009E21D8" w:rsidRPr="009E21D8" w:rsidRDefault="009E21D8" w:rsidP="00934EF1"/>
    <w:p w14:paraId="5B9D4AAB" w14:textId="673621BF" w:rsidR="00447A96" w:rsidRDefault="00447A96" w:rsidP="00447A96">
      <w:pPr>
        <w:pStyle w:val="Caption"/>
        <w:keepNext/>
      </w:pPr>
      <w:r>
        <w:t xml:space="preserve">Table </w:t>
      </w:r>
      <w:fldSimple w:instr=" SEQ Table \* ARABIC ">
        <w:r>
          <w:rPr>
            <w:noProof/>
          </w:rPr>
          <w:t>2</w:t>
        </w:r>
      </w:fldSimple>
      <w:r w:rsidR="00806958">
        <w:t xml:space="preserve">. Comparison of </w:t>
      </w:r>
      <w:r w:rsidR="00FB0386">
        <w:t>possible improvement</w:t>
      </w:r>
      <w:r w:rsidR="00CE4B45">
        <w:t xml:space="preserve"> strategies</w:t>
      </w:r>
      <w:r w:rsidR="00FB0386">
        <w:t xml:space="preserve"> </w:t>
      </w:r>
      <w:r w:rsidR="00CE4B45">
        <w:t>of</w:t>
      </w:r>
      <w:r w:rsidR="002C70F2">
        <w:t xml:space="preserve"> physical chemistry</w:t>
      </w:r>
      <w:r w:rsidR="00CE4B45">
        <w:t xml:space="preserve"> teaching, as assessed</w:t>
      </w:r>
      <w:r w:rsidR="00806958">
        <w:t xml:space="preserve"> </w:t>
      </w:r>
      <w:r w:rsidR="00CE4B45">
        <w:t xml:space="preserve">by </w:t>
      </w:r>
      <w:r w:rsidR="00806958">
        <w:t xml:space="preserve">N = 91 students in </w:t>
      </w:r>
      <w:proofErr w:type="spellStart"/>
      <w:r w:rsidR="00806958">
        <w:t>Sözbilir’s</w:t>
      </w:r>
      <w:proofErr w:type="spellEnd"/>
      <w:r w:rsidR="00806958">
        <w:t xml:space="preserve"> (2004) study and the opinions </w:t>
      </w:r>
      <w:r w:rsidR="00CE4B45">
        <w:t xml:space="preserve">on </w:t>
      </w:r>
      <w:r w:rsidR="00806958">
        <w:t>teaching difficulties</w:t>
      </w:r>
      <w:r w:rsidR="002C70F2">
        <w:t xml:space="preserve"> in thermodynamics</w:t>
      </w:r>
      <w:r w:rsidR="00806958">
        <w:t xml:space="preserve"> of our N = 28 responding teachers, for statements where </w:t>
      </w:r>
      <w:r w:rsidR="00CE4B45">
        <w:t xml:space="preserve">students and teachers </w:t>
      </w:r>
      <w:r w:rsidR="00806958">
        <w:t>rather disagree.</w:t>
      </w:r>
      <w:r w:rsidR="00FB0386">
        <w:t xml:space="preserve"> For teachers’ opinions, the percentages encompass the “rather agree”, “agree” and “completely agree” levels of the Likert scale.</w:t>
      </w:r>
    </w:p>
    <w:tbl>
      <w:tblPr>
        <w:tblStyle w:val="TableGrid"/>
        <w:tblW w:w="8837" w:type="dxa"/>
        <w:jc w:val="center"/>
        <w:tblLook w:val="04A0" w:firstRow="1" w:lastRow="0" w:firstColumn="1" w:lastColumn="0" w:noHBand="0" w:noVBand="1"/>
      </w:tblPr>
      <w:tblGrid>
        <w:gridCol w:w="3942"/>
        <w:gridCol w:w="499"/>
        <w:gridCol w:w="3870"/>
        <w:gridCol w:w="526"/>
      </w:tblGrid>
      <w:tr w:rsidR="009E21D8" w:rsidRPr="009E21D8" w14:paraId="05272DEF" w14:textId="77777777" w:rsidTr="00806958">
        <w:trPr>
          <w:trHeight w:val="259"/>
          <w:jc w:val="center"/>
        </w:trPr>
        <w:tc>
          <w:tcPr>
            <w:tcW w:w="3942" w:type="dxa"/>
            <w:tcBorders>
              <w:bottom w:val="single" w:sz="4" w:space="0" w:color="auto"/>
            </w:tcBorders>
          </w:tcPr>
          <w:p w14:paraId="5FBC8925" w14:textId="485997D3" w:rsidR="009E21D8" w:rsidRPr="009E21D8" w:rsidRDefault="009E21D8" w:rsidP="00434B44">
            <w:r w:rsidRPr="009E21D8">
              <w:t>According to students, learning difficulties in physical chemistry might be solved by…</w:t>
            </w:r>
          </w:p>
        </w:tc>
        <w:tc>
          <w:tcPr>
            <w:tcW w:w="499" w:type="dxa"/>
            <w:tcBorders>
              <w:bottom w:val="single" w:sz="4" w:space="0" w:color="auto"/>
            </w:tcBorders>
          </w:tcPr>
          <w:p w14:paraId="5EE63C09" w14:textId="77777777" w:rsidR="009E21D8" w:rsidRPr="009E21D8" w:rsidRDefault="009E21D8" w:rsidP="00434B44">
            <w:r w:rsidRPr="009E21D8">
              <w:t>%</w:t>
            </w:r>
          </w:p>
        </w:tc>
        <w:tc>
          <w:tcPr>
            <w:tcW w:w="3870" w:type="dxa"/>
            <w:tcBorders>
              <w:bottom w:val="single" w:sz="4" w:space="0" w:color="auto"/>
            </w:tcBorders>
          </w:tcPr>
          <w:p w14:paraId="419A1F2E" w14:textId="77777777" w:rsidR="009E21D8" w:rsidRPr="009E21D8" w:rsidRDefault="009E21D8" w:rsidP="00434B44">
            <w:r w:rsidRPr="009E21D8">
              <w:t>According to teachers, teaching difficulties might be attributable to…</w:t>
            </w:r>
          </w:p>
          <w:p w14:paraId="50AAEF7E" w14:textId="22B99639" w:rsidR="009E21D8" w:rsidRPr="009E21D8" w:rsidRDefault="009E21D8" w:rsidP="00434B44"/>
        </w:tc>
        <w:tc>
          <w:tcPr>
            <w:tcW w:w="526" w:type="dxa"/>
            <w:tcBorders>
              <w:bottom w:val="single" w:sz="4" w:space="0" w:color="auto"/>
            </w:tcBorders>
          </w:tcPr>
          <w:p w14:paraId="48B28F10" w14:textId="77777777" w:rsidR="009E21D8" w:rsidRPr="009E21D8" w:rsidRDefault="009E21D8" w:rsidP="00434B44">
            <w:r w:rsidRPr="009E21D8">
              <w:t>%</w:t>
            </w:r>
          </w:p>
        </w:tc>
      </w:tr>
      <w:tr w:rsidR="009E21D8" w:rsidRPr="009E21D8" w14:paraId="40CCB29E" w14:textId="77777777" w:rsidTr="00806958">
        <w:trPr>
          <w:trHeight w:val="198"/>
          <w:jc w:val="center"/>
        </w:trPr>
        <w:tc>
          <w:tcPr>
            <w:tcW w:w="3942" w:type="dxa"/>
            <w:tcBorders>
              <w:bottom w:val="nil"/>
              <w:right w:val="nil"/>
            </w:tcBorders>
          </w:tcPr>
          <w:p w14:paraId="0522DA06" w14:textId="49B74E74" w:rsidR="009E21D8" w:rsidRPr="009E21D8" w:rsidRDefault="009E21D8" w:rsidP="00434B44">
            <w:r w:rsidRPr="009E21D8">
              <w:t xml:space="preserve">Promoting conceptual understanding </w:t>
            </w:r>
          </w:p>
        </w:tc>
        <w:tc>
          <w:tcPr>
            <w:tcW w:w="499" w:type="dxa"/>
            <w:tcBorders>
              <w:left w:val="nil"/>
              <w:bottom w:val="nil"/>
            </w:tcBorders>
          </w:tcPr>
          <w:p w14:paraId="2512C48A" w14:textId="5B83040F" w:rsidR="009E21D8" w:rsidRPr="009E21D8" w:rsidRDefault="009E21D8" w:rsidP="00434B44">
            <w:r w:rsidRPr="009E21D8">
              <w:t>19</w:t>
            </w:r>
          </w:p>
        </w:tc>
        <w:tc>
          <w:tcPr>
            <w:tcW w:w="3870" w:type="dxa"/>
            <w:tcBorders>
              <w:bottom w:val="nil"/>
              <w:right w:val="nil"/>
            </w:tcBorders>
          </w:tcPr>
          <w:p w14:paraId="5C0AA9FD" w14:textId="77777777" w:rsidR="009E21D8" w:rsidRPr="00806958" w:rsidRDefault="009E21D8" w:rsidP="00434B44">
            <w:pPr>
              <w:rPr>
                <w:rFonts w:cs="Arial"/>
                <w:szCs w:val="22"/>
              </w:rPr>
            </w:pPr>
            <w:r w:rsidRPr="00806958">
              <w:rPr>
                <w:rFonts w:cs="Arial"/>
                <w:szCs w:val="22"/>
              </w:rPr>
              <w:t xml:space="preserve">Students looking for shortcuts </w:t>
            </w:r>
          </w:p>
        </w:tc>
        <w:tc>
          <w:tcPr>
            <w:tcW w:w="526" w:type="dxa"/>
            <w:tcBorders>
              <w:left w:val="nil"/>
              <w:bottom w:val="nil"/>
            </w:tcBorders>
          </w:tcPr>
          <w:p w14:paraId="2028302B" w14:textId="77777777" w:rsidR="009E21D8" w:rsidRPr="009E21D8" w:rsidRDefault="009E21D8" w:rsidP="00434B44">
            <w:r w:rsidRPr="009E21D8">
              <w:t>72</w:t>
            </w:r>
          </w:p>
        </w:tc>
      </w:tr>
      <w:tr w:rsidR="009E21D8" w:rsidRPr="009E21D8" w14:paraId="49D6640C" w14:textId="77777777" w:rsidTr="00806958">
        <w:trPr>
          <w:trHeight w:val="70"/>
          <w:jc w:val="center"/>
        </w:trPr>
        <w:tc>
          <w:tcPr>
            <w:tcW w:w="3942" w:type="dxa"/>
            <w:tcBorders>
              <w:top w:val="nil"/>
              <w:bottom w:val="nil"/>
              <w:right w:val="nil"/>
            </w:tcBorders>
          </w:tcPr>
          <w:p w14:paraId="11C06D7A" w14:textId="6FBC69C2" w:rsidR="009E21D8" w:rsidRPr="009E21D8" w:rsidRDefault="009E21D8" w:rsidP="00434B44">
            <w:r w:rsidRPr="009E21D8">
              <w:t>Linking contents to daily life</w:t>
            </w:r>
          </w:p>
        </w:tc>
        <w:tc>
          <w:tcPr>
            <w:tcW w:w="499" w:type="dxa"/>
            <w:tcBorders>
              <w:top w:val="nil"/>
              <w:left w:val="nil"/>
              <w:bottom w:val="nil"/>
            </w:tcBorders>
          </w:tcPr>
          <w:p w14:paraId="1E34A6B5" w14:textId="6DE1F7F9" w:rsidR="009E21D8" w:rsidRPr="009E21D8" w:rsidRDefault="009E21D8" w:rsidP="00434B44">
            <w:r w:rsidRPr="009E21D8">
              <w:t>56</w:t>
            </w:r>
          </w:p>
        </w:tc>
        <w:tc>
          <w:tcPr>
            <w:tcW w:w="3870" w:type="dxa"/>
            <w:tcBorders>
              <w:top w:val="nil"/>
              <w:bottom w:val="nil"/>
              <w:right w:val="nil"/>
            </w:tcBorders>
          </w:tcPr>
          <w:p w14:paraId="64EC28DF" w14:textId="77777777" w:rsidR="009E21D8" w:rsidRPr="00806958" w:rsidRDefault="009E21D8" w:rsidP="00434B44">
            <w:pPr>
              <w:rPr>
                <w:rFonts w:cs="Arial"/>
                <w:szCs w:val="22"/>
              </w:rPr>
            </w:pPr>
            <w:r w:rsidRPr="00806958">
              <w:rPr>
                <w:rFonts w:cs="Arial"/>
                <w:szCs w:val="22"/>
              </w:rPr>
              <w:t>Hard to make links with everyday life</w:t>
            </w:r>
          </w:p>
        </w:tc>
        <w:tc>
          <w:tcPr>
            <w:tcW w:w="526" w:type="dxa"/>
            <w:tcBorders>
              <w:top w:val="nil"/>
              <w:left w:val="nil"/>
              <w:bottom w:val="nil"/>
            </w:tcBorders>
          </w:tcPr>
          <w:p w14:paraId="52E8D8EA" w14:textId="77777777" w:rsidR="009E21D8" w:rsidRPr="009E21D8" w:rsidRDefault="009E21D8" w:rsidP="00434B44">
            <w:r w:rsidRPr="009E21D8">
              <w:t>48</w:t>
            </w:r>
          </w:p>
        </w:tc>
      </w:tr>
      <w:tr w:rsidR="009E21D8" w:rsidRPr="009E21D8" w14:paraId="6BBFB137" w14:textId="77777777" w:rsidTr="00806958">
        <w:trPr>
          <w:trHeight w:val="693"/>
          <w:jc w:val="center"/>
        </w:trPr>
        <w:tc>
          <w:tcPr>
            <w:tcW w:w="3942" w:type="dxa"/>
            <w:tcBorders>
              <w:top w:val="nil"/>
              <w:bottom w:val="nil"/>
              <w:right w:val="nil"/>
            </w:tcBorders>
          </w:tcPr>
          <w:p w14:paraId="0A1C01E9" w14:textId="5D2FF89E" w:rsidR="009E21D8" w:rsidRPr="009E21D8" w:rsidRDefault="009E21D8" w:rsidP="00434B44">
            <w:r w:rsidRPr="009E21D8">
              <w:t>Taking students’ background into account</w:t>
            </w:r>
          </w:p>
        </w:tc>
        <w:tc>
          <w:tcPr>
            <w:tcW w:w="499" w:type="dxa"/>
            <w:tcBorders>
              <w:top w:val="nil"/>
              <w:left w:val="nil"/>
              <w:bottom w:val="nil"/>
            </w:tcBorders>
          </w:tcPr>
          <w:p w14:paraId="6F820F0C" w14:textId="003DB7CD" w:rsidR="009E21D8" w:rsidRPr="009E21D8" w:rsidRDefault="009E21D8" w:rsidP="00434B44">
            <w:r w:rsidRPr="009E21D8">
              <w:t>11</w:t>
            </w:r>
          </w:p>
        </w:tc>
        <w:tc>
          <w:tcPr>
            <w:tcW w:w="3870" w:type="dxa"/>
            <w:tcBorders>
              <w:top w:val="nil"/>
              <w:bottom w:val="nil"/>
              <w:right w:val="nil"/>
            </w:tcBorders>
          </w:tcPr>
          <w:p w14:paraId="6B884388" w14:textId="77777777" w:rsidR="009E21D8" w:rsidRPr="00806958" w:rsidRDefault="009E21D8" w:rsidP="00434B44">
            <w:pPr>
              <w:rPr>
                <w:rFonts w:cs="Arial"/>
                <w:szCs w:val="22"/>
              </w:rPr>
            </w:pPr>
            <w:r w:rsidRPr="00806958">
              <w:rPr>
                <w:rFonts w:cs="Arial"/>
                <w:szCs w:val="22"/>
              </w:rPr>
              <w:t>Students lack prerequisites</w:t>
            </w:r>
          </w:p>
        </w:tc>
        <w:tc>
          <w:tcPr>
            <w:tcW w:w="526" w:type="dxa"/>
            <w:tcBorders>
              <w:top w:val="nil"/>
              <w:left w:val="nil"/>
              <w:bottom w:val="nil"/>
            </w:tcBorders>
          </w:tcPr>
          <w:p w14:paraId="6593A221" w14:textId="77777777" w:rsidR="009E21D8" w:rsidRPr="009E21D8" w:rsidRDefault="009E21D8" w:rsidP="00434B44">
            <w:r w:rsidRPr="009E21D8">
              <w:t>68</w:t>
            </w:r>
          </w:p>
        </w:tc>
      </w:tr>
      <w:tr w:rsidR="009E21D8" w14:paraId="68F88474" w14:textId="77777777" w:rsidTr="00806958">
        <w:trPr>
          <w:trHeight w:val="70"/>
          <w:jc w:val="center"/>
        </w:trPr>
        <w:tc>
          <w:tcPr>
            <w:tcW w:w="3942" w:type="dxa"/>
            <w:tcBorders>
              <w:top w:val="nil"/>
              <w:right w:val="nil"/>
            </w:tcBorders>
            <w:shd w:val="clear" w:color="auto" w:fill="FFFFFF" w:themeFill="background1"/>
          </w:tcPr>
          <w:p w14:paraId="33FE7408" w14:textId="750A3258" w:rsidR="009E21D8" w:rsidRPr="009E21D8" w:rsidRDefault="009E21D8" w:rsidP="00434B44">
            <w:r w:rsidRPr="009E21D8">
              <w:t>Promoting group work and discussions</w:t>
            </w:r>
          </w:p>
        </w:tc>
        <w:tc>
          <w:tcPr>
            <w:tcW w:w="499" w:type="dxa"/>
            <w:tcBorders>
              <w:top w:val="nil"/>
              <w:left w:val="nil"/>
            </w:tcBorders>
            <w:shd w:val="clear" w:color="auto" w:fill="FFFFFF" w:themeFill="background1"/>
          </w:tcPr>
          <w:p w14:paraId="43B623DC" w14:textId="6AF90EDF" w:rsidR="009E21D8" w:rsidRPr="009E21D8" w:rsidRDefault="009E21D8" w:rsidP="00434B44">
            <w:r>
              <w:t>48</w:t>
            </w:r>
          </w:p>
        </w:tc>
        <w:tc>
          <w:tcPr>
            <w:tcW w:w="3870" w:type="dxa"/>
            <w:tcBorders>
              <w:top w:val="nil"/>
              <w:right w:val="nil"/>
            </w:tcBorders>
            <w:shd w:val="clear" w:color="auto" w:fill="FFFFFF" w:themeFill="background1"/>
          </w:tcPr>
          <w:p w14:paraId="3D8A774E" w14:textId="77777777" w:rsidR="009E21D8" w:rsidRPr="00806958" w:rsidRDefault="009E21D8" w:rsidP="00434B44">
            <w:pPr>
              <w:rPr>
                <w:rFonts w:cs="Arial"/>
                <w:szCs w:val="22"/>
              </w:rPr>
            </w:pPr>
            <w:r w:rsidRPr="00806958">
              <w:rPr>
                <w:rFonts w:cs="Arial"/>
                <w:szCs w:val="22"/>
              </w:rPr>
              <w:t>Lecture format hinders teaching</w:t>
            </w:r>
          </w:p>
        </w:tc>
        <w:tc>
          <w:tcPr>
            <w:tcW w:w="526" w:type="dxa"/>
            <w:tcBorders>
              <w:top w:val="nil"/>
              <w:left w:val="nil"/>
            </w:tcBorders>
            <w:shd w:val="clear" w:color="auto" w:fill="FFFFFF" w:themeFill="background1"/>
          </w:tcPr>
          <w:p w14:paraId="040FB0A6" w14:textId="77777777" w:rsidR="009E21D8" w:rsidRPr="009E21D8" w:rsidRDefault="009E21D8" w:rsidP="00434B44">
            <w:r w:rsidRPr="009E21D8">
              <w:t>17</w:t>
            </w:r>
          </w:p>
        </w:tc>
      </w:tr>
    </w:tbl>
    <w:p w14:paraId="4AB6BEA4" w14:textId="77777777" w:rsidR="009E21D8" w:rsidRDefault="009E21D8" w:rsidP="00934EF1"/>
    <w:p w14:paraId="2E126FA8" w14:textId="736F3D3C" w:rsidR="009E21D8" w:rsidRDefault="002234A8" w:rsidP="00934EF1">
      <w:r>
        <w:t xml:space="preserve">Students (for physical chemistry) and teachers (for thermodynamics) agree that difficulties lie </w:t>
      </w:r>
      <w:r w:rsidR="002C70F2">
        <w:t>in</w:t>
      </w:r>
      <w:r>
        <w:t xml:space="preserve"> the abstractness of concepts, the </w:t>
      </w:r>
      <w:r w:rsidR="00CE4B45">
        <w:t>cognitive load linked to the broad content coverage</w:t>
      </w:r>
      <w:r>
        <w:t xml:space="preserve">, the </w:t>
      </w:r>
      <w:r w:rsidR="00CE4B45">
        <w:t xml:space="preserve">need for </w:t>
      </w:r>
      <w:r>
        <w:t>optimization of different teaching</w:t>
      </w:r>
      <w:r w:rsidR="00CE4B45">
        <w:t xml:space="preserve"> activities</w:t>
      </w:r>
      <w:r>
        <w:t xml:space="preserve"> (lab</w:t>
      </w:r>
      <w:r w:rsidR="002C70F2">
        <w:t>oratorie</w:t>
      </w:r>
      <w:r>
        <w:t xml:space="preserve">s, exercises), </w:t>
      </w:r>
      <w:r w:rsidR="00CE4B45">
        <w:t>the</w:t>
      </w:r>
      <w:r>
        <w:t xml:space="preserve"> lack motivation for the course</w:t>
      </w:r>
      <w:r w:rsidR="00CE4B45">
        <w:t xml:space="preserve"> </w:t>
      </w:r>
      <w:r>
        <w:t xml:space="preserve">and the exam, </w:t>
      </w:r>
      <w:r w:rsidR="002F4CF8">
        <w:t xml:space="preserve">that students have diverse backgrounds that can lack some prerequisites, </w:t>
      </w:r>
      <w:r>
        <w:t xml:space="preserve">and, to a lesser extent, the lack of material resources. </w:t>
      </w:r>
    </w:p>
    <w:p w14:paraId="37EF259D" w14:textId="4F771F48" w:rsidR="00C8163B" w:rsidRDefault="009E21D8" w:rsidP="00934EF1">
      <w:r>
        <w:t xml:space="preserve">In table 2, </w:t>
      </w:r>
      <w:r w:rsidR="002F4CF8">
        <w:t xml:space="preserve">three </w:t>
      </w:r>
      <w:r w:rsidR="002234A8">
        <w:t>tensions</w:t>
      </w:r>
      <w:r w:rsidR="00CE4B45">
        <w:t xml:space="preserve"> between students’ and teachers’ perceptions</w:t>
      </w:r>
      <w:r w:rsidR="002234A8">
        <w:t xml:space="preserve"> </w:t>
      </w:r>
      <w:r w:rsidR="002C70F2">
        <w:t>are made apparent</w:t>
      </w:r>
      <w:r w:rsidR="002234A8">
        <w:t>:</w:t>
      </w:r>
    </w:p>
    <w:p w14:paraId="6D850612" w14:textId="6DB1167C" w:rsidR="002234A8" w:rsidRDefault="006761E6" w:rsidP="002234A8">
      <w:pPr>
        <w:pStyle w:val="ListParagraph"/>
        <w:numPr>
          <w:ilvl w:val="0"/>
          <w:numId w:val="7"/>
        </w:numPr>
      </w:pPr>
      <w:r>
        <w:t xml:space="preserve">Students ask for </w:t>
      </w:r>
      <w:r w:rsidR="00CE4B45">
        <w:t xml:space="preserve">a better promotion of </w:t>
      </w:r>
      <w:r>
        <w:t>conceptual understanding, but</w:t>
      </w:r>
      <w:r w:rsidR="00CE4B45">
        <w:t xml:space="preserve">, on the contrary, </w:t>
      </w:r>
      <w:r>
        <w:t xml:space="preserve">teachers feel </w:t>
      </w:r>
      <w:r w:rsidR="00CE4B45">
        <w:t xml:space="preserve">that </w:t>
      </w:r>
      <w:r>
        <w:t>students</w:t>
      </w:r>
      <w:r w:rsidR="00CE4B45">
        <w:t xml:space="preserve"> favour “tips and tricks”, </w:t>
      </w:r>
      <w:r w:rsidR="00D3414C">
        <w:t xml:space="preserve">that is, </w:t>
      </w:r>
      <w:r w:rsidR="00CE4B45">
        <w:t>shortcuts to complex problems</w:t>
      </w:r>
      <w:r w:rsidR="00D3414C">
        <w:t>,</w:t>
      </w:r>
      <w:r>
        <w:t xml:space="preserve"> </w:t>
      </w:r>
      <w:r w:rsidR="00D3414C">
        <w:t>in lieu of concept deepening.</w:t>
      </w:r>
    </w:p>
    <w:p w14:paraId="61EC6BD6" w14:textId="6DE87D65" w:rsidR="002234A8" w:rsidRDefault="009E21D8" w:rsidP="002234A8">
      <w:pPr>
        <w:pStyle w:val="ListParagraph"/>
        <w:numPr>
          <w:ilvl w:val="0"/>
          <w:numId w:val="7"/>
        </w:numPr>
      </w:pPr>
      <w:r>
        <w:t>Students demand more links with everyday life, but</w:t>
      </w:r>
      <w:r w:rsidR="006761E6">
        <w:t xml:space="preserve"> almost half of re</w:t>
      </w:r>
      <w:r w:rsidR="002C70F2">
        <w:t>s</w:t>
      </w:r>
      <w:r w:rsidR="006761E6">
        <w:t>pondent</w:t>
      </w:r>
      <w:r>
        <w:t xml:space="preserve"> teachers find these links hard to make</w:t>
      </w:r>
      <w:r w:rsidR="006761E6">
        <w:t xml:space="preserve">. </w:t>
      </w:r>
    </w:p>
    <w:p w14:paraId="2B622F8A" w14:textId="03E6CCFB" w:rsidR="009E21D8" w:rsidRDefault="009E21D8" w:rsidP="00434B44">
      <w:pPr>
        <w:pStyle w:val="ListParagraph"/>
        <w:numPr>
          <w:ilvl w:val="0"/>
          <w:numId w:val="7"/>
        </w:numPr>
      </w:pPr>
      <w:r>
        <w:t xml:space="preserve">Students </w:t>
      </w:r>
      <w:r w:rsidR="00D3414C">
        <w:t xml:space="preserve">question the traditional lecture style and </w:t>
      </w:r>
      <w:r>
        <w:t xml:space="preserve">suggest </w:t>
      </w:r>
      <w:r w:rsidR="00D3414C">
        <w:t>collaborative group activities</w:t>
      </w:r>
      <w:r>
        <w:t xml:space="preserve">, </w:t>
      </w:r>
      <w:r w:rsidR="00D3414C">
        <w:t xml:space="preserve">whereas </w:t>
      </w:r>
      <w:r>
        <w:t xml:space="preserve">teachers overwhelmingly do not think the lecture format hinders </w:t>
      </w:r>
      <w:r w:rsidR="002D13FE">
        <w:t xml:space="preserve">efficient </w:t>
      </w:r>
      <w:r>
        <w:t xml:space="preserve">teaching. </w:t>
      </w:r>
    </w:p>
    <w:p w14:paraId="5869744E" w14:textId="6D232CF9" w:rsidR="002A2E78" w:rsidRPr="00B86085" w:rsidRDefault="009E21D8" w:rsidP="009E21D8">
      <w:r>
        <w:lastRenderedPageBreak/>
        <w:t xml:space="preserve">Following through on this last point, </w:t>
      </w:r>
      <w:r w:rsidR="002A2E78">
        <w:t>Fox &amp; Roehrig (2015) report that out of the</w:t>
      </w:r>
      <w:r w:rsidR="003D2EB7">
        <w:t>ir</w:t>
      </w:r>
      <w:r w:rsidR="002A2E78">
        <w:t xml:space="preserve"> N</w:t>
      </w:r>
      <w:r w:rsidR="0086013D">
        <w:t xml:space="preserve"> </w:t>
      </w:r>
      <w:r w:rsidR="002A2E78">
        <w:t>=</w:t>
      </w:r>
      <w:r w:rsidR="0086013D">
        <w:t xml:space="preserve"> </w:t>
      </w:r>
      <w:r w:rsidR="002A2E78">
        <w:t xml:space="preserve">331 surveyed </w:t>
      </w:r>
      <w:r w:rsidR="00294312">
        <w:t xml:space="preserve">physical chemistry </w:t>
      </w:r>
      <w:r w:rsidR="002A2E78">
        <w:t xml:space="preserve">teachers, 61% think that </w:t>
      </w:r>
      <w:r w:rsidR="00294312">
        <w:t>the</w:t>
      </w:r>
      <w:r w:rsidR="002A2E78">
        <w:t xml:space="preserve"> reason </w:t>
      </w:r>
      <w:r w:rsidR="003D2EB7">
        <w:t xml:space="preserve">why </w:t>
      </w:r>
      <w:r w:rsidR="002A2E78">
        <w:t>student</w:t>
      </w:r>
      <w:r w:rsidR="00294312">
        <w:t>s</w:t>
      </w:r>
      <w:r w:rsidR="002A2E78">
        <w:t xml:space="preserve"> struggle with physical chemistry is that they “lack the necessary math background”, while 38% believe that </w:t>
      </w:r>
      <w:r w:rsidR="00294312">
        <w:t>students</w:t>
      </w:r>
      <w:r w:rsidR="002A2E78">
        <w:t xml:space="preserve"> do not “make connections between the concepts and mathematics.”</w:t>
      </w:r>
      <w:r w:rsidR="00727503">
        <w:t xml:space="preserve"> Furthermore, the prime factor for student difficulties identified by instructors in Camacho et al. (2015) is </w:t>
      </w:r>
      <w:r w:rsidR="003D2EB7">
        <w:t>identical</w:t>
      </w:r>
      <w:r w:rsidR="00727503">
        <w:t>: lack of mathematics prerequisites</w:t>
      </w:r>
      <w:r w:rsidR="00294312">
        <w:t xml:space="preserve">, </w:t>
      </w:r>
      <w:r w:rsidR="00727503">
        <w:t>believed by 41% of the N = 12 interviewee</w:t>
      </w:r>
      <w:r w:rsidR="00294312">
        <w:t>s</w:t>
      </w:r>
      <w:r w:rsidR="00727503">
        <w:t>.</w:t>
      </w:r>
      <w:r w:rsidR="002A2E78">
        <w:t xml:space="preserve"> Our results </w:t>
      </w:r>
      <w:r w:rsidR="003D2EB7">
        <w:t>are in good agreement</w:t>
      </w:r>
      <w:r w:rsidR="00294312">
        <w:t xml:space="preserve">: </w:t>
      </w:r>
      <w:r w:rsidR="002A2E78" w:rsidRPr="001F1634">
        <w:t>6</w:t>
      </w:r>
      <w:r w:rsidR="002F4CF8">
        <w:t>8</w:t>
      </w:r>
      <w:r w:rsidR="002A2E78" w:rsidRPr="001F1634">
        <w:t xml:space="preserve">% of </w:t>
      </w:r>
      <w:r w:rsidR="002A2E78">
        <w:t>our respondents</w:t>
      </w:r>
      <w:r w:rsidR="002A2E78" w:rsidRPr="001F1634">
        <w:t xml:space="preserve"> rather agree, agree or completely that “students lack the prerequisite concepts to fully understand this subject, as physical chemistry is cumulative” and 57% that “students have very different levels of prior knowledge, and the groups are heterogeneous</w:t>
      </w:r>
      <w:r w:rsidR="002A2E78">
        <w:t>”, while</w:t>
      </w:r>
      <w:r w:rsidR="00835A87">
        <w:t>, in open written answers,</w:t>
      </w:r>
      <w:r w:rsidR="002A2E78">
        <w:t xml:space="preserve"> </w:t>
      </w:r>
      <w:r w:rsidR="00835A87">
        <w:t>three teachers</w:t>
      </w:r>
      <w:r w:rsidR="002A2E78">
        <w:t xml:space="preserve"> point out the lack of science or mathematics prerequisites. To provide some elements of context, i</w:t>
      </w:r>
      <w:r w:rsidR="002A2E78" w:rsidRPr="00833F28">
        <w:t>n French-speaking Belgium,</w:t>
      </w:r>
      <w:r w:rsidR="002A2E78">
        <w:t xml:space="preserve"> students can choose between </w:t>
      </w:r>
      <w:r w:rsidR="00835A87">
        <w:t>two options of science:</w:t>
      </w:r>
      <w:r w:rsidR="002A2E78">
        <w:t xml:space="preserve"> “</w:t>
      </w:r>
      <w:r w:rsidR="003D2EB7">
        <w:t>basic</w:t>
      </w:r>
      <w:r w:rsidR="002A2E78">
        <w:t xml:space="preserve">” </w:t>
      </w:r>
      <w:r w:rsidR="005E36FF">
        <w:t xml:space="preserve">(one 50-minute lecture per week for each natural science, that is, physics, chemistry and biology) </w:t>
      </w:r>
      <w:r w:rsidR="002A2E78">
        <w:t xml:space="preserve">and “advanced” </w:t>
      </w:r>
      <w:r w:rsidR="005E36FF">
        <w:t xml:space="preserve">(two 50-minute lectures per week for each science) </w:t>
      </w:r>
      <w:r w:rsidR="002A2E78">
        <w:t>in the 5</w:t>
      </w:r>
      <w:r w:rsidR="002A2E78" w:rsidRPr="009E21D8">
        <w:rPr>
          <w:vertAlign w:val="superscript"/>
        </w:rPr>
        <w:t>th</w:t>
      </w:r>
      <w:r w:rsidR="002A2E78" w:rsidRPr="009E21D8">
        <w:rPr>
          <w:vertAlign w:val="subscript"/>
        </w:rPr>
        <w:t xml:space="preserve"> </w:t>
      </w:r>
      <w:r w:rsidR="002A0CD4">
        <w:t>and 6</w:t>
      </w:r>
      <w:r w:rsidR="002A0CD4" w:rsidRPr="00333200">
        <w:rPr>
          <w:vertAlign w:val="superscript"/>
        </w:rPr>
        <w:t>th</w:t>
      </w:r>
      <w:r w:rsidR="002A0CD4">
        <w:t xml:space="preserve"> </w:t>
      </w:r>
      <w:r w:rsidR="002A2E78">
        <w:t>year</w:t>
      </w:r>
      <w:r w:rsidR="002A0CD4">
        <w:t>s</w:t>
      </w:r>
      <w:r w:rsidR="002A2E78">
        <w:t xml:space="preserve"> of secondary school (16</w:t>
      </w:r>
      <w:r w:rsidR="002A0CD4">
        <w:t>-18</w:t>
      </w:r>
      <w:r w:rsidR="002A2E78">
        <w:t xml:space="preserve"> years-old</w:t>
      </w:r>
      <w:r w:rsidR="003D2EB7">
        <w:t>, 11</w:t>
      </w:r>
      <w:r w:rsidR="003D2EB7" w:rsidRPr="00A4095E">
        <w:rPr>
          <w:vertAlign w:val="superscript"/>
        </w:rPr>
        <w:t>th</w:t>
      </w:r>
      <w:r w:rsidR="002A0CD4">
        <w:t>-12</w:t>
      </w:r>
      <w:r w:rsidR="002A0CD4" w:rsidRPr="00333200">
        <w:rPr>
          <w:vertAlign w:val="superscript"/>
        </w:rPr>
        <w:t>th</w:t>
      </w:r>
      <w:r w:rsidR="002A0CD4">
        <w:t xml:space="preserve"> </w:t>
      </w:r>
      <w:r w:rsidR="003D2EB7">
        <w:t>grade</w:t>
      </w:r>
      <w:r w:rsidR="002A2E78">
        <w:t xml:space="preserve">). </w:t>
      </w:r>
      <w:r w:rsidR="00903A9C">
        <w:t xml:space="preserve">For mathematics, students can also choose between: “essentials” (two 50-minute lectures per week), “basic” (four 50-minute lectures per week) and “advanced” (six to eight 50-minute lectures per week). </w:t>
      </w:r>
      <w:r w:rsidR="002A2E78">
        <w:t xml:space="preserve">Students </w:t>
      </w:r>
      <w:r w:rsidR="003D2EB7">
        <w:t xml:space="preserve">are </w:t>
      </w:r>
      <w:r w:rsidR="002A2E78">
        <w:t xml:space="preserve">all </w:t>
      </w:r>
      <w:r w:rsidR="003D2EB7">
        <w:t xml:space="preserve">taught </w:t>
      </w:r>
      <w:r w:rsidR="002A2E78">
        <w:t>thermodynamics concepts</w:t>
      </w:r>
      <w:r w:rsidR="00D108A2">
        <w:t xml:space="preserve"> </w:t>
      </w:r>
      <w:r w:rsidR="002A2E78">
        <w:t xml:space="preserve">(table </w:t>
      </w:r>
      <w:r w:rsidR="00294312">
        <w:t>3</w:t>
      </w:r>
      <w:r w:rsidR="002A2E78">
        <w:t xml:space="preserve">), but these </w:t>
      </w:r>
      <w:r w:rsidR="003D2EB7">
        <w:t>remain</w:t>
      </w:r>
      <w:r w:rsidR="002A2E78">
        <w:t xml:space="preserve"> limited when students choose the</w:t>
      </w:r>
      <w:r w:rsidR="003D2EB7">
        <w:t xml:space="preserve"> basic section</w:t>
      </w:r>
      <w:r w:rsidR="002A2E78">
        <w:t xml:space="preserve">. As </w:t>
      </w:r>
      <w:r w:rsidR="003D2EB7">
        <w:t xml:space="preserve">far as </w:t>
      </w:r>
      <w:r w:rsidR="002A2E78">
        <w:t>mathematics</w:t>
      </w:r>
      <w:r w:rsidR="003D2EB7">
        <w:t xml:space="preserve"> is concerned</w:t>
      </w:r>
      <w:r w:rsidR="002A2E78">
        <w:t xml:space="preserve">, we established the following list of prerequisites, according to our </w:t>
      </w:r>
      <w:r w:rsidR="003D2EB7">
        <w:t>own experience</w:t>
      </w:r>
      <w:r w:rsidR="002A2E78">
        <w:t xml:space="preserve"> and </w:t>
      </w:r>
      <w:r w:rsidR="003D2EB7">
        <w:t>to</w:t>
      </w:r>
      <w:r w:rsidR="002A2E78">
        <w:t xml:space="preserve"> the mathematical </w:t>
      </w:r>
      <w:r w:rsidR="005E36FF">
        <w:t xml:space="preserve">supports offered by </w:t>
      </w:r>
      <w:r w:rsidR="002A2E78">
        <w:t xml:space="preserve">Atkins et al. (2023) in their reference </w:t>
      </w:r>
      <w:r w:rsidR="005E36FF">
        <w:t>physical chemistry text</w:t>
      </w:r>
      <w:r w:rsidR="002A2E78">
        <w:t>book.</w:t>
      </w:r>
    </w:p>
    <w:p w14:paraId="609FC7F3" w14:textId="77777777" w:rsidR="002A2E78" w:rsidRPr="000C0BB1" w:rsidRDefault="002A2E78" w:rsidP="002A2E78">
      <w:pPr>
        <w:pStyle w:val="ListParagraph"/>
        <w:numPr>
          <w:ilvl w:val="0"/>
          <w:numId w:val="19"/>
        </w:numPr>
      </w:pPr>
      <w:r>
        <w:t>Macroscopic thermodynamics</w:t>
      </w:r>
      <w:r w:rsidRPr="000C0BB1">
        <w:t>: derivatives, partial derivatives, integrals, Taylor series</w:t>
      </w:r>
    </w:p>
    <w:p w14:paraId="6CC69987" w14:textId="77777777" w:rsidR="002A2E78" w:rsidRDefault="002A2E78" w:rsidP="002A2E78">
      <w:pPr>
        <w:pStyle w:val="ListParagraph"/>
        <w:numPr>
          <w:ilvl w:val="0"/>
          <w:numId w:val="19"/>
        </w:numPr>
      </w:pPr>
      <w:r>
        <w:t>Statistical thermodynamics</w:t>
      </w:r>
      <w:r w:rsidRPr="000C0BB1">
        <w:t>: probabilities, logarithms, exponentials</w:t>
      </w:r>
      <w:r>
        <w:t xml:space="preserve">, combinatory analysis </w:t>
      </w:r>
    </w:p>
    <w:p w14:paraId="19FCD199" w14:textId="1D352D6F" w:rsidR="002A2E78" w:rsidRDefault="00FD422F" w:rsidP="002A2E78">
      <w:r>
        <w:t>As a complementary piece of information, let us report that for another research</w:t>
      </w:r>
      <w:r w:rsidR="00903A9C">
        <w:t xml:space="preserve"> </w:t>
      </w:r>
      <w:r w:rsidR="00903A9C">
        <w:fldChar w:fldCharType="begin"/>
      </w:r>
      <w:r w:rsidR="00903A9C">
        <w:instrText xml:space="preserve"> ADDIN ZOTERO_ITEM CSL_CITATION {"citationID":"JhUCSLf6","properties":{"formattedCitation":"(Natalis &amp; Leyh, 2024)","plainCitation":"(Natalis &amp; Leyh, 2024)","noteIndex":0},"citationItems":[{"id":710,"uris":["http://zotero.org/users/13843693/items/TWVELY6C"],"itemData":{"id":710,"type":"manuscript","title":"Promoting conceptual change when teaching entropy to first-year undergraduates: what impact has an introductory statistical approach on alternative conceptions? [Submitted manuscript]","author":[{"family":"Natalis","given":"Vincent"},{"family":"Leyh","given":"Bernard"}],"issued":{"date-parts":[["2024"]]}}}],"schema":"https://github.com/citation-style-language/schema/raw/master/csl-citation.json"} </w:instrText>
      </w:r>
      <w:r w:rsidR="00903A9C">
        <w:fldChar w:fldCharType="separate"/>
      </w:r>
      <w:r w:rsidR="00903A9C" w:rsidRPr="00903A9C">
        <w:rPr>
          <w:rFonts w:ascii="Aptos" w:hAnsi="Aptos"/>
        </w:rPr>
        <w:t>(Natalis &amp; Leyh, 2024)</w:t>
      </w:r>
      <w:r w:rsidR="00903A9C">
        <w:fldChar w:fldCharType="end"/>
      </w:r>
      <w:r>
        <w:t>, we enrolled N = 287 students participating in an introductory thermodynamics course at the University of Liège. Among them,</w:t>
      </w:r>
      <w:r w:rsidR="00903A9C">
        <w:t xml:space="preserve"> only 2% had chosen “essentials of mathematics”.  Therefore,</w:t>
      </w:r>
      <w:r>
        <w:t xml:space="preserve"> 98% had chosen</w:t>
      </w:r>
      <w:r w:rsidR="00294312">
        <w:t xml:space="preserve"> either</w:t>
      </w:r>
      <w:r>
        <w:t xml:space="preserve"> “basics of mathematics” or “advanced mathematic</w:t>
      </w:r>
      <w:r w:rsidR="005E36FF">
        <w:t>s”</w:t>
      </w:r>
      <w:r w:rsidR="00294312">
        <w:t xml:space="preserve"> covering all the necessary topics for thermodynamics, as listed above. Accordingly, 16% of students in that cohort had “basics of science” and did not cover entropy or the second law, and 84% had “advanced science” courses in secondary school</w:t>
      </w:r>
      <w:r w:rsidR="002A0CD4">
        <w:t>, where entropy is alluded to only through the disorder metaphor</w:t>
      </w:r>
      <w:r w:rsidR="00294312">
        <w:t xml:space="preserve">. </w:t>
      </w:r>
    </w:p>
    <w:p w14:paraId="67D46C44" w14:textId="28B971A0" w:rsidR="0086013D" w:rsidRDefault="0086013D" w:rsidP="002A2E78">
      <w:r>
        <w:t xml:space="preserve">The written answers of our respondents also give more details about </w:t>
      </w:r>
      <w:r w:rsidR="005E36FF">
        <w:t xml:space="preserve">which </w:t>
      </w:r>
      <w:r>
        <w:t xml:space="preserve">mathematical problems </w:t>
      </w:r>
      <w:r w:rsidR="005752BE">
        <w:t>affect</w:t>
      </w:r>
      <w:r w:rsidR="005E36FF">
        <w:t xml:space="preserve"> </w:t>
      </w:r>
      <w:r w:rsidR="005752BE">
        <w:t xml:space="preserve">the teaching of </w:t>
      </w:r>
      <w:r>
        <w:t xml:space="preserve">thermodynamics: differential equations, mixture between mathematics and abstractness, or </w:t>
      </w:r>
      <w:r w:rsidR="005752BE">
        <w:t xml:space="preserve">between </w:t>
      </w:r>
      <w:r>
        <w:t xml:space="preserve">chemistry and mathematics, students’ dislike of mathematics, the </w:t>
      </w:r>
      <w:r w:rsidR="005752BE">
        <w:t xml:space="preserve">large </w:t>
      </w:r>
      <w:r>
        <w:t xml:space="preserve">number of formulas, and the </w:t>
      </w:r>
      <w:r w:rsidR="00294312">
        <w:t xml:space="preserve">possible </w:t>
      </w:r>
      <w:r>
        <w:t xml:space="preserve">boring nature of the mathematical formalism. </w:t>
      </w:r>
    </w:p>
    <w:p w14:paraId="1301904F" w14:textId="3F5AC591" w:rsidR="002A2E78" w:rsidRDefault="002A2E78" w:rsidP="002A2E78">
      <w:pPr>
        <w:pStyle w:val="Caption"/>
        <w:keepNext/>
      </w:pPr>
      <w:r>
        <w:t xml:space="preserve">Table </w:t>
      </w:r>
      <w:fldSimple w:instr=" SEQ Table \* ARABIC ">
        <w:r w:rsidR="00447A96">
          <w:rPr>
            <w:noProof/>
          </w:rPr>
          <w:t>3</w:t>
        </w:r>
      </w:fldSimple>
      <w:r>
        <w:t xml:space="preserve">. Thermodynamics topics and </w:t>
      </w:r>
      <w:r w:rsidR="00D108A2">
        <w:t>mathematics concept</w:t>
      </w:r>
      <w:r w:rsidR="00E16150">
        <w:t>s</w:t>
      </w:r>
      <w:r w:rsidR="00D108A2">
        <w:t xml:space="preserve"> useful for thermodynamics</w:t>
      </w:r>
      <w:r>
        <w:t xml:space="preserve"> covered in the last three years of secondary school (15-18 years old</w:t>
      </w:r>
      <w:r w:rsidR="00D108A2">
        <w:t>, 10</w:t>
      </w:r>
      <w:r w:rsidR="00D108A2" w:rsidRPr="00A4095E">
        <w:rPr>
          <w:vertAlign w:val="superscript"/>
        </w:rPr>
        <w:t>th</w:t>
      </w:r>
      <w:r w:rsidR="00D108A2">
        <w:t>-12</w:t>
      </w:r>
      <w:r w:rsidR="00D108A2" w:rsidRPr="00A4095E">
        <w:rPr>
          <w:vertAlign w:val="superscript"/>
        </w:rPr>
        <w:t>th</w:t>
      </w:r>
      <w:r w:rsidR="00D108A2">
        <w:t xml:space="preserve"> grade</w:t>
      </w:r>
      <w:r>
        <w:t xml:space="preserve">). </w:t>
      </w:r>
      <w:r w:rsidR="005A5892">
        <w:t xml:space="preserve">For science, in plain text, concepts covered in all levels.  </w:t>
      </w:r>
      <w:r>
        <w:t>In bold, concepts only covered in “advanced” classes</w:t>
      </w:r>
      <w:r w:rsidR="005A5892">
        <w:t xml:space="preserve">. For  mathematics, in plain text, </w:t>
      </w:r>
      <w:r w:rsidR="00903A9C">
        <w:t xml:space="preserve">concepts covered </w:t>
      </w:r>
      <w:r w:rsidR="005A5892">
        <w:t>at all levels. I</w:t>
      </w:r>
      <w:r w:rsidR="00903A9C">
        <w:t>n</w:t>
      </w:r>
      <w:r w:rsidR="005A5892">
        <w:t xml:space="preserve"> bold, concepts only covered in</w:t>
      </w:r>
      <w:r w:rsidR="00903A9C">
        <w:t xml:space="preserve"> “basic”, and “advanced” mathematics</w:t>
      </w:r>
      <w:r w:rsidR="005A5892">
        <w:t xml:space="preserve"> (but not “essentials”)</w:t>
      </w:r>
      <w:r w:rsidR="00903A9C">
        <w:t>.</w:t>
      </w:r>
      <w:r>
        <w:t xml:space="preserve"> *for advanced students, the reference program explicitly mentions “not talking about entropy, rather, speaking of “disorder”</w:t>
      </w:r>
      <w:r w:rsidR="00D108A2">
        <w:t xml:space="preserve"> </w:t>
      </w:r>
      <w:r>
        <w:t xml:space="preserve">” </w:t>
      </w:r>
      <w:r w:rsidR="002230BA">
        <w:fldChar w:fldCharType="begin"/>
      </w:r>
      <w:r w:rsidR="002230BA">
        <w:instrText xml:space="preserve"> ADDIN ZOTERO_ITEM CSL_CITATION {"citationID":"t60oyprb","properties":{"formattedCitation":"(Decree for terminal competences in mathematics and science, 2014)","plainCitation":"(Decree for terminal competences in mathematics and science, 2014)","noteIndex":0},"citationItems":[{"id":677,"uris":["http://zotero.org/users/13843693/items/XLF9R5LE"],"itemData":{"id":677,"type":"bill","container-title":"2014/29173","title":"Arrêté du Gouvernement de la Communauté française déterminant les compétences terminales et savoirs requis à l’issue de la section de transition des humanités générales et technologiques en mathématiques, en sciences de base et en sciences générales et déterminant les compétences terminales et savoirs communs à l’issue de la section de qualification des humanités techniques et professionnelles en éducation scientifique, en français, en sciences économiques et sociales ainsi qu’en sciences humaines. [Decree of the Government of the French Community determining the terminal competences and knowledge required at the end of the transition section of the general and technological humanities in mathematics, basic sciences and general sciences and determining the terminal competences and common knowledge at the end of the qualification section of the technical and professional humanities in scientific education, French, economic and social sciences and humanities.]","title-short":"Decree for terminal competences in mathematics and science","author":[{"family":"Communauté française de Belgique","given":""}],"issued":{"date-parts":[["2014",1,16]]}}}],"schema":"https://github.com/citation-style-language/schema/raw/master/csl-citation.json"} </w:instrText>
      </w:r>
      <w:r w:rsidR="002230BA">
        <w:fldChar w:fldCharType="separate"/>
      </w:r>
      <w:r w:rsidR="002230BA" w:rsidRPr="002230BA">
        <w:rPr>
          <w:rFonts w:ascii="Aptos" w:hAnsi="Aptos"/>
        </w:rPr>
        <w:t>(Decree for terminal competences in mathematics and science, 2014)</w:t>
      </w:r>
      <w:r w:rsidR="002230BA">
        <w:fldChar w:fldCharType="end"/>
      </w:r>
      <w:r w:rsidR="002230BA">
        <w:t>.</w:t>
      </w:r>
    </w:p>
    <w:tbl>
      <w:tblPr>
        <w:tblStyle w:val="TableGrid"/>
        <w:tblW w:w="8815" w:type="dxa"/>
        <w:tblLook w:val="04A0" w:firstRow="1" w:lastRow="0" w:firstColumn="1" w:lastColumn="0" w:noHBand="0" w:noVBand="1"/>
      </w:tblPr>
      <w:tblGrid>
        <w:gridCol w:w="3351"/>
        <w:gridCol w:w="2786"/>
        <w:gridCol w:w="2678"/>
      </w:tblGrid>
      <w:tr w:rsidR="002A2E78" w14:paraId="3CFA8F04" w14:textId="77777777" w:rsidTr="00434B44">
        <w:trPr>
          <w:trHeight w:val="24"/>
        </w:trPr>
        <w:tc>
          <w:tcPr>
            <w:tcW w:w="3351" w:type="dxa"/>
          </w:tcPr>
          <w:p w14:paraId="3E09E33E" w14:textId="77777777" w:rsidR="002A2E78" w:rsidRDefault="002A2E78" w:rsidP="00434B44">
            <w:r>
              <w:t>Physics</w:t>
            </w:r>
          </w:p>
        </w:tc>
        <w:tc>
          <w:tcPr>
            <w:tcW w:w="2786" w:type="dxa"/>
          </w:tcPr>
          <w:p w14:paraId="1C5F9260" w14:textId="77777777" w:rsidR="002A2E78" w:rsidRDefault="002A2E78" w:rsidP="00434B44">
            <w:r>
              <w:t>Chemistry</w:t>
            </w:r>
          </w:p>
        </w:tc>
        <w:tc>
          <w:tcPr>
            <w:tcW w:w="2678" w:type="dxa"/>
          </w:tcPr>
          <w:p w14:paraId="197F1FFB" w14:textId="77777777" w:rsidR="002A2E78" w:rsidRDefault="002A2E78" w:rsidP="00434B44">
            <w:r>
              <w:t>Math</w:t>
            </w:r>
          </w:p>
        </w:tc>
      </w:tr>
      <w:tr w:rsidR="002A2E78" w14:paraId="40FE91BD" w14:textId="77777777" w:rsidTr="00434B44">
        <w:trPr>
          <w:trHeight w:val="412"/>
        </w:trPr>
        <w:tc>
          <w:tcPr>
            <w:tcW w:w="3351" w:type="dxa"/>
          </w:tcPr>
          <w:p w14:paraId="734D5415" w14:textId="0152928B" w:rsidR="002A2E78" w:rsidRPr="00B86085" w:rsidRDefault="002A2E78" w:rsidP="00434B44">
            <w:pPr>
              <w:rPr>
                <w:b/>
                <w:bCs/>
              </w:rPr>
            </w:pPr>
            <w:r>
              <w:lastRenderedPageBreak/>
              <w:t xml:space="preserve">Energy transformations, heat, temperature, phase change, gravitational potential energy, kinetic energy, electric energy, mechanical energy conservation, first law, thermal machines, refrigerators, machine efficiency, renewable and non-renewable energy, </w:t>
            </w:r>
            <w:r>
              <w:rPr>
                <w:b/>
                <w:bCs/>
              </w:rPr>
              <w:t>second law, heat and phase change, photon energy</w:t>
            </w:r>
          </w:p>
        </w:tc>
        <w:tc>
          <w:tcPr>
            <w:tcW w:w="2786" w:type="dxa"/>
          </w:tcPr>
          <w:p w14:paraId="789F9C57" w14:textId="1C1CC86E" w:rsidR="002A2E78" w:rsidRDefault="002A2E78" w:rsidP="00434B44">
            <w:r>
              <w:t xml:space="preserve">Heat, exothermic, endothermic, </w:t>
            </w:r>
            <w:proofErr w:type="spellStart"/>
            <w:r>
              <w:t>athermic</w:t>
            </w:r>
            <w:proofErr w:type="spellEnd"/>
            <w:r>
              <w:t xml:space="preserve"> reactions, heat capacity, </w:t>
            </w:r>
            <w:r w:rsidRPr="00B86085">
              <w:rPr>
                <w:b/>
                <w:bCs/>
              </w:rPr>
              <w:t>enthalpy, ΔH, Q=</w:t>
            </w:r>
            <w:proofErr w:type="spellStart"/>
            <w:r w:rsidRPr="00B86085">
              <w:rPr>
                <w:b/>
                <w:bCs/>
              </w:rPr>
              <w:t>cmΔT</w:t>
            </w:r>
            <w:proofErr w:type="spellEnd"/>
            <w:r w:rsidRPr="00B86085">
              <w:rPr>
                <w:b/>
                <w:bCs/>
              </w:rPr>
              <w:t xml:space="preserve">, molar and </w:t>
            </w:r>
            <w:r w:rsidR="002A0CD4">
              <w:rPr>
                <w:b/>
                <w:bCs/>
              </w:rPr>
              <w:t>specific</w:t>
            </w:r>
            <w:r w:rsidR="002A0CD4" w:rsidRPr="00B86085">
              <w:rPr>
                <w:b/>
                <w:bCs/>
              </w:rPr>
              <w:t xml:space="preserve"> </w:t>
            </w:r>
            <w:r w:rsidRPr="00B86085">
              <w:rPr>
                <w:b/>
                <w:bCs/>
              </w:rPr>
              <w:t>heat, calorimetry, disorder* for spontaneity</w:t>
            </w:r>
          </w:p>
        </w:tc>
        <w:tc>
          <w:tcPr>
            <w:tcW w:w="2678" w:type="dxa"/>
          </w:tcPr>
          <w:p w14:paraId="1E3DB968" w14:textId="77777777" w:rsidR="002A2E78" w:rsidRDefault="002A2E78" w:rsidP="00434B44">
            <w:r w:rsidRPr="005A5892">
              <w:t>Series, probability, probability laws</w:t>
            </w:r>
            <w:r>
              <w:t xml:space="preserve">, </w:t>
            </w:r>
            <w:r w:rsidRPr="005A5892">
              <w:rPr>
                <w:b/>
                <w:bCs/>
              </w:rPr>
              <w:t>integrals, derivatives, exponentials and logarithms</w:t>
            </w:r>
          </w:p>
        </w:tc>
      </w:tr>
    </w:tbl>
    <w:p w14:paraId="0129DA07" w14:textId="77777777" w:rsidR="002A2E78" w:rsidRDefault="002A2E78" w:rsidP="002A2E78"/>
    <w:p w14:paraId="65DA2B66" w14:textId="1741D3EB" w:rsidR="00445473" w:rsidRPr="0086013D" w:rsidRDefault="00727503" w:rsidP="0086013D">
      <w:r>
        <w:t>Though prerequisites have been put forth by our respondents</w:t>
      </w:r>
      <w:r w:rsidR="00F46937">
        <w:t xml:space="preserve"> as a difficulty</w:t>
      </w:r>
      <w:r>
        <w:t>, their first concern with thermodynamics teaching, and with entropy teaching, is abstractness</w:t>
      </w:r>
      <w:r w:rsidR="0086013D">
        <w:t>. This specific issue</w:t>
      </w:r>
      <w:r>
        <w:t xml:space="preserve"> has not been underpinned by </w:t>
      </w:r>
      <w:r w:rsidR="0086013D">
        <w:t>Fox &amp; Roehrig (2015) nor Camacho et al. (2015)</w:t>
      </w:r>
      <w:r w:rsidR="00294312">
        <w:t xml:space="preserve">. </w:t>
      </w:r>
      <w:r w:rsidR="0086013D" w:rsidRPr="0086013D">
        <w:t>In our results, 71</w:t>
      </w:r>
      <w:r w:rsidR="00C20124" w:rsidRPr="0086013D">
        <w:t xml:space="preserve">% </w:t>
      </w:r>
      <w:r w:rsidR="0086013D">
        <w:t>of instructors rather agree (21%), agree (29%) or completely agree</w:t>
      </w:r>
      <w:r w:rsidR="00C20124" w:rsidRPr="0086013D">
        <w:t xml:space="preserve"> </w:t>
      </w:r>
      <w:r w:rsidR="0086013D">
        <w:t>(21%) that “t</w:t>
      </w:r>
      <w:r w:rsidR="0086013D" w:rsidRPr="0086013D">
        <w:t>he taught concepts are too abstract</w:t>
      </w:r>
      <w:r w:rsidR="0086013D">
        <w:t xml:space="preserve">”, while 28% of written answers mention abstractness as a hurdle. </w:t>
      </w:r>
      <w:r w:rsidR="00445473">
        <w:t>In interviews with chemistry students about the difficulties of physical chemistry,</w:t>
      </w:r>
      <w:r w:rsidR="00445473">
        <w:fldChar w:fldCharType="begin"/>
      </w:r>
      <w:r w:rsidR="00903A9C">
        <w:instrText xml:space="preserve"> ADDIN ZOTERO_ITEM CSL_CITATION {"citationID":"puETK3Rw","properties":{"formattedCitation":"(Tsaparlis, 2016b)","plainCitation":"(Tsaparlis, 2016b)","dontUpdate":true,"noteIndex":0},"citationItems":[{"id":"eiNidD72/Qg40fS6P","uris":["http://zotero.org/users/13843693/items/3WRRLWES"],"itemData":{"id":"QIj8RFMG/dVIQGaQn","type":"article-journal","abstract":"In a previous publication, Jensen's scheme for the logical structure of chemistry was employed to identify a logical structure for physical chemistry, which was further used as a tool for analyzing the organization of twenty physical chemistry textbooks. In addition, science education research was considered for the study of the psychological structure of physical chemistry. In this companion paper, the findings are presented of a semi-structured interview study with seventeen chemistry graduates, which aimed to find out their opinion about the difficulties of the various areas of physical chemistry, their disposition towards the subject, and their explanations for the difficulties identified, and in this way to study further the psychological structure of physical chemistry. A mixture of an intensive inductive and a confirmatory data analysis was carried out that revealed ideas and trends and allowed for a reliable portrait of learners to emerge by identifying similarities and differences in the data. Students unanimously found the phenomenological subjects (classical thermodynamics, electrochemistry, chemical kinetics) easier than the submicroscopic subjects of quantum chemistry and statistical thermodynamics. The reasons invoked included that the latter subjects deal with more difficult and abstract concepts, and also their highly mathematical nature. Many students found classical thermodynamics simpler than quantum chemistry, because it “has logic”, includes “tangible examples”, and they had encountered related topics before (especially in high school). The findings for electrochemistry and chemical kinetics were more or less similar to those for classical thermodynamics. Implications, generalizability, and limitations of the findings and prospects for further research are discussed.","container-title":"Chemistry Education Research and Practice","DOI":"10.1039/C5RP00203F","ISSN":"1109-4028, 1756-1108","issue":"2","journalAbbreviation":"Chem. Educ. Res. Pract.","language":"en","page":"320-336","source":"DOI.org (Crossref)","title":"The logical and psychological structure of physical chemistry and its relevance to graduate students' opinions about the difficulties of the major areas of the subject","volume":"17","author":[{"family":"Tsaparlis","given":"Georgios"}],"issued":{"date-parts":[["2016"]]}}}],"schema":"https://github.com/citation-style-language/schema/raw/master/csl-citation.json"} </w:instrText>
      </w:r>
      <w:r w:rsidR="00445473">
        <w:fldChar w:fldCharType="separate"/>
      </w:r>
      <w:r w:rsidR="00445473">
        <w:rPr>
          <w:rFonts w:ascii="Aptos" w:hAnsi="Aptos"/>
        </w:rPr>
        <w:t xml:space="preserve"> </w:t>
      </w:r>
      <w:r w:rsidR="00445473" w:rsidRPr="00445473">
        <w:rPr>
          <w:rFonts w:ascii="Aptos" w:hAnsi="Aptos"/>
        </w:rPr>
        <w:t xml:space="preserve">Tsaparlis, </w:t>
      </w:r>
      <w:r w:rsidR="00445473">
        <w:rPr>
          <w:rFonts w:ascii="Aptos" w:hAnsi="Aptos"/>
        </w:rPr>
        <w:t>(</w:t>
      </w:r>
      <w:r w:rsidR="00445473" w:rsidRPr="00445473">
        <w:rPr>
          <w:rFonts w:ascii="Aptos" w:hAnsi="Aptos"/>
        </w:rPr>
        <w:t>2016b)</w:t>
      </w:r>
      <w:r w:rsidR="00445473">
        <w:fldChar w:fldCharType="end"/>
      </w:r>
      <w:r w:rsidR="00445473">
        <w:t xml:space="preserve"> showed that students found macroscopic thermodynamics easier than quantum chemistry because they had already covered that topic in secondary school. The opinions of teachers throughout our questionnaire </w:t>
      </w:r>
      <w:proofErr w:type="gramStart"/>
      <w:r w:rsidR="00445473">
        <w:t>was</w:t>
      </w:r>
      <w:proofErr w:type="gramEnd"/>
      <w:r w:rsidR="00445473">
        <w:t xml:space="preserve"> very positive on statistical thermodynamics. Some went as far as to say that </w:t>
      </w:r>
      <w:r w:rsidR="00B70426">
        <w:t xml:space="preserve">it allowed a problem-free explanation of entropy, while some nuanced by stating that it may displace the conceptual problem toward mathematical complexity. Students of </w:t>
      </w:r>
      <w:proofErr w:type="spellStart"/>
      <w:r w:rsidR="00B70426">
        <w:t>Tsaparlis</w:t>
      </w:r>
      <w:proofErr w:type="spellEnd"/>
      <w:r w:rsidR="00B70426">
        <w:t xml:space="preserve">’ (2016b) study also believe that statistical thermodynamics </w:t>
      </w:r>
      <w:r w:rsidR="00E16150">
        <w:t xml:space="preserve">is </w:t>
      </w:r>
      <w:r w:rsidR="00B70426">
        <w:t xml:space="preserve">harder than classical thermodynamics because of the higher mathematical complexity.  </w:t>
      </w:r>
    </w:p>
    <w:p w14:paraId="5156487A" w14:textId="740559B3" w:rsidR="006B78FB" w:rsidRPr="001F1634" w:rsidRDefault="006B78FB" w:rsidP="006B78FB">
      <w:pPr>
        <w:pStyle w:val="Title"/>
      </w:pPr>
      <w:r w:rsidRPr="001F1634">
        <w:t>Limitations</w:t>
      </w:r>
    </w:p>
    <w:p w14:paraId="20E9E7A1" w14:textId="77777777" w:rsidR="00473DBA" w:rsidRDefault="00473DBA" w:rsidP="00B70426">
      <w:r>
        <w:t>One limitation</w:t>
      </w:r>
      <w:r w:rsidR="00B70426">
        <w:t xml:space="preserve"> of this study is the fact that the teachers were self-reporting their opinions</w:t>
      </w:r>
      <w:r>
        <w:t xml:space="preserve"> in a precise set of questions chosen by the researchers, most of them multiple choices questions,</w:t>
      </w:r>
      <w:r w:rsidR="00B70426">
        <w:t xml:space="preserve"> which </w:t>
      </w:r>
      <w:r>
        <w:t>limited our interpretation. Analysis and coding could</w:t>
      </w:r>
      <w:r w:rsidR="00F46937">
        <w:t xml:space="preserve"> have benefited </w:t>
      </w:r>
      <w:r>
        <w:t>from</w:t>
      </w:r>
      <w:r w:rsidR="00B70426">
        <w:t xml:space="preserve"> other methodological me</w:t>
      </w:r>
      <w:r>
        <w:t xml:space="preserve">thods such as </w:t>
      </w:r>
      <w:r w:rsidR="00B70426">
        <w:t>interviews</w:t>
      </w:r>
      <w:r>
        <w:t xml:space="preserve"> and </w:t>
      </w:r>
      <w:r w:rsidR="00B70426">
        <w:t>follow-up questions</w:t>
      </w:r>
      <w:r w:rsidR="00F46937">
        <w:t xml:space="preserve">. </w:t>
      </w:r>
    </w:p>
    <w:p w14:paraId="34CB99AC" w14:textId="3739010C" w:rsidR="00B70426" w:rsidRDefault="00F46937" w:rsidP="00B70426">
      <w:r>
        <w:t>The number of respondents is also quite modest</w:t>
      </w:r>
      <w:r w:rsidR="00B70426">
        <w:t>. However, this sample should be representative of</w:t>
      </w:r>
      <w:r>
        <w:t xml:space="preserve"> the beliefs of</w:t>
      </w:r>
      <w:r w:rsidR="00B70426">
        <w:t xml:space="preserve"> the French-speaking </w:t>
      </w:r>
      <w:r>
        <w:t xml:space="preserve">thermodynamics teachers of </w:t>
      </w:r>
      <w:r w:rsidR="00B70426">
        <w:t xml:space="preserve">Belgium, since the total number of thermodynamics teachers at tertiary level is quite small, too. </w:t>
      </w:r>
    </w:p>
    <w:p w14:paraId="4FCABF04" w14:textId="0D11C4AE" w:rsidR="006B78FB" w:rsidRDefault="006B78FB" w:rsidP="006B78FB">
      <w:r w:rsidRPr="001F1634">
        <w:t xml:space="preserve">The </w:t>
      </w:r>
      <w:r w:rsidR="00FE0DB9">
        <w:t xml:space="preserve">question devoted to the teacher’s </w:t>
      </w:r>
      <w:r w:rsidR="00B70426">
        <w:t>opinions on specific concepts</w:t>
      </w:r>
      <w:r w:rsidRPr="001F1634">
        <w:t xml:space="preserve"> was introduced as a last part to the questionnaire</w:t>
      </w:r>
      <w:r w:rsidR="00FE0DB9">
        <w:t>.</w:t>
      </w:r>
      <w:r w:rsidR="00FE0DB9" w:rsidRPr="001F1634">
        <w:t xml:space="preserve"> </w:t>
      </w:r>
      <w:r w:rsidR="00FE0DB9">
        <w:t>A possible</w:t>
      </w:r>
      <w:r w:rsidRPr="001F1634">
        <w:t xml:space="preserve"> bias towards “entropy is difficult” </w:t>
      </w:r>
      <w:r w:rsidR="00FE0DB9">
        <w:t>could therefore have</w:t>
      </w:r>
      <w:r w:rsidR="00FE0DB9" w:rsidRPr="001F1634">
        <w:t xml:space="preserve"> </w:t>
      </w:r>
      <w:r w:rsidRPr="001F1634">
        <w:t xml:space="preserve">been induced, </w:t>
      </w:r>
      <w:r w:rsidR="00FE0DB9">
        <w:t>because</w:t>
      </w:r>
      <w:r w:rsidR="00FE0DB9" w:rsidRPr="001F1634">
        <w:t xml:space="preserve"> </w:t>
      </w:r>
      <w:r w:rsidR="00FE0DB9">
        <w:t>several</w:t>
      </w:r>
      <w:r w:rsidR="00FE0DB9" w:rsidRPr="001F1634">
        <w:t xml:space="preserve"> </w:t>
      </w:r>
      <w:r w:rsidR="00FE0DB9">
        <w:t xml:space="preserve">previous </w:t>
      </w:r>
      <w:r w:rsidRPr="001F1634">
        <w:t xml:space="preserve">questions </w:t>
      </w:r>
      <w:r w:rsidR="00FE0DB9">
        <w:t>addressed</w:t>
      </w:r>
      <w:r w:rsidRPr="001F1634">
        <w:t xml:space="preserve"> entropy as a difficult subject. </w:t>
      </w:r>
      <w:r w:rsidR="00C51038">
        <w:t xml:space="preserve">Moreover, it was a research choice to opt for entropy as a specific subject of investigation, and some pieces of data point to other specific topics which could have been </w:t>
      </w:r>
      <w:r w:rsidR="00FE0DB9">
        <w:t xml:space="preserve">addressed </w:t>
      </w:r>
      <w:r w:rsidR="00C51038">
        <w:t xml:space="preserve">instead, like the chemical potential, and which </w:t>
      </w:r>
      <w:r w:rsidR="00F46937">
        <w:t>call</w:t>
      </w:r>
      <w:r w:rsidR="00C51038">
        <w:t xml:space="preserve"> for future research. </w:t>
      </w:r>
    </w:p>
    <w:p w14:paraId="2FB4F2AB" w14:textId="65704AEB" w:rsidR="00C338CA" w:rsidRPr="00CF5675" w:rsidRDefault="00337565" w:rsidP="00337565">
      <w:pPr>
        <w:pStyle w:val="Title"/>
        <w:rPr>
          <w:lang w:val="en-US"/>
        </w:rPr>
      </w:pPr>
      <w:r w:rsidRPr="00CF5675">
        <w:rPr>
          <w:lang w:val="en-US"/>
        </w:rPr>
        <w:t>Conclusion</w:t>
      </w:r>
    </w:p>
    <w:p w14:paraId="6016ADB3" w14:textId="52E05F17" w:rsidR="00337565" w:rsidRDefault="007003B4" w:rsidP="00337565">
      <w:r w:rsidRPr="007003B4">
        <w:lastRenderedPageBreak/>
        <w:t>This study aimed a</w:t>
      </w:r>
      <w:r>
        <w:t xml:space="preserve">t documenting the opinions of tertiary education teachers about the pedagogical difficulties in their introductory course. For thermodynamics in general, difficulties include </w:t>
      </w:r>
      <w:r w:rsidR="003D30DF">
        <w:t xml:space="preserve">(a) </w:t>
      </w:r>
      <w:r>
        <w:t>the lack of prerequisites</w:t>
      </w:r>
      <w:r w:rsidR="003D30DF">
        <w:t xml:space="preserve"> of students</w:t>
      </w:r>
      <w:r>
        <w:t>, which is surprising given the</w:t>
      </w:r>
      <w:r w:rsidR="003D30DF">
        <w:t>se prerequisites are, in theory,</w:t>
      </w:r>
      <w:r>
        <w:t xml:space="preserve"> covered by secondary school teachers and</w:t>
      </w:r>
      <w:r w:rsidR="003D30DF">
        <w:t xml:space="preserve"> (b)</w:t>
      </w:r>
      <w:r>
        <w:t xml:space="preserve"> the abstractness of concepts, among others (e.g. historicity, interdisciplinarity). Teachers also report</w:t>
      </w:r>
      <w:r w:rsidR="003D30DF">
        <w:t xml:space="preserve"> overall</w:t>
      </w:r>
      <w:r>
        <w:t xml:space="preserve"> good teaching conditions, except for the too high number of non-teaching tasks, and diverging opinions on mathematical complexity. When asked to rank the difficulty of the subjects they cover, </w:t>
      </w:r>
      <w:r w:rsidR="003D30DF">
        <w:t>teachers reckon the</w:t>
      </w:r>
      <w:r>
        <w:t xml:space="preserve"> most difficult concepts are entropy-related concepts such as entropy itself, the Clausius definition</w:t>
      </w:r>
      <w:r w:rsidR="003D30DF">
        <w:t xml:space="preserve"> of entropy</w:t>
      </w:r>
      <w:r>
        <w:t xml:space="preserve">, entropy-temperature diagrams or the Boltzmann </w:t>
      </w:r>
      <w:r w:rsidR="003D30DF">
        <w:t>definition of entropy</w:t>
      </w:r>
      <w:r>
        <w:t xml:space="preserve">. On entropy specifically, instructors claim it is very abstract, complex, lacks practical use and </w:t>
      </w:r>
      <w:r w:rsidR="00EB0E8E">
        <w:t>crystallises</w:t>
      </w:r>
      <w:r>
        <w:t xml:space="preserve"> difficulties in teaching microscopic and macroscopic aspects of thermodynamics. 77% of teachers use the disorder metaphor to teach entropy, some of </w:t>
      </w:r>
      <w:r w:rsidR="00BB4F40">
        <w:t xml:space="preserve">them </w:t>
      </w:r>
      <w:r>
        <w:t xml:space="preserve">to make it simpler, others to </w:t>
      </w:r>
      <w:r w:rsidR="00BB4F40">
        <w:t xml:space="preserve">address </w:t>
      </w:r>
      <w:r>
        <w:t xml:space="preserve">specific </w:t>
      </w:r>
      <w:r w:rsidR="00BB4F40">
        <w:t>issues</w:t>
      </w:r>
      <w:r>
        <w:t xml:space="preserve">. </w:t>
      </w:r>
      <w:r w:rsidR="00EB0E8E">
        <w:t xml:space="preserve">Some respondents acknowledge not </w:t>
      </w:r>
      <w:r w:rsidR="00BB4F40">
        <w:t xml:space="preserve">mentioning </w:t>
      </w:r>
      <w:r w:rsidR="00EB0E8E">
        <w:t>any limitation to the use of the metaphor. Comparison of teachers’ and students’ opinions</w:t>
      </w:r>
      <w:r w:rsidR="003D30DF">
        <w:t xml:space="preserve"> on difficulties in thermodynamics</w:t>
      </w:r>
      <w:r w:rsidR="00EB0E8E">
        <w:t xml:space="preserve"> show some agreements (e.g. abstraction, too </w:t>
      </w:r>
      <w:r w:rsidR="003D30DF">
        <w:t>much</w:t>
      </w:r>
      <w:r w:rsidR="00EB0E8E">
        <w:t xml:space="preserve"> content to cover) and tensions (e.g. relevance of the lecture format, request from students for links with everyday life, which teachers find hard to make). </w:t>
      </w:r>
    </w:p>
    <w:p w14:paraId="2962684B" w14:textId="4327D84B" w:rsidR="003F01FE" w:rsidRDefault="003F01FE" w:rsidP="003F01FE">
      <w:pPr>
        <w:pStyle w:val="Title"/>
      </w:pPr>
      <w:r>
        <w:t>Ethics statement</w:t>
      </w:r>
    </w:p>
    <w:p w14:paraId="2C596ED1" w14:textId="455CE034" w:rsidR="003F01FE" w:rsidRPr="00D208B3" w:rsidRDefault="003F01FE" w:rsidP="003F01FE">
      <w:r>
        <w:t>All responding teachers</w:t>
      </w:r>
      <w:r w:rsidRPr="00D208B3">
        <w:t xml:space="preserve"> were </w:t>
      </w:r>
      <w:r>
        <w:t>contacted by mail and could answer freely to the questionnaire</w:t>
      </w:r>
      <w:r w:rsidRPr="00D208B3">
        <w:t xml:space="preserve">. Informed consent for the questionnaire was obtained by </w:t>
      </w:r>
      <w:r>
        <w:t>an</w:t>
      </w:r>
      <w:r w:rsidRPr="00D208B3">
        <w:t xml:space="preserve"> agreement in compliance with the</w:t>
      </w:r>
      <w:r>
        <w:t xml:space="preserve"> Belgian</w:t>
      </w:r>
      <w:r>
        <w:t xml:space="preserve"> </w:t>
      </w:r>
      <w:r w:rsidRPr="00D208B3">
        <w:t xml:space="preserve">GDPR guidelines (General Data Protection Regulation, 2016), since the </w:t>
      </w:r>
      <w:r>
        <w:t>Wallonia</w:t>
      </w:r>
      <w:r>
        <w:t xml:space="preserve"> </w:t>
      </w:r>
      <w:r w:rsidRPr="00D208B3">
        <w:t xml:space="preserve">Government does not require an ethics committee approval for educational studies when no personal data is gathered. </w:t>
      </w:r>
    </w:p>
    <w:p w14:paraId="5193C0D4" w14:textId="77777777" w:rsidR="003F01FE" w:rsidRPr="003F01FE" w:rsidRDefault="003F01FE" w:rsidP="003F01FE"/>
    <w:p w14:paraId="7813A676" w14:textId="7828F398" w:rsidR="00BB4F40" w:rsidRPr="003F01FE" w:rsidRDefault="00BB4F40" w:rsidP="00BB4F40">
      <w:pPr>
        <w:pStyle w:val="Title"/>
      </w:pPr>
      <w:r w:rsidRPr="003F01FE">
        <w:t>Acknowledgments</w:t>
      </w:r>
    </w:p>
    <w:p w14:paraId="4A30F13A" w14:textId="0B4B9049" w:rsidR="00BB4F40" w:rsidRPr="00E01271" w:rsidRDefault="00E01271" w:rsidP="00BB4F40">
      <w:r w:rsidRPr="00E01271">
        <w:t>We would like to t</w:t>
      </w:r>
      <w:r>
        <w:t xml:space="preserve">hank all the respondents of the survey for their time, expertise, and thoughtful comments. </w:t>
      </w:r>
    </w:p>
    <w:p w14:paraId="237A6FB6" w14:textId="75D2D7A4" w:rsidR="00337565" w:rsidRPr="00440F9D" w:rsidRDefault="00337565" w:rsidP="00337565">
      <w:pPr>
        <w:pStyle w:val="Title"/>
        <w:rPr>
          <w:lang w:val="fr-BE"/>
        </w:rPr>
      </w:pPr>
      <w:r w:rsidRPr="00440F9D">
        <w:rPr>
          <w:lang w:val="fr-BE"/>
        </w:rPr>
        <w:t>Bibliography</w:t>
      </w:r>
      <w:r w:rsidR="00E56B0B" w:rsidRPr="00440F9D">
        <w:rPr>
          <w:lang w:val="fr-BE"/>
        </w:rPr>
        <w:t xml:space="preserve"> </w:t>
      </w:r>
    </w:p>
    <w:p w14:paraId="170BA8FA" w14:textId="5D89EC19" w:rsidR="00440F9D" w:rsidRPr="00440F9D" w:rsidRDefault="001A296A" w:rsidP="00440F9D">
      <w:pPr>
        <w:pStyle w:val="Bibliography"/>
      </w:pPr>
      <w:r>
        <w:fldChar w:fldCharType="begin"/>
      </w:r>
      <w:r w:rsidR="00440F9D">
        <w:rPr>
          <w:lang w:val="fr-BE"/>
        </w:rPr>
        <w:instrText xml:space="preserve"> ADDIN ZOTERO_BIBL {"uncited":[],"omitted":[],"custom":[]} CSL_BIBLIOGRAPHY </w:instrText>
      </w:r>
      <w:r>
        <w:fldChar w:fldCharType="separate"/>
      </w:r>
      <w:r w:rsidR="00440F9D" w:rsidRPr="00440F9D">
        <w:rPr>
          <w:lang w:val="fr-BE"/>
        </w:rPr>
        <w:t xml:space="preserve">Arrêté du Gouvernement de la Communauté française déterminant les compétences terminales et savoirs requis à l’issue de la section de transition des humanités générales et technologiques en mathématiques, en sciences de base et en sciences générales et déterminant les compétences terminales et savoirs communs à l’issue de la section de qualification des humanités techniques et professionnelles en éducation scientifique, en français, en sciences économiques et sociales ainsi qu’en sciences humaines. </w:t>
      </w:r>
      <w:r w:rsidR="00440F9D" w:rsidRPr="00440F9D">
        <w:t xml:space="preserve">[Decree </w:t>
      </w:r>
      <w:r w:rsidR="00440F9D" w:rsidRPr="00440F9D">
        <w:lastRenderedPageBreak/>
        <w:t>of the Government of the French Community determining the terminal competences and knowledge required at the end of the transition section of the general and technological humanities in mathematics, basic sciences and general sciences and determining the terminal competences and common knowledge at the end of the qualification section of the technical and professional humanities in scientific education, French, economic and social sciences and humanities.], 2014/29173 (2014).</w:t>
      </w:r>
      <w:r w:rsidR="00BB4F40">
        <w:t xml:space="preserve"> </w:t>
      </w:r>
      <w:r w:rsidR="00BB4F40" w:rsidRPr="00BB4F40">
        <w:t>https://www.gallilex.cfwb.be/document/pdf/40140_001.pdf</w:t>
      </w:r>
      <w:r w:rsidR="001D3D98">
        <w:t xml:space="preserve"> </w:t>
      </w:r>
      <w:r w:rsidR="00BB4F40">
        <w:t xml:space="preserve"> </w:t>
      </w:r>
    </w:p>
    <w:p w14:paraId="355E3BAA" w14:textId="77777777" w:rsidR="00440F9D" w:rsidRPr="00440F9D" w:rsidRDefault="00440F9D" w:rsidP="00440F9D">
      <w:pPr>
        <w:pStyle w:val="Bibliography"/>
        <w:rPr>
          <w:lang w:val="fr-BE"/>
        </w:rPr>
      </w:pPr>
      <w:r w:rsidRPr="00440F9D">
        <w:t xml:space="preserve">Atarés, L., Canet, M. J., Trujillo, M., Benlloch-Dualde, J. Vte., Paricio Royo, J., &amp; Fernandez-March, A. (2021). Helping Pregraduate Students Reach Deep Understanding of the Second Law of Thermodynamics. </w:t>
      </w:r>
      <w:r w:rsidRPr="00440F9D">
        <w:rPr>
          <w:i/>
          <w:iCs/>
          <w:lang w:val="fr-BE"/>
        </w:rPr>
        <w:t>Education Sciences</w:t>
      </w:r>
      <w:r w:rsidRPr="00440F9D">
        <w:rPr>
          <w:lang w:val="fr-BE"/>
        </w:rPr>
        <w:t xml:space="preserve">, </w:t>
      </w:r>
      <w:r w:rsidRPr="00440F9D">
        <w:rPr>
          <w:i/>
          <w:iCs/>
          <w:lang w:val="fr-BE"/>
        </w:rPr>
        <w:t>11</w:t>
      </w:r>
      <w:r w:rsidRPr="00440F9D">
        <w:rPr>
          <w:lang w:val="fr-BE"/>
        </w:rPr>
        <w:t>(9), 539</w:t>
      </w:r>
      <w:r w:rsidRPr="00440F9D">
        <w:rPr>
          <w:rFonts w:ascii="Cambria Math" w:hAnsi="Cambria Math" w:cs="Cambria Math"/>
          <w:lang w:val="fr-BE"/>
        </w:rPr>
        <w:t>‑</w:t>
      </w:r>
      <w:r w:rsidRPr="00440F9D">
        <w:rPr>
          <w:lang w:val="fr-BE"/>
        </w:rPr>
        <w:t>553. https://doi.org/10.3390/educsci11090539</w:t>
      </w:r>
    </w:p>
    <w:p w14:paraId="7B23AF1D" w14:textId="77777777" w:rsidR="00440F9D" w:rsidRPr="00440F9D" w:rsidRDefault="00440F9D" w:rsidP="00440F9D">
      <w:pPr>
        <w:pStyle w:val="Bibliography"/>
      </w:pPr>
      <w:r w:rsidRPr="00440F9D">
        <w:rPr>
          <w:lang w:val="fr-BE"/>
        </w:rPr>
        <w:t xml:space="preserve">Atkins, P., De Paula, J., &amp; Keeler, J. (2023). </w:t>
      </w:r>
      <w:r w:rsidRPr="00440F9D">
        <w:rPr>
          <w:i/>
          <w:iCs/>
        </w:rPr>
        <w:t>Atkins’ Physical Chemistry</w:t>
      </w:r>
      <w:r w:rsidRPr="00440F9D">
        <w:t xml:space="preserve"> (12</w:t>
      </w:r>
      <w:r w:rsidRPr="00440F9D">
        <w:rPr>
          <w:vertAlign w:val="superscript"/>
        </w:rPr>
        <w:t>e</w:t>
      </w:r>
      <w:r w:rsidRPr="00440F9D">
        <w:t xml:space="preserve"> éd.). Oxford University Press.</w:t>
      </w:r>
    </w:p>
    <w:p w14:paraId="2301DAE1" w14:textId="4AC6A30C" w:rsidR="00440F9D" w:rsidRPr="00440F9D" w:rsidRDefault="00440F9D" w:rsidP="00440F9D">
      <w:pPr>
        <w:pStyle w:val="Bibliography"/>
      </w:pPr>
      <w:r w:rsidRPr="00440F9D">
        <w:t xml:space="preserve">Bain, K., Moon, A., Mack, M. R., &amp; Towns, M. H. (2014). A review of research on the teaching and learning of thermodynamics at the university level. </w:t>
      </w:r>
      <w:r w:rsidR="00E01271" w:rsidRPr="00440F9D">
        <w:rPr>
          <w:i/>
          <w:iCs/>
        </w:rPr>
        <w:t>Chemistry Education Research and Practice</w:t>
      </w:r>
      <w:r w:rsidRPr="00440F9D">
        <w:t xml:space="preserve">, </w:t>
      </w:r>
      <w:r w:rsidRPr="00440F9D">
        <w:rPr>
          <w:i/>
          <w:iCs/>
        </w:rPr>
        <w:t>15</w:t>
      </w:r>
      <w:r w:rsidRPr="00440F9D">
        <w:t>(3), 320</w:t>
      </w:r>
      <w:r w:rsidRPr="00440F9D">
        <w:rPr>
          <w:rFonts w:ascii="Cambria Math" w:hAnsi="Cambria Math" w:cs="Cambria Math"/>
        </w:rPr>
        <w:t>‑</w:t>
      </w:r>
      <w:r w:rsidRPr="00440F9D">
        <w:t>335. https://doi.org/10.1039/C4RP00011K</w:t>
      </w:r>
    </w:p>
    <w:p w14:paraId="1936C095" w14:textId="77777777" w:rsidR="00440F9D" w:rsidRPr="00440F9D" w:rsidRDefault="00440F9D" w:rsidP="00440F9D">
      <w:pPr>
        <w:pStyle w:val="Bibliography"/>
      </w:pPr>
      <w:r w:rsidRPr="00440F9D">
        <w:t xml:space="preserve">Camacho, F. F., Lugo, N. U., &amp; Martınez, H. C. (2015). The concept of entropy, from its origins to teachers. </w:t>
      </w:r>
      <w:r w:rsidRPr="00440F9D">
        <w:rPr>
          <w:i/>
          <w:iCs/>
        </w:rPr>
        <w:t>Revista Mexicana de Física</w:t>
      </w:r>
      <w:r w:rsidRPr="00440F9D">
        <w:t xml:space="preserve">, </w:t>
      </w:r>
      <w:r w:rsidRPr="00440F9D">
        <w:rPr>
          <w:i/>
          <w:iCs/>
        </w:rPr>
        <w:t>61</w:t>
      </w:r>
      <w:r w:rsidRPr="00440F9D">
        <w:t>, 69</w:t>
      </w:r>
      <w:r w:rsidRPr="00440F9D">
        <w:rPr>
          <w:rFonts w:ascii="Cambria Math" w:hAnsi="Cambria Math" w:cs="Cambria Math"/>
        </w:rPr>
        <w:t>‑</w:t>
      </w:r>
      <w:r w:rsidRPr="00440F9D">
        <w:t>80.</w:t>
      </w:r>
    </w:p>
    <w:p w14:paraId="6486DB9C" w14:textId="77777777" w:rsidR="00440F9D" w:rsidRPr="00440F9D" w:rsidRDefault="00440F9D" w:rsidP="00440F9D">
      <w:pPr>
        <w:pStyle w:val="Bibliography"/>
      </w:pPr>
      <w:r w:rsidRPr="00440F9D">
        <w:t>Donnelly, J., &amp; Hernández, F. E. (2018). Fusing a reversed and informal learning scheme and space</w:t>
      </w:r>
      <w:r w:rsidRPr="00440F9D">
        <w:rPr>
          <w:rFonts w:ascii="Arial" w:hAnsi="Arial" w:cs="Arial"/>
        </w:rPr>
        <w:t> </w:t>
      </w:r>
      <w:r w:rsidRPr="00440F9D">
        <w:t xml:space="preserve">: Student perceptions of active learning in physical chemistry. </w:t>
      </w:r>
      <w:r w:rsidRPr="00440F9D">
        <w:rPr>
          <w:i/>
          <w:iCs/>
        </w:rPr>
        <w:t>Chemistry Education Research and Practice</w:t>
      </w:r>
      <w:r w:rsidRPr="00440F9D">
        <w:t xml:space="preserve">, </w:t>
      </w:r>
      <w:r w:rsidRPr="00440F9D">
        <w:rPr>
          <w:i/>
          <w:iCs/>
        </w:rPr>
        <w:t>19</w:t>
      </w:r>
      <w:r w:rsidRPr="00440F9D">
        <w:t>(2), 520</w:t>
      </w:r>
      <w:r w:rsidRPr="00440F9D">
        <w:rPr>
          <w:rFonts w:ascii="Cambria Math" w:hAnsi="Cambria Math" w:cs="Cambria Math"/>
        </w:rPr>
        <w:t>‑</w:t>
      </w:r>
      <w:r w:rsidRPr="00440F9D">
        <w:t>532. https://doi.org/10.1039/C7RP00186J</w:t>
      </w:r>
    </w:p>
    <w:p w14:paraId="24A3D474" w14:textId="77777777" w:rsidR="00440F9D" w:rsidRPr="00440F9D" w:rsidRDefault="00440F9D" w:rsidP="00440F9D">
      <w:pPr>
        <w:pStyle w:val="Bibliography"/>
      </w:pPr>
      <w:r w:rsidRPr="00440F9D">
        <w:t xml:space="preserve">Donnelly, J., &amp; Winkelmann, K. (2021). Analysis of the Learning-Centeredness of Physical Chemistry Syllabi. </w:t>
      </w:r>
      <w:r w:rsidRPr="00440F9D">
        <w:rPr>
          <w:i/>
          <w:iCs/>
        </w:rPr>
        <w:t>Journal of Chemical Education</w:t>
      </w:r>
      <w:r w:rsidRPr="00440F9D">
        <w:t xml:space="preserve">, </w:t>
      </w:r>
      <w:r w:rsidRPr="00440F9D">
        <w:rPr>
          <w:i/>
          <w:iCs/>
        </w:rPr>
        <w:t>98</w:t>
      </w:r>
      <w:r w:rsidRPr="00440F9D">
        <w:t>(6), 1888</w:t>
      </w:r>
      <w:r w:rsidRPr="00440F9D">
        <w:rPr>
          <w:rFonts w:ascii="Cambria Math" w:hAnsi="Cambria Math" w:cs="Cambria Math"/>
        </w:rPr>
        <w:t>‑</w:t>
      </w:r>
      <w:r w:rsidRPr="00440F9D">
        <w:t>1897. https://doi.org/10.1021/acs.jchemed.1c00225</w:t>
      </w:r>
    </w:p>
    <w:p w14:paraId="3C1A2561" w14:textId="77777777" w:rsidR="00440F9D" w:rsidRPr="00440F9D" w:rsidRDefault="00440F9D" w:rsidP="00440F9D">
      <w:pPr>
        <w:pStyle w:val="Bibliography"/>
      </w:pPr>
      <w:r w:rsidRPr="00440F9D">
        <w:lastRenderedPageBreak/>
        <w:t xml:space="preserve">Fox, L. J., &amp; Roehrig, G. H. (2015). Nationwide Survey of the Undergraduate Physical Chemistry Course. </w:t>
      </w:r>
      <w:r w:rsidRPr="00440F9D">
        <w:rPr>
          <w:i/>
          <w:iCs/>
        </w:rPr>
        <w:t>Journal of Chemical Education</w:t>
      </w:r>
      <w:r w:rsidRPr="00440F9D">
        <w:t xml:space="preserve">, </w:t>
      </w:r>
      <w:r w:rsidRPr="00440F9D">
        <w:rPr>
          <w:i/>
          <w:iCs/>
        </w:rPr>
        <w:t>92</w:t>
      </w:r>
      <w:r w:rsidRPr="00440F9D">
        <w:t>(9), 1456</w:t>
      </w:r>
      <w:r w:rsidRPr="00440F9D">
        <w:rPr>
          <w:rFonts w:ascii="Cambria Math" w:hAnsi="Cambria Math" w:cs="Cambria Math"/>
        </w:rPr>
        <w:t>‑</w:t>
      </w:r>
      <w:r w:rsidRPr="00440F9D">
        <w:t>1465. https://doi.org/10.1021/acs.jchemed.5b00070</w:t>
      </w:r>
    </w:p>
    <w:p w14:paraId="5218DFC4" w14:textId="77777777" w:rsidR="00440F9D" w:rsidRPr="00440F9D" w:rsidRDefault="00440F9D" w:rsidP="00440F9D">
      <w:pPr>
        <w:pStyle w:val="Bibliography"/>
      </w:pPr>
      <w:r w:rsidRPr="00440F9D">
        <w:t xml:space="preserve">Johnstone, A. H. (1991). Why is science difficult to learn? Things are seldom what they seem. </w:t>
      </w:r>
      <w:r w:rsidRPr="00440F9D">
        <w:rPr>
          <w:i/>
          <w:iCs/>
        </w:rPr>
        <w:t>Journal of Computer Assisted Learning</w:t>
      </w:r>
      <w:r w:rsidRPr="00440F9D">
        <w:t xml:space="preserve">, </w:t>
      </w:r>
      <w:r w:rsidRPr="00440F9D">
        <w:rPr>
          <w:i/>
          <w:iCs/>
        </w:rPr>
        <w:t>7</w:t>
      </w:r>
      <w:r w:rsidRPr="00440F9D">
        <w:t>(2), 75</w:t>
      </w:r>
      <w:r w:rsidRPr="00440F9D">
        <w:rPr>
          <w:rFonts w:ascii="Cambria Math" w:hAnsi="Cambria Math" w:cs="Cambria Math"/>
        </w:rPr>
        <w:t>‑</w:t>
      </w:r>
      <w:r w:rsidRPr="00440F9D">
        <w:t>83. https://doi.org/10.1111/j.1365-2729.1991.tb00230.x</w:t>
      </w:r>
    </w:p>
    <w:p w14:paraId="1F4D40C4" w14:textId="77777777" w:rsidR="00440F9D" w:rsidRPr="00440F9D" w:rsidRDefault="00440F9D" w:rsidP="00440F9D">
      <w:pPr>
        <w:pStyle w:val="Bibliography"/>
      </w:pPr>
      <w:r w:rsidRPr="00440F9D">
        <w:t xml:space="preserve">Mack, M. R., &amp; Towns, M. H. (2016). Faculty beliefs about the purposes for teaching undergraduate physical chemistry courses. </w:t>
      </w:r>
      <w:r w:rsidRPr="00440F9D">
        <w:rPr>
          <w:i/>
          <w:iCs/>
        </w:rPr>
        <w:t>Chemistry Education Research and Practice</w:t>
      </w:r>
      <w:r w:rsidRPr="00440F9D">
        <w:t xml:space="preserve">, </w:t>
      </w:r>
      <w:r w:rsidRPr="00440F9D">
        <w:rPr>
          <w:i/>
          <w:iCs/>
        </w:rPr>
        <w:t>17</w:t>
      </w:r>
      <w:r w:rsidRPr="00440F9D">
        <w:t>(1), 80</w:t>
      </w:r>
      <w:r w:rsidRPr="00440F9D">
        <w:rPr>
          <w:rFonts w:ascii="Cambria Math" w:hAnsi="Cambria Math" w:cs="Cambria Math"/>
        </w:rPr>
        <w:t>‑</w:t>
      </w:r>
      <w:r w:rsidRPr="00440F9D">
        <w:t>99. https://doi.org/10.1039/C5RP00148J</w:t>
      </w:r>
    </w:p>
    <w:p w14:paraId="71BA5B85" w14:textId="77777777" w:rsidR="00440F9D" w:rsidRPr="00440F9D" w:rsidRDefault="00440F9D" w:rsidP="00440F9D">
      <w:pPr>
        <w:pStyle w:val="Bibliography"/>
      </w:pPr>
      <w:r w:rsidRPr="00440F9D">
        <w:t xml:space="preserve">Natalis, V., &amp; Leyh, B. (2024). </w:t>
      </w:r>
      <w:r w:rsidRPr="00440F9D">
        <w:rPr>
          <w:i/>
          <w:iCs/>
        </w:rPr>
        <w:t>Promoting conceptual change when teaching entropy to first-year undergraduates</w:t>
      </w:r>
      <w:r w:rsidRPr="00440F9D">
        <w:rPr>
          <w:rFonts w:ascii="Arial" w:hAnsi="Arial" w:cs="Arial"/>
          <w:i/>
          <w:iCs/>
        </w:rPr>
        <w:t> </w:t>
      </w:r>
      <w:r w:rsidRPr="00440F9D">
        <w:rPr>
          <w:i/>
          <w:iCs/>
        </w:rPr>
        <w:t>: What impact has an introductory statistical approach on alternative conceptions</w:t>
      </w:r>
      <w:r w:rsidRPr="00440F9D">
        <w:rPr>
          <w:rFonts w:ascii="Arial" w:hAnsi="Arial" w:cs="Arial"/>
          <w:i/>
          <w:iCs/>
        </w:rPr>
        <w:t> </w:t>
      </w:r>
      <w:r w:rsidRPr="00440F9D">
        <w:rPr>
          <w:i/>
          <w:iCs/>
        </w:rPr>
        <w:t>? [Submitted manuscript]</w:t>
      </w:r>
      <w:r w:rsidRPr="00440F9D">
        <w:t>.</w:t>
      </w:r>
    </w:p>
    <w:p w14:paraId="1555DFA0" w14:textId="77777777" w:rsidR="00440F9D" w:rsidRPr="00440F9D" w:rsidRDefault="00440F9D" w:rsidP="00440F9D">
      <w:pPr>
        <w:pStyle w:val="Bibliography"/>
      </w:pPr>
      <w:r w:rsidRPr="00440F9D">
        <w:t xml:space="preserve">OCDE. (2023). </w:t>
      </w:r>
      <w:r w:rsidRPr="00440F9D">
        <w:rPr>
          <w:i/>
          <w:iCs/>
        </w:rPr>
        <w:t>Education at a Glance 2023</w:t>
      </w:r>
      <w:r w:rsidRPr="00440F9D">
        <w:t>. https://www.oecd-ilibrary.org/content/publication/e13bef63-en</w:t>
      </w:r>
    </w:p>
    <w:p w14:paraId="1A70BC98" w14:textId="77777777" w:rsidR="00440F9D" w:rsidRPr="00440F9D" w:rsidRDefault="00440F9D" w:rsidP="00440F9D">
      <w:pPr>
        <w:pStyle w:val="Bibliography"/>
      </w:pPr>
      <w:r w:rsidRPr="00440F9D">
        <w:t xml:space="preserve">Partanen, L. (2016). Student oriented approaches in the teaching of thermodynamics at universities – developing an effective course structure. </w:t>
      </w:r>
      <w:r w:rsidRPr="00440F9D">
        <w:rPr>
          <w:i/>
          <w:iCs/>
        </w:rPr>
        <w:t>Chemistry Education Research and Practice</w:t>
      </w:r>
      <w:r w:rsidRPr="00440F9D">
        <w:t xml:space="preserve">, </w:t>
      </w:r>
      <w:r w:rsidRPr="00440F9D">
        <w:rPr>
          <w:i/>
          <w:iCs/>
        </w:rPr>
        <w:t>17</w:t>
      </w:r>
      <w:r w:rsidRPr="00440F9D">
        <w:t>(4), 766</w:t>
      </w:r>
      <w:r w:rsidRPr="00440F9D">
        <w:rPr>
          <w:rFonts w:ascii="Cambria Math" w:hAnsi="Cambria Math" w:cs="Cambria Math"/>
        </w:rPr>
        <w:t>‑</w:t>
      </w:r>
      <w:r w:rsidRPr="00440F9D">
        <w:t>787. https://doi.org/10.1039/C6RP00049E</w:t>
      </w:r>
    </w:p>
    <w:p w14:paraId="71FFC0EC" w14:textId="77777777" w:rsidR="00440F9D" w:rsidRPr="00440F9D" w:rsidRDefault="00440F9D" w:rsidP="00440F9D">
      <w:pPr>
        <w:pStyle w:val="Bibliography"/>
      </w:pPr>
      <w:r w:rsidRPr="00440F9D">
        <w:t xml:space="preserve">Partanen, L. J., Myyry, L., &amp; Asikainen, H. (2024). Physical chemistry students’ learning profiles and their relation to study-related burnout and perceptions of peer and self-assessment. </w:t>
      </w:r>
      <w:r w:rsidRPr="00440F9D">
        <w:rPr>
          <w:i/>
          <w:iCs/>
        </w:rPr>
        <w:t>Chemistry Education Research and Practice</w:t>
      </w:r>
      <w:r w:rsidRPr="00440F9D">
        <w:t xml:space="preserve">, </w:t>
      </w:r>
      <w:r w:rsidRPr="00440F9D">
        <w:rPr>
          <w:i/>
          <w:iCs/>
        </w:rPr>
        <w:t>25</w:t>
      </w:r>
      <w:r w:rsidRPr="00440F9D">
        <w:t>(2), 474</w:t>
      </w:r>
      <w:r w:rsidRPr="00440F9D">
        <w:rPr>
          <w:rFonts w:ascii="Cambria Math" w:hAnsi="Cambria Math" w:cs="Cambria Math"/>
        </w:rPr>
        <w:t>‑</w:t>
      </w:r>
      <w:r w:rsidRPr="00440F9D">
        <w:t>490. https://doi.org/10.1039/D3RP00172E</w:t>
      </w:r>
    </w:p>
    <w:p w14:paraId="7B99164A" w14:textId="77777777" w:rsidR="00440F9D" w:rsidRPr="00440F9D" w:rsidRDefault="00440F9D" w:rsidP="00440F9D">
      <w:pPr>
        <w:pStyle w:val="Bibliography"/>
      </w:pPr>
      <w:r w:rsidRPr="00440F9D">
        <w:t>Schwedler, S., &amp; Kaldewey, M. (2020). Linking the submicroscopic and symbolic level in physical chemistry</w:t>
      </w:r>
      <w:r w:rsidRPr="00440F9D">
        <w:rPr>
          <w:rFonts w:ascii="Arial" w:hAnsi="Arial" w:cs="Arial"/>
        </w:rPr>
        <w:t> </w:t>
      </w:r>
      <w:r w:rsidRPr="00440F9D">
        <w:t>: How voluntary simulation-based learning activities foster first-year university students</w:t>
      </w:r>
      <w:r w:rsidRPr="00440F9D">
        <w:rPr>
          <w:rFonts w:ascii="Aptos" w:hAnsi="Aptos" w:cs="Aptos"/>
        </w:rPr>
        <w:t>’</w:t>
      </w:r>
      <w:r w:rsidRPr="00440F9D">
        <w:t xml:space="preserve"> conceptual understanding. </w:t>
      </w:r>
      <w:r w:rsidRPr="00440F9D">
        <w:rPr>
          <w:i/>
          <w:iCs/>
        </w:rPr>
        <w:t>Chemistry Education Research and Practice</w:t>
      </w:r>
      <w:r w:rsidRPr="00440F9D">
        <w:t xml:space="preserve">, </w:t>
      </w:r>
      <w:r w:rsidRPr="00440F9D">
        <w:rPr>
          <w:i/>
          <w:iCs/>
        </w:rPr>
        <w:t>21</w:t>
      </w:r>
      <w:r w:rsidRPr="00440F9D">
        <w:t>(4), 1132</w:t>
      </w:r>
      <w:r w:rsidRPr="00440F9D">
        <w:rPr>
          <w:rFonts w:ascii="Cambria Math" w:hAnsi="Cambria Math" w:cs="Cambria Math"/>
        </w:rPr>
        <w:t>‑</w:t>
      </w:r>
      <w:r w:rsidRPr="00440F9D">
        <w:t>1147. https://doi.org/10.1039/C9RP00211A</w:t>
      </w:r>
    </w:p>
    <w:p w14:paraId="3AF91F20" w14:textId="77777777" w:rsidR="00440F9D" w:rsidRPr="00440F9D" w:rsidRDefault="00440F9D" w:rsidP="00440F9D">
      <w:pPr>
        <w:pStyle w:val="Bibliography"/>
      </w:pPr>
      <w:r w:rsidRPr="00440F9D">
        <w:lastRenderedPageBreak/>
        <w:t xml:space="preserve">Sözbilir, M. (2004). What Makes Physical Chemistry Difficult? Perceptions of Turkish Chemistry Undergraduates and Lecturers. </w:t>
      </w:r>
      <w:r w:rsidRPr="00440F9D">
        <w:rPr>
          <w:i/>
          <w:iCs/>
        </w:rPr>
        <w:t>Journal of Chemical Education</w:t>
      </w:r>
      <w:r w:rsidRPr="00440F9D">
        <w:t xml:space="preserve">, </w:t>
      </w:r>
      <w:r w:rsidRPr="00440F9D">
        <w:rPr>
          <w:i/>
          <w:iCs/>
        </w:rPr>
        <w:t>81</w:t>
      </w:r>
      <w:r w:rsidRPr="00440F9D">
        <w:t>(4), 573</w:t>
      </w:r>
      <w:r w:rsidRPr="00440F9D">
        <w:rPr>
          <w:rFonts w:ascii="Cambria Math" w:hAnsi="Cambria Math" w:cs="Cambria Math"/>
        </w:rPr>
        <w:t>‑</w:t>
      </w:r>
      <w:r w:rsidRPr="00440F9D">
        <w:t>578. https://doi.org/10.1021/ed081p573</w:t>
      </w:r>
    </w:p>
    <w:p w14:paraId="022BED6A" w14:textId="77777777" w:rsidR="00440F9D" w:rsidRPr="00440F9D" w:rsidRDefault="00440F9D" w:rsidP="00440F9D">
      <w:pPr>
        <w:pStyle w:val="Bibliography"/>
      </w:pPr>
      <w:r w:rsidRPr="00440F9D">
        <w:t xml:space="preserve">Sreenivasulu, B., &amp; Subramaniam, R. (2013). University Students’ Understanding of Chemical Thermodynamics. </w:t>
      </w:r>
      <w:r w:rsidRPr="00440F9D">
        <w:rPr>
          <w:i/>
          <w:iCs/>
        </w:rPr>
        <w:t>International Journal of Science Education</w:t>
      </w:r>
      <w:r w:rsidRPr="00440F9D">
        <w:t xml:space="preserve">, </w:t>
      </w:r>
      <w:r w:rsidRPr="00440F9D">
        <w:rPr>
          <w:i/>
          <w:iCs/>
        </w:rPr>
        <w:t>35</w:t>
      </w:r>
      <w:r w:rsidRPr="00440F9D">
        <w:t>(4), 601</w:t>
      </w:r>
      <w:r w:rsidRPr="00440F9D">
        <w:rPr>
          <w:rFonts w:ascii="Cambria Math" w:hAnsi="Cambria Math" w:cs="Cambria Math"/>
        </w:rPr>
        <w:t>‑</w:t>
      </w:r>
      <w:r w:rsidRPr="00440F9D">
        <w:t>635. https://doi.org/10.1080/09500693.2012.683460</w:t>
      </w:r>
    </w:p>
    <w:p w14:paraId="6A3FA65D" w14:textId="77777777" w:rsidR="00440F9D" w:rsidRPr="00440F9D" w:rsidRDefault="00440F9D" w:rsidP="00440F9D">
      <w:pPr>
        <w:pStyle w:val="Bibliography"/>
      </w:pPr>
      <w:r w:rsidRPr="00440F9D">
        <w:t>Taber, K. S. (2013). Revisiting the chemistry triplet</w:t>
      </w:r>
      <w:r w:rsidRPr="00440F9D">
        <w:rPr>
          <w:rFonts w:ascii="Arial" w:hAnsi="Arial" w:cs="Arial"/>
        </w:rPr>
        <w:t> </w:t>
      </w:r>
      <w:r w:rsidRPr="00440F9D">
        <w:t xml:space="preserve">: Drawing upon the nature of chemical knowledge and the psychology of learning to inform chemistry education. </w:t>
      </w:r>
      <w:r w:rsidRPr="00440F9D">
        <w:rPr>
          <w:i/>
          <w:iCs/>
        </w:rPr>
        <w:t>Chemistry Education Research and Practice</w:t>
      </w:r>
      <w:r w:rsidRPr="00440F9D">
        <w:t xml:space="preserve">, </w:t>
      </w:r>
      <w:r w:rsidRPr="00440F9D">
        <w:rPr>
          <w:i/>
          <w:iCs/>
        </w:rPr>
        <w:t>14</w:t>
      </w:r>
      <w:r w:rsidRPr="00440F9D">
        <w:t>(2), 156</w:t>
      </w:r>
      <w:r w:rsidRPr="00440F9D">
        <w:rPr>
          <w:rFonts w:ascii="Cambria Math" w:hAnsi="Cambria Math" w:cs="Cambria Math"/>
        </w:rPr>
        <w:t>‑</w:t>
      </w:r>
      <w:r w:rsidRPr="00440F9D">
        <w:t>168. https://doi.org/10.1039/C3RP00012E</w:t>
      </w:r>
    </w:p>
    <w:p w14:paraId="26DE3A18" w14:textId="77777777" w:rsidR="00440F9D" w:rsidRPr="00440F9D" w:rsidRDefault="00440F9D" w:rsidP="00440F9D">
      <w:pPr>
        <w:pStyle w:val="Bibliography"/>
      </w:pPr>
      <w:r w:rsidRPr="00440F9D">
        <w:t xml:space="preserve">Tsaparlis, G. (2016). The logical and psychological structure of physical chemistry and its relevance to graduate students’ opinions about the difficulties of the major areas of the subject. </w:t>
      </w:r>
      <w:r w:rsidRPr="00440F9D">
        <w:rPr>
          <w:i/>
          <w:iCs/>
        </w:rPr>
        <w:t>Chemistry Education Research and Practice</w:t>
      </w:r>
      <w:r w:rsidRPr="00440F9D">
        <w:t xml:space="preserve">, </w:t>
      </w:r>
      <w:r w:rsidRPr="00440F9D">
        <w:rPr>
          <w:i/>
          <w:iCs/>
        </w:rPr>
        <w:t>17</w:t>
      </w:r>
      <w:r w:rsidRPr="00440F9D">
        <w:t>(2), 320</w:t>
      </w:r>
      <w:r w:rsidRPr="00440F9D">
        <w:rPr>
          <w:rFonts w:ascii="Cambria Math" w:hAnsi="Cambria Math" w:cs="Cambria Math"/>
        </w:rPr>
        <w:t>‑</w:t>
      </w:r>
      <w:r w:rsidRPr="00440F9D">
        <w:t>336. https://doi.org/10.1039/C5RP00203F</w:t>
      </w:r>
    </w:p>
    <w:p w14:paraId="36678250" w14:textId="14EC0C4A" w:rsidR="00440F9D" w:rsidRPr="00440F9D" w:rsidRDefault="00440F9D" w:rsidP="00440F9D">
      <w:pPr>
        <w:pStyle w:val="Bibliography"/>
      </w:pPr>
      <w:r w:rsidRPr="00440F9D">
        <w:t>Zwier, M. C. (2018). Bridging the Microscopic and Macroscopic in Thermodynamics with Molecular Dynamics Simulations</w:t>
      </w:r>
      <w:r w:rsidRPr="00440F9D">
        <w:rPr>
          <w:rFonts w:ascii="Arial" w:hAnsi="Arial" w:cs="Arial"/>
        </w:rPr>
        <w:t> </w:t>
      </w:r>
      <w:r w:rsidRPr="00440F9D">
        <w:t>: Lab Exercises for Undergraduate Physical Chemistry. In C. M. Teague &amp; D. E. Gardner (</w:t>
      </w:r>
      <w:r w:rsidRPr="00440F9D">
        <w:rPr>
          <w:rFonts w:ascii="Aptos" w:hAnsi="Aptos" w:cs="Aptos"/>
        </w:rPr>
        <w:t>É</w:t>
      </w:r>
      <w:r w:rsidRPr="00440F9D">
        <w:t xml:space="preserve">ds.), </w:t>
      </w:r>
      <w:r w:rsidRPr="00440F9D">
        <w:rPr>
          <w:i/>
          <w:iCs/>
        </w:rPr>
        <w:t>ACS Symposium Series</w:t>
      </w:r>
      <w:r>
        <w:t xml:space="preserve">, </w:t>
      </w:r>
      <w:r w:rsidRPr="00440F9D">
        <w:t>1279,</w:t>
      </w:r>
      <w:r>
        <w:t xml:space="preserve"> </w:t>
      </w:r>
      <w:r w:rsidRPr="00440F9D">
        <w:t>33</w:t>
      </w:r>
      <w:r w:rsidRPr="00440F9D">
        <w:rPr>
          <w:rFonts w:ascii="Cambria Math" w:hAnsi="Cambria Math" w:cs="Cambria Math"/>
        </w:rPr>
        <w:t>‑</w:t>
      </w:r>
      <w:r w:rsidRPr="00440F9D">
        <w:t>48. American Chemical Society. https://doi.org/10.1021/bk-2018-1279.ch003</w:t>
      </w:r>
    </w:p>
    <w:p w14:paraId="062C6701" w14:textId="3F69CB6E" w:rsidR="001A296A" w:rsidRPr="001A296A" w:rsidRDefault="001A296A" w:rsidP="00E1744A">
      <w:pPr>
        <w:spacing w:line="240" w:lineRule="auto"/>
      </w:pPr>
      <w:r>
        <w:fldChar w:fldCharType="end"/>
      </w:r>
    </w:p>
    <w:p w14:paraId="1197579D" w14:textId="77777777" w:rsidR="00337565" w:rsidRPr="00337565" w:rsidRDefault="00337565" w:rsidP="00337565"/>
    <w:sectPr w:rsidR="00337565" w:rsidRPr="00337565" w:rsidSect="002E0F1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706FC4"/>
    <w:multiLevelType w:val="hybridMultilevel"/>
    <w:tmpl w:val="902427CA"/>
    <w:lvl w:ilvl="0" w:tplc="080C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DDAEDD10">
      <w:start w:val="1"/>
      <w:numFmt w:val="bullet"/>
      <w:lvlText w:val=""/>
      <w:lvlJc w:val="left"/>
      <w:pPr>
        <w:ind w:left="2880" w:hanging="360"/>
      </w:pPr>
      <w:rPr>
        <w:rFonts w:ascii="Wingdings" w:eastAsiaTheme="minorHAnsi" w:hAnsi="Wingdings" w:cstheme="minorBidi"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2B311D"/>
    <w:multiLevelType w:val="hybridMultilevel"/>
    <w:tmpl w:val="C5642100"/>
    <w:lvl w:ilvl="0" w:tplc="F9D61750">
      <w:numFmt w:val="bullet"/>
      <w:lvlText w:val="-"/>
      <w:lvlJc w:val="left"/>
      <w:pPr>
        <w:ind w:left="720" w:hanging="360"/>
      </w:pPr>
      <w:rPr>
        <w:rFonts w:ascii="Aptos" w:eastAsiaTheme="minorHAnsi" w:hAnsi="Aptos"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8C20FC"/>
    <w:multiLevelType w:val="hybridMultilevel"/>
    <w:tmpl w:val="8C46F972"/>
    <w:lvl w:ilvl="0" w:tplc="2BA83EBE">
      <w:start w:val="23"/>
      <w:numFmt w:val="bullet"/>
      <w:lvlText w:val="-"/>
      <w:lvlJc w:val="left"/>
      <w:pPr>
        <w:ind w:left="360" w:hanging="360"/>
      </w:pPr>
      <w:rPr>
        <w:rFonts w:ascii="Aptos" w:eastAsiaTheme="minorHAnsi" w:hAnsi="Aptos"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E312C26"/>
    <w:multiLevelType w:val="hybridMultilevel"/>
    <w:tmpl w:val="5738585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3FC5262"/>
    <w:multiLevelType w:val="hybridMultilevel"/>
    <w:tmpl w:val="43183AE0"/>
    <w:lvl w:ilvl="0" w:tplc="080C0003">
      <w:start w:val="1"/>
      <w:numFmt w:val="bullet"/>
      <w:lvlText w:val="o"/>
      <w:lvlJc w:val="left"/>
      <w:pPr>
        <w:ind w:left="360" w:hanging="360"/>
      </w:pPr>
      <w:rPr>
        <w:rFonts w:ascii="Courier New" w:hAnsi="Courier New" w:cs="Courier New"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14AB1E51"/>
    <w:multiLevelType w:val="hybridMultilevel"/>
    <w:tmpl w:val="5E542DCA"/>
    <w:lvl w:ilvl="0" w:tplc="7804D45E">
      <w:start w:val="7"/>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7706720"/>
    <w:multiLevelType w:val="hybridMultilevel"/>
    <w:tmpl w:val="B636A3D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65F4904"/>
    <w:multiLevelType w:val="hybridMultilevel"/>
    <w:tmpl w:val="D3946A18"/>
    <w:lvl w:ilvl="0" w:tplc="080C0005">
      <w:start w:val="1"/>
      <w:numFmt w:val="bullet"/>
      <w:lvlText w:val=""/>
      <w:lvlJc w:val="left"/>
      <w:pPr>
        <w:ind w:left="1440" w:hanging="360"/>
      </w:pPr>
      <w:rPr>
        <w:rFonts w:ascii="Wingdings" w:hAnsi="Wingdings" w:hint="default"/>
      </w:rPr>
    </w:lvl>
    <w:lvl w:ilvl="1" w:tplc="FFFFFFFF">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8" w15:restartNumberingAfterBreak="0">
    <w:nsid w:val="27A47A96"/>
    <w:multiLevelType w:val="hybridMultilevel"/>
    <w:tmpl w:val="42F2C356"/>
    <w:lvl w:ilvl="0" w:tplc="4BDC9532">
      <w:start w:val="1"/>
      <w:numFmt w:val="decimal"/>
      <w:lvlText w:val="%1."/>
      <w:lvlJc w:val="left"/>
      <w:pPr>
        <w:ind w:left="1020" w:hanging="360"/>
      </w:pPr>
    </w:lvl>
    <w:lvl w:ilvl="1" w:tplc="23E68D02">
      <w:start w:val="1"/>
      <w:numFmt w:val="decimal"/>
      <w:lvlText w:val="%2."/>
      <w:lvlJc w:val="left"/>
      <w:pPr>
        <w:ind w:left="1020" w:hanging="360"/>
      </w:pPr>
    </w:lvl>
    <w:lvl w:ilvl="2" w:tplc="03BA64A4">
      <w:start w:val="1"/>
      <w:numFmt w:val="decimal"/>
      <w:lvlText w:val="%3."/>
      <w:lvlJc w:val="left"/>
      <w:pPr>
        <w:ind w:left="1020" w:hanging="360"/>
      </w:pPr>
    </w:lvl>
    <w:lvl w:ilvl="3" w:tplc="756E74EA">
      <w:start w:val="1"/>
      <w:numFmt w:val="decimal"/>
      <w:lvlText w:val="%4."/>
      <w:lvlJc w:val="left"/>
      <w:pPr>
        <w:ind w:left="1020" w:hanging="360"/>
      </w:pPr>
    </w:lvl>
    <w:lvl w:ilvl="4" w:tplc="A21A6F3A">
      <w:start w:val="1"/>
      <w:numFmt w:val="decimal"/>
      <w:lvlText w:val="%5."/>
      <w:lvlJc w:val="left"/>
      <w:pPr>
        <w:ind w:left="1020" w:hanging="360"/>
      </w:pPr>
    </w:lvl>
    <w:lvl w:ilvl="5" w:tplc="A150132C">
      <w:start w:val="1"/>
      <w:numFmt w:val="decimal"/>
      <w:lvlText w:val="%6."/>
      <w:lvlJc w:val="left"/>
      <w:pPr>
        <w:ind w:left="1020" w:hanging="360"/>
      </w:pPr>
    </w:lvl>
    <w:lvl w:ilvl="6" w:tplc="CBBEEFBA">
      <w:start w:val="1"/>
      <w:numFmt w:val="decimal"/>
      <w:lvlText w:val="%7."/>
      <w:lvlJc w:val="left"/>
      <w:pPr>
        <w:ind w:left="1020" w:hanging="360"/>
      </w:pPr>
    </w:lvl>
    <w:lvl w:ilvl="7" w:tplc="606A591A">
      <w:start w:val="1"/>
      <w:numFmt w:val="decimal"/>
      <w:lvlText w:val="%8."/>
      <w:lvlJc w:val="left"/>
      <w:pPr>
        <w:ind w:left="1020" w:hanging="360"/>
      </w:pPr>
    </w:lvl>
    <w:lvl w:ilvl="8" w:tplc="C5DE7918">
      <w:start w:val="1"/>
      <w:numFmt w:val="decimal"/>
      <w:lvlText w:val="%9."/>
      <w:lvlJc w:val="left"/>
      <w:pPr>
        <w:ind w:left="1020" w:hanging="360"/>
      </w:pPr>
    </w:lvl>
  </w:abstractNum>
  <w:abstractNum w:abstractNumId="9" w15:restartNumberingAfterBreak="0">
    <w:nsid w:val="29A262C1"/>
    <w:multiLevelType w:val="hybridMultilevel"/>
    <w:tmpl w:val="9A5A1AA2"/>
    <w:lvl w:ilvl="0" w:tplc="080C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30847903"/>
    <w:multiLevelType w:val="hybridMultilevel"/>
    <w:tmpl w:val="3CCEFEE0"/>
    <w:lvl w:ilvl="0" w:tplc="080C0003">
      <w:start w:val="1"/>
      <w:numFmt w:val="bullet"/>
      <w:lvlText w:val="o"/>
      <w:lvlJc w:val="left"/>
      <w:pPr>
        <w:ind w:left="360" w:hanging="360"/>
      </w:pPr>
      <w:rPr>
        <w:rFonts w:ascii="Courier New" w:hAnsi="Courier New" w:cs="Courier New"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1" w15:restartNumberingAfterBreak="0">
    <w:nsid w:val="3542626C"/>
    <w:multiLevelType w:val="hybridMultilevel"/>
    <w:tmpl w:val="0B60B470"/>
    <w:lvl w:ilvl="0" w:tplc="8A94E1FC">
      <w:start w:val="23"/>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A2E33A9"/>
    <w:multiLevelType w:val="hybridMultilevel"/>
    <w:tmpl w:val="27344E08"/>
    <w:lvl w:ilvl="0" w:tplc="F9D61750">
      <w:numFmt w:val="bullet"/>
      <w:lvlText w:val="-"/>
      <w:lvlJc w:val="left"/>
      <w:pPr>
        <w:ind w:left="1440" w:hanging="360"/>
      </w:pPr>
      <w:rPr>
        <w:rFonts w:ascii="Aptos" w:eastAsiaTheme="minorHAnsi" w:hAnsi="Aptos" w:cstheme="minorBid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3AA21D48"/>
    <w:multiLevelType w:val="hybridMultilevel"/>
    <w:tmpl w:val="B7142CD0"/>
    <w:lvl w:ilvl="0" w:tplc="EDD6A992">
      <w:start w:val="2"/>
      <w:numFmt w:val="bullet"/>
      <w:lvlText w:val=""/>
      <w:lvlJc w:val="left"/>
      <w:pPr>
        <w:ind w:left="720" w:hanging="360"/>
      </w:pPr>
      <w:rPr>
        <w:rFonts w:ascii="Symbol" w:eastAsiaTheme="minorHAnsi" w:hAnsi="Symbol"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C705AE9"/>
    <w:multiLevelType w:val="hybridMultilevel"/>
    <w:tmpl w:val="BF34E9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BC0200B"/>
    <w:multiLevelType w:val="hybridMultilevel"/>
    <w:tmpl w:val="132CC47E"/>
    <w:lvl w:ilvl="0" w:tplc="080C0003">
      <w:start w:val="1"/>
      <w:numFmt w:val="bullet"/>
      <w:lvlText w:val="o"/>
      <w:lvlJc w:val="left"/>
      <w:pPr>
        <w:ind w:left="360" w:hanging="360"/>
      </w:pPr>
      <w:rPr>
        <w:rFonts w:ascii="Courier New" w:hAnsi="Courier New" w:cs="Courier New"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6" w15:restartNumberingAfterBreak="0">
    <w:nsid w:val="646B2195"/>
    <w:multiLevelType w:val="hybridMultilevel"/>
    <w:tmpl w:val="1326E5F0"/>
    <w:lvl w:ilvl="0" w:tplc="C63A4B5A">
      <w:start w:val="1"/>
      <w:numFmt w:val="decimal"/>
      <w:lvlText w:val="%1."/>
      <w:lvlJc w:val="left"/>
      <w:pPr>
        <w:ind w:left="1020" w:hanging="360"/>
      </w:pPr>
    </w:lvl>
    <w:lvl w:ilvl="1" w:tplc="136A3742">
      <w:start w:val="1"/>
      <w:numFmt w:val="decimal"/>
      <w:lvlText w:val="%2."/>
      <w:lvlJc w:val="left"/>
      <w:pPr>
        <w:ind w:left="1020" w:hanging="360"/>
      </w:pPr>
    </w:lvl>
    <w:lvl w:ilvl="2" w:tplc="63F2D694">
      <w:start w:val="1"/>
      <w:numFmt w:val="decimal"/>
      <w:lvlText w:val="%3."/>
      <w:lvlJc w:val="left"/>
      <w:pPr>
        <w:ind w:left="1020" w:hanging="360"/>
      </w:pPr>
    </w:lvl>
    <w:lvl w:ilvl="3" w:tplc="AA726200">
      <w:start w:val="1"/>
      <w:numFmt w:val="decimal"/>
      <w:lvlText w:val="%4."/>
      <w:lvlJc w:val="left"/>
      <w:pPr>
        <w:ind w:left="1020" w:hanging="360"/>
      </w:pPr>
    </w:lvl>
    <w:lvl w:ilvl="4" w:tplc="1BE0E2CC">
      <w:start w:val="1"/>
      <w:numFmt w:val="decimal"/>
      <w:lvlText w:val="%5."/>
      <w:lvlJc w:val="left"/>
      <w:pPr>
        <w:ind w:left="1020" w:hanging="360"/>
      </w:pPr>
    </w:lvl>
    <w:lvl w:ilvl="5" w:tplc="36047F26">
      <w:start w:val="1"/>
      <w:numFmt w:val="decimal"/>
      <w:lvlText w:val="%6."/>
      <w:lvlJc w:val="left"/>
      <w:pPr>
        <w:ind w:left="1020" w:hanging="360"/>
      </w:pPr>
    </w:lvl>
    <w:lvl w:ilvl="6" w:tplc="4B5EC294">
      <w:start w:val="1"/>
      <w:numFmt w:val="decimal"/>
      <w:lvlText w:val="%7."/>
      <w:lvlJc w:val="left"/>
      <w:pPr>
        <w:ind w:left="1020" w:hanging="360"/>
      </w:pPr>
    </w:lvl>
    <w:lvl w:ilvl="7" w:tplc="420A04EE">
      <w:start w:val="1"/>
      <w:numFmt w:val="decimal"/>
      <w:lvlText w:val="%8."/>
      <w:lvlJc w:val="left"/>
      <w:pPr>
        <w:ind w:left="1020" w:hanging="360"/>
      </w:pPr>
    </w:lvl>
    <w:lvl w:ilvl="8" w:tplc="967CA170">
      <w:start w:val="1"/>
      <w:numFmt w:val="decimal"/>
      <w:lvlText w:val="%9."/>
      <w:lvlJc w:val="left"/>
      <w:pPr>
        <w:ind w:left="1020" w:hanging="360"/>
      </w:pPr>
    </w:lvl>
  </w:abstractNum>
  <w:abstractNum w:abstractNumId="17" w15:restartNumberingAfterBreak="0">
    <w:nsid w:val="75336E01"/>
    <w:multiLevelType w:val="hybridMultilevel"/>
    <w:tmpl w:val="359E5A8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6BF5DCC"/>
    <w:multiLevelType w:val="hybridMultilevel"/>
    <w:tmpl w:val="9340ACA0"/>
    <w:lvl w:ilvl="0" w:tplc="7804D45E">
      <w:start w:val="7"/>
      <w:numFmt w:val="bullet"/>
      <w:lvlText w:val="-"/>
      <w:lvlJc w:val="left"/>
      <w:pPr>
        <w:ind w:left="1440" w:hanging="360"/>
      </w:pPr>
      <w:rPr>
        <w:rFonts w:ascii="Aptos" w:eastAsiaTheme="minorHAnsi" w:hAnsi="Aptos" w:cstheme="minorBidi"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7AFC790C"/>
    <w:multiLevelType w:val="hybridMultilevel"/>
    <w:tmpl w:val="75826C2E"/>
    <w:lvl w:ilvl="0" w:tplc="080C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7DF61D91"/>
    <w:multiLevelType w:val="hybridMultilevel"/>
    <w:tmpl w:val="FD6A520A"/>
    <w:lvl w:ilvl="0" w:tplc="080C0003">
      <w:start w:val="1"/>
      <w:numFmt w:val="bullet"/>
      <w:lvlText w:val="o"/>
      <w:lvlJc w:val="left"/>
      <w:pPr>
        <w:ind w:left="765" w:hanging="360"/>
      </w:pPr>
      <w:rPr>
        <w:rFonts w:ascii="Courier New" w:hAnsi="Courier New" w:cs="Courier New"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num w:numId="1" w16cid:durableId="1570843893">
    <w:abstractNumId w:val="3"/>
  </w:num>
  <w:num w:numId="2" w16cid:durableId="781461443">
    <w:abstractNumId w:val="18"/>
  </w:num>
  <w:num w:numId="3" w16cid:durableId="1049183507">
    <w:abstractNumId w:val="19"/>
  </w:num>
  <w:num w:numId="4" w16cid:durableId="207033119">
    <w:abstractNumId w:val="11"/>
  </w:num>
  <w:num w:numId="5" w16cid:durableId="644316937">
    <w:abstractNumId w:val="2"/>
  </w:num>
  <w:num w:numId="6" w16cid:durableId="375200891">
    <w:abstractNumId w:val="17"/>
  </w:num>
  <w:num w:numId="7" w16cid:durableId="1319726092">
    <w:abstractNumId w:val="1"/>
  </w:num>
  <w:num w:numId="8" w16cid:durableId="904680244">
    <w:abstractNumId w:val="0"/>
  </w:num>
  <w:num w:numId="9" w16cid:durableId="2020348513">
    <w:abstractNumId w:val="13"/>
  </w:num>
  <w:num w:numId="10" w16cid:durableId="1479223754">
    <w:abstractNumId w:val="9"/>
  </w:num>
  <w:num w:numId="11" w16cid:durableId="1888254542">
    <w:abstractNumId w:val="6"/>
  </w:num>
  <w:num w:numId="12" w16cid:durableId="1514765890">
    <w:abstractNumId w:val="12"/>
  </w:num>
  <w:num w:numId="13" w16cid:durableId="2046633138">
    <w:abstractNumId w:val="5"/>
  </w:num>
  <w:num w:numId="14" w16cid:durableId="310409064">
    <w:abstractNumId w:val="7"/>
  </w:num>
  <w:num w:numId="15" w16cid:durableId="92209329">
    <w:abstractNumId w:val="10"/>
  </w:num>
  <w:num w:numId="16" w16cid:durableId="1898854771">
    <w:abstractNumId w:val="15"/>
  </w:num>
  <w:num w:numId="17" w16cid:durableId="859976474">
    <w:abstractNumId w:val="20"/>
  </w:num>
  <w:num w:numId="18" w16cid:durableId="1603800159">
    <w:abstractNumId w:val="14"/>
  </w:num>
  <w:num w:numId="19" w16cid:durableId="1547176928">
    <w:abstractNumId w:val="4"/>
  </w:num>
  <w:num w:numId="20" w16cid:durableId="2082291458">
    <w:abstractNumId w:val="8"/>
  </w:num>
  <w:num w:numId="21" w16cid:durableId="187704324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7E54"/>
    <w:rsid w:val="00003341"/>
    <w:rsid w:val="0001641F"/>
    <w:rsid w:val="000417B4"/>
    <w:rsid w:val="00043157"/>
    <w:rsid w:val="0005345C"/>
    <w:rsid w:val="000544E7"/>
    <w:rsid w:val="000557C4"/>
    <w:rsid w:val="00066AE5"/>
    <w:rsid w:val="0007568D"/>
    <w:rsid w:val="00091861"/>
    <w:rsid w:val="000964FC"/>
    <w:rsid w:val="00096524"/>
    <w:rsid w:val="000B4BEC"/>
    <w:rsid w:val="000C0BB1"/>
    <w:rsid w:val="000C74F4"/>
    <w:rsid w:val="000D0D64"/>
    <w:rsid w:val="000D62B2"/>
    <w:rsid w:val="0010420C"/>
    <w:rsid w:val="00105B5A"/>
    <w:rsid w:val="00110402"/>
    <w:rsid w:val="00120289"/>
    <w:rsid w:val="00125BDF"/>
    <w:rsid w:val="00132C13"/>
    <w:rsid w:val="00140645"/>
    <w:rsid w:val="00144858"/>
    <w:rsid w:val="00146A78"/>
    <w:rsid w:val="00154D09"/>
    <w:rsid w:val="00164142"/>
    <w:rsid w:val="00194859"/>
    <w:rsid w:val="0019729C"/>
    <w:rsid w:val="001A296A"/>
    <w:rsid w:val="001B0654"/>
    <w:rsid w:val="001C0B17"/>
    <w:rsid w:val="001D3D98"/>
    <w:rsid w:val="001E3683"/>
    <w:rsid w:val="001F1634"/>
    <w:rsid w:val="00200CA3"/>
    <w:rsid w:val="00211002"/>
    <w:rsid w:val="00220C1F"/>
    <w:rsid w:val="002230BA"/>
    <w:rsid w:val="002234A8"/>
    <w:rsid w:val="00226BBA"/>
    <w:rsid w:val="00235D11"/>
    <w:rsid w:val="0025123D"/>
    <w:rsid w:val="0025268D"/>
    <w:rsid w:val="00254B2B"/>
    <w:rsid w:val="0027432C"/>
    <w:rsid w:val="00284617"/>
    <w:rsid w:val="00292C6F"/>
    <w:rsid w:val="00294312"/>
    <w:rsid w:val="002A0CD4"/>
    <w:rsid w:val="002A2E78"/>
    <w:rsid w:val="002A46A5"/>
    <w:rsid w:val="002C70F2"/>
    <w:rsid w:val="002D13FE"/>
    <w:rsid w:val="002E0F12"/>
    <w:rsid w:val="002F4CF8"/>
    <w:rsid w:val="0030479A"/>
    <w:rsid w:val="00311886"/>
    <w:rsid w:val="00322246"/>
    <w:rsid w:val="00333200"/>
    <w:rsid w:val="003367C2"/>
    <w:rsid w:val="00337565"/>
    <w:rsid w:val="0038115F"/>
    <w:rsid w:val="00390D9B"/>
    <w:rsid w:val="00393DB6"/>
    <w:rsid w:val="003A206F"/>
    <w:rsid w:val="003A6937"/>
    <w:rsid w:val="003B6B22"/>
    <w:rsid w:val="003B7652"/>
    <w:rsid w:val="003C0E20"/>
    <w:rsid w:val="003D2EB7"/>
    <w:rsid w:val="003D30DF"/>
    <w:rsid w:val="003D4CD8"/>
    <w:rsid w:val="003F01FE"/>
    <w:rsid w:val="00405212"/>
    <w:rsid w:val="00421617"/>
    <w:rsid w:val="0043022E"/>
    <w:rsid w:val="00434B44"/>
    <w:rsid w:val="00440F9D"/>
    <w:rsid w:val="00445473"/>
    <w:rsid w:val="00447A96"/>
    <w:rsid w:val="00453605"/>
    <w:rsid w:val="00460025"/>
    <w:rsid w:val="004620FB"/>
    <w:rsid w:val="004627D5"/>
    <w:rsid w:val="00462F70"/>
    <w:rsid w:val="00473DBA"/>
    <w:rsid w:val="004863A0"/>
    <w:rsid w:val="004A00EE"/>
    <w:rsid w:val="004B45B5"/>
    <w:rsid w:val="004B4801"/>
    <w:rsid w:val="004B55BD"/>
    <w:rsid w:val="004E11C8"/>
    <w:rsid w:val="004F05AE"/>
    <w:rsid w:val="00505B79"/>
    <w:rsid w:val="005139BC"/>
    <w:rsid w:val="00526AEB"/>
    <w:rsid w:val="00533631"/>
    <w:rsid w:val="0055208F"/>
    <w:rsid w:val="00557CDC"/>
    <w:rsid w:val="00563417"/>
    <w:rsid w:val="005752BE"/>
    <w:rsid w:val="00581488"/>
    <w:rsid w:val="00582120"/>
    <w:rsid w:val="00582850"/>
    <w:rsid w:val="0058459A"/>
    <w:rsid w:val="00586A1F"/>
    <w:rsid w:val="005A5892"/>
    <w:rsid w:val="005A67AD"/>
    <w:rsid w:val="005B5B4A"/>
    <w:rsid w:val="005B5E22"/>
    <w:rsid w:val="005B6A61"/>
    <w:rsid w:val="005C59E6"/>
    <w:rsid w:val="005D0FE2"/>
    <w:rsid w:val="005E36FF"/>
    <w:rsid w:val="005F62CC"/>
    <w:rsid w:val="005F72E6"/>
    <w:rsid w:val="00600B53"/>
    <w:rsid w:val="00601B33"/>
    <w:rsid w:val="0063049E"/>
    <w:rsid w:val="006358B6"/>
    <w:rsid w:val="00640D6F"/>
    <w:rsid w:val="0065023B"/>
    <w:rsid w:val="00652B40"/>
    <w:rsid w:val="00662382"/>
    <w:rsid w:val="00663A59"/>
    <w:rsid w:val="006761E6"/>
    <w:rsid w:val="006911A0"/>
    <w:rsid w:val="006A6DE1"/>
    <w:rsid w:val="006A7C2A"/>
    <w:rsid w:val="006B78FB"/>
    <w:rsid w:val="006C1F74"/>
    <w:rsid w:val="006E1470"/>
    <w:rsid w:val="00700334"/>
    <w:rsid w:val="007003B4"/>
    <w:rsid w:val="00711D75"/>
    <w:rsid w:val="00712627"/>
    <w:rsid w:val="00721C13"/>
    <w:rsid w:val="007258E1"/>
    <w:rsid w:val="00727503"/>
    <w:rsid w:val="00742B57"/>
    <w:rsid w:val="0076608B"/>
    <w:rsid w:val="00771872"/>
    <w:rsid w:val="00780A16"/>
    <w:rsid w:val="00786D7D"/>
    <w:rsid w:val="007900E9"/>
    <w:rsid w:val="007A1EF0"/>
    <w:rsid w:val="007B6F03"/>
    <w:rsid w:val="007C4B58"/>
    <w:rsid w:val="007D0922"/>
    <w:rsid w:val="007D11A8"/>
    <w:rsid w:val="00806958"/>
    <w:rsid w:val="008075ED"/>
    <w:rsid w:val="00811CA2"/>
    <w:rsid w:val="0081527E"/>
    <w:rsid w:val="00825B89"/>
    <w:rsid w:val="00826E15"/>
    <w:rsid w:val="00832999"/>
    <w:rsid w:val="00833F28"/>
    <w:rsid w:val="00834B15"/>
    <w:rsid w:val="00835A87"/>
    <w:rsid w:val="00837D96"/>
    <w:rsid w:val="00847E54"/>
    <w:rsid w:val="00854050"/>
    <w:rsid w:val="0086013D"/>
    <w:rsid w:val="008738F5"/>
    <w:rsid w:val="0088008D"/>
    <w:rsid w:val="008A2F16"/>
    <w:rsid w:val="008B11D0"/>
    <w:rsid w:val="008C1044"/>
    <w:rsid w:val="008E54C4"/>
    <w:rsid w:val="008F3BA5"/>
    <w:rsid w:val="00903A9C"/>
    <w:rsid w:val="00922725"/>
    <w:rsid w:val="00934EF1"/>
    <w:rsid w:val="00964655"/>
    <w:rsid w:val="0097432C"/>
    <w:rsid w:val="00977717"/>
    <w:rsid w:val="00980FBA"/>
    <w:rsid w:val="009906FD"/>
    <w:rsid w:val="009A1594"/>
    <w:rsid w:val="009A20FA"/>
    <w:rsid w:val="009A2700"/>
    <w:rsid w:val="009A6A8A"/>
    <w:rsid w:val="009B75EE"/>
    <w:rsid w:val="009B7FBC"/>
    <w:rsid w:val="009C276D"/>
    <w:rsid w:val="009C7A5B"/>
    <w:rsid w:val="009D3A1E"/>
    <w:rsid w:val="009E21D8"/>
    <w:rsid w:val="00A0404F"/>
    <w:rsid w:val="00A36D7D"/>
    <w:rsid w:val="00A4095E"/>
    <w:rsid w:val="00A42305"/>
    <w:rsid w:val="00A4296A"/>
    <w:rsid w:val="00A550EC"/>
    <w:rsid w:val="00A74584"/>
    <w:rsid w:val="00AA6759"/>
    <w:rsid w:val="00AB2CCE"/>
    <w:rsid w:val="00AB4BA5"/>
    <w:rsid w:val="00AC0F8C"/>
    <w:rsid w:val="00AD0F0F"/>
    <w:rsid w:val="00AD7872"/>
    <w:rsid w:val="00AE6ECF"/>
    <w:rsid w:val="00B22184"/>
    <w:rsid w:val="00B27004"/>
    <w:rsid w:val="00B32AC0"/>
    <w:rsid w:val="00B366D3"/>
    <w:rsid w:val="00B60CDB"/>
    <w:rsid w:val="00B64A25"/>
    <w:rsid w:val="00B70426"/>
    <w:rsid w:val="00B74F64"/>
    <w:rsid w:val="00B776DC"/>
    <w:rsid w:val="00B804A3"/>
    <w:rsid w:val="00B82917"/>
    <w:rsid w:val="00B86085"/>
    <w:rsid w:val="00B86B21"/>
    <w:rsid w:val="00BB1806"/>
    <w:rsid w:val="00BB270F"/>
    <w:rsid w:val="00BB4F40"/>
    <w:rsid w:val="00C010B8"/>
    <w:rsid w:val="00C20124"/>
    <w:rsid w:val="00C338CA"/>
    <w:rsid w:val="00C36C77"/>
    <w:rsid w:val="00C51038"/>
    <w:rsid w:val="00C65BF2"/>
    <w:rsid w:val="00C8163B"/>
    <w:rsid w:val="00C82023"/>
    <w:rsid w:val="00C827B6"/>
    <w:rsid w:val="00C83965"/>
    <w:rsid w:val="00C97267"/>
    <w:rsid w:val="00CA3F2E"/>
    <w:rsid w:val="00CA4607"/>
    <w:rsid w:val="00CA507A"/>
    <w:rsid w:val="00CB3DFD"/>
    <w:rsid w:val="00CB6991"/>
    <w:rsid w:val="00CE4B45"/>
    <w:rsid w:val="00CF5675"/>
    <w:rsid w:val="00D108A2"/>
    <w:rsid w:val="00D16121"/>
    <w:rsid w:val="00D30DAC"/>
    <w:rsid w:val="00D3414C"/>
    <w:rsid w:val="00D43582"/>
    <w:rsid w:val="00D45FC9"/>
    <w:rsid w:val="00D50F21"/>
    <w:rsid w:val="00D64B71"/>
    <w:rsid w:val="00D659E4"/>
    <w:rsid w:val="00D72DF0"/>
    <w:rsid w:val="00D85279"/>
    <w:rsid w:val="00D86DD8"/>
    <w:rsid w:val="00D95991"/>
    <w:rsid w:val="00DA0366"/>
    <w:rsid w:val="00DF140D"/>
    <w:rsid w:val="00DF5876"/>
    <w:rsid w:val="00E01271"/>
    <w:rsid w:val="00E16150"/>
    <w:rsid w:val="00E1744A"/>
    <w:rsid w:val="00E25243"/>
    <w:rsid w:val="00E30D9B"/>
    <w:rsid w:val="00E320C1"/>
    <w:rsid w:val="00E35544"/>
    <w:rsid w:val="00E4435F"/>
    <w:rsid w:val="00E56B0B"/>
    <w:rsid w:val="00E6628E"/>
    <w:rsid w:val="00E7798D"/>
    <w:rsid w:val="00E80FAC"/>
    <w:rsid w:val="00E93623"/>
    <w:rsid w:val="00E96DB8"/>
    <w:rsid w:val="00EA3350"/>
    <w:rsid w:val="00EA434A"/>
    <w:rsid w:val="00EA4B7A"/>
    <w:rsid w:val="00EB0E8E"/>
    <w:rsid w:val="00EC3A2D"/>
    <w:rsid w:val="00ED114F"/>
    <w:rsid w:val="00EE417A"/>
    <w:rsid w:val="00EF2646"/>
    <w:rsid w:val="00EF2D68"/>
    <w:rsid w:val="00F10D5A"/>
    <w:rsid w:val="00F352B9"/>
    <w:rsid w:val="00F46937"/>
    <w:rsid w:val="00F654BE"/>
    <w:rsid w:val="00F71324"/>
    <w:rsid w:val="00F80C72"/>
    <w:rsid w:val="00F83F4E"/>
    <w:rsid w:val="00FA23DD"/>
    <w:rsid w:val="00FB0386"/>
    <w:rsid w:val="00FC0813"/>
    <w:rsid w:val="00FD422F"/>
    <w:rsid w:val="00FD685C"/>
    <w:rsid w:val="00FE0DB9"/>
  </w:rsids>
  <m:mathPr>
    <m:mathFont m:val="Cambria Math"/>
    <m:brkBin m:val="before"/>
    <m:brkBinSub m:val="--"/>
    <m:smallFrac m:val="0"/>
    <m:dispDef/>
    <m:lMargin m:val="0"/>
    <m:rMargin m:val="0"/>
    <m:defJc m:val="centerGroup"/>
    <m:wrapIndent m:val="1440"/>
    <m:intLim m:val="subSup"/>
    <m:naryLim m:val="undOvr"/>
  </m:mathPr>
  <w:themeFontLang w:val="fr-B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66437A"/>
  <w15:chartTrackingRefBased/>
  <w15:docId w15:val="{ED3828D9-BA2D-44B9-B2D8-8A03890E2A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SimSun"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67C2"/>
    <w:pPr>
      <w:jc w:val="both"/>
    </w:pPr>
    <w:rPr>
      <w:sz w:val="22"/>
    </w:rPr>
  </w:style>
  <w:style w:type="paragraph" w:styleId="Heading1">
    <w:name w:val="heading 1"/>
    <w:basedOn w:val="Normal"/>
    <w:next w:val="Normal"/>
    <w:link w:val="Heading1Char"/>
    <w:uiPriority w:val="9"/>
    <w:qFormat/>
    <w:rsid w:val="00847E5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47E5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847E5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847E5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47E5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47E5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47E5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47E5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47E5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47E5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47E5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847E5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847E5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47E5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47E5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47E5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47E5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47E54"/>
    <w:rPr>
      <w:rFonts w:eastAsiaTheme="majorEastAsia" w:cstheme="majorBidi"/>
      <w:color w:val="272727" w:themeColor="text1" w:themeTint="D8"/>
    </w:rPr>
  </w:style>
  <w:style w:type="paragraph" w:styleId="Title">
    <w:name w:val="Title"/>
    <w:basedOn w:val="Normal"/>
    <w:next w:val="Normal"/>
    <w:link w:val="TitleChar"/>
    <w:uiPriority w:val="10"/>
    <w:qFormat/>
    <w:rsid w:val="00847E5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47E5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47E5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47E5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47E54"/>
    <w:pPr>
      <w:spacing w:before="160"/>
      <w:jc w:val="center"/>
    </w:pPr>
    <w:rPr>
      <w:i/>
      <w:iCs/>
      <w:color w:val="404040" w:themeColor="text1" w:themeTint="BF"/>
    </w:rPr>
  </w:style>
  <w:style w:type="character" w:customStyle="1" w:styleId="QuoteChar">
    <w:name w:val="Quote Char"/>
    <w:basedOn w:val="DefaultParagraphFont"/>
    <w:link w:val="Quote"/>
    <w:uiPriority w:val="29"/>
    <w:rsid w:val="00847E54"/>
    <w:rPr>
      <w:i/>
      <w:iCs/>
      <w:color w:val="404040" w:themeColor="text1" w:themeTint="BF"/>
    </w:rPr>
  </w:style>
  <w:style w:type="paragraph" w:styleId="ListParagraph">
    <w:name w:val="List Paragraph"/>
    <w:basedOn w:val="Normal"/>
    <w:uiPriority w:val="34"/>
    <w:qFormat/>
    <w:rsid w:val="00847E54"/>
    <w:pPr>
      <w:ind w:left="720"/>
      <w:contextualSpacing/>
    </w:pPr>
  </w:style>
  <w:style w:type="character" w:styleId="IntenseEmphasis">
    <w:name w:val="Intense Emphasis"/>
    <w:basedOn w:val="DefaultParagraphFont"/>
    <w:uiPriority w:val="21"/>
    <w:qFormat/>
    <w:rsid w:val="00847E54"/>
    <w:rPr>
      <w:i/>
      <w:iCs/>
      <w:color w:val="0F4761" w:themeColor="accent1" w:themeShade="BF"/>
    </w:rPr>
  </w:style>
  <w:style w:type="paragraph" w:styleId="IntenseQuote">
    <w:name w:val="Intense Quote"/>
    <w:basedOn w:val="Normal"/>
    <w:next w:val="Normal"/>
    <w:link w:val="IntenseQuoteChar"/>
    <w:uiPriority w:val="30"/>
    <w:qFormat/>
    <w:rsid w:val="00847E5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47E54"/>
    <w:rPr>
      <w:i/>
      <w:iCs/>
      <w:color w:val="0F4761" w:themeColor="accent1" w:themeShade="BF"/>
    </w:rPr>
  </w:style>
  <w:style w:type="character" w:styleId="IntenseReference">
    <w:name w:val="Intense Reference"/>
    <w:basedOn w:val="DefaultParagraphFont"/>
    <w:uiPriority w:val="32"/>
    <w:qFormat/>
    <w:rsid w:val="00847E54"/>
    <w:rPr>
      <w:b/>
      <w:bCs/>
      <w:smallCaps/>
      <w:color w:val="0F4761" w:themeColor="accent1" w:themeShade="BF"/>
      <w:spacing w:val="5"/>
    </w:rPr>
  </w:style>
  <w:style w:type="paragraph" w:styleId="NormalWeb">
    <w:name w:val="Normal (Web)"/>
    <w:basedOn w:val="Normal"/>
    <w:uiPriority w:val="99"/>
    <w:semiHidden/>
    <w:unhideWhenUsed/>
    <w:rsid w:val="00742B57"/>
    <w:pPr>
      <w:spacing w:before="100" w:beforeAutospacing="1" w:after="100" w:afterAutospacing="1" w:line="240" w:lineRule="auto"/>
      <w:jc w:val="left"/>
    </w:pPr>
    <w:rPr>
      <w:rFonts w:ascii="Times New Roman" w:eastAsia="Times New Roman" w:hAnsi="Times New Roman" w:cs="Times New Roman"/>
      <w:kern w:val="0"/>
      <w:lang w:eastAsia="en-GB"/>
      <w14:ligatures w14:val="none"/>
    </w:rPr>
  </w:style>
  <w:style w:type="character" w:customStyle="1" w:styleId="ref-lnk">
    <w:name w:val="ref-lnk"/>
    <w:basedOn w:val="DefaultParagraphFont"/>
    <w:rsid w:val="00742B57"/>
  </w:style>
  <w:style w:type="character" w:styleId="Hyperlink">
    <w:name w:val="Hyperlink"/>
    <w:basedOn w:val="DefaultParagraphFont"/>
    <w:uiPriority w:val="99"/>
    <w:unhideWhenUsed/>
    <w:rsid w:val="00742B57"/>
    <w:rPr>
      <w:color w:val="0000FF"/>
      <w:u w:val="single"/>
    </w:rPr>
  </w:style>
  <w:style w:type="character" w:customStyle="1" w:styleId="off-screen">
    <w:name w:val="off-screen"/>
    <w:basedOn w:val="DefaultParagraphFont"/>
    <w:rsid w:val="00742B57"/>
  </w:style>
  <w:style w:type="paragraph" w:customStyle="1" w:styleId="last">
    <w:name w:val="last"/>
    <w:basedOn w:val="Normal"/>
    <w:rsid w:val="00742B57"/>
    <w:pPr>
      <w:spacing w:before="100" w:beforeAutospacing="1" w:after="100" w:afterAutospacing="1" w:line="240" w:lineRule="auto"/>
      <w:jc w:val="left"/>
    </w:pPr>
    <w:rPr>
      <w:rFonts w:ascii="Times New Roman" w:eastAsia="Times New Roman" w:hAnsi="Times New Roman" w:cs="Times New Roman"/>
      <w:kern w:val="0"/>
      <w:lang w:eastAsia="en-GB"/>
      <w14:ligatures w14:val="none"/>
    </w:rPr>
  </w:style>
  <w:style w:type="table" w:styleId="TableGrid">
    <w:name w:val="Table Grid"/>
    <w:basedOn w:val="TableNormal"/>
    <w:uiPriority w:val="39"/>
    <w:rsid w:val="00B60C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EE417A"/>
    <w:pPr>
      <w:spacing w:after="200" w:line="240" w:lineRule="auto"/>
    </w:pPr>
    <w:rPr>
      <w:i/>
      <w:iCs/>
      <w:color w:val="0E2841" w:themeColor="text2"/>
      <w:sz w:val="18"/>
      <w:szCs w:val="18"/>
    </w:rPr>
  </w:style>
  <w:style w:type="paragraph" w:styleId="Bibliography">
    <w:name w:val="Bibliography"/>
    <w:basedOn w:val="Normal"/>
    <w:next w:val="Normal"/>
    <w:uiPriority w:val="37"/>
    <w:unhideWhenUsed/>
    <w:rsid w:val="001A296A"/>
    <w:pPr>
      <w:spacing w:after="0" w:line="480" w:lineRule="auto"/>
      <w:ind w:left="720" w:hanging="720"/>
    </w:pPr>
  </w:style>
  <w:style w:type="character" w:customStyle="1" w:styleId="Mentionnonrsolue1">
    <w:name w:val="Mention non résolue1"/>
    <w:basedOn w:val="DefaultParagraphFont"/>
    <w:uiPriority w:val="99"/>
    <w:semiHidden/>
    <w:unhideWhenUsed/>
    <w:rsid w:val="00771872"/>
    <w:rPr>
      <w:color w:val="605E5C"/>
      <w:shd w:val="clear" w:color="auto" w:fill="E1DFDD"/>
    </w:rPr>
  </w:style>
  <w:style w:type="character" w:styleId="CommentReference">
    <w:name w:val="annotation reference"/>
    <w:basedOn w:val="DefaultParagraphFont"/>
    <w:uiPriority w:val="99"/>
    <w:semiHidden/>
    <w:unhideWhenUsed/>
    <w:rsid w:val="00E56B0B"/>
    <w:rPr>
      <w:sz w:val="16"/>
      <w:szCs w:val="16"/>
    </w:rPr>
  </w:style>
  <w:style w:type="paragraph" w:styleId="CommentText">
    <w:name w:val="annotation text"/>
    <w:basedOn w:val="Normal"/>
    <w:link w:val="CommentTextChar"/>
    <w:uiPriority w:val="99"/>
    <w:unhideWhenUsed/>
    <w:rsid w:val="00E56B0B"/>
    <w:pPr>
      <w:spacing w:line="240" w:lineRule="auto"/>
    </w:pPr>
    <w:rPr>
      <w:sz w:val="20"/>
      <w:szCs w:val="20"/>
    </w:rPr>
  </w:style>
  <w:style w:type="character" w:customStyle="1" w:styleId="CommentTextChar">
    <w:name w:val="Comment Text Char"/>
    <w:basedOn w:val="DefaultParagraphFont"/>
    <w:link w:val="CommentText"/>
    <w:uiPriority w:val="99"/>
    <w:rsid w:val="00E56B0B"/>
    <w:rPr>
      <w:sz w:val="20"/>
      <w:szCs w:val="20"/>
    </w:rPr>
  </w:style>
  <w:style w:type="paragraph" w:styleId="CommentSubject">
    <w:name w:val="annotation subject"/>
    <w:basedOn w:val="CommentText"/>
    <w:next w:val="CommentText"/>
    <w:link w:val="CommentSubjectChar"/>
    <w:uiPriority w:val="99"/>
    <w:semiHidden/>
    <w:unhideWhenUsed/>
    <w:rsid w:val="00E56B0B"/>
    <w:rPr>
      <w:b/>
      <w:bCs/>
    </w:rPr>
  </w:style>
  <w:style w:type="character" w:customStyle="1" w:styleId="CommentSubjectChar">
    <w:name w:val="Comment Subject Char"/>
    <w:basedOn w:val="CommentTextChar"/>
    <w:link w:val="CommentSubject"/>
    <w:uiPriority w:val="99"/>
    <w:semiHidden/>
    <w:rsid w:val="00E56B0B"/>
    <w:rPr>
      <w:b/>
      <w:bCs/>
      <w:sz w:val="20"/>
      <w:szCs w:val="20"/>
    </w:rPr>
  </w:style>
  <w:style w:type="paragraph" w:styleId="BalloonText">
    <w:name w:val="Balloon Text"/>
    <w:basedOn w:val="Normal"/>
    <w:link w:val="BalloonTextChar"/>
    <w:uiPriority w:val="99"/>
    <w:semiHidden/>
    <w:unhideWhenUsed/>
    <w:rsid w:val="00E4435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435F"/>
    <w:rPr>
      <w:rFonts w:ascii="Segoe UI" w:hAnsi="Segoe UI" w:cs="Segoe UI"/>
      <w:sz w:val="18"/>
      <w:szCs w:val="18"/>
    </w:rPr>
  </w:style>
  <w:style w:type="paragraph" w:styleId="Revision">
    <w:name w:val="Revision"/>
    <w:hidden/>
    <w:uiPriority w:val="99"/>
    <w:semiHidden/>
    <w:rsid w:val="000D62B2"/>
    <w:pPr>
      <w:spacing w:after="0" w:line="240" w:lineRule="auto"/>
    </w:pPr>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9089548">
      <w:bodyDiv w:val="1"/>
      <w:marLeft w:val="0"/>
      <w:marRight w:val="0"/>
      <w:marTop w:val="0"/>
      <w:marBottom w:val="0"/>
      <w:divBdr>
        <w:top w:val="none" w:sz="0" w:space="0" w:color="auto"/>
        <w:left w:val="none" w:sz="0" w:space="0" w:color="auto"/>
        <w:bottom w:val="none" w:sz="0" w:space="0" w:color="auto"/>
        <w:right w:val="none" w:sz="0" w:space="0" w:color="auto"/>
      </w:divBdr>
    </w:div>
    <w:div w:id="61950796">
      <w:bodyDiv w:val="1"/>
      <w:marLeft w:val="0"/>
      <w:marRight w:val="0"/>
      <w:marTop w:val="0"/>
      <w:marBottom w:val="0"/>
      <w:divBdr>
        <w:top w:val="none" w:sz="0" w:space="0" w:color="auto"/>
        <w:left w:val="none" w:sz="0" w:space="0" w:color="auto"/>
        <w:bottom w:val="none" w:sz="0" w:space="0" w:color="auto"/>
        <w:right w:val="none" w:sz="0" w:space="0" w:color="auto"/>
      </w:divBdr>
    </w:div>
    <w:div w:id="93942429">
      <w:bodyDiv w:val="1"/>
      <w:marLeft w:val="0"/>
      <w:marRight w:val="0"/>
      <w:marTop w:val="0"/>
      <w:marBottom w:val="0"/>
      <w:divBdr>
        <w:top w:val="none" w:sz="0" w:space="0" w:color="auto"/>
        <w:left w:val="none" w:sz="0" w:space="0" w:color="auto"/>
        <w:bottom w:val="none" w:sz="0" w:space="0" w:color="auto"/>
        <w:right w:val="none" w:sz="0" w:space="0" w:color="auto"/>
      </w:divBdr>
    </w:div>
    <w:div w:id="99109699">
      <w:bodyDiv w:val="1"/>
      <w:marLeft w:val="0"/>
      <w:marRight w:val="0"/>
      <w:marTop w:val="0"/>
      <w:marBottom w:val="0"/>
      <w:divBdr>
        <w:top w:val="none" w:sz="0" w:space="0" w:color="auto"/>
        <w:left w:val="none" w:sz="0" w:space="0" w:color="auto"/>
        <w:bottom w:val="none" w:sz="0" w:space="0" w:color="auto"/>
        <w:right w:val="none" w:sz="0" w:space="0" w:color="auto"/>
      </w:divBdr>
    </w:div>
    <w:div w:id="232744280">
      <w:bodyDiv w:val="1"/>
      <w:marLeft w:val="0"/>
      <w:marRight w:val="0"/>
      <w:marTop w:val="0"/>
      <w:marBottom w:val="0"/>
      <w:divBdr>
        <w:top w:val="none" w:sz="0" w:space="0" w:color="auto"/>
        <w:left w:val="none" w:sz="0" w:space="0" w:color="auto"/>
        <w:bottom w:val="none" w:sz="0" w:space="0" w:color="auto"/>
        <w:right w:val="none" w:sz="0" w:space="0" w:color="auto"/>
      </w:divBdr>
      <w:divsChild>
        <w:div w:id="104079075">
          <w:marLeft w:val="0"/>
          <w:marRight w:val="0"/>
          <w:marTop w:val="0"/>
          <w:marBottom w:val="0"/>
          <w:divBdr>
            <w:top w:val="none" w:sz="0" w:space="0" w:color="auto"/>
            <w:left w:val="none" w:sz="0" w:space="0" w:color="auto"/>
            <w:bottom w:val="none" w:sz="0" w:space="0" w:color="auto"/>
            <w:right w:val="none" w:sz="0" w:space="0" w:color="auto"/>
          </w:divBdr>
        </w:div>
      </w:divsChild>
    </w:div>
    <w:div w:id="262761377">
      <w:bodyDiv w:val="1"/>
      <w:marLeft w:val="0"/>
      <w:marRight w:val="0"/>
      <w:marTop w:val="0"/>
      <w:marBottom w:val="0"/>
      <w:divBdr>
        <w:top w:val="none" w:sz="0" w:space="0" w:color="auto"/>
        <w:left w:val="none" w:sz="0" w:space="0" w:color="auto"/>
        <w:bottom w:val="none" w:sz="0" w:space="0" w:color="auto"/>
        <w:right w:val="none" w:sz="0" w:space="0" w:color="auto"/>
      </w:divBdr>
    </w:div>
    <w:div w:id="285896296">
      <w:bodyDiv w:val="1"/>
      <w:marLeft w:val="0"/>
      <w:marRight w:val="0"/>
      <w:marTop w:val="0"/>
      <w:marBottom w:val="0"/>
      <w:divBdr>
        <w:top w:val="none" w:sz="0" w:space="0" w:color="auto"/>
        <w:left w:val="none" w:sz="0" w:space="0" w:color="auto"/>
        <w:bottom w:val="none" w:sz="0" w:space="0" w:color="auto"/>
        <w:right w:val="none" w:sz="0" w:space="0" w:color="auto"/>
      </w:divBdr>
    </w:div>
    <w:div w:id="371662044">
      <w:bodyDiv w:val="1"/>
      <w:marLeft w:val="0"/>
      <w:marRight w:val="0"/>
      <w:marTop w:val="0"/>
      <w:marBottom w:val="0"/>
      <w:divBdr>
        <w:top w:val="none" w:sz="0" w:space="0" w:color="auto"/>
        <w:left w:val="none" w:sz="0" w:space="0" w:color="auto"/>
        <w:bottom w:val="none" w:sz="0" w:space="0" w:color="auto"/>
        <w:right w:val="none" w:sz="0" w:space="0" w:color="auto"/>
      </w:divBdr>
    </w:div>
    <w:div w:id="431167128">
      <w:bodyDiv w:val="1"/>
      <w:marLeft w:val="0"/>
      <w:marRight w:val="0"/>
      <w:marTop w:val="0"/>
      <w:marBottom w:val="0"/>
      <w:divBdr>
        <w:top w:val="none" w:sz="0" w:space="0" w:color="auto"/>
        <w:left w:val="none" w:sz="0" w:space="0" w:color="auto"/>
        <w:bottom w:val="none" w:sz="0" w:space="0" w:color="auto"/>
        <w:right w:val="none" w:sz="0" w:space="0" w:color="auto"/>
      </w:divBdr>
    </w:div>
    <w:div w:id="488326020">
      <w:bodyDiv w:val="1"/>
      <w:marLeft w:val="0"/>
      <w:marRight w:val="0"/>
      <w:marTop w:val="0"/>
      <w:marBottom w:val="0"/>
      <w:divBdr>
        <w:top w:val="none" w:sz="0" w:space="0" w:color="auto"/>
        <w:left w:val="none" w:sz="0" w:space="0" w:color="auto"/>
        <w:bottom w:val="none" w:sz="0" w:space="0" w:color="auto"/>
        <w:right w:val="none" w:sz="0" w:space="0" w:color="auto"/>
      </w:divBdr>
    </w:div>
    <w:div w:id="516886661">
      <w:bodyDiv w:val="1"/>
      <w:marLeft w:val="0"/>
      <w:marRight w:val="0"/>
      <w:marTop w:val="0"/>
      <w:marBottom w:val="0"/>
      <w:divBdr>
        <w:top w:val="none" w:sz="0" w:space="0" w:color="auto"/>
        <w:left w:val="none" w:sz="0" w:space="0" w:color="auto"/>
        <w:bottom w:val="none" w:sz="0" w:space="0" w:color="auto"/>
        <w:right w:val="none" w:sz="0" w:space="0" w:color="auto"/>
      </w:divBdr>
    </w:div>
    <w:div w:id="519006923">
      <w:bodyDiv w:val="1"/>
      <w:marLeft w:val="0"/>
      <w:marRight w:val="0"/>
      <w:marTop w:val="0"/>
      <w:marBottom w:val="0"/>
      <w:divBdr>
        <w:top w:val="none" w:sz="0" w:space="0" w:color="auto"/>
        <w:left w:val="none" w:sz="0" w:space="0" w:color="auto"/>
        <w:bottom w:val="none" w:sz="0" w:space="0" w:color="auto"/>
        <w:right w:val="none" w:sz="0" w:space="0" w:color="auto"/>
      </w:divBdr>
    </w:div>
    <w:div w:id="622926134">
      <w:bodyDiv w:val="1"/>
      <w:marLeft w:val="0"/>
      <w:marRight w:val="0"/>
      <w:marTop w:val="0"/>
      <w:marBottom w:val="0"/>
      <w:divBdr>
        <w:top w:val="none" w:sz="0" w:space="0" w:color="auto"/>
        <w:left w:val="none" w:sz="0" w:space="0" w:color="auto"/>
        <w:bottom w:val="none" w:sz="0" w:space="0" w:color="auto"/>
        <w:right w:val="none" w:sz="0" w:space="0" w:color="auto"/>
      </w:divBdr>
    </w:div>
    <w:div w:id="641882820">
      <w:bodyDiv w:val="1"/>
      <w:marLeft w:val="0"/>
      <w:marRight w:val="0"/>
      <w:marTop w:val="0"/>
      <w:marBottom w:val="0"/>
      <w:divBdr>
        <w:top w:val="none" w:sz="0" w:space="0" w:color="auto"/>
        <w:left w:val="none" w:sz="0" w:space="0" w:color="auto"/>
        <w:bottom w:val="none" w:sz="0" w:space="0" w:color="auto"/>
        <w:right w:val="none" w:sz="0" w:space="0" w:color="auto"/>
      </w:divBdr>
      <w:divsChild>
        <w:div w:id="404957256">
          <w:marLeft w:val="0"/>
          <w:marRight w:val="0"/>
          <w:marTop w:val="0"/>
          <w:marBottom w:val="0"/>
          <w:divBdr>
            <w:top w:val="none" w:sz="0" w:space="0" w:color="auto"/>
            <w:left w:val="none" w:sz="0" w:space="0" w:color="auto"/>
            <w:bottom w:val="none" w:sz="0" w:space="0" w:color="auto"/>
            <w:right w:val="none" w:sz="0" w:space="0" w:color="auto"/>
          </w:divBdr>
        </w:div>
        <w:div w:id="1697272885">
          <w:marLeft w:val="0"/>
          <w:marRight w:val="0"/>
          <w:marTop w:val="0"/>
          <w:marBottom w:val="0"/>
          <w:divBdr>
            <w:top w:val="none" w:sz="0" w:space="0" w:color="auto"/>
            <w:left w:val="none" w:sz="0" w:space="0" w:color="auto"/>
            <w:bottom w:val="none" w:sz="0" w:space="0" w:color="auto"/>
            <w:right w:val="none" w:sz="0" w:space="0" w:color="auto"/>
          </w:divBdr>
        </w:div>
      </w:divsChild>
    </w:div>
    <w:div w:id="661355015">
      <w:bodyDiv w:val="1"/>
      <w:marLeft w:val="0"/>
      <w:marRight w:val="0"/>
      <w:marTop w:val="0"/>
      <w:marBottom w:val="0"/>
      <w:divBdr>
        <w:top w:val="none" w:sz="0" w:space="0" w:color="auto"/>
        <w:left w:val="none" w:sz="0" w:space="0" w:color="auto"/>
        <w:bottom w:val="none" w:sz="0" w:space="0" w:color="auto"/>
        <w:right w:val="none" w:sz="0" w:space="0" w:color="auto"/>
      </w:divBdr>
    </w:div>
    <w:div w:id="666514694">
      <w:bodyDiv w:val="1"/>
      <w:marLeft w:val="0"/>
      <w:marRight w:val="0"/>
      <w:marTop w:val="0"/>
      <w:marBottom w:val="0"/>
      <w:divBdr>
        <w:top w:val="none" w:sz="0" w:space="0" w:color="auto"/>
        <w:left w:val="none" w:sz="0" w:space="0" w:color="auto"/>
        <w:bottom w:val="none" w:sz="0" w:space="0" w:color="auto"/>
        <w:right w:val="none" w:sz="0" w:space="0" w:color="auto"/>
      </w:divBdr>
    </w:div>
    <w:div w:id="714962208">
      <w:bodyDiv w:val="1"/>
      <w:marLeft w:val="0"/>
      <w:marRight w:val="0"/>
      <w:marTop w:val="0"/>
      <w:marBottom w:val="0"/>
      <w:divBdr>
        <w:top w:val="none" w:sz="0" w:space="0" w:color="auto"/>
        <w:left w:val="none" w:sz="0" w:space="0" w:color="auto"/>
        <w:bottom w:val="none" w:sz="0" w:space="0" w:color="auto"/>
        <w:right w:val="none" w:sz="0" w:space="0" w:color="auto"/>
      </w:divBdr>
    </w:div>
    <w:div w:id="768088058">
      <w:bodyDiv w:val="1"/>
      <w:marLeft w:val="0"/>
      <w:marRight w:val="0"/>
      <w:marTop w:val="0"/>
      <w:marBottom w:val="0"/>
      <w:divBdr>
        <w:top w:val="none" w:sz="0" w:space="0" w:color="auto"/>
        <w:left w:val="none" w:sz="0" w:space="0" w:color="auto"/>
        <w:bottom w:val="none" w:sz="0" w:space="0" w:color="auto"/>
        <w:right w:val="none" w:sz="0" w:space="0" w:color="auto"/>
      </w:divBdr>
    </w:div>
    <w:div w:id="778570768">
      <w:bodyDiv w:val="1"/>
      <w:marLeft w:val="0"/>
      <w:marRight w:val="0"/>
      <w:marTop w:val="0"/>
      <w:marBottom w:val="0"/>
      <w:divBdr>
        <w:top w:val="none" w:sz="0" w:space="0" w:color="auto"/>
        <w:left w:val="none" w:sz="0" w:space="0" w:color="auto"/>
        <w:bottom w:val="none" w:sz="0" w:space="0" w:color="auto"/>
        <w:right w:val="none" w:sz="0" w:space="0" w:color="auto"/>
      </w:divBdr>
    </w:div>
    <w:div w:id="778764306">
      <w:bodyDiv w:val="1"/>
      <w:marLeft w:val="0"/>
      <w:marRight w:val="0"/>
      <w:marTop w:val="0"/>
      <w:marBottom w:val="0"/>
      <w:divBdr>
        <w:top w:val="none" w:sz="0" w:space="0" w:color="auto"/>
        <w:left w:val="none" w:sz="0" w:space="0" w:color="auto"/>
        <w:bottom w:val="none" w:sz="0" w:space="0" w:color="auto"/>
        <w:right w:val="none" w:sz="0" w:space="0" w:color="auto"/>
      </w:divBdr>
    </w:div>
    <w:div w:id="859507810">
      <w:bodyDiv w:val="1"/>
      <w:marLeft w:val="0"/>
      <w:marRight w:val="0"/>
      <w:marTop w:val="0"/>
      <w:marBottom w:val="0"/>
      <w:divBdr>
        <w:top w:val="none" w:sz="0" w:space="0" w:color="auto"/>
        <w:left w:val="none" w:sz="0" w:space="0" w:color="auto"/>
        <w:bottom w:val="none" w:sz="0" w:space="0" w:color="auto"/>
        <w:right w:val="none" w:sz="0" w:space="0" w:color="auto"/>
      </w:divBdr>
    </w:div>
    <w:div w:id="901450685">
      <w:bodyDiv w:val="1"/>
      <w:marLeft w:val="0"/>
      <w:marRight w:val="0"/>
      <w:marTop w:val="0"/>
      <w:marBottom w:val="0"/>
      <w:divBdr>
        <w:top w:val="none" w:sz="0" w:space="0" w:color="auto"/>
        <w:left w:val="none" w:sz="0" w:space="0" w:color="auto"/>
        <w:bottom w:val="none" w:sz="0" w:space="0" w:color="auto"/>
        <w:right w:val="none" w:sz="0" w:space="0" w:color="auto"/>
      </w:divBdr>
    </w:div>
    <w:div w:id="947346523">
      <w:bodyDiv w:val="1"/>
      <w:marLeft w:val="0"/>
      <w:marRight w:val="0"/>
      <w:marTop w:val="0"/>
      <w:marBottom w:val="0"/>
      <w:divBdr>
        <w:top w:val="none" w:sz="0" w:space="0" w:color="auto"/>
        <w:left w:val="none" w:sz="0" w:space="0" w:color="auto"/>
        <w:bottom w:val="none" w:sz="0" w:space="0" w:color="auto"/>
        <w:right w:val="none" w:sz="0" w:space="0" w:color="auto"/>
      </w:divBdr>
    </w:div>
    <w:div w:id="986978236">
      <w:bodyDiv w:val="1"/>
      <w:marLeft w:val="0"/>
      <w:marRight w:val="0"/>
      <w:marTop w:val="0"/>
      <w:marBottom w:val="0"/>
      <w:divBdr>
        <w:top w:val="none" w:sz="0" w:space="0" w:color="auto"/>
        <w:left w:val="none" w:sz="0" w:space="0" w:color="auto"/>
        <w:bottom w:val="none" w:sz="0" w:space="0" w:color="auto"/>
        <w:right w:val="none" w:sz="0" w:space="0" w:color="auto"/>
      </w:divBdr>
    </w:div>
    <w:div w:id="1027677400">
      <w:bodyDiv w:val="1"/>
      <w:marLeft w:val="0"/>
      <w:marRight w:val="0"/>
      <w:marTop w:val="0"/>
      <w:marBottom w:val="0"/>
      <w:divBdr>
        <w:top w:val="none" w:sz="0" w:space="0" w:color="auto"/>
        <w:left w:val="none" w:sz="0" w:space="0" w:color="auto"/>
        <w:bottom w:val="none" w:sz="0" w:space="0" w:color="auto"/>
        <w:right w:val="none" w:sz="0" w:space="0" w:color="auto"/>
      </w:divBdr>
    </w:div>
    <w:div w:id="1083723639">
      <w:bodyDiv w:val="1"/>
      <w:marLeft w:val="0"/>
      <w:marRight w:val="0"/>
      <w:marTop w:val="0"/>
      <w:marBottom w:val="0"/>
      <w:divBdr>
        <w:top w:val="none" w:sz="0" w:space="0" w:color="auto"/>
        <w:left w:val="none" w:sz="0" w:space="0" w:color="auto"/>
        <w:bottom w:val="none" w:sz="0" w:space="0" w:color="auto"/>
        <w:right w:val="none" w:sz="0" w:space="0" w:color="auto"/>
      </w:divBdr>
    </w:div>
    <w:div w:id="1119640417">
      <w:bodyDiv w:val="1"/>
      <w:marLeft w:val="0"/>
      <w:marRight w:val="0"/>
      <w:marTop w:val="0"/>
      <w:marBottom w:val="0"/>
      <w:divBdr>
        <w:top w:val="none" w:sz="0" w:space="0" w:color="auto"/>
        <w:left w:val="none" w:sz="0" w:space="0" w:color="auto"/>
        <w:bottom w:val="none" w:sz="0" w:space="0" w:color="auto"/>
        <w:right w:val="none" w:sz="0" w:space="0" w:color="auto"/>
      </w:divBdr>
    </w:div>
    <w:div w:id="1174879891">
      <w:bodyDiv w:val="1"/>
      <w:marLeft w:val="0"/>
      <w:marRight w:val="0"/>
      <w:marTop w:val="0"/>
      <w:marBottom w:val="0"/>
      <w:divBdr>
        <w:top w:val="none" w:sz="0" w:space="0" w:color="auto"/>
        <w:left w:val="none" w:sz="0" w:space="0" w:color="auto"/>
        <w:bottom w:val="none" w:sz="0" w:space="0" w:color="auto"/>
        <w:right w:val="none" w:sz="0" w:space="0" w:color="auto"/>
      </w:divBdr>
    </w:div>
    <w:div w:id="1267077045">
      <w:bodyDiv w:val="1"/>
      <w:marLeft w:val="0"/>
      <w:marRight w:val="0"/>
      <w:marTop w:val="0"/>
      <w:marBottom w:val="0"/>
      <w:divBdr>
        <w:top w:val="none" w:sz="0" w:space="0" w:color="auto"/>
        <w:left w:val="none" w:sz="0" w:space="0" w:color="auto"/>
        <w:bottom w:val="none" w:sz="0" w:space="0" w:color="auto"/>
        <w:right w:val="none" w:sz="0" w:space="0" w:color="auto"/>
      </w:divBdr>
    </w:div>
    <w:div w:id="1295283980">
      <w:bodyDiv w:val="1"/>
      <w:marLeft w:val="0"/>
      <w:marRight w:val="0"/>
      <w:marTop w:val="0"/>
      <w:marBottom w:val="0"/>
      <w:divBdr>
        <w:top w:val="none" w:sz="0" w:space="0" w:color="auto"/>
        <w:left w:val="none" w:sz="0" w:space="0" w:color="auto"/>
        <w:bottom w:val="none" w:sz="0" w:space="0" w:color="auto"/>
        <w:right w:val="none" w:sz="0" w:space="0" w:color="auto"/>
      </w:divBdr>
    </w:div>
    <w:div w:id="1328021551">
      <w:bodyDiv w:val="1"/>
      <w:marLeft w:val="0"/>
      <w:marRight w:val="0"/>
      <w:marTop w:val="0"/>
      <w:marBottom w:val="0"/>
      <w:divBdr>
        <w:top w:val="none" w:sz="0" w:space="0" w:color="auto"/>
        <w:left w:val="none" w:sz="0" w:space="0" w:color="auto"/>
        <w:bottom w:val="none" w:sz="0" w:space="0" w:color="auto"/>
        <w:right w:val="none" w:sz="0" w:space="0" w:color="auto"/>
      </w:divBdr>
    </w:div>
    <w:div w:id="1369647084">
      <w:bodyDiv w:val="1"/>
      <w:marLeft w:val="0"/>
      <w:marRight w:val="0"/>
      <w:marTop w:val="0"/>
      <w:marBottom w:val="0"/>
      <w:divBdr>
        <w:top w:val="none" w:sz="0" w:space="0" w:color="auto"/>
        <w:left w:val="none" w:sz="0" w:space="0" w:color="auto"/>
        <w:bottom w:val="none" w:sz="0" w:space="0" w:color="auto"/>
        <w:right w:val="none" w:sz="0" w:space="0" w:color="auto"/>
      </w:divBdr>
    </w:div>
    <w:div w:id="1369912795">
      <w:bodyDiv w:val="1"/>
      <w:marLeft w:val="0"/>
      <w:marRight w:val="0"/>
      <w:marTop w:val="0"/>
      <w:marBottom w:val="0"/>
      <w:divBdr>
        <w:top w:val="none" w:sz="0" w:space="0" w:color="auto"/>
        <w:left w:val="none" w:sz="0" w:space="0" w:color="auto"/>
        <w:bottom w:val="none" w:sz="0" w:space="0" w:color="auto"/>
        <w:right w:val="none" w:sz="0" w:space="0" w:color="auto"/>
      </w:divBdr>
    </w:div>
    <w:div w:id="1408722413">
      <w:bodyDiv w:val="1"/>
      <w:marLeft w:val="0"/>
      <w:marRight w:val="0"/>
      <w:marTop w:val="0"/>
      <w:marBottom w:val="0"/>
      <w:divBdr>
        <w:top w:val="none" w:sz="0" w:space="0" w:color="auto"/>
        <w:left w:val="none" w:sz="0" w:space="0" w:color="auto"/>
        <w:bottom w:val="none" w:sz="0" w:space="0" w:color="auto"/>
        <w:right w:val="none" w:sz="0" w:space="0" w:color="auto"/>
      </w:divBdr>
      <w:divsChild>
        <w:div w:id="1075132556">
          <w:marLeft w:val="0"/>
          <w:marRight w:val="0"/>
          <w:marTop w:val="0"/>
          <w:marBottom w:val="0"/>
          <w:divBdr>
            <w:top w:val="none" w:sz="0" w:space="0" w:color="auto"/>
            <w:left w:val="none" w:sz="0" w:space="0" w:color="auto"/>
            <w:bottom w:val="none" w:sz="0" w:space="0" w:color="auto"/>
            <w:right w:val="none" w:sz="0" w:space="0" w:color="auto"/>
          </w:divBdr>
        </w:div>
        <w:div w:id="1669207607">
          <w:marLeft w:val="0"/>
          <w:marRight w:val="0"/>
          <w:marTop w:val="0"/>
          <w:marBottom w:val="0"/>
          <w:divBdr>
            <w:top w:val="none" w:sz="0" w:space="0" w:color="auto"/>
            <w:left w:val="none" w:sz="0" w:space="0" w:color="auto"/>
            <w:bottom w:val="none" w:sz="0" w:space="0" w:color="auto"/>
            <w:right w:val="none" w:sz="0" w:space="0" w:color="auto"/>
          </w:divBdr>
        </w:div>
      </w:divsChild>
    </w:div>
    <w:div w:id="1415517295">
      <w:bodyDiv w:val="1"/>
      <w:marLeft w:val="0"/>
      <w:marRight w:val="0"/>
      <w:marTop w:val="0"/>
      <w:marBottom w:val="0"/>
      <w:divBdr>
        <w:top w:val="none" w:sz="0" w:space="0" w:color="auto"/>
        <w:left w:val="none" w:sz="0" w:space="0" w:color="auto"/>
        <w:bottom w:val="none" w:sz="0" w:space="0" w:color="auto"/>
        <w:right w:val="none" w:sz="0" w:space="0" w:color="auto"/>
      </w:divBdr>
    </w:div>
    <w:div w:id="1453094670">
      <w:bodyDiv w:val="1"/>
      <w:marLeft w:val="0"/>
      <w:marRight w:val="0"/>
      <w:marTop w:val="0"/>
      <w:marBottom w:val="0"/>
      <w:divBdr>
        <w:top w:val="none" w:sz="0" w:space="0" w:color="auto"/>
        <w:left w:val="none" w:sz="0" w:space="0" w:color="auto"/>
        <w:bottom w:val="none" w:sz="0" w:space="0" w:color="auto"/>
        <w:right w:val="none" w:sz="0" w:space="0" w:color="auto"/>
      </w:divBdr>
    </w:div>
    <w:div w:id="1453552613">
      <w:bodyDiv w:val="1"/>
      <w:marLeft w:val="0"/>
      <w:marRight w:val="0"/>
      <w:marTop w:val="0"/>
      <w:marBottom w:val="0"/>
      <w:divBdr>
        <w:top w:val="none" w:sz="0" w:space="0" w:color="auto"/>
        <w:left w:val="none" w:sz="0" w:space="0" w:color="auto"/>
        <w:bottom w:val="none" w:sz="0" w:space="0" w:color="auto"/>
        <w:right w:val="none" w:sz="0" w:space="0" w:color="auto"/>
      </w:divBdr>
      <w:divsChild>
        <w:div w:id="1620912913">
          <w:marLeft w:val="0"/>
          <w:marRight w:val="0"/>
          <w:marTop w:val="0"/>
          <w:marBottom w:val="0"/>
          <w:divBdr>
            <w:top w:val="none" w:sz="0" w:space="0" w:color="auto"/>
            <w:left w:val="none" w:sz="0" w:space="0" w:color="auto"/>
            <w:bottom w:val="none" w:sz="0" w:space="0" w:color="auto"/>
            <w:right w:val="none" w:sz="0" w:space="0" w:color="auto"/>
          </w:divBdr>
        </w:div>
        <w:div w:id="1288974779">
          <w:marLeft w:val="0"/>
          <w:marRight w:val="0"/>
          <w:marTop w:val="0"/>
          <w:marBottom w:val="0"/>
          <w:divBdr>
            <w:top w:val="none" w:sz="0" w:space="0" w:color="auto"/>
            <w:left w:val="none" w:sz="0" w:space="0" w:color="auto"/>
            <w:bottom w:val="none" w:sz="0" w:space="0" w:color="auto"/>
            <w:right w:val="none" w:sz="0" w:space="0" w:color="auto"/>
          </w:divBdr>
        </w:div>
      </w:divsChild>
    </w:div>
    <w:div w:id="1471511347">
      <w:bodyDiv w:val="1"/>
      <w:marLeft w:val="0"/>
      <w:marRight w:val="0"/>
      <w:marTop w:val="0"/>
      <w:marBottom w:val="0"/>
      <w:divBdr>
        <w:top w:val="none" w:sz="0" w:space="0" w:color="auto"/>
        <w:left w:val="none" w:sz="0" w:space="0" w:color="auto"/>
        <w:bottom w:val="none" w:sz="0" w:space="0" w:color="auto"/>
        <w:right w:val="none" w:sz="0" w:space="0" w:color="auto"/>
      </w:divBdr>
    </w:div>
    <w:div w:id="1555773842">
      <w:bodyDiv w:val="1"/>
      <w:marLeft w:val="0"/>
      <w:marRight w:val="0"/>
      <w:marTop w:val="0"/>
      <w:marBottom w:val="0"/>
      <w:divBdr>
        <w:top w:val="none" w:sz="0" w:space="0" w:color="auto"/>
        <w:left w:val="none" w:sz="0" w:space="0" w:color="auto"/>
        <w:bottom w:val="none" w:sz="0" w:space="0" w:color="auto"/>
        <w:right w:val="none" w:sz="0" w:space="0" w:color="auto"/>
      </w:divBdr>
    </w:div>
    <w:div w:id="1561287636">
      <w:bodyDiv w:val="1"/>
      <w:marLeft w:val="0"/>
      <w:marRight w:val="0"/>
      <w:marTop w:val="0"/>
      <w:marBottom w:val="0"/>
      <w:divBdr>
        <w:top w:val="none" w:sz="0" w:space="0" w:color="auto"/>
        <w:left w:val="none" w:sz="0" w:space="0" w:color="auto"/>
        <w:bottom w:val="none" w:sz="0" w:space="0" w:color="auto"/>
        <w:right w:val="none" w:sz="0" w:space="0" w:color="auto"/>
      </w:divBdr>
    </w:div>
    <w:div w:id="1563902580">
      <w:bodyDiv w:val="1"/>
      <w:marLeft w:val="0"/>
      <w:marRight w:val="0"/>
      <w:marTop w:val="0"/>
      <w:marBottom w:val="0"/>
      <w:divBdr>
        <w:top w:val="none" w:sz="0" w:space="0" w:color="auto"/>
        <w:left w:val="none" w:sz="0" w:space="0" w:color="auto"/>
        <w:bottom w:val="none" w:sz="0" w:space="0" w:color="auto"/>
        <w:right w:val="none" w:sz="0" w:space="0" w:color="auto"/>
      </w:divBdr>
    </w:div>
    <w:div w:id="1634872957">
      <w:bodyDiv w:val="1"/>
      <w:marLeft w:val="0"/>
      <w:marRight w:val="0"/>
      <w:marTop w:val="0"/>
      <w:marBottom w:val="0"/>
      <w:divBdr>
        <w:top w:val="none" w:sz="0" w:space="0" w:color="auto"/>
        <w:left w:val="none" w:sz="0" w:space="0" w:color="auto"/>
        <w:bottom w:val="none" w:sz="0" w:space="0" w:color="auto"/>
        <w:right w:val="none" w:sz="0" w:space="0" w:color="auto"/>
      </w:divBdr>
      <w:divsChild>
        <w:div w:id="1232931196">
          <w:marLeft w:val="0"/>
          <w:marRight w:val="0"/>
          <w:marTop w:val="0"/>
          <w:marBottom w:val="0"/>
          <w:divBdr>
            <w:top w:val="none" w:sz="0" w:space="0" w:color="auto"/>
            <w:left w:val="none" w:sz="0" w:space="0" w:color="auto"/>
            <w:bottom w:val="none" w:sz="0" w:space="0" w:color="auto"/>
            <w:right w:val="none" w:sz="0" w:space="0" w:color="auto"/>
          </w:divBdr>
        </w:div>
      </w:divsChild>
    </w:div>
    <w:div w:id="1648241084">
      <w:bodyDiv w:val="1"/>
      <w:marLeft w:val="0"/>
      <w:marRight w:val="0"/>
      <w:marTop w:val="0"/>
      <w:marBottom w:val="0"/>
      <w:divBdr>
        <w:top w:val="none" w:sz="0" w:space="0" w:color="auto"/>
        <w:left w:val="none" w:sz="0" w:space="0" w:color="auto"/>
        <w:bottom w:val="none" w:sz="0" w:space="0" w:color="auto"/>
        <w:right w:val="none" w:sz="0" w:space="0" w:color="auto"/>
      </w:divBdr>
    </w:div>
    <w:div w:id="1655257387">
      <w:bodyDiv w:val="1"/>
      <w:marLeft w:val="0"/>
      <w:marRight w:val="0"/>
      <w:marTop w:val="0"/>
      <w:marBottom w:val="0"/>
      <w:divBdr>
        <w:top w:val="none" w:sz="0" w:space="0" w:color="auto"/>
        <w:left w:val="none" w:sz="0" w:space="0" w:color="auto"/>
        <w:bottom w:val="none" w:sz="0" w:space="0" w:color="auto"/>
        <w:right w:val="none" w:sz="0" w:space="0" w:color="auto"/>
      </w:divBdr>
    </w:div>
    <w:div w:id="1675456876">
      <w:bodyDiv w:val="1"/>
      <w:marLeft w:val="0"/>
      <w:marRight w:val="0"/>
      <w:marTop w:val="0"/>
      <w:marBottom w:val="0"/>
      <w:divBdr>
        <w:top w:val="none" w:sz="0" w:space="0" w:color="auto"/>
        <w:left w:val="none" w:sz="0" w:space="0" w:color="auto"/>
        <w:bottom w:val="none" w:sz="0" w:space="0" w:color="auto"/>
        <w:right w:val="none" w:sz="0" w:space="0" w:color="auto"/>
      </w:divBdr>
    </w:div>
    <w:div w:id="1703826721">
      <w:bodyDiv w:val="1"/>
      <w:marLeft w:val="0"/>
      <w:marRight w:val="0"/>
      <w:marTop w:val="0"/>
      <w:marBottom w:val="0"/>
      <w:divBdr>
        <w:top w:val="none" w:sz="0" w:space="0" w:color="auto"/>
        <w:left w:val="none" w:sz="0" w:space="0" w:color="auto"/>
        <w:bottom w:val="none" w:sz="0" w:space="0" w:color="auto"/>
        <w:right w:val="none" w:sz="0" w:space="0" w:color="auto"/>
      </w:divBdr>
    </w:div>
    <w:div w:id="1734506081">
      <w:bodyDiv w:val="1"/>
      <w:marLeft w:val="0"/>
      <w:marRight w:val="0"/>
      <w:marTop w:val="0"/>
      <w:marBottom w:val="0"/>
      <w:divBdr>
        <w:top w:val="none" w:sz="0" w:space="0" w:color="auto"/>
        <w:left w:val="none" w:sz="0" w:space="0" w:color="auto"/>
        <w:bottom w:val="none" w:sz="0" w:space="0" w:color="auto"/>
        <w:right w:val="none" w:sz="0" w:space="0" w:color="auto"/>
      </w:divBdr>
    </w:div>
    <w:div w:id="1769497676">
      <w:bodyDiv w:val="1"/>
      <w:marLeft w:val="0"/>
      <w:marRight w:val="0"/>
      <w:marTop w:val="0"/>
      <w:marBottom w:val="0"/>
      <w:divBdr>
        <w:top w:val="none" w:sz="0" w:space="0" w:color="auto"/>
        <w:left w:val="none" w:sz="0" w:space="0" w:color="auto"/>
        <w:bottom w:val="none" w:sz="0" w:space="0" w:color="auto"/>
        <w:right w:val="none" w:sz="0" w:space="0" w:color="auto"/>
      </w:divBdr>
    </w:div>
    <w:div w:id="1773011035">
      <w:bodyDiv w:val="1"/>
      <w:marLeft w:val="0"/>
      <w:marRight w:val="0"/>
      <w:marTop w:val="0"/>
      <w:marBottom w:val="0"/>
      <w:divBdr>
        <w:top w:val="none" w:sz="0" w:space="0" w:color="auto"/>
        <w:left w:val="none" w:sz="0" w:space="0" w:color="auto"/>
        <w:bottom w:val="none" w:sz="0" w:space="0" w:color="auto"/>
        <w:right w:val="none" w:sz="0" w:space="0" w:color="auto"/>
      </w:divBdr>
    </w:div>
    <w:div w:id="1787384826">
      <w:bodyDiv w:val="1"/>
      <w:marLeft w:val="0"/>
      <w:marRight w:val="0"/>
      <w:marTop w:val="0"/>
      <w:marBottom w:val="0"/>
      <w:divBdr>
        <w:top w:val="none" w:sz="0" w:space="0" w:color="auto"/>
        <w:left w:val="none" w:sz="0" w:space="0" w:color="auto"/>
        <w:bottom w:val="none" w:sz="0" w:space="0" w:color="auto"/>
        <w:right w:val="none" w:sz="0" w:space="0" w:color="auto"/>
      </w:divBdr>
    </w:div>
    <w:div w:id="1858888754">
      <w:bodyDiv w:val="1"/>
      <w:marLeft w:val="0"/>
      <w:marRight w:val="0"/>
      <w:marTop w:val="0"/>
      <w:marBottom w:val="0"/>
      <w:divBdr>
        <w:top w:val="none" w:sz="0" w:space="0" w:color="auto"/>
        <w:left w:val="none" w:sz="0" w:space="0" w:color="auto"/>
        <w:bottom w:val="none" w:sz="0" w:space="0" w:color="auto"/>
        <w:right w:val="none" w:sz="0" w:space="0" w:color="auto"/>
      </w:divBdr>
    </w:div>
    <w:div w:id="1864396762">
      <w:bodyDiv w:val="1"/>
      <w:marLeft w:val="0"/>
      <w:marRight w:val="0"/>
      <w:marTop w:val="0"/>
      <w:marBottom w:val="0"/>
      <w:divBdr>
        <w:top w:val="none" w:sz="0" w:space="0" w:color="auto"/>
        <w:left w:val="none" w:sz="0" w:space="0" w:color="auto"/>
        <w:bottom w:val="none" w:sz="0" w:space="0" w:color="auto"/>
        <w:right w:val="none" w:sz="0" w:space="0" w:color="auto"/>
      </w:divBdr>
    </w:div>
    <w:div w:id="1925410761">
      <w:bodyDiv w:val="1"/>
      <w:marLeft w:val="0"/>
      <w:marRight w:val="0"/>
      <w:marTop w:val="0"/>
      <w:marBottom w:val="0"/>
      <w:divBdr>
        <w:top w:val="none" w:sz="0" w:space="0" w:color="auto"/>
        <w:left w:val="none" w:sz="0" w:space="0" w:color="auto"/>
        <w:bottom w:val="none" w:sz="0" w:space="0" w:color="auto"/>
        <w:right w:val="none" w:sz="0" w:space="0" w:color="auto"/>
      </w:divBdr>
    </w:div>
    <w:div w:id="2003386101">
      <w:bodyDiv w:val="1"/>
      <w:marLeft w:val="0"/>
      <w:marRight w:val="0"/>
      <w:marTop w:val="0"/>
      <w:marBottom w:val="0"/>
      <w:divBdr>
        <w:top w:val="none" w:sz="0" w:space="0" w:color="auto"/>
        <w:left w:val="none" w:sz="0" w:space="0" w:color="auto"/>
        <w:bottom w:val="none" w:sz="0" w:space="0" w:color="auto"/>
        <w:right w:val="none" w:sz="0" w:space="0" w:color="auto"/>
      </w:divBdr>
    </w:div>
    <w:div w:id="2066251451">
      <w:bodyDiv w:val="1"/>
      <w:marLeft w:val="0"/>
      <w:marRight w:val="0"/>
      <w:marTop w:val="0"/>
      <w:marBottom w:val="0"/>
      <w:divBdr>
        <w:top w:val="none" w:sz="0" w:space="0" w:color="auto"/>
        <w:left w:val="none" w:sz="0" w:space="0" w:color="auto"/>
        <w:bottom w:val="none" w:sz="0" w:space="0" w:color="auto"/>
        <w:right w:val="none" w:sz="0" w:space="0" w:color="auto"/>
      </w:divBdr>
    </w:div>
    <w:div w:id="2124768307">
      <w:bodyDiv w:val="1"/>
      <w:marLeft w:val="0"/>
      <w:marRight w:val="0"/>
      <w:marTop w:val="0"/>
      <w:marBottom w:val="0"/>
      <w:divBdr>
        <w:top w:val="none" w:sz="0" w:space="0" w:color="auto"/>
        <w:left w:val="none" w:sz="0" w:space="0" w:color="auto"/>
        <w:bottom w:val="none" w:sz="0" w:space="0" w:color="auto"/>
        <w:right w:val="none" w:sz="0" w:space="0" w:color="auto"/>
      </w:divBdr>
    </w:div>
    <w:div w:id="2140877651">
      <w:bodyDiv w:val="1"/>
      <w:marLeft w:val="0"/>
      <w:marRight w:val="0"/>
      <w:marTop w:val="0"/>
      <w:marBottom w:val="0"/>
      <w:divBdr>
        <w:top w:val="none" w:sz="0" w:space="0" w:color="auto"/>
        <w:left w:val="none" w:sz="0" w:space="0" w:color="auto"/>
        <w:bottom w:val="none" w:sz="0" w:space="0" w:color="auto"/>
        <w:right w:val="none" w:sz="0" w:space="0" w:color="auto"/>
      </w:divBdr>
    </w:div>
    <w:div w:id="2146046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3.xml"/><Relationship Id="rId3" Type="http://schemas.openxmlformats.org/officeDocument/2006/relationships/styles" Target="styles.xml"/><Relationship Id="rId7" Type="http://schemas.openxmlformats.org/officeDocument/2006/relationships/chart" Target="charts/chart2.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chart" Target="charts/chart1.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openxmlformats.org/officeDocument/2006/relationships/oleObject" Target="file:///C:\Users\Administrateur\dox%20-%20Natalis%20Vincent@dox.uliege.be\Assistanat\Recherche\R&#233;daction\Article%205\A5_analyse.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Administrateur\dox%20-%20Natalis%20Vincent@dox.uliege.be\Assistanat\Recherche\R&#233;daction\Article%205\A5_analyse.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Administrateur\dox%20-%20Natalis%20Vincent@dox.uliege.be\Assistanat\Recherche\R&#233;daction\Article%205\A5_analyse.xlsx" TargetMode="External"/><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Graph_desc!$O$8</c:f>
              <c:strCache>
                <c:ptCount val="1"/>
                <c:pt idx="0">
                  <c:v>Number of respondents</c:v>
                </c:pt>
              </c:strCache>
            </c:strRef>
          </c:tx>
          <c:spPr>
            <a:solidFill>
              <a:schemeClr val="accent1"/>
            </a:solidFill>
            <a:ln>
              <a:noFill/>
            </a:ln>
            <a:effectLst/>
          </c:spPr>
          <c:invertIfNegative val="0"/>
          <c:cat>
            <c:strRef>
              <c:f>Graph_desc!$N$9:$N$11</c:f>
              <c:strCache>
                <c:ptCount val="3"/>
                <c:pt idx="0">
                  <c:v>Haute École</c:v>
                </c:pt>
                <c:pt idx="1">
                  <c:v>University</c:v>
                </c:pt>
                <c:pt idx="2">
                  <c:v>Both</c:v>
                </c:pt>
              </c:strCache>
            </c:strRef>
          </c:cat>
          <c:val>
            <c:numRef>
              <c:f>Graph_desc!$O$9:$O$11</c:f>
              <c:numCache>
                <c:formatCode>General</c:formatCode>
                <c:ptCount val="3"/>
                <c:pt idx="0">
                  <c:v>33.333333333333336</c:v>
                </c:pt>
                <c:pt idx="1">
                  <c:v>63.636363636363633</c:v>
                </c:pt>
                <c:pt idx="2">
                  <c:v>3.0303030303030303</c:v>
                </c:pt>
              </c:numCache>
            </c:numRef>
          </c:val>
          <c:extLst>
            <c:ext xmlns:c16="http://schemas.microsoft.com/office/drawing/2014/chart" uri="{C3380CC4-5D6E-409C-BE32-E72D297353CC}">
              <c16:uniqueId val="{00000000-4F87-44AE-9ACE-E549333546BF}"/>
            </c:ext>
          </c:extLst>
        </c:ser>
        <c:dLbls>
          <c:showLegendKey val="0"/>
          <c:showVal val="0"/>
          <c:showCatName val="0"/>
          <c:showSerName val="0"/>
          <c:showPercent val="0"/>
          <c:showBubbleSize val="0"/>
        </c:dLbls>
        <c:gapWidth val="219"/>
        <c:overlap val="-27"/>
        <c:axId val="151485551"/>
        <c:axId val="151486511"/>
      </c:barChart>
      <c:catAx>
        <c:axId val="15148555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1486511"/>
        <c:crosses val="autoZero"/>
        <c:auto val="1"/>
        <c:lblAlgn val="ctr"/>
        <c:lblOffset val="100"/>
        <c:noMultiLvlLbl val="0"/>
      </c:catAx>
      <c:valAx>
        <c:axId val="151486511"/>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1485551"/>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Graph_desc!$O$26</c:f>
              <c:strCache>
                <c:ptCount val="1"/>
                <c:pt idx="0">
                  <c:v>Number</c:v>
                </c:pt>
              </c:strCache>
            </c:strRef>
          </c:tx>
          <c:spPr>
            <a:solidFill>
              <a:schemeClr val="accent1"/>
            </a:solidFill>
            <a:ln>
              <a:noFill/>
            </a:ln>
            <a:effectLst/>
          </c:spPr>
          <c:invertIfNegative val="0"/>
          <c:cat>
            <c:strRef>
              <c:f>Graph_desc!$N$27:$N$32</c:f>
              <c:strCache>
                <c:ptCount val="6"/>
                <c:pt idx="0">
                  <c:v>Less than 5</c:v>
                </c:pt>
                <c:pt idx="1">
                  <c:v>5 to 10</c:v>
                </c:pt>
                <c:pt idx="2">
                  <c:v>10 to 15</c:v>
                </c:pt>
                <c:pt idx="3">
                  <c:v>15 to 20</c:v>
                </c:pt>
                <c:pt idx="4">
                  <c:v>20 to 25</c:v>
                </c:pt>
                <c:pt idx="5">
                  <c:v>More than 25</c:v>
                </c:pt>
              </c:strCache>
            </c:strRef>
          </c:cat>
          <c:val>
            <c:numRef>
              <c:f>Graph_desc!$O$27:$O$32</c:f>
              <c:numCache>
                <c:formatCode>General</c:formatCode>
                <c:ptCount val="6"/>
                <c:pt idx="0">
                  <c:v>12.121212121212121</c:v>
                </c:pt>
                <c:pt idx="1">
                  <c:v>21.212121212121211</c:v>
                </c:pt>
                <c:pt idx="2">
                  <c:v>33.333333333333336</c:v>
                </c:pt>
                <c:pt idx="3">
                  <c:v>9.0909090909090917</c:v>
                </c:pt>
                <c:pt idx="4">
                  <c:v>15.151515151515152</c:v>
                </c:pt>
                <c:pt idx="5">
                  <c:v>9.0909090909090917</c:v>
                </c:pt>
              </c:numCache>
            </c:numRef>
          </c:val>
          <c:extLst>
            <c:ext xmlns:c16="http://schemas.microsoft.com/office/drawing/2014/chart" uri="{C3380CC4-5D6E-409C-BE32-E72D297353CC}">
              <c16:uniqueId val="{00000000-0316-4DC9-830D-46A826F39C80}"/>
            </c:ext>
          </c:extLst>
        </c:ser>
        <c:dLbls>
          <c:showLegendKey val="0"/>
          <c:showVal val="0"/>
          <c:showCatName val="0"/>
          <c:showSerName val="0"/>
          <c:showPercent val="0"/>
          <c:showBubbleSize val="0"/>
        </c:dLbls>
        <c:gapWidth val="219"/>
        <c:overlap val="-27"/>
        <c:axId val="1966145871"/>
        <c:axId val="1966147311"/>
      </c:barChart>
      <c:catAx>
        <c:axId val="196614587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66147311"/>
        <c:crosses val="autoZero"/>
        <c:auto val="1"/>
        <c:lblAlgn val="ctr"/>
        <c:lblOffset val="100"/>
        <c:noMultiLvlLbl val="0"/>
      </c:catAx>
      <c:valAx>
        <c:axId val="1966147311"/>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66145871"/>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a:t>Teaching training and diplomas</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spPr>
            <a:solidFill>
              <a:schemeClr val="accent1"/>
            </a:solidFill>
            <a:ln>
              <a:noFill/>
            </a:ln>
            <a:effectLst/>
          </c:spPr>
          <c:invertIfNegative val="0"/>
          <c:cat>
            <c:strRef>
              <c:f>Graph_desc!$K$27:$K$31</c:f>
              <c:strCache>
                <c:ptCount val="5"/>
                <c:pt idx="0">
                  <c:v>Haute école teaching diploma</c:v>
                </c:pt>
                <c:pt idx="1">
                  <c:v>Secondary school teaching diploma</c:v>
                </c:pt>
                <c:pt idx="2">
                  <c:v>Other training</c:v>
                </c:pt>
                <c:pt idx="3">
                  <c:v>No formal training</c:v>
                </c:pt>
                <c:pt idx="4">
                  <c:v>N/A</c:v>
                </c:pt>
              </c:strCache>
            </c:strRef>
          </c:cat>
          <c:val>
            <c:numRef>
              <c:f>Graph_desc!$L$27:$L$31</c:f>
              <c:numCache>
                <c:formatCode>General</c:formatCode>
                <c:ptCount val="5"/>
                <c:pt idx="0">
                  <c:v>24.242424242424242</c:v>
                </c:pt>
                <c:pt idx="1">
                  <c:v>27.272727272727273</c:v>
                </c:pt>
                <c:pt idx="2">
                  <c:v>9.0909090909090917</c:v>
                </c:pt>
                <c:pt idx="3">
                  <c:v>15.151515151515152</c:v>
                </c:pt>
                <c:pt idx="4">
                  <c:v>24.242424242424242</c:v>
                </c:pt>
              </c:numCache>
            </c:numRef>
          </c:val>
          <c:extLst>
            <c:ext xmlns:c16="http://schemas.microsoft.com/office/drawing/2014/chart" uri="{C3380CC4-5D6E-409C-BE32-E72D297353CC}">
              <c16:uniqueId val="{00000000-DDEB-48EA-8FB3-927D2B51DD16}"/>
            </c:ext>
          </c:extLst>
        </c:ser>
        <c:dLbls>
          <c:showLegendKey val="0"/>
          <c:showVal val="0"/>
          <c:showCatName val="0"/>
          <c:showSerName val="0"/>
          <c:showPercent val="0"/>
          <c:showBubbleSize val="0"/>
        </c:dLbls>
        <c:gapWidth val="219"/>
        <c:overlap val="-27"/>
        <c:axId val="149831935"/>
        <c:axId val="149832415"/>
      </c:barChart>
      <c:catAx>
        <c:axId val="149831935"/>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9832415"/>
        <c:crosses val="autoZero"/>
        <c:auto val="1"/>
        <c:lblAlgn val="ctr"/>
        <c:lblOffset val="100"/>
        <c:noMultiLvlLbl val="0"/>
      </c:catAx>
      <c:valAx>
        <c:axId val="149832415"/>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9831935"/>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339718-8F66-40CD-8BB7-C2648DF9AD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21</Pages>
  <Words>15860</Words>
  <Characters>90403</Characters>
  <Application>Microsoft Office Word</Application>
  <DocSecurity>0</DocSecurity>
  <Lines>753</Lines>
  <Paragraphs>212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106051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Natalis Vincent</dc:creator>
  <cp:keywords/>
  <dc:description/>
  <cp:lastModifiedBy>Natalis Vincent</cp:lastModifiedBy>
  <cp:revision>4</cp:revision>
  <dcterms:created xsi:type="dcterms:W3CDTF">2024-08-17T16:29:00Z</dcterms:created>
  <dcterms:modified xsi:type="dcterms:W3CDTF">2024-08-17T17:21:00Z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zotero-version="6.0.36"&gt;&lt;session id="eiNidD72"/&gt;&lt;style id="http://www.zotero.org/styles/apa" locale="fr-FR" hasBibliography="1" bibliographyStyleHasBeenSet="1"/&gt;&lt;prefs&gt;&lt;pref name="fieldType" value="Field"/&gt;&lt;pref name="automaticJourn</vt:lpwstr>
  </property>
  <property fmtid="{D5CDD505-2E9C-101B-9397-08002B2CF9AE}" pid="3" name="ZOTERO_PREF_2">
    <vt:lpwstr>alAbbreviations" value="true"/&gt;&lt;/prefs&gt;&lt;/data&gt;</vt:lpwstr>
  </property>
</Properties>
</file>