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B56E" w14:textId="77777777" w:rsidR="005B4A0C" w:rsidRPr="008D2F4A" w:rsidRDefault="005B4A0C" w:rsidP="00DD6ED9">
      <w:pPr>
        <w:spacing w:line="264" w:lineRule="auto"/>
        <w:jc w:val="center"/>
        <w:rPr>
          <w:rFonts w:eastAsia="Calibri" w:cs="Times New Roman"/>
          <w:b/>
          <w:bCs/>
          <w:sz w:val="24"/>
          <w:szCs w:val="24"/>
        </w:rPr>
      </w:pPr>
      <w:bookmarkStart w:id="0" w:name="_Hlk183445730"/>
      <w:r w:rsidRPr="008D2F4A">
        <w:rPr>
          <w:rFonts w:eastAsia="Calibri" w:cs="Times New Roman"/>
          <w:b/>
          <w:bCs/>
          <w:sz w:val="24"/>
          <w:szCs w:val="24"/>
        </w:rPr>
        <w:t>An individual right to breathe clean air, at last? The promises and perils of state liability for air pollution</w:t>
      </w:r>
      <w:r w:rsidRPr="008D2F4A">
        <w:rPr>
          <w:rFonts w:eastAsia="Calibri" w:cs="Times New Roman"/>
          <w:b/>
          <w:bCs/>
          <w:sz w:val="24"/>
          <w:szCs w:val="24"/>
          <w:vertAlign w:val="superscript"/>
        </w:rPr>
        <w:footnoteReference w:id="1"/>
      </w:r>
    </w:p>
    <w:p w14:paraId="3145166D" w14:textId="77777777" w:rsidR="005B4A0C" w:rsidRPr="008D2F4A" w:rsidRDefault="005B4A0C" w:rsidP="00DD6ED9">
      <w:pPr>
        <w:spacing w:line="264" w:lineRule="auto"/>
        <w:jc w:val="center"/>
        <w:rPr>
          <w:rFonts w:eastAsia="Calibri" w:cs="Times New Roman"/>
          <w:b/>
          <w:bCs/>
          <w:sz w:val="24"/>
          <w:szCs w:val="24"/>
        </w:rPr>
      </w:pPr>
    </w:p>
    <w:p w14:paraId="427A28CB" w14:textId="77777777" w:rsidR="005B4A0C" w:rsidRPr="008D2F4A" w:rsidRDefault="005B4A0C" w:rsidP="00DD6ED9">
      <w:pPr>
        <w:numPr>
          <w:ilvl w:val="0"/>
          <w:numId w:val="1"/>
        </w:numPr>
        <w:spacing w:line="264" w:lineRule="auto"/>
        <w:ind w:left="0" w:firstLine="0"/>
        <w:jc w:val="both"/>
        <w:rPr>
          <w:rFonts w:eastAsia="Calibri" w:cs="Times New Roman"/>
          <w:sz w:val="24"/>
          <w:szCs w:val="24"/>
        </w:rPr>
      </w:pPr>
      <w:r w:rsidRPr="008D2F4A">
        <w:rPr>
          <w:rFonts w:eastAsia="Calibri" w:cs="Times New Roman"/>
          <w:sz w:val="24"/>
          <w:szCs w:val="24"/>
        </w:rPr>
        <w:t>Introduction</w:t>
      </w:r>
    </w:p>
    <w:p w14:paraId="637BBB60" w14:textId="77777777" w:rsidR="005B4A0C" w:rsidRPr="008D2F4A" w:rsidRDefault="005B4A0C" w:rsidP="00DD6ED9">
      <w:pPr>
        <w:spacing w:line="264" w:lineRule="auto"/>
        <w:jc w:val="both"/>
        <w:rPr>
          <w:rFonts w:eastAsia="Calibri" w:cs="Times New Roman"/>
          <w:sz w:val="24"/>
          <w:szCs w:val="24"/>
        </w:rPr>
      </w:pPr>
    </w:p>
    <w:p w14:paraId="1CD04498" w14:textId="2D5741FB" w:rsidR="005B4A0C" w:rsidRPr="00330981" w:rsidRDefault="005B4A0C" w:rsidP="00DD6ED9">
      <w:pPr>
        <w:spacing w:line="264" w:lineRule="auto"/>
        <w:jc w:val="both"/>
        <w:rPr>
          <w:rFonts w:eastAsia="Calibri" w:cs="Times New Roman"/>
          <w:color w:val="000000"/>
          <w:sz w:val="24"/>
          <w:szCs w:val="24"/>
        </w:rPr>
      </w:pPr>
      <w:r w:rsidRPr="008D2F4A">
        <w:rPr>
          <w:rFonts w:eastAsia="Calibri" w:cs="Times New Roman"/>
          <w:color w:val="000000"/>
          <w:sz w:val="24"/>
          <w:szCs w:val="24"/>
        </w:rPr>
        <w:t>One of the main objectives of the Green Deal is to achieve “zero pollution” by 2050. To that end, the European Union enacted Directive 2024/2881 (“the recast Directive”)</w:t>
      </w:r>
      <w:r w:rsidRPr="008D2F4A">
        <w:rPr>
          <w:rFonts w:eastAsia="Calibri" w:cs="Times New Roman"/>
          <w:color w:val="000000"/>
          <w:sz w:val="24"/>
          <w:szCs w:val="24"/>
          <w:vertAlign w:val="superscript"/>
        </w:rPr>
        <w:footnoteReference w:id="2"/>
      </w:r>
      <w:r w:rsidRPr="008D2F4A">
        <w:rPr>
          <w:rFonts w:eastAsia="Calibri" w:cs="Times New Roman"/>
          <w:color w:val="000000"/>
          <w:sz w:val="24"/>
          <w:szCs w:val="24"/>
        </w:rPr>
        <w:t xml:space="preserve"> introducing stricter thresholds </w:t>
      </w:r>
      <w:r w:rsidR="00A11DD8" w:rsidRPr="008D2F4A">
        <w:rPr>
          <w:rFonts w:eastAsia="Calibri" w:cs="Times New Roman"/>
          <w:color w:val="000000"/>
          <w:sz w:val="24"/>
          <w:szCs w:val="24"/>
        </w:rPr>
        <w:t>for</w:t>
      </w:r>
      <w:r w:rsidRPr="008D2F4A">
        <w:rPr>
          <w:rFonts w:eastAsia="Calibri" w:cs="Times New Roman"/>
          <w:color w:val="000000"/>
          <w:sz w:val="24"/>
          <w:szCs w:val="24"/>
        </w:rPr>
        <w:t xml:space="preserve"> air pollutant emissions, as well as provisions designed to address the “implementation gap” relating to Directive 2008/50 (“the Air Quality Directive”).</w:t>
      </w:r>
      <w:r w:rsidRPr="008D2F4A">
        <w:rPr>
          <w:rFonts w:eastAsia="Calibri" w:cs="Times New Roman"/>
          <w:color w:val="000000"/>
          <w:sz w:val="24"/>
          <w:szCs w:val="24"/>
          <w:vertAlign w:val="superscript"/>
        </w:rPr>
        <w:footnoteReference w:id="3"/>
      </w:r>
      <w:r w:rsidRPr="008D2F4A">
        <w:rPr>
          <w:rFonts w:eastAsia="Calibri" w:cs="Times New Roman"/>
          <w:color w:val="000000"/>
          <w:sz w:val="24"/>
          <w:szCs w:val="24"/>
        </w:rPr>
        <w:t xml:space="preserve"> More specifically, the recast Directive aims to improve the legal tools and judicial remedies available to affected individuals who wish to bring legal proceedings </w:t>
      </w:r>
      <w:r w:rsidR="00A11DD8" w:rsidRPr="008D2F4A">
        <w:rPr>
          <w:rFonts w:eastAsia="Calibri" w:cs="Times New Roman"/>
          <w:color w:val="000000"/>
          <w:sz w:val="24"/>
          <w:szCs w:val="24"/>
        </w:rPr>
        <w:t>regarding</w:t>
      </w:r>
      <w:r w:rsidRPr="008D2F4A">
        <w:rPr>
          <w:rFonts w:eastAsia="Calibri" w:cs="Times New Roman"/>
          <w:color w:val="000000"/>
          <w:sz w:val="24"/>
          <w:szCs w:val="24"/>
        </w:rPr>
        <w:t xml:space="preserve"> the lack of enforcement of the air quality standards in the Directive. For that purpose, it establishes standing </w:t>
      </w:r>
      <w:r w:rsidR="00A11DD8" w:rsidRPr="008D2F4A">
        <w:rPr>
          <w:rFonts w:eastAsia="Calibri" w:cs="Times New Roman"/>
          <w:color w:val="000000"/>
          <w:sz w:val="24"/>
          <w:szCs w:val="24"/>
        </w:rPr>
        <w:t>for</w:t>
      </w:r>
      <w:r w:rsidRPr="008D2F4A">
        <w:rPr>
          <w:rFonts w:eastAsia="Calibri" w:cs="Times New Roman"/>
          <w:color w:val="000000"/>
          <w:sz w:val="24"/>
          <w:szCs w:val="24"/>
        </w:rPr>
        <w:t xml:space="preserve"> individuals and non-governmental organizations (“NGOs”) in relation to the judicial enforcement of the Air </w:t>
      </w:r>
      <w:r w:rsidRPr="00330981">
        <w:rPr>
          <w:rFonts w:eastAsia="Calibri" w:cs="Times New Roman"/>
          <w:color w:val="000000"/>
          <w:sz w:val="24"/>
          <w:szCs w:val="24"/>
        </w:rPr>
        <w:t xml:space="preserve">Quality Directive (Art. 27). In addition, it also introduces a right </w:t>
      </w:r>
      <w:r w:rsidR="00ED158F" w:rsidRPr="00330981">
        <w:rPr>
          <w:rFonts w:eastAsia="Calibri" w:cs="Times New Roman"/>
          <w:color w:val="000000"/>
          <w:sz w:val="24"/>
          <w:szCs w:val="24"/>
        </w:rPr>
        <w:t>to</w:t>
      </w:r>
      <w:r w:rsidRPr="00330981">
        <w:rPr>
          <w:rFonts w:eastAsia="Calibri" w:cs="Times New Roman"/>
          <w:color w:val="000000"/>
          <w:sz w:val="24"/>
          <w:szCs w:val="24"/>
        </w:rPr>
        <w:t xml:space="preserve"> compensation </w:t>
      </w:r>
      <w:r w:rsidR="00ED158F" w:rsidRPr="00330981">
        <w:rPr>
          <w:rFonts w:eastAsia="Calibri" w:cs="Times New Roman"/>
          <w:color w:val="000000"/>
          <w:sz w:val="24"/>
          <w:szCs w:val="24"/>
        </w:rPr>
        <w:t>for</w:t>
      </w:r>
      <w:r w:rsidRPr="00330981">
        <w:rPr>
          <w:rFonts w:eastAsia="Calibri" w:cs="Times New Roman"/>
          <w:color w:val="000000"/>
          <w:sz w:val="24"/>
          <w:szCs w:val="24"/>
        </w:rPr>
        <w:t xml:space="preserve"> individuals who suffer health damage caused by breaches of the obligations laid down in the Directive (Art. 28).</w:t>
      </w:r>
    </w:p>
    <w:p w14:paraId="7CE43236" w14:textId="1CC44F90" w:rsidR="005B4A0C" w:rsidRPr="008D2F4A" w:rsidRDefault="005B4A0C" w:rsidP="00DD6ED9">
      <w:pPr>
        <w:spacing w:line="264" w:lineRule="auto"/>
        <w:ind w:firstLine="284"/>
        <w:jc w:val="both"/>
        <w:rPr>
          <w:rFonts w:eastAsia="Calibri" w:cs="Times New Roman"/>
          <w:sz w:val="24"/>
          <w:szCs w:val="24"/>
        </w:rPr>
      </w:pPr>
      <w:r w:rsidRPr="00330981">
        <w:rPr>
          <w:rFonts w:eastAsia="Calibri" w:cs="Times New Roman"/>
          <w:sz w:val="24"/>
          <w:szCs w:val="24"/>
        </w:rPr>
        <w:t xml:space="preserve">The recast Directive </w:t>
      </w:r>
      <w:r w:rsidR="00A11DD8" w:rsidRPr="00330981">
        <w:rPr>
          <w:rFonts w:eastAsia="Calibri" w:cs="Times New Roman"/>
          <w:sz w:val="24"/>
          <w:szCs w:val="24"/>
        </w:rPr>
        <w:t>addresses</w:t>
      </w:r>
      <w:r w:rsidRPr="00330981">
        <w:rPr>
          <w:rFonts w:eastAsia="Calibri" w:cs="Times New Roman"/>
          <w:sz w:val="24"/>
          <w:szCs w:val="24"/>
        </w:rPr>
        <w:t xml:space="preserve"> unresolved issues about the</w:t>
      </w:r>
      <w:r w:rsidR="00ED158F" w:rsidRPr="00330981">
        <w:rPr>
          <w:rFonts w:eastAsia="Calibri" w:cs="Times New Roman"/>
          <w:sz w:val="24"/>
          <w:szCs w:val="24"/>
        </w:rPr>
        <w:t xml:space="preserve"> </w:t>
      </w:r>
      <w:r w:rsidRPr="00330981">
        <w:rPr>
          <w:rFonts w:eastAsia="Calibri" w:cs="Times New Roman"/>
          <w:sz w:val="24"/>
          <w:szCs w:val="24"/>
        </w:rPr>
        <w:t>rights and remedies available to individuals affected by breaches of EU air quality standards.</w:t>
      </w:r>
      <w:r w:rsidRPr="00330981">
        <w:rPr>
          <w:rFonts w:eastAsia="Calibri" w:cs="Times New Roman"/>
          <w:sz w:val="24"/>
          <w:szCs w:val="24"/>
          <w:vertAlign w:val="superscript"/>
        </w:rPr>
        <w:footnoteReference w:id="4"/>
      </w:r>
      <w:r w:rsidRPr="00330981">
        <w:rPr>
          <w:rFonts w:eastAsia="Calibri" w:cs="Times New Roman"/>
          <w:sz w:val="24"/>
          <w:szCs w:val="24"/>
        </w:rPr>
        <w:t xml:space="preserve"> In the wake of recent judgments, one </w:t>
      </w:r>
      <w:r w:rsidR="00A11DD8" w:rsidRPr="00330981">
        <w:rPr>
          <w:rFonts w:eastAsia="Calibri" w:cs="Times New Roman"/>
          <w:sz w:val="24"/>
          <w:szCs w:val="24"/>
        </w:rPr>
        <w:t>might</w:t>
      </w:r>
      <w:r w:rsidRPr="00330981">
        <w:rPr>
          <w:rFonts w:eastAsia="Calibri" w:cs="Times New Roman"/>
          <w:sz w:val="24"/>
          <w:szCs w:val="24"/>
        </w:rPr>
        <w:t xml:space="preserve"> reasonably wonder whether</w:t>
      </w:r>
      <w:r w:rsidRPr="008D2F4A">
        <w:rPr>
          <w:rFonts w:eastAsia="Calibri" w:cs="Times New Roman"/>
          <w:sz w:val="24"/>
          <w:szCs w:val="24"/>
        </w:rPr>
        <w:t xml:space="preserve"> an individual right to clean air ha</w:t>
      </w:r>
      <w:r w:rsidR="004B029D" w:rsidRPr="008D2F4A">
        <w:rPr>
          <w:rFonts w:eastAsia="Calibri" w:cs="Times New Roman"/>
          <w:sz w:val="24"/>
          <w:szCs w:val="24"/>
        </w:rPr>
        <w:t>s</w:t>
      </w:r>
      <w:r w:rsidRPr="008D2F4A">
        <w:rPr>
          <w:rFonts w:eastAsia="Calibri" w:cs="Times New Roman"/>
          <w:sz w:val="24"/>
          <w:szCs w:val="24"/>
        </w:rPr>
        <w:t xml:space="preserve"> finally emerged. The </w:t>
      </w:r>
      <w:r w:rsidR="004B029D" w:rsidRPr="008D2F4A">
        <w:rPr>
          <w:rFonts w:eastAsia="Calibri" w:cs="Times New Roman"/>
          <w:sz w:val="24"/>
          <w:szCs w:val="24"/>
        </w:rPr>
        <w:t xml:space="preserve">European Court of Justice </w:t>
      </w:r>
      <w:r w:rsidR="004B029D" w:rsidRPr="008D2F4A">
        <w:rPr>
          <w:rFonts w:eastAsia="Calibri" w:cs="Times New Roman"/>
          <w:color w:val="000000"/>
          <w:sz w:val="24"/>
          <w:szCs w:val="24"/>
        </w:rPr>
        <w:t xml:space="preserve">(“the Court”) </w:t>
      </w:r>
      <w:r w:rsidR="002705A9" w:rsidRPr="008D2F4A">
        <w:rPr>
          <w:rFonts w:eastAsia="Calibri" w:cs="Times New Roman"/>
          <w:color w:val="000000"/>
          <w:sz w:val="24"/>
          <w:szCs w:val="24"/>
        </w:rPr>
        <w:t xml:space="preserve">even </w:t>
      </w:r>
      <w:r w:rsidR="00402288" w:rsidRPr="008D2F4A">
        <w:rPr>
          <w:rFonts w:eastAsia="Calibri" w:cs="Times New Roman"/>
          <w:sz w:val="24"/>
          <w:szCs w:val="24"/>
        </w:rPr>
        <w:t>hinted</w:t>
      </w:r>
      <w:r w:rsidRPr="008D2F4A">
        <w:rPr>
          <w:rFonts w:eastAsia="Calibri" w:cs="Times New Roman"/>
          <w:sz w:val="24"/>
          <w:szCs w:val="24"/>
        </w:rPr>
        <w:t xml:space="preserve"> that individuals could rely on EU law to derive an individual claim for </w:t>
      </w:r>
      <w:r w:rsidR="00ED158F" w:rsidRPr="008D2F4A">
        <w:rPr>
          <w:rFonts w:eastAsia="Calibri" w:cs="Times New Roman"/>
          <w:sz w:val="24"/>
          <w:szCs w:val="24"/>
        </w:rPr>
        <w:t>financial compensation</w:t>
      </w:r>
      <w:r w:rsidRPr="008D2F4A">
        <w:rPr>
          <w:rFonts w:eastAsia="Calibri" w:cs="Times New Roman"/>
          <w:sz w:val="24"/>
          <w:szCs w:val="24"/>
        </w:rPr>
        <w:t xml:space="preserve"> in the event they suffer</w:t>
      </w:r>
      <w:r w:rsidR="00A11DD8" w:rsidRPr="008D2F4A">
        <w:rPr>
          <w:rFonts w:eastAsia="Calibri" w:cs="Times New Roman"/>
          <w:sz w:val="24"/>
          <w:szCs w:val="24"/>
        </w:rPr>
        <w:t xml:space="preserve"> </w:t>
      </w:r>
      <w:r w:rsidRPr="008D2F4A">
        <w:rPr>
          <w:rFonts w:eastAsia="Calibri" w:cs="Times New Roman"/>
          <w:sz w:val="24"/>
          <w:szCs w:val="24"/>
        </w:rPr>
        <w:t xml:space="preserve">damage caused by a breach of </w:t>
      </w:r>
      <w:r w:rsidR="00A64BE5" w:rsidRPr="008D2F4A">
        <w:rPr>
          <w:rFonts w:eastAsia="Calibri" w:cs="Times New Roman"/>
          <w:sz w:val="24"/>
          <w:szCs w:val="24"/>
        </w:rPr>
        <w:t>EU air quality standards</w:t>
      </w:r>
      <w:r w:rsidRPr="008D2F4A">
        <w:rPr>
          <w:rFonts w:eastAsia="Calibri" w:cs="Times New Roman"/>
          <w:sz w:val="24"/>
          <w:szCs w:val="24"/>
        </w:rPr>
        <w:t>.</w:t>
      </w:r>
      <w:r w:rsidRPr="008D2F4A">
        <w:rPr>
          <w:rFonts w:eastAsia="Calibri" w:cs="Times New Roman"/>
          <w:sz w:val="24"/>
          <w:szCs w:val="24"/>
          <w:vertAlign w:val="superscript"/>
        </w:rPr>
        <w:footnoteReference w:id="5"/>
      </w:r>
      <w:r w:rsidRPr="008D2F4A">
        <w:rPr>
          <w:rFonts w:eastAsia="Calibri" w:cs="Times New Roman"/>
          <w:sz w:val="24"/>
          <w:szCs w:val="24"/>
        </w:rPr>
        <w:t xml:space="preserve"> The issue is not merely theoretica</w:t>
      </w:r>
      <w:r w:rsidR="00A64BE5" w:rsidRPr="008D2F4A">
        <w:rPr>
          <w:rFonts w:eastAsia="Calibri" w:cs="Times New Roman"/>
          <w:sz w:val="24"/>
          <w:szCs w:val="24"/>
        </w:rPr>
        <w:t>l</w:t>
      </w:r>
      <w:r w:rsidRPr="008D2F4A">
        <w:rPr>
          <w:rFonts w:eastAsia="Calibri" w:cs="Times New Roman"/>
          <w:sz w:val="24"/>
          <w:szCs w:val="24"/>
        </w:rPr>
        <w:t xml:space="preserve">. Ambient air pollution </w:t>
      </w:r>
      <w:r w:rsidR="00A11DD8" w:rsidRPr="008D2F4A">
        <w:rPr>
          <w:rFonts w:eastAsia="Calibri" w:cs="Times New Roman"/>
          <w:sz w:val="24"/>
          <w:szCs w:val="24"/>
        </w:rPr>
        <w:t>causes</w:t>
      </w:r>
      <w:r w:rsidRPr="008D2F4A">
        <w:rPr>
          <w:rFonts w:eastAsia="Calibri" w:cs="Times New Roman"/>
          <w:sz w:val="24"/>
          <w:szCs w:val="24"/>
        </w:rPr>
        <w:t xml:space="preserve"> a </w:t>
      </w:r>
      <w:r w:rsidR="00A11DD8" w:rsidRPr="008D2F4A">
        <w:rPr>
          <w:rFonts w:eastAsia="Calibri" w:cs="Times New Roman"/>
          <w:sz w:val="24"/>
          <w:szCs w:val="24"/>
        </w:rPr>
        <w:t>significant</w:t>
      </w:r>
      <w:r w:rsidRPr="008D2F4A">
        <w:rPr>
          <w:rFonts w:eastAsia="Calibri" w:cs="Times New Roman"/>
          <w:sz w:val="24"/>
          <w:szCs w:val="24"/>
        </w:rPr>
        <w:t xml:space="preserve"> number of premature deaths across Europe each year. Vulnerable populations are particularly prone to be affected by air pollution. As A</w:t>
      </w:r>
      <w:r w:rsidR="00A11DD8" w:rsidRPr="008D2F4A">
        <w:rPr>
          <w:rFonts w:eastAsia="Calibri" w:cs="Times New Roman"/>
          <w:sz w:val="24"/>
          <w:szCs w:val="24"/>
        </w:rPr>
        <w:t>dvocate General</w:t>
      </w:r>
      <w:r w:rsidRPr="008D2F4A">
        <w:rPr>
          <w:rFonts w:eastAsia="Calibri" w:cs="Times New Roman"/>
          <w:sz w:val="24"/>
          <w:szCs w:val="24"/>
        </w:rPr>
        <w:t xml:space="preserve"> Kokott </w:t>
      </w:r>
      <w:r w:rsidR="00A11DD8" w:rsidRPr="008D2F4A">
        <w:rPr>
          <w:rFonts w:eastAsia="Calibri" w:cs="Times New Roman"/>
          <w:sz w:val="24"/>
          <w:szCs w:val="24"/>
        </w:rPr>
        <w:t>noted</w:t>
      </w:r>
      <w:r w:rsidRPr="008D2F4A">
        <w:rPr>
          <w:rFonts w:eastAsia="Calibri" w:cs="Times New Roman"/>
          <w:sz w:val="24"/>
          <w:szCs w:val="24"/>
        </w:rPr>
        <w:t>, “{t}hose groups often consist of people of low socio-economic status, who are particularly reliant on judicial protection”.</w:t>
      </w:r>
      <w:r w:rsidRPr="008D2F4A">
        <w:rPr>
          <w:rFonts w:eastAsia="Calibri" w:cs="Times New Roman"/>
          <w:sz w:val="24"/>
          <w:szCs w:val="24"/>
          <w:vertAlign w:val="superscript"/>
        </w:rPr>
        <w:footnoteReference w:id="6"/>
      </w:r>
      <w:r w:rsidRPr="008D2F4A">
        <w:rPr>
          <w:rFonts w:eastAsia="Calibri" w:cs="Times New Roman"/>
          <w:sz w:val="24"/>
          <w:szCs w:val="24"/>
        </w:rPr>
        <w:t xml:space="preserve"> </w:t>
      </w:r>
    </w:p>
    <w:p w14:paraId="59674E42" w14:textId="71AE7155" w:rsidR="005B4A0C" w:rsidRPr="008D2F4A" w:rsidRDefault="00ED158F" w:rsidP="00DD6ED9">
      <w:pPr>
        <w:spacing w:line="264" w:lineRule="auto"/>
        <w:ind w:firstLine="284"/>
        <w:jc w:val="both"/>
        <w:rPr>
          <w:rFonts w:eastAsia="Calibri" w:cs="Times New Roman"/>
          <w:sz w:val="24"/>
          <w:szCs w:val="24"/>
        </w:rPr>
      </w:pPr>
      <w:r w:rsidRPr="008D2F4A">
        <w:rPr>
          <w:rFonts w:eastAsia="Calibri" w:cs="Times New Roman"/>
          <w:sz w:val="24"/>
          <w:szCs w:val="24"/>
        </w:rPr>
        <w:t>Unfortunately</w:t>
      </w:r>
      <w:r w:rsidR="005B4A0C" w:rsidRPr="008D2F4A">
        <w:rPr>
          <w:rFonts w:eastAsia="Calibri" w:cs="Times New Roman"/>
          <w:sz w:val="24"/>
          <w:szCs w:val="24"/>
        </w:rPr>
        <w:t xml:space="preserve">, the Court </w:t>
      </w:r>
      <w:r w:rsidR="00A11DD8" w:rsidRPr="008D2F4A">
        <w:rPr>
          <w:rFonts w:eastAsia="Calibri" w:cs="Times New Roman"/>
          <w:sz w:val="24"/>
          <w:szCs w:val="24"/>
        </w:rPr>
        <w:t>later</w:t>
      </w:r>
      <w:r w:rsidR="005B4A0C" w:rsidRPr="008D2F4A">
        <w:rPr>
          <w:rFonts w:eastAsia="Calibri" w:cs="Times New Roman"/>
          <w:sz w:val="24"/>
          <w:szCs w:val="24"/>
        </w:rPr>
        <w:t xml:space="preserve"> ruled out the </w:t>
      </w:r>
      <w:r w:rsidR="00A11DD8" w:rsidRPr="008D2F4A">
        <w:rPr>
          <w:rFonts w:eastAsia="Calibri" w:cs="Times New Roman"/>
          <w:sz w:val="24"/>
          <w:szCs w:val="24"/>
        </w:rPr>
        <w:t>possibility</w:t>
      </w:r>
      <w:r w:rsidR="005B4A0C" w:rsidRPr="008D2F4A">
        <w:rPr>
          <w:rFonts w:eastAsia="Calibri" w:cs="Times New Roman"/>
          <w:sz w:val="24"/>
          <w:szCs w:val="24"/>
        </w:rPr>
        <w:t xml:space="preserve"> that individuals could obtain damage</w:t>
      </w:r>
      <w:r w:rsidR="00A11DD8" w:rsidRPr="008D2F4A">
        <w:rPr>
          <w:rFonts w:eastAsia="Calibri" w:cs="Times New Roman"/>
          <w:sz w:val="24"/>
          <w:szCs w:val="24"/>
        </w:rPr>
        <w:t>s</w:t>
      </w:r>
      <w:r w:rsidR="005B4A0C" w:rsidRPr="008D2F4A">
        <w:rPr>
          <w:rFonts w:eastAsia="Calibri" w:cs="Times New Roman"/>
          <w:sz w:val="24"/>
          <w:szCs w:val="24"/>
        </w:rPr>
        <w:t xml:space="preserve"> </w:t>
      </w:r>
      <w:r w:rsidR="00A0309B" w:rsidRPr="008D2F4A">
        <w:rPr>
          <w:rFonts w:eastAsia="Calibri" w:cs="Times New Roman"/>
          <w:sz w:val="24"/>
          <w:szCs w:val="24"/>
        </w:rPr>
        <w:t>as a matter of</w:t>
      </w:r>
      <w:r w:rsidR="005B4A0C" w:rsidRPr="008D2F4A">
        <w:rPr>
          <w:rFonts w:eastAsia="Calibri" w:cs="Times New Roman"/>
          <w:sz w:val="24"/>
          <w:szCs w:val="24"/>
        </w:rPr>
        <w:t xml:space="preserve"> state liability in environmental matters.</w:t>
      </w:r>
      <w:r w:rsidR="00540795" w:rsidRPr="008D2F4A">
        <w:rPr>
          <w:rStyle w:val="FootnoteReference"/>
          <w:rFonts w:eastAsia="Calibri" w:cs="Times New Roman"/>
          <w:sz w:val="24"/>
          <w:szCs w:val="24"/>
        </w:rPr>
        <w:footnoteReference w:id="7"/>
      </w:r>
      <w:r w:rsidR="005B4A0C" w:rsidRPr="008D2F4A">
        <w:rPr>
          <w:rFonts w:eastAsia="Calibri" w:cs="Times New Roman"/>
          <w:sz w:val="24"/>
          <w:szCs w:val="24"/>
        </w:rPr>
        <w:t xml:space="preserve"> The recast Directive nevertheless </w:t>
      </w:r>
      <w:r w:rsidR="005B4A0C" w:rsidRPr="008D2F4A">
        <w:rPr>
          <w:rFonts w:eastAsia="Calibri" w:cs="Times New Roman"/>
          <w:sz w:val="24"/>
          <w:szCs w:val="24"/>
        </w:rPr>
        <w:lastRenderedPageBreak/>
        <w:t xml:space="preserve">reignited hopes that the EU </w:t>
      </w:r>
      <w:r w:rsidRPr="008D2F4A">
        <w:rPr>
          <w:rFonts w:eastAsia="Calibri" w:cs="Times New Roman"/>
          <w:sz w:val="24"/>
          <w:szCs w:val="24"/>
        </w:rPr>
        <w:t>w</w:t>
      </w:r>
      <w:r w:rsidR="005B4A0C" w:rsidRPr="008D2F4A">
        <w:rPr>
          <w:rFonts w:eastAsia="Calibri" w:cs="Times New Roman"/>
          <w:sz w:val="24"/>
          <w:szCs w:val="24"/>
        </w:rPr>
        <w:t xml:space="preserve">ould embrace a more explicit stance </w:t>
      </w:r>
      <w:r w:rsidRPr="008D2F4A">
        <w:rPr>
          <w:rFonts w:eastAsia="Calibri" w:cs="Times New Roman"/>
          <w:sz w:val="24"/>
          <w:szCs w:val="24"/>
        </w:rPr>
        <w:t>on subjective rights in</w:t>
      </w:r>
      <w:r w:rsidR="005B4A0C" w:rsidRPr="008D2F4A">
        <w:rPr>
          <w:rFonts w:eastAsia="Calibri" w:cs="Times New Roman"/>
          <w:sz w:val="24"/>
          <w:szCs w:val="24"/>
        </w:rPr>
        <w:t xml:space="preserve"> environmental matters. It introduces a right of compensation </w:t>
      </w:r>
      <w:r w:rsidR="005975AD" w:rsidRPr="008D2F4A">
        <w:rPr>
          <w:rFonts w:eastAsia="Calibri" w:cs="Times New Roman"/>
          <w:sz w:val="24"/>
          <w:szCs w:val="24"/>
        </w:rPr>
        <w:t>for</w:t>
      </w:r>
      <w:r w:rsidR="005B4A0C" w:rsidRPr="008D2F4A">
        <w:rPr>
          <w:rFonts w:eastAsia="Calibri" w:cs="Times New Roman"/>
          <w:sz w:val="24"/>
          <w:szCs w:val="24"/>
        </w:rPr>
        <w:t xml:space="preserve"> individuals who suffer health damage caused by a breach of the rules on air </w:t>
      </w:r>
      <w:r w:rsidR="005B4A0C" w:rsidRPr="00330981">
        <w:rPr>
          <w:rFonts w:eastAsia="Calibri" w:cs="Times New Roman"/>
          <w:sz w:val="24"/>
          <w:szCs w:val="24"/>
        </w:rPr>
        <w:t xml:space="preserve">quality. This </w:t>
      </w:r>
      <w:r w:rsidR="000C4BA9" w:rsidRPr="00330981">
        <w:rPr>
          <w:rFonts w:eastAsia="Calibri" w:cs="Times New Roman"/>
          <w:sz w:val="24"/>
          <w:szCs w:val="24"/>
        </w:rPr>
        <w:t xml:space="preserve">provision should be viewed in the context of </w:t>
      </w:r>
      <w:r w:rsidR="00D678E1" w:rsidRPr="00330981">
        <w:rPr>
          <w:rFonts w:eastAsia="Calibri" w:cs="Times New Roman"/>
          <w:sz w:val="24"/>
          <w:szCs w:val="24"/>
        </w:rPr>
        <w:t>ongoing debates about</w:t>
      </w:r>
      <w:r w:rsidR="000C4BA9" w:rsidRPr="00330981">
        <w:rPr>
          <w:rFonts w:eastAsia="Calibri" w:cs="Times New Roman"/>
          <w:sz w:val="24"/>
          <w:szCs w:val="24"/>
        </w:rPr>
        <w:t xml:space="preserve"> </w:t>
      </w:r>
      <w:r w:rsidR="00D678E1" w:rsidRPr="00330981">
        <w:rPr>
          <w:rFonts w:eastAsia="Calibri" w:cs="Times New Roman"/>
          <w:sz w:val="24"/>
          <w:szCs w:val="24"/>
        </w:rPr>
        <w:t>environmental rights and remedies</w:t>
      </w:r>
      <w:r w:rsidR="005B4A0C" w:rsidRPr="00330981">
        <w:rPr>
          <w:rFonts w:eastAsia="Times New Roman" w:cs="Times New Roman"/>
          <w:color w:val="0D0D0D"/>
          <w:sz w:val="24"/>
          <w:szCs w:val="24"/>
          <w:lang w:eastAsia="fr-FR"/>
        </w:rPr>
        <w:t>.</w:t>
      </w:r>
      <w:r w:rsidR="005B4A0C" w:rsidRPr="00330981">
        <w:rPr>
          <w:rFonts w:eastAsia="Times New Roman" w:cs="Times New Roman"/>
          <w:color w:val="0D0D0D"/>
          <w:sz w:val="24"/>
          <w:szCs w:val="24"/>
          <w:vertAlign w:val="superscript"/>
          <w:lang w:eastAsia="fr-FR"/>
        </w:rPr>
        <w:footnoteReference w:id="8"/>
      </w:r>
      <w:r w:rsidR="005B4A0C" w:rsidRPr="00330981">
        <w:rPr>
          <w:rFonts w:eastAsia="Times New Roman" w:cs="Times New Roman"/>
          <w:color w:val="0D0D0D"/>
          <w:sz w:val="24"/>
          <w:szCs w:val="24"/>
          <w:lang w:eastAsia="fr-FR"/>
        </w:rPr>
        <w:t xml:space="preserve"> A great deal of uncertainty </w:t>
      </w:r>
      <w:r w:rsidR="00C97751" w:rsidRPr="00330981">
        <w:rPr>
          <w:rFonts w:eastAsia="Times New Roman" w:cs="Times New Roman"/>
          <w:color w:val="0D0D0D"/>
          <w:sz w:val="24"/>
          <w:szCs w:val="24"/>
          <w:lang w:eastAsia="fr-FR"/>
        </w:rPr>
        <w:t>arises</w:t>
      </w:r>
      <w:r w:rsidR="005B4A0C" w:rsidRPr="00330981">
        <w:rPr>
          <w:rFonts w:eastAsia="Times New Roman" w:cs="Times New Roman"/>
          <w:color w:val="0D0D0D"/>
          <w:sz w:val="24"/>
          <w:szCs w:val="24"/>
          <w:lang w:eastAsia="fr-FR"/>
        </w:rPr>
        <w:t xml:space="preserve"> from the conceptual ambiguity underpinning the</w:t>
      </w:r>
      <w:r w:rsidR="00D678E1" w:rsidRPr="00330981">
        <w:rPr>
          <w:rFonts w:eastAsia="Times New Roman" w:cs="Times New Roman"/>
          <w:color w:val="0D0D0D"/>
          <w:sz w:val="24"/>
          <w:szCs w:val="24"/>
          <w:lang w:eastAsia="fr-FR"/>
        </w:rPr>
        <w:t>se</w:t>
      </w:r>
      <w:r w:rsidR="005B4A0C" w:rsidRPr="00330981">
        <w:rPr>
          <w:rFonts w:eastAsia="Times New Roman" w:cs="Times New Roman"/>
          <w:color w:val="0D0D0D"/>
          <w:sz w:val="24"/>
          <w:szCs w:val="24"/>
          <w:lang w:eastAsia="fr-FR"/>
        </w:rPr>
        <w:t xml:space="preserve"> debate</w:t>
      </w:r>
      <w:r w:rsidR="00D678E1" w:rsidRPr="00330981">
        <w:rPr>
          <w:rFonts w:eastAsia="Times New Roman" w:cs="Times New Roman"/>
          <w:color w:val="0D0D0D"/>
          <w:sz w:val="24"/>
          <w:szCs w:val="24"/>
          <w:lang w:eastAsia="fr-FR"/>
        </w:rPr>
        <w:t>s</w:t>
      </w:r>
      <w:r w:rsidR="005B4A0C" w:rsidRPr="00330981">
        <w:rPr>
          <w:rFonts w:eastAsia="Times New Roman" w:cs="Times New Roman"/>
          <w:color w:val="0D0D0D"/>
          <w:sz w:val="24"/>
          <w:szCs w:val="24"/>
          <w:lang w:eastAsia="fr-FR"/>
        </w:rPr>
        <w:t>. This ambiguity is manifest first and foremost at the level of semantics</w:t>
      </w:r>
      <w:r w:rsidR="00C97751" w:rsidRPr="00330981">
        <w:rPr>
          <w:rFonts w:eastAsia="Times New Roman" w:cs="Times New Roman"/>
          <w:color w:val="0D0D0D"/>
          <w:sz w:val="24"/>
          <w:szCs w:val="24"/>
          <w:lang w:eastAsia="fr-FR"/>
        </w:rPr>
        <w:t>, with d</w:t>
      </w:r>
      <w:r w:rsidRPr="00330981">
        <w:rPr>
          <w:rFonts w:eastAsia="Times New Roman" w:cs="Times New Roman"/>
          <w:color w:val="0D0D0D"/>
          <w:sz w:val="24"/>
          <w:szCs w:val="24"/>
          <w:lang w:eastAsia="fr-FR"/>
        </w:rPr>
        <w:t>ifferent</w:t>
      </w:r>
      <w:r w:rsidR="005B4A0C" w:rsidRPr="00330981">
        <w:rPr>
          <w:rFonts w:eastAsia="Times New Roman" w:cs="Times New Roman"/>
          <w:color w:val="0D0D0D"/>
          <w:sz w:val="24"/>
          <w:szCs w:val="24"/>
          <w:lang w:eastAsia="fr-FR"/>
        </w:rPr>
        <w:t xml:space="preserve"> conceptions of rights coexist</w:t>
      </w:r>
      <w:r w:rsidR="00C97751" w:rsidRPr="00330981">
        <w:rPr>
          <w:rFonts w:eastAsia="Times New Roman" w:cs="Times New Roman"/>
          <w:color w:val="0D0D0D"/>
          <w:sz w:val="24"/>
          <w:szCs w:val="24"/>
          <w:lang w:eastAsia="fr-FR"/>
        </w:rPr>
        <w:t>ing</w:t>
      </w:r>
      <w:r w:rsidR="005B4A0C" w:rsidRPr="00330981">
        <w:rPr>
          <w:rFonts w:eastAsia="Times New Roman" w:cs="Times New Roman"/>
          <w:color w:val="0D0D0D"/>
          <w:sz w:val="24"/>
          <w:szCs w:val="24"/>
          <w:lang w:eastAsia="fr-FR"/>
        </w:rPr>
        <w:t xml:space="preserve"> in academic literature</w:t>
      </w:r>
      <w:r w:rsidR="00A0309B" w:rsidRPr="00330981">
        <w:rPr>
          <w:rFonts w:eastAsia="Times New Roman" w:cs="Times New Roman"/>
          <w:color w:val="0D0D0D"/>
          <w:sz w:val="24"/>
          <w:szCs w:val="24"/>
          <w:lang w:eastAsia="fr-FR"/>
        </w:rPr>
        <w:t xml:space="preserve">. </w:t>
      </w:r>
      <w:r w:rsidR="00C97751" w:rsidRPr="008D2F4A">
        <w:rPr>
          <w:sz w:val="24"/>
          <w:szCs w:val="24"/>
        </w:rPr>
        <w:t>For example, t</w:t>
      </w:r>
      <w:r w:rsidR="00A0309B" w:rsidRPr="008D2F4A">
        <w:rPr>
          <w:sz w:val="24"/>
          <w:szCs w:val="24"/>
        </w:rPr>
        <w:t>he distinction between substantive and procedural rights is often employed.</w:t>
      </w:r>
      <w:r w:rsidR="00A0309B" w:rsidRPr="008D2F4A">
        <w:rPr>
          <w:rStyle w:val="FootnoteReference"/>
          <w:sz w:val="24"/>
          <w:szCs w:val="24"/>
        </w:rPr>
        <w:footnoteReference w:id="9"/>
      </w:r>
      <w:r w:rsidR="00A0309B" w:rsidRPr="008D2F4A">
        <w:rPr>
          <w:sz w:val="24"/>
          <w:szCs w:val="24"/>
        </w:rPr>
        <w:t xml:space="preserve"> Dougan</w:t>
      </w:r>
      <w:r w:rsidR="005975AD" w:rsidRPr="008D2F4A">
        <w:rPr>
          <w:sz w:val="24"/>
          <w:szCs w:val="24"/>
        </w:rPr>
        <w:t>, in turn, m</w:t>
      </w:r>
      <w:r w:rsidR="00A0309B" w:rsidRPr="008D2F4A">
        <w:rPr>
          <w:sz w:val="24"/>
          <w:szCs w:val="24"/>
        </w:rPr>
        <w:t>a</w:t>
      </w:r>
      <w:r w:rsidR="005975AD" w:rsidRPr="008D2F4A">
        <w:rPr>
          <w:sz w:val="24"/>
          <w:szCs w:val="24"/>
        </w:rPr>
        <w:t>de a</w:t>
      </w:r>
      <w:r w:rsidR="00A0309B" w:rsidRPr="008D2F4A">
        <w:rPr>
          <w:sz w:val="24"/>
          <w:szCs w:val="24"/>
        </w:rPr>
        <w:t xml:space="preserve"> distinction between </w:t>
      </w:r>
      <w:r w:rsidR="00C97751" w:rsidRPr="008D2F4A">
        <w:rPr>
          <w:sz w:val="24"/>
          <w:szCs w:val="24"/>
        </w:rPr>
        <w:t xml:space="preserve">a </w:t>
      </w:r>
      <w:r w:rsidR="00A0309B" w:rsidRPr="008D2F4A">
        <w:rPr>
          <w:sz w:val="24"/>
          <w:szCs w:val="24"/>
        </w:rPr>
        <w:t xml:space="preserve">“right of standing to enforce in the general interest” and </w:t>
      </w:r>
      <w:r w:rsidR="00C97751" w:rsidRPr="008D2F4A">
        <w:rPr>
          <w:sz w:val="24"/>
          <w:szCs w:val="24"/>
        </w:rPr>
        <w:t xml:space="preserve">a </w:t>
      </w:r>
      <w:r w:rsidR="00A0309B" w:rsidRPr="008D2F4A">
        <w:rPr>
          <w:sz w:val="24"/>
          <w:szCs w:val="24"/>
        </w:rPr>
        <w:t>“personal individual right”.</w:t>
      </w:r>
      <w:r w:rsidR="00A0309B" w:rsidRPr="008D2F4A">
        <w:rPr>
          <w:rStyle w:val="FootnoteReference"/>
          <w:sz w:val="24"/>
          <w:szCs w:val="24"/>
        </w:rPr>
        <w:footnoteReference w:id="10"/>
      </w:r>
      <w:r w:rsidR="00A0309B" w:rsidRPr="008D2F4A">
        <w:rPr>
          <w:sz w:val="24"/>
          <w:szCs w:val="24"/>
        </w:rPr>
        <w:t xml:space="preserve"> The coexistence of </w:t>
      </w:r>
      <w:r w:rsidR="005975AD" w:rsidRPr="008D2F4A">
        <w:rPr>
          <w:sz w:val="24"/>
          <w:szCs w:val="24"/>
        </w:rPr>
        <w:t xml:space="preserve">these </w:t>
      </w:r>
      <w:r w:rsidR="00C97751" w:rsidRPr="008D2F4A">
        <w:rPr>
          <w:sz w:val="24"/>
          <w:szCs w:val="24"/>
        </w:rPr>
        <w:t>various</w:t>
      </w:r>
      <w:r w:rsidR="00A0309B" w:rsidRPr="008D2F4A">
        <w:rPr>
          <w:sz w:val="24"/>
          <w:szCs w:val="24"/>
        </w:rPr>
        <w:t xml:space="preserve"> conceptions of environmental rights </w:t>
      </w:r>
      <w:r w:rsidR="005B4A0C" w:rsidRPr="00330981">
        <w:rPr>
          <w:rFonts w:eastAsia="Times New Roman" w:cs="Times New Roman"/>
          <w:color w:val="0D0D0D"/>
          <w:sz w:val="24"/>
          <w:szCs w:val="24"/>
          <w:lang w:eastAsia="fr-FR"/>
        </w:rPr>
        <w:t xml:space="preserve">exacerbates the confusion </w:t>
      </w:r>
      <w:r w:rsidR="005975AD" w:rsidRPr="00330981">
        <w:rPr>
          <w:rFonts w:eastAsia="Times New Roman" w:cs="Times New Roman"/>
          <w:color w:val="0D0D0D"/>
          <w:sz w:val="24"/>
          <w:szCs w:val="24"/>
          <w:lang w:eastAsia="fr-FR"/>
        </w:rPr>
        <w:t>surrounding</w:t>
      </w:r>
      <w:r w:rsidR="005B4A0C" w:rsidRPr="00330981">
        <w:rPr>
          <w:rFonts w:eastAsia="Times New Roman" w:cs="Times New Roman"/>
          <w:color w:val="0D0D0D"/>
          <w:sz w:val="24"/>
          <w:szCs w:val="24"/>
          <w:lang w:eastAsia="fr-FR"/>
        </w:rPr>
        <w:t xml:space="preserve"> the conceptual </w:t>
      </w:r>
      <w:r w:rsidR="005975AD" w:rsidRPr="00330981">
        <w:rPr>
          <w:rFonts w:eastAsia="Times New Roman" w:cs="Times New Roman"/>
          <w:color w:val="0D0D0D"/>
          <w:sz w:val="24"/>
          <w:szCs w:val="24"/>
          <w:lang w:eastAsia="fr-FR"/>
        </w:rPr>
        <w:t>foundations</w:t>
      </w:r>
      <w:r w:rsidR="005B4A0C" w:rsidRPr="00330981">
        <w:rPr>
          <w:rFonts w:eastAsia="Times New Roman" w:cs="Times New Roman"/>
          <w:color w:val="0D0D0D"/>
          <w:sz w:val="24"/>
          <w:szCs w:val="24"/>
          <w:lang w:eastAsia="fr-FR"/>
        </w:rPr>
        <w:t xml:space="preserve"> of </w:t>
      </w:r>
      <w:r w:rsidR="00A0309B" w:rsidRPr="00330981">
        <w:rPr>
          <w:rFonts w:eastAsia="Times New Roman" w:cs="Times New Roman"/>
          <w:color w:val="0D0D0D"/>
          <w:sz w:val="24"/>
          <w:szCs w:val="24"/>
          <w:lang w:eastAsia="fr-FR"/>
        </w:rPr>
        <w:t>such</w:t>
      </w:r>
      <w:r w:rsidR="005B4A0C" w:rsidRPr="00330981">
        <w:rPr>
          <w:rFonts w:eastAsia="Times New Roman" w:cs="Times New Roman"/>
          <w:color w:val="0D0D0D"/>
          <w:sz w:val="24"/>
          <w:szCs w:val="24"/>
          <w:lang w:eastAsia="fr-FR"/>
        </w:rPr>
        <w:t xml:space="preserve"> rights.</w:t>
      </w:r>
    </w:p>
    <w:p w14:paraId="24281EFE" w14:textId="11BE1F73" w:rsidR="00ED158F" w:rsidRPr="00330981" w:rsidRDefault="005B4A0C" w:rsidP="00DD6ED9">
      <w:pPr>
        <w:spacing w:line="264" w:lineRule="auto"/>
        <w:ind w:firstLine="284"/>
        <w:jc w:val="both"/>
        <w:rPr>
          <w:rFonts w:eastAsia="Times New Roman" w:cs="Times New Roman"/>
          <w:color w:val="0D0D0D"/>
          <w:sz w:val="24"/>
          <w:szCs w:val="24"/>
          <w:lang w:eastAsia="fr-FR"/>
        </w:rPr>
      </w:pPr>
      <w:r w:rsidRPr="00330981">
        <w:rPr>
          <w:rFonts w:eastAsia="Times New Roman" w:cs="Times New Roman"/>
          <w:color w:val="0D0D0D"/>
          <w:sz w:val="24"/>
          <w:szCs w:val="24"/>
          <w:lang w:eastAsia="fr-FR"/>
        </w:rPr>
        <w:t xml:space="preserve">Dougan’s suggestion that the quality of a right ultimately hinges on the type of remedies </w:t>
      </w:r>
      <w:r w:rsidR="005975AD" w:rsidRPr="00330981">
        <w:rPr>
          <w:rFonts w:eastAsia="Times New Roman" w:cs="Times New Roman"/>
          <w:color w:val="0D0D0D"/>
          <w:sz w:val="24"/>
          <w:szCs w:val="24"/>
          <w:lang w:eastAsia="fr-FR"/>
        </w:rPr>
        <w:t>available</w:t>
      </w:r>
      <w:r w:rsidRPr="00330981">
        <w:rPr>
          <w:rFonts w:eastAsia="Times New Roman" w:cs="Times New Roman"/>
          <w:color w:val="0D0D0D"/>
          <w:sz w:val="24"/>
          <w:szCs w:val="24"/>
          <w:lang w:eastAsia="fr-FR"/>
        </w:rPr>
        <w:t xml:space="preserve"> to individuals </w:t>
      </w:r>
      <w:r w:rsidR="005975AD" w:rsidRPr="00330981">
        <w:rPr>
          <w:rFonts w:eastAsia="Times New Roman" w:cs="Times New Roman"/>
          <w:color w:val="0D0D0D"/>
          <w:sz w:val="24"/>
          <w:szCs w:val="24"/>
          <w:lang w:eastAsia="fr-FR"/>
        </w:rPr>
        <w:t>provides</w:t>
      </w:r>
      <w:r w:rsidRPr="00330981">
        <w:rPr>
          <w:rFonts w:eastAsia="Times New Roman" w:cs="Times New Roman"/>
          <w:color w:val="0D0D0D"/>
          <w:sz w:val="24"/>
          <w:szCs w:val="24"/>
          <w:lang w:eastAsia="fr-FR"/>
        </w:rPr>
        <w:t xml:space="preserve"> a valuable lens to make sense of the debate about environmental rights and remedies.</w:t>
      </w:r>
      <w:r w:rsidR="002B069A" w:rsidRPr="00330981">
        <w:rPr>
          <w:rStyle w:val="FootnoteReference"/>
          <w:rFonts w:eastAsia="Times New Roman" w:cs="Times New Roman"/>
          <w:color w:val="0D0D0D"/>
          <w:sz w:val="24"/>
          <w:szCs w:val="24"/>
          <w:lang w:eastAsia="fr-FR"/>
        </w:rPr>
        <w:footnoteReference w:id="11"/>
      </w:r>
      <w:r w:rsidRPr="00330981">
        <w:rPr>
          <w:rFonts w:eastAsia="Times New Roman" w:cs="Times New Roman"/>
          <w:color w:val="0D0D0D"/>
          <w:sz w:val="24"/>
          <w:szCs w:val="24"/>
          <w:lang w:eastAsia="fr-FR"/>
        </w:rPr>
        <w:t xml:space="preserve"> The </w:t>
      </w:r>
      <w:r w:rsidR="005975AD" w:rsidRPr="00330981">
        <w:rPr>
          <w:rFonts w:eastAsia="Times New Roman" w:cs="Times New Roman"/>
          <w:color w:val="0D0D0D"/>
          <w:sz w:val="24"/>
          <w:szCs w:val="24"/>
          <w:lang w:eastAsia="fr-FR"/>
        </w:rPr>
        <w:t>focus</w:t>
      </w:r>
      <w:r w:rsidRPr="00330981">
        <w:rPr>
          <w:rFonts w:eastAsia="Times New Roman" w:cs="Times New Roman"/>
          <w:color w:val="0D0D0D"/>
          <w:sz w:val="24"/>
          <w:szCs w:val="24"/>
          <w:lang w:eastAsia="fr-FR"/>
        </w:rPr>
        <w:t xml:space="preserve"> on the type of remedies allows</w:t>
      </w:r>
      <w:r w:rsidR="005975AD" w:rsidRPr="00330981">
        <w:rPr>
          <w:rFonts w:eastAsia="Times New Roman" w:cs="Times New Roman"/>
          <w:color w:val="0D0D0D"/>
          <w:sz w:val="24"/>
          <w:szCs w:val="24"/>
          <w:lang w:eastAsia="fr-FR"/>
        </w:rPr>
        <w:t xml:space="preserve"> for differentiation</w:t>
      </w:r>
      <w:r w:rsidRPr="00330981">
        <w:rPr>
          <w:rFonts w:eastAsia="Times New Roman" w:cs="Times New Roman"/>
          <w:color w:val="0D0D0D"/>
          <w:sz w:val="24"/>
          <w:szCs w:val="24"/>
          <w:lang w:eastAsia="fr-FR"/>
        </w:rPr>
        <w:t xml:space="preserve"> between collective and individual rights. </w:t>
      </w:r>
    </w:p>
    <w:p w14:paraId="5086924F" w14:textId="445DAC85" w:rsidR="00ED158F" w:rsidRPr="00330981" w:rsidRDefault="005B4A0C" w:rsidP="00DD6ED9">
      <w:pPr>
        <w:spacing w:line="264" w:lineRule="auto"/>
        <w:ind w:firstLine="284"/>
        <w:jc w:val="both"/>
        <w:rPr>
          <w:rFonts w:eastAsia="Times New Roman" w:cs="Times New Roman"/>
          <w:color w:val="0D0D0D"/>
          <w:sz w:val="24"/>
          <w:szCs w:val="24"/>
          <w:lang w:eastAsia="fr-FR"/>
        </w:rPr>
      </w:pPr>
      <w:r w:rsidRPr="00330981">
        <w:rPr>
          <w:rFonts w:eastAsia="Times New Roman" w:cs="Times New Roman"/>
          <w:color w:val="0D0D0D"/>
          <w:sz w:val="24"/>
          <w:szCs w:val="24"/>
          <w:lang w:eastAsia="fr-FR"/>
        </w:rPr>
        <w:t xml:space="preserve">On the one hand, collective rights are </w:t>
      </w:r>
      <w:r w:rsidR="005975AD" w:rsidRPr="00330981">
        <w:rPr>
          <w:rFonts w:eastAsia="Times New Roman" w:cs="Times New Roman"/>
          <w:color w:val="0D0D0D"/>
          <w:sz w:val="24"/>
          <w:szCs w:val="24"/>
          <w:lang w:eastAsia="fr-FR"/>
        </w:rPr>
        <w:t>intended</w:t>
      </w:r>
      <w:r w:rsidRPr="00330981">
        <w:rPr>
          <w:rFonts w:eastAsia="Times New Roman" w:cs="Times New Roman"/>
          <w:color w:val="0D0D0D"/>
          <w:sz w:val="24"/>
          <w:szCs w:val="24"/>
          <w:lang w:eastAsia="fr-FR"/>
        </w:rPr>
        <w:t xml:space="preserve"> to enable </w:t>
      </w:r>
      <w:r w:rsidR="005975AD" w:rsidRPr="00330981">
        <w:rPr>
          <w:rFonts w:eastAsia="Times New Roman" w:cs="Times New Roman"/>
          <w:color w:val="0D0D0D"/>
          <w:sz w:val="24"/>
          <w:szCs w:val="24"/>
          <w:lang w:eastAsia="fr-FR"/>
        </w:rPr>
        <w:t xml:space="preserve">both </w:t>
      </w:r>
      <w:r w:rsidRPr="00330981">
        <w:rPr>
          <w:rFonts w:eastAsia="Times New Roman" w:cs="Times New Roman"/>
          <w:color w:val="0D0D0D"/>
          <w:sz w:val="24"/>
          <w:szCs w:val="24"/>
          <w:lang w:eastAsia="fr-FR"/>
        </w:rPr>
        <w:t>natural and legal persons to act for the sake of the environment. In other words, they are geared towards the judicial protection of the collective and diffuse interests underlying sectoral rules on the preservation of the environment. What matters is that</w:t>
      </w:r>
      <w:r w:rsidR="00445A06" w:rsidRPr="00330981">
        <w:rPr>
          <w:rFonts w:eastAsia="Times New Roman" w:cs="Times New Roman"/>
          <w:color w:val="0D0D0D"/>
          <w:sz w:val="24"/>
          <w:szCs w:val="24"/>
          <w:lang w:eastAsia="fr-FR"/>
        </w:rPr>
        <w:t xml:space="preserve"> </w:t>
      </w:r>
      <w:r w:rsidRPr="00330981">
        <w:rPr>
          <w:rFonts w:eastAsia="Times New Roman" w:cs="Times New Roman"/>
          <w:color w:val="0D0D0D"/>
          <w:sz w:val="24"/>
          <w:szCs w:val="24"/>
          <w:lang w:eastAsia="fr-FR"/>
        </w:rPr>
        <w:t>secondary</w:t>
      </w:r>
      <w:r w:rsidR="00445A06" w:rsidRPr="00330981">
        <w:rPr>
          <w:rFonts w:eastAsia="Times New Roman" w:cs="Times New Roman"/>
          <w:color w:val="0D0D0D"/>
          <w:sz w:val="24"/>
          <w:szCs w:val="24"/>
          <w:lang w:eastAsia="fr-FR"/>
        </w:rPr>
        <w:t xml:space="preserve"> law</w:t>
      </w:r>
      <w:r w:rsidRPr="00330981">
        <w:rPr>
          <w:rFonts w:eastAsia="Times New Roman" w:cs="Times New Roman"/>
          <w:color w:val="0D0D0D"/>
          <w:sz w:val="24"/>
          <w:szCs w:val="24"/>
          <w:lang w:eastAsia="fr-FR"/>
        </w:rPr>
        <w:t xml:space="preserve"> rules on environmental protection are complied with by national authorities. Viewed from th</w:t>
      </w:r>
      <w:r w:rsidR="00ED158F" w:rsidRPr="00330981">
        <w:rPr>
          <w:rFonts w:eastAsia="Times New Roman" w:cs="Times New Roman"/>
          <w:color w:val="0D0D0D"/>
          <w:sz w:val="24"/>
          <w:szCs w:val="24"/>
          <w:lang w:eastAsia="fr-FR"/>
        </w:rPr>
        <w:t>is</w:t>
      </w:r>
      <w:r w:rsidRPr="00330981">
        <w:rPr>
          <w:rFonts w:eastAsia="Times New Roman" w:cs="Times New Roman"/>
          <w:color w:val="0D0D0D"/>
          <w:sz w:val="24"/>
          <w:szCs w:val="24"/>
          <w:lang w:eastAsia="fr-FR"/>
        </w:rPr>
        <w:t xml:space="preserve"> perspective, collective remedies reflect an objective conception of justice revolving around the preservation of the rule of (environmental) law. They are meant to enable concerned individuals to bring national authorities to court for their failure to comply with obligations emanating from EU environmental law. However, this type of remedy falls short of establishing a right for the individuals concerned</w:t>
      </w:r>
      <w:r w:rsidR="002B069A" w:rsidRPr="00330981">
        <w:rPr>
          <w:rFonts w:eastAsia="Times New Roman" w:cs="Times New Roman"/>
          <w:color w:val="0D0D0D"/>
          <w:sz w:val="24"/>
          <w:szCs w:val="24"/>
          <w:lang w:eastAsia="fr-FR"/>
        </w:rPr>
        <w:t xml:space="preserve"> </w:t>
      </w:r>
      <w:r w:rsidRPr="00330981">
        <w:rPr>
          <w:rFonts w:eastAsia="Times New Roman" w:cs="Times New Roman"/>
          <w:color w:val="0D0D0D"/>
          <w:sz w:val="24"/>
          <w:szCs w:val="24"/>
          <w:lang w:eastAsia="fr-FR"/>
        </w:rPr>
        <w:t xml:space="preserve">to </w:t>
      </w:r>
      <w:r w:rsidR="005F7322" w:rsidRPr="00330981">
        <w:rPr>
          <w:rFonts w:eastAsia="Times New Roman" w:cs="Times New Roman"/>
          <w:color w:val="0D0D0D"/>
          <w:sz w:val="24"/>
          <w:szCs w:val="24"/>
          <w:lang w:eastAsia="fr-FR"/>
        </w:rPr>
        <w:t>claim</w:t>
      </w:r>
      <w:r w:rsidRPr="00330981">
        <w:rPr>
          <w:rFonts w:eastAsia="Times New Roman" w:cs="Times New Roman"/>
          <w:color w:val="0D0D0D"/>
          <w:sz w:val="24"/>
          <w:szCs w:val="24"/>
          <w:lang w:eastAsia="fr-FR"/>
        </w:rPr>
        <w:t xml:space="preserve"> an individual entitlement from a finding of non-compliance with EU environmental law. Put differently, it does not reflect a subjective conception of environmental justice. </w:t>
      </w:r>
    </w:p>
    <w:p w14:paraId="6B321191" w14:textId="5355D827" w:rsidR="005B4A0C" w:rsidRPr="00330981" w:rsidRDefault="005B4A0C" w:rsidP="00DD6ED9">
      <w:pPr>
        <w:spacing w:line="264" w:lineRule="auto"/>
        <w:ind w:firstLine="284"/>
        <w:jc w:val="both"/>
        <w:rPr>
          <w:rFonts w:eastAsia="Times New Roman" w:cs="Times New Roman"/>
          <w:color w:val="0D0D0D"/>
          <w:sz w:val="24"/>
          <w:szCs w:val="24"/>
          <w:lang w:eastAsia="fr-FR"/>
        </w:rPr>
      </w:pPr>
      <w:r w:rsidRPr="00330981">
        <w:rPr>
          <w:rFonts w:eastAsia="Times New Roman" w:cs="Times New Roman"/>
          <w:color w:val="0D0D0D"/>
          <w:sz w:val="24"/>
          <w:szCs w:val="24"/>
          <w:lang w:eastAsia="fr-FR"/>
        </w:rPr>
        <w:t xml:space="preserve">On the other hand, individual rights </w:t>
      </w:r>
      <w:r w:rsidR="002B069A" w:rsidRPr="00330981">
        <w:rPr>
          <w:rFonts w:eastAsia="Times New Roman" w:cs="Times New Roman"/>
          <w:color w:val="0D0D0D"/>
          <w:sz w:val="24"/>
          <w:szCs w:val="24"/>
          <w:lang w:eastAsia="fr-FR"/>
        </w:rPr>
        <w:t>place a stronger emphasis</w:t>
      </w:r>
      <w:r w:rsidRPr="00330981">
        <w:rPr>
          <w:rFonts w:eastAsia="Times New Roman" w:cs="Times New Roman"/>
          <w:color w:val="0D0D0D"/>
          <w:sz w:val="24"/>
          <w:szCs w:val="24"/>
          <w:lang w:eastAsia="fr-FR"/>
        </w:rPr>
        <w:t xml:space="preserve"> on </w:t>
      </w:r>
      <w:r w:rsidR="002B069A" w:rsidRPr="00330981">
        <w:rPr>
          <w:rFonts w:eastAsia="Times New Roman" w:cs="Times New Roman"/>
          <w:color w:val="0D0D0D"/>
          <w:sz w:val="24"/>
          <w:szCs w:val="24"/>
          <w:lang w:eastAsia="fr-FR"/>
        </w:rPr>
        <w:t xml:space="preserve">ensuring that individuals </w:t>
      </w:r>
      <w:r w:rsidR="005F7322" w:rsidRPr="00330981">
        <w:rPr>
          <w:rFonts w:eastAsia="Times New Roman" w:cs="Times New Roman"/>
          <w:color w:val="0D0D0D"/>
          <w:sz w:val="24"/>
          <w:szCs w:val="24"/>
          <w:lang w:eastAsia="fr-FR"/>
        </w:rPr>
        <w:t>have</w:t>
      </w:r>
      <w:r w:rsidR="002B069A" w:rsidRPr="00330981">
        <w:rPr>
          <w:rFonts w:eastAsia="Times New Roman" w:cs="Times New Roman"/>
          <w:color w:val="0D0D0D"/>
          <w:sz w:val="24"/>
          <w:szCs w:val="24"/>
          <w:lang w:eastAsia="fr-FR"/>
        </w:rPr>
        <w:t xml:space="preserve"> access to justice </w:t>
      </w:r>
      <w:r w:rsidR="005F7322" w:rsidRPr="00330981">
        <w:rPr>
          <w:rFonts w:eastAsia="Times New Roman" w:cs="Times New Roman"/>
          <w:color w:val="0D0D0D"/>
          <w:sz w:val="24"/>
          <w:szCs w:val="24"/>
          <w:lang w:eastAsia="fr-FR"/>
        </w:rPr>
        <w:t xml:space="preserve">in order </w:t>
      </w:r>
      <w:r w:rsidR="002B069A" w:rsidRPr="00330981">
        <w:rPr>
          <w:rFonts w:eastAsia="Times New Roman" w:cs="Times New Roman"/>
          <w:color w:val="0D0D0D"/>
          <w:sz w:val="24"/>
          <w:szCs w:val="24"/>
          <w:lang w:eastAsia="fr-FR"/>
        </w:rPr>
        <w:t xml:space="preserve">to enforce their </w:t>
      </w:r>
      <w:r w:rsidR="005F7322" w:rsidRPr="00330981">
        <w:rPr>
          <w:rFonts w:eastAsia="Times New Roman" w:cs="Times New Roman"/>
          <w:color w:val="0D0D0D"/>
          <w:sz w:val="24"/>
          <w:szCs w:val="24"/>
          <w:lang w:eastAsia="fr-FR"/>
        </w:rPr>
        <w:t>own</w:t>
      </w:r>
      <w:r w:rsidR="002B069A" w:rsidRPr="00330981">
        <w:rPr>
          <w:rFonts w:eastAsia="Times New Roman" w:cs="Times New Roman"/>
          <w:color w:val="0D0D0D"/>
          <w:sz w:val="24"/>
          <w:szCs w:val="24"/>
          <w:lang w:eastAsia="fr-FR"/>
        </w:rPr>
        <w:t xml:space="preserve"> rights</w:t>
      </w:r>
      <w:r w:rsidRPr="00330981">
        <w:rPr>
          <w:rFonts w:eastAsia="Times New Roman" w:cs="Times New Roman"/>
          <w:color w:val="0D0D0D"/>
          <w:sz w:val="24"/>
          <w:szCs w:val="24"/>
          <w:lang w:eastAsia="fr-FR"/>
        </w:rPr>
        <w:t xml:space="preserve">. They are </w:t>
      </w:r>
      <w:r w:rsidR="005F7322" w:rsidRPr="00330981">
        <w:rPr>
          <w:rFonts w:eastAsia="Times New Roman" w:cs="Times New Roman"/>
          <w:color w:val="0D0D0D"/>
          <w:sz w:val="24"/>
          <w:szCs w:val="24"/>
          <w:lang w:eastAsia="fr-FR"/>
        </w:rPr>
        <w:t>designed</w:t>
      </w:r>
      <w:r w:rsidRPr="00330981">
        <w:rPr>
          <w:rFonts w:eastAsia="Times New Roman" w:cs="Times New Roman"/>
          <w:color w:val="0D0D0D"/>
          <w:sz w:val="24"/>
          <w:szCs w:val="24"/>
          <w:lang w:eastAsia="fr-FR"/>
        </w:rPr>
        <w:t xml:space="preserve"> to </w:t>
      </w:r>
      <w:r w:rsidR="005F7322" w:rsidRPr="00330981">
        <w:rPr>
          <w:rFonts w:eastAsia="Times New Roman" w:cs="Times New Roman"/>
          <w:color w:val="0D0D0D"/>
          <w:sz w:val="24"/>
          <w:szCs w:val="24"/>
          <w:lang w:eastAsia="fr-FR"/>
        </w:rPr>
        <w:t>allow</w:t>
      </w:r>
      <w:r w:rsidRPr="00330981">
        <w:rPr>
          <w:rFonts w:eastAsia="Times New Roman" w:cs="Times New Roman"/>
          <w:color w:val="0D0D0D"/>
          <w:sz w:val="24"/>
          <w:szCs w:val="24"/>
          <w:lang w:eastAsia="fr-FR"/>
        </w:rPr>
        <w:t xml:space="preserve"> individuals to vindicate their rights </w:t>
      </w:r>
      <w:r w:rsidR="005F7322" w:rsidRPr="00330981">
        <w:rPr>
          <w:rFonts w:eastAsia="Times New Roman" w:cs="Times New Roman"/>
          <w:color w:val="0D0D0D"/>
          <w:sz w:val="24"/>
          <w:szCs w:val="24"/>
          <w:lang w:eastAsia="fr-FR"/>
        </w:rPr>
        <w:t>before</w:t>
      </w:r>
      <w:r w:rsidRPr="00330981">
        <w:rPr>
          <w:rFonts w:eastAsia="Times New Roman" w:cs="Times New Roman"/>
          <w:color w:val="0D0D0D"/>
          <w:sz w:val="24"/>
          <w:szCs w:val="24"/>
          <w:lang w:eastAsia="fr-FR"/>
        </w:rPr>
        <w:t xml:space="preserve"> domestic courts. The right </w:t>
      </w:r>
      <w:r w:rsidR="00ED158F" w:rsidRPr="00330981">
        <w:rPr>
          <w:rFonts w:eastAsia="Times New Roman" w:cs="Times New Roman"/>
          <w:color w:val="0D0D0D"/>
          <w:sz w:val="24"/>
          <w:szCs w:val="24"/>
          <w:lang w:eastAsia="fr-FR"/>
        </w:rPr>
        <w:t>to</w:t>
      </w:r>
      <w:r w:rsidRPr="00330981">
        <w:rPr>
          <w:rFonts w:eastAsia="Times New Roman" w:cs="Times New Roman"/>
          <w:color w:val="0D0D0D"/>
          <w:sz w:val="24"/>
          <w:szCs w:val="24"/>
          <w:lang w:eastAsia="fr-FR"/>
        </w:rPr>
        <w:t xml:space="preserve"> compensation for health damage caused by an infringement of EU environmental law is perhaps the most obvious illustration of such remedies.   </w:t>
      </w:r>
    </w:p>
    <w:p w14:paraId="7AD8CE79" w14:textId="7FB4379B" w:rsidR="005B4A0C" w:rsidRPr="008D2F4A" w:rsidRDefault="005B4A0C" w:rsidP="00DD6ED9">
      <w:pPr>
        <w:spacing w:line="264" w:lineRule="auto"/>
        <w:ind w:firstLine="284"/>
        <w:jc w:val="both"/>
        <w:rPr>
          <w:rFonts w:eastAsia="Calibri" w:cs="Times New Roman"/>
          <w:sz w:val="24"/>
          <w:szCs w:val="24"/>
        </w:rPr>
      </w:pPr>
      <w:r w:rsidRPr="008D2F4A">
        <w:rPr>
          <w:rFonts w:eastAsia="Calibri" w:cs="Times New Roman"/>
          <w:sz w:val="24"/>
          <w:szCs w:val="24"/>
        </w:rPr>
        <w:t xml:space="preserve">Against this background, this chapter reflects on the difficulty </w:t>
      </w:r>
      <w:r w:rsidR="005975AD" w:rsidRPr="008D2F4A">
        <w:rPr>
          <w:rFonts w:eastAsia="Calibri" w:cs="Times New Roman"/>
          <w:sz w:val="24"/>
          <w:szCs w:val="24"/>
        </w:rPr>
        <w:t>of translating</w:t>
      </w:r>
      <w:r w:rsidRPr="008D2F4A">
        <w:rPr>
          <w:rFonts w:eastAsia="Calibri" w:cs="Times New Roman"/>
          <w:sz w:val="24"/>
          <w:szCs w:val="24"/>
        </w:rPr>
        <w:t xml:space="preserve"> collective, diffuse, environmental interests into individual rights deserving of judicial protection It </w:t>
      </w:r>
      <w:r w:rsidRPr="008D2F4A">
        <w:rPr>
          <w:rFonts w:eastAsia="Calibri" w:cs="Times New Roman"/>
          <w:sz w:val="24"/>
          <w:szCs w:val="24"/>
        </w:rPr>
        <w:lastRenderedPageBreak/>
        <w:t xml:space="preserve">demonstrates that the case law reflects the Court’s reluctance to create environmental remedies focused on the protection of individual rights. The Court’s approach has been to carve out remedies tailored to the collective interests underpinning environmental law. This </w:t>
      </w:r>
      <w:r w:rsidR="00ED158F" w:rsidRPr="008D2F4A">
        <w:rPr>
          <w:rFonts w:eastAsia="Calibri" w:cs="Times New Roman"/>
          <w:sz w:val="24"/>
          <w:szCs w:val="24"/>
        </w:rPr>
        <w:t>chapter</w:t>
      </w:r>
      <w:r w:rsidRPr="008D2F4A">
        <w:rPr>
          <w:rFonts w:eastAsia="Calibri" w:cs="Times New Roman"/>
          <w:sz w:val="24"/>
          <w:szCs w:val="24"/>
        </w:rPr>
        <w:t xml:space="preserve"> goes on to explain that the proposal for a recast Air Quality Directive reflects a more explicit emphasis on the protection of individual rights. To that end, the recast Directive introduces a right to seek compensation for individual harm caused by violations of EU air quality standards. </w:t>
      </w:r>
    </w:p>
    <w:p w14:paraId="6A760040" w14:textId="77777777" w:rsidR="005B4A0C" w:rsidRPr="008D2F4A" w:rsidRDefault="005B4A0C" w:rsidP="00DD6ED9">
      <w:pPr>
        <w:spacing w:line="264" w:lineRule="auto"/>
        <w:jc w:val="both"/>
        <w:rPr>
          <w:rFonts w:eastAsia="Calibri" w:cs="Times New Roman"/>
          <w:sz w:val="24"/>
          <w:szCs w:val="24"/>
        </w:rPr>
      </w:pPr>
    </w:p>
    <w:p w14:paraId="4BF480AC" w14:textId="09D7A548" w:rsidR="005B4A0C" w:rsidRPr="008D2F4A" w:rsidRDefault="005B4A0C" w:rsidP="00DD6ED9">
      <w:pPr>
        <w:numPr>
          <w:ilvl w:val="0"/>
          <w:numId w:val="1"/>
        </w:numPr>
        <w:spacing w:line="264" w:lineRule="auto"/>
        <w:ind w:left="709" w:hanging="709"/>
        <w:jc w:val="both"/>
        <w:rPr>
          <w:rFonts w:eastAsia="Calibri" w:cs="Times New Roman"/>
          <w:sz w:val="24"/>
          <w:szCs w:val="24"/>
        </w:rPr>
      </w:pPr>
      <w:r w:rsidRPr="008D2F4A">
        <w:rPr>
          <w:rFonts w:eastAsia="Calibri" w:cs="Times New Roman"/>
          <w:sz w:val="24"/>
          <w:szCs w:val="24"/>
        </w:rPr>
        <w:t xml:space="preserve">The development of </w:t>
      </w:r>
      <w:r w:rsidR="005C7996" w:rsidRPr="008D2F4A">
        <w:rPr>
          <w:rFonts w:eastAsia="Calibri" w:cs="Times New Roman"/>
          <w:sz w:val="24"/>
          <w:szCs w:val="24"/>
        </w:rPr>
        <w:t>collective environmental rights</w:t>
      </w:r>
    </w:p>
    <w:p w14:paraId="7DF93620" w14:textId="77777777" w:rsidR="005B4A0C" w:rsidRPr="008D2F4A" w:rsidRDefault="005B4A0C" w:rsidP="00DD6ED9">
      <w:pPr>
        <w:spacing w:line="264" w:lineRule="auto"/>
        <w:jc w:val="both"/>
        <w:rPr>
          <w:rFonts w:eastAsia="Calibri" w:cs="Times New Roman"/>
          <w:sz w:val="24"/>
          <w:szCs w:val="24"/>
        </w:rPr>
      </w:pPr>
    </w:p>
    <w:p w14:paraId="5C9E5C30" w14:textId="45C44893" w:rsidR="005B4A0C" w:rsidRPr="008D2F4A" w:rsidRDefault="005B4A0C" w:rsidP="00DD6ED9">
      <w:pPr>
        <w:spacing w:line="264" w:lineRule="auto"/>
        <w:jc w:val="both"/>
        <w:rPr>
          <w:rFonts w:eastAsia="Aptos" w:cs="Times New Roman"/>
          <w:sz w:val="24"/>
          <w:szCs w:val="24"/>
        </w:rPr>
      </w:pPr>
      <w:r w:rsidRPr="008D2F4A">
        <w:rPr>
          <w:rFonts w:eastAsia="Calibri" w:cs="Times New Roman"/>
          <w:sz w:val="24"/>
          <w:szCs w:val="24"/>
        </w:rPr>
        <w:t xml:space="preserve">This section </w:t>
      </w:r>
      <w:r w:rsidR="003E16F9" w:rsidRPr="008D2F4A">
        <w:rPr>
          <w:rFonts w:eastAsia="Calibri" w:cs="Times New Roman"/>
          <w:sz w:val="24"/>
          <w:szCs w:val="24"/>
        </w:rPr>
        <w:t>explains</w:t>
      </w:r>
      <w:r w:rsidRPr="008D2F4A">
        <w:rPr>
          <w:rFonts w:eastAsia="Calibri" w:cs="Times New Roman"/>
          <w:sz w:val="24"/>
          <w:szCs w:val="24"/>
        </w:rPr>
        <w:t xml:space="preserve"> that </w:t>
      </w:r>
      <w:r w:rsidRPr="008D2F4A">
        <w:rPr>
          <w:rFonts w:eastAsia="Aptos" w:cs="Times New Roman"/>
          <w:sz w:val="24"/>
          <w:szCs w:val="24"/>
        </w:rPr>
        <w:t xml:space="preserve">the </w:t>
      </w:r>
      <w:r w:rsidR="00540795" w:rsidRPr="008D2F4A">
        <w:rPr>
          <w:rFonts w:eastAsia="Aptos" w:cs="Times New Roman"/>
          <w:sz w:val="24"/>
          <w:szCs w:val="24"/>
        </w:rPr>
        <w:t xml:space="preserve">Court </w:t>
      </w:r>
      <w:r w:rsidR="00402288" w:rsidRPr="008D2F4A">
        <w:rPr>
          <w:rFonts w:eastAsia="Aptos" w:cs="Times New Roman"/>
          <w:sz w:val="24"/>
          <w:szCs w:val="24"/>
        </w:rPr>
        <w:t xml:space="preserve">has </w:t>
      </w:r>
      <w:r w:rsidR="00005DFD" w:rsidRPr="008D2F4A">
        <w:rPr>
          <w:rFonts w:eastAsia="Aptos" w:cs="Times New Roman"/>
          <w:sz w:val="24"/>
          <w:szCs w:val="24"/>
        </w:rPr>
        <w:t xml:space="preserve">gradually </w:t>
      </w:r>
      <w:r w:rsidR="00540795" w:rsidRPr="008D2F4A">
        <w:rPr>
          <w:rFonts w:eastAsia="Aptos" w:cs="Times New Roman"/>
          <w:sz w:val="24"/>
          <w:szCs w:val="24"/>
        </w:rPr>
        <w:t xml:space="preserve">developed </w:t>
      </w:r>
      <w:r w:rsidR="00BD55C6" w:rsidRPr="008D2F4A">
        <w:rPr>
          <w:rFonts w:eastAsia="Aptos" w:cs="Times New Roman"/>
          <w:sz w:val="24"/>
          <w:szCs w:val="24"/>
        </w:rPr>
        <w:t>collective</w:t>
      </w:r>
      <w:r w:rsidR="00540795" w:rsidRPr="008D2F4A">
        <w:rPr>
          <w:rFonts w:eastAsia="Aptos" w:cs="Times New Roman"/>
          <w:sz w:val="24"/>
          <w:szCs w:val="24"/>
        </w:rPr>
        <w:t xml:space="preserve"> </w:t>
      </w:r>
      <w:r w:rsidR="00402288" w:rsidRPr="008D2F4A">
        <w:rPr>
          <w:rFonts w:eastAsia="Aptos" w:cs="Times New Roman"/>
          <w:sz w:val="24"/>
          <w:szCs w:val="24"/>
        </w:rPr>
        <w:t>environmental rights, focused on ensuring access to justice f</w:t>
      </w:r>
      <w:r w:rsidR="007927B9" w:rsidRPr="008D2F4A">
        <w:rPr>
          <w:rFonts w:eastAsia="Calibri" w:cs="Times New Roman"/>
          <w:sz w:val="24"/>
          <w:szCs w:val="24"/>
        </w:rPr>
        <w:t xml:space="preserve">or both individuals and NGOs </w:t>
      </w:r>
      <w:r w:rsidR="009F4B6F" w:rsidRPr="008D2F4A">
        <w:rPr>
          <w:rFonts w:eastAsia="Calibri" w:cs="Times New Roman"/>
          <w:sz w:val="24"/>
          <w:szCs w:val="24"/>
        </w:rPr>
        <w:t>affected</w:t>
      </w:r>
      <w:r w:rsidR="007927B9" w:rsidRPr="008D2F4A">
        <w:rPr>
          <w:rFonts w:eastAsia="Calibri" w:cs="Times New Roman"/>
          <w:sz w:val="24"/>
          <w:szCs w:val="24"/>
        </w:rPr>
        <w:t xml:space="preserve"> by breaches of EU environmental law. </w:t>
      </w:r>
      <w:r w:rsidR="00005DFD" w:rsidRPr="008D2F4A">
        <w:rPr>
          <w:rFonts w:eastAsia="Calibri" w:cs="Times New Roman"/>
          <w:sz w:val="24"/>
          <w:szCs w:val="24"/>
        </w:rPr>
        <w:t>In the early case law</w:t>
      </w:r>
      <w:r w:rsidR="00402288" w:rsidRPr="008D2F4A">
        <w:rPr>
          <w:rFonts w:eastAsia="Calibri" w:cs="Times New Roman"/>
          <w:sz w:val="24"/>
          <w:szCs w:val="24"/>
        </w:rPr>
        <w:t>,</w:t>
      </w:r>
      <w:r w:rsidRPr="008D2F4A">
        <w:rPr>
          <w:rFonts w:eastAsia="Calibri" w:cs="Times New Roman"/>
          <w:sz w:val="24"/>
          <w:szCs w:val="24"/>
        </w:rPr>
        <w:t xml:space="preserve"> the Court </w:t>
      </w:r>
      <w:r w:rsidR="00005DFD" w:rsidRPr="008D2F4A">
        <w:rPr>
          <w:rFonts w:eastAsia="Calibri" w:cs="Times New Roman"/>
          <w:sz w:val="24"/>
          <w:szCs w:val="24"/>
        </w:rPr>
        <w:t>concluded that</w:t>
      </w:r>
      <w:r w:rsidR="00402288" w:rsidRPr="008D2F4A">
        <w:rPr>
          <w:rFonts w:eastAsia="Calibri" w:cs="Times New Roman"/>
          <w:sz w:val="24"/>
          <w:szCs w:val="24"/>
        </w:rPr>
        <w:t xml:space="preserve"> individuals directly concerned by breaches of EU environmental law </w:t>
      </w:r>
      <w:r w:rsidR="00005DFD" w:rsidRPr="008D2F4A">
        <w:rPr>
          <w:rFonts w:eastAsia="Calibri" w:cs="Times New Roman"/>
          <w:sz w:val="24"/>
          <w:szCs w:val="24"/>
        </w:rPr>
        <w:t>must be able to invoke EU environmental provisions in national judicial proceedings.</w:t>
      </w:r>
      <w:r w:rsidRPr="00330981">
        <w:rPr>
          <w:rFonts w:eastAsia="Calibri" w:cs="Times New Roman"/>
          <w:color w:val="0D0D0D"/>
          <w:sz w:val="24"/>
          <w:szCs w:val="24"/>
        </w:rPr>
        <w:t xml:space="preserve"> In subsequent judgments, it established a genuine right to institute judicial proceedings </w:t>
      </w:r>
      <w:r w:rsidR="00005DFD" w:rsidRPr="00330981">
        <w:rPr>
          <w:rFonts w:eastAsia="Calibri" w:cs="Times New Roman"/>
          <w:color w:val="0D0D0D"/>
          <w:sz w:val="24"/>
          <w:szCs w:val="24"/>
        </w:rPr>
        <w:t>for</w:t>
      </w:r>
      <w:r w:rsidRPr="00330981">
        <w:rPr>
          <w:rFonts w:eastAsia="Calibri" w:cs="Times New Roman"/>
          <w:color w:val="0D0D0D"/>
          <w:sz w:val="24"/>
          <w:szCs w:val="24"/>
        </w:rPr>
        <w:t xml:space="preserve"> natural or legal persons that are </w:t>
      </w:r>
      <w:r w:rsidR="00005DFD" w:rsidRPr="00330981">
        <w:rPr>
          <w:rFonts w:eastAsia="Calibri" w:cs="Times New Roman"/>
          <w:color w:val="0D0D0D"/>
          <w:sz w:val="24"/>
          <w:szCs w:val="24"/>
        </w:rPr>
        <w:t>d</w:t>
      </w:r>
      <w:r w:rsidRPr="00330981">
        <w:rPr>
          <w:rFonts w:eastAsia="Calibri" w:cs="Times New Roman"/>
          <w:color w:val="0D0D0D"/>
          <w:sz w:val="24"/>
          <w:szCs w:val="24"/>
        </w:rPr>
        <w:t>irectly concerned by an infringement of environmental provisions.</w:t>
      </w:r>
      <w:r w:rsidR="00005DFD" w:rsidRPr="008D2F4A">
        <w:rPr>
          <w:rFonts w:eastAsia="Aptos" w:cs="Times New Roman"/>
          <w:sz w:val="24"/>
          <w:szCs w:val="24"/>
        </w:rPr>
        <w:t xml:space="preserve"> By doing so, the Court </w:t>
      </w:r>
      <w:r w:rsidR="00005DFD" w:rsidRPr="008D2F4A">
        <w:rPr>
          <w:rFonts w:eastAsia="Calibri" w:cs="Times New Roman"/>
          <w:sz w:val="24"/>
          <w:szCs w:val="24"/>
        </w:rPr>
        <w:t xml:space="preserve">essentially empowered individuals and legal persons to </w:t>
      </w:r>
      <w:r w:rsidR="00C97751" w:rsidRPr="008D2F4A">
        <w:rPr>
          <w:rFonts w:eastAsia="Calibri" w:cs="Times New Roman"/>
          <w:sz w:val="24"/>
          <w:szCs w:val="24"/>
        </w:rPr>
        <w:t>bring national authorities to court for their failure to comply with EU environmental law</w:t>
      </w:r>
      <w:r w:rsidR="00005DFD" w:rsidRPr="008D2F4A">
        <w:rPr>
          <w:rFonts w:eastAsia="Calibri" w:cs="Times New Roman"/>
          <w:sz w:val="24"/>
          <w:szCs w:val="24"/>
        </w:rPr>
        <w:t xml:space="preserve">. </w:t>
      </w:r>
    </w:p>
    <w:p w14:paraId="4243934D" w14:textId="77777777" w:rsidR="005B4A0C" w:rsidRPr="008D2F4A" w:rsidRDefault="005B4A0C" w:rsidP="00DD6ED9">
      <w:pPr>
        <w:spacing w:line="264" w:lineRule="auto"/>
        <w:jc w:val="both"/>
        <w:rPr>
          <w:rFonts w:eastAsia="Aptos" w:cs="Times New Roman"/>
          <w:sz w:val="24"/>
          <w:szCs w:val="24"/>
        </w:rPr>
      </w:pPr>
    </w:p>
    <w:p w14:paraId="3576C019" w14:textId="484ED302" w:rsidR="005B4A0C" w:rsidRPr="008D2F4A" w:rsidRDefault="005B4A0C" w:rsidP="00DD6ED9">
      <w:pPr>
        <w:numPr>
          <w:ilvl w:val="1"/>
          <w:numId w:val="1"/>
        </w:numPr>
        <w:spacing w:line="264" w:lineRule="auto"/>
        <w:ind w:left="709" w:hanging="709"/>
        <w:jc w:val="both"/>
        <w:rPr>
          <w:rFonts w:eastAsia="Aptos" w:cs="Times New Roman"/>
          <w:sz w:val="24"/>
          <w:szCs w:val="24"/>
        </w:rPr>
      </w:pPr>
      <w:r w:rsidRPr="008D2F4A">
        <w:rPr>
          <w:rFonts w:eastAsia="Aptos" w:cs="Times New Roman"/>
          <w:sz w:val="24"/>
          <w:szCs w:val="24"/>
        </w:rPr>
        <w:t xml:space="preserve">The right to rely on environmental provisions in national judicial proceedings </w:t>
      </w:r>
    </w:p>
    <w:p w14:paraId="27B451BB" w14:textId="77777777" w:rsidR="005B4A0C" w:rsidRPr="008D2F4A" w:rsidRDefault="005B4A0C" w:rsidP="00DD6ED9">
      <w:pPr>
        <w:spacing w:line="264" w:lineRule="auto"/>
        <w:jc w:val="both"/>
        <w:rPr>
          <w:rFonts w:eastAsia="Aptos" w:cs="Times New Roman"/>
          <w:sz w:val="24"/>
          <w:szCs w:val="24"/>
        </w:rPr>
      </w:pPr>
    </w:p>
    <w:p w14:paraId="4BB033D2" w14:textId="33A020E4" w:rsidR="005B4A0C" w:rsidRPr="00330981" w:rsidRDefault="00DC6218" w:rsidP="00DD6ED9">
      <w:pPr>
        <w:spacing w:line="264" w:lineRule="auto"/>
        <w:jc w:val="both"/>
        <w:rPr>
          <w:rFonts w:eastAsia="Times New Roman" w:cs="Times New Roman"/>
          <w:color w:val="0D0D0D"/>
          <w:sz w:val="24"/>
          <w:szCs w:val="24"/>
          <w:lang w:eastAsia="fr-FR"/>
        </w:rPr>
      </w:pPr>
      <w:r>
        <w:rPr>
          <w:rFonts w:eastAsia="Aptos" w:cs="Times New Roman"/>
          <w:sz w:val="24"/>
          <w:szCs w:val="24"/>
        </w:rPr>
        <w:t xml:space="preserve">In the early judgments, the Court of Justice was asked to determine whether EU environmental provisions could be invoked before national courts. </w:t>
      </w:r>
      <w:r w:rsidR="005B4A0C" w:rsidRPr="00330981">
        <w:rPr>
          <w:rFonts w:eastAsia="Times New Roman" w:cs="Times New Roman"/>
          <w:color w:val="0D0D0D"/>
          <w:sz w:val="24"/>
          <w:szCs w:val="24"/>
          <w:lang w:eastAsia="fr-FR"/>
        </w:rPr>
        <w:t xml:space="preserve">Consider, by way of illustration, the German saga that unfolded in the early </w:t>
      </w:r>
      <w:r w:rsidR="005F7322" w:rsidRPr="00330981">
        <w:rPr>
          <w:rFonts w:eastAsia="Times New Roman" w:cs="Times New Roman"/>
          <w:color w:val="0D0D0D"/>
          <w:sz w:val="24"/>
          <w:szCs w:val="24"/>
          <w:lang w:eastAsia="fr-FR"/>
        </w:rPr>
        <w:t>1990s</w:t>
      </w:r>
      <w:r w:rsidR="005B4A0C" w:rsidRPr="00330981">
        <w:rPr>
          <w:rFonts w:eastAsia="Times New Roman" w:cs="Times New Roman"/>
          <w:color w:val="0D0D0D"/>
          <w:sz w:val="24"/>
          <w:szCs w:val="24"/>
          <w:lang w:eastAsia="fr-FR"/>
        </w:rPr>
        <w:t>.</w:t>
      </w:r>
      <w:r w:rsidR="005B4A0C" w:rsidRPr="00330981">
        <w:rPr>
          <w:rFonts w:eastAsia="Times New Roman" w:cs="Times New Roman"/>
          <w:color w:val="0D0D0D"/>
          <w:sz w:val="24"/>
          <w:szCs w:val="24"/>
          <w:vertAlign w:val="superscript"/>
          <w:lang w:eastAsia="fr-FR"/>
        </w:rPr>
        <w:footnoteReference w:id="12"/>
      </w:r>
      <w:r w:rsidR="005B4A0C" w:rsidRPr="00330981">
        <w:rPr>
          <w:rFonts w:eastAsia="Times New Roman" w:cs="Times New Roman"/>
          <w:color w:val="0D0D0D"/>
          <w:sz w:val="24"/>
          <w:szCs w:val="24"/>
          <w:lang w:eastAsia="fr-FR"/>
        </w:rPr>
        <w:t xml:space="preserve"> This concerned the transposition of three environmental directives into the German legal order (namely Directive 80/779,</w:t>
      </w:r>
      <w:r w:rsidR="005B4A0C" w:rsidRPr="00330981">
        <w:rPr>
          <w:rFonts w:eastAsia="Times New Roman" w:cs="Times New Roman"/>
          <w:color w:val="0D0D0D"/>
          <w:sz w:val="24"/>
          <w:szCs w:val="24"/>
          <w:vertAlign w:val="superscript"/>
          <w:lang w:eastAsia="fr-FR"/>
        </w:rPr>
        <w:footnoteReference w:id="13"/>
      </w:r>
      <w:r w:rsidR="005B4A0C" w:rsidRPr="00330981">
        <w:rPr>
          <w:rFonts w:eastAsia="Times New Roman" w:cs="Times New Roman"/>
          <w:color w:val="0D0D0D"/>
          <w:sz w:val="24"/>
          <w:szCs w:val="24"/>
          <w:lang w:eastAsia="fr-FR"/>
        </w:rPr>
        <w:t xml:space="preserve"> Directive 82/884,</w:t>
      </w:r>
      <w:r w:rsidR="005B4A0C" w:rsidRPr="00330981">
        <w:rPr>
          <w:rFonts w:eastAsia="Times New Roman" w:cs="Times New Roman"/>
          <w:color w:val="0D0D0D"/>
          <w:sz w:val="24"/>
          <w:szCs w:val="24"/>
          <w:vertAlign w:val="superscript"/>
          <w:lang w:eastAsia="fr-FR"/>
        </w:rPr>
        <w:footnoteReference w:id="14"/>
      </w:r>
      <w:r w:rsidR="005B4A0C" w:rsidRPr="00330981">
        <w:rPr>
          <w:rFonts w:eastAsia="Times New Roman" w:cs="Times New Roman"/>
          <w:color w:val="0D0D0D"/>
          <w:sz w:val="24"/>
          <w:szCs w:val="24"/>
          <w:lang w:eastAsia="fr-FR"/>
        </w:rPr>
        <w:t xml:space="preserve"> and Directive 75/440,</w:t>
      </w:r>
      <w:r w:rsidR="005B4A0C" w:rsidRPr="00330981">
        <w:rPr>
          <w:rFonts w:eastAsia="Times New Roman" w:cs="Times New Roman"/>
          <w:color w:val="0D0D0D"/>
          <w:sz w:val="24"/>
          <w:szCs w:val="24"/>
          <w:vertAlign w:val="superscript"/>
          <w:lang w:eastAsia="fr-FR"/>
        </w:rPr>
        <w:footnoteReference w:id="15"/>
      </w:r>
      <w:r w:rsidR="005B4A0C" w:rsidRPr="00330981">
        <w:rPr>
          <w:rFonts w:eastAsia="Times New Roman" w:cs="Times New Roman"/>
          <w:color w:val="0D0D0D"/>
          <w:sz w:val="24"/>
          <w:szCs w:val="24"/>
          <w:lang w:eastAsia="fr-FR"/>
        </w:rPr>
        <w:t xml:space="preserve"> referred </w:t>
      </w:r>
      <w:r w:rsidR="005F7322" w:rsidRPr="00330981">
        <w:rPr>
          <w:rFonts w:eastAsia="Times New Roman" w:cs="Times New Roman"/>
          <w:color w:val="0D0D0D"/>
          <w:sz w:val="24"/>
          <w:szCs w:val="24"/>
          <w:lang w:eastAsia="fr-FR"/>
        </w:rPr>
        <w:t>to collectively</w:t>
      </w:r>
      <w:r w:rsidR="005B4A0C" w:rsidRPr="00330981">
        <w:rPr>
          <w:rFonts w:eastAsia="Times New Roman" w:cs="Times New Roman"/>
          <w:color w:val="0D0D0D"/>
          <w:sz w:val="24"/>
          <w:szCs w:val="24"/>
          <w:lang w:eastAsia="fr-FR"/>
        </w:rPr>
        <w:t xml:space="preserve"> as </w:t>
      </w:r>
      <w:r w:rsidR="005F7322" w:rsidRPr="00330981">
        <w:rPr>
          <w:rFonts w:eastAsia="Calibri" w:cs="Times New Roman"/>
          <w:color w:val="0D0D0D"/>
          <w:sz w:val="24"/>
          <w:szCs w:val="24"/>
        </w:rPr>
        <w:t>“the Directives”</w:t>
      </w:r>
      <w:r w:rsidR="005B4A0C" w:rsidRPr="00330981">
        <w:rPr>
          <w:rFonts w:eastAsia="Times New Roman" w:cs="Times New Roman"/>
          <w:color w:val="0D0D0D"/>
          <w:sz w:val="24"/>
          <w:szCs w:val="24"/>
          <w:lang w:eastAsia="fr-FR"/>
        </w:rPr>
        <w:t xml:space="preserve">). The German authorities decided to implement these directives </w:t>
      </w:r>
      <w:r w:rsidR="005F7322" w:rsidRPr="00330981">
        <w:rPr>
          <w:rFonts w:eastAsia="Times New Roman" w:cs="Times New Roman"/>
          <w:color w:val="0D0D0D"/>
          <w:sz w:val="24"/>
          <w:szCs w:val="24"/>
          <w:lang w:eastAsia="fr-FR"/>
        </w:rPr>
        <w:t>through</w:t>
      </w:r>
      <w:r w:rsidR="005B4A0C" w:rsidRPr="00330981">
        <w:rPr>
          <w:rFonts w:eastAsia="Times New Roman" w:cs="Times New Roman"/>
          <w:color w:val="0D0D0D"/>
          <w:sz w:val="24"/>
          <w:szCs w:val="24"/>
          <w:lang w:eastAsia="fr-FR"/>
        </w:rPr>
        <w:t xml:space="preserve"> administrative circulars. However, the Commission was adamant that the adoption of these administrative circulars did not suffice to bring national law into line with the </w:t>
      </w:r>
      <w:r w:rsidR="005F7322" w:rsidRPr="00330981">
        <w:rPr>
          <w:rFonts w:eastAsia="Times New Roman" w:cs="Times New Roman"/>
          <w:color w:val="0D0D0D"/>
          <w:sz w:val="24"/>
          <w:szCs w:val="24"/>
          <w:lang w:eastAsia="fr-FR"/>
        </w:rPr>
        <w:t>D</w:t>
      </w:r>
      <w:r w:rsidR="005B4A0C" w:rsidRPr="00330981">
        <w:rPr>
          <w:rFonts w:eastAsia="Times New Roman" w:cs="Times New Roman"/>
          <w:color w:val="0D0D0D"/>
          <w:sz w:val="24"/>
          <w:szCs w:val="24"/>
          <w:lang w:eastAsia="fr-FR"/>
        </w:rPr>
        <w:t>irectives. The reason for this was simple: at the time, administrative circulars were not endowed with “unquestionable binding force” in the German legal order.</w:t>
      </w:r>
      <w:r w:rsidR="005B4A0C" w:rsidRPr="00330981">
        <w:rPr>
          <w:rFonts w:eastAsia="Times New Roman" w:cs="Times New Roman"/>
          <w:color w:val="0D0D0D"/>
          <w:sz w:val="24"/>
          <w:szCs w:val="24"/>
          <w:vertAlign w:val="superscript"/>
          <w:lang w:eastAsia="fr-FR"/>
        </w:rPr>
        <w:footnoteReference w:id="16"/>
      </w:r>
      <w:r w:rsidR="005B4A0C" w:rsidRPr="00330981">
        <w:rPr>
          <w:rFonts w:eastAsia="Times New Roman" w:cs="Times New Roman"/>
          <w:color w:val="0D0D0D"/>
          <w:sz w:val="24"/>
          <w:szCs w:val="24"/>
          <w:lang w:eastAsia="fr-FR"/>
        </w:rPr>
        <w:t xml:space="preserve"> There was, in particular, some uncertainty in German academic literature and case law about whether technical circulars (</w:t>
      </w:r>
      <w:r w:rsidR="005F7322" w:rsidRPr="00330981">
        <w:rPr>
          <w:rFonts w:eastAsia="Times New Roman" w:cs="Times New Roman"/>
          <w:color w:val="0D0D0D"/>
          <w:sz w:val="24"/>
          <w:szCs w:val="24"/>
          <w:lang w:eastAsia="fr-FR"/>
        </w:rPr>
        <w:t>like the ones used</w:t>
      </w:r>
      <w:r w:rsidR="005B4A0C" w:rsidRPr="00330981">
        <w:rPr>
          <w:rFonts w:eastAsia="Times New Roman" w:cs="Times New Roman"/>
          <w:color w:val="0D0D0D"/>
          <w:sz w:val="24"/>
          <w:szCs w:val="24"/>
          <w:lang w:eastAsia="fr-FR"/>
        </w:rPr>
        <w:t xml:space="preserve"> to implement the environmental </w:t>
      </w:r>
      <w:r w:rsidR="005F7322" w:rsidRPr="00330981">
        <w:rPr>
          <w:rFonts w:eastAsia="Times New Roman" w:cs="Times New Roman"/>
          <w:color w:val="0D0D0D"/>
          <w:sz w:val="24"/>
          <w:szCs w:val="24"/>
          <w:lang w:eastAsia="fr-FR"/>
        </w:rPr>
        <w:lastRenderedPageBreak/>
        <w:t>D</w:t>
      </w:r>
      <w:r w:rsidR="005B4A0C" w:rsidRPr="00330981">
        <w:rPr>
          <w:rFonts w:eastAsia="Times New Roman" w:cs="Times New Roman"/>
          <w:color w:val="0D0D0D"/>
          <w:sz w:val="24"/>
          <w:szCs w:val="24"/>
          <w:lang w:eastAsia="fr-FR"/>
        </w:rPr>
        <w:t xml:space="preserve">irectives at stake) were binding in the context of national judicial proceedings. In that context, the Court was keen to </w:t>
      </w:r>
      <w:r w:rsidR="005F7322" w:rsidRPr="00330981">
        <w:rPr>
          <w:rFonts w:eastAsia="Times New Roman" w:cs="Times New Roman"/>
          <w:color w:val="0D0D0D"/>
          <w:sz w:val="24"/>
          <w:szCs w:val="24"/>
          <w:lang w:eastAsia="fr-FR"/>
        </w:rPr>
        <w:t>emphasise</w:t>
      </w:r>
      <w:r w:rsidR="005B4A0C" w:rsidRPr="00330981">
        <w:rPr>
          <w:rFonts w:eastAsia="Times New Roman" w:cs="Times New Roman"/>
          <w:color w:val="0D0D0D"/>
          <w:sz w:val="24"/>
          <w:szCs w:val="24"/>
          <w:lang w:eastAsia="fr-FR"/>
        </w:rPr>
        <w:t xml:space="preserve"> that:</w:t>
      </w:r>
    </w:p>
    <w:p w14:paraId="41C0E4AB" w14:textId="77777777" w:rsidR="005B4A0C" w:rsidRPr="008D2F4A" w:rsidRDefault="005B4A0C" w:rsidP="00DD6ED9">
      <w:pPr>
        <w:spacing w:line="264" w:lineRule="auto"/>
        <w:ind w:left="284" w:right="284"/>
        <w:jc w:val="both"/>
        <w:rPr>
          <w:rFonts w:eastAsia="Times New Roman" w:cs="Times New Roman"/>
          <w:color w:val="0D0D0D"/>
          <w:sz w:val="24"/>
          <w:szCs w:val="24"/>
          <w:lang w:eastAsia="fr-FR"/>
        </w:rPr>
      </w:pPr>
      <w:r w:rsidRPr="008D2F4A">
        <w:rPr>
          <w:rFonts w:eastAsia="Times New Roman" w:cs="Times New Roman"/>
          <w:color w:val="0D0D0D"/>
          <w:sz w:val="24"/>
          <w:szCs w:val="24"/>
          <w:lang w:eastAsia="fr-FR"/>
        </w:rPr>
        <w:t>“where the directive is intended to create rights for individuals, the persons concerned can ascertain the full extent of their rights and, where appropriate, rely upon them before the national courts”.</w:t>
      </w:r>
      <w:r w:rsidRPr="008D2F4A">
        <w:rPr>
          <w:rFonts w:eastAsia="Times New Roman" w:cs="Times New Roman"/>
          <w:color w:val="0D0D0D"/>
          <w:sz w:val="24"/>
          <w:szCs w:val="24"/>
          <w:vertAlign w:val="superscript"/>
          <w:lang w:eastAsia="fr-FR"/>
        </w:rPr>
        <w:footnoteReference w:id="17"/>
      </w:r>
    </w:p>
    <w:p w14:paraId="201144BF" w14:textId="6B7CE0E4" w:rsidR="005B4A0C" w:rsidRPr="00330981" w:rsidRDefault="005B4A0C" w:rsidP="00DD6ED9">
      <w:pPr>
        <w:spacing w:line="264" w:lineRule="auto"/>
        <w:jc w:val="both"/>
        <w:rPr>
          <w:rFonts w:eastAsia="Times New Roman" w:cs="Times New Roman"/>
          <w:color w:val="0D0D0D"/>
          <w:sz w:val="24"/>
          <w:szCs w:val="24"/>
          <w:lang w:eastAsia="fr-FR"/>
        </w:rPr>
      </w:pPr>
      <w:r w:rsidRPr="00330981">
        <w:rPr>
          <w:rFonts w:eastAsia="Times New Roman" w:cs="Times New Roman"/>
          <w:color w:val="0D0D0D"/>
          <w:sz w:val="24"/>
          <w:szCs w:val="24"/>
          <w:lang w:eastAsia="fr-FR"/>
        </w:rPr>
        <w:t xml:space="preserve">Speaking specifically about the Directive on ambient air quality, the Court further </w:t>
      </w:r>
      <w:r w:rsidR="005F7322" w:rsidRPr="00330981">
        <w:rPr>
          <w:rFonts w:eastAsia="Times New Roman" w:cs="Times New Roman"/>
          <w:color w:val="0D0D0D"/>
          <w:sz w:val="24"/>
          <w:szCs w:val="24"/>
          <w:lang w:eastAsia="fr-FR"/>
        </w:rPr>
        <w:t>stated</w:t>
      </w:r>
      <w:r w:rsidRPr="00330981">
        <w:rPr>
          <w:rFonts w:eastAsia="Times New Roman" w:cs="Times New Roman"/>
          <w:color w:val="0D0D0D"/>
          <w:sz w:val="24"/>
          <w:szCs w:val="24"/>
          <w:lang w:eastAsia="fr-FR"/>
        </w:rPr>
        <w:t xml:space="preserve"> that:</w:t>
      </w:r>
    </w:p>
    <w:p w14:paraId="518717F2" w14:textId="77777777" w:rsidR="005B4A0C" w:rsidRPr="008D2F4A" w:rsidRDefault="005B4A0C" w:rsidP="00DD6ED9">
      <w:pPr>
        <w:spacing w:line="264" w:lineRule="auto"/>
        <w:ind w:left="284" w:right="284"/>
        <w:jc w:val="both"/>
        <w:rPr>
          <w:rFonts w:eastAsia="Times New Roman" w:cs="Times New Roman"/>
          <w:color w:val="0D0D0D"/>
          <w:sz w:val="24"/>
          <w:szCs w:val="24"/>
          <w:lang w:eastAsia="fr-FR"/>
        </w:rPr>
      </w:pPr>
      <w:r w:rsidRPr="008D2F4A">
        <w:rPr>
          <w:rFonts w:eastAsia="Times New Roman" w:cs="Times New Roman"/>
          <w:color w:val="0D0D0D"/>
          <w:sz w:val="24"/>
          <w:szCs w:val="24"/>
          <w:lang w:eastAsia="fr-FR"/>
        </w:rPr>
        <w:t>“whenever the exceeding of the limit values could endanger human health, the persons concerned must be in a position to rely on mandatory rules in order to be able to assert their rights”.</w:t>
      </w:r>
      <w:r w:rsidRPr="008D2F4A">
        <w:rPr>
          <w:rFonts w:eastAsia="Times New Roman" w:cs="Times New Roman"/>
          <w:color w:val="0D0D0D"/>
          <w:sz w:val="24"/>
          <w:szCs w:val="24"/>
          <w:vertAlign w:val="superscript"/>
          <w:lang w:eastAsia="fr-FR"/>
        </w:rPr>
        <w:footnoteReference w:id="18"/>
      </w:r>
      <w:r w:rsidRPr="008D2F4A">
        <w:rPr>
          <w:rFonts w:eastAsia="Times New Roman" w:cs="Times New Roman"/>
          <w:color w:val="0D0D0D"/>
          <w:sz w:val="24"/>
          <w:szCs w:val="24"/>
          <w:lang w:eastAsia="fr-FR"/>
        </w:rPr>
        <w:t xml:space="preserve"> </w:t>
      </w:r>
    </w:p>
    <w:p w14:paraId="538ECF28" w14:textId="77777777" w:rsidR="005F7322" w:rsidRPr="00330981" w:rsidRDefault="005F7322" w:rsidP="00DD6ED9">
      <w:pPr>
        <w:spacing w:line="264" w:lineRule="auto"/>
        <w:jc w:val="both"/>
        <w:rPr>
          <w:rFonts w:eastAsia="Times New Roman" w:cs="Times New Roman"/>
          <w:color w:val="000000"/>
          <w:sz w:val="24"/>
          <w:szCs w:val="24"/>
          <w:lang w:eastAsia="fr-FR"/>
        </w:rPr>
      </w:pPr>
      <w:r w:rsidRPr="00330981">
        <w:rPr>
          <w:rFonts w:eastAsia="Times New Roman" w:cs="Times New Roman"/>
          <w:color w:val="000000"/>
          <w:sz w:val="24"/>
          <w:szCs w:val="24"/>
          <w:lang w:eastAsia="fr-FR"/>
        </w:rPr>
        <w:t>However, because</w:t>
      </w:r>
      <w:r w:rsidR="005B4A0C" w:rsidRPr="00330981">
        <w:rPr>
          <w:rFonts w:eastAsia="Times New Roman" w:cs="Times New Roman"/>
          <w:color w:val="000000"/>
          <w:sz w:val="24"/>
          <w:szCs w:val="24"/>
          <w:lang w:eastAsia="fr-FR"/>
        </w:rPr>
        <w:t xml:space="preserve"> the limit values were </w:t>
      </w:r>
      <w:r w:rsidRPr="00330981">
        <w:rPr>
          <w:rFonts w:eastAsia="Times New Roman" w:cs="Times New Roman"/>
          <w:color w:val="000000"/>
          <w:sz w:val="24"/>
          <w:szCs w:val="24"/>
          <w:lang w:eastAsia="fr-FR"/>
        </w:rPr>
        <w:t>set</w:t>
      </w:r>
      <w:r w:rsidR="005B4A0C" w:rsidRPr="00330981">
        <w:rPr>
          <w:rFonts w:eastAsia="Times New Roman" w:cs="Times New Roman"/>
          <w:color w:val="000000"/>
          <w:sz w:val="24"/>
          <w:szCs w:val="24"/>
          <w:lang w:eastAsia="fr-FR"/>
        </w:rPr>
        <w:t xml:space="preserve"> out in a technical administrative circular, it could not be established with certainty that they </w:t>
      </w:r>
      <w:r w:rsidRPr="00330981">
        <w:rPr>
          <w:rFonts w:eastAsia="Times New Roman" w:cs="Times New Roman"/>
          <w:color w:val="000000"/>
          <w:sz w:val="24"/>
          <w:szCs w:val="24"/>
          <w:lang w:eastAsia="fr-FR"/>
        </w:rPr>
        <w:t>had</w:t>
      </w:r>
      <w:r w:rsidR="005B4A0C" w:rsidRPr="00330981">
        <w:rPr>
          <w:rFonts w:eastAsia="Times New Roman" w:cs="Times New Roman"/>
          <w:color w:val="000000"/>
          <w:sz w:val="24"/>
          <w:szCs w:val="24"/>
          <w:lang w:eastAsia="fr-FR"/>
        </w:rPr>
        <w:t xml:space="preserve"> binding effects. The consequences were readily apparent: individuals were not in a position to rely upon the obligations established by the relevant environmental </w:t>
      </w:r>
      <w:r w:rsidRPr="00330981">
        <w:rPr>
          <w:rFonts w:eastAsia="Times New Roman" w:cs="Times New Roman"/>
          <w:color w:val="000000"/>
          <w:sz w:val="24"/>
          <w:szCs w:val="24"/>
          <w:lang w:eastAsia="fr-FR"/>
        </w:rPr>
        <w:t>D</w:t>
      </w:r>
      <w:r w:rsidR="005B4A0C" w:rsidRPr="00330981">
        <w:rPr>
          <w:rFonts w:eastAsia="Times New Roman" w:cs="Times New Roman"/>
          <w:color w:val="000000"/>
          <w:sz w:val="24"/>
          <w:szCs w:val="24"/>
          <w:lang w:eastAsia="fr-FR"/>
        </w:rPr>
        <w:t>irective, where appropriate, before national courts. The Court concluded that Germany had not transposed this</w:t>
      </w:r>
      <w:r w:rsidR="00ED158F" w:rsidRPr="00330981">
        <w:rPr>
          <w:rFonts w:eastAsia="Times New Roman" w:cs="Times New Roman"/>
          <w:color w:val="000000"/>
          <w:sz w:val="24"/>
          <w:szCs w:val="24"/>
          <w:lang w:eastAsia="fr-FR"/>
        </w:rPr>
        <w:t xml:space="preserve"> D</w:t>
      </w:r>
      <w:r w:rsidR="005B4A0C" w:rsidRPr="00330981">
        <w:rPr>
          <w:rFonts w:eastAsia="Times New Roman" w:cs="Times New Roman"/>
          <w:color w:val="000000"/>
          <w:sz w:val="24"/>
          <w:szCs w:val="24"/>
          <w:lang w:eastAsia="fr-FR"/>
        </w:rPr>
        <w:t>irective</w:t>
      </w:r>
      <w:r w:rsidR="00ED158F" w:rsidRPr="00330981">
        <w:rPr>
          <w:rFonts w:eastAsia="Times New Roman" w:cs="Times New Roman"/>
          <w:color w:val="000000"/>
          <w:sz w:val="24"/>
          <w:szCs w:val="24"/>
          <w:lang w:eastAsia="fr-FR"/>
        </w:rPr>
        <w:t xml:space="preserve"> </w:t>
      </w:r>
      <w:r w:rsidR="005B4A0C" w:rsidRPr="00330981">
        <w:rPr>
          <w:rFonts w:eastAsia="Times New Roman" w:cs="Times New Roman"/>
          <w:color w:val="000000"/>
          <w:sz w:val="24"/>
          <w:szCs w:val="24"/>
          <w:lang w:eastAsia="fr-FR"/>
        </w:rPr>
        <w:t xml:space="preserve">adequately. </w:t>
      </w:r>
    </w:p>
    <w:p w14:paraId="46AE8078" w14:textId="653CD787" w:rsidR="005B4A0C" w:rsidRPr="00330981" w:rsidRDefault="005B4A0C" w:rsidP="005F7322">
      <w:pPr>
        <w:spacing w:line="264" w:lineRule="auto"/>
        <w:ind w:firstLine="284"/>
        <w:jc w:val="both"/>
        <w:rPr>
          <w:rFonts w:eastAsia="Times New Roman" w:cs="Times New Roman"/>
          <w:color w:val="000000"/>
          <w:sz w:val="24"/>
          <w:szCs w:val="24"/>
          <w:lang w:eastAsia="fr-FR"/>
        </w:rPr>
      </w:pPr>
      <w:r w:rsidRPr="00330981">
        <w:rPr>
          <w:rFonts w:eastAsia="Times New Roman" w:cs="Times New Roman"/>
          <w:color w:val="000000"/>
          <w:sz w:val="24"/>
          <w:szCs w:val="24"/>
          <w:lang w:eastAsia="fr-FR"/>
        </w:rPr>
        <w:t xml:space="preserve">Ultimately, </w:t>
      </w:r>
      <w:r w:rsidR="004439B0" w:rsidRPr="00330981">
        <w:rPr>
          <w:rFonts w:eastAsia="Times New Roman" w:cs="Times New Roman"/>
          <w:color w:val="000000"/>
          <w:sz w:val="24"/>
          <w:szCs w:val="24"/>
          <w:lang w:eastAsia="fr-FR"/>
        </w:rPr>
        <w:t>t</w:t>
      </w:r>
      <w:r w:rsidRPr="00330981">
        <w:rPr>
          <w:rFonts w:eastAsia="Times New Roman" w:cs="Times New Roman"/>
          <w:color w:val="000000"/>
          <w:sz w:val="24"/>
          <w:szCs w:val="24"/>
          <w:lang w:eastAsia="fr-FR"/>
        </w:rPr>
        <w:t xml:space="preserve">he bottom line seemed to be the following: individuals concerned by the infringement of a rule belonging to EU environmental law had to be able to rely on such provisions in national judicial review proceedings. </w:t>
      </w:r>
      <w:r w:rsidRPr="00330981">
        <w:rPr>
          <w:rFonts w:eastAsia="Calibri" w:cs="Times New Roman"/>
          <w:color w:val="000000"/>
          <w:sz w:val="24"/>
          <w:szCs w:val="24"/>
        </w:rPr>
        <w:t xml:space="preserve">At the same time, the Court left unresolved </w:t>
      </w:r>
      <w:r w:rsidR="00765E33" w:rsidRPr="00330981">
        <w:rPr>
          <w:rFonts w:eastAsia="Calibri" w:cs="Times New Roman"/>
          <w:color w:val="000000"/>
          <w:sz w:val="24"/>
          <w:szCs w:val="24"/>
        </w:rPr>
        <w:t xml:space="preserve">the </w:t>
      </w:r>
      <w:r w:rsidRPr="00330981">
        <w:rPr>
          <w:rFonts w:eastAsia="Calibri" w:cs="Times New Roman"/>
          <w:color w:val="000000"/>
          <w:sz w:val="24"/>
          <w:szCs w:val="24"/>
        </w:rPr>
        <w:t>questions about the appropriate remedies that should be available to those concerned individuals in the event of</w:t>
      </w:r>
      <w:r w:rsidR="00ED158F" w:rsidRPr="00330981">
        <w:rPr>
          <w:rFonts w:eastAsia="Calibri" w:cs="Times New Roman"/>
          <w:color w:val="000000"/>
          <w:sz w:val="24"/>
          <w:szCs w:val="24"/>
        </w:rPr>
        <w:t xml:space="preserve"> </w:t>
      </w:r>
      <w:r w:rsidR="004439B0" w:rsidRPr="00330981">
        <w:rPr>
          <w:rFonts w:eastAsia="Calibri" w:cs="Times New Roman"/>
          <w:color w:val="000000"/>
          <w:sz w:val="24"/>
          <w:szCs w:val="24"/>
        </w:rPr>
        <w:t>non-</w:t>
      </w:r>
      <w:r w:rsidRPr="00330981">
        <w:rPr>
          <w:rFonts w:eastAsia="Calibri" w:cs="Times New Roman"/>
          <w:color w:val="000000"/>
          <w:sz w:val="24"/>
          <w:szCs w:val="24"/>
        </w:rPr>
        <w:t xml:space="preserve">compliance with these directives. It was </w:t>
      </w:r>
      <w:r w:rsidR="00765E33" w:rsidRPr="00330981">
        <w:rPr>
          <w:rFonts w:eastAsia="Calibri" w:cs="Times New Roman"/>
          <w:color w:val="000000"/>
          <w:sz w:val="24"/>
          <w:szCs w:val="24"/>
        </w:rPr>
        <w:t xml:space="preserve">also </w:t>
      </w:r>
      <w:r w:rsidRPr="00330981">
        <w:rPr>
          <w:rFonts w:eastAsia="Calibri" w:cs="Times New Roman"/>
          <w:color w:val="000000"/>
          <w:sz w:val="24"/>
          <w:szCs w:val="24"/>
        </w:rPr>
        <w:t xml:space="preserve">not immediately clear whether the Court intended to define which individuals should have standing to enforce EU environmental law. </w:t>
      </w:r>
    </w:p>
    <w:p w14:paraId="2F836877" w14:textId="77777777" w:rsidR="005B4A0C" w:rsidRPr="008D2F4A" w:rsidRDefault="005B4A0C" w:rsidP="00DD6ED9">
      <w:pPr>
        <w:spacing w:line="264" w:lineRule="auto"/>
        <w:jc w:val="both"/>
        <w:rPr>
          <w:rFonts w:eastAsia="Aptos" w:cs="Times New Roman"/>
          <w:sz w:val="24"/>
          <w:szCs w:val="24"/>
        </w:rPr>
      </w:pPr>
    </w:p>
    <w:p w14:paraId="5F4B7425" w14:textId="6983DE16" w:rsidR="005B4A0C" w:rsidRPr="008D2F4A" w:rsidRDefault="005B4A0C" w:rsidP="00DD6ED9">
      <w:pPr>
        <w:numPr>
          <w:ilvl w:val="1"/>
          <w:numId w:val="1"/>
        </w:numPr>
        <w:spacing w:line="264" w:lineRule="auto"/>
        <w:ind w:left="709" w:hanging="709"/>
        <w:jc w:val="both"/>
        <w:rPr>
          <w:rFonts w:eastAsia="Aptos" w:cs="Times New Roman"/>
          <w:sz w:val="24"/>
          <w:szCs w:val="24"/>
        </w:rPr>
      </w:pPr>
      <w:r w:rsidRPr="008D2F4A">
        <w:rPr>
          <w:rFonts w:eastAsia="Aptos" w:cs="Times New Roman"/>
          <w:sz w:val="24"/>
          <w:szCs w:val="24"/>
        </w:rPr>
        <w:t xml:space="preserve">The right to initiate judicial proceedings for </w:t>
      </w:r>
      <w:r w:rsidR="007927B9" w:rsidRPr="008D2F4A">
        <w:rPr>
          <w:rFonts w:eastAsia="Aptos" w:cs="Times New Roman"/>
          <w:sz w:val="24"/>
          <w:szCs w:val="24"/>
        </w:rPr>
        <w:t>the general interest</w:t>
      </w:r>
    </w:p>
    <w:p w14:paraId="6CB3A441" w14:textId="77777777" w:rsidR="005B4A0C" w:rsidRPr="00330981" w:rsidRDefault="005B4A0C" w:rsidP="00DD6ED9">
      <w:pPr>
        <w:spacing w:line="264" w:lineRule="auto"/>
        <w:jc w:val="both"/>
        <w:rPr>
          <w:rFonts w:eastAsia="Calibri" w:cs="Times New Roman"/>
          <w:color w:val="0D0D0D"/>
          <w:sz w:val="24"/>
          <w:szCs w:val="24"/>
        </w:rPr>
      </w:pPr>
    </w:p>
    <w:p w14:paraId="42B13245" w14:textId="211AA81E" w:rsidR="005B4A0C" w:rsidRPr="00330981" w:rsidRDefault="005B4A0C" w:rsidP="00DD6E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spacing w:before="240" w:line="264" w:lineRule="auto"/>
        <w:jc w:val="both"/>
        <w:rPr>
          <w:rFonts w:eastAsia="Arial Unicode MS" w:cs="Times New Roman"/>
          <w:color w:val="0D0D0D"/>
          <w:sz w:val="24"/>
          <w:szCs w:val="24"/>
          <w:lang w:eastAsia="fr-FR"/>
          <w14:textOutline w14:w="12700" w14:cap="flat" w14:cmpd="sng" w14:algn="ctr">
            <w14:noFill/>
            <w14:prstDash w14:val="solid"/>
            <w14:miter w14:lim="100000"/>
          </w14:textOutline>
        </w:rPr>
      </w:pPr>
      <w:r w:rsidRPr="00330981">
        <w:rPr>
          <w:rFonts w:eastAsia="Calibri" w:cs="Times New Roman"/>
          <w:color w:val="0D0D0D"/>
          <w:sz w:val="24"/>
          <w:szCs w:val="24"/>
        </w:rPr>
        <w:t xml:space="preserve">In subsequent judgments, the Court progressively developed more </w:t>
      </w:r>
      <w:r w:rsidR="00161B32" w:rsidRPr="00330981">
        <w:rPr>
          <w:rFonts w:eastAsia="Calibri" w:cs="Times New Roman"/>
          <w:color w:val="0D0D0D"/>
          <w:sz w:val="24"/>
          <w:szCs w:val="24"/>
        </w:rPr>
        <w:t>advanced</w:t>
      </w:r>
      <w:r w:rsidRPr="00330981">
        <w:rPr>
          <w:rFonts w:eastAsia="Calibri" w:cs="Times New Roman"/>
          <w:color w:val="0D0D0D"/>
          <w:sz w:val="24"/>
          <w:szCs w:val="24"/>
        </w:rPr>
        <w:t xml:space="preserve"> remedies beyond the right to invoke EU environmental provisions before national </w:t>
      </w:r>
      <w:r w:rsidR="00765E33" w:rsidRPr="00330981">
        <w:rPr>
          <w:rFonts w:eastAsia="Calibri" w:cs="Times New Roman"/>
          <w:color w:val="0D0D0D"/>
          <w:sz w:val="24"/>
          <w:szCs w:val="24"/>
        </w:rPr>
        <w:t>courts</w:t>
      </w:r>
      <w:r w:rsidRPr="00330981">
        <w:rPr>
          <w:rFonts w:eastAsia="Calibri" w:cs="Times New Roman"/>
          <w:color w:val="0D0D0D"/>
          <w:sz w:val="24"/>
          <w:szCs w:val="24"/>
        </w:rPr>
        <w:t xml:space="preserve">. It established, in particular, a right to bring judicial proceedings </w:t>
      </w:r>
      <w:r w:rsidR="00161B32" w:rsidRPr="00330981">
        <w:rPr>
          <w:rFonts w:eastAsia="Calibri" w:cs="Times New Roman"/>
          <w:color w:val="0D0D0D"/>
          <w:sz w:val="24"/>
          <w:szCs w:val="24"/>
        </w:rPr>
        <w:t>for</w:t>
      </w:r>
      <w:r w:rsidRPr="00330981">
        <w:rPr>
          <w:rFonts w:eastAsia="Calibri" w:cs="Times New Roman"/>
          <w:color w:val="0D0D0D"/>
          <w:sz w:val="24"/>
          <w:szCs w:val="24"/>
        </w:rPr>
        <w:t xml:space="preserve"> the enforcement of EU environmental provisions. </w:t>
      </w:r>
      <w:r w:rsidRPr="00330981">
        <w:rPr>
          <w:rFonts w:eastAsia="Calibri" w:cs="Times New Roman"/>
          <w:sz w:val="24"/>
          <w:szCs w:val="24"/>
        </w:rPr>
        <w:t>The following questions</w:t>
      </w:r>
      <w:r w:rsidR="00765E33" w:rsidRPr="00330981">
        <w:rPr>
          <w:rFonts w:eastAsia="Calibri" w:cs="Times New Roman"/>
          <w:sz w:val="24"/>
          <w:szCs w:val="24"/>
        </w:rPr>
        <w:t>, in particular,</w:t>
      </w:r>
      <w:r w:rsidRPr="00330981">
        <w:rPr>
          <w:rFonts w:eastAsia="Calibri" w:cs="Times New Roman"/>
          <w:sz w:val="24"/>
          <w:szCs w:val="24"/>
        </w:rPr>
        <w:t xml:space="preserve"> emerged: who should be entitled to initiate legal proceedings </w:t>
      </w:r>
      <w:r w:rsidR="00161B32" w:rsidRPr="00330981">
        <w:rPr>
          <w:rFonts w:eastAsia="Calibri" w:cs="Times New Roman"/>
          <w:sz w:val="24"/>
          <w:szCs w:val="24"/>
        </w:rPr>
        <w:t>regarding</w:t>
      </w:r>
      <w:r w:rsidRPr="00330981">
        <w:rPr>
          <w:rFonts w:eastAsia="Calibri" w:cs="Times New Roman"/>
          <w:sz w:val="24"/>
          <w:szCs w:val="24"/>
        </w:rPr>
        <w:t xml:space="preserve"> the enforcement of such provision? Should that entitlement </w:t>
      </w:r>
      <w:r w:rsidR="00161B32" w:rsidRPr="00330981">
        <w:rPr>
          <w:rFonts w:eastAsia="Calibri" w:cs="Times New Roman"/>
          <w:sz w:val="24"/>
          <w:szCs w:val="24"/>
        </w:rPr>
        <w:t>extend</w:t>
      </w:r>
      <w:r w:rsidRPr="00330981">
        <w:rPr>
          <w:rFonts w:eastAsia="Calibri" w:cs="Times New Roman"/>
          <w:sz w:val="24"/>
          <w:szCs w:val="24"/>
        </w:rPr>
        <w:t xml:space="preserve"> to “</w:t>
      </w:r>
      <w:r w:rsidRPr="00330981">
        <w:rPr>
          <w:rFonts w:eastAsia="Times New Roman" w:cs="Times New Roman"/>
          <w:color w:val="000000"/>
          <w:sz w:val="24"/>
          <w:szCs w:val="24"/>
          <w:lang w:eastAsia="fr-FR"/>
        </w:rPr>
        <w:t>any individual</w:t>
      </w:r>
      <w:r w:rsidRPr="00330981">
        <w:rPr>
          <w:rFonts w:eastAsia="Calibri" w:cs="Times New Roman"/>
          <w:sz w:val="24"/>
          <w:szCs w:val="24"/>
        </w:rPr>
        <w:t>” who seeks to challenge “</w:t>
      </w:r>
      <w:r w:rsidRPr="00330981">
        <w:rPr>
          <w:rFonts w:eastAsia="Times New Roman" w:cs="Times New Roman"/>
          <w:color w:val="000000"/>
          <w:sz w:val="24"/>
          <w:szCs w:val="24"/>
          <w:lang w:eastAsia="fr-FR"/>
        </w:rPr>
        <w:t>the legality of any decision or other national measure relative to the application to him [or her] of</w:t>
      </w:r>
      <w:r w:rsidRPr="00330981">
        <w:rPr>
          <w:rFonts w:eastAsia="Calibri" w:cs="Times New Roman"/>
          <w:sz w:val="24"/>
          <w:szCs w:val="24"/>
        </w:rPr>
        <w:t>” that EU provision?</w:t>
      </w:r>
      <w:r w:rsidRPr="00330981">
        <w:rPr>
          <w:rFonts w:eastAsia="Calibri" w:cs="Times New Roman"/>
          <w:sz w:val="24"/>
          <w:szCs w:val="24"/>
          <w:vertAlign w:val="superscript"/>
        </w:rPr>
        <w:footnoteReference w:id="19"/>
      </w:r>
      <w:r w:rsidRPr="00330981">
        <w:rPr>
          <w:rFonts w:eastAsia="Calibri" w:cs="Times New Roman"/>
          <w:sz w:val="24"/>
          <w:szCs w:val="24"/>
        </w:rPr>
        <w:t xml:space="preserve"> Or, in contrast, should </w:t>
      </w:r>
      <w:r w:rsidR="00161B32" w:rsidRPr="00330981">
        <w:rPr>
          <w:rFonts w:eastAsia="Calibri" w:cs="Times New Roman"/>
          <w:sz w:val="24"/>
          <w:szCs w:val="24"/>
        </w:rPr>
        <w:t>it be limited</w:t>
      </w:r>
      <w:r w:rsidRPr="00330981">
        <w:rPr>
          <w:rFonts w:eastAsia="Calibri" w:cs="Times New Roman"/>
          <w:sz w:val="24"/>
          <w:szCs w:val="24"/>
        </w:rPr>
        <w:t xml:space="preserve"> to a clearly identifiable individual or group of individuals?</w:t>
      </w:r>
      <w:r w:rsidRPr="00330981">
        <w:rPr>
          <w:rFonts w:eastAsia="Calibri" w:cs="Times New Roman"/>
          <w:sz w:val="24"/>
          <w:szCs w:val="24"/>
          <w:vertAlign w:val="superscript"/>
        </w:rPr>
        <w:footnoteReference w:id="20"/>
      </w:r>
      <w:r w:rsidRPr="00330981">
        <w:rPr>
          <w:rFonts w:eastAsia="Calibri" w:cs="Times New Roman"/>
          <w:sz w:val="24"/>
          <w:szCs w:val="24"/>
        </w:rPr>
        <w:t xml:space="preserve"> And if so, how should these individuals be identified amongst the general public?</w:t>
      </w:r>
      <w:r w:rsidRPr="00330981">
        <w:rPr>
          <w:rFonts w:eastAsia="Calibri" w:cs="Times New Roman"/>
          <w:color w:val="0D0D0D"/>
          <w:sz w:val="24"/>
          <w:szCs w:val="24"/>
        </w:rPr>
        <w:t xml:space="preserve"> </w:t>
      </w:r>
    </w:p>
    <w:p w14:paraId="22E26732" w14:textId="7F3C0C58" w:rsidR="005B4A0C" w:rsidRPr="00330981" w:rsidRDefault="00ED158F" w:rsidP="00DD6ED9">
      <w:pPr>
        <w:spacing w:line="264" w:lineRule="auto"/>
        <w:ind w:firstLine="284"/>
        <w:jc w:val="both"/>
        <w:rPr>
          <w:rFonts w:eastAsia="Times New Roman" w:cs="Times New Roman"/>
          <w:color w:val="0D0D0D"/>
          <w:sz w:val="24"/>
          <w:szCs w:val="24"/>
          <w:lang w:eastAsia="fr-FR"/>
        </w:rPr>
      </w:pPr>
      <w:r w:rsidRPr="00330981">
        <w:rPr>
          <w:rFonts w:eastAsia="Times New Roman" w:cs="Times New Roman"/>
          <w:color w:val="0D0D0D"/>
          <w:sz w:val="24"/>
          <w:szCs w:val="24"/>
          <w:lang w:eastAsia="fr-FR"/>
        </w:rPr>
        <w:t>A</w:t>
      </w:r>
      <w:r w:rsidR="005B4A0C" w:rsidRPr="00330981">
        <w:rPr>
          <w:rFonts w:eastAsia="Times New Roman" w:cs="Times New Roman"/>
          <w:color w:val="0D0D0D"/>
          <w:sz w:val="24"/>
          <w:szCs w:val="24"/>
          <w:lang w:eastAsia="fr-FR"/>
        </w:rPr>
        <w:t xml:space="preserve"> significant </w:t>
      </w:r>
      <w:proofErr w:type="spellStart"/>
      <w:r w:rsidR="005B4A0C" w:rsidRPr="00330981">
        <w:rPr>
          <w:rFonts w:eastAsia="Times New Roman" w:cs="Times New Roman"/>
          <w:color w:val="0D0D0D"/>
          <w:sz w:val="24"/>
          <w:szCs w:val="24"/>
          <w:lang w:eastAsia="fr-FR"/>
        </w:rPr>
        <w:t>chunck</w:t>
      </w:r>
      <w:proofErr w:type="spellEnd"/>
      <w:r w:rsidR="005B4A0C" w:rsidRPr="00330981">
        <w:rPr>
          <w:rFonts w:eastAsia="Times New Roman" w:cs="Times New Roman"/>
          <w:color w:val="0D0D0D"/>
          <w:sz w:val="24"/>
          <w:szCs w:val="24"/>
          <w:lang w:eastAsia="fr-FR"/>
        </w:rPr>
        <w:t xml:space="preserve"> of the relevant case-law to date </w:t>
      </w:r>
      <w:r w:rsidR="00161B32" w:rsidRPr="00330981">
        <w:rPr>
          <w:rFonts w:eastAsia="Times New Roman" w:cs="Times New Roman"/>
          <w:color w:val="0D0D0D"/>
          <w:sz w:val="24"/>
          <w:szCs w:val="24"/>
          <w:lang w:eastAsia="fr-FR"/>
        </w:rPr>
        <w:t xml:space="preserve">has </w:t>
      </w:r>
      <w:r w:rsidR="005B4A0C" w:rsidRPr="00330981">
        <w:rPr>
          <w:rFonts w:eastAsia="Times New Roman" w:cs="Times New Roman"/>
          <w:color w:val="0D0D0D"/>
          <w:sz w:val="24"/>
          <w:szCs w:val="24"/>
          <w:lang w:eastAsia="fr-FR"/>
        </w:rPr>
        <w:t xml:space="preserve">revolved around the capacity of environmental NGOs to bring national authorities to court for their failure to comply with EU </w:t>
      </w:r>
      <w:r w:rsidR="005B4A0C" w:rsidRPr="00330981">
        <w:rPr>
          <w:rFonts w:eastAsia="Times New Roman" w:cs="Times New Roman"/>
          <w:color w:val="0D0D0D"/>
          <w:sz w:val="24"/>
          <w:szCs w:val="24"/>
          <w:lang w:eastAsia="fr-FR"/>
        </w:rPr>
        <w:lastRenderedPageBreak/>
        <w:t>environmental standards.</w:t>
      </w:r>
      <w:r w:rsidR="005C7996" w:rsidRPr="00330981">
        <w:rPr>
          <w:rStyle w:val="FootnoteReference"/>
          <w:rFonts w:eastAsia="Times New Roman" w:cs="Times New Roman"/>
          <w:color w:val="0D0D0D"/>
          <w:sz w:val="24"/>
          <w:szCs w:val="24"/>
          <w:lang w:eastAsia="fr-FR"/>
        </w:rPr>
        <w:footnoteReference w:id="21"/>
      </w:r>
      <w:r w:rsidR="005B4A0C" w:rsidRPr="00330981">
        <w:rPr>
          <w:rFonts w:eastAsia="Times New Roman" w:cs="Times New Roman"/>
          <w:color w:val="0D0D0D"/>
          <w:sz w:val="24"/>
          <w:szCs w:val="24"/>
          <w:lang w:eastAsia="fr-FR"/>
        </w:rPr>
        <w:t xml:space="preserve"> </w:t>
      </w:r>
      <w:r w:rsidR="00765E33" w:rsidRPr="00330981">
        <w:rPr>
          <w:rFonts w:eastAsia="Times New Roman" w:cs="Times New Roman"/>
          <w:color w:val="0D0D0D"/>
          <w:sz w:val="24"/>
          <w:szCs w:val="24"/>
          <w:lang w:eastAsia="fr-FR"/>
        </w:rPr>
        <w:t xml:space="preserve">In this context, </w:t>
      </w:r>
      <w:proofErr w:type="spellStart"/>
      <w:r w:rsidR="00765E33" w:rsidRPr="00330981">
        <w:rPr>
          <w:rFonts w:eastAsia="Times New Roman" w:cs="Times New Roman"/>
          <w:sz w:val="24"/>
          <w:szCs w:val="24"/>
          <w:lang w:eastAsia="fr-FR"/>
        </w:rPr>
        <w:t>t</w:t>
      </w:r>
      <w:r w:rsidR="005B4A0C" w:rsidRPr="00330981">
        <w:rPr>
          <w:rFonts w:eastAsia="Times New Roman" w:cs="Times New Roman"/>
          <w:sz w:val="24"/>
          <w:szCs w:val="24"/>
          <w:lang w:eastAsia="fr-FR"/>
        </w:rPr>
        <w:t>heAarhus</w:t>
      </w:r>
      <w:proofErr w:type="spellEnd"/>
      <w:r w:rsidR="005B4A0C" w:rsidRPr="00330981">
        <w:rPr>
          <w:rFonts w:eastAsia="Times New Roman" w:cs="Times New Roman"/>
          <w:sz w:val="24"/>
          <w:szCs w:val="24"/>
          <w:lang w:eastAsia="fr-FR"/>
        </w:rPr>
        <w:t xml:space="preserve"> Convention has been relied upon as a source of guidance to develop detailed standing requirements for NGOs. </w:t>
      </w:r>
      <w:r w:rsidR="00765E33" w:rsidRPr="00330981">
        <w:rPr>
          <w:rFonts w:eastAsia="Times New Roman" w:cs="Times New Roman"/>
          <w:sz w:val="24"/>
          <w:szCs w:val="24"/>
          <w:lang w:eastAsia="fr-FR"/>
        </w:rPr>
        <w:t>At this point, i</w:t>
      </w:r>
      <w:r w:rsidR="005C7996" w:rsidRPr="00330981">
        <w:rPr>
          <w:rFonts w:eastAsia="Times New Roman" w:cs="Times New Roman"/>
          <w:color w:val="0D0D0D"/>
          <w:sz w:val="24"/>
          <w:szCs w:val="24"/>
          <w:lang w:eastAsia="fr-FR"/>
        </w:rPr>
        <w:t>t</w:t>
      </w:r>
      <w:r w:rsidR="005B4A0C" w:rsidRPr="00330981">
        <w:rPr>
          <w:rFonts w:eastAsia="Times New Roman" w:cs="Times New Roman"/>
          <w:sz w:val="24"/>
          <w:szCs w:val="24"/>
          <w:lang w:eastAsia="fr-FR"/>
        </w:rPr>
        <w:t xml:space="preserve"> is useful to re</w:t>
      </w:r>
      <w:r w:rsidR="00765E33" w:rsidRPr="00330981">
        <w:rPr>
          <w:rFonts w:eastAsia="Times New Roman" w:cs="Times New Roman"/>
          <w:sz w:val="24"/>
          <w:szCs w:val="24"/>
          <w:lang w:eastAsia="fr-FR"/>
        </w:rPr>
        <w:t>mind</w:t>
      </w:r>
      <w:r w:rsidR="005B4A0C" w:rsidRPr="00330981">
        <w:rPr>
          <w:rFonts w:eastAsia="Times New Roman" w:cs="Times New Roman"/>
          <w:sz w:val="24"/>
          <w:szCs w:val="24"/>
          <w:lang w:eastAsia="fr-FR"/>
        </w:rPr>
        <w:t xml:space="preserve"> that the Convention spells out detailed access</w:t>
      </w:r>
      <w:r w:rsidR="00765E33" w:rsidRPr="00330981">
        <w:rPr>
          <w:rFonts w:eastAsia="Times New Roman" w:cs="Times New Roman"/>
          <w:sz w:val="24"/>
          <w:szCs w:val="24"/>
          <w:lang w:eastAsia="fr-FR"/>
        </w:rPr>
        <w:t xml:space="preserve"> </w:t>
      </w:r>
      <w:r w:rsidR="005B4A0C" w:rsidRPr="00330981">
        <w:rPr>
          <w:rFonts w:eastAsia="Times New Roman" w:cs="Times New Roman"/>
          <w:sz w:val="24"/>
          <w:szCs w:val="24"/>
          <w:lang w:eastAsia="fr-FR"/>
        </w:rPr>
        <w:t>to</w:t>
      </w:r>
      <w:r w:rsidR="00765E33" w:rsidRPr="00330981">
        <w:rPr>
          <w:rFonts w:eastAsia="Times New Roman" w:cs="Times New Roman"/>
          <w:sz w:val="24"/>
          <w:szCs w:val="24"/>
          <w:lang w:eastAsia="fr-FR"/>
        </w:rPr>
        <w:t xml:space="preserve"> </w:t>
      </w:r>
      <w:r w:rsidR="005B4A0C" w:rsidRPr="00330981">
        <w:rPr>
          <w:rFonts w:eastAsia="Times New Roman" w:cs="Times New Roman"/>
          <w:sz w:val="24"/>
          <w:szCs w:val="24"/>
          <w:lang w:eastAsia="fr-FR"/>
        </w:rPr>
        <w:t>justice requirements for individuals and legal persons affected by breach</w:t>
      </w:r>
      <w:r w:rsidR="00161B32" w:rsidRPr="00330981">
        <w:rPr>
          <w:rFonts w:eastAsia="Times New Roman" w:cs="Times New Roman"/>
          <w:sz w:val="24"/>
          <w:szCs w:val="24"/>
          <w:lang w:eastAsia="fr-FR"/>
        </w:rPr>
        <w:t>es</w:t>
      </w:r>
      <w:r w:rsidR="005B4A0C" w:rsidRPr="00330981">
        <w:rPr>
          <w:rFonts w:eastAsia="Times New Roman" w:cs="Times New Roman"/>
          <w:sz w:val="24"/>
          <w:szCs w:val="24"/>
          <w:lang w:eastAsia="fr-FR"/>
        </w:rPr>
        <w:t xml:space="preserve"> of environmental law. It states in peremptory terms, in Articles 2(5) and 9(2)-(3), that environmental NGOs must be granted access to justice</w:t>
      </w:r>
      <w:r w:rsidRPr="00330981">
        <w:rPr>
          <w:rFonts w:eastAsia="Times New Roman" w:cs="Times New Roman"/>
          <w:sz w:val="24"/>
          <w:szCs w:val="24"/>
          <w:lang w:eastAsia="fr-FR"/>
        </w:rPr>
        <w:t xml:space="preserve">, </w:t>
      </w:r>
      <w:r w:rsidR="005B4A0C" w:rsidRPr="00330981">
        <w:rPr>
          <w:rFonts w:eastAsia="Times New Roman" w:cs="Times New Roman"/>
          <w:sz w:val="24"/>
          <w:szCs w:val="24"/>
          <w:lang w:eastAsia="fr-FR"/>
        </w:rPr>
        <w:t xml:space="preserve">provided </w:t>
      </w:r>
      <w:r w:rsidR="00161B32" w:rsidRPr="00330981">
        <w:rPr>
          <w:rFonts w:eastAsia="Times New Roman" w:cs="Times New Roman"/>
          <w:sz w:val="24"/>
          <w:szCs w:val="24"/>
          <w:lang w:eastAsia="fr-FR"/>
        </w:rPr>
        <w:t xml:space="preserve">that </w:t>
      </w:r>
      <w:r w:rsidR="005B4A0C" w:rsidRPr="00330981">
        <w:rPr>
          <w:rFonts w:eastAsia="Times New Roman" w:cs="Times New Roman"/>
          <w:sz w:val="24"/>
          <w:szCs w:val="24"/>
          <w:lang w:eastAsia="fr-FR"/>
        </w:rPr>
        <w:t xml:space="preserve">they </w:t>
      </w:r>
      <w:r w:rsidR="00161B32" w:rsidRPr="00330981">
        <w:rPr>
          <w:rFonts w:eastAsia="Times New Roman" w:cs="Times New Roman"/>
          <w:sz w:val="24"/>
          <w:szCs w:val="24"/>
          <w:lang w:eastAsia="fr-FR"/>
        </w:rPr>
        <w:t>meet</w:t>
      </w:r>
      <w:r w:rsidR="005B4A0C" w:rsidRPr="00330981">
        <w:rPr>
          <w:rFonts w:eastAsia="Times New Roman" w:cs="Times New Roman"/>
          <w:sz w:val="24"/>
          <w:szCs w:val="24"/>
          <w:lang w:eastAsia="fr-FR"/>
        </w:rPr>
        <w:t xml:space="preserve"> </w:t>
      </w:r>
      <w:r w:rsidRPr="00330981">
        <w:rPr>
          <w:rFonts w:eastAsia="Times New Roman" w:cs="Times New Roman"/>
          <w:sz w:val="24"/>
          <w:szCs w:val="24"/>
          <w:lang w:eastAsia="fr-FR"/>
        </w:rPr>
        <w:t>certain</w:t>
      </w:r>
      <w:r w:rsidR="005B4A0C" w:rsidRPr="00330981">
        <w:rPr>
          <w:rFonts w:eastAsia="Times New Roman" w:cs="Times New Roman"/>
          <w:sz w:val="24"/>
          <w:szCs w:val="24"/>
          <w:lang w:eastAsia="fr-FR"/>
        </w:rPr>
        <w:t xml:space="preserve"> requirements</w:t>
      </w:r>
      <w:r w:rsidRPr="00330981">
        <w:rPr>
          <w:rFonts w:eastAsia="Times New Roman" w:cs="Times New Roman"/>
          <w:sz w:val="24"/>
          <w:szCs w:val="24"/>
          <w:lang w:eastAsia="fr-FR"/>
        </w:rPr>
        <w:t xml:space="preserve">. </w:t>
      </w:r>
      <w:r w:rsidR="00161B32" w:rsidRPr="00330981">
        <w:rPr>
          <w:rFonts w:eastAsia="Times New Roman" w:cs="Times New Roman"/>
          <w:sz w:val="24"/>
          <w:szCs w:val="24"/>
          <w:lang w:eastAsia="fr-FR"/>
        </w:rPr>
        <w:t>However, t</w:t>
      </w:r>
      <w:r w:rsidRPr="00330981">
        <w:rPr>
          <w:rFonts w:eastAsia="Times New Roman" w:cs="Times New Roman"/>
          <w:sz w:val="24"/>
          <w:szCs w:val="24"/>
          <w:lang w:eastAsia="fr-FR"/>
        </w:rPr>
        <w:t>he</w:t>
      </w:r>
      <w:r w:rsidR="005B4A0C" w:rsidRPr="00330981">
        <w:rPr>
          <w:rFonts w:eastAsia="Times New Roman" w:cs="Times New Roman"/>
          <w:color w:val="0D0D0D"/>
          <w:sz w:val="24"/>
          <w:szCs w:val="24"/>
          <w:lang w:eastAsia="fr-FR"/>
        </w:rPr>
        <w:t xml:space="preserve"> EU has failed to harmonise the right of access to justice guaranteed by the Convention in a comprehensive and cross-cutting manner.</w:t>
      </w:r>
      <w:r w:rsidR="005B4A0C" w:rsidRPr="00330981">
        <w:rPr>
          <w:rFonts w:eastAsia="Times New Roman" w:cs="Times New Roman"/>
          <w:color w:val="0D0D0D"/>
          <w:sz w:val="24"/>
          <w:szCs w:val="24"/>
          <w:vertAlign w:val="superscript"/>
          <w:lang w:eastAsia="fr-FR"/>
        </w:rPr>
        <w:footnoteReference w:id="22"/>
      </w:r>
      <w:r w:rsidR="005B4A0C" w:rsidRPr="00330981">
        <w:rPr>
          <w:rFonts w:eastAsia="Times New Roman" w:cs="Times New Roman"/>
          <w:color w:val="0D0D0D"/>
          <w:sz w:val="24"/>
          <w:szCs w:val="24"/>
          <w:lang w:eastAsia="fr-FR"/>
        </w:rPr>
        <w:t xml:space="preserve"> In the absence of common rules, the discretion retained by the Member States was limited by the right to an effective judicial remedy </w:t>
      </w:r>
      <w:r w:rsidR="00161B32" w:rsidRPr="00330981">
        <w:rPr>
          <w:rFonts w:eastAsia="Times New Roman" w:cs="Times New Roman"/>
          <w:color w:val="0D0D0D"/>
          <w:sz w:val="24"/>
          <w:szCs w:val="24"/>
          <w:lang w:eastAsia="fr-FR"/>
        </w:rPr>
        <w:t>under</w:t>
      </w:r>
      <w:r w:rsidR="005B4A0C" w:rsidRPr="00330981">
        <w:rPr>
          <w:rFonts w:eastAsia="Times New Roman" w:cs="Times New Roman"/>
          <w:color w:val="0D0D0D"/>
          <w:sz w:val="24"/>
          <w:szCs w:val="24"/>
          <w:lang w:eastAsia="fr-FR"/>
        </w:rPr>
        <w:t xml:space="preserve"> Article 47 of the Charter. </w:t>
      </w:r>
      <w:r w:rsidR="00161B32" w:rsidRPr="008D2F4A">
        <w:rPr>
          <w:rFonts w:eastAsia="Aptos" w:cs="Times New Roman"/>
          <w:sz w:val="24"/>
          <w:szCs w:val="24"/>
          <w:lang w:eastAsia="fr-FR"/>
        </w:rPr>
        <w:t>Based on</w:t>
      </w:r>
      <w:r w:rsidR="005B4A0C" w:rsidRPr="008D2F4A">
        <w:rPr>
          <w:rFonts w:eastAsia="Aptos" w:cs="Times New Roman"/>
          <w:sz w:val="24"/>
          <w:szCs w:val="24"/>
          <w:lang w:eastAsia="fr-FR"/>
        </w:rPr>
        <w:t xml:space="preserve"> Article 47 of the Charter, interpreted in the light of </w:t>
      </w:r>
      <w:r w:rsidR="00231A76" w:rsidRPr="008D2F4A">
        <w:rPr>
          <w:rFonts w:eastAsia="Aptos" w:cs="Times New Roman"/>
          <w:sz w:val="24"/>
          <w:szCs w:val="24"/>
          <w:lang w:eastAsia="fr-FR"/>
        </w:rPr>
        <w:t xml:space="preserve">Articles 2(5) and 9(2)-(3) of </w:t>
      </w:r>
      <w:r w:rsidR="005B4A0C" w:rsidRPr="008D2F4A">
        <w:rPr>
          <w:rFonts w:eastAsia="Aptos" w:cs="Times New Roman"/>
          <w:sz w:val="24"/>
          <w:szCs w:val="24"/>
          <w:lang w:eastAsia="fr-FR"/>
        </w:rPr>
        <w:t>the Convention, the Court instructed the Member States to grant standing</w:t>
      </w:r>
      <w:r w:rsidR="00765E33" w:rsidRPr="008D2F4A">
        <w:rPr>
          <w:rFonts w:eastAsia="Aptos" w:cs="Times New Roman"/>
          <w:sz w:val="24"/>
          <w:szCs w:val="24"/>
          <w:lang w:eastAsia="fr-FR"/>
        </w:rPr>
        <w:t>, to the fullest extent possible,</w:t>
      </w:r>
      <w:r w:rsidR="005B4A0C" w:rsidRPr="008D2F4A">
        <w:rPr>
          <w:rFonts w:eastAsia="Aptos" w:cs="Times New Roman"/>
          <w:sz w:val="24"/>
          <w:szCs w:val="24"/>
          <w:lang w:eastAsia="fr-FR"/>
        </w:rPr>
        <w:t xml:space="preserve"> to environmental NGOs in the domestic enforcement of EU environmental law.</w:t>
      </w:r>
      <w:r w:rsidR="005B4A0C" w:rsidRPr="008D2F4A">
        <w:rPr>
          <w:rFonts w:eastAsia="Aptos" w:cs="Times New Roman"/>
          <w:sz w:val="24"/>
          <w:szCs w:val="24"/>
          <w:vertAlign w:val="superscript"/>
          <w:lang w:eastAsia="fr-FR"/>
        </w:rPr>
        <w:footnoteReference w:id="23"/>
      </w:r>
      <w:r w:rsidR="005B4A0C" w:rsidRPr="008D2F4A">
        <w:rPr>
          <w:rFonts w:eastAsia="Aptos" w:cs="Times New Roman"/>
          <w:sz w:val="24"/>
          <w:szCs w:val="24"/>
          <w:lang w:eastAsia="fr-FR"/>
        </w:rPr>
        <w:t xml:space="preserve"> </w:t>
      </w:r>
    </w:p>
    <w:p w14:paraId="629DB2BE" w14:textId="4F068955" w:rsidR="005B4A0C" w:rsidRPr="00330981" w:rsidRDefault="0064250B" w:rsidP="00DD6ED9">
      <w:pPr>
        <w:spacing w:line="264" w:lineRule="auto"/>
        <w:ind w:firstLine="284"/>
        <w:jc w:val="both"/>
        <w:rPr>
          <w:rFonts w:eastAsia="Calibri" w:cs="Times New Roman"/>
          <w:color w:val="0D0D0D"/>
          <w:sz w:val="24"/>
          <w:szCs w:val="24"/>
        </w:rPr>
      </w:pPr>
      <w:r w:rsidRPr="00330981">
        <w:rPr>
          <w:rFonts w:eastAsia="Calibri" w:cs="Times New Roman"/>
          <w:color w:val="0D0D0D"/>
          <w:sz w:val="24"/>
          <w:szCs w:val="24"/>
        </w:rPr>
        <w:t>T</w:t>
      </w:r>
      <w:r w:rsidR="005B4A0C" w:rsidRPr="00330981">
        <w:rPr>
          <w:rFonts w:eastAsia="Calibri" w:cs="Times New Roman"/>
          <w:color w:val="0D0D0D"/>
          <w:sz w:val="24"/>
          <w:szCs w:val="24"/>
        </w:rPr>
        <w:t xml:space="preserve">he class of individuals </w:t>
      </w:r>
      <w:r w:rsidR="00161B32" w:rsidRPr="00330981">
        <w:rPr>
          <w:rFonts w:eastAsia="Calibri" w:cs="Times New Roman"/>
          <w:color w:val="0D0D0D"/>
          <w:sz w:val="24"/>
          <w:szCs w:val="24"/>
        </w:rPr>
        <w:t>entitled to</w:t>
      </w:r>
      <w:r w:rsidR="005B4A0C" w:rsidRPr="00330981">
        <w:rPr>
          <w:rFonts w:eastAsia="Calibri" w:cs="Times New Roman"/>
          <w:color w:val="0D0D0D"/>
          <w:sz w:val="24"/>
          <w:szCs w:val="24"/>
        </w:rPr>
        <w:t xml:space="preserve"> access to justice in relation to the enforcement of EU environmental provisions</w:t>
      </w:r>
      <w:r w:rsidRPr="00330981">
        <w:rPr>
          <w:rFonts w:eastAsia="Calibri" w:cs="Times New Roman"/>
          <w:color w:val="0D0D0D"/>
          <w:sz w:val="24"/>
          <w:szCs w:val="24"/>
        </w:rPr>
        <w:t xml:space="preserve"> was the subject matter of several rulings</w:t>
      </w:r>
      <w:r w:rsidR="005B4A0C" w:rsidRPr="00330981">
        <w:rPr>
          <w:rFonts w:eastAsia="Calibri" w:cs="Times New Roman"/>
          <w:color w:val="0D0D0D"/>
          <w:sz w:val="24"/>
          <w:szCs w:val="24"/>
        </w:rPr>
        <w:t xml:space="preserve">. In </w:t>
      </w:r>
      <w:r w:rsidR="005B4A0C" w:rsidRPr="00330981">
        <w:rPr>
          <w:rFonts w:eastAsia="Calibri" w:cs="Times New Roman"/>
          <w:i/>
          <w:iCs/>
          <w:color w:val="0D0D0D"/>
          <w:sz w:val="24"/>
          <w:szCs w:val="24"/>
        </w:rPr>
        <w:t>Janecek</w:t>
      </w:r>
      <w:r w:rsidR="005B4A0C" w:rsidRPr="00330981">
        <w:rPr>
          <w:rFonts w:eastAsia="Calibri" w:cs="Times New Roman"/>
          <w:color w:val="0D0D0D"/>
          <w:sz w:val="24"/>
          <w:szCs w:val="24"/>
        </w:rPr>
        <w:t>,</w:t>
      </w:r>
      <w:r w:rsidR="005B4A0C" w:rsidRPr="00330981">
        <w:rPr>
          <w:rFonts w:eastAsia="Calibri" w:cs="Times New Roman"/>
          <w:color w:val="0D0D0D"/>
          <w:sz w:val="24"/>
          <w:szCs w:val="24"/>
          <w:vertAlign w:val="superscript"/>
        </w:rPr>
        <w:footnoteReference w:id="24"/>
      </w:r>
      <w:r w:rsidR="005B4A0C" w:rsidRPr="00330981">
        <w:rPr>
          <w:rFonts w:eastAsia="Calibri" w:cs="Times New Roman"/>
          <w:color w:val="0D0D0D"/>
          <w:sz w:val="24"/>
          <w:szCs w:val="24"/>
        </w:rPr>
        <w:t xml:space="preserve"> the Court was </w:t>
      </w:r>
      <w:r w:rsidR="00231A76" w:rsidRPr="00330981">
        <w:rPr>
          <w:rFonts w:eastAsia="Calibri" w:cs="Times New Roman"/>
          <w:color w:val="0D0D0D"/>
          <w:sz w:val="24"/>
          <w:szCs w:val="24"/>
        </w:rPr>
        <w:t>asked by the referring court to clarify</w:t>
      </w:r>
      <w:r w:rsidR="005B4A0C" w:rsidRPr="00330981">
        <w:rPr>
          <w:rFonts w:eastAsia="Calibri" w:cs="Times New Roman"/>
          <w:color w:val="0D0D0D"/>
          <w:sz w:val="24"/>
          <w:szCs w:val="24"/>
        </w:rPr>
        <w:t xml:space="preserve"> whether individuals could derive an actionable right from the obligation to set up air quality plans in the event the limit values in the Air Quality Directive</w:t>
      </w:r>
      <w:r w:rsidR="00161B32" w:rsidRPr="00330981">
        <w:rPr>
          <w:rFonts w:eastAsia="Calibri" w:cs="Times New Roman"/>
          <w:color w:val="0D0D0D"/>
          <w:sz w:val="24"/>
          <w:szCs w:val="24"/>
        </w:rPr>
        <w:t xml:space="preserve"> were exceeded</w:t>
      </w:r>
      <w:r w:rsidR="005B4A0C" w:rsidRPr="00330981">
        <w:rPr>
          <w:rFonts w:eastAsia="Calibri" w:cs="Times New Roman"/>
          <w:color w:val="0D0D0D"/>
          <w:sz w:val="24"/>
          <w:szCs w:val="24"/>
        </w:rPr>
        <w:t xml:space="preserve">. In the main proceedings, the city of Munich had failed to secure compliance with the limit values </w:t>
      </w:r>
      <w:r w:rsidR="00161B32" w:rsidRPr="00330981">
        <w:rPr>
          <w:rFonts w:eastAsia="Calibri" w:cs="Times New Roman"/>
          <w:color w:val="0D0D0D"/>
          <w:sz w:val="24"/>
          <w:szCs w:val="24"/>
        </w:rPr>
        <w:t>for</w:t>
      </w:r>
      <w:r w:rsidR="005B4A0C" w:rsidRPr="00330981">
        <w:rPr>
          <w:rFonts w:eastAsia="Calibri" w:cs="Times New Roman"/>
          <w:color w:val="0D0D0D"/>
          <w:sz w:val="24"/>
          <w:szCs w:val="24"/>
        </w:rPr>
        <w:t xml:space="preserve"> particulate matter </w:t>
      </w:r>
      <w:r w:rsidR="00161B32" w:rsidRPr="00330981">
        <w:rPr>
          <w:rFonts w:eastAsia="Calibri" w:cs="Times New Roman"/>
          <w:color w:val="0D0D0D"/>
          <w:sz w:val="24"/>
          <w:szCs w:val="24"/>
        </w:rPr>
        <w:t>(</w:t>
      </w:r>
      <w:r w:rsidR="005B4A0C" w:rsidRPr="00330981">
        <w:rPr>
          <w:rFonts w:eastAsia="Calibri" w:cs="Times New Roman"/>
          <w:color w:val="0D0D0D"/>
          <w:sz w:val="24"/>
          <w:szCs w:val="24"/>
        </w:rPr>
        <w:t>PM10</w:t>
      </w:r>
      <w:r w:rsidR="00161B32" w:rsidRPr="00330981">
        <w:rPr>
          <w:rFonts w:eastAsia="Calibri" w:cs="Times New Roman"/>
          <w:color w:val="0D0D0D"/>
          <w:sz w:val="24"/>
          <w:szCs w:val="24"/>
        </w:rPr>
        <w:t>) set out by the Directive</w:t>
      </w:r>
      <w:r w:rsidR="005B4A0C" w:rsidRPr="00330981">
        <w:rPr>
          <w:rFonts w:eastAsia="Calibri" w:cs="Times New Roman"/>
          <w:color w:val="0D0D0D"/>
          <w:sz w:val="24"/>
          <w:szCs w:val="24"/>
        </w:rPr>
        <w:t xml:space="preserve">. The applicant, Mr. Janecek, wished to obtain a judicial order requiring the city of Munich to draw up an air quality action plan to put an end to repeated exceedances of </w:t>
      </w:r>
      <w:r w:rsidR="0041399C" w:rsidRPr="00330981">
        <w:rPr>
          <w:rFonts w:eastAsia="Calibri" w:cs="Times New Roman"/>
          <w:color w:val="0D0D0D"/>
          <w:sz w:val="24"/>
          <w:szCs w:val="24"/>
        </w:rPr>
        <w:t xml:space="preserve">the </w:t>
      </w:r>
      <w:r w:rsidR="005B4A0C" w:rsidRPr="00330981">
        <w:rPr>
          <w:rFonts w:eastAsia="Calibri" w:cs="Times New Roman"/>
          <w:color w:val="0D0D0D"/>
          <w:sz w:val="24"/>
          <w:szCs w:val="24"/>
        </w:rPr>
        <w:t xml:space="preserve">limit values. The referring court expressed doubts about whether Mr. Janecek could derive a personal right to have an action plan drawn up </w:t>
      </w:r>
      <w:r w:rsidR="0041399C" w:rsidRPr="00330981">
        <w:rPr>
          <w:rFonts w:eastAsia="Calibri" w:cs="Times New Roman"/>
          <w:color w:val="0D0D0D"/>
          <w:sz w:val="24"/>
          <w:szCs w:val="24"/>
        </w:rPr>
        <w:t>based on</w:t>
      </w:r>
      <w:r w:rsidR="005B4A0C" w:rsidRPr="00330981">
        <w:rPr>
          <w:rFonts w:eastAsia="Calibri" w:cs="Times New Roman"/>
          <w:color w:val="0D0D0D"/>
          <w:sz w:val="24"/>
          <w:szCs w:val="24"/>
        </w:rPr>
        <w:t xml:space="preserve"> the Air Quality Directive. </w:t>
      </w:r>
      <w:r w:rsidR="0041399C" w:rsidRPr="00330981">
        <w:rPr>
          <w:rFonts w:eastAsia="Calibri" w:cs="Times New Roman"/>
          <w:color w:val="0D0D0D"/>
          <w:sz w:val="24"/>
          <w:szCs w:val="24"/>
        </w:rPr>
        <w:t>According to</w:t>
      </w:r>
      <w:r w:rsidR="005B4A0C" w:rsidRPr="00330981">
        <w:rPr>
          <w:rFonts w:eastAsia="Calibri" w:cs="Times New Roman"/>
          <w:color w:val="0D0D0D"/>
          <w:sz w:val="24"/>
          <w:szCs w:val="24"/>
        </w:rPr>
        <w:t xml:space="preserve"> the German </w:t>
      </w:r>
      <w:proofErr w:type="spellStart"/>
      <w:r w:rsidR="005B4A0C" w:rsidRPr="00330981">
        <w:rPr>
          <w:rFonts w:eastAsia="Calibri" w:cs="Times New Roman"/>
          <w:i/>
          <w:iCs/>
          <w:color w:val="0D0D0D"/>
          <w:sz w:val="24"/>
          <w:szCs w:val="24"/>
        </w:rPr>
        <w:t>Schutznorm</w:t>
      </w:r>
      <w:proofErr w:type="spellEnd"/>
      <w:r w:rsidR="005B4A0C" w:rsidRPr="00330981">
        <w:rPr>
          <w:rFonts w:eastAsia="Calibri" w:cs="Times New Roman"/>
          <w:color w:val="0D0D0D"/>
          <w:sz w:val="24"/>
          <w:szCs w:val="24"/>
        </w:rPr>
        <w:t xml:space="preserve"> doctrine, it seemed impossible to derive subjective rights </w:t>
      </w:r>
      <w:r w:rsidR="0041399C" w:rsidRPr="00330981">
        <w:rPr>
          <w:rFonts w:eastAsia="Calibri" w:cs="Times New Roman"/>
          <w:color w:val="0D0D0D"/>
          <w:sz w:val="24"/>
          <w:szCs w:val="24"/>
        </w:rPr>
        <w:t>that could be enforced</w:t>
      </w:r>
      <w:r w:rsidR="005B4A0C" w:rsidRPr="00330981">
        <w:rPr>
          <w:rFonts w:eastAsia="Calibri" w:cs="Times New Roman"/>
          <w:color w:val="0D0D0D"/>
          <w:sz w:val="24"/>
          <w:szCs w:val="24"/>
        </w:rPr>
        <w:t xml:space="preserve"> in national judicial proceedings based on this provision.</w:t>
      </w:r>
      <w:r w:rsidR="005B4A0C" w:rsidRPr="00330981">
        <w:rPr>
          <w:rFonts w:eastAsia="Calibri" w:cs="Times New Roman"/>
          <w:color w:val="0D0D0D"/>
          <w:sz w:val="24"/>
          <w:szCs w:val="24"/>
          <w:vertAlign w:val="superscript"/>
        </w:rPr>
        <w:footnoteReference w:id="25"/>
      </w:r>
      <w:r w:rsidR="005B4A0C" w:rsidRPr="00330981">
        <w:rPr>
          <w:rFonts w:eastAsia="Calibri" w:cs="Times New Roman"/>
          <w:color w:val="0D0D0D"/>
          <w:sz w:val="24"/>
          <w:szCs w:val="24"/>
        </w:rPr>
        <w:t xml:space="preserve"> In </w:t>
      </w:r>
      <w:r w:rsidR="0041399C" w:rsidRPr="00330981">
        <w:rPr>
          <w:rFonts w:eastAsia="Calibri" w:cs="Times New Roman"/>
          <w:color w:val="0D0D0D"/>
          <w:sz w:val="24"/>
          <w:szCs w:val="24"/>
        </w:rPr>
        <w:t>this</w:t>
      </w:r>
      <w:r w:rsidR="005B4A0C" w:rsidRPr="00330981">
        <w:rPr>
          <w:rFonts w:eastAsia="Calibri" w:cs="Times New Roman"/>
          <w:color w:val="0D0D0D"/>
          <w:sz w:val="24"/>
          <w:szCs w:val="24"/>
        </w:rPr>
        <w:t xml:space="preserve"> context, the Court ruled that “the natural or legal persons directly concerned” by </w:t>
      </w:r>
      <w:r w:rsidR="0041399C" w:rsidRPr="00330981">
        <w:rPr>
          <w:rFonts w:eastAsia="Calibri" w:cs="Times New Roman"/>
          <w:color w:val="0D0D0D"/>
          <w:sz w:val="24"/>
          <w:szCs w:val="24"/>
        </w:rPr>
        <w:t>the</w:t>
      </w:r>
      <w:r w:rsidR="005B4A0C" w:rsidRPr="00330981">
        <w:rPr>
          <w:rFonts w:eastAsia="Calibri" w:cs="Times New Roman"/>
          <w:color w:val="0D0D0D"/>
          <w:sz w:val="24"/>
          <w:szCs w:val="24"/>
        </w:rPr>
        <w:t xml:space="preserve"> exceedance of limit values and alert thresholds </w:t>
      </w:r>
      <w:r w:rsidR="0041399C" w:rsidRPr="00330981">
        <w:rPr>
          <w:rFonts w:eastAsia="Calibri" w:cs="Times New Roman"/>
          <w:color w:val="0D0D0D"/>
          <w:sz w:val="24"/>
          <w:szCs w:val="24"/>
        </w:rPr>
        <w:t>for</w:t>
      </w:r>
      <w:r w:rsidR="005B4A0C" w:rsidRPr="00330981">
        <w:rPr>
          <w:rFonts w:eastAsia="Calibri" w:cs="Times New Roman"/>
          <w:color w:val="0D0D0D"/>
          <w:sz w:val="24"/>
          <w:szCs w:val="24"/>
        </w:rPr>
        <w:t xml:space="preserve"> certain pollutants must be able to rely on the obligation to draw up an action plan </w:t>
      </w:r>
      <w:r w:rsidR="0041399C" w:rsidRPr="00330981">
        <w:rPr>
          <w:rFonts w:eastAsia="Calibri" w:cs="Times New Roman"/>
          <w:color w:val="0D0D0D"/>
          <w:sz w:val="24"/>
          <w:szCs w:val="24"/>
        </w:rPr>
        <w:t>before</w:t>
      </w:r>
      <w:r w:rsidR="005B4A0C" w:rsidRPr="00330981">
        <w:rPr>
          <w:rFonts w:eastAsia="Calibri" w:cs="Times New Roman"/>
          <w:color w:val="0D0D0D"/>
          <w:sz w:val="24"/>
          <w:szCs w:val="24"/>
        </w:rPr>
        <w:t xml:space="preserve"> the competent national courts.</w:t>
      </w:r>
      <w:r w:rsidR="005B4A0C" w:rsidRPr="00330981">
        <w:rPr>
          <w:rFonts w:eastAsia="Calibri" w:cs="Times New Roman"/>
          <w:color w:val="0D0D0D"/>
          <w:sz w:val="24"/>
          <w:szCs w:val="24"/>
          <w:vertAlign w:val="superscript"/>
        </w:rPr>
        <w:footnoteReference w:id="26"/>
      </w:r>
      <w:r w:rsidR="005B4A0C" w:rsidRPr="00330981">
        <w:rPr>
          <w:rFonts w:eastAsia="Calibri" w:cs="Times New Roman"/>
          <w:color w:val="0D0D0D"/>
          <w:sz w:val="24"/>
          <w:szCs w:val="24"/>
        </w:rPr>
        <w:t xml:space="preserve"> To that end, the individuals concerned could, in particular, bring an action before the competent national courts if necessary. A similar formulation was also </w:t>
      </w:r>
      <w:r w:rsidR="0041399C" w:rsidRPr="00330981">
        <w:rPr>
          <w:rFonts w:eastAsia="Calibri" w:cs="Times New Roman"/>
          <w:color w:val="0D0D0D"/>
          <w:sz w:val="24"/>
          <w:szCs w:val="24"/>
        </w:rPr>
        <w:t>used</w:t>
      </w:r>
      <w:r w:rsidR="005B4A0C" w:rsidRPr="00330981">
        <w:rPr>
          <w:rFonts w:eastAsia="Calibri" w:cs="Times New Roman"/>
          <w:color w:val="0D0D0D"/>
          <w:sz w:val="24"/>
          <w:szCs w:val="24"/>
        </w:rPr>
        <w:t xml:space="preserve"> in </w:t>
      </w:r>
      <w:proofErr w:type="spellStart"/>
      <w:r w:rsidR="005B4A0C" w:rsidRPr="00330981">
        <w:rPr>
          <w:rFonts w:eastAsia="Calibri" w:cs="Times New Roman"/>
          <w:i/>
          <w:iCs/>
          <w:color w:val="0D0D0D"/>
          <w:sz w:val="24"/>
          <w:szCs w:val="24"/>
        </w:rPr>
        <w:t>ClientEarth</w:t>
      </w:r>
      <w:proofErr w:type="spellEnd"/>
      <w:r w:rsidR="005B4A0C" w:rsidRPr="00330981">
        <w:rPr>
          <w:rFonts w:eastAsia="Calibri" w:cs="Times New Roman"/>
          <w:color w:val="0D0D0D"/>
          <w:sz w:val="24"/>
          <w:szCs w:val="24"/>
        </w:rPr>
        <w:t>.</w:t>
      </w:r>
      <w:r w:rsidR="005B4A0C" w:rsidRPr="00330981">
        <w:rPr>
          <w:rFonts w:eastAsia="Calibri" w:cs="Times New Roman"/>
          <w:color w:val="0D0D0D"/>
          <w:sz w:val="24"/>
          <w:szCs w:val="24"/>
          <w:vertAlign w:val="superscript"/>
        </w:rPr>
        <w:footnoteReference w:id="27"/>
      </w:r>
    </w:p>
    <w:p w14:paraId="56DF0B19" w14:textId="682496F6" w:rsidR="005B4A0C" w:rsidRPr="00330981" w:rsidRDefault="005B4A0C" w:rsidP="00DD6ED9">
      <w:pPr>
        <w:spacing w:line="264" w:lineRule="auto"/>
        <w:ind w:firstLine="284"/>
        <w:jc w:val="both"/>
        <w:rPr>
          <w:rFonts w:eastAsia="Calibri" w:cs="Times New Roman"/>
          <w:color w:val="0D0D0D"/>
          <w:sz w:val="24"/>
          <w:szCs w:val="24"/>
        </w:rPr>
      </w:pPr>
      <w:r w:rsidRPr="00330981">
        <w:rPr>
          <w:rFonts w:eastAsia="Calibri" w:cs="Times New Roman"/>
          <w:color w:val="0D0D0D"/>
          <w:sz w:val="24"/>
          <w:szCs w:val="24"/>
        </w:rPr>
        <w:lastRenderedPageBreak/>
        <w:t xml:space="preserve">That statement was also reiterated in subsequent judgments. </w:t>
      </w:r>
      <w:r w:rsidR="004B029D" w:rsidRPr="00330981">
        <w:rPr>
          <w:rFonts w:eastAsia="Calibri" w:cs="Times New Roman"/>
          <w:color w:val="0D0D0D"/>
          <w:sz w:val="24"/>
          <w:szCs w:val="24"/>
        </w:rPr>
        <w:t>It</w:t>
      </w:r>
      <w:r w:rsidRPr="00330981">
        <w:rPr>
          <w:rFonts w:eastAsia="Calibri" w:cs="Times New Roman"/>
          <w:color w:val="0D0D0D"/>
          <w:sz w:val="24"/>
          <w:szCs w:val="24"/>
        </w:rPr>
        <w:t xml:space="preserve"> is possible to sum up the position of the Court as follows: any natural or legal person that is “directly concerned” by the infringement of a rule </w:t>
      </w:r>
      <w:r w:rsidR="004B029D" w:rsidRPr="00330981">
        <w:rPr>
          <w:rFonts w:eastAsia="Calibri" w:cs="Times New Roman"/>
          <w:color w:val="0D0D0D"/>
          <w:sz w:val="24"/>
          <w:szCs w:val="24"/>
        </w:rPr>
        <w:t>of</w:t>
      </w:r>
      <w:r w:rsidRPr="00330981">
        <w:rPr>
          <w:rFonts w:eastAsia="Calibri" w:cs="Times New Roman"/>
          <w:color w:val="0D0D0D"/>
          <w:sz w:val="24"/>
          <w:szCs w:val="24"/>
        </w:rPr>
        <w:t xml:space="preserve"> EU environmental law must be able to require the competent authority to observe such obligations, where necessary</w:t>
      </w:r>
      <w:r w:rsidR="0041399C" w:rsidRPr="00330981">
        <w:rPr>
          <w:rFonts w:eastAsia="Calibri" w:cs="Times New Roman"/>
          <w:color w:val="0D0D0D"/>
          <w:sz w:val="24"/>
          <w:szCs w:val="24"/>
        </w:rPr>
        <w:t>,</w:t>
      </w:r>
      <w:r w:rsidRPr="00330981">
        <w:rPr>
          <w:rFonts w:eastAsia="Calibri" w:cs="Times New Roman"/>
          <w:color w:val="0D0D0D"/>
          <w:sz w:val="24"/>
          <w:szCs w:val="24"/>
        </w:rPr>
        <w:t xml:space="preserve"> by bringing judicial proceedings for that purpose.</w:t>
      </w:r>
      <w:r w:rsidRPr="00330981">
        <w:rPr>
          <w:rFonts w:eastAsia="Calibri" w:cs="Times New Roman"/>
          <w:color w:val="0D0D0D"/>
          <w:sz w:val="24"/>
          <w:szCs w:val="24"/>
          <w:vertAlign w:val="superscript"/>
        </w:rPr>
        <w:footnoteReference w:id="28"/>
      </w:r>
      <w:r w:rsidRPr="00330981">
        <w:rPr>
          <w:rFonts w:eastAsia="Calibri" w:cs="Times New Roman"/>
          <w:color w:val="0D0D0D"/>
          <w:sz w:val="24"/>
          <w:szCs w:val="24"/>
        </w:rPr>
        <w:t xml:space="preserve"> </w:t>
      </w:r>
      <w:r w:rsidRPr="00330981">
        <w:rPr>
          <w:rFonts w:eastAsia="Calibri" w:cs="Times New Roman"/>
          <w:sz w:val="24"/>
          <w:szCs w:val="24"/>
        </w:rPr>
        <w:t xml:space="preserve">In other words, the protective scope of </w:t>
      </w:r>
      <w:r w:rsidR="00231A76" w:rsidRPr="00330981">
        <w:rPr>
          <w:rFonts w:eastAsia="Calibri" w:cs="Times New Roman"/>
          <w:sz w:val="24"/>
          <w:szCs w:val="24"/>
        </w:rPr>
        <w:t>EU environmental</w:t>
      </w:r>
      <w:r w:rsidRPr="00330981">
        <w:rPr>
          <w:rFonts w:eastAsia="Calibri" w:cs="Times New Roman"/>
          <w:sz w:val="24"/>
          <w:szCs w:val="24"/>
        </w:rPr>
        <w:t xml:space="preserve"> provisions </w:t>
      </w:r>
      <w:r w:rsidR="0041399C" w:rsidRPr="00330981">
        <w:rPr>
          <w:rFonts w:eastAsia="Calibri" w:cs="Times New Roman"/>
          <w:sz w:val="24"/>
          <w:szCs w:val="24"/>
        </w:rPr>
        <w:t>is</w:t>
      </w:r>
      <w:r w:rsidRPr="00330981">
        <w:rPr>
          <w:rFonts w:eastAsia="Calibri" w:cs="Times New Roman"/>
          <w:sz w:val="24"/>
          <w:szCs w:val="24"/>
        </w:rPr>
        <w:t xml:space="preserve"> defined by reference to directly concerned legal or natural persons. This begs the question: how should directly concerned individuals be identified? </w:t>
      </w:r>
    </w:p>
    <w:p w14:paraId="45B9A363" w14:textId="7E5858E3" w:rsidR="005B4A0C" w:rsidRPr="00330981" w:rsidRDefault="005B4A0C" w:rsidP="00DD6ED9">
      <w:pPr>
        <w:spacing w:line="264" w:lineRule="auto"/>
        <w:ind w:firstLine="284"/>
        <w:jc w:val="both"/>
        <w:rPr>
          <w:rFonts w:eastAsia="Calibri" w:cs="Times New Roman"/>
          <w:sz w:val="24"/>
          <w:szCs w:val="24"/>
        </w:rPr>
      </w:pPr>
      <w:r w:rsidRPr="00330981">
        <w:rPr>
          <w:rFonts w:eastAsia="Calibri" w:cs="Times New Roman"/>
          <w:sz w:val="24"/>
          <w:szCs w:val="24"/>
        </w:rPr>
        <w:t xml:space="preserve">The judgment in </w:t>
      </w:r>
      <w:proofErr w:type="spellStart"/>
      <w:r w:rsidRPr="00330981">
        <w:rPr>
          <w:rFonts w:eastAsia="Calibri" w:cs="Times New Roman"/>
          <w:i/>
          <w:iCs/>
          <w:sz w:val="24"/>
          <w:szCs w:val="24"/>
        </w:rPr>
        <w:t>Wasserleitungsverband</w:t>
      </w:r>
      <w:proofErr w:type="spellEnd"/>
      <w:r w:rsidRPr="00330981">
        <w:rPr>
          <w:rFonts w:eastAsia="Calibri" w:cs="Times New Roman"/>
          <w:i/>
          <w:iCs/>
          <w:sz w:val="24"/>
          <w:szCs w:val="24"/>
        </w:rPr>
        <w:t xml:space="preserve"> </w:t>
      </w:r>
      <w:proofErr w:type="spellStart"/>
      <w:r w:rsidRPr="00330981">
        <w:rPr>
          <w:rFonts w:eastAsia="Calibri" w:cs="Times New Roman"/>
          <w:i/>
          <w:iCs/>
          <w:sz w:val="24"/>
          <w:szCs w:val="24"/>
        </w:rPr>
        <w:t>Nördliches</w:t>
      </w:r>
      <w:proofErr w:type="spellEnd"/>
      <w:r w:rsidRPr="00330981">
        <w:rPr>
          <w:rFonts w:eastAsia="Calibri" w:cs="Times New Roman"/>
          <w:i/>
          <w:iCs/>
          <w:sz w:val="24"/>
          <w:szCs w:val="24"/>
        </w:rPr>
        <w:t xml:space="preserve"> </w:t>
      </w:r>
      <w:proofErr w:type="spellStart"/>
      <w:r w:rsidRPr="00330981">
        <w:rPr>
          <w:rFonts w:eastAsia="Calibri" w:cs="Times New Roman"/>
          <w:i/>
          <w:iCs/>
          <w:sz w:val="24"/>
          <w:szCs w:val="24"/>
        </w:rPr>
        <w:t>Borgenland</w:t>
      </w:r>
      <w:proofErr w:type="spellEnd"/>
      <w:r w:rsidRPr="00330981">
        <w:rPr>
          <w:rFonts w:eastAsia="Calibri" w:cs="Times New Roman"/>
          <w:i/>
          <w:iCs/>
          <w:sz w:val="24"/>
          <w:szCs w:val="24"/>
        </w:rPr>
        <w:t xml:space="preserve"> and Others</w:t>
      </w:r>
      <w:r w:rsidRPr="00330981">
        <w:rPr>
          <w:rFonts w:eastAsia="Calibri" w:cs="Times New Roman"/>
          <w:sz w:val="24"/>
          <w:szCs w:val="24"/>
        </w:rPr>
        <w:t xml:space="preserve"> is </w:t>
      </w:r>
      <w:r w:rsidR="004B029D" w:rsidRPr="00330981">
        <w:rPr>
          <w:rFonts w:eastAsia="Calibri" w:cs="Times New Roman"/>
          <w:sz w:val="24"/>
          <w:szCs w:val="24"/>
        </w:rPr>
        <w:t>enlightening</w:t>
      </w:r>
      <w:r w:rsidR="00AD1B59" w:rsidRPr="00330981">
        <w:rPr>
          <w:rFonts w:eastAsia="Calibri" w:cs="Times New Roman"/>
          <w:sz w:val="24"/>
          <w:szCs w:val="24"/>
        </w:rPr>
        <w:t xml:space="preserve"> in this respect</w:t>
      </w:r>
      <w:r w:rsidRPr="00330981">
        <w:rPr>
          <w:rFonts w:eastAsia="Calibri" w:cs="Times New Roman"/>
          <w:sz w:val="24"/>
          <w:szCs w:val="24"/>
        </w:rPr>
        <w:t>.</w:t>
      </w:r>
      <w:r w:rsidRPr="00330981">
        <w:rPr>
          <w:rFonts w:eastAsia="Calibri" w:cs="Times New Roman"/>
          <w:sz w:val="24"/>
          <w:szCs w:val="24"/>
          <w:vertAlign w:val="superscript"/>
        </w:rPr>
        <w:footnoteReference w:id="29"/>
      </w:r>
      <w:r w:rsidRPr="00330981">
        <w:rPr>
          <w:rFonts w:eastAsia="Calibri" w:cs="Times New Roman"/>
          <w:sz w:val="24"/>
          <w:szCs w:val="24"/>
        </w:rPr>
        <w:t xml:space="preserve"> The applicants in the main proceedings used water </w:t>
      </w:r>
      <w:r w:rsidR="00231A76" w:rsidRPr="00330981">
        <w:rPr>
          <w:rFonts w:eastAsia="Calibri" w:cs="Times New Roman"/>
          <w:sz w:val="24"/>
          <w:szCs w:val="24"/>
        </w:rPr>
        <w:t>with</w:t>
      </w:r>
      <w:r w:rsidRPr="00330981">
        <w:rPr>
          <w:rFonts w:eastAsia="Calibri" w:cs="Times New Roman"/>
          <w:sz w:val="24"/>
          <w:szCs w:val="24"/>
        </w:rPr>
        <w:t xml:space="preserve"> a nitrate level </w:t>
      </w:r>
      <w:r w:rsidR="00231A76" w:rsidRPr="00330981">
        <w:rPr>
          <w:rFonts w:eastAsia="Calibri" w:cs="Times New Roman"/>
          <w:sz w:val="24"/>
          <w:szCs w:val="24"/>
        </w:rPr>
        <w:t>exceeding</w:t>
      </w:r>
      <w:r w:rsidRPr="00330981">
        <w:rPr>
          <w:rFonts w:eastAsia="Calibri" w:cs="Times New Roman"/>
          <w:sz w:val="24"/>
          <w:szCs w:val="24"/>
        </w:rPr>
        <w:t xml:space="preserve"> the </w:t>
      </w:r>
      <w:r w:rsidR="00231A76" w:rsidRPr="00330981">
        <w:rPr>
          <w:rFonts w:eastAsia="Calibri" w:cs="Times New Roman"/>
          <w:sz w:val="24"/>
          <w:szCs w:val="24"/>
        </w:rPr>
        <w:t>limit set</w:t>
      </w:r>
      <w:r w:rsidRPr="00330981">
        <w:rPr>
          <w:rFonts w:eastAsia="Calibri" w:cs="Times New Roman"/>
          <w:sz w:val="24"/>
          <w:szCs w:val="24"/>
        </w:rPr>
        <w:t xml:space="preserve"> by Directive 91/776 (“the Nitrates Directive”).</w:t>
      </w:r>
      <w:r w:rsidRPr="00330981">
        <w:rPr>
          <w:rFonts w:eastAsia="Calibri" w:cs="Times New Roman"/>
          <w:sz w:val="24"/>
          <w:szCs w:val="24"/>
          <w:vertAlign w:val="superscript"/>
        </w:rPr>
        <w:footnoteReference w:id="30"/>
      </w:r>
      <w:r w:rsidRPr="00330981">
        <w:rPr>
          <w:rFonts w:eastAsia="Calibri" w:cs="Times New Roman"/>
          <w:sz w:val="24"/>
          <w:szCs w:val="24"/>
        </w:rPr>
        <w:t xml:space="preserve"> They requested that the Austrian Ministry modify the 2012 Nitrate Action Programme Regulation </w:t>
      </w:r>
      <w:r w:rsidR="0041399C" w:rsidRPr="00330981">
        <w:rPr>
          <w:rFonts w:eastAsia="Calibri" w:cs="Times New Roman"/>
          <w:sz w:val="24"/>
          <w:szCs w:val="24"/>
        </w:rPr>
        <w:t>to reduce</w:t>
      </w:r>
      <w:r w:rsidRPr="00330981">
        <w:rPr>
          <w:rFonts w:eastAsia="Calibri" w:cs="Times New Roman"/>
          <w:sz w:val="24"/>
          <w:szCs w:val="24"/>
        </w:rPr>
        <w:t xml:space="preserve"> the nitrate </w:t>
      </w:r>
      <w:r w:rsidR="0041399C" w:rsidRPr="00330981">
        <w:rPr>
          <w:rFonts w:eastAsia="Calibri" w:cs="Times New Roman"/>
          <w:sz w:val="24"/>
          <w:szCs w:val="24"/>
        </w:rPr>
        <w:t>level</w:t>
      </w:r>
      <w:r w:rsidRPr="00330981">
        <w:rPr>
          <w:rFonts w:eastAsia="Calibri" w:cs="Times New Roman"/>
          <w:sz w:val="24"/>
          <w:szCs w:val="24"/>
        </w:rPr>
        <w:t xml:space="preserve"> </w:t>
      </w:r>
      <w:r w:rsidR="0041399C" w:rsidRPr="00330981">
        <w:rPr>
          <w:rFonts w:eastAsia="Calibri" w:cs="Times New Roman"/>
          <w:sz w:val="24"/>
          <w:szCs w:val="24"/>
        </w:rPr>
        <w:t>in</w:t>
      </w:r>
      <w:r w:rsidRPr="00330981">
        <w:rPr>
          <w:rFonts w:eastAsia="Calibri" w:cs="Times New Roman"/>
          <w:sz w:val="24"/>
          <w:szCs w:val="24"/>
        </w:rPr>
        <w:t xml:space="preserve"> the groundwater in question. To that end, they invoked the obligations </w:t>
      </w:r>
      <w:r w:rsidR="0041399C" w:rsidRPr="00330981">
        <w:rPr>
          <w:rFonts w:eastAsia="Calibri" w:cs="Times New Roman"/>
          <w:sz w:val="24"/>
          <w:szCs w:val="24"/>
        </w:rPr>
        <w:t>of</w:t>
      </w:r>
      <w:r w:rsidRPr="00330981">
        <w:rPr>
          <w:rFonts w:eastAsia="Calibri" w:cs="Times New Roman"/>
          <w:sz w:val="24"/>
          <w:szCs w:val="24"/>
        </w:rPr>
        <w:t xml:space="preserve"> the Nitrates Directive. </w:t>
      </w:r>
      <w:r w:rsidR="0041399C" w:rsidRPr="00330981">
        <w:rPr>
          <w:rFonts w:eastAsia="Calibri" w:cs="Times New Roman"/>
          <w:sz w:val="24"/>
          <w:szCs w:val="24"/>
        </w:rPr>
        <w:t>However, t</w:t>
      </w:r>
      <w:r w:rsidRPr="00330981">
        <w:rPr>
          <w:rFonts w:eastAsia="Calibri" w:cs="Times New Roman"/>
          <w:sz w:val="24"/>
          <w:szCs w:val="24"/>
        </w:rPr>
        <w:t xml:space="preserve">heir request was ruled inadmissible on the grounds that they did not possess “individual substantive rights” stemming from the national provisions implementing the Directive. </w:t>
      </w:r>
      <w:r w:rsidR="004B029D" w:rsidRPr="00330981">
        <w:rPr>
          <w:rFonts w:eastAsia="Calibri" w:cs="Times New Roman"/>
          <w:sz w:val="24"/>
          <w:szCs w:val="24"/>
        </w:rPr>
        <w:t>This</w:t>
      </w:r>
      <w:r w:rsidRPr="00330981">
        <w:rPr>
          <w:rFonts w:eastAsia="Calibri" w:cs="Times New Roman"/>
          <w:sz w:val="24"/>
          <w:szCs w:val="24"/>
        </w:rPr>
        <w:t xml:space="preserve"> decision was based on the </w:t>
      </w:r>
      <w:proofErr w:type="spellStart"/>
      <w:r w:rsidRPr="00330981">
        <w:rPr>
          <w:rFonts w:eastAsia="Calibri" w:cs="Times New Roman"/>
          <w:i/>
          <w:iCs/>
          <w:sz w:val="24"/>
          <w:szCs w:val="24"/>
        </w:rPr>
        <w:t>Schutznorm</w:t>
      </w:r>
      <w:proofErr w:type="spellEnd"/>
      <w:r w:rsidRPr="00330981">
        <w:rPr>
          <w:rFonts w:eastAsia="Calibri" w:cs="Times New Roman"/>
          <w:sz w:val="24"/>
          <w:szCs w:val="24"/>
        </w:rPr>
        <w:t xml:space="preserve"> doctrine (or a </w:t>
      </w:r>
      <w:proofErr w:type="spellStart"/>
      <w:r w:rsidRPr="00330981">
        <w:rPr>
          <w:rFonts w:eastAsia="Calibri" w:cs="Times New Roman"/>
          <w:sz w:val="24"/>
          <w:szCs w:val="24"/>
        </w:rPr>
        <w:t>slighly</w:t>
      </w:r>
      <w:proofErr w:type="spellEnd"/>
      <w:r w:rsidRPr="00330981">
        <w:rPr>
          <w:rFonts w:eastAsia="Calibri" w:cs="Times New Roman"/>
          <w:sz w:val="24"/>
          <w:szCs w:val="24"/>
        </w:rPr>
        <w:t xml:space="preserve"> different conception of it prevailing in Austria): the relevant provisions did not </w:t>
      </w:r>
      <w:r w:rsidR="0041399C" w:rsidRPr="00330981">
        <w:rPr>
          <w:rFonts w:eastAsia="Calibri" w:cs="Times New Roman"/>
          <w:sz w:val="24"/>
          <w:szCs w:val="24"/>
        </w:rPr>
        <w:t>show</w:t>
      </w:r>
      <w:r w:rsidRPr="00330981">
        <w:rPr>
          <w:rFonts w:eastAsia="Calibri" w:cs="Times New Roman"/>
          <w:sz w:val="24"/>
          <w:szCs w:val="24"/>
        </w:rPr>
        <w:t xml:space="preserve"> a normative intention to protect the interests of individua</w:t>
      </w:r>
      <w:r w:rsidR="0041399C" w:rsidRPr="00330981">
        <w:rPr>
          <w:rFonts w:eastAsia="Calibri" w:cs="Times New Roman"/>
          <w:sz w:val="24"/>
          <w:szCs w:val="24"/>
        </w:rPr>
        <w:t>ls</w:t>
      </w:r>
      <w:r w:rsidRPr="00330981">
        <w:rPr>
          <w:rFonts w:eastAsia="Calibri" w:cs="Times New Roman"/>
          <w:sz w:val="24"/>
          <w:szCs w:val="24"/>
        </w:rPr>
        <w:t xml:space="preserve">. </w:t>
      </w:r>
      <w:r w:rsidR="0041399C" w:rsidRPr="00330981">
        <w:rPr>
          <w:rFonts w:eastAsia="Calibri" w:cs="Times New Roman"/>
          <w:sz w:val="24"/>
          <w:szCs w:val="24"/>
        </w:rPr>
        <w:t>Similarly</w:t>
      </w:r>
      <w:r w:rsidRPr="00330981">
        <w:rPr>
          <w:rFonts w:eastAsia="Calibri" w:cs="Times New Roman"/>
          <w:sz w:val="24"/>
          <w:szCs w:val="24"/>
        </w:rPr>
        <w:t>, the referring court seemed reluctant to establish standing</w:t>
      </w:r>
      <w:r w:rsidR="0041399C" w:rsidRPr="00330981">
        <w:rPr>
          <w:rFonts w:eastAsia="Calibri" w:cs="Times New Roman"/>
          <w:sz w:val="24"/>
          <w:szCs w:val="24"/>
        </w:rPr>
        <w:t xml:space="preserve"> </w:t>
      </w:r>
      <w:r w:rsidRPr="00330981">
        <w:rPr>
          <w:rFonts w:eastAsia="Calibri" w:cs="Times New Roman"/>
          <w:sz w:val="24"/>
          <w:szCs w:val="24"/>
        </w:rPr>
        <w:t>on the grounds that the situation at issue did not involve a threat to public health.</w:t>
      </w:r>
    </w:p>
    <w:p w14:paraId="7DBDD69E" w14:textId="48CF6469" w:rsidR="005B4A0C" w:rsidRPr="00330981" w:rsidRDefault="005B4A0C" w:rsidP="00DD6ED9">
      <w:pPr>
        <w:spacing w:line="264" w:lineRule="auto"/>
        <w:ind w:firstLine="284"/>
        <w:jc w:val="both"/>
        <w:rPr>
          <w:rFonts w:eastAsia="Calibri" w:cs="Times New Roman"/>
          <w:sz w:val="24"/>
          <w:szCs w:val="24"/>
        </w:rPr>
      </w:pPr>
      <w:r w:rsidRPr="00330981">
        <w:rPr>
          <w:rFonts w:eastAsia="Calibri" w:cs="Times New Roman"/>
          <w:sz w:val="24"/>
          <w:szCs w:val="24"/>
        </w:rPr>
        <w:t>Seized of this matter, the Court provided much-needed clarity on the requirement of direct concern</w:t>
      </w:r>
      <w:r w:rsidR="0041399C" w:rsidRPr="00330981">
        <w:rPr>
          <w:rFonts w:eastAsia="Calibri" w:cs="Times New Roman"/>
          <w:sz w:val="24"/>
          <w:szCs w:val="24"/>
        </w:rPr>
        <w:t>.</w:t>
      </w:r>
      <w:r w:rsidRPr="00330981">
        <w:rPr>
          <w:rFonts w:eastAsia="Calibri" w:cs="Times New Roman"/>
          <w:sz w:val="24"/>
          <w:szCs w:val="24"/>
        </w:rPr>
        <w:t xml:space="preserve"> Th</w:t>
      </w:r>
      <w:r w:rsidR="0041399C" w:rsidRPr="00330981">
        <w:rPr>
          <w:rFonts w:eastAsia="Calibri" w:cs="Times New Roman"/>
          <w:sz w:val="24"/>
          <w:szCs w:val="24"/>
        </w:rPr>
        <w:t>e</w:t>
      </w:r>
      <w:r w:rsidRPr="00330981">
        <w:rPr>
          <w:rFonts w:eastAsia="Calibri" w:cs="Times New Roman"/>
          <w:sz w:val="24"/>
          <w:szCs w:val="24"/>
        </w:rPr>
        <w:t xml:space="preserve"> judgment reveal</w:t>
      </w:r>
      <w:r w:rsidR="0041399C" w:rsidRPr="00330981">
        <w:rPr>
          <w:rFonts w:eastAsia="Calibri" w:cs="Times New Roman"/>
          <w:sz w:val="24"/>
          <w:szCs w:val="24"/>
        </w:rPr>
        <w:t>ed</w:t>
      </w:r>
      <w:r w:rsidRPr="00330981">
        <w:rPr>
          <w:rFonts w:eastAsia="Calibri" w:cs="Times New Roman"/>
          <w:sz w:val="24"/>
          <w:szCs w:val="24"/>
        </w:rPr>
        <w:t xml:space="preserve"> that </w:t>
      </w:r>
      <w:r w:rsidR="0056147C" w:rsidRPr="00330981">
        <w:rPr>
          <w:rFonts w:eastAsia="Calibri" w:cs="Times New Roman"/>
          <w:sz w:val="24"/>
          <w:szCs w:val="24"/>
        </w:rPr>
        <w:t>when deciding if individuals</w:t>
      </w:r>
      <w:r w:rsidRPr="00330981">
        <w:rPr>
          <w:rFonts w:eastAsia="Calibri" w:cs="Times New Roman"/>
          <w:sz w:val="24"/>
          <w:szCs w:val="24"/>
        </w:rPr>
        <w:t xml:space="preserve"> are directly concerned by a</w:t>
      </w:r>
      <w:r w:rsidR="0056147C" w:rsidRPr="00330981">
        <w:rPr>
          <w:rFonts w:eastAsia="Calibri" w:cs="Times New Roman"/>
          <w:sz w:val="24"/>
          <w:szCs w:val="24"/>
        </w:rPr>
        <w:t xml:space="preserve"> violation of </w:t>
      </w:r>
      <w:r w:rsidRPr="00330981">
        <w:rPr>
          <w:rFonts w:eastAsia="Calibri" w:cs="Times New Roman"/>
          <w:sz w:val="24"/>
          <w:szCs w:val="24"/>
        </w:rPr>
        <w:t>an EU environmental directive</w:t>
      </w:r>
      <w:r w:rsidR="0056147C" w:rsidRPr="00330981">
        <w:rPr>
          <w:rFonts w:eastAsia="Calibri" w:cs="Times New Roman"/>
          <w:sz w:val="24"/>
          <w:szCs w:val="24"/>
        </w:rPr>
        <w:t>, the Court must consider</w:t>
      </w:r>
      <w:r w:rsidRPr="00330981">
        <w:rPr>
          <w:rFonts w:eastAsia="Calibri" w:cs="Times New Roman"/>
          <w:sz w:val="24"/>
          <w:szCs w:val="24"/>
        </w:rPr>
        <w:t xml:space="preserve"> the:</w:t>
      </w:r>
    </w:p>
    <w:p w14:paraId="76DF5A70" w14:textId="77777777" w:rsidR="005B4A0C" w:rsidRPr="00330981" w:rsidRDefault="005B4A0C" w:rsidP="00DD6ED9">
      <w:pPr>
        <w:spacing w:line="264" w:lineRule="auto"/>
        <w:ind w:left="284" w:right="284"/>
        <w:jc w:val="both"/>
        <w:rPr>
          <w:rFonts w:eastAsia="Calibri" w:cs="Times New Roman"/>
          <w:bCs/>
          <w:sz w:val="24"/>
          <w:szCs w:val="24"/>
        </w:rPr>
      </w:pPr>
      <w:r w:rsidRPr="00330981">
        <w:rPr>
          <w:rFonts w:eastAsia="Calibri" w:cs="Times New Roman"/>
          <w:bCs/>
          <w:sz w:val="24"/>
          <w:szCs w:val="24"/>
        </w:rPr>
        <w:t>“purpose and the relevant provisions of that directive, the proper application of which is asserted before the referring court”.</w:t>
      </w:r>
      <w:r w:rsidRPr="00330981">
        <w:rPr>
          <w:rFonts w:eastAsia="Calibri" w:cs="Times New Roman"/>
          <w:bCs/>
          <w:sz w:val="24"/>
          <w:szCs w:val="24"/>
          <w:vertAlign w:val="superscript"/>
        </w:rPr>
        <w:footnoteReference w:id="31"/>
      </w:r>
    </w:p>
    <w:p w14:paraId="719D8261" w14:textId="2E3BEF28" w:rsidR="005B4A0C" w:rsidRPr="00330981" w:rsidRDefault="0041399C" w:rsidP="00DD6ED9">
      <w:pPr>
        <w:spacing w:line="264" w:lineRule="auto"/>
        <w:jc w:val="both"/>
        <w:rPr>
          <w:rFonts w:eastAsia="Calibri" w:cs="Times New Roman"/>
          <w:bCs/>
          <w:sz w:val="24"/>
          <w:szCs w:val="24"/>
        </w:rPr>
      </w:pPr>
      <w:r w:rsidRPr="00330981">
        <w:rPr>
          <w:rFonts w:eastAsia="Calibri" w:cs="Times New Roman"/>
          <w:bCs/>
          <w:sz w:val="24"/>
          <w:szCs w:val="24"/>
        </w:rPr>
        <w:t>Based on this</w:t>
      </w:r>
      <w:r w:rsidR="005B4A0C" w:rsidRPr="00330981">
        <w:rPr>
          <w:rFonts w:eastAsia="Calibri" w:cs="Times New Roman"/>
          <w:bCs/>
          <w:sz w:val="24"/>
          <w:szCs w:val="24"/>
        </w:rPr>
        <w:t xml:space="preserve"> assessment, the Court was able to identify the protective scope of </w:t>
      </w:r>
      <w:r w:rsidR="00231A76" w:rsidRPr="00330981">
        <w:rPr>
          <w:rFonts w:eastAsia="Calibri" w:cs="Times New Roman"/>
          <w:bCs/>
          <w:sz w:val="24"/>
          <w:szCs w:val="24"/>
        </w:rPr>
        <w:t>the Nitrates</w:t>
      </w:r>
      <w:r w:rsidR="005B4A0C" w:rsidRPr="00330981">
        <w:rPr>
          <w:rFonts w:eastAsia="Calibri" w:cs="Times New Roman"/>
          <w:bCs/>
          <w:sz w:val="24"/>
          <w:szCs w:val="24"/>
        </w:rPr>
        <w:t xml:space="preserve"> Directive. The objective of th</w:t>
      </w:r>
      <w:r w:rsidR="004B029D" w:rsidRPr="00330981">
        <w:rPr>
          <w:rFonts w:eastAsia="Calibri" w:cs="Times New Roman"/>
          <w:bCs/>
          <w:sz w:val="24"/>
          <w:szCs w:val="24"/>
        </w:rPr>
        <w:t>e</w:t>
      </w:r>
      <w:r w:rsidR="005B4A0C" w:rsidRPr="00330981">
        <w:rPr>
          <w:rFonts w:eastAsia="Calibri" w:cs="Times New Roman"/>
          <w:bCs/>
          <w:sz w:val="24"/>
          <w:szCs w:val="24"/>
        </w:rPr>
        <w:t xml:space="preserve"> Directive was to reduce and prevent water pollution caused by nitrates from agricultural sources. </w:t>
      </w:r>
      <w:r w:rsidR="00046ED0" w:rsidRPr="00330981">
        <w:rPr>
          <w:rFonts w:eastAsia="Calibri" w:cs="Times New Roman"/>
          <w:bCs/>
          <w:sz w:val="24"/>
          <w:szCs w:val="24"/>
        </w:rPr>
        <w:t>According to</w:t>
      </w:r>
      <w:r w:rsidR="005B4A0C" w:rsidRPr="00330981">
        <w:rPr>
          <w:rFonts w:eastAsia="Calibri" w:cs="Times New Roman"/>
          <w:bCs/>
          <w:sz w:val="24"/>
          <w:szCs w:val="24"/>
        </w:rPr>
        <w:t xml:space="preserve"> Article 2(j)</w:t>
      </w:r>
      <w:r w:rsidR="00046ED0" w:rsidRPr="00330981">
        <w:rPr>
          <w:rFonts w:eastAsia="Calibri" w:cs="Times New Roman"/>
          <w:bCs/>
          <w:sz w:val="24"/>
          <w:szCs w:val="24"/>
        </w:rPr>
        <w:t xml:space="preserve">, </w:t>
      </w:r>
      <w:r w:rsidR="005B4A0C" w:rsidRPr="00330981">
        <w:rPr>
          <w:rFonts w:eastAsia="Calibri" w:cs="Times New Roman"/>
          <w:bCs/>
          <w:sz w:val="24"/>
          <w:szCs w:val="24"/>
        </w:rPr>
        <w:t>the term “pollution” encompasse</w:t>
      </w:r>
      <w:r w:rsidR="00046ED0" w:rsidRPr="00330981">
        <w:rPr>
          <w:rFonts w:eastAsia="Calibri" w:cs="Times New Roman"/>
          <w:bCs/>
          <w:sz w:val="24"/>
          <w:szCs w:val="24"/>
        </w:rPr>
        <w:t>s</w:t>
      </w:r>
      <w:r w:rsidR="005B4A0C" w:rsidRPr="00330981">
        <w:rPr>
          <w:rFonts w:eastAsia="Calibri" w:cs="Times New Roman"/>
          <w:bCs/>
          <w:sz w:val="24"/>
          <w:szCs w:val="24"/>
        </w:rPr>
        <w:t xml:space="preserve"> the:</w:t>
      </w:r>
    </w:p>
    <w:p w14:paraId="429FC1A4" w14:textId="77777777" w:rsidR="005B4A0C" w:rsidRPr="00330981" w:rsidRDefault="005B4A0C" w:rsidP="00DD6ED9">
      <w:pPr>
        <w:spacing w:line="264" w:lineRule="auto"/>
        <w:ind w:left="284" w:right="284"/>
        <w:jc w:val="both"/>
        <w:rPr>
          <w:rFonts w:eastAsia="Calibri" w:cs="Times New Roman"/>
          <w:bCs/>
          <w:sz w:val="24"/>
          <w:szCs w:val="24"/>
        </w:rPr>
      </w:pPr>
      <w:r w:rsidRPr="00330981">
        <w:rPr>
          <w:rFonts w:eastAsia="Calibri" w:cs="Times New Roman"/>
          <w:bCs/>
          <w:sz w:val="24"/>
          <w:szCs w:val="24"/>
        </w:rPr>
        <w:t>“discharge, directly or indirectly, of nitrogen compounds from agricultural sources into the aquatic environment, the results of which are such as to cause … interference with other legitimate uses of water”.</w:t>
      </w:r>
    </w:p>
    <w:p w14:paraId="05D49AE8" w14:textId="7A4DD1D3" w:rsidR="005B4A0C" w:rsidRPr="00330981" w:rsidRDefault="005B4A0C" w:rsidP="00DD6ED9">
      <w:pPr>
        <w:spacing w:line="264" w:lineRule="auto"/>
        <w:jc w:val="both"/>
        <w:rPr>
          <w:rFonts w:eastAsia="Calibri" w:cs="Times New Roman"/>
          <w:bCs/>
          <w:sz w:val="24"/>
          <w:szCs w:val="24"/>
        </w:rPr>
      </w:pPr>
      <w:r w:rsidRPr="00330981">
        <w:rPr>
          <w:rFonts w:eastAsia="Calibri" w:cs="Times New Roman"/>
          <w:bCs/>
          <w:sz w:val="24"/>
          <w:szCs w:val="24"/>
        </w:rPr>
        <w:t>The Court inferred from th</w:t>
      </w:r>
      <w:r w:rsidR="00046ED0" w:rsidRPr="00330981">
        <w:rPr>
          <w:rFonts w:eastAsia="Calibri" w:cs="Times New Roman"/>
          <w:bCs/>
          <w:sz w:val="24"/>
          <w:szCs w:val="24"/>
        </w:rPr>
        <w:t xml:space="preserve">is </w:t>
      </w:r>
      <w:r w:rsidRPr="00330981">
        <w:rPr>
          <w:rFonts w:eastAsia="Calibri" w:cs="Times New Roman"/>
          <w:bCs/>
          <w:sz w:val="24"/>
          <w:szCs w:val="24"/>
        </w:rPr>
        <w:t xml:space="preserve">definition that the Directive </w:t>
      </w:r>
      <w:r w:rsidR="00046ED0" w:rsidRPr="00330981">
        <w:rPr>
          <w:rFonts w:eastAsia="Calibri" w:cs="Times New Roman"/>
          <w:bCs/>
          <w:sz w:val="24"/>
          <w:szCs w:val="24"/>
        </w:rPr>
        <w:t>is</w:t>
      </w:r>
      <w:r w:rsidRPr="00330981">
        <w:rPr>
          <w:rFonts w:eastAsia="Calibri" w:cs="Times New Roman"/>
          <w:bCs/>
          <w:sz w:val="24"/>
          <w:szCs w:val="24"/>
        </w:rPr>
        <w:t xml:space="preserve"> meant to address activities involving the discharge of nitrogen compounds </w:t>
      </w:r>
      <w:r w:rsidR="00046ED0" w:rsidRPr="00330981">
        <w:rPr>
          <w:rFonts w:eastAsia="Calibri" w:cs="Times New Roman"/>
          <w:bCs/>
          <w:sz w:val="24"/>
          <w:szCs w:val="24"/>
        </w:rPr>
        <w:t>likely</w:t>
      </w:r>
      <w:r w:rsidRPr="00330981">
        <w:rPr>
          <w:rFonts w:eastAsia="Calibri" w:cs="Times New Roman"/>
          <w:bCs/>
          <w:sz w:val="24"/>
          <w:szCs w:val="24"/>
        </w:rPr>
        <w:t xml:space="preserve"> to “interfere with the legitimate use of the water”.</w:t>
      </w:r>
      <w:r w:rsidRPr="00330981">
        <w:rPr>
          <w:rFonts w:eastAsia="Calibri" w:cs="Times New Roman"/>
          <w:bCs/>
          <w:sz w:val="24"/>
          <w:szCs w:val="24"/>
          <w:vertAlign w:val="superscript"/>
        </w:rPr>
        <w:footnoteReference w:id="32"/>
      </w:r>
      <w:r w:rsidRPr="00330981">
        <w:rPr>
          <w:rFonts w:eastAsia="Calibri" w:cs="Times New Roman"/>
          <w:bCs/>
          <w:sz w:val="24"/>
          <w:szCs w:val="24"/>
        </w:rPr>
        <w:t xml:space="preserve"> </w:t>
      </w:r>
      <w:r w:rsidR="00046ED0" w:rsidRPr="00330981">
        <w:rPr>
          <w:rFonts w:eastAsia="Calibri" w:cs="Times New Roman"/>
          <w:bCs/>
          <w:sz w:val="24"/>
          <w:szCs w:val="24"/>
        </w:rPr>
        <w:t>Undue</w:t>
      </w:r>
      <w:r w:rsidRPr="00330981">
        <w:rPr>
          <w:rFonts w:eastAsia="Calibri" w:cs="Times New Roman"/>
          <w:bCs/>
          <w:sz w:val="24"/>
          <w:szCs w:val="24"/>
        </w:rPr>
        <w:t xml:space="preserve"> interference with the legitimate use of water could only arise </w:t>
      </w:r>
      <w:r w:rsidR="00046ED0" w:rsidRPr="00330981">
        <w:rPr>
          <w:rFonts w:eastAsia="Calibri" w:cs="Times New Roman"/>
          <w:bCs/>
          <w:sz w:val="24"/>
          <w:szCs w:val="24"/>
        </w:rPr>
        <w:t>if</w:t>
      </w:r>
      <w:r w:rsidRPr="00330981">
        <w:rPr>
          <w:rFonts w:eastAsia="Calibri" w:cs="Times New Roman"/>
          <w:bCs/>
          <w:sz w:val="24"/>
          <w:szCs w:val="24"/>
        </w:rPr>
        <w:t xml:space="preserve"> the nitrate levels in groundwater exceeded the limit of 50 mg/l established by the Directive. This explains why any </w:t>
      </w:r>
      <w:r w:rsidRPr="00330981">
        <w:rPr>
          <w:rFonts w:eastAsia="Calibri" w:cs="Times New Roman"/>
          <w:bCs/>
          <w:sz w:val="24"/>
          <w:szCs w:val="24"/>
        </w:rPr>
        <w:lastRenderedPageBreak/>
        <w:t xml:space="preserve">individual using that groundwater is directly concerned by an </w:t>
      </w:r>
      <w:proofErr w:type="spellStart"/>
      <w:r w:rsidRPr="00330981">
        <w:rPr>
          <w:rFonts w:eastAsia="Calibri" w:cs="Times New Roman"/>
          <w:bCs/>
          <w:sz w:val="24"/>
          <w:szCs w:val="24"/>
        </w:rPr>
        <w:t>exeedance</w:t>
      </w:r>
      <w:proofErr w:type="spellEnd"/>
      <w:r w:rsidRPr="00330981">
        <w:rPr>
          <w:rFonts w:eastAsia="Calibri" w:cs="Times New Roman"/>
          <w:bCs/>
          <w:sz w:val="24"/>
          <w:szCs w:val="24"/>
        </w:rPr>
        <w:t xml:space="preserve"> of that limit. According to the Court, it followed that:</w:t>
      </w:r>
    </w:p>
    <w:p w14:paraId="48476017" w14:textId="77777777" w:rsidR="005B4A0C" w:rsidRPr="00330981" w:rsidRDefault="005B4A0C" w:rsidP="00DD6ED9">
      <w:pPr>
        <w:spacing w:line="264" w:lineRule="auto"/>
        <w:ind w:left="284" w:right="284"/>
        <w:jc w:val="both"/>
        <w:rPr>
          <w:rFonts w:eastAsia="Calibri" w:cs="Times New Roman"/>
          <w:bCs/>
          <w:sz w:val="24"/>
          <w:szCs w:val="24"/>
        </w:rPr>
      </w:pPr>
      <w:r w:rsidRPr="00330981">
        <w:rPr>
          <w:rFonts w:eastAsia="Calibri" w:cs="Times New Roman"/>
          <w:bCs/>
          <w:sz w:val="24"/>
          <w:szCs w:val="24"/>
        </w:rPr>
        <w:t>“a natural or legal person having the option of drawing and using groundwater is directly concerned by that threshold being exceeded or the risk of it being exceeded, which is capable of limiting that person’s option by interfering with the legitimate use of that water”.</w:t>
      </w:r>
      <w:r w:rsidRPr="00330981">
        <w:rPr>
          <w:rFonts w:eastAsia="Calibri" w:cs="Times New Roman"/>
          <w:bCs/>
          <w:sz w:val="24"/>
          <w:szCs w:val="24"/>
          <w:vertAlign w:val="superscript"/>
        </w:rPr>
        <w:footnoteReference w:id="33"/>
      </w:r>
    </w:p>
    <w:p w14:paraId="753E39D4" w14:textId="1366CEB9" w:rsidR="005B4A0C" w:rsidRPr="00330981" w:rsidRDefault="005B4A0C" w:rsidP="00DD6ED9">
      <w:pPr>
        <w:spacing w:line="264" w:lineRule="auto"/>
        <w:jc w:val="both"/>
        <w:rPr>
          <w:rFonts w:eastAsia="Calibri" w:cs="Times New Roman"/>
          <w:sz w:val="24"/>
          <w:szCs w:val="24"/>
        </w:rPr>
      </w:pPr>
      <w:r w:rsidRPr="00330981">
        <w:rPr>
          <w:rFonts w:eastAsia="Calibri" w:cs="Times New Roman"/>
          <w:sz w:val="24"/>
          <w:szCs w:val="24"/>
        </w:rPr>
        <w:t>The referring court was therefore instructed to grant standing to the applicants.</w:t>
      </w:r>
      <w:r w:rsidRPr="00330981">
        <w:rPr>
          <w:rFonts w:eastAsia="Calibri" w:cs="Times New Roman"/>
          <w:sz w:val="24"/>
          <w:szCs w:val="24"/>
          <w:vertAlign w:val="superscript"/>
        </w:rPr>
        <w:footnoteReference w:id="34"/>
      </w:r>
      <w:r w:rsidRPr="00330981">
        <w:rPr>
          <w:rFonts w:eastAsia="Calibri" w:cs="Times New Roman"/>
          <w:sz w:val="24"/>
          <w:szCs w:val="24"/>
        </w:rPr>
        <w:t xml:space="preserve"> </w:t>
      </w:r>
      <w:r w:rsidR="0056147C" w:rsidRPr="00330981">
        <w:rPr>
          <w:rFonts w:eastAsia="Calibri" w:cs="Times New Roman"/>
          <w:sz w:val="24"/>
          <w:szCs w:val="24"/>
        </w:rPr>
        <w:t>The</w:t>
      </w:r>
      <w:r w:rsidRPr="00330981">
        <w:rPr>
          <w:rFonts w:eastAsia="Calibri" w:cs="Times New Roman"/>
          <w:sz w:val="24"/>
          <w:szCs w:val="24"/>
        </w:rPr>
        <w:t xml:space="preserve"> Nitrates Directive therefore seems to give rise to an individual entitlement to use water in a legitimate manner, that is to say, free of pollution. Any infringement of the provisions of this Directive interfere</w:t>
      </w:r>
      <w:r w:rsidR="00046ED0" w:rsidRPr="00330981">
        <w:rPr>
          <w:rFonts w:eastAsia="Calibri" w:cs="Times New Roman"/>
          <w:sz w:val="24"/>
          <w:szCs w:val="24"/>
        </w:rPr>
        <w:t>s</w:t>
      </w:r>
      <w:r w:rsidRPr="00330981">
        <w:rPr>
          <w:rFonts w:eastAsia="Calibri" w:cs="Times New Roman"/>
          <w:sz w:val="24"/>
          <w:szCs w:val="24"/>
        </w:rPr>
        <w:t xml:space="preserve"> with the exercise of that right. In circumstances involving a breach of these provisions, the individuals, or group of individuals, </w:t>
      </w:r>
      <w:r w:rsidR="00046ED0" w:rsidRPr="00330981">
        <w:rPr>
          <w:rFonts w:eastAsia="Calibri" w:cs="Times New Roman"/>
          <w:sz w:val="24"/>
          <w:szCs w:val="24"/>
        </w:rPr>
        <w:t>entitled</w:t>
      </w:r>
      <w:r w:rsidRPr="00330981">
        <w:rPr>
          <w:rFonts w:eastAsia="Calibri" w:cs="Times New Roman"/>
          <w:sz w:val="24"/>
          <w:szCs w:val="24"/>
        </w:rPr>
        <w:t xml:space="preserve"> to use the groundwater concerned are entitled to institute judicial proceedings to </w:t>
      </w:r>
      <w:r w:rsidR="00046ED0" w:rsidRPr="00330981">
        <w:rPr>
          <w:rFonts w:eastAsia="Calibri" w:cs="Times New Roman"/>
          <w:sz w:val="24"/>
          <w:szCs w:val="24"/>
        </w:rPr>
        <w:t>ensure</w:t>
      </w:r>
      <w:r w:rsidRPr="00330981">
        <w:rPr>
          <w:rFonts w:eastAsia="Calibri" w:cs="Times New Roman"/>
          <w:sz w:val="24"/>
          <w:szCs w:val="24"/>
        </w:rPr>
        <w:t xml:space="preserve"> respect for their entitlement to use non-polluted water.</w:t>
      </w:r>
      <w:r w:rsidRPr="00330981">
        <w:rPr>
          <w:rFonts w:eastAsia="Calibri" w:cs="Times New Roman"/>
          <w:sz w:val="24"/>
          <w:szCs w:val="24"/>
          <w:vertAlign w:val="superscript"/>
        </w:rPr>
        <w:footnoteReference w:id="35"/>
      </w:r>
      <w:r w:rsidRPr="00330981">
        <w:rPr>
          <w:rFonts w:eastAsia="Calibri" w:cs="Times New Roman"/>
          <w:sz w:val="24"/>
          <w:szCs w:val="24"/>
        </w:rPr>
        <w:t xml:space="preserve"> </w:t>
      </w:r>
    </w:p>
    <w:p w14:paraId="6F3D744C" w14:textId="663323E4" w:rsidR="005B4A0C" w:rsidRPr="00330981" w:rsidRDefault="005B4A0C" w:rsidP="00DD6ED9">
      <w:pPr>
        <w:spacing w:line="264" w:lineRule="auto"/>
        <w:ind w:firstLine="284"/>
        <w:jc w:val="both"/>
        <w:rPr>
          <w:rFonts w:eastAsia="Calibri" w:cs="Times New Roman"/>
          <w:sz w:val="24"/>
          <w:szCs w:val="24"/>
        </w:rPr>
      </w:pPr>
      <w:r w:rsidRPr="00330981">
        <w:rPr>
          <w:rFonts w:eastAsia="Calibri" w:cs="Times New Roman"/>
          <w:sz w:val="24"/>
          <w:szCs w:val="24"/>
        </w:rPr>
        <w:t xml:space="preserve">In the light of the foregoing considerations, it should be clear that the case law </w:t>
      </w:r>
      <w:r w:rsidR="00046ED0" w:rsidRPr="00330981">
        <w:rPr>
          <w:rFonts w:eastAsia="Calibri" w:cs="Times New Roman"/>
          <w:sz w:val="24"/>
          <w:szCs w:val="24"/>
        </w:rPr>
        <w:t>has primarily</w:t>
      </w:r>
      <w:r w:rsidRPr="00330981">
        <w:rPr>
          <w:rFonts w:eastAsia="Calibri" w:cs="Times New Roman"/>
          <w:sz w:val="24"/>
          <w:szCs w:val="24"/>
        </w:rPr>
        <w:t xml:space="preserve"> revolved around the creation of a right </w:t>
      </w:r>
      <w:r w:rsidR="0056147C" w:rsidRPr="00330981">
        <w:rPr>
          <w:rFonts w:eastAsia="Calibri" w:cs="Times New Roman"/>
          <w:sz w:val="24"/>
          <w:szCs w:val="24"/>
        </w:rPr>
        <w:t>to</w:t>
      </w:r>
      <w:r w:rsidRPr="00330981">
        <w:rPr>
          <w:rFonts w:eastAsia="Calibri" w:cs="Times New Roman"/>
          <w:sz w:val="24"/>
          <w:szCs w:val="24"/>
        </w:rPr>
        <w:t xml:space="preserve"> access to justice for individuals “directly concerned” by a breach of EU environmental law. </w:t>
      </w:r>
      <w:r w:rsidR="009F4B6F" w:rsidRPr="00330981">
        <w:rPr>
          <w:color w:val="0D0D0D" w:themeColor="text1" w:themeTint="F2"/>
          <w:sz w:val="24"/>
          <w:szCs w:val="24"/>
        </w:rPr>
        <w:t xml:space="preserve">The standards of access to justice set out by the Aarhus Convention served as a relevant source of inspiration </w:t>
      </w:r>
      <w:r w:rsidR="00C61176" w:rsidRPr="00330981">
        <w:rPr>
          <w:color w:val="0D0D0D" w:themeColor="text1" w:themeTint="F2"/>
          <w:sz w:val="24"/>
          <w:szCs w:val="24"/>
        </w:rPr>
        <w:t xml:space="preserve">to </w:t>
      </w:r>
      <w:r w:rsidR="009F4B6F" w:rsidRPr="00330981">
        <w:rPr>
          <w:color w:val="0D0D0D" w:themeColor="text1" w:themeTint="F2"/>
          <w:sz w:val="24"/>
          <w:szCs w:val="24"/>
        </w:rPr>
        <w:t xml:space="preserve">allow individuals affected by breaches of EU environmental law to obtain access to justice. </w:t>
      </w:r>
      <w:r w:rsidRPr="00330981">
        <w:rPr>
          <w:rFonts w:eastAsia="Calibri" w:cs="Times New Roman"/>
          <w:sz w:val="24"/>
          <w:szCs w:val="24"/>
        </w:rPr>
        <w:t xml:space="preserve">The approach </w:t>
      </w:r>
      <w:r w:rsidR="0056147C" w:rsidRPr="00330981">
        <w:rPr>
          <w:rFonts w:eastAsia="Calibri" w:cs="Times New Roman"/>
          <w:sz w:val="24"/>
          <w:szCs w:val="24"/>
        </w:rPr>
        <w:t>adopted</w:t>
      </w:r>
      <w:r w:rsidRPr="00330981">
        <w:rPr>
          <w:rFonts w:eastAsia="Calibri" w:cs="Times New Roman"/>
          <w:sz w:val="24"/>
          <w:szCs w:val="24"/>
        </w:rPr>
        <w:t xml:space="preserve"> by the Court </w:t>
      </w:r>
      <w:r w:rsidR="0056147C" w:rsidRPr="00330981">
        <w:rPr>
          <w:rFonts w:eastAsia="Calibri" w:cs="Times New Roman"/>
          <w:sz w:val="24"/>
          <w:szCs w:val="24"/>
        </w:rPr>
        <w:t>does</w:t>
      </w:r>
      <w:r w:rsidRPr="00330981">
        <w:rPr>
          <w:rFonts w:eastAsia="Calibri" w:cs="Times New Roman"/>
          <w:sz w:val="24"/>
          <w:szCs w:val="24"/>
        </w:rPr>
        <w:t xml:space="preserve"> not fundamentally depart from the “generous approach” </w:t>
      </w:r>
      <w:r w:rsidR="00046ED0" w:rsidRPr="00330981">
        <w:rPr>
          <w:rFonts w:eastAsia="Calibri" w:cs="Times New Roman"/>
          <w:sz w:val="24"/>
          <w:szCs w:val="24"/>
        </w:rPr>
        <w:t>described</w:t>
      </w:r>
      <w:r w:rsidRPr="00330981">
        <w:rPr>
          <w:rFonts w:eastAsia="Calibri" w:cs="Times New Roman"/>
          <w:sz w:val="24"/>
          <w:szCs w:val="24"/>
        </w:rPr>
        <w:t xml:space="preserve"> by Dougan. According to him, the Court’s approach has been to “harness” the services of concerned individuals to secure </w:t>
      </w:r>
      <w:r w:rsidR="00046ED0" w:rsidRPr="00330981">
        <w:rPr>
          <w:rFonts w:eastAsia="Calibri" w:cs="Times New Roman"/>
          <w:sz w:val="24"/>
          <w:szCs w:val="24"/>
        </w:rPr>
        <w:t xml:space="preserve">the </w:t>
      </w:r>
      <w:r w:rsidRPr="00330981">
        <w:rPr>
          <w:rFonts w:eastAsia="Calibri" w:cs="Times New Roman"/>
          <w:sz w:val="24"/>
          <w:szCs w:val="24"/>
        </w:rPr>
        <w:t>enforcement of environmental rules.</w:t>
      </w:r>
      <w:r w:rsidRPr="00330981">
        <w:rPr>
          <w:rFonts w:eastAsia="Calibri" w:cs="Times New Roman"/>
          <w:sz w:val="24"/>
          <w:szCs w:val="24"/>
          <w:vertAlign w:val="superscript"/>
        </w:rPr>
        <w:footnoteReference w:id="36"/>
      </w:r>
      <w:r w:rsidRPr="00330981">
        <w:rPr>
          <w:rFonts w:eastAsia="Calibri" w:cs="Times New Roman"/>
          <w:sz w:val="24"/>
          <w:szCs w:val="24"/>
        </w:rPr>
        <w:t xml:space="preserve"> By offering </w:t>
      </w:r>
      <w:r w:rsidR="00CB1650" w:rsidRPr="00330981">
        <w:rPr>
          <w:rFonts w:eastAsia="Calibri" w:cs="Times New Roman"/>
          <w:sz w:val="24"/>
          <w:szCs w:val="24"/>
        </w:rPr>
        <w:t>“</w:t>
      </w:r>
      <w:r w:rsidRPr="00330981">
        <w:rPr>
          <w:rFonts w:eastAsia="Calibri" w:cs="Times New Roman"/>
          <w:sz w:val="24"/>
          <w:szCs w:val="24"/>
        </w:rPr>
        <w:t>concerned</w:t>
      </w:r>
      <w:r w:rsidR="00CB1650" w:rsidRPr="00330981">
        <w:rPr>
          <w:rFonts w:eastAsia="Calibri" w:cs="Times New Roman"/>
          <w:sz w:val="24"/>
          <w:szCs w:val="24"/>
        </w:rPr>
        <w:t>”</w:t>
      </w:r>
      <w:r w:rsidRPr="00330981">
        <w:rPr>
          <w:rFonts w:eastAsia="Calibri" w:cs="Times New Roman"/>
          <w:sz w:val="24"/>
          <w:szCs w:val="24"/>
        </w:rPr>
        <w:t xml:space="preserve"> individuals </w:t>
      </w:r>
      <w:r w:rsidR="00046ED0" w:rsidRPr="00330981">
        <w:rPr>
          <w:rFonts w:eastAsia="Calibri" w:cs="Times New Roman"/>
          <w:sz w:val="24"/>
          <w:szCs w:val="24"/>
        </w:rPr>
        <w:t>the</w:t>
      </w:r>
      <w:r w:rsidRPr="00330981">
        <w:rPr>
          <w:rFonts w:eastAsia="Calibri" w:cs="Times New Roman"/>
          <w:sz w:val="24"/>
          <w:szCs w:val="24"/>
        </w:rPr>
        <w:t xml:space="preserve"> right to initiate proceedings in relation to the enforcement of environmental provisions, the Court appears primarily concerned </w:t>
      </w:r>
      <w:r w:rsidR="00427E3E" w:rsidRPr="00330981">
        <w:rPr>
          <w:rFonts w:eastAsia="Calibri" w:cs="Times New Roman"/>
          <w:sz w:val="24"/>
          <w:szCs w:val="24"/>
        </w:rPr>
        <w:t>with</w:t>
      </w:r>
      <w:r w:rsidRPr="00330981">
        <w:rPr>
          <w:rFonts w:eastAsia="Calibri" w:cs="Times New Roman"/>
          <w:sz w:val="24"/>
          <w:szCs w:val="24"/>
        </w:rPr>
        <w:t xml:space="preserve"> empowering these individuals to act on behalf, or for the sake of, the environment. After all, the applicants involved in the cases analysed above essentially sought to bring national authorities to court for </w:t>
      </w:r>
      <w:r w:rsidR="00427E3E" w:rsidRPr="00330981">
        <w:rPr>
          <w:rFonts w:eastAsia="Calibri" w:cs="Times New Roman"/>
          <w:sz w:val="24"/>
          <w:szCs w:val="24"/>
        </w:rPr>
        <w:t>their failure to comply</w:t>
      </w:r>
      <w:r w:rsidRPr="00330981">
        <w:rPr>
          <w:rFonts w:eastAsia="Calibri" w:cs="Times New Roman"/>
          <w:sz w:val="24"/>
          <w:szCs w:val="24"/>
        </w:rPr>
        <w:t xml:space="preserve"> with EU environmental law.</w:t>
      </w:r>
      <w:r w:rsidRPr="00330981">
        <w:rPr>
          <w:rFonts w:eastAsia="Calibri" w:cs="Times New Roman"/>
          <w:b/>
          <w:bCs/>
          <w:sz w:val="24"/>
          <w:szCs w:val="24"/>
        </w:rPr>
        <w:t xml:space="preserve"> </w:t>
      </w:r>
      <w:r w:rsidRPr="00330981">
        <w:rPr>
          <w:rFonts w:eastAsia="Calibri" w:cs="Times New Roman"/>
          <w:sz w:val="24"/>
          <w:szCs w:val="24"/>
        </w:rPr>
        <w:t xml:space="preserve">Beyond the right to initiate judicial proceedings in the general interest, the Court also equipped national </w:t>
      </w:r>
      <w:r w:rsidR="004E1DC6" w:rsidRPr="00330981">
        <w:rPr>
          <w:rFonts w:eastAsia="Calibri" w:cs="Times New Roman"/>
          <w:sz w:val="24"/>
          <w:szCs w:val="24"/>
        </w:rPr>
        <w:t xml:space="preserve">courts </w:t>
      </w:r>
      <w:r w:rsidRPr="00330981">
        <w:rPr>
          <w:rFonts w:eastAsia="Calibri" w:cs="Times New Roman"/>
          <w:sz w:val="24"/>
          <w:szCs w:val="24"/>
        </w:rPr>
        <w:t xml:space="preserve">with additional procedural tools, including the </w:t>
      </w:r>
      <w:r w:rsidR="00427E3E" w:rsidRPr="00330981">
        <w:rPr>
          <w:rFonts w:eastAsia="Calibri" w:cs="Times New Roman"/>
          <w:sz w:val="24"/>
          <w:szCs w:val="24"/>
        </w:rPr>
        <w:t>ability</w:t>
      </w:r>
      <w:r w:rsidRPr="00330981">
        <w:rPr>
          <w:rFonts w:eastAsia="Calibri" w:cs="Times New Roman"/>
          <w:sz w:val="24"/>
          <w:szCs w:val="24"/>
        </w:rPr>
        <w:t xml:space="preserve"> to </w:t>
      </w:r>
      <w:r w:rsidR="00427E3E" w:rsidRPr="00330981">
        <w:rPr>
          <w:rFonts w:eastAsia="Calibri" w:cs="Times New Roman"/>
          <w:sz w:val="24"/>
          <w:szCs w:val="24"/>
        </w:rPr>
        <w:t>issue</w:t>
      </w:r>
      <w:r w:rsidRPr="00330981">
        <w:rPr>
          <w:rFonts w:eastAsia="Calibri" w:cs="Times New Roman"/>
          <w:sz w:val="24"/>
          <w:szCs w:val="24"/>
        </w:rPr>
        <w:t xml:space="preserve"> an order or </w:t>
      </w:r>
      <w:r w:rsidR="00427E3E" w:rsidRPr="00330981">
        <w:rPr>
          <w:rFonts w:eastAsia="Calibri" w:cs="Times New Roman"/>
          <w:sz w:val="24"/>
          <w:szCs w:val="24"/>
        </w:rPr>
        <w:t>impose f</w:t>
      </w:r>
      <w:r w:rsidRPr="00330981">
        <w:rPr>
          <w:rFonts w:eastAsia="Calibri" w:cs="Times New Roman"/>
          <w:sz w:val="24"/>
          <w:szCs w:val="24"/>
        </w:rPr>
        <w:t>inancial penal</w:t>
      </w:r>
      <w:r w:rsidR="00427E3E" w:rsidRPr="00330981">
        <w:rPr>
          <w:rFonts w:eastAsia="Calibri" w:cs="Times New Roman"/>
          <w:sz w:val="24"/>
          <w:szCs w:val="24"/>
        </w:rPr>
        <w:t>ties</w:t>
      </w:r>
      <w:r w:rsidRPr="00330981">
        <w:rPr>
          <w:rFonts w:eastAsia="Calibri" w:cs="Times New Roman"/>
          <w:sz w:val="24"/>
          <w:szCs w:val="24"/>
        </w:rPr>
        <w:t>, in order to guarantee that EU environmental provisions are respected.</w:t>
      </w:r>
      <w:r w:rsidRPr="00330981">
        <w:rPr>
          <w:rFonts w:eastAsia="Calibri" w:cs="Times New Roman"/>
          <w:sz w:val="24"/>
          <w:szCs w:val="24"/>
          <w:vertAlign w:val="superscript"/>
        </w:rPr>
        <w:footnoteReference w:id="37"/>
      </w:r>
      <w:r w:rsidRPr="00330981">
        <w:rPr>
          <w:rFonts w:eastAsia="Calibri" w:cs="Times New Roman"/>
          <w:sz w:val="24"/>
          <w:szCs w:val="24"/>
        </w:rPr>
        <w:t xml:space="preserve"> These tools are essentially meant to empower national judges to secure the judicial enforcement of obligations </w:t>
      </w:r>
      <w:r w:rsidR="00427E3E" w:rsidRPr="00330981">
        <w:rPr>
          <w:rFonts w:eastAsia="Calibri" w:cs="Times New Roman"/>
          <w:sz w:val="24"/>
          <w:szCs w:val="24"/>
        </w:rPr>
        <w:t>contained</w:t>
      </w:r>
      <w:r w:rsidRPr="00330981">
        <w:rPr>
          <w:rFonts w:eastAsia="Calibri" w:cs="Times New Roman"/>
          <w:sz w:val="24"/>
          <w:szCs w:val="24"/>
        </w:rPr>
        <w:t xml:space="preserve"> in </w:t>
      </w:r>
      <w:r w:rsidR="00427E3E" w:rsidRPr="00330981">
        <w:rPr>
          <w:rFonts w:eastAsia="Calibri" w:cs="Times New Roman"/>
          <w:sz w:val="24"/>
          <w:szCs w:val="24"/>
        </w:rPr>
        <w:t xml:space="preserve">the </w:t>
      </w:r>
      <w:r w:rsidRPr="00330981">
        <w:rPr>
          <w:rFonts w:eastAsia="Calibri" w:cs="Times New Roman"/>
          <w:sz w:val="24"/>
          <w:szCs w:val="24"/>
        </w:rPr>
        <w:t xml:space="preserve">relevant secondary provisions in the area of environmental protection. </w:t>
      </w:r>
    </w:p>
    <w:p w14:paraId="23A3723C" w14:textId="52F4DC09" w:rsidR="005B4A0C" w:rsidRPr="00330981" w:rsidRDefault="005B4A0C" w:rsidP="00DD6ED9">
      <w:pPr>
        <w:spacing w:line="264" w:lineRule="auto"/>
        <w:ind w:firstLine="284"/>
        <w:jc w:val="both"/>
        <w:rPr>
          <w:rFonts w:eastAsia="Calibri" w:cs="Times New Roman"/>
          <w:sz w:val="24"/>
          <w:szCs w:val="24"/>
        </w:rPr>
      </w:pPr>
      <w:r w:rsidRPr="00330981">
        <w:rPr>
          <w:rFonts w:eastAsia="Calibri" w:cs="Times New Roman"/>
          <w:sz w:val="24"/>
          <w:szCs w:val="24"/>
        </w:rPr>
        <w:t xml:space="preserve">At the same time, the judgments analysed above </w:t>
      </w:r>
      <w:r w:rsidR="00427E3E" w:rsidRPr="00330981">
        <w:rPr>
          <w:rFonts w:eastAsia="Calibri" w:cs="Times New Roman"/>
          <w:sz w:val="24"/>
          <w:szCs w:val="24"/>
        </w:rPr>
        <w:t>suggests the emergence</w:t>
      </w:r>
      <w:r w:rsidRPr="00330981">
        <w:rPr>
          <w:rFonts w:eastAsia="Calibri" w:cs="Times New Roman"/>
          <w:sz w:val="24"/>
          <w:szCs w:val="24"/>
        </w:rPr>
        <w:t xml:space="preserve"> of remedies revolving more prominently around the judicial protection of individual rights or interests. </w:t>
      </w:r>
      <w:r w:rsidR="0056147C" w:rsidRPr="00330981">
        <w:rPr>
          <w:rFonts w:eastAsia="Times New Roman" w:cs="Times New Roman"/>
          <w:color w:val="0D0D0D"/>
          <w:sz w:val="24"/>
          <w:szCs w:val="24"/>
          <w:lang w:eastAsia="fr-FR"/>
        </w:rPr>
        <w:t>It has been</w:t>
      </w:r>
      <w:r w:rsidRPr="00330981">
        <w:rPr>
          <w:rFonts w:eastAsia="Times New Roman" w:cs="Times New Roman"/>
          <w:color w:val="0D0D0D"/>
          <w:sz w:val="24"/>
          <w:szCs w:val="24"/>
          <w:lang w:eastAsia="fr-FR"/>
        </w:rPr>
        <w:t xml:space="preserve"> suggested that these judgments reflect a tendency in case law to recognise that at least those provisions adopted to protect human health – such as,</w:t>
      </w:r>
      <w:r w:rsidR="00427E3E" w:rsidRPr="00330981">
        <w:rPr>
          <w:rFonts w:eastAsia="Times New Roman" w:cs="Times New Roman"/>
          <w:color w:val="0D0D0D"/>
          <w:sz w:val="24"/>
          <w:szCs w:val="24"/>
          <w:lang w:eastAsia="fr-FR"/>
        </w:rPr>
        <w:t xml:space="preserve"> for example</w:t>
      </w:r>
      <w:r w:rsidRPr="00330981">
        <w:rPr>
          <w:rFonts w:eastAsia="Times New Roman" w:cs="Times New Roman"/>
          <w:color w:val="0D0D0D"/>
          <w:sz w:val="24"/>
          <w:szCs w:val="24"/>
          <w:lang w:eastAsia="fr-FR"/>
        </w:rPr>
        <w:t>, those which relate to air quality</w:t>
      </w:r>
      <w:r w:rsidRPr="00330981">
        <w:rPr>
          <w:rFonts w:eastAsia="Times New Roman" w:cs="Times New Roman"/>
          <w:color w:val="0D0D0D"/>
          <w:sz w:val="24"/>
          <w:szCs w:val="24"/>
          <w:vertAlign w:val="superscript"/>
          <w:lang w:eastAsia="fr-FR"/>
        </w:rPr>
        <w:footnoteReference w:id="38"/>
      </w:r>
      <w:r w:rsidRPr="00330981">
        <w:rPr>
          <w:rFonts w:eastAsia="Times New Roman" w:cs="Times New Roman"/>
          <w:color w:val="0D0D0D"/>
          <w:sz w:val="24"/>
          <w:szCs w:val="24"/>
          <w:lang w:eastAsia="fr-FR"/>
        </w:rPr>
        <w:t xml:space="preserve"> and drinking water</w:t>
      </w:r>
      <w:r w:rsidRPr="00330981">
        <w:rPr>
          <w:rFonts w:eastAsia="Times New Roman" w:cs="Times New Roman"/>
          <w:color w:val="0D0D0D"/>
          <w:sz w:val="24"/>
          <w:szCs w:val="24"/>
          <w:vertAlign w:val="superscript"/>
          <w:lang w:eastAsia="fr-FR"/>
        </w:rPr>
        <w:footnoteReference w:id="39"/>
      </w:r>
      <w:r w:rsidRPr="00330981">
        <w:rPr>
          <w:rFonts w:eastAsia="Times New Roman" w:cs="Times New Roman"/>
          <w:color w:val="0D0D0D"/>
          <w:sz w:val="24"/>
          <w:szCs w:val="24"/>
          <w:lang w:eastAsia="fr-FR"/>
        </w:rPr>
        <w:t xml:space="preserve"> – could give rise to individual rights for those “concerned” </w:t>
      </w:r>
      <w:r w:rsidRPr="00330981">
        <w:rPr>
          <w:rFonts w:eastAsia="Times New Roman" w:cs="Times New Roman"/>
          <w:color w:val="0D0D0D"/>
          <w:sz w:val="24"/>
          <w:szCs w:val="24"/>
          <w:lang w:eastAsia="fr-FR"/>
        </w:rPr>
        <w:lastRenderedPageBreak/>
        <w:t>by an infringement of these provisions.</w:t>
      </w:r>
      <w:r w:rsidR="0056147C" w:rsidRPr="00330981">
        <w:rPr>
          <w:rStyle w:val="FootnoteReference"/>
          <w:rFonts w:eastAsia="Times New Roman" w:cs="Times New Roman"/>
          <w:color w:val="0D0D0D"/>
          <w:sz w:val="24"/>
          <w:szCs w:val="24"/>
          <w:lang w:eastAsia="fr-FR"/>
        </w:rPr>
        <w:footnoteReference w:id="40"/>
      </w:r>
      <w:r w:rsidRPr="00330981">
        <w:rPr>
          <w:rFonts w:eastAsia="Times New Roman" w:cs="Times New Roman"/>
          <w:color w:val="0D0D0D"/>
          <w:sz w:val="24"/>
          <w:szCs w:val="24"/>
          <w:lang w:eastAsia="fr-FR"/>
        </w:rPr>
        <w:t xml:space="preserve"> The Court itself seemed to </w:t>
      </w:r>
      <w:r w:rsidR="00427E3E" w:rsidRPr="00330981">
        <w:rPr>
          <w:rFonts w:eastAsia="Times New Roman" w:cs="Times New Roman"/>
          <w:color w:val="0D0D0D"/>
          <w:sz w:val="24"/>
          <w:szCs w:val="24"/>
          <w:lang w:eastAsia="fr-FR"/>
        </w:rPr>
        <w:t>endorse</w:t>
      </w:r>
      <w:r w:rsidRPr="00330981">
        <w:rPr>
          <w:rFonts w:eastAsia="Times New Roman" w:cs="Times New Roman"/>
          <w:color w:val="0D0D0D"/>
          <w:sz w:val="24"/>
          <w:szCs w:val="24"/>
          <w:lang w:eastAsia="fr-FR"/>
        </w:rPr>
        <w:t xml:space="preserve"> th</w:t>
      </w:r>
      <w:r w:rsidR="00427E3E" w:rsidRPr="00330981">
        <w:rPr>
          <w:rFonts w:eastAsia="Times New Roman" w:cs="Times New Roman"/>
          <w:color w:val="0D0D0D"/>
          <w:sz w:val="24"/>
          <w:szCs w:val="24"/>
          <w:lang w:eastAsia="fr-FR"/>
        </w:rPr>
        <w:t>is</w:t>
      </w:r>
      <w:r w:rsidRPr="00330981">
        <w:rPr>
          <w:rFonts w:eastAsia="Times New Roman" w:cs="Times New Roman"/>
          <w:color w:val="0D0D0D"/>
          <w:sz w:val="24"/>
          <w:szCs w:val="24"/>
          <w:lang w:eastAsia="fr-FR"/>
        </w:rPr>
        <w:t xml:space="preserve"> view. In many instances, it stated that it was precisely because the directives at stake “intended to create rights for individuals” that the “persons concerned” had to be able to rely upon them in national judicial proceedings, if needed by bringing legal proceedings. In the judgment delivered in </w:t>
      </w:r>
      <w:proofErr w:type="spellStart"/>
      <w:r w:rsidR="000C3E01" w:rsidRPr="00330981">
        <w:rPr>
          <w:rFonts w:eastAsia="Calibri" w:cs="Times New Roman"/>
          <w:i/>
          <w:iCs/>
          <w:sz w:val="24"/>
          <w:szCs w:val="24"/>
        </w:rPr>
        <w:t>Wasserleitungsverband</w:t>
      </w:r>
      <w:proofErr w:type="spellEnd"/>
      <w:r w:rsidR="000C3E01" w:rsidRPr="00330981">
        <w:rPr>
          <w:rFonts w:eastAsia="Calibri" w:cs="Times New Roman"/>
          <w:i/>
          <w:iCs/>
          <w:sz w:val="24"/>
          <w:szCs w:val="24"/>
        </w:rPr>
        <w:t xml:space="preserve"> </w:t>
      </w:r>
      <w:proofErr w:type="spellStart"/>
      <w:r w:rsidR="000C3E01" w:rsidRPr="00330981">
        <w:rPr>
          <w:rFonts w:eastAsia="Calibri" w:cs="Times New Roman"/>
          <w:i/>
          <w:iCs/>
          <w:sz w:val="24"/>
          <w:szCs w:val="24"/>
        </w:rPr>
        <w:t>Nördliches</w:t>
      </w:r>
      <w:proofErr w:type="spellEnd"/>
      <w:r w:rsidR="000C3E01" w:rsidRPr="00330981">
        <w:rPr>
          <w:rFonts w:eastAsia="Calibri" w:cs="Times New Roman"/>
          <w:i/>
          <w:iCs/>
          <w:sz w:val="24"/>
          <w:szCs w:val="24"/>
        </w:rPr>
        <w:t xml:space="preserve"> </w:t>
      </w:r>
      <w:proofErr w:type="spellStart"/>
      <w:r w:rsidR="000C3E01" w:rsidRPr="00330981">
        <w:rPr>
          <w:rFonts w:eastAsia="Calibri" w:cs="Times New Roman"/>
          <w:i/>
          <w:iCs/>
          <w:sz w:val="24"/>
          <w:szCs w:val="24"/>
        </w:rPr>
        <w:t>Borgenland</w:t>
      </w:r>
      <w:proofErr w:type="spellEnd"/>
      <w:r w:rsidR="000C3E01" w:rsidRPr="00330981">
        <w:rPr>
          <w:rFonts w:eastAsia="Calibri" w:cs="Times New Roman"/>
          <w:i/>
          <w:iCs/>
          <w:sz w:val="24"/>
          <w:szCs w:val="24"/>
        </w:rPr>
        <w:t xml:space="preserve"> and Others</w:t>
      </w:r>
      <w:r w:rsidRPr="00330981">
        <w:rPr>
          <w:rFonts w:eastAsia="Times New Roman" w:cs="Times New Roman"/>
          <w:color w:val="0D0D0D"/>
          <w:sz w:val="24"/>
          <w:szCs w:val="24"/>
          <w:lang w:eastAsia="fr-FR"/>
        </w:rPr>
        <w:t xml:space="preserve">, the Court seemingly identified individual interests protected by the Nitrates Directive. </w:t>
      </w:r>
      <w:r w:rsidRPr="00330981">
        <w:rPr>
          <w:rFonts w:eastAsia="Calibri" w:cs="Times New Roman"/>
          <w:sz w:val="24"/>
          <w:szCs w:val="24"/>
        </w:rPr>
        <w:t xml:space="preserve">One could </w:t>
      </w:r>
      <w:r w:rsidR="00427E3E" w:rsidRPr="00330981">
        <w:rPr>
          <w:rFonts w:eastAsia="Calibri" w:cs="Times New Roman"/>
          <w:sz w:val="24"/>
          <w:szCs w:val="24"/>
        </w:rPr>
        <w:t>therefore</w:t>
      </w:r>
      <w:r w:rsidRPr="00330981">
        <w:rPr>
          <w:rFonts w:eastAsia="Calibri" w:cs="Times New Roman"/>
          <w:sz w:val="24"/>
          <w:szCs w:val="24"/>
        </w:rPr>
        <w:t xml:space="preserve"> ponder the prospect of developing a genuine individual right to clean air, or water</w:t>
      </w:r>
      <w:r w:rsidR="00427E3E" w:rsidRPr="00330981">
        <w:rPr>
          <w:rFonts w:eastAsia="Calibri" w:cs="Times New Roman"/>
          <w:sz w:val="24"/>
          <w:szCs w:val="24"/>
        </w:rPr>
        <w:t>,</w:t>
      </w:r>
      <w:r w:rsidRPr="00330981">
        <w:rPr>
          <w:rFonts w:eastAsia="Calibri" w:cs="Times New Roman"/>
          <w:sz w:val="24"/>
          <w:szCs w:val="24"/>
        </w:rPr>
        <w:t xml:space="preserve"> deserving of financial compensation for individuals affected by breach</w:t>
      </w:r>
      <w:r w:rsidR="00427E3E" w:rsidRPr="00330981">
        <w:rPr>
          <w:rFonts w:eastAsia="Calibri" w:cs="Times New Roman"/>
          <w:sz w:val="24"/>
          <w:szCs w:val="24"/>
        </w:rPr>
        <w:t>es</w:t>
      </w:r>
      <w:r w:rsidRPr="00330981">
        <w:rPr>
          <w:rFonts w:eastAsia="Calibri" w:cs="Times New Roman"/>
          <w:sz w:val="24"/>
          <w:szCs w:val="24"/>
        </w:rPr>
        <w:t xml:space="preserve"> of these provisions.</w:t>
      </w:r>
    </w:p>
    <w:p w14:paraId="50622D8E" w14:textId="77777777" w:rsidR="005B4A0C" w:rsidRPr="008D2F4A" w:rsidRDefault="005B4A0C" w:rsidP="00DD6ED9">
      <w:pPr>
        <w:spacing w:line="264" w:lineRule="auto"/>
        <w:jc w:val="both"/>
        <w:rPr>
          <w:rFonts w:eastAsia="Calibri" w:cs="Times New Roman"/>
          <w:sz w:val="24"/>
          <w:szCs w:val="24"/>
        </w:rPr>
      </w:pPr>
    </w:p>
    <w:p w14:paraId="617A7E8B" w14:textId="77777777" w:rsidR="005B4A0C" w:rsidRPr="008D2F4A" w:rsidRDefault="005B4A0C" w:rsidP="00DD6ED9">
      <w:pPr>
        <w:numPr>
          <w:ilvl w:val="0"/>
          <w:numId w:val="1"/>
        </w:numPr>
        <w:spacing w:line="264" w:lineRule="auto"/>
        <w:ind w:left="709" w:hanging="709"/>
        <w:jc w:val="both"/>
        <w:rPr>
          <w:rFonts w:eastAsia="Calibri" w:cs="Times New Roman"/>
          <w:sz w:val="24"/>
          <w:szCs w:val="24"/>
        </w:rPr>
      </w:pPr>
      <w:r w:rsidRPr="008D2F4A">
        <w:rPr>
          <w:rFonts w:eastAsia="Calibri" w:cs="Times New Roman"/>
          <w:sz w:val="24"/>
          <w:szCs w:val="24"/>
        </w:rPr>
        <w:t xml:space="preserve">Towards the creation of remedies for the sake of individual rights protection? </w:t>
      </w:r>
    </w:p>
    <w:p w14:paraId="33559228" w14:textId="77777777" w:rsidR="005B4A0C" w:rsidRPr="008D2F4A" w:rsidRDefault="005B4A0C" w:rsidP="00DD6ED9">
      <w:pPr>
        <w:spacing w:line="264" w:lineRule="auto"/>
        <w:ind w:left="709"/>
        <w:jc w:val="both"/>
        <w:rPr>
          <w:rFonts w:eastAsia="Calibri" w:cs="Times New Roman"/>
          <w:sz w:val="24"/>
          <w:szCs w:val="24"/>
        </w:rPr>
      </w:pPr>
    </w:p>
    <w:p w14:paraId="74D4E570" w14:textId="6AB547A8" w:rsidR="005B4A0C" w:rsidRPr="008D2F4A" w:rsidRDefault="005B4A0C" w:rsidP="00DD6ED9">
      <w:pPr>
        <w:spacing w:line="264" w:lineRule="auto"/>
        <w:jc w:val="both"/>
        <w:rPr>
          <w:rFonts w:eastAsia="Calibri" w:cs="Times New Roman"/>
          <w:sz w:val="24"/>
          <w:szCs w:val="24"/>
        </w:rPr>
      </w:pPr>
      <w:r w:rsidRPr="008D2F4A">
        <w:rPr>
          <w:rFonts w:eastAsia="Calibri" w:cs="Times New Roman"/>
          <w:sz w:val="24"/>
          <w:szCs w:val="24"/>
        </w:rPr>
        <w:t xml:space="preserve">This section reflects </w:t>
      </w:r>
      <w:r w:rsidR="00B55FED" w:rsidRPr="008D2F4A">
        <w:rPr>
          <w:rFonts w:eastAsia="Calibri" w:cs="Times New Roman"/>
          <w:sz w:val="24"/>
          <w:szCs w:val="24"/>
        </w:rPr>
        <w:t>on</w:t>
      </w:r>
      <w:r w:rsidRPr="008D2F4A">
        <w:rPr>
          <w:rFonts w:eastAsia="Calibri" w:cs="Times New Roman"/>
          <w:sz w:val="24"/>
          <w:szCs w:val="24"/>
        </w:rPr>
        <w:t xml:space="preserve"> the prospect of developing remedies more explicitly </w:t>
      </w:r>
      <w:r w:rsidR="00B55FED" w:rsidRPr="008D2F4A">
        <w:rPr>
          <w:rFonts w:eastAsia="Calibri" w:cs="Times New Roman"/>
          <w:sz w:val="24"/>
          <w:szCs w:val="24"/>
        </w:rPr>
        <w:t xml:space="preserve">geared </w:t>
      </w:r>
      <w:r w:rsidRPr="008D2F4A">
        <w:rPr>
          <w:rFonts w:eastAsia="Calibri" w:cs="Times New Roman"/>
          <w:sz w:val="24"/>
          <w:szCs w:val="24"/>
        </w:rPr>
        <w:t xml:space="preserve">towards the judicial protection of individual rights in the field of environmental law. It explains that the Court </w:t>
      </w:r>
      <w:r w:rsidRPr="008D2F4A">
        <w:rPr>
          <w:rFonts w:eastAsia="Aptos" w:cs="Times New Roman"/>
          <w:sz w:val="24"/>
          <w:szCs w:val="24"/>
        </w:rPr>
        <w:t xml:space="preserve">seems </w:t>
      </w:r>
      <w:r w:rsidR="00B55FED" w:rsidRPr="008D2F4A">
        <w:rPr>
          <w:rFonts w:eastAsia="Aptos" w:cs="Times New Roman"/>
          <w:sz w:val="24"/>
          <w:szCs w:val="24"/>
        </w:rPr>
        <w:t>reluctant</w:t>
      </w:r>
      <w:r w:rsidRPr="008D2F4A">
        <w:rPr>
          <w:rFonts w:eastAsia="Aptos" w:cs="Times New Roman"/>
          <w:sz w:val="24"/>
          <w:szCs w:val="24"/>
        </w:rPr>
        <w:t xml:space="preserve"> </w:t>
      </w:r>
      <w:r w:rsidR="00B55FED" w:rsidRPr="008D2F4A">
        <w:rPr>
          <w:rFonts w:eastAsia="Aptos" w:cs="Times New Roman"/>
          <w:sz w:val="24"/>
          <w:szCs w:val="24"/>
        </w:rPr>
        <w:t>to expand</w:t>
      </w:r>
      <w:r w:rsidRPr="008D2F4A">
        <w:rPr>
          <w:rFonts w:eastAsia="Aptos" w:cs="Times New Roman"/>
          <w:sz w:val="24"/>
          <w:szCs w:val="24"/>
        </w:rPr>
        <w:t xml:space="preserve"> the requirements of effective judicial protection beyond the current emphasis on </w:t>
      </w:r>
      <w:r w:rsidR="00B55FED" w:rsidRPr="008D2F4A">
        <w:rPr>
          <w:rFonts w:eastAsia="Aptos" w:cs="Times New Roman"/>
          <w:sz w:val="24"/>
          <w:szCs w:val="24"/>
        </w:rPr>
        <w:t>collective environmental rights.</w:t>
      </w:r>
      <w:r w:rsidRPr="008D2F4A">
        <w:rPr>
          <w:rFonts w:eastAsia="Aptos" w:cs="Times New Roman"/>
          <w:sz w:val="24"/>
          <w:szCs w:val="24"/>
        </w:rPr>
        <w:t xml:space="preserve"> More specifically, the case law falls short of recognising a</w:t>
      </w:r>
      <w:r w:rsidR="00B55FED" w:rsidRPr="008D2F4A">
        <w:rPr>
          <w:rFonts w:eastAsia="Aptos" w:cs="Times New Roman"/>
          <w:sz w:val="24"/>
          <w:szCs w:val="24"/>
        </w:rPr>
        <w:t xml:space="preserve">n </w:t>
      </w:r>
      <w:r w:rsidRPr="008D2F4A">
        <w:rPr>
          <w:rFonts w:eastAsia="Aptos" w:cs="Times New Roman"/>
          <w:sz w:val="24"/>
          <w:szCs w:val="24"/>
        </w:rPr>
        <w:t>individual right to breathe clean air</w:t>
      </w:r>
      <w:r w:rsidR="00B55FED" w:rsidRPr="008D2F4A">
        <w:rPr>
          <w:rFonts w:eastAsia="Aptos" w:cs="Times New Roman"/>
          <w:sz w:val="24"/>
          <w:szCs w:val="24"/>
        </w:rPr>
        <w:t xml:space="preserve"> that could give rise to financial compensation</w:t>
      </w:r>
      <w:r w:rsidRPr="008D2F4A">
        <w:rPr>
          <w:rFonts w:eastAsia="Aptos" w:cs="Times New Roman"/>
          <w:sz w:val="24"/>
          <w:szCs w:val="24"/>
        </w:rPr>
        <w:t xml:space="preserve">. </w:t>
      </w:r>
      <w:r w:rsidRPr="008D2F4A">
        <w:rPr>
          <w:rFonts w:eastAsia="Calibri" w:cs="Times New Roman"/>
          <w:sz w:val="24"/>
          <w:szCs w:val="24"/>
        </w:rPr>
        <w:t xml:space="preserve">This section </w:t>
      </w:r>
      <w:r w:rsidR="00B55FED" w:rsidRPr="008D2F4A">
        <w:rPr>
          <w:rFonts w:eastAsia="Calibri" w:cs="Times New Roman"/>
          <w:sz w:val="24"/>
          <w:szCs w:val="24"/>
        </w:rPr>
        <w:t>then</w:t>
      </w:r>
      <w:r w:rsidRPr="008D2F4A">
        <w:rPr>
          <w:rFonts w:eastAsia="Calibri" w:cs="Times New Roman"/>
          <w:sz w:val="24"/>
          <w:szCs w:val="24"/>
        </w:rPr>
        <w:t xml:space="preserve"> </w:t>
      </w:r>
      <w:r w:rsidR="00B55FED" w:rsidRPr="008D2F4A">
        <w:rPr>
          <w:rFonts w:eastAsia="Aptos" w:cs="Times New Roman"/>
          <w:sz w:val="24"/>
          <w:szCs w:val="24"/>
        </w:rPr>
        <w:t>demonstrates</w:t>
      </w:r>
      <w:r w:rsidRPr="008D2F4A">
        <w:rPr>
          <w:rFonts w:eastAsia="Aptos" w:cs="Times New Roman"/>
          <w:sz w:val="24"/>
          <w:szCs w:val="24"/>
        </w:rPr>
        <w:t xml:space="preserve"> that the </w:t>
      </w:r>
      <w:r w:rsidRPr="008D2F4A">
        <w:rPr>
          <w:rFonts w:eastAsia="Calibri" w:cs="Times New Roman"/>
          <w:sz w:val="24"/>
          <w:szCs w:val="24"/>
        </w:rPr>
        <w:t xml:space="preserve">recast Air Quality Directive </w:t>
      </w:r>
      <w:r w:rsidR="00B55FED" w:rsidRPr="008D2F4A">
        <w:rPr>
          <w:rFonts w:eastAsia="Calibri" w:cs="Times New Roman"/>
          <w:sz w:val="24"/>
          <w:szCs w:val="24"/>
        </w:rPr>
        <w:t>places</w:t>
      </w:r>
      <w:r w:rsidRPr="008D2F4A">
        <w:rPr>
          <w:rFonts w:eastAsia="Calibri" w:cs="Times New Roman"/>
          <w:sz w:val="24"/>
          <w:szCs w:val="24"/>
        </w:rPr>
        <w:t xml:space="preserve"> a more explicit emphasis on </w:t>
      </w:r>
      <w:r w:rsidR="008711BE" w:rsidRPr="008D2F4A">
        <w:rPr>
          <w:rFonts w:eastAsia="Calibri" w:cs="Times New Roman"/>
          <w:sz w:val="24"/>
          <w:szCs w:val="24"/>
        </w:rPr>
        <w:t xml:space="preserve">the protection of </w:t>
      </w:r>
      <w:r w:rsidRPr="008D2F4A">
        <w:rPr>
          <w:rFonts w:eastAsia="Calibri" w:cs="Times New Roman"/>
          <w:sz w:val="24"/>
          <w:szCs w:val="24"/>
        </w:rPr>
        <w:t>individual rights</w:t>
      </w:r>
      <w:r w:rsidR="00B55FED" w:rsidRPr="008D2F4A">
        <w:rPr>
          <w:rFonts w:eastAsia="Calibri" w:cs="Times New Roman"/>
          <w:sz w:val="24"/>
          <w:szCs w:val="24"/>
        </w:rPr>
        <w:t>, introducing</w:t>
      </w:r>
      <w:r w:rsidR="00582212" w:rsidRPr="008D2F4A">
        <w:rPr>
          <w:rFonts w:eastAsia="Calibri" w:cs="Times New Roman"/>
          <w:sz w:val="24"/>
          <w:szCs w:val="24"/>
        </w:rPr>
        <w:t xml:space="preserve"> </w:t>
      </w:r>
      <w:r w:rsidRPr="008D2F4A">
        <w:rPr>
          <w:rFonts w:eastAsia="Calibri" w:cs="Times New Roman"/>
          <w:sz w:val="24"/>
          <w:szCs w:val="24"/>
        </w:rPr>
        <w:t xml:space="preserve">a right </w:t>
      </w:r>
      <w:r w:rsidR="00005DFD" w:rsidRPr="008D2F4A">
        <w:rPr>
          <w:rFonts w:eastAsia="Calibri" w:cs="Times New Roman"/>
          <w:sz w:val="24"/>
          <w:szCs w:val="24"/>
        </w:rPr>
        <w:t>to</w:t>
      </w:r>
      <w:r w:rsidRPr="008D2F4A">
        <w:rPr>
          <w:rFonts w:eastAsia="Calibri" w:cs="Times New Roman"/>
          <w:sz w:val="24"/>
          <w:szCs w:val="24"/>
        </w:rPr>
        <w:t xml:space="preserve"> compensation </w:t>
      </w:r>
      <w:r w:rsidR="00B55FED" w:rsidRPr="008D2F4A">
        <w:rPr>
          <w:rFonts w:eastAsia="Calibri" w:cs="Times New Roman"/>
          <w:sz w:val="24"/>
          <w:szCs w:val="24"/>
        </w:rPr>
        <w:t>for</w:t>
      </w:r>
      <w:r w:rsidRPr="008D2F4A">
        <w:rPr>
          <w:rFonts w:eastAsia="Calibri" w:cs="Times New Roman"/>
          <w:sz w:val="24"/>
          <w:szCs w:val="24"/>
        </w:rPr>
        <w:t xml:space="preserve"> individuals affected by breach</w:t>
      </w:r>
      <w:r w:rsidR="00005DFD" w:rsidRPr="008D2F4A">
        <w:rPr>
          <w:rFonts w:eastAsia="Calibri" w:cs="Times New Roman"/>
          <w:sz w:val="24"/>
          <w:szCs w:val="24"/>
        </w:rPr>
        <w:t>es</w:t>
      </w:r>
      <w:r w:rsidRPr="008D2F4A">
        <w:rPr>
          <w:rFonts w:eastAsia="Calibri" w:cs="Times New Roman"/>
          <w:sz w:val="24"/>
          <w:szCs w:val="24"/>
        </w:rPr>
        <w:t xml:space="preserve"> of </w:t>
      </w:r>
      <w:r w:rsidR="00582212" w:rsidRPr="008D2F4A">
        <w:rPr>
          <w:rFonts w:eastAsia="Calibri" w:cs="Times New Roman"/>
          <w:sz w:val="24"/>
          <w:szCs w:val="24"/>
        </w:rPr>
        <w:t>EU</w:t>
      </w:r>
      <w:r w:rsidRPr="008D2F4A">
        <w:rPr>
          <w:rFonts w:eastAsia="Calibri" w:cs="Times New Roman"/>
          <w:sz w:val="24"/>
          <w:szCs w:val="24"/>
        </w:rPr>
        <w:t xml:space="preserve"> air quality standards. </w:t>
      </w:r>
    </w:p>
    <w:p w14:paraId="267302E2" w14:textId="77777777" w:rsidR="005B4A0C" w:rsidRPr="008D2F4A" w:rsidRDefault="005B4A0C" w:rsidP="00DD6ED9">
      <w:pPr>
        <w:spacing w:line="264" w:lineRule="auto"/>
        <w:jc w:val="both"/>
        <w:rPr>
          <w:rFonts w:eastAsia="Calibri" w:cs="Times New Roman"/>
          <w:sz w:val="24"/>
          <w:szCs w:val="24"/>
        </w:rPr>
      </w:pPr>
    </w:p>
    <w:p w14:paraId="2542620F" w14:textId="77777777" w:rsidR="005B4A0C" w:rsidRPr="008D2F4A" w:rsidRDefault="005B4A0C" w:rsidP="00DD6ED9">
      <w:pPr>
        <w:numPr>
          <w:ilvl w:val="1"/>
          <w:numId w:val="1"/>
        </w:numPr>
        <w:spacing w:line="264" w:lineRule="auto"/>
        <w:ind w:left="709" w:hanging="709"/>
        <w:jc w:val="both"/>
        <w:rPr>
          <w:rFonts w:eastAsia="Calibri" w:cs="Times New Roman"/>
          <w:sz w:val="24"/>
          <w:szCs w:val="24"/>
        </w:rPr>
      </w:pPr>
      <w:r w:rsidRPr="008D2F4A">
        <w:rPr>
          <w:rFonts w:eastAsia="Aptos" w:cs="Times New Roman"/>
          <w:sz w:val="24"/>
          <w:szCs w:val="24"/>
        </w:rPr>
        <w:t xml:space="preserve">The ECJ’s refusal to recognise EU state liability in environmental matters </w:t>
      </w:r>
    </w:p>
    <w:p w14:paraId="7EB897A3" w14:textId="77777777" w:rsidR="005B4A0C" w:rsidRPr="008D2F4A" w:rsidRDefault="005B4A0C" w:rsidP="00DD6ED9">
      <w:pPr>
        <w:spacing w:line="264" w:lineRule="auto"/>
        <w:jc w:val="both"/>
        <w:rPr>
          <w:rFonts w:eastAsia="Calibri" w:cs="Times New Roman"/>
          <w:sz w:val="24"/>
          <w:szCs w:val="24"/>
        </w:rPr>
      </w:pPr>
    </w:p>
    <w:p w14:paraId="0A9E3F48" w14:textId="16AA28ED" w:rsidR="005B4A0C" w:rsidRPr="00330981" w:rsidRDefault="005B4A0C" w:rsidP="00DD6ED9">
      <w:pPr>
        <w:spacing w:line="264" w:lineRule="auto"/>
        <w:jc w:val="both"/>
        <w:rPr>
          <w:rFonts w:eastAsia="Calibri" w:cs="Times New Roman"/>
          <w:sz w:val="24"/>
          <w:szCs w:val="24"/>
        </w:rPr>
      </w:pPr>
      <w:r w:rsidRPr="00330981">
        <w:rPr>
          <w:rFonts w:eastAsia="Calibri" w:cs="Times New Roman"/>
          <w:sz w:val="24"/>
          <w:szCs w:val="24"/>
        </w:rPr>
        <w:t xml:space="preserve">The analysis above clarified that the Court developed a right to initiate judicial proceedings in the general interest </w:t>
      </w:r>
      <w:r w:rsidR="00427E3E" w:rsidRPr="00330981">
        <w:rPr>
          <w:rFonts w:eastAsia="Calibri" w:cs="Times New Roman"/>
          <w:sz w:val="24"/>
          <w:szCs w:val="24"/>
        </w:rPr>
        <w:t>based on</w:t>
      </w:r>
      <w:r w:rsidRPr="00330981">
        <w:rPr>
          <w:rFonts w:eastAsia="Calibri" w:cs="Times New Roman"/>
          <w:sz w:val="24"/>
          <w:szCs w:val="24"/>
        </w:rPr>
        <w:t xml:space="preserve"> environmental provisions. This section addresses the following questions: does the infringement of environmental provision give rise to </w:t>
      </w:r>
      <w:r w:rsidR="009A4C53" w:rsidRPr="00330981">
        <w:rPr>
          <w:rFonts w:eastAsia="Calibri" w:cs="Times New Roman"/>
          <w:sz w:val="24"/>
          <w:szCs w:val="24"/>
        </w:rPr>
        <w:t>further</w:t>
      </w:r>
      <w:r w:rsidRPr="00330981">
        <w:rPr>
          <w:rFonts w:eastAsia="Calibri" w:cs="Times New Roman"/>
          <w:sz w:val="24"/>
          <w:szCs w:val="24"/>
        </w:rPr>
        <w:t xml:space="preserve"> remedies (beyond the recognition of a right to initiate proceedings)? And, in particular, can individuals affected by a breach of environmental law </w:t>
      </w:r>
      <w:r w:rsidR="003E5764" w:rsidRPr="00330981">
        <w:rPr>
          <w:rFonts w:eastAsia="Calibri" w:cs="Times New Roman"/>
          <w:sz w:val="24"/>
          <w:szCs w:val="24"/>
        </w:rPr>
        <w:t>bring</w:t>
      </w:r>
      <w:r w:rsidRPr="00330981">
        <w:rPr>
          <w:rFonts w:eastAsia="Calibri" w:cs="Times New Roman"/>
          <w:sz w:val="24"/>
          <w:szCs w:val="24"/>
        </w:rPr>
        <w:t xml:space="preserve"> state liability claims for financial compensation </w:t>
      </w:r>
      <w:r w:rsidR="003E5764" w:rsidRPr="00330981">
        <w:rPr>
          <w:rFonts w:eastAsia="Calibri" w:cs="Times New Roman"/>
          <w:sz w:val="24"/>
          <w:szCs w:val="24"/>
        </w:rPr>
        <w:t xml:space="preserve">before domestic courts </w:t>
      </w:r>
      <w:r w:rsidRPr="00330981">
        <w:rPr>
          <w:rFonts w:eastAsia="Calibri" w:cs="Times New Roman"/>
          <w:sz w:val="24"/>
          <w:szCs w:val="24"/>
        </w:rPr>
        <w:t>on the basis of EU law?</w:t>
      </w:r>
    </w:p>
    <w:p w14:paraId="73EE5265" w14:textId="10E12638" w:rsidR="005B4A0C" w:rsidRPr="00330981" w:rsidRDefault="005B4A0C" w:rsidP="00DD6ED9">
      <w:pPr>
        <w:spacing w:line="264" w:lineRule="auto"/>
        <w:ind w:firstLine="284"/>
        <w:jc w:val="both"/>
        <w:rPr>
          <w:rFonts w:eastAsia="Calibri" w:cs="Times New Roman"/>
          <w:sz w:val="24"/>
          <w:szCs w:val="24"/>
        </w:rPr>
      </w:pPr>
      <w:r w:rsidRPr="00330981">
        <w:rPr>
          <w:rFonts w:eastAsia="Calibri" w:cs="Times New Roman"/>
          <w:sz w:val="24"/>
          <w:szCs w:val="24"/>
        </w:rPr>
        <w:t>As a matter of EU law, state liability rests on three conditions: the applicant must demonstrate that the rule infringed was “intended to confer rights on individuals”, the breach must be sufficiently serious, and there must be a causal link between the damage and the breach of that provision.</w:t>
      </w:r>
      <w:r w:rsidRPr="00330981">
        <w:rPr>
          <w:rFonts w:eastAsia="Calibri" w:cs="Times New Roman"/>
          <w:sz w:val="24"/>
          <w:szCs w:val="24"/>
          <w:vertAlign w:val="superscript"/>
        </w:rPr>
        <w:footnoteReference w:id="41"/>
      </w:r>
      <w:r w:rsidRPr="00330981">
        <w:rPr>
          <w:rFonts w:eastAsia="Calibri" w:cs="Times New Roman"/>
          <w:sz w:val="24"/>
          <w:szCs w:val="24"/>
        </w:rPr>
        <w:t xml:space="preserve"> The “intention to confer rights” criterion is based on the German </w:t>
      </w:r>
      <w:proofErr w:type="spellStart"/>
      <w:r w:rsidRPr="00330981">
        <w:rPr>
          <w:rFonts w:eastAsia="Calibri" w:cs="Times New Roman"/>
          <w:i/>
          <w:iCs/>
          <w:sz w:val="24"/>
          <w:szCs w:val="24"/>
        </w:rPr>
        <w:t>Schutznorm</w:t>
      </w:r>
      <w:proofErr w:type="spellEnd"/>
      <w:r w:rsidRPr="00330981">
        <w:rPr>
          <w:rFonts w:eastAsia="Calibri" w:cs="Times New Roman"/>
          <w:sz w:val="24"/>
          <w:szCs w:val="24"/>
        </w:rPr>
        <w:t xml:space="preserve"> doctrine. </w:t>
      </w:r>
      <w:r w:rsidR="003E5764" w:rsidRPr="00330981">
        <w:rPr>
          <w:rFonts w:eastAsia="Calibri" w:cs="Times New Roman"/>
          <w:sz w:val="24"/>
          <w:szCs w:val="24"/>
        </w:rPr>
        <w:t>This entails</w:t>
      </w:r>
      <w:r w:rsidRPr="00330981">
        <w:rPr>
          <w:rFonts w:eastAsia="Calibri" w:cs="Times New Roman"/>
          <w:sz w:val="24"/>
          <w:szCs w:val="24"/>
        </w:rPr>
        <w:t xml:space="preserve"> an appraisal to determine whether the legal norm under consideration is meant to protect individual interests </w:t>
      </w:r>
      <w:r w:rsidR="003E5764" w:rsidRPr="00330981">
        <w:rPr>
          <w:rFonts w:eastAsia="Calibri" w:cs="Times New Roman"/>
          <w:sz w:val="24"/>
          <w:szCs w:val="24"/>
        </w:rPr>
        <w:t>and</w:t>
      </w:r>
      <w:r w:rsidRPr="00330981">
        <w:rPr>
          <w:rFonts w:eastAsia="Calibri" w:cs="Times New Roman"/>
          <w:sz w:val="24"/>
          <w:szCs w:val="24"/>
        </w:rPr>
        <w:t xml:space="preserve"> “not merely the general (or public) interest”.</w:t>
      </w:r>
      <w:r w:rsidRPr="00330981">
        <w:rPr>
          <w:rFonts w:eastAsia="Calibri" w:cs="Times New Roman"/>
          <w:sz w:val="24"/>
          <w:szCs w:val="24"/>
          <w:vertAlign w:val="superscript"/>
        </w:rPr>
        <w:footnoteReference w:id="42"/>
      </w:r>
      <w:r w:rsidRPr="00330981">
        <w:rPr>
          <w:rFonts w:eastAsia="Calibri" w:cs="Times New Roman"/>
          <w:sz w:val="24"/>
          <w:szCs w:val="24"/>
        </w:rPr>
        <w:t xml:space="preserve"> This requirement reflects the purpose of state liability under EU law, which is primarily concerned </w:t>
      </w:r>
      <w:r w:rsidR="003E5764" w:rsidRPr="00330981">
        <w:rPr>
          <w:rFonts w:eastAsia="Calibri" w:cs="Times New Roman"/>
          <w:sz w:val="24"/>
          <w:szCs w:val="24"/>
        </w:rPr>
        <w:lastRenderedPageBreak/>
        <w:t>with</w:t>
      </w:r>
      <w:r w:rsidRPr="00330981">
        <w:rPr>
          <w:rFonts w:eastAsia="Calibri" w:cs="Times New Roman"/>
          <w:sz w:val="24"/>
          <w:szCs w:val="24"/>
        </w:rPr>
        <w:t xml:space="preserve"> securing judicial protection of individual rights.</w:t>
      </w:r>
      <w:r w:rsidRPr="00330981">
        <w:rPr>
          <w:rFonts w:eastAsia="Calibri" w:cs="Times New Roman"/>
          <w:sz w:val="24"/>
          <w:szCs w:val="24"/>
          <w:vertAlign w:val="superscript"/>
        </w:rPr>
        <w:footnoteReference w:id="43"/>
      </w:r>
      <w:r w:rsidRPr="00330981">
        <w:rPr>
          <w:rFonts w:eastAsia="Calibri" w:cs="Times New Roman"/>
          <w:sz w:val="24"/>
          <w:szCs w:val="24"/>
        </w:rPr>
        <w:t xml:space="preserve"> </w:t>
      </w:r>
      <w:r w:rsidR="008D0BA1" w:rsidRPr="00330981">
        <w:rPr>
          <w:rFonts w:eastAsia="Calibri" w:cs="Times New Roman"/>
          <w:sz w:val="24"/>
          <w:szCs w:val="24"/>
        </w:rPr>
        <w:t>M</w:t>
      </w:r>
      <w:r w:rsidRPr="00330981">
        <w:rPr>
          <w:rFonts w:eastAsia="Calibri" w:cs="Times New Roman"/>
          <w:sz w:val="24"/>
          <w:szCs w:val="24"/>
        </w:rPr>
        <w:t xml:space="preserve">ost environmental provisions are primarily geared towards the general interest intrinsic to the protection of the environment (rather than </w:t>
      </w:r>
      <w:r w:rsidR="003E5764" w:rsidRPr="00330981">
        <w:rPr>
          <w:rFonts w:eastAsia="Calibri" w:cs="Times New Roman"/>
          <w:sz w:val="24"/>
          <w:szCs w:val="24"/>
        </w:rPr>
        <w:t>individual</w:t>
      </w:r>
      <w:r w:rsidRPr="00330981">
        <w:rPr>
          <w:rFonts w:eastAsia="Calibri" w:cs="Times New Roman"/>
          <w:sz w:val="24"/>
          <w:szCs w:val="24"/>
        </w:rPr>
        <w:t xml:space="preserve"> interests). They are not meant to confer rights on individuals. </w:t>
      </w:r>
      <w:r w:rsidR="003E5764" w:rsidRPr="00330981">
        <w:rPr>
          <w:rFonts w:eastAsia="Calibri" w:cs="Times New Roman"/>
          <w:sz w:val="24"/>
          <w:szCs w:val="24"/>
        </w:rPr>
        <w:t>However, t</w:t>
      </w:r>
      <w:r w:rsidRPr="00330981">
        <w:rPr>
          <w:rFonts w:eastAsia="Calibri" w:cs="Times New Roman"/>
          <w:sz w:val="24"/>
          <w:szCs w:val="24"/>
        </w:rPr>
        <w:t xml:space="preserve">he Court has alluded to the possibility that some environmental provisions may give rise to a claim for monetary </w:t>
      </w:r>
      <w:r w:rsidR="003E5764" w:rsidRPr="00330981">
        <w:rPr>
          <w:rFonts w:eastAsia="Calibri" w:cs="Times New Roman"/>
          <w:sz w:val="24"/>
          <w:szCs w:val="24"/>
        </w:rPr>
        <w:t>compensation</w:t>
      </w:r>
      <w:r w:rsidRPr="00330981">
        <w:rPr>
          <w:rFonts w:eastAsia="Calibri" w:cs="Times New Roman"/>
          <w:sz w:val="24"/>
          <w:szCs w:val="24"/>
        </w:rPr>
        <w:t>.</w:t>
      </w:r>
      <w:r w:rsidRPr="00330981">
        <w:rPr>
          <w:rFonts w:eastAsia="Calibri" w:cs="Times New Roman"/>
          <w:sz w:val="24"/>
          <w:szCs w:val="24"/>
          <w:vertAlign w:val="superscript"/>
        </w:rPr>
        <w:footnoteReference w:id="44"/>
      </w:r>
      <w:r w:rsidRPr="00330981">
        <w:rPr>
          <w:rFonts w:eastAsia="Calibri" w:cs="Times New Roman"/>
          <w:sz w:val="24"/>
          <w:szCs w:val="24"/>
        </w:rPr>
        <w:t xml:space="preserve"> This </w:t>
      </w:r>
      <w:r w:rsidR="003E5764" w:rsidRPr="00330981">
        <w:rPr>
          <w:rFonts w:eastAsia="Calibri" w:cs="Times New Roman"/>
          <w:sz w:val="24"/>
          <w:szCs w:val="24"/>
        </w:rPr>
        <w:t>raises</w:t>
      </w:r>
      <w:r w:rsidRPr="00330981">
        <w:rPr>
          <w:rFonts w:eastAsia="Calibri" w:cs="Times New Roman"/>
          <w:sz w:val="24"/>
          <w:szCs w:val="24"/>
        </w:rPr>
        <w:t xml:space="preserve"> unresolved issues about the type of rights and remedies </w:t>
      </w:r>
      <w:r w:rsidR="003E5764" w:rsidRPr="00330981">
        <w:rPr>
          <w:rFonts w:eastAsia="Calibri" w:cs="Times New Roman"/>
          <w:sz w:val="24"/>
          <w:szCs w:val="24"/>
        </w:rPr>
        <w:t>available</w:t>
      </w:r>
      <w:r w:rsidRPr="00330981">
        <w:rPr>
          <w:rFonts w:eastAsia="Calibri" w:cs="Times New Roman"/>
          <w:sz w:val="24"/>
          <w:szCs w:val="24"/>
        </w:rPr>
        <w:t xml:space="preserve"> to individuals in relation to the judicial enforcement of environmental provisions.</w:t>
      </w:r>
      <w:r w:rsidRPr="00330981">
        <w:rPr>
          <w:rFonts w:eastAsia="Calibri" w:cs="Times New Roman"/>
          <w:sz w:val="24"/>
          <w:szCs w:val="24"/>
          <w:vertAlign w:val="superscript"/>
        </w:rPr>
        <w:footnoteReference w:id="45"/>
      </w:r>
      <w:r w:rsidRPr="00330981">
        <w:rPr>
          <w:rFonts w:eastAsia="Calibri" w:cs="Times New Roman"/>
          <w:sz w:val="24"/>
          <w:szCs w:val="24"/>
        </w:rPr>
        <w:t xml:space="preserve"> </w:t>
      </w:r>
    </w:p>
    <w:p w14:paraId="18DBD119" w14:textId="41C964E7" w:rsidR="005B4A0C" w:rsidRPr="00330981" w:rsidRDefault="003E5764" w:rsidP="00DD6ED9">
      <w:pPr>
        <w:spacing w:line="264" w:lineRule="auto"/>
        <w:ind w:firstLine="284"/>
        <w:jc w:val="both"/>
        <w:rPr>
          <w:rFonts w:eastAsia="Calibri" w:cs="Times New Roman"/>
          <w:color w:val="0D0D0D"/>
          <w:sz w:val="24"/>
          <w:szCs w:val="24"/>
        </w:rPr>
      </w:pPr>
      <w:r w:rsidRPr="00330981">
        <w:rPr>
          <w:rFonts w:eastAsia="Calibri" w:cs="Times New Roman"/>
          <w:sz w:val="24"/>
          <w:szCs w:val="24"/>
        </w:rPr>
        <w:t>Based on</w:t>
      </w:r>
      <w:r w:rsidR="005B4A0C" w:rsidRPr="00330981">
        <w:rPr>
          <w:rFonts w:eastAsia="Calibri" w:cs="Times New Roman"/>
          <w:sz w:val="24"/>
          <w:szCs w:val="24"/>
        </w:rPr>
        <w:t xml:space="preserve"> the judgments analysed above, it could be inferred that the provisions inspired by human health concerns gave rise to a subjective right to claim reparation </w:t>
      </w:r>
      <w:r w:rsidRPr="00330981">
        <w:rPr>
          <w:rFonts w:eastAsia="Calibri" w:cs="Times New Roman"/>
          <w:sz w:val="24"/>
          <w:szCs w:val="24"/>
        </w:rPr>
        <w:t>for</w:t>
      </w:r>
      <w:r w:rsidR="005B4A0C" w:rsidRPr="00330981">
        <w:rPr>
          <w:rFonts w:eastAsia="Calibri" w:cs="Times New Roman"/>
          <w:sz w:val="24"/>
          <w:szCs w:val="24"/>
        </w:rPr>
        <w:t xml:space="preserve"> losses resulting from a breach of these provisions. The crux of the matter could be summarised as follows: in these judgments, the Court appeared to develop subjective rights available to directly concerned individuals. The protective scope of the relevant provisions was deemed to protect individual interests (</w:t>
      </w:r>
      <w:r w:rsidRPr="00330981">
        <w:rPr>
          <w:rFonts w:eastAsia="Calibri" w:cs="Times New Roman"/>
          <w:sz w:val="24"/>
          <w:szCs w:val="24"/>
        </w:rPr>
        <w:t>specifically</w:t>
      </w:r>
      <w:r w:rsidR="005B4A0C" w:rsidRPr="00330981">
        <w:rPr>
          <w:rFonts w:eastAsia="Calibri" w:cs="Times New Roman"/>
          <w:sz w:val="24"/>
          <w:szCs w:val="24"/>
        </w:rPr>
        <w:t>, human health and the right to use water free of pollution).</w:t>
      </w:r>
      <w:r w:rsidR="005B4A0C" w:rsidRPr="00330981">
        <w:rPr>
          <w:rFonts w:eastAsia="Calibri" w:cs="Times New Roman"/>
          <w:color w:val="0D0D0D"/>
          <w:sz w:val="24"/>
          <w:szCs w:val="24"/>
        </w:rPr>
        <w:t xml:space="preserve"> </w:t>
      </w:r>
      <w:r w:rsidR="005B4A0C" w:rsidRPr="00330981">
        <w:rPr>
          <w:rFonts w:eastAsia="Times New Roman" w:cs="Times New Roman"/>
          <w:color w:val="0D0D0D"/>
          <w:sz w:val="24"/>
          <w:szCs w:val="24"/>
          <w:lang w:eastAsia="fr-FR"/>
        </w:rPr>
        <w:t>The</w:t>
      </w:r>
      <w:r w:rsidRPr="00330981">
        <w:rPr>
          <w:rFonts w:eastAsia="Times New Roman" w:cs="Times New Roman"/>
          <w:color w:val="0D0D0D"/>
          <w:sz w:val="24"/>
          <w:szCs w:val="24"/>
          <w:lang w:eastAsia="fr-FR"/>
        </w:rPr>
        <w:t>se</w:t>
      </w:r>
      <w:r w:rsidR="005B4A0C" w:rsidRPr="00330981">
        <w:rPr>
          <w:rFonts w:eastAsia="Times New Roman" w:cs="Times New Roman"/>
          <w:color w:val="0D0D0D"/>
          <w:sz w:val="24"/>
          <w:szCs w:val="24"/>
          <w:lang w:eastAsia="fr-FR"/>
        </w:rPr>
        <w:t xml:space="preserve"> </w:t>
      </w:r>
      <w:r w:rsidR="005B4A0C" w:rsidRPr="00330981">
        <w:rPr>
          <w:rFonts w:eastAsia="Calibri" w:cs="Times New Roman"/>
          <w:color w:val="0D0D0D"/>
          <w:sz w:val="24"/>
          <w:szCs w:val="24"/>
        </w:rPr>
        <w:t xml:space="preserve">judgments prompted legal scholars to </w:t>
      </w:r>
      <w:r w:rsidRPr="00330981">
        <w:rPr>
          <w:rFonts w:eastAsia="Calibri" w:cs="Times New Roman"/>
          <w:color w:val="0D0D0D"/>
          <w:sz w:val="24"/>
          <w:szCs w:val="24"/>
        </w:rPr>
        <w:t>suggest</w:t>
      </w:r>
      <w:r w:rsidR="005B4A0C" w:rsidRPr="00330981">
        <w:rPr>
          <w:rFonts w:eastAsia="Calibri" w:cs="Times New Roman"/>
          <w:color w:val="0D0D0D"/>
          <w:sz w:val="24"/>
          <w:szCs w:val="24"/>
        </w:rPr>
        <w:t xml:space="preserve"> that environmental provisions explicitly intended to “protect human health” </w:t>
      </w:r>
      <w:r w:rsidR="002B7141" w:rsidRPr="00330981">
        <w:rPr>
          <w:rFonts w:eastAsia="Calibri" w:cs="Times New Roman"/>
          <w:color w:val="0D0D0D"/>
          <w:sz w:val="24"/>
          <w:szCs w:val="24"/>
        </w:rPr>
        <w:t xml:space="preserve">reflect a </w:t>
      </w:r>
      <w:r w:rsidR="005B4A0C" w:rsidRPr="00330981">
        <w:rPr>
          <w:rFonts w:eastAsia="Calibri" w:cs="Times New Roman"/>
          <w:color w:val="0D0D0D"/>
          <w:sz w:val="24"/>
          <w:szCs w:val="24"/>
        </w:rPr>
        <w:t>normative intention to protect individual health-related interests.</w:t>
      </w:r>
      <w:r w:rsidR="005B4A0C" w:rsidRPr="00330981">
        <w:rPr>
          <w:rFonts w:eastAsia="Calibri" w:cs="Times New Roman"/>
          <w:color w:val="0D0D0D"/>
          <w:sz w:val="24"/>
          <w:szCs w:val="24"/>
          <w:vertAlign w:val="superscript"/>
        </w:rPr>
        <w:footnoteReference w:id="46"/>
      </w:r>
      <w:r w:rsidR="005B4A0C" w:rsidRPr="00330981">
        <w:rPr>
          <w:rFonts w:eastAsia="Calibri" w:cs="Times New Roman"/>
          <w:color w:val="0D0D0D"/>
          <w:sz w:val="24"/>
          <w:szCs w:val="24"/>
        </w:rPr>
        <w:t xml:space="preserve"> This was deemed to follow from the Court’s insistence that the objective underlying the adoption of such legislative provisions is to protect human health. </w:t>
      </w:r>
      <w:r w:rsidR="002B7141" w:rsidRPr="00330981">
        <w:rPr>
          <w:rFonts w:eastAsia="Calibri" w:cs="Times New Roman"/>
          <w:color w:val="0D0D0D"/>
          <w:sz w:val="24"/>
          <w:szCs w:val="24"/>
        </w:rPr>
        <w:t>The</w:t>
      </w:r>
      <w:r w:rsidR="005B4A0C" w:rsidRPr="00330981">
        <w:rPr>
          <w:rFonts w:eastAsia="Calibri" w:cs="Times New Roman"/>
          <w:color w:val="0D0D0D"/>
          <w:sz w:val="24"/>
          <w:szCs w:val="24"/>
        </w:rPr>
        <w:t xml:space="preserve"> Court’s reasoning in th</w:t>
      </w:r>
      <w:r w:rsidR="004439B0" w:rsidRPr="00330981">
        <w:rPr>
          <w:rFonts w:eastAsia="Calibri" w:cs="Times New Roman"/>
          <w:color w:val="0D0D0D"/>
          <w:sz w:val="24"/>
          <w:szCs w:val="24"/>
        </w:rPr>
        <w:t>e</w:t>
      </w:r>
      <w:r w:rsidR="005B4A0C" w:rsidRPr="00330981">
        <w:rPr>
          <w:rFonts w:eastAsia="Calibri" w:cs="Times New Roman"/>
          <w:color w:val="0D0D0D"/>
          <w:sz w:val="24"/>
          <w:szCs w:val="24"/>
        </w:rPr>
        <w:t>se judgments was based on the premise that the relevant provisions were “intended” or “designed” to protect human interests and, in particular, “public health”,</w:t>
      </w:r>
      <w:r w:rsidR="005B4A0C" w:rsidRPr="00330981">
        <w:rPr>
          <w:rFonts w:eastAsia="Calibri" w:cs="Times New Roman"/>
          <w:color w:val="0D0D0D"/>
          <w:sz w:val="24"/>
          <w:szCs w:val="24"/>
          <w:vertAlign w:val="superscript"/>
        </w:rPr>
        <w:footnoteReference w:id="47"/>
      </w:r>
      <w:r w:rsidR="005B4A0C" w:rsidRPr="00330981">
        <w:rPr>
          <w:rFonts w:eastAsia="Calibri" w:cs="Times New Roman"/>
          <w:color w:val="0D0D0D"/>
          <w:sz w:val="24"/>
          <w:szCs w:val="24"/>
        </w:rPr>
        <w:t xml:space="preserve"> “human health”,</w:t>
      </w:r>
      <w:r w:rsidR="005B4A0C" w:rsidRPr="00330981">
        <w:rPr>
          <w:rFonts w:eastAsia="Calibri" w:cs="Times New Roman"/>
          <w:color w:val="0D0D0D"/>
          <w:sz w:val="24"/>
          <w:szCs w:val="24"/>
          <w:vertAlign w:val="superscript"/>
        </w:rPr>
        <w:footnoteReference w:id="48"/>
      </w:r>
      <w:r w:rsidR="005B4A0C" w:rsidRPr="00330981">
        <w:rPr>
          <w:rFonts w:eastAsia="Calibri" w:cs="Times New Roman"/>
          <w:color w:val="0D0D0D"/>
          <w:sz w:val="24"/>
          <w:szCs w:val="24"/>
        </w:rPr>
        <w:t xml:space="preserve"> or even “human beings against the effects of lead in the environment”.</w:t>
      </w:r>
      <w:r w:rsidR="005B4A0C" w:rsidRPr="00330981">
        <w:rPr>
          <w:rFonts w:eastAsia="Calibri" w:cs="Times New Roman"/>
          <w:color w:val="0D0D0D"/>
          <w:sz w:val="24"/>
          <w:szCs w:val="24"/>
          <w:vertAlign w:val="superscript"/>
        </w:rPr>
        <w:footnoteReference w:id="49"/>
      </w:r>
      <w:r w:rsidR="005B4A0C" w:rsidRPr="00330981">
        <w:rPr>
          <w:rFonts w:eastAsia="Calibri" w:cs="Times New Roman"/>
          <w:color w:val="0D0D0D"/>
          <w:sz w:val="24"/>
          <w:szCs w:val="24"/>
        </w:rPr>
        <w:t xml:space="preserve"> Viewed from </w:t>
      </w:r>
      <w:r w:rsidR="004439B0" w:rsidRPr="00330981">
        <w:rPr>
          <w:rFonts w:eastAsia="Calibri" w:cs="Times New Roman"/>
          <w:color w:val="0D0D0D"/>
          <w:sz w:val="24"/>
          <w:szCs w:val="24"/>
        </w:rPr>
        <w:t>this</w:t>
      </w:r>
      <w:r w:rsidR="005B4A0C" w:rsidRPr="00330981">
        <w:rPr>
          <w:rFonts w:eastAsia="Calibri" w:cs="Times New Roman"/>
          <w:color w:val="0D0D0D"/>
          <w:sz w:val="24"/>
          <w:szCs w:val="24"/>
        </w:rPr>
        <w:t xml:space="preserve"> perspective, the Air Quality Directive seem</w:t>
      </w:r>
      <w:r w:rsidR="004439B0" w:rsidRPr="00330981">
        <w:rPr>
          <w:rFonts w:eastAsia="Calibri" w:cs="Times New Roman"/>
          <w:color w:val="0D0D0D"/>
          <w:sz w:val="24"/>
          <w:szCs w:val="24"/>
        </w:rPr>
        <w:t>s</w:t>
      </w:r>
      <w:r w:rsidR="005B4A0C" w:rsidRPr="00330981">
        <w:rPr>
          <w:rFonts w:eastAsia="Calibri" w:cs="Times New Roman"/>
          <w:color w:val="0D0D0D"/>
          <w:sz w:val="24"/>
          <w:szCs w:val="24"/>
        </w:rPr>
        <w:t xml:space="preserve"> to confer a subjective “right to breathe clean air” on “directly concerned” individuals.</w:t>
      </w:r>
      <w:r w:rsidR="005B4A0C" w:rsidRPr="00330981">
        <w:rPr>
          <w:rFonts w:eastAsia="Calibri" w:cs="Times New Roman"/>
          <w:color w:val="0D0D0D"/>
          <w:sz w:val="24"/>
          <w:szCs w:val="24"/>
          <w:vertAlign w:val="superscript"/>
        </w:rPr>
        <w:footnoteReference w:id="50"/>
      </w:r>
      <w:r w:rsidR="005B4A0C" w:rsidRPr="00330981">
        <w:rPr>
          <w:rFonts w:eastAsia="Calibri" w:cs="Times New Roman"/>
          <w:color w:val="0D0D0D"/>
          <w:sz w:val="24"/>
          <w:szCs w:val="24"/>
        </w:rPr>
        <w:t xml:space="preserve"> </w:t>
      </w:r>
      <w:r w:rsidR="00402288" w:rsidRPr="008D2F4A">
        <w:rPr>
          <w:rFonts w:eastAsia="Calibri" w:cs="Times New Roman"/>
          <w:sz w:val="24"/>
          <w:szCs w:val="24"/>
        </w:rPr>
        <w:t>Misonne observed that the Ambient Air Directive reflects a “context of fundamental rights” in the field of air quality law owing to its intrinsic connection with the protection of human health.</w:t>
      </w:r>
      <w:r w:rsidR="00402288" w:rsidRPr="008D2F4A">
        <w:rPr>
          <w:rFonts w:eastAsia="Calibri" w:cs="Times New Roman"/>
          <w:sz w:val="24"/>
          <w:szCs w:val="24"/>
          <w:vertAlign w:val="superscript"/>
        </w:rPr>
        <w:footnoteReference w:id="51"/>
      </w:r>
      <w:r w:rsidR="00402288" w:rsidRPr="008D2F4A">
        <w:rPr>
          <w:rFonts w:eastAsia="Calibri" w:cs="Times New Roman"/>
          <w:sz w:val="24"/>
          <w:szCs w:val="24"/>
        </w:rPr>
        <w:t xml:space="preserve"> Advocate General Kokott seemed to concur with that argument, when she stated that the rules on ambient air quality gave concrete expression to the fundamental right to life enshrined in Article 2 of the Charter.</w:t>
      </w:r>
      <w:r w:rsidR="00402288" w:rsidRPr="008D2F4A">
        <w:rPr>
          <w:rFonts w:eastAsia="Calibri" w:cs="Times New Roman"/>
          <w:sz w:val="24"/>
          <w:szCs w:val="24"/>
          <w:vertAlign w:val="superscript"/>
        </w:rPr>
        <w:footnoteReference w:id="52"/>
      </w:r>
    </w:p>
    <w:p w14:paraId="43F16ED8" w14:textId="3AA794D4" w:rsidR="005B4A0C" w:rsidRPr="00330981" w:rsidRDefault="005B4A0C" w:rsidP="00DD6ED9">
      <w:pPr>
        <w:spacing w:line="264" w:lineRule="auto"/>
        <w:ind w:firstLine="284"/>
        <w:jc w:val="both"/>
        <w:rPr>
          <w:rFonts w:eastAsia="Calibri" w:cs="Times New Roman"/>
          <w:color w:val="0D0D0D"/>
          <w:sz w:val="24"/>
          <w:szCs w:val="24"/>
        </w:rPr>
      </w:pPr>
      <w:r w:rsidRPr="00330981">
        <w:rPr>
          <w:rFonts w:eastAsia="Calibri" w:cs="Times New Roman"/>
          <w:color w:val="0D0D0D"/>
          <w:sz w:val="24"/>
          <w:szCs w:val="24"/>
        </w:rPr>
        <w:t xml:space="preserve">In the same vein, the analysis above shows that the Court derived a right to use non-polluted water from the directives </w:t>
      </w:r>
      <w:r w:rsidR="00C563EB" w:rsidRPr="00330981">
        <w:rPr>
          <w:rFonts w:eastAsia="Calibri" w:cs="Times New Roman"/>
          <w:color w:val="0D0D0D"/>
          <w:sz w:val="24"/>
          <w:szCs w:val="24"/>
        </w:rPr>
        <w:t>establishing</w:t>
      </w:r>
      <w:r w:rsidRPr="00330981">
        <w:rPr>
          <w:rFonts w:eastAsia="Calibri" w:cs="Times New Roman"/>
          <w:color w:val="0D0D0D"/>
          <w:sz w:val="24"/>
          <w:szCs w:val="24"/>
        </w:rPr>
        <w:t xml:space="preserve"> thresholds </w:t>
      </w:r>
      <w:r w:rsidR="00C563EB" w:rsidRPr="00330981">
        <w:rPr>
          <w:rFonts w:eastAsia="Calibri" w:cs="Times New Roman"/>
          <w:color w:val="0D0D0D"/>
          <w:sz w:val="24"/>
          <w:szCs w:val="24"/>
        </w:rPr>
        <w:t>for</w:t>
      </w:r>
      <w:r w:rsidRPr="00330981">
        <w:rPr>
          <w:rFonts w:eastAsia="Calibri" w:cs="Times New Roman"/>
          <w:color w:val="0D0D0D"/>
          <w:sz w:val="24"/>
          <w:szCs w:val="24"/>
        </w:rPr>
        <w:t xml:space="preserve"> the pollution of groundwater and surface waters (i.e., the Water Framework Directive and the Nitrates Directive). </w:t>
      </w:r>
      <w:r w:rsidR="002B7141" w:rsidRPr="00330981">
        <w:rPr>
          <w:rFonts w:eastAsia="Calibri" w:cs="Times New Roman"/>
          <w:color w:val="0D0D0D"/>
          <w:sz w:val="24"/>
          <w:szCs w:val="24"/>
        </w:rPr>
        <w:t>Therefore</w:t>
      </w:r>
      <w:r w:rsidR="00C563EB" w:rsidRPr="00330981">
        <w:rPr>
          <w:rFonts w:eastAsia="Calibri" w:cs="Times New Roman"/>
          <w:color w:val="0D0D0D"/>
          <w:sz w:val="24"/>
          <w:szCs w:val="24"/>
        </w:rPr>
        <w:t>,</w:t>
      </w:r>
      <w:r w:rsidRPr="00330981">
        <w:rPr>
          <w:rFonts w:eastAsia="Calibri" w:cs="Times New Roman"/>
          <w:color w:val="0D0D0D"/>
          <w:sz w:val="24"/>
          <w:szCs w:val="24"/>
        </w:rPr>
        <w:t xml:space="preserve"> the </w:t>
      </w:r>
      <w:r w:rsidRPr="00330981">
        <w:rPr>
          <w:rFonts w:eastAsia="Calibri" w:cs="Times New Roman"/>
          <w:color w:val="0D0D0D"/>
          <w:sz w:val="24"/>
          <w:szCs w:val="24"/>
        </w:rPr>
        <w:lastRenderedPageBreak/>
        <w:t>normative intention, or purpose, of these provisions was to protect individual interests.</w:t>
      </w:r>
      <w:r w:rsidRPr="00330981">
        <w:rPr>
          <w:rFonts w:eastAsia="Calibri" w:cs="Times New Roman"/>
          <w:color w:val="0D0D0D"/>
          <w:sz w:val="24"/>
          <w:szCs w:val="24"/>
          <w:vertAlign w:val="superscript"/>
        </w:rPr>
        <w:footnoteReference w:id="53"/>
      </w:r>
      <w:r w:rsidRPr="00330981">
        <w:rPr>
          <w:rFonts w:eastAsia="Calibri" w:cs="Times New Roman"/>
          <w:color w:val="0D0D0D"/>
          <w:sz w:val="24"/>
          <w:szCs w:val="24"/>
        </w:rPr>
        <w:t xml:space="preserve"> Viewed from that perspective, the Court </w:t>
      </w:r>
      <w:r w:rsidR="002B7141" w:rsidRPr="00330981">
        <w:rPr>
          <w:rFonts w:eastAsia="Calibri" w:cs="Times New Roman"/>
          <w:color w:val="0D0D0D"/>
          <w:sz w:val="24"/>
          <w:szCs w:val="24"/>
        </w:rPr>
        <w:t xml:space="preserve">appears to have </w:t>
      </w:r>
      <w:r w:rsidR="00C563EB" w:rsidRPr="00330981">
        <w:rPr>
          <w:rFonts w:eastAsia="Calibri" w:cs="Times New Roman"/>
          <w:color w:val="0D0D0D"/>
          <w:sz w:val="24"/>
          <w:szCs w:val="24"/>
        </w:rPr>
        <w:t>gradually developed</w:t>
      </w:r>
      <w:r w:rsidRPr="00330981">
        <w:rPr>
          <w:rFonts w:eastAsia="Calibri" w:cs="Times New Roman"/>
          <w:color w:val="0D0D0D"/>
          <w:sz w:val="24"/>
          <w:szCs w:val="24"/>
        </w:rPr>
        <w:t xml:space="preserve"> procedural guarantees to secure </w:t>
      </w:r>
      <w:r w:rsidR="00C563EB" w:rsidRPr="00330981">
        <w:rPr>
          <w:rFonts w:eastAsia="Calibri" w:cs="Times New Roman"/>
          <w:color w:val="0D0D0D"/>
          <w:sz w:val="24"/>
          <w:szCs w:val="24"/>
        </w:rPr>
        <w:t xml:space="preserve">the </w:t>
      </w:r>
      <w:r w:rsidRPr="00330981">
        <w:rPr>
          <w:rFonts w:eastAsia="Calibri" w:cs="Times New Roman"/>
          <w:color w:val="0D0D0D"/>
          <w:sz w:val="24"/>
          <w:szCs w:val="24"/>
        </w:rPr>
        <w:t xml:space="preserve">judicial protection of individual rights stemming from </w:t>
      </w:r>
      <w:r w:rsidR="00C563EB" w:rsidRPr="00330981">
        <w:rPr>
          <w:rFonts w:eastAsia="Calibri" w:cs="Times New Roman"/>
          <w:color w:val="0D0D0D"/>
          <w:sz w:val="24"/>
          <w:szCs w:val="24"/>
        </w:rPr>
        <w:t>such</w:t>
      </w:r>
      <w:r w:rsidRPr="00330981">
        <w:rPr>
          <w:rFonts w:eastAsia="Calibri" w:cs="Times New Roman"/>
          <w:color w:val="0D0D0D"/>
          <w:sz w:val="24"/>
          <w:szCs w:val="24"/>
        </w:rPr>
        <w:t xml:space="preserve"> provisions.</w:t>
      </w:r>
      <w:r w:rsidRPr="008D2F4A">
        <w:rPr>
          <w:rFonts w:ascii="Segoe UI" w:eastAsia="Times New Roman" w:hAnsi="Segoe UI" w:cs="Segoe UI"/>
          <w:color w:val="0D0D0D"/>
          <w:sz w:val="18"/>
          <w:szCs w:val="18"/>
          <w:lang w:eastAsia="fr-BE"/>
        </w:rPr>
        <w:t xml:space="preserve"> </w:t>
      </w:r>
      <w:r w:rsidRPr="00330981">
        <w:rPr>
          <w:rFonts w:eastAsia="Calibri" w:cs="Times New Roman"/>
          <w:color w:val="0D0D0D"/>
          <w:sz w:val="24"/>
          <w:szCs w:val="24"/>
        </w:rPr>
        <w:t>Th</w:t>
      </w:r>
      <w:r w:rsidR="00C563EB" w:rsidRPr="00330981">
        <w:rPr>
          <w:rFonts w:eastAsia="Calibri" w:cs="Times New Roman"/>
          <w:color w:val="0D0D0D"/>
          <w:sz w:val="24"/>
          <w:szCs w:val="24"/>
        </w:rPr>
        <w:t>e</w:t>
      </w:r>
      <w:r w:rsidRPr="00330981">
        <w:rPr>
          <w:rFonts w:eastAsia="Calibri" w:cs="Times New Roman"/>
          <w:color w:val="0D0D0D"/>
          <w:sz w:val="24"/>
          <w:szCs w:val="24"/>
        </w:rPr>
        <w:t>se procedural guarantees included not only a right to initiate judicial proceedings</w:t>
      </w:r>
      <w:r w:rsidR="00B6645D" w:rsidRPr="00330981">
        <w:rPr>
          <w:rFonts w:eastAsia="Calibri" w:cs="Times New Roman"/>
          <w:color w:val="0D0D0D"/>
          <w:sz w:val="24"/>
          <w:szCs w:val="24"/>
        </w:rPr>
        <w:t>,</w:t>
      </w:r>
      <w:r w:rsidRPr="00330981">
        <w:rPr>
          <w:rFonts w:eastAsia="Calibri" w:cs="Times New Roman"/>
          <w:color w:val="0D0D0D"/>
          <w:sz w:val="24"/>
          <w:szCs w:val="24"/>
        </w:rPr>
        <w:t xml:space="preserve"> but also the obligation to take any necessary measures, including </w:t>
      </w:r>
      <w:r w:rsidR="00C563EB" w:rsidRPr="00330981">
        <w:rPr>
          <w:rFonts w:eastAsia="Calibri" w:cs="Times New Roman"/>
          <w:color w:val="0D0D0D"/>
          <w:sz w:val="24"/>
          <w:szCs w:val="24"/>
        </w:rPr>
        <w:t>issuing</w:t>
      </w:r>
      <w:r w:rsidRPr="00330981">
        <w:rPr>
          <w:rFonts w:eastAsia="Calibri" w:cs="Times New Roman"/>
          <w:color w:val="0D0D0D"/>
          <w:sz w:val="24"/>
          <w:szCs w:val="24"/>
        </w:rPr>
        <w:t xml:space="preserve"> order</w:t>
      </w:r>
      <w:r w:rsidR="00C563EB" w:rsidRPr="00330981">
        <w:rPr>
          <w:rFonts w:eastAsia="Calibri" w:cs="Times New Roman"/>
          <w:color w:val="0D0D0D"/>
          <w:sz w:val="24"/>
          <w:szCs w:val="24"/>
        </w:rPr>
        <w:t>s</w:t>
      </w:r>
      <w:r w:rsidRPr="00330981">
        <w:rPr>
          <w:rFonts w:eastAsia="Calibri" w:cs="Times New Roman"/>
          <w:color w:val="0D0D0D"/>
          <w:sz w:val="24"/>
          <w:szCs w:val="24"/>
        </w:rPr>
        <w:t>, to secure compliance with EU environmental law.</w:t>
      </w:r>
      <w:r w:rsidRPr="00330981">
        <w:rPr>
          <w:rFonts w:eastAsia="Calibri" w:cs="Times New Roman"/>
          <w:color w:val="0D0D0D"/>
          <w:sz w:val="24"/>
          <w:szCs w:val="24"/>
          <w:vertAlign w:val="superscript"/>
        </w:rPr>
        <w:footnoteReference w:id="54"/>
      </w:r>
    </w:p>
    <w:p w14:paraId="2036283E" w14:textId="6C6CF26B" w:rsidR="005B4A0C" w:rsidRPr="00330981" w:rsidRDefault="005B4A0C" w:rsidP="00DD6ED9">
      <w:pPr>
        <w:spacing w:line="264" w:lineRule="auto"/>
        <w:ind w:firstLine="284"/>
        <w:jc w:val="both"/>
        <w:rPr>
          <w:rFonts w:eastAsia="Calibri" w:cs="Times New Roman"/>
          <w:bCs/>
          <w:color w:val="0D0D0D"/>
          <w:sz w:val="24"/>
          <w:szCs w:val="24"/>
        </w:rPr>
      </w:pPr>
      <w:r w:rsidRPr="00330981">
        <w:rPr>
          <w:rFonts w:eastAsia="Calibri" w:cs="Times New Roman"/>
          <w:bCs/>
          <w:color w:val="0D0D0D"/>
          <w:sz w:val="24"/>
          <w:szCs w:val="24"/>
        </w:rPr>
        <w:t xml:space="preserve">The Commission seemingly concurred with that approach when it stated that the reasoning </w:t>
      </w:r>
      <w:r w:rsidR="00C563EB" w:rsidRPr="00330981">
        <w:rPr>
          <w:rFonts w:eastAsia="Calibri" w:cs="Times New Roman"/>
          <w:bCs/>
          <w:color w:val="0D0D0D"/>
          <w:sz w:val="24"/>
          <w:szCs w:val="24"/>
        </w:rPr>
        <w:t>outlined</w:t>
      </w:r>
      <w:r w:rsidRPr="00330981">
        <w:rPr>
          <w:rFonts w:eastAsia="Calibri" w:cs="Times New Roman"/>
          <w:bCs/>
          <w:color w:val="0D0D0D"/>
          <w:sz w:val="24"/>
          <w:szCs w:val="24"/>
        </w:rPr>
        <w:t xml:space="preserve"> in </w:t>
      </w:r>
      <w:r w:rsidRPr="00330981">
        <w:rPr>
          <w:rFonts w:eastAsia="Calibri" w:cs="Times New Roman"/>
          <w:bCs/>
          <w:i/>
          <w:iCs/>
          <w:color w:val="0D0D0D"/>
          <w:sz w:val="24"/>
          <w:szCs w:val="24"/>
        </w:rPr>
        <w:t>Janecek</w:t>
      </w:r>
      <w:r w:rsidRPr="00330981">
        <w:rPr>
          <w:rFonts w:eastAsia="Calibri" w:cs="Times New Roman"/>
          <w:bCs/>
          <w:color w:val="0D0D0D"/>
          <w:sz w:val="24"/>
          <w:szCs w:val="24"/>
        </w:rPr>
        <w:t xml:space="preserve"> was justified by reference to the objectives of the Air Quality Directive. The Commission suggested that this approach could therefore be reiterated in relation to other EU secondary legislatio</w:t>
      </w:r>
      <w:r w:rsidR="00E94352" w:rsidRPr="00330981">
        <w:rPr>
          <w:rFonts w:eastAsia="Calibri" w:cs="Times New Roman"/>
          <w:bCs/>
          <w:color w:val="0D0D0D"/>
          <w:sz w:val="24"/>
          <w:szCs w:val="24"/>
        </w:rPr>
        <w:t>n</w:t>
      </w:r>
      <w:r w:rsidRPr="00330981">
        <w:rPr>
          <w:rFonts w:eastAsia="Calibri" w:cs="Times New Roman"/>
          <w:bCs/>
          <w:color w:val="0D0D0D"/>
          <w:sz w:val="24"/>
          <w:szCs w:val="24"/>
        </w:rPr>
        <w:t xml:space="preserve"> </w:t>
      </w:r>
      <w:r w:rsidR="00C563EB" w:rsidRPr="00330981">
        <w:rPr>
          <w:rFonts w:eastAsia="Calibri" w:cs="Times New Roman"/>
          <w:bCs/>
          <w:color w:val="0D0D0D"/>
          <w:sz w:val="24"/>
          <w:szCs w:val="24"/>
        </w:rPr>
        <w:t>aimed at protecting</w:t>
      </w:r>
      <w:r w:rsidRPr="00330981">
        <w:rPr>
          <w:rFonts w:eastAsia="Calibri" w:cs="Times New Roman"/>
          <w:bCs/>
          <w:color w:val="0D0D0D"/>
          <w:sz w:val="24"/>
          <w:szCs w:val="24"/>
        </w:rPr>
        <w:t xml:space="preserve"> human health.</w:t>
      </w:r>
      <w:r w:rsidRPr="00330981">
        <w:rPr>
          <w:rFonts w:eastAsia="Calibri" w:cs="Times New Roman"/>
          <w:bCs/>
          <w:color w:val="0D0D0D"/>
          <w:sz w:val="24"/>
          <w:szCs w:val="24"/>
          <w:vertAlign w:val="superscript"/>
        </w:rPr>
        <w:footnoteReference w:id="55"/>
      </w:r>
      <w:r w:rsidRPr="00330981">
        <w:rPr>
          <w:rFonts w:eastAsia="Calibri" w:cs="Times New Roman"/>
          <w:bCs/>
          <w:color w:val="0D0D0D"/>
          <w:sz w:val="24"/>
          <w:szCs w:val="24"/>
        </w:rPr>
        <w:t xml:space="preserve"> It even </w:t>
      </w:r>
      <w:r w:rsidR="00C563EB" w:rsidRPr="00330981">
        <w:rPr>
          <w:rFonts w:eastAsia="Calibri" w:cs="Times New Roman"/>
          <w:bCs/>
          <w:color w:val="0D0D0D"/>
          <w:sz w:val="24"/>
          <w:szCs w:val="24"/>
        </w:rPr>
        <w:t>stated</w:t>
      </w:r>
      <w:r w:rsidRPr="00330981">
        <w:rPr>
          <w:rFonts w:eastAsia="Calibri" w:cs="Times New Roman"/>
          <w:bCs/>
          <w:color w:val="0D0D0D"/>
          <w:sz w:val="24"/>
          <w:szCs w:val="24"/>
        </w:rPr>
        <w:t xml:space="preserve"> that individuals could derive a right to have </w:t>
      </w:r>
      <w:r w:rsidR="00C563EB" w:rsidRPr="00330981">
        <w:rPr>
          <w:rFonts w:eastAsia="Calibri" w:cs="Times New Roman"/>
          <w:bCs/>
          <w:color w:val="0D0D0D"/>
          <w:sz w:val="24"/>
          <w:szCs w:val="24"/>
        </w:rPr>
        <w:t>their</w:t>
      </w:r>
      <w:r w:rsidRPr="00330981">
        <w:rPr>
          <w:rFonts w:eastAsia="Calibri" w:cs="Times New Roman"/>
          <w:bCs/>
          <w:color w:val="0D0D0D"/>
          <w:sz w:val="24"/>
          <w:szCs w:val="24"/>
        </w:rPr>
        <w:t xml:space="preserve"> health protected from such provisions.</w:t>
      </w:r>
      <w:r w:rsidRPr="00330981">
        <w:rPr>
          <w:rFonts w:eastAsia="Calibri" w:cs="Times New Roman"/>
          <w:bCs/>
          <w:color w:val="0D0D0D"/>
          <w:sz w:val="24"/>
          <w:szCs w:val="24"/>
          <w:vertAlign w:val="superscript"/>
        </w:rPr>
        <w:footnoteReference w:id="56"/>
      </w:r>
      <w:r w:rsidRPr="00330981">
        <w:rPr>
          <w:rFonts w:eastAsia="Calibri" w:cs="Times New Roman"/>
          <w:bCs/>
          <w:color w:val="0D0D0D"/>
          <w:sz w:val="24"/>
          <w:szCs w:val="24"/>
        </w:rPr>
        <w:t xml:space="preserve"> </w:t>
      </w:r>
      <w:r w:rsidRPr="00330981">
        <w:rPr>
          <w:rFonts w:eastAsia="Calibri" w:cs="Times New Roman"/>
          <w:bCs/>
          <w:sz w:val="24"/>
          <w:szCs w:val="24"/>
        </w:rPr>
        <w:t xml:space="preserve">A similar line of reasoning was formulated by Advocate General </w:t>
      </w:r>
      <w:proofErr w:type="spellStart"/>
      <w:r w:rsidRPr="00330981">
        <w:rPr>
          <w:rFonts w:eastAsia="Calibri" w:cs="Times New Roman"/>
          <w:bCs/>
          <w:sz w:val="24"/>
          <w:szCs w:val="24"/>
        </w:rPr>
        <w:t>Kokott</w:t>
      </w:r>
      <w:proofErr w:type="spellEnd"/>
      <w:r w:rsidRPr="00330981">
        <w:rPr>
          <w:rFonts w:eastAsia="Calibri" w:cs="Times New Roman"/>
          <w:bCs/>
          <w:sz w:val="24"/>
          <w:szCs w:val="24"/>
        </w:rPr>
        <w:t xml:space="preserve"> in </w:t>
      </w:r>
      <w:proofErr w:type="spellStart"/>
      <w:r w:rsidRPr="00330981">
        <w:rPr>
          <w:rFonts w:eastAsia="Calibri" w:cs="Times New Roman"/>
          <w:bCs/>
          <w:i/>
          <w:iCs/>
          <w:sz w:val="24"/>
          <w:szCs w:val="24"/>
        </w:rPr>
        <w:t>Craeynest</w:t>
      </w:r>
      <w:proofErr w:type="spellEnd"/>
      <w:r w:rsidRPr="00330981">
        <w:rPr>
          <w:rFonts w:eastAsia="Calibri" w:cs="Times New Roman"/>
          <w:bCs/>
          <w:i/>
          <w:iCs/>
          <w:sz w:val="24"/>
          <w:szCs w:val="24"/>
        </w:rPr>
        <w:t xml:space="preserve"> and Others</w:t>
      </w:r>
      <w:r w:rsidRPr="00330981">
        <w:rPr>
          <w:rFonts w:eastAsia="Calibri" w:cs="Times New Roman"/>
          <w:bCs/>
          <w:sz w:val="24"/>
          <w:szCs w:val="24"/>
        </w:rPr>
        <w:t>. A</w:t>
      </w:r>
      <w:r w:rsidR="00E94352" w:rsidRPr="00330981">
        <w:rPr>
          <w:rFonts w:eastAsia="Calibri" w:cs="Times New Roman"/>
          <w:bCs/>
          <w:sz w:val="24"/>
          <w:szCs w:val="24"/>
        </w:rPr>
        <w:t xml:space="preserve">dvocate </w:t>
      </w:r>
      <w:r w:rsidRPr="00330981">
        <w:rPr>
          <w:rFonts w:eastAsia="Calibri" w:cs="Times New Roman"/>
          <w:bCs/>
          <w:sz w:val="24"/>
          <w:szCs w:val="24"/>
        </w:rPr>
        <w:t>G</w:t>
      </w:r>
      <w:r w:rsidR="00E94352" w:rsidRPr="00330981">
        <w:rPr>
          <w:rFonts w:eastAsia="Calibri" w:cs="Times New Roman"/>
          <w:bCs/>
          <w:sz w:val="24"/>
          <w:szCs w:val="24"/>
        </w:rPr>
        <w:t>eneral</w:t>
      </w:r>
      <w:r w:rsidRPr="00330981">
        <w:rPr>
          <w:rFonts w:eastAsia="Calibri" w:cs="Times New Roman"/>
          <w:bCs/>
          <w:sz w:val="24"/>
          <w:szCs w:val="24"/>
        </w:rPr>
        <w:t xml:space="preserve"> Kokott </w:t>
      </w:r>
      <w:r w:rsidR="00C563EB" w:rsidRPr="00330981">
        <w:rPr>
          <w:rFonts w:eastAsia="Calibri" w:cs="Times New Roman"/>
          <w:bCs/>
          <w:sz w:val="24"/>
          <w:szCs w:val="24"/>
        </w:rPr>
        <w:t>suggested</w:t>
      </w:r>
      <w:r w:rsidRPr="00330981">
        <w:rPr>
          <w:rFonts w:eastAsia="Calibri" w:cs="Times New Roman"/>
          <w:bCs/>
          <w:sz w:val="24"/>
          <w:szCs w:val="24"/>
        </w:rPr>
        <w:t xml:space="preserve"> that the provisions on air quality are intrinsically linked to the fundamental right to life set out in Article 2 of the Charter.</w:t>
      </w:r>
      <w:r w:rsidRPr="00330981">
        <w:rPr>
          <w:rFonts w:eastAsia="Calibri" w:cs="Times New Roman"/>
          <w:bCs/>
          <w:sz w:val="24"/>
          <w:szCs w:val="24"/>
          <w:vertAlign w:val="superscript"/>
        </w:rPr>
        <w:footnoteReference w:id="57"/>
      </w:r>
      <w:r w:rsidRPr="00330981">
        <w:rPr>
          <w:rFonts w:eastAsia="Calibri" w:cs="Times New Roman"/>
          <w:bCs/>
          <w:sz w:val="24"/>
          <w:szCs w:val="24"/>
        </w:rPr>
        <w:t xml:space="preserve"> </w:t>
      </w:r>
      <w:r w:rsidRPr="00330981">
        <w:rPr>
          <w:rFonts w:eastAsia="Calibri" w:cs="Times New Roman"/>
          <w:bCs/>
          <w:color w:val="0D0D0D"/>
          <w:sz w:val="24"/>
          <w:szCs w:val="24"/>
        </w:rPr>
        <w:t xml:space="preserve">In </w:t>
      </w:r>
      <w:r w:rsidRPr="00330981">
        <w:rPr>
          <w:rFonts w:eastAsia="Calibri" w:cs="Times New Roman"/>
          <w:bCs/>
          <w:i/>
          <w:iCs/>
          <w:color w:val="0D0D0D"/>
          <w:sz w:val="24"/>
          <w:szCs w:val="24"/>
        </w:rPr>
        <w:t>Deutsche Umwelthilfe</w:t>
      </w:r>
      <w:r w:rsidRPr="00330981">
        <w:rPr>
          <w:rFonts w:eastAsia="Calibri" w:cs="Times New Roman"/>
          <w:bCs/>
          <w:color w:val="0D0D0D"/>
          <w:sz w:val="24"/>
          <w:szCs w:val="24"/>
        </w:rPr>
        <w:t xml:space="preserve">, the Court even suggested that the principle of state liability could apply in relation to breaches of the air pollution standards </w:t>
      </w:r>
      <w:r w:rsidR="00C563EB" w:rsidRPr="00330981">
        <w:rPr>
          <w:rFonts w:eastAsia="Calibri" w:cs="Times New Roman"/>
          <w:bCs/>
          <w:color w:val="0D0D0D"/>
          <w:sz w:val="24"/>
          <w:szCs w:val="24"/>
        </w:rPr>
        <w:t xml:space="preserve">set out </w:t>
      </w:r>
      <w:r w:rsidRPr="00330981">
        <w:rPr>
          <w:rFonts w:eastAsia="Calibri" w:cs="Times New Roman"/>
          <w:bCs/>
          <w:color w:val="0D0D0D"/>
          <w:sz w:val="24"/>
          <w:szCs w:val="24"/>
        </w:rPr>
        <w:t>in the Air Quality Directive.</w:t>
      </w:r>
      <w:r w:rsidRPr="00330981">
        <w:rPr>
          <w:rFonts w:eastAsia="Calibri" w:cs="Times New Roman"/>
          <w:bCs/>
          <w:color w:val="0D0D0D"/>
          <w:sz w:val="24"/>
          <w:szCs w:val="24"/>
          <w:vertAlign w:val="superscript"/>
        </w:rPr>
        <w:footnoteReference w:id="58"/>
      </w:r>
      <w:r w:rsidRPr="00330981">
        <w:rPr>
          <w:rFonts w:eastAsia="Calibri" w:cs="Times New Roman"/>
          <w:bCs/>
          <w:color w:val="0D0D0D"/>
          <w:sz w:val="24"/>
          <w:szCs w:val="24"/>
        </w:rPr>
        <w:t xml:space="preserve"> In </w:t>
      </w:r>
      <w:r w:rsidRPr="00330981">
        <w:rPr>
          <w:rFonts w:eastAsia="Calibri" w:cs="Times New Roman"/>
          <w:bCs/>
          <w:sz w:val="24"/>
          <w:szCs w:val="24"/>
        </w:rPr>
        <w:t>the absence of conclusive stance of the Court on that matter, it remained unclear</w:t>
      </w:r>
      <w:r w:rsidR="00B6645D" w:rsidRPr="00330981">
        <w:rPr>
          <w:rFonts w:eastAsia="Calibri" w:cs="Times New Roman"/>
          <w:bCs/>
          <w:sz w:val="24"/>
          <w:szCs w:val="24"/>
        </w:rPr>
        <w:t>, however,</w:t>
      </w:r>
      <w:r w:rsidRPr="00330981">
        <w:rPr>
          <w:rFonts w:eastAsia="Calibri" w:cs="Times New Roman"/>
          <w:bCs/>
          <w:sz w:val="24"/>
          <w:szCs w:val="24"/>
        </w:rPr>
        <w:t xml:space="preserve"> whether such provisions could effectively give rise to a subjective right to claim reparation for damages. </w:t>
      </w:r>
    </w:p>
    <w:p w14:paraId="58B288D8" w14:textId="0255C7A1" w:rsidR="005B4A0C" w:rsidRPr="008D2F4A" w:rsidRDefault="00E94352" w:rsidP="00DD6ED9">
      <w:pPr>
        <w:spacing w:line="264" w:lineRule="auto"/>
        <w:ind w:firstLine="284"/>
        <w:jc w:val="both"/>
        <w:rPr>
          <w:rFonts w:eastAsia="Calibri" w:cs="Times New Roman"/>
          <w:sz w:val="24"/>
          <w:szCs w:val="24"/>
        </w:rPr>
      </w:pPr>
      <w:r w:rsidRPr="00330981">
        <w:rPr>
          <w:rFonts w:eastAsia="Calibri" w:cs="Times New Roman"/>
          <w:sz w:val="24"/>
          <w:szCs w:val="24"/>
        </w:rPr>
        <w:t>This</w:t>
      </w:r>
      <w:r w:rsidR="005B4A0C" w:rsidRPr="00330981">
        <w:rPr>
          <w:rFonts w:eastAsia="Calibri" w:cs="Times New Roman"/>
          <w:sz w:val="24"/>
          <w:szCs w:val="24"/>
        </w:rPr>
        <w:t xml:space="preserve"> question was referred to the Grand Chamber of the Court in </w:t>
      </w:r>
      <w:r w:rsidR="00B6645D" w:rsidRPr="00330981">
        <w:rPr>
          <w:rFonts w:eastAsia="Calibri" w:cs="Times New Roman"/>
          <w:sz w:val="24"/>
          <w:szCs w:val="24"/>
        </w:rPr>
        <w:t>the</w:t>
      </w:r>
      <w:r w:rsidR="005B4A0C" w:rsidRPr="00330981">
        <w:rPr>
          <w:rFonts w:eastAsia="Calibri" w:cs="Times New Roman"/>
          <w:sz w:val="24"/>
          <w:szCs w:val="24"/>
        </w:rPr>
        <w:t xml:space="preserve"> </w:t>
      </w:r>
      <w:proofErr w:type="spellStart"/>
      <w:r w:rsidR="005B4A0C" w:rsidRPr="00330981">
        <w:rPr>
          <w:rFonts w:eastAsia="Calibri" w:cs="Times New Roman"/>
          <w:i/>
          <w:iCs/>
          <w:sz w:val="24"/>
          <w:szCs w:val="24"/>
        </w:rPr>
        <w:t>Ministre</w:t>
      </w:r>
      <w:proofErr w:type="spellEnd"/>
      <w:r w:rsidR="005B4A0C" w:rsidRPr="00330981">
        <w:rPr>
          <w:rFonts w:eastAsia="Calibri" w:cs="Times New Roman"/>
          <w:i/>
          <w:iCs/>
          <w:sz w:val="24"/>
          <w:szCs w:val="24"/>
        </w:rPr>
        <w:t xml:space="preserve"> de la Transition </w:t>
      </w:r>
      <w:proofErr w:type="spellStart"/>
      <w:r w:rsidR="005B4A0C" w:rsidRPr="00330981">
        <w:rPr>
          <w:rFonts w:eastAsia="Calibri" w:cs="Times New Roman"/>
          <w:i/>
          <w:iCs/>
          <w:sz w:val="24"/>
          <w:szCs w:val="24"/>
        </w:rPr>
        <w:t>écologique</w:t>
      </w:r>
      <w:proofErr w:type="spellEnd"/>
      <w:r w:rsidR="00B6645D" w:rsidRPr="00330981">
        <w:rPr>
          <w:rFonts w:eastAsia="Calibri" w:cs="Times New Roman"/>
          <w:i/>
          <w:iCs/>
          <w:sz w:val="24"/>
          <w:szCs w:val="24"/>
        </w:rPr>
        <w:t xml:space="preserve"> </w:t>
      </w:r>
      <w:r w:rsidR="00B6645D" w:rsidRPr="00330981">
        <w:rPr>
          <w:rFonts w:eastAsia="Calibri" w:cs="Times New Roman"/>
          <w:sz w:val="24"/>
          <w:szCs w:val="24"/>
        </w:rPr>
        <w:t>case</w:t>
      </w:r>
      <w:r w:rsidR="005B4A0C" w:rsidRPr="00330981">
        <w:rPr>
          <w:rFonts w:eastAsia="Calibri" w:cs="Times New Roman"/>
          <w:sz w:val="24"/>
          <w:szCs w:val="24"/>
        </w:rPr>
        <w:t>.</w:t>
      </w:r>
      <w:r w:rsidR="005B4A0C" w:rsidRPr="00330981">
        <w:rPr>
          <w:rFonts w:eastAsia="Calibri" w:cs="Times New Roman"/>
          <w:sz w:val="24"/>
          <w:szCs w:val="24"/>
          <w:vertAlign w:val="superscript"/>
        </w:rPr>
        <w:footnoteReference w:id="59"/>
      </w:r>
      <w:r w:rsidR="005B4A0C" w:rsidRPr="00330981">
        <w:rPr>
          <w:rFonts w:eastAsia="Calibri" w:cs="Times New Roman"/>
          <w:sz w:val="24"/>
          <w:szCs w:val="24"/>
        </w:rPr>
        <w:t xml:space="preserve"> </w:t>
      </w:r>
      <w:r w:rsidR="005B4A0C" w:rsidRPr="008D2F4A">
        <w:rPr>
          <w:rFonts w:eastAsia="Calibri" w:cs="Times New Roman"/>
          <w:sz w:val="24"/>
          <w:szCs w:val="24"/>
        </w:rPr>
        <w:t xml:space="preserve">The stakes were high. The applicant in the main proceedings </w:t>
      </w:r>
      <w:r w:rsidRPr="008D2F4A">
        <w:rPr>
          <w:rFonts w:eastAsia="Calibri" w:cs="Times New Roman"/>
          <w:sz w:val="24"/>
          <w:szCs w:val="24"/>
        </w:rPr>
        <w:t xml:space="preserve">alleged </w:t>
      </w:r>
      <w:r w:rsidR="005B4A0C" w:rsidRPr="008D2F4A">
        <w:rPr>
          <w:rFonts w:eastAsia="Calibri" w:cs="Times New Roman"/>
          <w:sz w:val="24"/>
          <w:szCs w:val="24"/>
        </w:rPr>
        <w:t xml:space="preserve">serious health problems caused by the deterioration of air quality in the municipality of Paris. He claimed that the deterioration </w:t>
      </w:r>
      <w:r w:rsidR="00C563EB" w:rsidRPr="008D2F4A">
        <w:rPr>
          <w:rFonts w:eastAsia="Calibri" w:cs="Times New Roman"/>
          <w:sz w:val="24"/>
          <w:szCs w:val="24"/>
        </w:rPr>
        <w:t>in</w:t>
      </w:r>
      <w:r w:rsidR="005B4A0C" w:rsidRPr="008D2F4A">
        <w:rPr>
          <w:rFonts w:eastAsia="Calibri" w:cs="Times New Roman"/>
          <w:sz w:val="24"/>
          <w:szCs w:val="24"/>
        </w:rPr>
        <w:t xml:space="preserve"> air quality resulted from the French authorities’ failure to comply with the air pollution </w:t>
      </w:r>
      <w:r w:rsidR="00C563EB" w:rsidRPr="008D2F4A">
        <w:rPr>
          <w:rFonts w:eastAsia="Calibri" w:cs="Times New Roman"/>
          <w:sz w:val="24"/>
          <w:szCs w:val="24"/>
        </w:rPr>
        <w:t>standards</w:t>
      </w:r>
      <w:r w:rsidR="005B4A0C" w:rsidRPr="008D2F4A">
        <w:rPr>
          <w:rFonts w:eastAsia="Calibri" w:cs="Times New Roman"/>
          <w:sz w:val="24"/>
          <w:szCs w:val="24"/>
        </w:rPr>
        <w:t xml:space="preserve"> established by Ar</w:t>
      </w:r>
      <w:r w:rsidR="00C563EB" w:rsidRPr="008D2F4A">
        <w:rPr>
          <w:rFonts w:eastAsia="Calibri" w:cs="Times New Roman"/>
          <w:sz w:val="24"/>
          <w:szCs w:val="24"/>
        </w:rPr>
        <w:t>ticles</w:t>
      </w:r>
      <w:r w:rsidR="005B4A0C" w:rsidRPr="008D2F4A">
        <w:rPr>
          <w:rFonts w:eastAsia="Calibri" w:cs="Times New Roman"/>
          <w:sz w:val="24"/>
          <w:szCs w:val="24"/>
        </w:rPr>
        <w:t xml:space="preserve"> 13 and 23 of the Air Quality Directive. His claim for damages</w:t>
      </w:r>
      <w:r w:rsidR="00C563EB" w:rsidRPr="008D2F4A">
        <w:rPr>
          <w:rFonts w:eastAsia="Calibri" w:cs="Times New Roman"/>
          <w:sz w:val="24"/>
          <w:szCs w:val="24"/>
        </w:rPr>
        <w:t>, however,</w:t>
      </w:r>
      <w:r w:rsidR="005B4A0C" w:rsidRPr="008D2F4A">
        <w:rPr>
          <w:rFonts w:eastAsia="Calibri" w:cs="Times New Roman"/>
          <w:sz w:val="24"/>
          <w:szCs w:val="24"/>
        </w:rPr>
        <w:t xml:space="preserve"> was rejected on the grounds that the relevant provisions of the Air Quality Directive did not create a right for individuals to obtain compensation for damages suffered as a result of an infringement of these provisions. Much of the debate </w:t>
      </w:r>
      <w:r w:rsidR="00B6645D" w:rsidRPr="008D2F4A">
        <w:rPr>
          <w:rFonts w:eastAsia="Calibri" w:cs="Times New Roman"/>
          <w:sz w:val="24"/>
          <w:szCs w:val="24"/>
        </w:rPr>
        <w:t xml:space="preserve">thus </w:t>
      </w:r>
      <w:r w:rsidR="005B4A0C" w:rsidRPr="008D2F4A">
        <w:rPr>
          <w:rFonts w:eastAsia="Calibri" w:cs="Times New Roman"/>
          <w:sz w:val="24"/>
          <w:szCs w:val="24"/>
        </w:rPr>
        <w:t>revolved around whether the relevant provisions were “intended to confer rights on individuals capable of entitling them to compensation from a Member State</w:t>
      </w:r>
      <w:r w:rsidRPr="008D2F4A">
        <w:rPr>
          <w:rFonts w:eastAsia="Calibri" w:cs="Times New Roman"/>
          <w:sz w:val="24"/>
          <w:szCs w:val="24"/>
        </w:rPr>
        <w:t>.</w:t>
      </w:r>
      <w:r w:rsidR="005B4A0C" w:rsidRPr="008D2F4A">
        <w:rPr>
          <w:rFonts w:eastAsia="Calibri" w:cs="Times New Roman"/>
          <w:sz w:val="24"/>
          <w:szCs w:val="24"/>
        </w:rPr>
        <w:t>”</w:t>
      </w:r>
      <w:r w:rsidR="005B4A0C" w:rsidRPr="008D2F4A">
        <w:rPr>
          <w:rFonts w:eastAsia="Calibri" w:cs="Times New Roman"/>
          <w:sz w:val="24"/>
          <w:szCs w:val="24"/>
          <w:vertAlign w:val="superscript"/>
        </w:rPr>
        <w:footnoteReference w:id="60"/>
      </w:r>
      <w:r w:rsidR="005B4A0C" w:rsidRPr="008D2F4A">
        <w:rPr>
          <w:rFonts w:eastAsia="Calibri" w:cs="Times New Roman"/>
          <w:sz w:val="24"/>
          <w:szCs w:val="24"/>
        </w:rPr>
        <w:t xml:space="preserve"> </w:t>
      </w:r>
    </w:p>
    <w:p w14:paraId="5438BAC2" w14:textId="5A95659D" w:rsidR="005B4A0C" w:rsidRPr="008D2F4A" w:rsidRDefault="005B4A0C" w:rsidP="00DD6ED9">
      <w:pPr>
        <w:spacing w:line="264" w:lineRule="auto"/>
        <w:ind w:firstLine="284"/>
        <w:jc w:val="both"/>
        <w:rPr>
          <w:rFonts w:eastAsia="Calibri" w:cs="Times New Roman"/>
          <w:bCs/>
          <w:sz w:val="24"/>
          <w:szCs w:val="24"/>
        </w:rPr>
      </w:pPr>
      <w:r w:rsidRPr="008D2F4A">
        <w:rPr>
          <w:rFonts w:eastAsia="Calibri" w:cs="Times New Roman"/>
          <w:bCs/>
          <w:sz w:val="24"/>
          <w:szCs w:val="24"/>
        </w:rPr>
        <w:t xml:space="preserve">The Grand Chamber concluded that Articles 13 and 23 of the Air Quality Directive were not intended to confer rights on individuals. In support of this conclusion, it held that these provisions were </w:t>
      </w:r>
      <w:r w:rsidR="00F155C5" w:rsidRPr="008D2F4A">
        <w:rPr>
          <w:rFonts w:eastAsia="Calibri" w:cs="Times New Roman"/>
          <w:bCs/>
          <w:sz w:val="24"/>
          <w:szCs w:val="24"/>
        </w:rPr>
        <w:t>primarily</w:t>
      </w:r>
      <w:r w:rsidRPr="008D2F4A">
        <w:rPr>
          <w:rFonts w:eastAsia="Calibri" w:cs="Times New Roman"/>
          <w:bCs/>
          <w:sz w:val="24"/>
          <w:szCs w:val="24"/>
        </w:rPr>
        <w:t xml:space="preserve"> geared towards the general interests intrinsic to the protection of </w:t>
      </w:r>
      <w:r w:rsidRPr="008D2F4A">
        <w:rPr>
          <w:rFonts w:eastAsia="Calibri" w:cs="Times New Roman"/>
          <w:bCs/>
          <w:sz w:val="24"/>
          <w:szCs w:val="24"/>
        </w:rPr>
        <w:lastRenderedPageBreak/>
        <w:t>human health and the environment as a whole, rather than the interests of clearly defined individuals.</w:t>
      </w:r>
      <w:r w:rsidRPr="008D2F4A">
        <w:rPr>
          <w:rFonts w:eastAsia="Calibri" w:cs="Times New Roman"/>
          <w:bCs/>
          <w:sz w:val="24"/>
          <w:szCs w:val="24"/>
          <w:vertAlign w:val="superscript"/>
        </w:rPr>
        <w:footnoteReference w:id="61"/>
      </w:r>
      <w:r w:rsidRPr="008D2F4A">
        <w:rPr>
          <w:rFonts w:eastAsia="Calibri" w:cs="Times New Roman"/>
          <w:bCs/>
          <w:sz w:val="24"/>
          <w:szCs w:val="24"/>
        </w:rPr>
        <w:t xml:space="preserve"> </w:t>
      </w:r>
      <w:r w:rsidR="00F155C5" w:rsidRPr="008D2F4A">
        <w:rPr>
          <w:rFonts w:eastAsia="Calibri" w:cs="Times New Roman"/>
          <w:bCs/>
          <w:sz w:val="24"/>
          <w:szCs w:val="24"/>
        </w:rPr>
        <w:t>The Court stated that it could not</w:t>
      </w:r>
      <w:r w:rsidRPr="008D2F4A">
        <w:rPr>
          <w:rFonts w:eastAsia="Calibri" w:cs="Times New Roman"/>
          <w:bCs/>
          <w:sz w:val="24"/>
          <w:szCs w:val="24"/>
        </w:rPr>
        <w:t xml:space="preserve"> consider that:</w:t>
      </w:r>
    </w:p>
    <w:p w14:paraId="1F617AB9" w14:textId="77777777" w:rsidR="005B4A0C" w:rsidRPr="008D2F4A" w:rsidRDefault="005B4A0C" w:rsidP="00DD6ED9">
      <w:pPr>
        <w:spacing w:line="264" w:lineRule="auto"/>
        <w:ind w:left="284" w:right="284"/>
        <w:jc w:val="both"/>
        <w:rPr>
          <w:rFonts w:eastAsia="Calibri" w:cs="Times New Roman"/>
          <w:bCs/>
          <w:sz w:val="24"/>
          <w:szCs w:val="24"/>
        </w:rPr>
      </w:pPr>
      <w:r w:rsidRPr="008D2F4A">
        <w:rPr>
          <w:rFonts w:eastAsia="Calibri" w:cs="Times New Roman"/>
          <w:bCs/>
          <w:sz w:val="24"/>
          <w:szCs w:val="24"/>
        </w:rPr>
        <w:t>“individuals or categories of individuals are … implicitly granted, by reason of those obligations, rights the breach of which would be capable of giving rise to a Member State’s liability for loss and damage caused to individuals”.</w:t>
      </w:r>
      <w:r w:rsidRPr="008D2F4A">
        <w:rPr>
          <w:rFonts w:eastAsia="Calibri" w:cs="Times New Roman"/>
          <w:bCs/>
          <w:sz w:val="24"/>
          <w:szCs w:val="24"/>
          <w:vertAlign w:val="superscript"/>
        </w:rPr>
        <w:footnoteReference w:id="62"/>
      </w:r>
    </w:p>
    <w:p w14:paraId="79ADC14D" w14:textId="0F85B051" w:rsidR="005B4A0C" w:rsidRPr="008D2F4A" w:rsidRDefault="005B4A0C" w:rsidP="00DD6ED9">
      <w:pPr>
        <w:spacing w:line="264" w:lineRule="auto"/>
        <w:ind w:right="284"/>
        <w:jc w:val="both"/>
        <w:rPr>
          <w:rFonts w:eastAsia="Calibri" w:cs="Times New Roman"/>
          <w:bCs/>
          <w:sz w:val="24"/>
          <w:szCs w:val="24"/>
        </w:rPr>
      </w:pPr>
      <w:r w:rsidRPr="008D2F4A">
        <w:rPr>
          <w:rFonts w:eastAsia="Calibri" w:cs="Times New Roman"/>
          <w:bCs/>
          <w:sz w:val="24"/>
          <w:szCs w:val="24"/>
        </w:rPr>
        <w:t xml:space="preserve">This judgment was </w:t>
      </w:r>
      <w:r w:rsidR="00F155C5" w:rsidRPr="008D2F4A">
        <w:rPr>
          <w:rFonts w:eastAsia="Calibri" w:cs="Times New Roman"/>
          <w:bCs/>
          <w:sz w:val="24"/>
          <w:szCs w:val="24"/>
        </w:rPr>
        <w:t>portrayed</w:t>
      </w:r>
      <w:r w:rsidRPr="008D2F4A">
        <w:rPr>
          <w:rFonts w:eastAsia="Calibri" w:cs="Times New Roman"/>
          <w:bCs/>
          <w:sz w:val="24"/>
          <w:szCs w:val="24"/>
        </w:rPr>
        <w:t xml:space="preserve"> as a significant “step back” for the judicial protection of individuals.</w:t>
      </w:r>
      <w:r w:rsidRPr="008D2F4A">
        <w:rPr>
          <w:rFonts w:eastAsia="Calibri" w:cs="Times New Roman"/>
          <w:bCs/>
          <w:sz w:val="24"/>
          <w:szCs w:val="24"/>
          <w:vertAlign w:val="superscript"/>
        </w:rPr>
        <w:footnoteReference w:id="63"/>
      </w:r>
      <w:r w:rsidRPr="008D2F4A">
        <w:rPr>
          <w:rFonts w:eastAsia="Calibri" w:cs="Times New Roman"/>
          <w:bCs/>
          <w:sz w:val="24"/>
          <w:szCs w:val="24"/>
        </w:rPr>
        <w:t xml:space="preserve"> Mario Pagano opined that this judgment was difficult to reconcile with the Court</w:t>
      </w:r>
      <w:r w:rsidR="00F155C5" w:rsidRPr="008D2F4A">
        <w:rPr>
          <w:rFonts w:eastAsia="Calibri" w:cs="Times New Roman"/>
          <w:bCs/>
          <w:sz w:val="24"/>
          <w:szCs w:val="24"/>
        </w:rPr>
        <w:t>'s longstanding approach</w:t>
      </w:r>
      <w:r w:rsidRPr="008D2F4A">
        <w:rPr>
          <w:rFonts w:eastAsia="Calibri" w:cs="Times New Roman"/>
          <w:bCs/>
          <w:sz w:val="24"/>
          <w:szCs w:val="24"/>
        </w:rPr>
        <w:t xml:space="preserve">, which is to confer directly enforceable rights upon individuals to encourage them to engage in “altruistic litigation” for the sake of environmental protection (or, more generally, the </w:t>
      </w:r>
      <w:r w:rsidR="00F155C5" w:rsidRPr="008D2F4A">
        <w:rPr>
          <w:rFonts w:eastAsia="Calibri" w:cs="Times New Roman"/>
          <w:bCs/>
          <w:sz w:val="24"/>
          <w:szCs w:val="24"/>
        </w:rPr>
        <w:t>proper</w:t>
      </w:r>
      <w:r w:rsidRPr="008D2F4A">
        <w:rPr>
          <w:rFonts w:eastAsia="Calibri" w:cs="Times New Roman"/>
          <w:bCs/>
          <w:sz w:val="24"/>
          <w:szCs w:val="24"/>
        </w:rPr>
        <w:t xml:space="preserve"> application of EU law).</w:t>
      </w:r>
      <w:r w:rsidRPr="008D2F4A">
        <w:rPr>
          <w:rFonts w:eastAsia="Calibri" w:cs="Times New Roman"/>
          <w:bCs/>
          <w:sz w:val="24"/>
          <w:szCs w:val="24"/>
          <w:vertAlign w:val="superscript"/>
        </w:rPr>
        <w:footnoteReference w:id="64"/>
      </w:r>
      <w:r w:rsidRPr="008D2F4A">
        <w:rPr>
          <w:rFonts w:eastAsia="Calibri" w:cs="Times New Roman"/>
          <w:bCs/>
          <w:sz w:val="24"/>
          <w:szCs w:val="24"/>
        </w:rPr>
        <w:t xml:space="preserve"> By failing to recognise a right to claim reparation </w:t>
      </w:r>
      <w:r w:rsidR="00F155C5" w:rsidRPr="008D2F4A">
        <w:rPr>
          <w:rFonts w:eastAsia="Calibri" w:cs="Times New Roman"/>
          <w:bCs/>
          <w:sz w:val="24"/>
          <w:szCs w:val="24"/>
        </w:rPr>
        <w:t>for</w:t>
      </w:r>
      <w:r w:rsidRPr="008D2F4A">
        <w:rPr>
          <w:rFonts w:eastAsia="Calibri" w:cs="Times New Roman"/>
          <w:bCs/>
          <w:sz w:val="24"/>
          <w:szCs w:val="24"/>
        </w:rPr>
        <w:t xml:space="preserve"> violations of air quality standards, the Court suppressed the incentive for individuals to contribute to the implementation of these standards at national level. Jasper </w:t>
      </w:r>
      <w:proofErr w:type="spellStart"/>
      <w:r w:rsidRPr="008D2F4A">
        <w:rPr>
          <w:rFonts w:eastAsia="Calibri" w:cs="Times New Roman"/>
          <w:bCs/>
          <w:sz w:val="24"/>
          <w:szCs w:val="24"/>
        </w:rPr>
        <w:t>Krommendijk</w:t>
      </w:r>
      <w:proofErr w:type="spellEnd"/>
      <w:r w:rsidRPr="008D2F4A">
        <w:rPr>
          <w:rFonts w:eastAsia="Calibri" w:cs="Times New Roman"/>
          <w:bCs/>
          <w:sz w:val="24"/>
          <w:szCs w:val="24"/>
        </w:rPr>
        <w:t xml:space="preserve"> and Dirk </w:t>
      </w:r>
      <w:proofErr w:type="spellStart"/>
      <w:r w:rsidRPr="008D2F4A">
        <w:rPr>
          <w:rFonts w:eastAsia="Calibri" w:cs="Times New Roman"/>
          <w:bCs/>
          <w:sz w:val="24"/>
          <w:szCs w:val="24"/>
        </w:rPr>
        <w:t>Sanderink</w:t>
      </w:r>
      <w:proofErr w:type="spellEnd"/>
      <w:r w:rsidRPr="008D2F4A">
        <w:rPr>
          <w:rFonts w:eastAsia="Calibri" w:cs="Times New Roman"/>
          <w:bCs/>
          <w:sz w:val="24"/>
          <w:szCs w:val="24"/>
        </w:rPr>
        <w:t xml:space="preserve"> similarly advocated in favour of a human rights-based approach to environment</w:t>
      </w:r>
      <w:r w:rsidR="00F155C5" w:rsidRPr="008D2F4A">
        <w:rPr>
          <w:rFonts w:eastAsia="Calibri" w:cs="Times New Roman"/>
          <w:bCs/>
          <w:sz w:val="24"/>
          <w:szCs w:val="24"/>
        </w:rPr>
        <w:t>al protection</w:t>
      </w:r>
      <w:r w:rsidRPr="008D2F4A">
        <w:rPr>
          <w:rFonts w:eastAsia="Calibri" w:cs="Times New Roman"/>
          <w:bCs/>
          <w:sz w:val="24"/>
          <w:szCs w:val="24"/>
        </w:rPr>
        <w:t xml:space="preserve"> before the Court.</w:t>
      </w:r>
      <w:r w:rsidR="00E94352" w:rsidRPr="008D2F4A">
        <w:rPr>
          <w:rStyle w:val="FootnoteReference"/>
          <w:rFonts w:eastAsia="Calibri" w:cs="Times New Roman"/>
          <w:bCs/>
          <w:sz w:val="24"/>
          <w:szCs w:val="24"/>
        </w:rPr>
        <w:footnoteReference w:id="65"/>
      </w:r>
      <w:r w:rsidRPr="008D2F4A">
        <w:rPr>
          <w:rFonts w:eastAsia="Calibri" w:cs="Times New Roman"/>
          <w:bCs/>
          <w:sz w:val="24"/>
          <w:szCs w:val="24"/>
        </w:rPr>
        <w:t xml:space="preserve"> </w:t>
      </w:r>
      <w:r w:rsidR="00E94352" w:rsidRPr="008D2F4A">
        <w:rPr>
          <w:rFonts w:eastAsia="Calibri" w:cs="Times New Roman"/>
          <w:bCs/>
          <w:sz w:val="24"/>
          <w:szCs w:val="24"/>
        </w:rPr>
        <w:t xml:space="preserve">According to </w:t>
      </w:r>
      <w:r w:rsidR="00F155C5" w:rsidRPr="008D2F4A">
        <w:rPr>
          <w:rFonts w:eastAsia="Calibri" w:cs="Times New Roman"/>
          <w:bCs/>
          <w:sz w:val="24"/>
          <w:szCs w:val="24"/>
        </w:rPr>
        <w:t>them</w:t>
      </w:r>
      <w:r w:rsidR="00E94352" w:rsidRPr="008D2F4A">
        <w:rPr>
          <w:rFonts w:eastAsia="Calibri" w:cs="Times New Roman"/>
          <w:bCs/>
          <w:sz w:val="24"/>
          <w:szCs w:val="24"/>
        </w:rPr>
        <w:t xml:space="preserve">, </w:t>
      </w:r>
      <w:r w:rsidR="00F155C5" w:rsidRPr="008D2F4A">
        <w:rPr>
          <w:rFonts w:eastAsia="Calibri" w:cs="Times New Roman"/>
          <w:bCs/>
          <w:sz w:val="24"/>
          <w:szCs w:val="24"/>
        </w:rPr>
        <w:t>such an</w:t>
      </w:r>
      <w:r w:rsidRPr="008D2F4A">
        <w:rPr>
          <w:rFonts w:eastAsia="Calibri" w:cs="Times New Roman"/>
          <w:bCs/>
          <w:sz w:val="24"/>
          <w:szCs w:val="24"/>
        </w:rPr>
        <w:t xml:space="preserve"> approach would go a long way towards securing respect for the environmental standards </w:t>
      </w:r>
      <w:r w:rsidR="00F155C5" w:rsidRPr="008D2F4A">
        <w:rPr>
          <w:rFonts w:eastAsia="Calibri" w:cs="Times New Roman"/>
          <w:bCs/>
          <w:sz w:val="24"/>
          <w:szCs w:val="24"/>
        </w:rPr>
        <w:t>set out</w:t>
      </w:r>
      <w:r w:rsidRPr="008D2F4A">
        <w:rPr>
          <w:rFonts w:eastAsia="Calibri" w:cs="Times New Roman"/>
          <w:bCs/>
          <w:sz w:val="24"/>
          <w:szCs w:val="24"/>
        </w:rPr>
        <w:t xml:space="preserve"> by EU secondary law.</w:t>
      </w:r>
      <w:r w:rsidRPr="008D2F4A">
        <w:rPr>
          <w:rFonts w:eastAsia="Calibri" w:cs="Times New Roman"/>
          <w:bCs/>
          <w:sz w:val="24"/>
          <w:szCs w:val="24"/>
          <w:vertAlign w:val="superscript"/>
        </w:rPr>
        <w:footnoteReference w:id="66"/>
      </w:r>
    </w:p>
    <w:p w14:paraId="19DDACB9" w14:textId="134802F7" w:rsidR="005B4A0C" w:rsidRPr="008D2F4A" w:rsidRDefault="00E94352" w:rsidP="00DD6ED9">
      <w:pPr>
        <w:spacing w:line="264" w:lineRule="auto"/>
        <w:ind w:right="284" w:firstLine="284"/>
        <w:jc w:val="both"/>
        <w:rPr>
          <w:rFonts w:eastAsia="Aptos" w:cs="Times New Roman"/>
          <w:sz w:val="24"/>
          <w:szCs w:val="24"/>
        </w:rPr>
      </w:pPr>
      <w:r w:rsidRPr="00330981">
        <w:rPr>
          <w:rFonts w:eastAsia="Times New Roman" w:cs="Times New Roman"/>
          <w:sz w:val="24"/>
          <w:szCs w:val="24"/>
          <w:lang w:eastAsia="fr-FR"/>
        </w:rPr>
        <w:t xml:space="preserve">The </w:t>
      </w:r>
      <w:proofErr w:type="spellStart"/>
      <w:r w:rsidRPr="00330981">
        <w:rPr>
          <w:rFonts w:eastAsia="Times New Roman" w:cs="Times New Roman"/>
          <w:i/>
          <w:iCs/>
          <w:sz w:val="24"/>
          <w:szCs w:val="24"/>
          <w:lang w:eastAsia="fr-FR"/>
        </w:rPr>
        <w:t>Ministre</w:t>
      </w:r>
      <w:proofErr w:type="spellEnd"/>
      <w:r w:rsidRPr="00330981">
        <w:rPr>
          <w:rFonts w:eastAsia="Times New Roman" w:cs="Times New Roman"/>
          <w:i/>
          <w:iCs/>
          <w:sz w:val="24"/>
          <w:szCs w:val="24"/>
          <w:lang w:eastAsia="fr-FR"/>
        </w:rPr>
        <w:t xml:space="preserve"> de la Transition </w:t>
      </w:r>
      <w:proofErr w:type="spellStart"/>
      <w:r w:rsidRPr="00330981">
        <w:rPr>
          <w:rFonts w:eastAsia="Times New Roman" w:cs="Times New Roman"/>
          <w:i/>
          <w:iCs/>
          <w:sz w:val="24"/>
          <w:szCs w:val="24"/>
          <w:lang w:eastAsia="fr-FR"/>
        </w:rPr>
        <w:t>écologique</w:t>
      </w:r>
      <w:proofErr w:type="spellEnd"/>
      <w:r w:rsidR="005B4A0C" w:rsidRPr="00330981">
        <w:rPr>
          <w:rFonts w:eastAsia="Times New Roman" w:cs="Times New Roman"/>
          <w:sz w:val="24"/>
          <w:szCs w:val="24"/>
          <w:lang w:eastAsia="fr-FR"/>
        </w:rPr>
        <w:t xml:space="preserve"> judgment illustrates the difficulty </w:t>
      </w:r>
      <w:r w:rsidR="00F155C5" w:rsidRPr="00330981">
        <w:rPr>
          <w:rFonts w:eastAsia="Times New Roman" w:cs="Times New Roman"/>
          <w:sz w:val="24"/>
          <w:szCs w:val="24"/>
          <w:lang w:eastAsia="fr-FR"/>
        </w:rPr>
        <w:t>in translating</w:t>
      </w:r>
      <w:r w:rsidR="005B4A0C" w:rsidRPr="00330981">
        <w:rPr>
          <w:rFonts w:eastAsia="Times New Roman" w:cs="Times New Roman"/>
          <w:sz w:val="24"/>
          <w:szCs w:val="24"/>
          <w:lang w:eastAsia="fr-FR"/>
        </w:rPr>
        <w:t xml:space="preserve"> collective, diffuse</w:t>
      </w:r>
      <w:r w:rsidR="00F155C5" w:rsidRPr="00330981">
        <w:rPr>
          <w:rFonts w:eastAsia="Times New Roman" w:cs="Times New Roman"/>
          <w:sz w:val="24"/>
          <w:szCs w:val="24"/>
          <w:lang w:eastAsia="fr-FR"/>
        </w:rPr>
        <w:t>,</w:t>
      </w:r>
      <w:r w:rsidR="005B4A0C" w:rsidRPr="00330981">
        <w:rPr>
          <w:rFonts w:eastAsia="Times New Roman" w:cs="Times New Roman"/>
          <w:sz w:val="24"/>
          <w:szCs w:val="24"/>
          <w:lang w:eastAsia="fr-FR"/>
        </w:rPr>
        <w:t xml:space="preserve"> environmental interests into directly enforceable subjective rights. </w:t>
      </w:r>
      <w:r w:rsidRPr="008D2F4A">
        <w:rPr>
          <w:rFonts w:eastAsia="Times New Roman" w:cs="Times New Roman"/>
          <w:sz w:val="24"/>
          <w:szCs w:val="24"/>
          <w:lang w:eastAsia="fr-FR"/>
        </w:rPr>
        <w:t>This</w:t>
      </w:r>
      <w:r w:rsidR="005B4A0C" w:rsidRPr="008D2F4A">
        <w:rPr>
          <w:rFonts w:eastAsia="Times New Roman" w:cs="Times New Roman"/>
          <w:sz w:val="24"/>
          <w:szCs w:val="24"/>
          <w:lang w:eastAsia="fr-FR"/>
        </w:rPr>
        <w:t xml:space="preserve"> judgment ultimately reflects </w:t>
      </w:r>
      <w:r w:rsidR="005B4A0C" w:rsidRPr="008D2F4A">
        <w:rPr>
          <w:rFonts w:eastAsia="Aptos" w:cs="Times New Roman"/>
          <w:sz w:val="24"/>
          <w:szCs w:val="24"/>
        </w:rPr>
        <w:t xml:space="preserve">the Court’s reticence to expand the requirements of judicial protection of environmental law beyond </w:t>
      </w:r>
      <w:r w:rsidR="00F155C5" w:rsidRPr="008D2F4A">
        <w:rPr>
          <w:rFonts w:eastAsia="Aptos" w:cs="Times New Roman"/>
          <w:sz w:val="24"/>
          <w:szCs w:val="24"/>
        </w:rPr>
        <w:t>the</w:t>
      </w:r>
      <w:r w:rsidR="005B4A0C" w:rsidRPr="008D2F4A">
        <w:rPr>
          <w:rFonts w:eastAsia="Aptos" w:cs="Times New Roman"/>
          <w:sz w:val="24"/>
          <w:szCs w:val="24"/>
        </w:rPr>
        <w:t xml:space="preserve"> current emphasis on remedies primarily </w:t>
      </w:r>
      <w:r w:rsidR="00F155C5" w:rsidRPr="008D2F4A">
        <w:rPr>
          <w:rFonts w:eastAsia="Aptos" w:cs="Times New Roman"/>
          <w:sz w:val="24"/>
          <w:szCs w:val="24"/>
        </w:rPr>
        <w:t>concerned with</w:t>
      </w:r>
      <w:r w:rsidR="005B4A0C" w:rsidRPr="008D2F4A">
        <w:rPr>
          <w:rFonts w:eastAsia="Aptos" w:cs="Times New Roman"/>
          <w:sz w:val="24"/>
          <w:szCs w:val="24"/>
        </w:rPr>
        <w:t xml:space="preserve"> the general interests intrinsic to the defence of the environment.</w:t>
      </w:r>
      <w:r w:rsidR="005B4A0C" w:rsidRPr="008D2F4A">
        <w:rPr>
          <w:rFonts w:eastAsia="Aptos" w:cs="Times New Roman"/>
          <w:sz w:val="24"/>
          <w:szCs w:val="24"/>
          <w:vertAlign w:val="superscript"/>
        </w:rPr>
        <w:footnoteReference w:id="67"/>
      </w:r>
      <w:r w:rsidR="005B4A0C" w:rsidRPr="008D2F4A">
        <w:rPr>
          <w:rFonts w:eastAsia="Aptos" w:cs="Times New Roman"/>
          <w:sz w:val="24"/>
          <w:szCs w:val="24"/>
        </w:rPr>
        <w:t xml:space="preserve"> As a remedy </w:t>
      </w:r>
      <w:r w:rsidR="00F155C5" w:rsidRPr="008D2F4A">
        <w:rPr>
          <w:rFonts w:eastAsia="Aptos" w:cs="Times New Roman"/>
          <w:sz w:val="24"/>
          <w:szCs w:val="24"/>
        </w:rPr>
        <w:t>primarily</w:t>
      </w:r>
      <w:r w:rsidR="005B4A0C" w:rsidRPr="008D2F4A">
        <w:rPr>
          <w:rFonts w:eastAsia="Aptos" w:cs="Times New Roman"/>
          <w:sz w:val="24"/>
          <w:szCs w:val="24"/>
        </w:rPr>
        <w:t xml:space="preserve"> </w:t>
      </w:r>
      <w:r w:rsidR="00F155C5" w:rsidRPr="008D2F4A">
        <w:rPr>
          <w:rFonts w:eastAsia="Aptos" w:cs="Times New Roman"/>
          <w:sz w:val="24"/>
          <w:szCs w:val="24"/>
        </w:rPr>
        <w:t>focused</w:t>
      </w:r>
      <w:r w:rsidR="005B4A0C" w:rsidRPr="008D2F4A">
        <w:rPr>
          <w:rFonts w:eastAsia="Aptos" w:cs="Times New Roman"/>
          <w:sz w:val="24"/>
          <w:szCs w:val="24"/>
        </w:rPr>
        <w:t xml:space="preserve"> </w:t>
      </w:r>
      <w:r w:rsidR="00F155C5" w:rsidRPr="008D2F4A">
        <w:rPr>
          <w:rFonts w:eastAsia="Aptos" w:cs="Times New Roman"/>
          <w:sz w:val="24"/>
          <w:szCs w:val="24"/>
        </w:rPr>
        <w:t>on</w:t>
      </w:r>
      <w:r w:rsidR="005B4A0C" w:rsidRPr="008D2F4A">
        <w:rPr>
          <w:rFonts w:eastAsia="Aptos" w:cs="Times New Roman"/>
          <w:sz w:val="24"/>
          <w:szCs w:val="24"/>
        </w:rPr>
        <w:t xml:space="preserve"> the judicial protection of individuals, state liability does not </w:t>
      </w:r>
      <w:r w:rsidR="00F155C5" w:rsidRPr="008D2F4A">
        <w:rPr>
          <w:rFonts w:eastAsia="Aptos" w:cs="Times New Roman"/>
          <w:sz w:val="24"/>
          <w:szCs w:val="24"/>
        </w:rPr>
        <w:t>align well</w:t>
      </w:r>
      <w:r w:rsidR="005B4A0C" w:rsidRPr="008D2F4A">
        <w:rPr>
          <w:rFonts w:eastAsia="Aptos" w:cs="Times New Roman"/>
          <w:sz w:val="24"/>
          <w:szCs w:val="24"/>
        </w:rPr>
        <w:t xml:space="preserve"> with the Court’s current emphasis on general interest remedies. At the end of the day, the Court </w:t>
      </w:r>
      <w:r w:rsidR="00F155C5" w:rsidRPr="008D2F4A">
        <w:rPr>
          <w:rFonts w:eastAsia="Aptos" w:cs="Times New Roman"/>
          <w:sz w:val="24"/>
          <w:szCs w:val="24"/>
        </w:rPr>
        <w:t>seems</w:t>
      </w:r>
      <w:r w:rsidR="005B4A0C" w:rsidRPr="008D2F4A">
        <w:rPr>
          <w:rFonts w:eastAsia="Aptos" w:cs="Times New Roman"/>
          <w:sz w:val="24"/>
          <w:szCs w:val="24"/>
        </w:rPr>
        <w:t xml:space="preserve"> primarily concerned </w:t>
      </w:r>
      <w:r w:rsidRPr="008D2F4A">
        <w:rPr>
          <w:rFonts w:eastAsia="Aptos" w:cs="Times New Roman"/>
          <w:sz w:val="24"/>
          <w:szCs w:val="24"/>
        </w:rPr>
        <w:t>with</w:t>
      </w:r>
      <w:r w:rsidR="005B4A0C" w:rsidRPr="008D2F4A">
        <w:rPr>
          <w:rFonts w:eastAsia="Aptos" w:cs="Times New Roman"/>
          <w:sz w:val="24"/>
          <w:szCs w:val="24"/>
        </w:rPr>
        <w:t xml:space="preserve"> developing specific remedies </w:t>
      </w:r>
      <w:r w:rsidR="00F155C5" w:rsidRPr="008D2F4A">
        <w:rPr>
          <w:rFonts w:eastAsia="Aptos" w:cs="Times New Roman"/>
          <w:sz w:val="24"/>
          <w:szCs w:val="24"/>
        </w:rPr>
        <w:t>that foster</w:t>
      </w:r>
      <w:r w:rsidR="005B4A0C" w:rsidRPr="008D2F4A">
        <w:rPr>
          <w:rFonts w:eastAsia="Aptos" w:cs="Times New Roman"/>
          <w:sz w:val="24"/>
          <w:szCs w:val="24"/>
        </w:rPr>
        <w:t xml:space="preserve"> the judicial protection of the collective interests underpinning most of the legislative provisions adopted in the field of environmental protection.</w:t>
      </w:r>
    </w:p>
    <w:p w14:paraId="6837F186" w14:textId="77777777" w:rsidR="005B4A0C" w:rsidRPr="008D2F4A" w:rsidRDefault="005B4A0C" w:rsidP="00DD6ED9">
      <w:pPr>
        <w:spacing w:line="264" w:lineRule="auto"/>
        <w:jc w:val="both"/>
        <w:rPr>
          <w:rFonts w:eastAsia="Calibri" w:cs="Times New Roman"/>
          <w:sz w:val="24"/>
          <w:szCs w:val="24"/>
        </w:rPr>
      </w:pPr>
    </w:p>
    <w:p w14:paraId="453983FC" w14:textId="77777777" w:rsidR="005B4A0C" w:rsidRPr="008D2F4A" w:rsidRDefault="005B4A0C" w:rsidP="00DD6ED9">
      <w:pPr>
        <w:numPr>
          <w:ilvl w:val="1"/>
          <w:numId w:val="1"/>
        </w:numPr>
        <w:spacing w:line="264" w:lineRule="auto"/>
        <w:ind w:left="709" w:hanging="709"/>
        <w:jc w:val="both"/>
        <w:rPr>
          <w:rFonts w:eastAsia="Calibri" w:cs="Times New Roman"/>
          <w:sz w:val="24"/>
          <w:szCs w:val="24"/>
        </w:rPr>
      </w:pPr>
      <w:r w:rsidRPr="008D2F4A">
        <w:rPr>
          <w:rFonts w:eastAsia="Aptos" w:cs="Times New Roman"/>
          <w:sz w:val="24"/>
          <w:szCs w:val="24"/>
        </w:rPr>
        <w:t>The recast Directive, a legislative attempt to embrace individual environmental rights?</w:t>
      </w:r>
    </w:p>
    <w:p w14:paraId="4A894060" w14:textId="77777777" w:rsidR="005B4A0C" w:rsidRPr="008D2F4A" w:rsidRDefault="005B4A0C" w:rsidP="00DD6ED9">
      <w:pPr>
        <w:spacing w:line="264" w:lineRule="auto"/>
        <w:jc w:val="both"/>
        <w:rPr>
          <w:rFonts w:eastAsia="Calibri" w:cs="Times New Roman"/>
          <w:sz w:val="24"/>
          <w:szCs w:val="24"/>
        </w:rPr>
      </w:pPr>
    </w:p>
    <w:p w14:paraId="0E7776F3" w14:textId="4BF76ECD" w:rsidR="005B4A0C" w:rsidRPr="008D2F4A" w:rsidRDefault="005B4A0C" w:rsidP="00DD6ED9">
      <w:pPr>
        <w:spacing w:line="264" w:lineRule="auto"/>
        <w:jc w:val="both"/>
        <w:rPr>
          <w:rFonts w:eastAsia="Calibri" w:cs="Times New Roman"/>
          <w:sz w:val="24"/>
          <w:szCs w:val="24"/>
        </w:rPr>
      </w:pPr>
      <w:r w:rsidRPr="008D2F4A">
        <w:rPr>
          <w:rFonts w:eastAsia="Calibri" w:cs="Times New Roman"/>
          <w:sz w:val="24"/>
          <w:szCs w:val="24"/>
        </w:rPr>
        <w:t xml:space="preserve">The recast Directive suggests that the EU legislature is willing to </w:t>
      </w:r>
      <w:r w:rsidR="00F155C5" w:rsidRPr="008D2F4A">
        <w:rPr>
          <w:rFonts w:eastAsia="Calibri" w:cs="Times New Roman"/>
          <w:sz w:val="24"/>
          <w:szCs w:val="24"/>
        </w:rPr>
        <w:t>adopt</w:t>
      </w:r>
      <w:r w:rsidRPr="008D2F4A">
        <w:rPr>
          <w:rFonts w:eastAsia="Calibri" w:cs="Times New Roman"/>
          <w:sz w:val="24"/>
          <w:szCs w:val="24"/>
        </w:rPr>
        <w:t xml:space="preserve"> a more explicit</w:t>
      </w:r>
      <w:r w:rsidR="00E94352" w:rsidRPr="008D2F4A">
        <w:rPr>
          <w:rFonts w:eastAsia="Calibri" w:cs="Times New Roman"/>
          <w:sz w:val="24"/>
          <w:szCs w:val="24"/>
        </w:rPr>
        <w:t xml:space="preserve"> stance </w:t>
      </w:r>
      <w:r w:rsidR="00F155C5" w:rsidRPr="008D2F4A">
        <w:rPr>
          <w:rFonts w:eastAsia="Calibri" w:cs="Times New Roman"/>
          <w:sz w:val="24"/>
          <w:szCs w:val="24"/>
        </w:rPr>
        <w:t>on</w:t>
      </w:r>
      <w:r w:rsidRPr="008D2F4A">
        <w:rPr>
          <w:rFonts w:eastAsia="Calibri" w:cs="Times New Roman"/>
          <w:sz w:val="24"/>
          <w:szCs w:val="24"/>
        </w:rPr>
        <w:t xml:space="preserve"> </w:t>
      </w:r>
      <w:r w:rsidR="008C4F2C" w:rsidRPr="008D2F4A">
        <w:rPr>
          <w:rFonts w:eastAsia="Calibri" w:cs="Times New Roman"/>
          <w:sz w:val="24"/>
          <w:szCs w:val="24"/>
        </w:rPr>
        <w:t xml:space="preserve">individual </w:t>
      </w:r>
      <w:r w:rsidRPr="008D2F4A">
        <w:rPr>
          <w:rFonts w:eastAsia="Calibri" w:cs="Times New Roman"/>
          <w:sz w:val="24"/>
          <w:szCs w:val="24"/>
        </w:rPr>
        <w:t xml:space="preserve">rights in environmental matters. The original proposal was </w:t>
      </w:r>
      <w:r w:rsidR="00F155C5" w:rsidRPr="008D2F4A">
        <w:rPr>
          <w:rFonts w:eastAsia="Calibri" w:cs="Times New Roman"/>
          <w:sz w:val="24"/>
          <w:szCs w:val="24"/>
        </w:rPr>
        <w:t>presented</w:t>
      </w:r>
      <w:r w:rsidRPr="008D2F4A">
        <w:rPr>
          <w:rFonts w:eastAsia="Calibri" w:cs="Times New Roman"/>
          <w:sz w:val="24"/>
          <w:szCs w:val="24"/>
        </w:rPr>
        <w:t xml:space="preserve"> by the European Commission within the </w:t>
      </w:r>
      <w:r w:rsidR="00F155C5" w:rsidRPr="008D2F4A">
        <w:rPr>
          <w:rFonts w:eastAsia="Calibri" w:cs="Times New Roman"/>
          <w:sz w:val="24"/>
          <w:szCs w:val="24"/>
        </w:rPr>
        <w:t>framework</w:t>
      </w:r>
      <w:r w:rsidRPr="008D2F4A">
        <w:rPr>
          <w:rFonts w:eastAsia="Calibri" w:cs="Times New Roman"/>
          <w:sz w:val="24"/>
          <w:szCs w:val="24"/>
        </w:rPr>
        <w:t xml:space="preserve"> of the EU Green Deal. In </w:t>
      </w:r>
      <w:r w:rsidR="00F155C5" w:rsidRPr="008D2F4A">
        <w:rPr>
          <w:rFonts w:eastAsia="Calibri" w:cs="Times New Roman"/>
          <w:sz w:val="24"/>
          <w:szCs w:val="24"/>
        </w:rPr>
        <w:t>this</w:t>
      </w:r>
      <w:r w:rsidRPr="008D2F4A">
        <w:rPr>
          <w:rFonts w:eastAsia="Calibri" w:cs="Times New Roman"/>
          <w:sz w:val="24"/>
          <w:szCs w:val="24"/>
        </w:rPr>
        <w:t xml:space="preserve"> context, the </w:t>
      </w:r>
      <w:r w:rsidRPr="008D2F4A">
        <w:rPr>
          <w:rFonts w:eastAsia="Calibri" w:cs="Times New Roman"/>
          <w:sz w:val="24"/>
          <w:szCs w:val="24"/>
        </w:rPr>
        <w:lastRenderedPageBreak/>
        <w:t>Commission pledged to strive for “zero pollution” by 2050.</w:t>
      </w:r>
      <w:r w:rsidRPr="008D2F4A">
        <w:rPr>
          <w:rFonts w:eastAsia="Calibri" w:cs="Times New Roman"/>
          <w:sz w:val="24"/>
          <w:szCs w:val="24"/>
          <w:vertAlign w:val="superscript"/>
        </w:rPr>
        <w:footnoteReference w:id="68"/>
      </w:r>
      <w:r w:rsidRPr="008D2F4A">
        <w:rPr>
          <w:rFonts w:eastAsia="Calibri" w:cs="Times New Roman"/>
          <w:sz w:val="24"/>
          <w:szCs w:val="24"/>
        </w:rPr>
        <w:t xml:space="preserve"> To that end, it committed to introduc</w:t>
      </w:r>
      <w:r w:rsidR="00273246" w:rsidRPr="008D2F4A">
        <w:rPr>
          <w:rFonts w:eastAsia="Calibri" w:cs="Times New Roman"/>
          <w:sz w:val="24"/>
          <w:szCs w:val="24"/>
        </w:rPr>
        <w:t>ing</w:t>
      </w:r>
      <w:r w:rsidRPr="008D2F4A">
        <w:rPr>
          <w:rFonts w:eastAsia="Calibri" w:cs="Times New Roman"/>
          <w:sz w:val="24"/>
          <w:szCs w:val="24"/>
        </w:rPr>
        <w:t xml:space="preserve"> a proposal </w:t>
      </w:r>
      <w:r w:rsidR="00273246" w:rsidRPr="008D2F4A">
        <w:rPr>
          <w:rFonts w:eastAsia="Calibri" w:cs="Times New Roman"/>
          <w:sz w:val="24"/>
          <w:szCs w:val="24"/>
        </w:rPr>
        <w:t>to modernise the</w:t>
      </w:r>
      <w:r w:rsidRPr="008D2F4A">
        <w:rPr>
          <w:rFonts w:eastAsia="Calibri" w:cs="Times New Roman"/>
          <w:sz w:val="24"/>
          <w:szCs w:val="24"/>
        </w:rPr>
        <w:t xml:space="preserve"> rules on ambient air quality. The negotiation process </w:t>
      </w:r>
      <w:r w:rsidR="00273246" w:rsidRPr="008D2F4A">
        <w:rPr>
          <w:rFonts w:eastAsia="Calibri" w:cs="Times New Roman"/>
          <w:sz w:val="24"/>
          <w:szCs w:val="24"/>
        </w:rPr>
        <w:t>began</w:t>
      </w:r>
      <w:r w:rsidRPr="008D2F4A">
        <w:rPr>
          <w:rFonts w:eastAsia="Calibri" w:cs="Times New Roman"/>
          <w:sz w:val="24"/>
          <w:szCs w:val="24"/>
        </w:rPr>
        <w:t xml:space="preserve"> </w:t>
      </w:r>
      <w:r w:rsidR="00273246" w:rsidRPr="008D2F4A">
        <w:rPr>
          <w:rFonts w:eastAsia="Calibri" w:cs="Times New Roman"/>
          <w:sz w:val="24"/>
          <w:szCs w:val="24"/>
        </w:rPr>
        <w:t>following the</w:t>
      </w:r>
      <w:r w:rsidRPr="008D2F4A">
        <w:rPr>
          <w:rFonts w:eastAsia="Calibri" w:cs="Times New Roman"/>
          <w:sz w:val="24"/>
          <w:szCs w:val="24"/>
        </w:rPr>
        <w:t xml:space="preserve"> publication of recommendations concerning air pollution by the World Health Organization (“WHO”). The WHO called for stricter limits on pollutant</w:t>
      </w:r>
      <w:r w:rsidR="00273246" w:rsidRPr="008D2F4A">
        <w:rPr>
          <w:rFonts w:eastAsia="Calibri" w:cs="Times New Roman"/>
          <w:sz w:val="24"/>
          <w:szCs w:val="24"/>
        </w:rPr>
        <w:t xml:space="preserve"> emissions, </w:t>
      </w:r>
      <w:r w:rsidRPr="008D2F4A">
        <w:rPr>
          <w:rFonts w:eastAsia="Calibri" w:cs="Times New Roman"/>
          <w:sz w:val="24"/>
          <w:szCs w:val="24"/>
        </w:rPr>
        <w:t xml:space="preserve">reflecting current scientific knowledge </w:t>
      </w:r>
      <w:r w:rsidR="00273246" w:rsidRPr="008D2F4A">
        <w:rPr>
          <w:rFonts w:eastAsia="Calibri" w:cs="Times New Roman"/>
          <w:sz w:val="24"/>
          <w:szCs w:val="24"/>
        </w:rPr>
        <w:t>of</w:t>
      </w:r>
      <w:r w:rsidRPr="008D2F4A">
        <w:rPr>
          <w:rFonts w:eastAsia="Calibri" w:cs="Times New Roman"/>
          <w:sz w:val="24"/>
          <w:szCs w:val="24"/>
        </w:rPr>
        <w:t xml:space="preserve"> the health risks associated with air pollution.</w:t>
      </w:r>
      <w:r w:rsidRPr="008D2F4A">
        <w:rPr>
          <w:rFonts w:eastAsia="Calibri" w:cs="Times New Roman"/>
          <w:sz w:val="24"/>
          <w:szCs w:val="24"/>
          <w:vertAlign w:val="superscript"/>
        </w:rPr>
        <w:footnoteReference w:id="69"/>
      </w:r>
      <w:r w:rsidRPr="008D2F4A">
        <w:rPr>
          <w:rFonts w:eastAsia="Calibri" w:cs="Times New Roman"/>
          <w:sz w:val="24"/>
          <w:szCs w:val="24"/>
        </w:rPr>
        <w:t xml:space="preserve"> These recommendations cast an unforgiving light on the glaring </w:t>
      </w:r>
      <w:r w:rsidR="00E94352" w:rsidRPr="008D2F4A">
        <w:rPr>
          <w:rFonts w:eastAsia="Calibri" w:cs="Times New Roman"/>
          <w:sz w:val="24"/>
          <w:szCs w:val="24"/>
        </w:rPr>
        <w:t>gaps in</w:t>
      </w:r>
      <w:r w:rsidRPr="008D2F4A">
        <w:rPr>
          <w:rFonts w:eastAsia="Calibri" w:cs="Times New Roman"/>
          <w:sz w:val="24"/>
          <w:szCs w:val="24"/>
        </w:rPr>
        <w:t xml:space="preserve"> the previous </w:t>
      </w:r>
      <w:r w:rsidR="00273246" w:rsidRPr="008D2F4A">
        <w:rPr>
          <w:rFonts w:eastAsia="Calibri" w:cs="Times New Roman"/>
          <w:sz w:val="24"/>
          <w:szCs w:val="24"/>
        </w:rPr>
        <w:t>version</w:t>
      </w:r>
      <w:r w:rsidRPr="008D2F4A">
        <w:rPr>
          <w:rFonts w:eastAsia="Calibri" w:cs="Times New Roman"/>
          <w:sz w:val="24"/>
          <w:szCs w:val="24"/>
        </w:rPr>
        <w:t xml:space="preserve"> of the ambient Air Quality Directive. The European Parliament </w:t>
      </w:r>
      <w:r w:rsidR="00273246" w:rsidRPr="008D2F4A">
        <w:rPr>
          <w:rFonts w:eastAsia="Calibri" w:cs="Times New Roman"/>
          <w:sz w:val="24"/>
          <w:szCs w:val="24"/>
        </w:rPr>
        <w:t>expressed concern over</w:t>
      </w:r>
      <w:r w:rsidRPr="008D2F4A">
        <w:rPr>
          <w:rFonts w:eastAsia="Calibri" w:cs="Times New Roman"/>
          <w:sz w:val="24"/>
          <w:szCs w:val="24"/>
        </w:rPr>
        <w:t xml:space="preserve"> the outdated air quality standards in this Directive, as well as the Member States’ </w:t>
      </w:r>
      <w:r w:rsidR="00273246" w:rsidRPr="008D2F4A">
        <w:rPr>
          <w:rFonts w:eastAsia="Calibri" w:cs="Times New Roman"/>
          <w:sz w:val="24"/>
          <w:szCs w:val="24"/>
        </w:rPr>
        <w:t>failure to comply</w:t>
      </w:r>
      <w:r w:rsidRPr="008D2F4A">
        <w:rPr>
          <w:rFonts w:eastAsia="Calibri" w:cs="Times New Roman"/>
          <w:sz w:val="24"/>
          <w:szCs w:val="24"/>
        </w:rPr>
        <w:t xml:space="preserve"> with these standards.</w:t>
      </w:r>
      <w:r w:rsidRPr="008D2F4A">
        <w:rPr>
          <w:rFonts w:eastAsia="Calibri" w:cs="Times New Roman"/>
          <w:sz w:val="24"/>
          <w:szCs w:val="24"/>
          <w:vertAlign w:val="superscript"/>
        </w:rPr>
        <w:footnoteReference w:id="70"/>
      </w:r>
      <w:r w:rsidRPr="008D2F4A">
        <w:rPr>
          <w:rFonts w:eastAsia="Calibri" w:cs="Times New Roman"/>
          <w:sz w:val="24"/>
          <w:szCs w:val="24"/>
        </w:rPr>
        <w:t xml:space="preserve"> </w:t>
      </w:r>
    </w:p>
    <w:p w14:paraId="181AF41D" w14:textId="66E28B37" w:rsidR="005B4A0C" w:rsidRPr="008D2F4A" w:rsidRDefault="005B4A0C" w:rsidP="00DD6ED9">
      <w:pPr>
        <w:spacing w:line="264" w:lineRule="auto"/>
        <w:ind w:firstLine="284"/>
        <w:jc w:val="both"/>
        <w:rPr>
          <w:rFonts w:eastAsia="Calibri" w:cs="Times New Roman"/>
          <w:sz w:val="24"/>
          <w:szCs w:val="24"/>
        </w:rPr>
      </w:pPr>
      <w:r w:rsidRPr="008D2F4A">
        <w:rPr>
          <w:rFonts w:eastAsia="Calibri" w:cs="Times New Roman"/>
          <w:sz w:val="24"/>
          <w:szCs w:val="24"/>
        </w:rPr>
        <w:t xml:space="preserve">To address these shortcomings, the recast Directive introduces stricter thresholds </w:t>
      </w:r>
      <w:r w:rsidR="00273246" w:rsidRPr="008D2F4A">
        <w:rPr>
          <w:rFonts w:eastAsia="Calibri" w:cs="Times New Roman"/>
          <w:sz w:val="24"/>
          <w:szCs w:val="24"/>
        </w:rPr>
        <w:t>for</w:t>
      </w:r>
      <w:r w:rsidRPr="008D2F4A">
        <w:rPr>
          <w:rFonts w:eastAsia="Calibri" w:cs="Times New Roman"/>
          <w:sz w:val="24"/>
          <w:szCs w:val="24"/>
        </w:rPr>
        <w:t xml:space="preserve"> pollutant emissions. </w:t>
      </w:r>
      <w:r w:rsidR="00273246" w:rsidRPr="008D2F4A">
        <w:rPr>
          <w:rFonts w:eastAsia="Calibri" w:cs="Times New Roman"/>
          <w:sz w:val="24"/>
          <w:szCs w:val="24"/>
        </w:rPr>
        <w:t>It aims</w:t>
      </w:r>
      <w:r w:rsidRPr="008D2F4A">
        <w:rPr>
          <w:rFonts w:eastAsia="Calibri" w:cs="Times New Roman"/>
          <w:sz w:val="24"/>
          <w:szCs w:val="24"/>
        </w:rPr>
        <w:t xml:space="preserve"> to align EU air quality standards more closely with the recommendations formulated by the WHO.</w:t>
      </w:r>
      <w:r w:rsidRPr="008D2F4A">
        <w:rPr>
          <w:rFonts w:eastAsia="Calibri" w:cs="Times New Roman"/>
          <w:sz w:val="24"/>
          <w:szCs w:val="24"/>
          <w:vertAlign w:val="superscript"/>
        </w:rPr>
        <w:footnoteReference w:id="71"/>
      </w:r>
      <w:r w:rsidRPr="008D2F4A">
        <w:rPr>
          <w:rFonts w:eastAsia="Calibri" w:cs="Times New Roman"/>
          <w:sz w:val="24"/>
          <w:szCs w:val="24"/>
        </w:rPr>
        <w:t xml:space="preserve"> It also aims to </w:t>
      </w:r>
      <w:r w:rsidR="00273246" w:rsidRPr="008D2F4A">
        <w:rPr>
          <w:rFonts w:eastAsia="Calibri" w:cs="Times New Roman"/>
          <w:sz w:val="24"/>
          <w:szCs w:val="24"/>
        </w:rPr>
        <w:t>address</w:t>
      </w:r>
      <w:r w:rsidRPr="008D2F4A">
        <w:rPr>
          <w:rFonts w:eastAsia="Calibri" w:cs="Times New Roman"/>
          <w:sz w:val="24"/>
          <w:szCs w:val="24"/>
        </w:rPr>
        <w:t xml:space="preserve"> the “implementation gap” </w:t>
      </w:r>
      <w:r w:rsidR="00273246" w:rsidRPr="008D2F4A">
        <w:rPr>
          <w:rFonts w:eastAsia="Calibri" w:cs="Times New Roman"/>
          <w:sz w:val="24"/>
          <w:szCs w:val="24"/>
        </w:rPr>
        <w:t>in</w:t>
      </w:r>
      <w:r w:rsidRPr="008D2F4A">
        <w:rPr>
          <w:rFonts w:eastAsia="Calibri" w:cs="Times New Roman"/>
          <w:sz w:val="24"/>
          <w:szCs w:val="24"/>
        </w:rPr>
        <w:t xml:space="preserve"> air quality standards. Th</w:t>
      </w:r>
      <w:r w:rsidR="00273246" w:rsidRPr="008D2F4A">
        <w:rPr>
          <w:rFonts w:eastAsia="Calibri" w:cs="Times New Roman"/>
          <w:sz w:val="24"/>
          <w:szCs w:val="24"/>
        </w:rPr>
        <w:t>is</w:t>
      </w:r>
      <w:r w:rsidRPr="008D2F4A">
        <w:rPr>
          <w:rFonts w:eastAsia="Calibri" w:cs="Times New Roman"/>
          <w:sz w:val="24"/>
          <w:szCs w:val="24"/>
        </w:rPr>
        <w:t xml:space="preserve"> is </w:t>
      </w:r>
      <w:r w:rsidR="00273246" w:rsidRPr="008D2F4A">
        <w:rPr>
          <w:rFonts w:eastAsia="Calibri" w:cs="Times New Roman"/>
          <w:sz w:val="24"/>
          <w:szCs w:val="24"/>
        </w:rPr>
        <w:t>achieved</w:t>
      </w:r>
      <w:r w:rsidRPr="008D2F4A">
        <w:rPr>
          <w:rFonts w:eastAsia="Calibri" w:cs="Times New Roman"/>
          <w:sz w:val="24"/>
          <w:szCs w:val="24"/>
        </w:rPr>
        <w:t xml:space="preserve"> by </w:t>
      </w:r>
      <w:r w:rsidR="00273246" w:rsidRPr="008D2F4A">
        <w:rPr>
          <w:rFonts w:eastAsia="Calibri" w:cs="Times New Roman"/>
          <w:sz w:val="24"/>
          <w:szCs w:val="24"/>
        </w:rPr>
        <w:t>including</w:t>
      </w:r>
      <w:r w:rsidRPr="008D2F4A">
        <w:rPr>
          <w:rFonts w:eastAsia="Calibri" w:cs="Times New Roman"/>
          <w:sz w:val="24"/>
          <w:szCs w:val="24"/>
        </w:rPr>
        <w:t xml:space="preserve"> provisions </w:t>
      </w:r>
      <w:r w:rsidR="00273246" w:rsidRPr="008D2F4A">
        <w:rPr>
          <w:rFonts w:eastAsia="Calibri" w:cs="Times New Roman"/>
          <w:sz w:val="24"/>
          <w:szCs w:val="24"/>
        </w:rPr>
        <w:t>that provide</w:t>
      </w:r>
      <w:r w:rsidRPr="008D2F4A">
        <w:rPr>
          <w:rFonts w:eastAsia="Calibri" w:cs="Times New Roman"/>
          <w:sz w:val="24"/>
          <w:szCs w:val="24"/>
        </w:rPr>
        <w:t xml:space="preserve"> additional legal tools and judicial remedies </w:t>
      </w:r>
      <w:r w:rsidR="00273246" w:rsidRPr="008D2F4A">
        <w:rPr>
          <w:rFonts w:eastAsia="Calibri" w:cs="Times New Roman"/>
          <w:sz w:val="24"/>
          <w:szCs w:val="24"/>
        </w:rPr>
        <w:t>for</w:t>
      </w:r>
      <w:r w:rsidRPr="008D2F4A">
        <w:rPr>
          <w:rFonts w:eastAsia="Calibri" w:cs="Times New Roman"/>
          <w:sz w:val="24"/>
          <w:szCs w:val="24"/>
        </w:rPr>
        <w:t xml:space="preserve"> individuals </w:t>
      </w:r>
      <w:r w:rsidR="00273246" w:rsidRPr="008D2F4A">
        <w:rPr>
          <w:rFonts w:eastAsia="Calibri" w:cs="Times New Roman"/>
          <w:sz w:val="24"/>
          <w:szCs w:val="24"/>
        </w:rPr>
        <w:t>affected by</w:t>
      </w:r>
      <w:r w:rsidRPr="008D2F4A">
        <w:rPr>
          <w:rFonts w:eastAsia="Calibri" w:cs="Times New Roman"/>
          <w:sz w:val="24"/>
          <w:szCs w:val="24"/>
        </w:rPr>
        <w:t xml:space="preserve"> non-compliance with the air quality standards </w:t>
      </w:r>
      <w:r w:rsidR="00273246" w:rsidRPr="008D2F4A">
        <w:rPr>
          <w:rFonts w:eastAsia="Calibri" w:cs="Times New Roman"/>
          <w:sz w:val="24"/>
          <w:szCs w:val="24"/>
        </w:rPr>
        <w:t>set forth</w:t>
      </w:r>
      <w:r w:rsidRPr="008D2F4A">
        <w:rPr>
          <w:rFonts w:eastAsia="Calibri" w:cs="Times New Roman"/>
          <w:sz w:val="24"/>
          <w:szCs w:val="24"/>
        </w:rPr>
        <w:t xml:space="preserve"> </w:t>
      </w:r>
      <w:r w:rsidR="00B47262" w:rsidRPr="008D2F4A">
        <w:rPr>
          <w:rFonts w:eastAsia="Calibri" w:cs="Times New Roman"/>
          <w:sz w:val="24"/>
          <w:szCs w:val="24"/>
        </w:rPr>
        <w:t>in</w:t>
      </w:r>
      <w:r w:rsidRPr="008D2F4A">
        <w:rPr>
          <w:rFonts w:eastAsia="Calibri" w:cs="Times New Roman"/>
          <w:sz w:val="24"/>
          <w:szCs w:val="24"/>
        </w:rPr>
        <w:t xml:space="preserve"> the recast Directive. The Directive essentially builds upon the Court’s case law </w:t>
      </w:r>
      <w:r w:rsidR="00B47262" w:rsidRPr="008D2F4A">
        <w:rPr>
          <w:rFonts w:eastAsia="Calibri" w:cs="Times New Roman"/>
          <w:sz w:val="24"/>
          <w:szCs w:val="24"/>
        </w:rPr>
        <w:t>concerning</w:t>
      </w:r>
      <w:r w:rsidRPr="008D2F4A">
        <w:rPr>
          <w:rFonts w:eastAsia="Calibri" w:cs="Times New Roman"/>
          <w:sz w:val="24"/>
          <w:szCs w:val="24"/>
        </w:rPr>
        <w:t xml:space="preserve"> environmental collective rights, </w:t>
      </w:r>
      <w:r w:rsidR="00B47262" w:rsidRPr="008D2F4A">
        <w:rPr>
          <w:rFonts w:eastAsia="Calibri" w:cs="Times New Roman"/>
          <w:sz w:val="24"/>
          <w:szCs w:val="24"/>
        </w:rPr>
        <w:t>as discussed</w:t>
      </w:r>
      <w:r w:rsidRPr="008D2F4A">
        <w:rPr>
          <w:rFonts w:eastAsia="Calibri" w:cs="Times New Roman"/>
          <w:sz w:val="24"/>
          <w:szCs w:val="24"/>
        </w:rPr>
        <w:t xml:space="preserve"> above. Article 27 of the proposal</w:t>
      </w:r>
      <w:r w:rsidR="00555B71" w:rsidRPr="008D2F4A">
        <w:rPr>
          <w:rFonts w:eastAsia="Calibri" w:cs="Times New Roman"/>
          <w:sz w:val="24"/>
          <w:szCs w:val="24"/>
        </w:rPr>
        <w:t>, in particular,</w:t>
      </w:r>
      <w:r w:rsidRPr="008D2F4A">
        <w:rPr>
          <w:rFonts w:eastAsia="Calibri" w:cs="Times New Roman"/>
          <w:sz w:val="24"/>
          <w:szCs w:val="24"/>
        </w:rPr>
        <w:t xml:space="preserve"> sets out a right </w:t>
      </w:r>
      <w:r w:rsidR="00B47262" w:rsidRPr="008D2F4A">
        <w:rPr>
          <w:rFonts w:eastAsia="Calibri" w:cs="Times New Roman"/>
          <w:sz w:val="24"/>
          <w:szCs w:val="24"/>
        </w:rPr>
        <w:t>for</w:t>
      </w:r>
      <w:r w:rsidRPr="008D2F4A">
        <w:rPr>
          <w:rFonts w:eastAsia="Calibri" w:cs="Times New Roman"/>
          <w:sz w:val="24"/>
          <w:szCs w:val="24"/>
        </w:rPr>
        <w:t xml:space="preserve"> concerned individuals and NGOs</w:t>
      </w:r>
      <w:r w:rsidR="00B47262" w:rsidRPr="008D2F4A">
        <w:rPr>
          <w:rFonts w:eastAsia="Calibri" w:cs="Times New Roman"/>
          <w:sz w:val="24"/>
          <w:szCs w:val="24"/>
        </w:rPr>
        <w:t xml:space="preserve"> to bring judicial proceedings</w:t>
      </w:r>
      <w:r w:rsidRPr="008D2F4A">
        <w:rPr>
          <w:rFonts w:eastAsia="Calibri" w:cs="Times New Roman"/>
          <w:sz w:val="24"/>
          <w:szCs w:val="24"/>
        </w:rPr>
        <w:t xml:space="preserve"> </w:t>
      </w:r>
    </w:p>
    <w:p w14:paraId="3BF55B14" w14:textId="226DBCF9" w:rsidR="00B47262" w:rsidRPr="008D2F4A" w:rsidRDefault="00B47262" w:rsidP="00DD6ED9">
      <w:pPr>
        <w:spacing w:line="264" w:lineRule="auto"/>
        <w:ind w:firstLine="284"/>
        <w:jc w:val="both"/>
        <w:rPr>
          <w:rFonts w:eastAsia="Calibri" w:cs="Times New Roman"/>
          <w:sz w:val="24"/>
          <w:szCs w:val="24"/>
        </w:rPr>
      </w:pPr>
      <w:r w:rsidRPr="008D2F4A">
        <w:rPr>
          <w:rFonts w:eastAsia="Calibri" w:cs="Times New Roman"/>
          <w:sz w:val="24"/>
          <w:szCs w:val="24"/>
        </w:rPr>
        <w:t xml:space="preserve">However, </w:t>
      </w:r>
      <w:r w:rsidR="005B4A0C" w:rsidRPr="008D2F4A">
        <w:rPr>
          <w:rFonts w:eastAsia="Calibri" w:cs="Times New Roman"/>
          <w:sz w:val="24"/>
          <w:szCs w:val="24"/>
        </w:rPr>
        <w:t xml:space="preserve">the recast Directive goes beyond what is prescribed by the case law. It spells out a right </w:t>
      </w:r>
      <w:r w:rsidR="00D47FAA" w:rsidRPr="008D2F4A">
        <w:rPr>
          <w:rFonts w:eastAsia="Calibri" w:cs="Times New Roman"/>
          <w:sz w:val="24"/>
          <w:szCs w:val="24"/>
        </w:rPr>
        <w:t>to</w:t>
      </w:r>
      <w:r w:rsidR="005B4A0C" w:rsidRPr="008D2F4A">
        <w:rPr>
          <w:rFonts w:eastAsia="Calibri" w:cs="Times New Roman"/>
          <w:sz w:val="24"/>
          <w:szCs w:val="24"/>
        </w:rPr>
        <w:t xml:space="preserve"> compensation </w:t>
      </w:r>
      <w:r w:rsidRPr="008D2F4A">
        <w:rPr>
          <w:rFonts w:eastAsia="Calibri" w:cs="Times New Roman"/>
          <w:sz w:val="24"/>
          <w:szCs w:val="24"/>
        </w:rPr>
        <w:t>for</w:t>
      </w:r>
      <w:r w:rsidR="005B4A0C" w:rsidRPr="008D2F4A">
        <w:rPr>
          <w:rFonts w:eastAsia="Calibri" w:cs="Times New Roman"/>
          <w:sz w:val="24"/>
          <w:szCs w:val="24"/>
        </w:rPr>
        <w:t xml:space="preserve"> individuals whose health is</w:t>
      </w:r>
      <w:r w:rsidRPr="008D2F4A">
        <w:rPr>
          <w:rFonts w:eastAsia="Calibri" w:cs="Times New Roman"/>
          <w:sz w:val="24"/>
          <w:szCs w:val="24"/>
        </w:rPr>
        <w:t xml:space="preserve"> adversely</w:t>
      </w:r>
      <w:r w:rsidR="005B4A0C" w:rsidRPr="008D2F4A">
        <w:rPr>
          <w:rFonts w:eastAsia="Calibri" w:cs="Times New Roman"/>
          <w:sz w:val="24"/>
          <w:szCs w:val="24"/>
        </w:rPr>
        <w:t xml:space="preserve"> </w:t>
      </w:r>
      <w:r w:rsidRPr="008D2F4A">
        <w:rPr>
          <w:rFonts w:eastAsia="Calibri" w:cs="Times New Roman"/>
          <w:sz w:val="24"/>
          <w:szCs w:val="24"/>
        </w:rPr>
        <w:t>by</w:t>
      </w:r>
      <w:r w:rsidR="005B4A0C" w:rsidRPr="008D2F4A">
        <w:rPr>
          <w:rFonts w:eastAsia="Calibri" w:cs="Times New Roman"/>
          <w:sz w:val="24"/>
          <w:szCs w:val="24"/>
        </w:rPr>
        <w:t xml:space="preserve"> a breach of th</w:t>
      </w:r>
      <w:r w:rsidRPr="008D2F4A">
        <w:rPr>
          <w:rFonts w:eastAsia="Calibri" w:cs="Times New Roman"/>
          <w:sz w:val="24"/>
          <w:szCs w:val="24"/>
        </w:rPr>
        <w:t>e</w:t>
      </w:r>
      <w:r w:rsidR="005B4A0C" w:rsidRPr="008D2F4A">
        <w:rPr>
          <w:rFonts w:eastAsia="Calibri" w:cs="Times New Roman"/>
          <w:sz w:val="24"/>
          <w:szCs w:val="24"/>
        </w:rPr>
        <w:t xml:space="preserve"> Directive. Th</w:t>
      </w:r>
      <w:r w:rsidRPr="008D2F4A">
        <w:rPr>
          <w:rFonts w:eastAsia="Calibri" w:cs="Times New Roman"/>
          <w:sz w:val="24"/>
          <w:szCs w:val="24"/>
        </w:rPr>
        <w:t>is</w:t>
      </w:r>
      <w:r w:rsidR="005B4A0C" w:rsidRPr="008D2F4A">
        <w:rPr>
          <w:rFonts w:eastAsia="Calibri" w:cs="Times New Roman"/>
          <w:sz w:val="24"/>
          <w:szCs w:val="24"/>
        </w:rPr>
        <w:t xml:space="preserve"> right </w:t>
      </w:r>
      <w:r w:rsidR="00D47FAA" w:rsidRPr="008D2F4A">
        <w:rPr>
          <w:rFonts w:eastAsia="Calibri" w:cs="Times New Roman"/>
          <w:sz w:val="24"/>
          <w:szCs w:val="24"/>
        </w:rPr>
        <w:t>to</w:t>
      </w:r>
      <w:r w:rsidR="005B4A0C" w:rsidRPr="008D2F4A">
        <w:rPr>
          <w:rFonts w:eastAsia="Calibri" w:cs="Times New Roman"/>
          <w:sz w:val="24"/>
          <w:szCs w:val="24"/>
        </w:rPr>
        <w:t xml:space="preserve"> compensation echo</w:t>
      </w:r>
      <w:r w:rsidR="00555B71" w:rsidRPr="008D2F4A">
        <w:rPr>
          <w:rFonts w:eastAsia="Calibri" w:cs="Times New Roman"/>
          <w:sz w:val="24"/>
          <w:szCs w:val="24"/>
        </w:rPr>
        <w:t>es</w:t>
      </w:r>
      <w:r w:rsidR="005B4A0C" w:rsidRPr="008D2F4A">
        <w:rPr>
          <w:rFonts w:eastAsia="Calibri" w:cs="Times New Roman"/>
          <w:sz w:val="24"/>
          <w:szCs w:val="24"/>
        </w:rPr>
        <w:t xml:space="preserve"> Article 79a of the recast </w:t>
      </w:r>
      <w:r w:rsidR="00555B71" w:rsidRPr="008D2F4A">
        <w:rPr>
          <w:rFonts w:eastAsia="Calibri" w:cs="Times New Roman"/>
          <w:sz w:val="24"/>
          <w:szCs w:val="24"/>
        </w:rPr>
        <w:t>I</w:t>
      </w:r>
      <w:r w:rsidR="005B4A0C" w:rsidRPr="008D2F4A">
        <w:rPr>
          <w:rFonts w:eastAsia="Calibri" w:cs="Times New Roman"/>
          <w:sz w:val="24"/>
          <w:szCs w:val="24"/>
        </w:rPr>
        <w:t xml:space="preserve">ndustrial </w:t>
      </w:r>
      <w:r w:rsidR="00555B71" w:rsidRPr="008D2F4A">
        <w:rPr>
          <w:rFonts w:eastAsia="Calibri" w:cs="Times New Roman"/>
          <w:sz w:val="24"/>
          <w:szCs w:val="24"/>
        </w:rPr>
        <w:t>E</w:t>
      </w:r>
      <w:r w:rsidR="005B4A0C" w:rsidRPr="008D2F4A">
        <w:rPr>
          <w:rFonts w:eastAsia="Calibri" w:cs="Times New Roman"/>
          <w:sz w:val="24"/>
          <w:szCs w:val="24"/>
        </w:rPr>
        <w:t>mission</w:t>
      </w:r>
      <w:r w:rsidR="009D7779" w:rsidRPr="008D2F4A">
        <w:rPr>
          <w:rFonts w:eastAsia="Calibri" w:cs="Times New Roman"/>
          <w:sz w:val="24"/>
          <w:szCs w:val="24"/>
        </w:rPr>
        <w:t>s</w:t>
      </w:r>
      <w:r w:rsidR="005B4A0C" w:rsidRPr="008D2F4A">
        <w:rPr>
          <w:rFonts w:eastAsia="Calibri" w:cs="Times New Roman"/>
          <w:sz w:val="24"/>
          <w:szCs w:val="24"/>
        </w:rPr>
        <w:t xml:space="preserve"> Directive,</w:t>
      </w:r>
      <w:r w:rsidR="005B4A0C" w:rsidRPr="008D2F4A">
        <w:rPr>
          <w:rFonts w:eastAsia="Calibri" w:cs="Times New Roman"/>
          <w:sz w:val="24"/>
          <w:szCs w:val="24"/>
          <w:vertAlign w:val="superscript"/>
        </w:rPr>
        <w:footnoteReference w:id="72"/>
      </w:r>
      <w:r w:rsidR="005B4A0C" w:rsidRPr="008D2F4A">
        <w:rPr>
          <w:rFonts w:eastAsia="Calibri" w:cs="Times New Roman"/>
          <w:sz w:val="24"/>
          <w:szCs w:val="24"/>
        </w:rPr>
        <w:t xml:space="preserve"> and Article 26 of the proposal for a Directive on </w:t>
      </w:r>
      <w:r w:rsidR="00555B71" w:rsidRPr="008D2F4A">
        <w:rPr>
          <w:rFonts w:eastAsia="Calibri" w:cs="Times New Roman"/>
          <w:sz w:val="24"/>
          <w:szCs w:val="24"/>
        </w:rPr>
        <w:t>U</w:t>
      </w:r>
      <w:r w:rsidR="005B4A0C" w:rsidRPr="008D2F4A">
        <w:rPr>
          <w:rFonts w:eastAsia="Calibri" w:cs="Times New Roman"/>
          <w:sz w:val="24"/>
          <w:szCs w:val="24"/>
        </w:rPr>
        <w:t xml:space="preserve">rban </w:t>
      </w:r>
      <w:r w:rsidR="00555B71" w:rsidRPr="008D2F4A">
        <w:rPr>
          <w:rFonts w:eastAsia="Calibri" w:cs="Times New Roman"/>
          <w:sz w:val="24"/>
          <w:szCs w:val="24"/>
        </w:rPr>
        <w:t>W</w:t>
      </w:r>
      <w:r w:rsidR="005B4A0C" w:rsidRPr="008D2F4A">
        <w:rPr>
          <w:rFonts w:eastAsia="Calibri" w:cs="Times New Roman"/>
          <w:sz w:val="24"/>
          <w:szCs w:val="24"/>
        </w:rPr>
        <w:t xml:space="preserve">astewater </w:t>
      </w:r>
      <w:r w:rsidR="00555B71" w:rsidRPr="008D2F4A">
        <w:rPr>
          <w:rFonts w:eastAsia="Calibri" w:cs="Times New Roman"/>
          <w:sz w:val="24"/>
          <w:szCs w:val="24"/>
        </w:rPr>
        <w:t>T</w:t>
      </w:r>
      <w:r w:rsidR="005B4A0C" w:rsidRPr="008D2F4A">
        <w:rPr>
          <w:rFonts w:eastAsia="Calibri" w:cs="Times New Roman"/>
          <w:sz w:val="24"/>
          <w:szCs w:val="24"/>
        </w:rPr>
        <w:t>reatment.</w:t>
      </w:r>
      <w:r w:rsidR="005B4A0C" w:rsidRPr="008D2F4A">
        <w:rPr>
          <w:rFonts w:eastAsia="Calibri" w:cs="Times New Roman"/>
          <w:sz w:val="24"/>
          <w:szCs w:val="24"/>
          <w:vertAlign w:val="superscript"/>
        </w:rPr>
        <w:footnoteReference w:id="73"/>
      </w:r>
      <w:r w:rsidR="005B4A0C" w:rsidRPr="008D2F4A">
        <w:rPr>
          <w:rFonts w:eastAsia="Calibri" w:cs="Times New Roman"/>
          <w:sz w:val="24"/>
          <w:szCs w:val="24"/>
        </w:rPr>
        <w:t xml:space="preserve"> This development </w:t>
      </w:r>
      <w:r w:rsidRPr="008D2F4A">
        <w:rPr>
          <w:rFonts w:eastAsia="Calibri" w:cs="Times New Roman"/>
          <w:sz w:val="24"/>
          <w:szCs w:val="24"/>
        </w:rPr>
        <w:t>marks</w:t>
      </w:r>
      <w:r w:rsidR="005B4A0C" w:rsidRPr="008D2F4A">
        <w:rPr>
          <w:rFonts w:eastAsia="Calibri" w:cs="Times New Roman"/>
          <w:sz w:val="24"/>
          <w:szCs w:val="24"/>
        </w:rPr>
        <w:t xml:space="preserve"> a significant departure from existing secondary rules on environmental protection. It should be clear by now that the EU’s regulatory approach in environmental matters has traditionally failed to embrace the language of rights.</w:t>
      </w:r>
      <w:r w:rsidR="005B4A0C" w:rsidRPr="008D2F4A">
        <w:rPr>
          <w:rFonts w:eastAsia="Calibri" w:cs="Times New Roman"/>
          <w:sz w:val="24"/>
          <w:szCs w:val="24"/>
          <w:vertAlign w:val="superscript"/>
        </w:rPr>
        <w:footnoteReference w:id="74"/>
      </w:r>
      <w:r w:rsidR="005B4A0C" w:rsidRPr="008D2F4A">
        <w:rPr>
          <w:rFonts w:eastAsia="Calibri" w:cs="Times New Roman"/>
          <w:sz w:val="24"/>
          <w:szCs w:val="24"/>
        </w:rPr>
        <w:t xml:space="preserve"> To be sure, the adoption of the Aarhus Convention has </w:t>
      </w:r>
      <w:r w:rsidRPr="008D2F4A">
        <w:rPr>
          <w:rFonts w:eastAsia="Calibri" w:cs="Times New Roman"/>
          <w:sz w:val="24"/>
          <w:szCs w:val="24"/>
        </w:rPr>
        <w:t>spurred</w:t>
      </w:r>
      <w:r w:rsidR="005B4A0C" w:rsidRPr="008D2F4A">
        <w:rPr>
          <w:rFonts w:eastAsia="Calibri" w:cs="Times New Roman"/>
          <w:sz w:val="24"/>
          <w:szCs w:val="24"/>
        </w:rPr>
        <w:t xml:space="preserve"> a renewed legislative </w:t>
      </w:r>
      <w:r w:rsidRPr="008D2F4A">
        <w:rPr>
          <w:rFonts w:eastAsia="Calibri" w:cs="Times New Roman"/>
          <w:sz w:val="24"/>
          <w:szCs w:val="24"/>
        </w:rPr>
        <w:t>focus on</w:t>
      </w:r>
      <w:r w:rsidR="005B4A0C" w:rsidRPr="008D2F4A">
        <w:rPr>
          <w:rFonts w:eastAsia="Calibri" w:cs="Times New Roman"/>
          <w:sz w:val="24"/>
          <w:szCs w:val="24"/>
        </w:rPr>
        <w:t xml:space="preserve"> procedural participatory rights </w:t>
      </w:r>
      <w:r w:rsidRPr="008D2F4A">
        <w:rPr>
          <w:rFonts w:eastAsia="Calibri" w:cs="Times New Roman"/>
          <w:sz w:val="24"/>
          <w:szCs w:val="24"/>
        </w:rPr>
        <w:t>in</w:t>
      </w:r>
      <w:r w:rsidR="005B4A0C" w:rsidRPr="008D2F4A">
        <w:rPr>
          <w:rFonts w:eastAsia="Calibri" w:cs="Times New Roman"/>
          <w:sz w:val="24"/>
          <w:szCs w:val="24"/>
        </w:rPr>
        <w:t xml:space="preserve"> secondary environmental law. It must be stressed, however, that secondary law has historically failed to embrace </w:t>
      </w:r>
      <w:r w:rsidR="00DD6ED9" w:rsidRPr="008D2F4A">
        <w:rPr>
          <w:rFonts w:eastAsia="Calibri" w:cs="Times New Roman"/>
          <w:sz w:val="24"/>
          <w:szCs w:val="24"/>
        </w:rPr>
        <w:t xml:space="preserve">the creation of </w:t>
      </w:r>
      <w:r w:rsidR="005B4A0C" w:rsidRPr="008D2F4A">
        <w:rPr>
          <w:rFonts w:eastAsia="Calibri" w:cs="Times New Roman"/>
          <w:sz w:val="24"/>
          <w:szCs w:val="24"/>
        </w:rPr>
        <w:t xml:space="preserve">individual environmental rights. </w:t>
      </w:r>
    </w:p>
    <w:p w14:paraId="5D13B9FA" w14:textId="42A8CA3D" w:rsidR="005B4A0C" w:rsidRPr="008D2F4A" w:rsidRDefault="005B4A0C" w:rsidP="00DD6ED9">
      <w:pPr>
        <w:spacing w:line="264" w:lineRule="auto"/>
        <w:ind w:firstLine="284"/>
        <w:jc w:val="both"/>
        <w:rPr>
          <w:rFonts w:eastAsia="Calibri" w:cs="Times New Roman"/>
          <w:sz w:val="24"/>
          <w:szCs w:val="24"/>
        </w:rPr>
      </w:pPr>
      <w:r w:rsidRPr="008D2F4A">
        <w:rPr>
          <w:rFonts w:eastAsia="Calibri" w:cs="Times New Roman"/>
          <w:sz w:val="24"/>
          <w:szCs w:val="24"/>
        </w:rPr>
        <w:lastRenderedPageBreak/>
        <w:t xml:space="preserve">Viewed from </w:t>
      </w:r>
      <w:r w:rsidR="00B47262" w:rsidRPr="008D2F4A">
        <w:rPr>
          <w:rFonts w:eastAsia="Calibri" w:cs="Times New Roman"/>
          <w:sz w:val="24"/>
          <w:szCs w:val="24"/>
        </w:rPr>
        <w:t>this</w:t>
      </w:r>
      <w:r w:rsidRPr="008D2F4A">
        <w:rPr>
          <w:rFonts w:eastAsia="Calibri" w:cs="Times New Roman"/>
          <w:sz w:val="24"/>
          <w:szCs w:val="24"/>
        </w:rPr>
        <w:t xml:space="preserve"> perspective, the right </w:t>
      </w:r>
      <w:r w:rsidR="00B47262" w:rsidRPr="008D2F4A">
        <w:rPr>
          <w:rFonts w:eastAsia="Calibri" w:cs="Times New Roman"/>
          <w:sz w:val="24"/>
          <w:szCs w:val="24"/>
        </w:rPr>
        <w:t>to</w:t>
      </w:r>
      <w:r w:rsidRPr="008D2F4A">
        <w:rPr>
          <w:rFonts w:eastAsia="Calibri" w:cs="Times New Roman"/>
          <w:sz w:val="24"/>
          <w:szCs w:val="24"/>
        </w:rPr>
        <w:t xml:space="preserve"> compensation in Article 28 of the recast Air Quality Directive </w:t>
      </w:r>
      <w:r w:rsidR="00B47262" w:rsidRPr="008D2F4A">
        <w:rPr>
          <w:rFonts w:eastAsia="Calibri" w:cs="Times New Roman"/>
          <w:sz w:val="24"/>
          <w:szCs w:val="24"/>
        </w:rPr>
        <w:t>represents a shift in</w:t>
      </w:r>
      <w:r w:rsidRPr="008D2F4A">
        <w:rPr>
          <w:rFonts w:eastAsia="Calibri" w:cs="Times New Roman"/>
          <w:sz w:val="24"/>
          <w:szCs w:val="24"/>
        </w:rPr>
        <w:t xml:space="preserve"> the EU institutions’ </w:t>
      </w:r>
      <w:r w:rsidR="00746C92" w:rsidRPr="008D2F4A">
        <w:rPr>
          <w:rFonts w:eastAsia="Calibri" w:cs="Times New Roman"/>
          <w:sz w:val="24"/>
          <w:szCs w:val="24"/>
        </w:rPr>
        <w:t xml:space="preserve">approach, </w:t>
      </w:r>
      <w:r w:rsidRPr="008D2F4A">
        <w:rPr>
          <w:rFonts w:eastAsia="Calibri" w:cs="Times New Roman"/>
          <w:sz w:val="24"/>
          <w:szCs w:val="24"/>
        </w:rPr>
        <w:t>expand</w:t>
      </w:r>
      <w:r w:rsidR="00746C92" w:rsidRPr="008D2F4A">
        <w:rPr>
          <w:rFonts w:eastAsia="Calibri" w:cs="Times New Roman"/>
          <w:sz w:val="24"/>
          <w:szCs w:val="24"/>
        </w:rPr>
        <w:t>ing</w:t>
      </w:r>
      <w:r w:rsidRPr="008D2F4A">
        <w:rPr>
          <w:rFonts w:eastAsia="Calibri" w:cs="Times New Roman"/>
          <w:sz w:val="24"/>
          <w:szCs w:val="24"/>
        </w:rPr>
        <w:t xml:space="preserve"> the framework beyond the current emphasis on </w:t>
      </w:r>
      <w:r w:rsidR="009D7779" w:rsidRPr="008D2F4A">
        <w:rPr>
          <w:rFonts w:eastAsia="Calibri" w:cs="Times New Roman"/>
          <w:sz w:val="24"/>
          <w:szCs w:val="24"/>
        </w:rPr>
        <w:t>collective rights and</w:t>
      </w:r>
      <w:r w:rsidRPr="008D2F4A">
        <w:rPr>
          <w:rFonts w:eastAsia="Calibri" w:cs="Times New Roman"/>
          <w:sz w:val="24"/>
          <w:szCs w:val="24"/>
        </w:rPr>
        <w:t xml:space="preserve"> remedies. It also </w:t>
      </w:r>
      <w:r w:rsidR="00746C92" w:rsidRPr="008D2F4A">
        <w:rPr>
          <w:rFonts w:eastAsia="Calibri" w:cs="Times New Roman"/>
          <w:sz w:val="24"/>
          <w:szCs w:val="24"/>
        </w:rPr>
        <w:t>aligns with the</w:t>
      </w:r>
      <w:r w:rsidRPr="008D2F4A">
        <w:rPr>
          <w:rFonts w:eastAsia="Calibri" w:cs="Times New Roman"/>
          <w:sz w:val="24"/>
          <w:szCs w:val="24"/>
        </w:rPr>
        <w:t xml:space="preserve"> suggestion formulated by some legal scholars,</w:t>
      </w:r>
      <w:r w:rsidRPr="008D2F4A">
        <w:rPr>
          <w:rFonts w:eastAsia="Calibri" w:cs="Times New Roman"/>
          <w:sz w:val="24"/>
          <w:szCs w:val="24"/>
          <w:vertAlign w:val="superscript"/>
        </w:rPr>
        <w:footnoteReference w:id="75"/>
      </w:r>
      <w:r w:rsidRPr="008D2F4A">
        <w:rPr>
          <w:rFonts w:eastAsia="Calibri" w:cs="Times New Roman"/>
          <w:sz w:val="24"/>
          <w:szCs w:val="24"/>
        </w:rPr>
        <w:t xml:space="preserve"> but ultimately rejected by the Court of Justice</w:t>
      </w:r>
      <w:r w:rsidR="00746C92" w:rsidRPr="008D2F4A">
        <w:rPr>
          <w:rFonts w:eastAsia="Calibri" w:cs="Times New Roman"/>
          <w:sz w:val="24"/>
          <w:szCs w:val="24"/>
        </w:rPr>
        <w:t>,</w:t>
      </w:r>
      <w:r w:rsidRPr="008D2F4A">
        <w:rPr>
          <w:rFonts w:eastAsia="Calibri" w:cs="Times New Roman"/>
          <w:sz w:val="24"/>
          <w:szCs w:val="24"/>
        </w:rPr>
        <w:t xml:space="preserve"> that environmental </w:t>
      </w:r>
      <w:r w:rsidR="00D47FAA" w:rsidRPr="008D2F4A">
        <w:rPr>
          <w:rFonts w:eastAsia="Calibri" w:cs="Times New Roman"/>
          <w:sz w:val="24"/>
          <w:szCs w:val="24"/>
        </w:rPr>
        <w:t>provisions</w:t>
      </w:r>
      <w:r w:rsidRPr="008D2F4A">
        <w:rPr>
          <w:rFonts w:eastAsia="Calibri" w:cs="Times New Roman"/>
          <w:sz w:val="24"/>
          <w:szCs w:val="24"/>
        </w:rPr>
        <w:t xml:space="preserve"> </w:t>
      </w:r>
      <w:r w:rsidR="00746C92" w:rsidRPr="008D2F4A">
        <w:rPr>
          <w:rFonts w:eastAsia="Calibri" w:cs="Times New Roman"/>
          <w:sz w:val="24"/>
          <w:szCs w:val="24"/>
        </w:rPr>
        <w:t>designed</w:t>
      </w:r>
      <w:r w:rsidRPr="008D2F4A">
        <w:rPr>
          <w:rFonts w:eastAsia="Calibri" w:cs="Times New Roman"/>
          <w:sz w:val="24"/>
          <w:szCs w:val="24"/>
        </w:rPr>
        <w:t xml:space="preserve"> to protect human health are meant to </w:t>
      </w:r>
      <w:r w:rsidR="00746C92" w:rsidRPr="008D2F4A">
        <w:rPr>
          <w:rFonts w:eastAsia="Calibri" w:cs="Times New Roman"/>
          <w:sz w:val="24"/>
          <w:szCs w:val="24"/>
        </w:rPr>
        <w:t>create</w:t>
      </w:r>
      <w:r w:rsidRPr="008D2F4A">
        <w:rPr>
          <w:rFonts w:eastAsia="Calibri" w:cs="Times New Roman"/>
          <w:sz w:val="24"/>
          <w:szCs w:val="24"/>
        </w:rPr>
        <w:t xml:space="preserve"> individual rights </w:t>
      </w:r>
      <w:r w:rsidR="00746C92" w:rsidRPr="008D2F4A">
        <w:rPr>
          <w:rFonts w:eastAsia="Calibri" w:cs="Times New Roman"/>
          <w:sz w:val="24"/>
          <w:szCs w:val="24"/>
        </w:rPr>
        <w:t>for</w:t>
      </w:r>
      <w:r w:rsidRPr="008D2F4A">
        <w:rPr>
          <w:rFonts w:eastAsia="Calibri" w:cs="Times New Roman"/>
          <w:sz w:val="24"/>
          <w:szCs w:val="24"/>
        </w:rPr>
        <w:t xml:space="preserve"> those affected by a breach of </w:t>
      </w:r>
      <w:r w:rsidR="00746C92" w:rsidRPr="008D2F4A">
        <w:rPr>
          <w:rFonts w:eastAsia="Calibri" w:cs="Times New Roman"/>
          <w:sz w:val="24"/>
          <w:szCs w:val="24"/>
        </w:rPr>
        <w:t>such</w:t>
      </w:r>
      <w:r w:rsidRPr="008D2F4A">
        <w:rPr>
          <w:rFonts w:eastAsia="Calibri" w:cs="Times New Roman"/>
          <w:sz w:val="24"/>
          <w:szCs w:val="24"/>
        </w:rPr>
        <w:t xml:space="preserve"> provisions. By the same token, </w:t>
      </w:r>
      <w:r w:rsidR="00746C92" w:rsidRPr="008D2F4A">
        <w:rPr>
          <w:rFonts w:eastAsia="Calibri" w:cs="Times New Roman"/>
          <w:sz w:val="24"/>
          <w:szCs w:val="24"/>
        </w:rPr>
        <w:t>Article 28</w:t>
      </w:r>
      <w:r w:rsidRPr="008D2F4A">
        <w:rPr>
          <w:rFonts w:eastAsia="Calibri" w:cs="Times New Roman"/>
          <w:sz w:val="24"/>
          <w:szCs w:val="24"/>
        </w:rPr>
        <w:t xml:space="preserve"> </w:t>
      </w:r>
      <w:r w:rsidR="00746C92" w:rsidRPr="008D2F4A">
        <w:rPr>
          <w:rFonts w:eastAsia="Calibri" w:cs="Times New Roman"/>
          <w:sz w:val="24"/>
          <w:szCs w:val="24"/>
        </w:rPr>
        <w:t>helps</w:t>
      </w:r>
      <w:r w:rsidRPr="008D2F4A">
        <w:rPr>
          <w:rFonts w:eastAsia="Calibri" w:cs="Times New Roman"/>
          <w:sz w:val="24"/>
          <w:szCs w:val="24"/>
        </w:rPr>
        <w:t xml:space="preserve"> to overcome the Court’s </w:t>
      </w:r>
      <w:r w:rsidR="00746C92" w:rsidRPr="008D2F4A">
        <w:rPr>
          <w:rFonts w:eastAsia="Calibri" w:cs="Times New Roman"/>
          <w:sz w:val="24"/>
          <w:szCs w:val="24"/>
        </w:rPr>
        <w:t>reluctance</w:t>
      </w:r>
      <w:r w:rsidRPr="008D2F4A">
        <w:rPr>
          <w:rFonts w:eastAsia="Calibri" w:cs="Times New Roman"/>
          <w:sz w:val="24"/>
          <w:szCs w:val="24"/>
        </w:rPr>
        <w:t xml:space="preserve"> to </w:t>
      </w:r>
      <w:r w:rsidR="00746C92" w:rsidRPr="008D2F4A">
        <w:rPr>
          <w:rFonts w:eastAsia="Calibri" w:cs="Times New Roman"/>
          <w:sz w:val="24"/>
          <w:szCs w:val="24"/>
        </w:rPr>
        <w:t>recognise</w:t>
      </w:r>
      <w:r w:rsidRPr="008D2F4A">
        <w:rPr>
          <w:rFonts w:eastAsia="Calibri" w:cs="Times New Roman"/>
          <w:sz w:val="24"/>
          <w:szCs w:val="24"/>
        </w:rPr>
        <w:t xml:space="preserve"> </w:t>
      </w:r>
      <w:r w:rsidR="00DD6ED9" w:rsidRPr="008D2F4A">
        <w:rPr>
          <w:rFonts w:eastAsia="Calibri" w:cs="Times New Roman"/>
          <w:sz w:val="24"/>
          <w:szCs w:val="24"/>
        </w:rPr>
        <w:t>EU</w:t>
      </w:r>
      <w:r w:rsidRPr="008D2F4A">
        <w:rPr>
          <w:rFonts w:eastAsia="Calibri" w:cs="Times New Roman"/>
          <w:sz w:val="24"/>
          <w:szCs w:val="24"/>
        </w:rPr>
        <w:t xml:space="preserve"> rules on air quality </w:t>
      </w:r>
      <w:r w:rsidR="00746C92" w:rsidRPr="008D2F4A">
        <w:rPr>
          <w:rFonts w:eastAsia="Calibri" w:cs="Times New Roman"/>
          <w:sz w:val="24"/>
          <w:szCs w:val="24"/>
        </w:rPr>
        <w:t>as</w:t>
      </w:r>
      <w:r w:rsidRPr="008D2F4A">
        <w:rPr>
          <w:rFonts w:eastAsia="Calibri" w:cs="Times New Roman"/>
          <w:sz w:val="24"/>
          <w:szCs w:val="24"/>
        </w:rPr>
        <w:t xml:space="preserve"> “intended to confer rights” upon individuals.</w:t>
      </w:r>
      <w:r w:rsidRPr="008D2F4A">
        <w:rPr>
          <w:rFonts w:eastAsia="Calibri" w:cs="Times New Roman"/>
          <w:sz w:val="24"/>
          <w:szCs w:val="24"/>
          <w:vertAlign w:val="superscript"/>
        </w:rPr>
        <w:footnoteReference w:id="76"/>
      </w:r>
      <w:r w:rsidRPr="008D2F4A">
        <w:rPr>
          <w:rFonts w:eastAsia="Calibri" w:cs="Times New Roman"/>
          <w:sz w:val="24"/>
          <w:szCs w:val="24"/>
        </w:rPr>
        <w:t xml:space="preserve"> </w:t>
      </w:r>
    </w:p>
    <w:p w14:paraId="65882BD1" w14:textId="66F77086" w:rsidR="00746C92" w:rsidRPr="008D2F4A" w:rsidRDefault="005B4A0C" w:rsidP="00DD6ED9">
      <w:pPr>
        <w:spacing w:line="264" w:lineRule="auto"/>
        <w:ind w:firstLine="284"/>
        <w:jc w:val="both"/>
        <w:rPr>
          <w:rFonts w:eastAsia="Calibri" w:cs="Times New Roman"/>
          <w:sz w:val="24"/>
          <w:szCs w:val="24"/>
        </w:rPr>
      </w:pPr>
      <w:r w:rsidRPr="008D2F4A">
        <w:rPr>
          <w:rFonts w:eastAsia="Calibri" w:cs="Times New Roman"/>
          <w:sz w:val="24"/>
          <w:szCs w:val="24"/>
        </w:rPr>
        <w:t>The recast Ambient Air Directive should be viewed as a step forward for the judicial protection of individuals affected by breach</w:t>
      </w:r>
      <w:r w:rsidR="00746C92" w:rsidRPr="008D2F4A">
        <w:rPr>
          <w:rFonts w:eastAsia="Calibri" w:cs="Times New Roman"/>
          <w:sz w:val="24"/>
          <w:szCs w:val="24"/>
        </w:rPr>
        <w:t>es</w:t>
      </w:r>
      <w:r w:rsidRPr="008D2F4A">
        <w:rPr>
          <w:rFonts w:eastAsia="Calibri" w:cs="Times New Roman"/>
          <w:sz w:val="24"/>
          <w:szCs w:val="24"/>
        </w:rPr>
        <w:t xml:space="preserve"> of EU air quality standards. </w:t>
      </w:r>
      <w:r w:rsidR="00746C92" w:rsidRPr="008D2F4A">
        <w:rPr>
          <w:rFonts w:eastAsia="Calibri" w:cs="Times New Roman"/>
          <w:sz w:val="24"/>
          <w:szCs w:val="24"/>
        </w:rPr>
        <w:t>However, s</w:t>
      </w:r>
      <w:r w:rsidRPr="008D2F4A">
        <w:rPr>
          <w:rFonts w:eastAsia="Calibri" w:cs="Times New Roman"/>
          <w:sz w:val="24"/>
          <w:szCs w:val="24"/>
        </w:rPr>
        <w:t xml:space="preserve">everal elements may limit its implications. </w:t>
      </w:r>
      <w:r w:rsidR="00555B71" w:rsidRPr="008D2F4A">
        <w:rPr>
          <w:rFonts w:eastAsia="Calibri" w:cs="Times New Roman"/>
          <w:sz w:val="24"/>
          <w:szCs w:val="24"/>
        </w:rPr>
        <w:t>I</w:t>
      </w:r>
      <w:r w:rsidRPr="008D2F4A">
        <w:rPr>
          <w:rFonts w:eastAsia="Calibri" w:cs="Times New Roman"/>
          <w:sz w:val="24"/>
          <w:szCs w:val="24"/>
        </w:rPr>
        <w:t xml:space="preserve">t is </w:t>
      </w:r>
      <w:r w:rsidR="00746C92" w:rsidRPr="008D2F4A">
        <w:rPr>
          <w:rFonts w:eastAsia="Calibri" w:cs="Times New Roman"/>
          <w:sz w:val="24"/>
          <w:szCs w:val="24"/>
        </w:rPr>
        <w:t>important to recall</w:t>
      </w:r>
      <w:r w:rsidRPr="008D2F4A">
        <w:rPr>
          <w:rFonts w:eastAsia="Calibri" w:cs="Times New Roman"/>
          <w:sz w:val="24"/>
          <w:szCs w:val="24"/>
        </w:rPr>
        <w:t xml:space="preserve"> that four conditions must be satisfied to trigger the right </w:t>
      </w:r>
      <w:r w:rsidR="00746C92" w:rsidRPr="008D2F4A">
        <w:rPr>
          <w:rFonts w:eastAsia="Calibri" w:cs="Times New Roman"/>
          <w:sz w:val="24"/>
          <w:szCs w:val="24"/>
        </w:rPr>
        <w:t xml:space="preserve">to compensation </w:t>
      </w:r>
      <w:r w:rsidRPr="008D2F4A">
        <w:rPr>
          <w:rFonts w:eastAsia="Calibri" w:cs="Times New Roman"/>
          <w:sz w:val="24"/>
          <w:szCs w:val="24"/>
        </w:rPr>
        <w:t xml:space="preserve">set out in Article 28: first, a </w:t>
      </w:r>
      <w:r w:rsidR="00D47FAA" w:rsidRPr="008D2F4A">
        <w:rPr>
          <w:rFonts w:eastAsia="Calibri" w:cs="Times New Roman"/>
          <w:sz w:val="24"/>
          <w:szCs w:val="24"/>
        </w:rPr>
        <w:t xml:space="preserve">“damage to human health” </w:t>
      </w:r>
      <w:r w:rsidRPr="008D2F4A">
        <w:rPr>
          <w:rFonts w:eastAsia="Calibri" w:cs="Times New Roman"/>
          <w:sz w:val="24"/>
          <w:szCs w:val="24"/>
        </w:rPr>
        <w:t xml:space="preserve">must be </w:t>
      </w:r>
      <w:r w:rsidR="009D7779" w:rsidRPr="008D2F4A">
        <w:rPr>
          <w:rFonts w:eastAsia="Calibri" w:cs="Times New Roman"/>
          <w:sz w:val="24"/>
          <w:szCs w:val="24"/>
        </w:rPr>
        <w:t>identified</w:t>
      </w:r>
      <w:r w:rsidRPr="008D2F4A">
        <w:rPr>
          <w:rFonts w:eastAsia="Calibri" w:cs="Times New Roman"/>
          <w:sz w:val="24"/>
          <w:szCs w:val="24"/>
        </w:rPr>
        <w:t xml:space="preserve">; second, there must be a </w:t>
      </w:r>
      <w:r w:rsidR="00D47FAA" w:rsidRPr="008D2F4A">
        <w:rPr>
          <w:rFonts w:eastAsia="Calibri" w:cs="Times New Roman"/>
          <w:sz w:val="24"/>
          <w:szCs w:val="24"/>
        </w:rPr>
        <w:t>“</w:t>
      </w:r>
      <w:r w:rsidRPr="008D2F4A">
        <w:rPr>
          <w:rFonts w:eastAsia="Calibri" w:cs="Times New Roman"/>
          <w:sz w:val="24"/>
          <w:szCs w:val="24"/>
        </w:rPr>
        <w:t>violation of the national rules transposing Article 19(1) to (5) and Article 20(1) and (2) of this Directive</w:t>
      </w:r>
      <w:r w:rsidR="00D47FAA" w:rsidRPr="008D2F4A">
        <w:rPr>
          <w:rFonts w:eastAsia="Calibri" w:cs="Times New Roman"/>
          <w:sz w:val="24"/>
          <w:szCs w:val="24"/>
        </w:rPr>
        <w:t>”</w:t>
      </w:r>
      <w:r w:rsidRPr="008D2F4A">
        <w:rPr>
          <w:rFonts w:eastAsia="Calibri" w:cs="Times New Roman"/>
          <w:sz w:val="24"/>
          <w:szCs w:val="24"/>
        </w:rPr>
        <w:t xml:space="preserve">; third, that violation must have been </w:t>
      </w:r>
      <w:r w:rsidR="00D47FAA" w:rsidRPr="008D2F4A">
        <w:rPr>
          <w:rFonts w:eastAsia="Calibri" w:cs="Times New Roman"/>
          <w:sz w:val="24"/>
          <w:szCs w:val="24"/>
        </w:rPr>
        <w:t>“</w:t>
      </w:r>
      <w:r w:rsidRPr="008D2F4A">
        <w:rPr>
          <w:rFonts w:eastAsia="Calibri" w:cs="Times New Roman"/>
          <w:sz w:val="24"/>
          <w:szCs w:val="24"/>
        </w:rPr>
        <w:t>committed intentionally or negligently by the competent authorities</w:t>
      </w:r>
      <w:r w:rsidR="00D47FAA" w:rsidRPr="008D2F4A">
        <w:rPr>
          <w:rFonts w:eastAsia="Calibri" w:cs="Times New Roman"/>
          <w:sz w:val="24"/>
          <w:szCs w:val="24"/>
        </w:rPr>
        <w:t>”</w:t>
      </w:r>
      <w:r w:rsidRPr="008D2F4A">
        <w:rPr>
          <w:rFonts w:eastAsia="Calibri" w:cs="Times New Roman"/>
          <w:sz w:val="24"/>
          <w:szCs w:val="24"/>
        </w:rPr>
        <w:t xml:space="preserve">; and, fourth, there must be a causal link between that violation and the damage suffered by the applicant. Demonstrating that </w:t>
      </w:r>
      <w:r w:rsidR="00746C92" w:rsidRPr="008D2F4A">
        <w:rPr>
          <w:rFonts w:eastAsia="Calibri" w:cs="Times New Roman"/>
          <w:sz w:val="24"/>
          <w:szCs w:val="24"/>
        </w:rPr>
        <w:t>these</w:t>
      </w:r>
      <w:r w:rsidRPr="008D2F4A">
        <w:rPr>
          <w:rFonts w:eastAsia="Calibri" w:cs="Times New Roman"/>
          <w:sz w:val="24"/>
          <w:szCs w:val="24"/>
        </w:rPr>
        <w:t xml:space="preserve"> conditions are satisfied may prove challenging</w:t>
      </w:r>
      <w:r w:rsidR="00746C92" w:rsidRPr="008D2F4A">
        <w:rPr>
          <w:rFonts w:eastAsia="Calibri" w:cs="Times New Roman"/>
          <w:sz w:val="24"/>
          <w:szCs w:val="24"/>
        </w:rPr>
        <w:t xml:space="preserve">, particularly with regard to </w:t>
      </w:r>
      <w:r w:rsidRPr="008D2F4A">
        <w:rPr>
          <w:rFonts w:eastAsia="Calibri" w:cs="Times New Roman"/>
          <w:sz w:val="24"/>
          <w:szCs w:val="24"/>
        </w:rPr>
        <w:t xml:space="preserve">causation. </w:t>
      </w:r>
    </w:p>
    <w:p w14:paraId="58D2838F" w14:textId="12F093E7" w:rsidR="005B4A0C" w:rsidRPr="008D2F4A" w:rsidRDefault="005B4A0C" w:rsidP="00DD6ED9">
      <w:pPr>
        <w:spacing w:line="264" w:lineRule="auto"/>
        <w:ind w:firstLine="284"/>
        <w:jc w:val="both"/>
        <w:rPr>
          <w:rFonts w:eastAsia="Aptos" w:cs="Times New Roman"/>
          <w:sz w:val="24"/>
          <w:szCs w:val="24"/>
        </w:rPr>
      </w:pPr>
      <w:r w:rsidRPr="008D2F4A">
        <w:rPr>
          <w:rFonts w:eastAsia="Aptos" w:cs="Times New Roman"/>
          <w:sz w:val="24"/>
          <w:szCs w:val="24"/>
        </w:rPr>
        <w:t>Most diseases associated with air pollution</w:t>
      </w:r>
      <w:r w:rsidR="00746C92" w:rsidRPr="008D2F4A">
        <w:rPr>
          <w:rFonts w:eastAsia="Aptos" w:cs="Times New Roman"/>
          <w:sz w:val="24"/>
          <w:szCs w:val="24"/>
        </w:rPr>
        <w:t xml:space="preserve">, </w:t>
      </w:r>
      <w:r w:rsidR="00582212" w:rsidRPr="008D2F4A">
        <w:rPr>
          <w:rFonts w:eastAsia="Aptos" w:cs="Times New Roman"/>
          <w:sz w:val="24"/>
          <w:szCs w:val="24"/>
        </w:rPr>
        <w:t xml:space="preserve">such as asthma, cancer, lung infection, </w:t>
      </w:r>
      <w:r w:rsidRPr="008D2F4A">
        <w:rPr>
          <w:rFonts w:eastAsia="Aptos" w:cs="Times New Roman"/>
          <w:sz w:val="24"/>
          <w:szCs w:val="24"/>
        </w:rPr>
        <w:t>are</w:t>
      </w:r>
      <w:r w:rsidR="00FE7DC5" w:rsidRPr="008D2F4A">
        <w:rPr>
          <w:rFonts w:eastAsia="Aptos" w:cs="Times New Roman"/>
          <w:sz w:val="24"/>
          <w:szCs w:val="24"/>
        </w:rPr>
        <w:t xml:space="preserve"> </w:t>
      </w:r>
      <w:r w:rsidRPr="008D2F4A">
        <w:rPr>
          <w:rFonts w:eastAsia="Aptos" w:cs="Times New Roman"/>
          <w:sz w:val="24"/>
          <w:szCs w:val="24"/>
        </w:rPr>
        <w:t>multifactorial. Th</w:t>
      </w:r>
      <w:r w:rsidR="00746C92" w:rsidRPr="008D2F4A">
        <w:rPr>
          <w:rFonts w:eastAsia="Aptos" w:cs="Times New Roman"/>
          <w:sz w:val="24"/>
          <w:szCs w:val="24"/>
        </w:rPr>
        <w:t>is</w:t>
      </w:r>
      <w:r w:rsidRPr="008D2F4A">
        <w:rPr>
          <w:rFonts w:eastAsia="Aptos" w:cs="Times New Roman"/>
          <w:sz w:val="24"/>
          <w:szCs w:val="24"/>
        </w:rPr>
        <w:t xml:space="preserve"> means that they may be caused by </w:t>
      </w:r>
      <w:r w:rsidR="009D7779" w:rsidRPr="008D2F4A">
        <w:rPr>
          <w:rFonts w:eastAsia="Aptos" w:cs="Times New Roman"/>
          <w:sz w:val="24"/>
          <w:szCs w:val="24"/>
        </w:rPr>
        <w:t>several</w:t>
      </w:r>
      <w:r w:rsidRPr="008D2F4A">
        <w:rPr>
          <w:rFonts w:eastAsia="Aptos" w:cs="Times New Roman"/>
          <w:sz w:val="24"/>
          <w:szCs w:val="24"/>
        </w:rPr>
        <w:t xml:space="preserve"> factors</w:t>
      </w:r>
      <w:r w:rsidR="00746C92" w:rsidRPr="008D2F4A">
        <w:rPr>
          <w:rFonts w:eastAsia="Aptos" w:cs="Times New Roman"/>
          <w:sz w:val="24"/>
          <w:szCs w:val="24"/>
        </w:rPr>
        <w:t xml:space="preserve">, </w:t>
      </w:r>
      <w:r w:rsidRPr="008D2F4A">
        <w:rPr>
          <w:rFonts w:eastAsia="Aptos" w:cs="Times New Roman"/>
          <w:sz w:val="24"/>
          <w:szCs w:val="24"/>
        </w:rPr>
        <w:t>including, but not limited to</w:t>
      </w:r>
      <w:r w:rsidR="00746C92" w:rsidRPr="008D2F4A">
        <w:rPr>
          <w:rFonts w:eastAsia="Aptos" w:cs="Times New Roman"/>
          <w:sz w:val="24"/>
          <w:szCs w:val="24"/>
        </w:rPr>
        <w:t>,</w:t>
      </w:r>
      <w:r w:rsidRPr="008D2F4A">
        <w:rPr>
          <w:rFonts w:eastAsia="Aptos" w:cs="Times New Roman"/>
          <w:sz w:val="24"/>
          <w:szCs w:val="24"/>
        </w:rPr>
        <w:t xml:space="preserve"> exposure to air pollution. </w:t>
      </w:r>
      <w:r w:rsidR="00746C92" w:rsidRPr="008D2F4A">
        <w:rPr>
          <w:rFonts w:eastAsia="Aptos" w:cs="Times New Roman"/>
          <w:sz w:val="24"/>
          <w:szCs w:val="24"/>
        </w:rPr>
        <w:t>To assess</w:t>
      </w:r>
      <w:r w:rsidRPr="008D2F4A">
        <w:rPr>
          <w:rFonts w:eastAsia="Aptos" w:cs="Times New Roman"/>
          <w:sz w:val="24"/>
          <w:szCs w:val="24"/>
        </w:rPr>
        <w:t xml:space="preserve"> </w:t>
      </w:r>
      <w:r w:rsidR="00FE7DC5" w:rsidRPr="008D2F4A">
        <w:rPr>
          <w:rFonts w:eastAsia="Aptos" w:cs="Times New Roman"/>
          <w:sz w:val="24"/>
          <w:szCs w:val="24"/>
        </w:rPr>
        <w:t>whether such</w:t>
      </w:r>
      <w:r w:rsidRPr="008D2F4A">
        <w:rPr>
          <w:rFonts w:eastAsia="Aptos" w:cs="Times New Roman"/>
          <w:sz w:val="24"/>
          <w:szCs w:val="24"/>
        </w:rPr>
        <w:t xml:space="preserve"> health </w:t>
      </w:r>
      <w:r w:rsidR="00D47FAA" w:rsidRPr="008D2F4A">
        <w:rPr>
          <w:rFonts w:eastAsia="Aptos" w:cs="Times New Roman"/>
          <w:sz w:val="24"/>
          <w:szCs w:val="24"/>
        </w:rPr>
        <w:t>issues</w:t>
      </w:r>
      <w:r w:rsidR="00FE7DC5" w:rsidRPr="008D2F4A">
        <w:rPr>
          <w:rFonts w:eastAsia="Aptos" w:cs="Times New Roman"/>
          <w:sz w:val="24"/>
          <w:szCs w:val="24"/>
        </w:rPr>
        <w:t xml:space="preserve"> may be </w:t>
      </w:r>
      <w:r w:rsidR="00746C92" w:rsidRPr="008D2F4A">
        <w:rPr>
          <w:rFonts w:eastAsia="Aptos" w:cs="Times New Roman"/>
          <w:sz w:val="24"/>
          <w:szCs w:val="24"/>
        </w:rPr>
        <w:t>caused</w:t>
      </w:r>
      <w:r w:rsidR="00FE7DC5" w:rsidRPr="008D2F4A">
        <w:rPr>
          <w:rFonts w:eastAsia="Aptos" w:cs="Times New Roman"/>
          <w:sz w:val="24"/>
          <w:szCs w:val="24"/>
        </w:rPr>
        <w:t xml:space="preserve"> by air pollution</w:t>
      </w:r>
      <w:r w:rsidRPr="008D2F4A">
        <w:rPr>
          <w:rFonts w:eastAsia="Aptos" w:cs="Times New Roman"/>
          <w:sz w:val="24"/>
          <w:szCs w:val="24"/>
        </w:rPr>
        <w:t>, it becomes necessary to consider additional elements</w:t>
      </w:r>
      <w:r w:rsidR="00746C92" w:rsidRPr="008D2F4A">
        <w:rPr>
          <w:rFonts w:eastAsia="Aptos" w:cs="Times New Roman"/>
          <w:sz w:val="24"/>
          <w:szCs w:val="24"/>
        </w:rPr>
        <w:t xml:space="preserve">, such as </w:t>
      </w:r>
      <w:r w:rsidRPr="008D2F4A">
        <w:rPr>
          <w:rFonts w:eastAsia="Aptos" w:cs="Times New Roman"/>
          <w:sz w:val="24"/>
          <w:szCs w:val="24"/>
        </w:rPr>
        <w:t>predisposition, personal behaviour</w:t>
      </w:r>
      <w:r w:rsidR="00746C92" w:rsidRPr="008D2F4A">
        <w:rPr>
          <w:rFonts w:eastAsia="Aptos" w:cs="Times New Roman"/>
          <w:sz w:val="24"/>
          <w:szCs w:val="24"/>
        </w:rPr>
        <w:t>s</w:t>
      </w:r>
      <w:r w:rsidRPr="008D2F4A">
        <w:rPr>
          <w:rFonts w:eastAsia="Aptos" w:cs="Times New Roman"/>
          <w:sz w:val="24"/>
          <w:szCs w:val="24"/>
        </w:rPr>
        <w:t xml:space="preserve"> (</w:t>
      </w:r>
      <w:r w:rsidR="00746C92" w:rsidRPr="008D2F4A">
        <w:rPr>
          <w:rFonts w:eastAsia="Aptos" w:cs="Times New Roman"/>
          <w:sz w:val="24"/>
          <w:szCs w:val="24"/>
        </w:rPr>
        <w:t xml:space="preserve">e.g., </w:t>
      </w:r>
      <w:r w:rsidRPr="008D2F4A">
        <w:rPr>
          <w:rFonts w:eastAsia="Aptos" w:cs="Times New Roman"/>
          <w:sz w:val="24"/>
          <w:szCs w:val="24"/>
        </w:rPr>
        <w:t>diet, smoking habits,</w:t>
      </w:r>
      <w:r w:rsidR="00746C92" w:rsidRPr="008D2F4A">
        <w:rPr>
          <w:rFonts w:eastAsia="Aptos" w:cs="Times New Roman"/>
          <w:sz w:val="24"/>
          <w:szCs w:val="24"/>
        </w:rPr>
        <w:t xml:space="preserve"> alcohol intake</w:t>
      </w:r>
      <w:r w:rsidRPr="008D2F4A">
        <w:rPr>
          <w:rFonts w:eastAsia="Aptos" w:cs="Times New Roman"/>
          <w:sz w:val="24"/>
          <w:szCs w:val="24"/>
        </w:rPr>
        <w:t>)</w:t>
      </w:r>
      <w:r w:rsidR="00746C92" w:rsidRPr="008D2F4A">
        <w:rPr>
          <w:rFonts w:eastAsia="Aptos" w:cs="Times New Roman"/>
          <w:sz w:val="24"/>
          <w:szCs w:val="24"/>
        </w:rPr>
        <w:t>,</w:t>
      </w:r>
      <w:r w:rsidRPr="008D2F4A">
        <w:rPr>
          <w:rFonts w:eastAsia="Aptos" w:cs="Times New Roman"/>
          <w:sz w:val="24"/>
          <w:szCs w:val="24"/>
        </w:rPr>
        <w:t xml:space="preserve"> and </w:t>
      </w:r>
      <w:r w:rsidR="00746C92" w:rsidRPr="008D2F4A">
        <w:rPr>
          <w:rFonts w:eastAsia="Aptos" w:cs="Times New Roman"/>
          <w:sz w:val="24"/>
          <w:szCs w:val="24"/>
        </w:rPr>
        <w:t xml:space="preserve">other </w:t>
      </w:r>
      <w:r w:rsidRPr="008D2F4A">
        <w:rPr>
          <w:rFonts w:eastAsia="Aptos" w:cs="Times New Roman"/>
          <w:sz w:val="24"/>
          <w:szCs w:val="24"/>
        </w:rPr>
        <w:t xml:space="preserve">environmental factors. </w:t>
      </w:r>
    </w:p>
    <w:p w14:paraId="10109CFE" w14:textId="3DA4BD3D" w:rsidR="00637B17" w:rsidRPr="008D2F4A" w:rsidRDefault="005B4A0C" w:rsidP="001B279E">
      <w:pPr>
        <w:spacing w:line="264" w:lineRule="auto"/>
        <w:ind w:firstLine="284"/>
        <w:jc w:val="both"/>
        <w:rPr>
          <w:rFonts w:eastAsia="Aptos" w:cs="Times New Roman"/>
          <w:sz w:val="24"/>
          <w:szCs w:val="24"/>
        </w:rPr>
      </w:pPr>
      <w:r w:rsidRPr="008D2F4A">
        <w:rPr>
          <w:rFonts w:eastAsia="Aptos" w:cs="Times New Roman"/>
          <w:sz w:val="24"/>
          <w:szCs w:val="24"/>
        </w:rPr>
        <w:t xml:space="preserve">The endeavour becomes even more </w:t>
      </w:r>
      <w:r w:rsidR="00746C92" w:rsidRPr="008D2F4A">
        <w:rPr>
          <w:rFonts w:eastAsia="Aptos" w:cs="Times New Roman"/>
          <w:sz w:val="24"/>
          <w:szCs w:val="24"/>
        </w:rPr>
        <w:t>complicated</w:t>
      </w:r>
      <w:r w:rsidRPr="008D2F4A">
        <w:rPr>
          <w:rFonts w:eastAsia="Aptos" w:cs="Times New Roman"/>
          <w:sz w:val="24"/>
          <w:szCs w:val="24"/>
        </w:rPr>
        <w:t xml:space="preserve"> considering that </w:t>
      </w:r>
      <w:r w:rsidRPr="008D2F4A">
        <w:rPr>
          <w:rFonts w:eastAsia="Calibri" w:cs="Times New Roman"/>
          <w:sz w:val="24"/>
          <w:szCs w:val="24"/>
        </w:rPr>
        <w:t xml:space="preserve">the Directive requires a violation of national rules transposing the obligation to </w:t>
      </w:r>
      <w:r w:rsidR="00746C92" w:rsidRPr="008D2F4A">
        <w:rPr>
          <w:rFonts w:eastAsia="Calibri" w:cs="Times New Roman"/>
          <w:sz w:val="24"/>
          <w:szCs w:val="24"/>
        </w:rPr>
        <w:t>establish</w:t>
      </w:r>
      <w:r w:rsidRPr="008D2F4A">
        <w:rPr>
          <w:rFonts w:eastAsia="Calibri" w:cs="Times New Roman"/>
          <w:sz w:val="24"/>
          <w:szCs w:val="24"/>
        </w:rPr>
        <w:t xml:space="preserve"> air quality plans.</w:t>
      </w:r>
      <w:r w:rsidRPr="008D2F4A">
        <w:rPr>
          <w:rFonts w:eastAsia="Aptos" w:cs="Times New Roman"/>
          <w:sz w:val="24"/>
          <w:szCs w:val="24"/>
        </w:rPr>
        <w:t xml:space="preserve"> It is worth emphasizing</w:t>
      </w:r>
      <w:r w:rsidR="00637B17" w:rsidRPr="008D2F4A">
        <w:rPr>
          <w:rFonts w:eastAsia="Aptos" w:cs="Times New Roman"/>
          <w:sz w:val="24"/>
          <w:szCs w:val="24"/>
        </w:rPr>
        <w:t xml:space="preserve"> </w:t>
      </w:r>
      <w:r w:rsidRPr="008D2F4A">
        <w:rPr>
          <w:rFonts w:eastAsia="Aptos" w:cs="Times New Roman"/>
          <w:sz w:val="24"/>
          <w:szCs w:val="24"/>
        </w:rPr>
        <w:t xml:space="preserve">that the Member States retain significant </w:t>
      </w:r>
      <w:r w:rsidR="00637B17" w:rsidRPr="008D2F4A">
        <w:rPr>
          <w:rFonts w:eastAsia="Aptos" w:cs="Times New Roman"/>
          <w:sz w:val="24"/>
          <w:szCs w:val="24"/>
        </w:rPr>
        <w:t>discretion</w:t>
      </w:r>
      <w:r w:rsidRPr="008D2F4A">
        <w:rPr>
          <w:rFonts w:eastAsia="Aptos" w:cs="Times New Roman"/>
          <w:sz w:val="24"/>
          <w:szCs w:val="24"/>
        </w:rPr>
        <w:t xml:space="preserve"> </w:t>
      </w:r>
      <w:r w:rsidR="00637B17" w:rsidRPr="008D2F4A">
        <w:rPr>
          <w:rFonts w:eastAsia="Aptos" w:cs="Times New Roman"/>
          <w:sz w:val="24"/>
          <w:szCs w:val="24"/>
        </w:rPr>
        <w:t>regarding</w:t>
      </w:r>
      <w:r w:rsidRPr="008D2F4A">
        <w:rPr>
          <w:rFonts w:eastAsia="Aptos" w:cs="Times New Roman"/>
          <w:sz w:val="24"/>
          <w:szCs w:val="24"/>
        </w:rPr>
        <w:t xml:space="preserve"> the type of “appropriate measures” that should feature in these air quality plans.</w:t>
      </w:r>
      <w:r w:rsidRPr="008D2F4A">
        <w:rPr>
          <w:rFonts w:eastAsia="Aptos" w:cs="Times New Roman"/>
          <w:sz w:val="24"/>
          <w:szCs w:val="24"/>
          <w:vertAlign w:val="superscript"/>
        </w:rPr>
        <w:footnoteReference w:id="77"/>
      </w:r>
      <w:r w:rsidRPr="008D2F4A">
        <w:rPr>
          <w:rFonts w:eastAsia="Aptos" w:cs="Times New Roman"/>
          <w:sz w:val="24"/>
          <w:szCs w:val="24"/>
        </w:rPr>
        <w:t xml:space="preserve"> Admittedly, </w:t>
      </w:r>
      <w:r w:rsidR="009D7779" w:rsidRPr="008D2F4A">
        <w:rPr>
          <w:rFonts w:eastAsia="Aptos" w:cs="Times New Roman"/>
          <w:sz w:val="24"/>
          <w:szCs w:val="24"/>
        </w:rPr>
        <w:t>the recast</w:t>
      </w:r>
      <w:r w:rsidRPr="008D2F4A">
        <w:rPr>
          <w:rFonts w:eastAsia="Aptos" w:cs="Times New Roman"/>
          <w:sz w:val="24"/>
          <w:szCs w:val="24"/>
        </w:rPr>
        <w:t xml:space="preserve"> Directive sets </w:t>
      </w:r>
      <w:r w:rsidR="00637B17" w:rsidRPr="008D2F4A">
        <w:rPr>
          <w:rFonts w:eastAsia="Aptos" w:cs="Times New Roman"/>
          <w:sz w:val="24"/>
          <w:szCs w:val="24"/>
        </w:rPr>
        <w:t>out</w:t>
      </w:r>
      <w:r w:rsidRPr="008D2F4A">
        <w:rPr>
          <w:rFonts w:eastAsia="Aptos" w:cs="Times New Roman"/>
          <w:sz w:val="24"/>
          <w:szCs w:val="24"/>
        </w:rPr>
        <w:t xml:space="preserve"> minimum requirements </w:t>
      </w:r>
      <w:r w:rsidR="00637B17" w:rsidRPr="008D2F4A">
        <w:rPr>
          <w:rFonts w:eastAsia="Aptos" w:cs="Times New Roman"/>
          <w:sz w:val="24"/>
          <w:szCs w:val="24"/>
        </w:rPr>
        <w:t>for</w:t>
      </w:r>
      <w:r w:rsidRPr="008D2F4A">
        <w:rPr>
          <w:rFonts w:eastAsia="Aptos" w:cs="Times New Roman"/>
          <w:sz w:val="24"/>
          <w:szCs w:val="24"/>
        </w:rPr>
        <w:t xml:space="preserve"> the content of </w:t>
      </w:r>
      <w:r w:rsidR="00582212" w:rsidRPr="008D2F4A">
        <w:rPr>
          <w:rFonts w:eastAsia="Aptos" w:cs="Times New Roman"/>
          <w:sz w:val="24"/>
          <w:szCs w:val="24"/>
        </w:rPr>
        <w:t>these</w:t>
      </w:r>
      <w:r w:rsidRPr="008D2F4A">
        <w:rPr>
          <w:rFonts w:eastAsia="Aptos" w:cs="Times New Roman"/>
          <w:sz w:val="24"/>
          <w:szCs w:val="24"/>
        </w:rPr>
        <w:t xml:space="preserve"> plans.</w:t>
      </w:r>
      <w:r w:rsidRPr="008D2F4A">
        <w:rPr>
          <w:rFonts w:eastAsia="Aptos" w:cs="Times New Roman"/>
          <w:sz w:val="24"/>
          <w:szCs w:val="24"/>
          <w:vertAlign w:val="superscript"/>
        </w:rPr>
        <w:footnoteReference w:id="78"/>
      </w:r>
      <w:r w:rsidRPr="008D2F4A">
        <w:rPr>
          <w:rFonts w:eastAsia="Aptos" w:cs="Times New Roman"/>
          <w:sz w:val="24"/>
          <w:szCs w:val="24"/>
        </w:rPr>
        <w:t xml:space="preserve"> Ultimately, it falls upon national courts to </w:t>
      </w:r>
      <w:r w:rsidR="00637B17" w:rsidRPr="008D2F4A">
        <w:rPr>
          <w:rFonts w:eastAsia="Aptos" w:cs="Times New Roman"/>
          <w:sz w:val="24"/>
          <w:szCs w:val="24"/>
        </w:rPr>
        <w:t>evaluate,</w:t>
      </w:r>
      <w:r w:rsidRPr="008D2F4A">
        <w:rPr>
          <w:rFonts w:eastAsia="Aptos" w:cs="Times New Roman"/>
          <w:sz w:val="24"/>
          <w:szCs w:val="24"/>
        </w:rPr>
        <w:t xml:space="preserve"> on a case-by-case basis</w:t>
      </w:r>
      <w:r w:rsidR="00637B17" w:rsidRPr="008D2F4A">
        <w:rPr>
          <w:rFonts w:eastAsia="Aptos" w:cs="Times New Roman"/>
          <w:sz w:val="24"/>
          <w:szCs w:val="24"/>
        </w:rPr>
        <w:t>,</w:t>
      </w:r>
      <w:r w:rsidRPr="008D2F4A">
        <w:rPr>
          <w:rFonts w:eastAsia="Aptos" w:cs="Times New Roman"/>
          <w:sz w:val="24"/>
          <w:szCs w:val="24"/>
        </w:rPr>
        <w:t xml:space="preserve"> whether a given plan complies with the Directive. As the Court itself</w:t>
      </w:r>
      <w:r w:rsidR="00637B17" w:rsidRPr="008D2F4A">
        <w:rPr>
          <w:rFonts w:eastAsia="Aptos" w:cs="Times New Roman"/>
          <w:sz w:val="24"/>
          <w:szCs w:val="24"/>
        </w:rPr>
        <w:t xml:space="preserve"> has</w:t>
      </w:r>
      <w:r w:rsidRPr="008D2F4A">
        <w:rPr>
          <w:rFonts w:eastAsia="Aptos" w:cs="Times New Roman"/>
          <w:sz w:val="24"/>
          <w:szCs w:val="24"/>
        </w:rPr>
        <w:t xml:space="preserve"> established, a failure by the Member State to comply with the limit values and alert thresholds set out in the Directive does not</w:t>
      </w:r>
      <w:r w:rsidR="00637B17" w:rsidRPr="008D2F4A">
        <w:rPr>
          <w:rFonts w:eastAsia="Aptos" w:cs="Times New Roman"/>
          <w:sz w:val="24"/>
          <w:szCs w:val="24"/>
        </w:rPr>
        <w:t>, in and of itself, constitute a failure to</w:t>
      </w:r>
      <w:r w:rsidRPr="008D2F4A">
        <w:rPr>
          <w:rFonts w:eastAsia="Aptos" w:cs="Times New Roman"/>
          <w:sz w:val="24"/>
          <w:szCs w:val="24"/>
        </w:rPr>
        <w:t xml:space="preserve"> comply with </w:t>
      </w:r>
      <w:r w:rsidR="00637B17" w:rsidRPr="008D2F4A">
        <w:rPr>
          <w:rFonts w:eastAsia="Aptos" w:cs="Times New Roman"/>
          <w:sz w:val="24"/>
          <w:szCs w:val="24"/>
        </w:rPr>
        <w:t>the</w:t>
      </w:r>
      <w:r w:rsidRPr="008D2F4A">
        <w:rPr>
          <w:rFonts w:eastAsia="Aptos" w:cs="Times New Roman"/>
          <w:sz w:val="24"/>
          <w:szCs w:val="24"/>
        </w:rPr>
        <w:t xml:space="preserve"> obligation to draw up an action plan.</w:t>
      </w:r>
      <w:r w:rsidRPr="008D2F4A">
        <w:rPr>
          <w:rFonts w:eastAsia="Aptos" w:cs="Times New Roman"/>
          <w:sz w:val="24"/>
          <w:szCs w:val="24"/>
          <w:vertAlign w:val="superscript"/>
        </w:rPr>
        <w:footnoteReference w:id="79"/>
      </w:r>
      <w:r w:rsidRPr="008D2F4A">
        <w:rPr>
          <w:rFonts w:eastAsia="Aptos" w:cs="Times New Roman"/>
          <w:sz w:val="24"/>
          <w:szCs w:val="24"/>
        </w:rPr>
        <w:t xml:space="preserve"> </w:t>
      </w:r>
    </w:p>
    <w:p w14:paraId="11286C7B" w14:textId="679162D9" w:rsidR="00637B17" w:rsidRPr="008D2F4A" w:rsidRDefault="005B4A0C" w:rsidP="001B279E">
      <w:pPr>
        <w:spacing w:line="264" w:lineRule="auto"/>
        <w:ind w:firstLine="284"/>
        <w:jc w:val="both"/>
        <w:rPr>
          <w:rFonts w:eastAsia="Aptos" w:cs="Times New Roman"/>
          <w:sz w:val="24"/>
          <w:szCs w:val="24"/>
        </w:rPr>
      </w:pPr>
      <w:r w:rsidRPr="008D2F4A">
        <w:rPr>
          <w:rFonts w:eastAsia="Aptos" w:cs="Times New Roman"/>
          <w:sz w:val="24"/>
          <w:szCs w:val="24"/>
        </w:rPr>
        <w:t xml:space="preserve">It </w:t>
      </w:r>
      <w:r w:rsidR="00637B17" w:rsidRPr="008D2F4A">
        <w:rPr>
          <w:rFonts w:eastAsia="Aptos" w:cs="Times New Roman"/>
          <w:sz w:val="24"/>
          <w:szCs w:val="24"/>
        </w:rPr>
        <w:t xml:space="preserve">is also </w:t>
      </w:r>
      <w:r w:rsidR="00EE2181" w:rsidRPr="008D2F4A">
        <w:rPr>
          <w:rFonts w:eastAsia="Aptos" w:cs="Times New Roman"/>
          <w:sz w:val="24"/>
          <w:szCs w:val="24"/>
        </w:rPr>
        <w:t>worth highlighting</w:t>
      </w:r>
      <w:r w:rsidR="004F0E4E" w:rsidRPr="008D2F4A">
        <w:rPr>
          <w:rFonts w:eastAsia="Aptos" w:cs="Times New Roman"/>
          <w:sz w:val="24"/>
          <w:szCs w:val="24"/>
        </w:rPr>
        <w:t xml:space="preserve"> </w:t>
      </w:r>
      <w:r w:rsidR="00DB2041" w:rsidRPr="008D2F4A">
        <w:rPr>
          <w:rFonts w:eastAsia="Aptos" w:cs="Times New Roman"/>
          <w:sz w:val="24"/>
          <w:szCs w:val="24"/>
        </w:rPr>
        <w:t xml:space="preserve">the </w:t>
      </w:r>
      <w:r w:rsidR="00637B17" w:rsidRPr="008D2F4A">
        <w:rPr>
          <w:rFonts w:eastAsia="Aptos" w:cs="Times New Roman"/>
          <w:sz w:val="24"/>
          <w:szCs w:val="24"/>
        </w:rPr>
        <w:t>proposal</w:t>
      </w:r>
      <w:r w:rsidR="00DB2041" w:rsidRPr="008D2F4A">
        <w:rPr>
          <w:rFonts w:eastAsia="Aptos" w:cs="Times New Roman"/>
          <w:sz w:val="24"/>
          <w:szCs w:val="24"/>
        </w:rPr>
        <w:t xml:space="preserve"> </w:t>
      </w:r>
      <w:r w:rsidR="00637B17" w:rsidRPr="008D2F4A">
        <w:rPr>
          <w:rFonts w:eastAsia="Aptos" w:cs="Times New Roman"/>
          <w:sz w:val="24"/>
          <w:szCs w:val="24"/>
        </w:rPr>
        <w:t>put forward</w:t>
      </w:r>
      <w:r w:rsidR="00DB2041" w:rsidRPr="008D2F4A">
        <w:rPr>
          <w:rFonts w:eastAsia="Aptos" w:cs="Times New Roman"/>
          <w:sz w:val="24"/>
          <w:szCs w:val="24"/>
        </w:rPr>
        <w:t xml:space="preserve"> by the</w:t>
      </w:r>
      <w:r w:rsidRPr="008D2F4A">
        <w:rPr>
          <w:rFonts w:eastAsia="Aptos" w:cs="Times New Roman"/>
          <w:sz w:val="24"/>
          <w:szCs w:val="24"/>
        </w:rPr>
        <w:t xml:space="preserve"> European Parliament </w:t>
      </w:r>
      <w:r w:rsidR="00637B17" w:rsidRPr="008D2F4A">
        <w:rPr>
          <w:rFonts w:eastAsia="Aptos" w:cs="Times New Roman"/>
          <w:sz w:val="24"/>
          <w:szCs w:val="24"/>
        </w:rPr>
        <w:t>during the</w:t>
      </w:r>
      <w:r w:rsidR="00DB2041" w:rsidRPr="008D2F4A">
        <w:rPr>
          <w:rFonts w:eastAsia="Aptos" w:cs="Times New Roman"/>
          <w:sz w:val="24"/>
          <w:szCs w:val="24"/>
        </w:rPr>
        <w:t xml:space="preserve"> negotiations </w:t>
      </w:r>
      <w:r w:rsidR="00637B17" w:rsidRPr="008D2F4A">
        <w:rPr>
          <w:rFonts w:eastAsia="Aptos" w:cs="Times New Roman"/>
          <w:sz w:val="24"/>
          <w:szCs w:val="24"/>
        </w:rPr>
        <w:t>of</w:t>
      </w:r>
      <w:r w:rsidR="001C7A96" w:rsidRPr="008D2F4A">
        <w:rPr>
          <w:rFonts w:eastAsia="Aptos" w:cs="Times New Roman"/>
          <w:sz w:val="24"/>
          <w:szCs w:val="24"/>
        </w:rPr>
        <w:t xml:space="preserve"> the recast Directive</w:t>
      </w:r>
      <w:r w:rsidRPr="008D2F4A">
        <w:rPr>
          <w:rFonts w:eastAsia="Aptos" w:cs="Times New Roman"/>
          <w:sz w:val="24"/>
          <w:szCs w:val="24"/>
        </w:rPr>
        <w:t xml:space="preserve">. </w:t>
      </w:r>
      <w:r w:rsidR="001C7A96" w:rsidRPr="008D2F4A">
        <w:rPr>
          <w:rFonts w:eastAsia="Aptos" w:cs="Times New Roman"/>
          <w:sz w:val="24"/>
          <w:szCs w:val="24"/>
        </w:rPr>
        <w:t xml:space="preserve">The </w:t>
      </w:r>
      <w:r w:rsidR="001D065F" w:rsidRPr="008D2F4A">
        <w:rPr>
          <w:rFonts w:eastAsia="Aptos" w:cs="Times New Roman"/>
          <w:sz w:val="24"/>
          <w:szCs w:val="24"/>
        </w:rPr>
        <w:t xml:space="preserve">amendment would have allowed individuals affected by violations of the air quality standards to claim financial compensation </w:t>
      </w:r>
      <w:r w:rsidR="00637B17" w:rsidRPr="008D2F4A">
        <w:rPr>
          <w:rFonts w:eastAsia="Aptos" w:cs="Times New Roman"/>
          <w:sz w:val="24"/>
          <w:szCs w:val="24"/>
        </w:rPr>
        <w:t>solely based on the</w:t>
      </w:r>
      <w:r w:rsidR="001D065F" w:rsidRPr="008D2F4A">
        <w:rPr>
          <w:rFonts w:eastAsia="Aptos" w:cs="Times New Roman"/>
          <w:sz w:val="24"/>
          <w:szCs w:val="24"/>
        </w:rPr>
        <w:t xml:space="preserve"> </w:t>
      </w:r>
      <w:r w:rsidR="001D065F" w:rsidRPr="008D2F4A">
        <w:rPr>
          <w:rFonts w:eastAsia="Aptos" w:cs="Times New Roman"/>
          <w:sz w:val="24"/>
          <w:szCs w:val="24"/>
        </w:rPr>
        <w:lastRenderedPageBreak/>
        <w:t>breach of those standards.</w:t>
      </w:r>
      <w:r w:rsidRPr="008D2F4A">
        <w:rPr>
          <w:rFonts w:eastAsia="Aptos" w:cs="Times New Roman"/>
          <w:sz w:val="24"/>
          <w:szCs w:val="24"/>
        </w:rPr>
        <w:t xml:space="preserve"> This would have </w:t>
      </w:r>
      <w:r w:rsidR="00637B17" w:rsidRPr="008D2F4A">
        <w:rPr>
          <w:rFonts w:eastAsia="Aptos" w:cs="Times New Roman"/>
          <w:sz w:val="24"/>
          <w:szCs w:val="24"/>
        </w:rPr>
        <w:t>enhanced</w:t>
      </w:r>
      <w:r w:rsidRPr="008D2F4A">
        <w:rPr>
          <w:rFonts w:eastAsia="Aptos" w:cs="Times New Roman"/>
          <w:sz w:val="24"/>
          <w:szCs w:val="24"/>
        </w:rPr>
        <w:t xml:space="preserve"> the prospect of </w:t>
      </w:r>
      <w:r w:rsidR="00637B17" w:rsidRPr="008D2F4A">
        <w:rPr>
          <w:rFonts w:eastAsia="Aptos" w:cs="Times New Roman"/>
          <w:sz w:val="24"/>
          <w:szCs w:val="24"/>
        </w:rPr>
        <w:t xml:space="preserve">individuals </w:t>
      </w:r>
      <w:r w:rsidRPr="008D2F4A">
        <w:rPr>
          <w:rFonts w:eastAsia="Aptos" w:cs="Times New Roman"/>
          <w:sz w:val="24"/>
          <w:szCs w:val="24"/>
        </w:rPr>
        <w:t xml:space="preserve">obtaining </w:t>
      </w:r>
      <w:r w:rsidR="00637B17" w:rsidRPr="008D2F4A">
        <w:rPr>
          <w:rFonts w:eastAsia="Aptos" w:cs="Times New Roman"/>
          <w:sz w:val="24"/>
          <w:szCs w:val="24"/>
        </w:rPr>
        <w:t xml:space="preserve">compensation for damages resulting from </w:t>
      </w:r>
      <w:r w:rsidR="00582212" w:rsidRPr="008D2F4A">
        <w:rPr>
          <w:rFonts w:eastAsia="Aptos" w:cs="Times New Roman"/>
          <w:sz w:val="24"/>
          <w:szCs w:val="24"/>
        </w:rPr>
        <w:t>air pollution</w:t>
      </w:r>
      <w:r w:rsidRPr="008D2F4A">
        <w:rPr>
          <w:rFonts w:eastAsia="Aptos" w:cs="Times New Roman"/>
          <w:sz w:val="24"/>
          <w:szCs w:val="24"/>
        </w:rPr>
        <w:t xml:space="preserve">. </w:t>
      </w:r>
      <w:r w:rsidR="006926F2" w:rsidRPr="008D2F4A">
        <w:rPr>
          <w:rFonts w:eastAsia="Aptos" w:cs="Times New Roman"/>
          <w:sz w:val="24"/>
          <w:szCs w:val="24"/>
        </w:rPr>
        <w:t xml:space="preserve">Based on that </w:t>
      </w:r>
      <w:r w:rsidR="00637B17" w:rsidRPr="008D2F4A">
        <w:rPr>
          <w:rFonts w:eastAsia="Aptos" w:cs="Times New Roman"/>
          <w:sz w:val="24"/>
          <w:szCs w:val="24"/>
        </w:rPr>
        <w:t>proposal</w:t>
      </w:r>
      <w:r w:rsidR="006926F2" w:rsidRPr="008D2F4A">
        <w:rPr>
          <w:rFonts w:eastAsia="Aptos" w:cs="Times New Roman"/>
          <w:sz w:val="24"/>
          <w:szCs w:val="24"/>
        </w:rPr>
        <w:t xml:space="preserve">, </w:t>
      </w:r>
      <w:r w:rsidR="00237454" w:rsidRPr="008D2F4A">
        <w:rPr>
          <w:rFonts w:eastAsia="Aptos" w:cs="Times New Roman"/>
          <w:sz w:val="24"/>
          <w:szCs w:val="24"/>
        </w:rPr>
        <w:t>any exce</w:t>
      </w:r>
      <w:r w:rsidRPr="008D2F4A">
        <w:rPr>
          <w:rFonts w:eastAsia="Aptos" w:cs="Times New Roman"/>
          <w:sz w:val="24"/>
          <w:szCs w:val="24"/>
        </w:rPr>
        <w:t xml:space="preserve">edance of the </w:t>
      </w:r>
      <w:r w:rsidR="00710D41" w:rsidRPr="008D2F4A">
        <w:rPr>
          <w:rFonts w:eastAsia="Aptos" w:cs="Times New Roman"/>
          <w:sz w:val="24"/>
          <w:szCs w:val="24"/>
        </w:rPr>
        <w:t xml:space="preserve">air quality </w:t>
      </w:r>
      <w:r w:rsidR="00D47FAA" w:rsidRPr="008D2F4A">
        <w:rPr>
          <w:rFonts w:eastAsia="Aptos" w:cs="Times New Roman"/>
          <w:sz w:val="24"/>
          <w:szCs w:val="24"/>
        </w:rPr>
        <w:t>standards</w:t>
      </w:r>
      <w:r w:rsidRPr="008D2F4A">
        <w:rPr>
          <w:rFonts w:eastAsia="Aptos" w:cs="Times New Roman"/>
          <w:sz w:val="24"/>
          <w:szCs w:val="24"/>
        </w:rPr>
        <w:t xml:space="preserve"> set out </w:t>
      </w:r>
      <w:r w:rsidR="00710D41" w:rsidRPr="008D2F4A">
        <w:rPr>
          <w:rFonts w:eastAsia="Aptos" w:cs="Times New Roman"/>
          <w:sz w:val="24"/>
          <w:szCs w:val="24"/>
        </w:rPr>
        <w:t>in the Directive</w:t>
      </w:r>
      <w:r w:rsidRPr="008D2F4A">
        <w:rPr>
          <w:rFonts w:eastAsia="Aptos" w:cs="Times New Roman"/>
          <w:sz w:val="24"/>
          <w:szCs w:val="24"/>
        </w:rPr>
        <w:t xml:space="preserve"> </w:t>
      </w:r>
      <w:r w:rsidR="00710D41" w:rsidRPr="008D2F4A">
        <w:rPr>
          <w:rFonts w:eastAsia="Aptos" w:cs="Times New Roman"/>
          <w:sz w:val="24"/>
          <w:szCs w:val="24"/>
        </w:rPr>
        <w:t xml:space="preserve">would </w:t>
      </w:r>
      <w:r w:rsidR="00637B17" w:rsidRPr="008D2F4A">
        <w:rPr>
          <w:rFonts w:eastAsia="Aptos" w:cs="Times New Roman"/>
          <w:sz w:val="24"/>
          <w:szCs w:val="24"/>
        </w:rPr>
        <w:t>have been</w:t>
      </w:r>
      <w:r w:rsidRPr="008D2F4A">
        <w:rPr>
          <w:rFonts w:eastAsia="Aptos" w:cs="Times New Roman"/>
          <w:sz w:val="24"/>
          <w:szCs w:val="24"/>
        </w:rPr>
        <w:t xml:space="preserve"> sufficient </w:t>
      </w:r>
      <w:r w:rsidR="00237454" w:rsidRPr="008D2F4A">
        <w:rPr>
          <w:rFonts w:eastAsia="Aptos" w:cs="Times New Roman"/>
          <w:sz w:val="24"/>
          <w:szCs w:val="24"/>
        </w:rPr>
        <w:t>on its own</w:t>
      </w:r>
      <w:r w:rsidRPr="008D2F4A">
        <w:rPr>
          <w:rFonts w:eastAsia="Aptos" w:cs="Times New Roman"/>
          <w:sz w:val="24"/>
          <w:szCs w:val="24"/>
        </w:rPr>
        <w:t xml:space="preserve"> </w:t>
      </w:r>
      <w:r w:rsidR="00637B17" w:rsidRPr="008D2F4A">
        <w:rPr>
          <w:rFonts w:eastAsia="Aptos" w:cs="Times New Roman"/>
          <w:sz w:val="24"/>
          <w:szCs w:val="24"/>
        </w:rPr>
        <w:t>o</w:t>
      </w:r>
      <w:r w:rsidR="00BF0766" w:rsidRPr="008D2F4A">
        <w:rPr>
          <w:rFonts w:eastAsia="Aptos" w:cs="Times New Roman"/>
          <w:sz w:val="24"/>
          <w:szCs w:val="24"/>
        </w:rPr>
        <w:t>r</w:t>
      </w:r>
      <w:r w:rsidR="00637B17" w:rsidRPr="008D2F4A">
        <w:rPr>
          <w:rFonts w:eastAsia="Aptos" w:cs="Times New Roman"/>
          <w:sz w:val="24"/>
          <w:szCs w:val="24"/>
        </w:rPr>
        <w:t xml:space="preserve"> trigger the right to </w:t>
      </w:r>
      <w:r w:rsidR="001C23C1" w:rsidRPr="008D2F4A">
        <w:rPr>
          <w:rFonts w:eastAsia="Aptos" w:cs="Times New Roman"/>
          <w:sz w:val="24"/>
          <w:szCs w:val="24"/>
        </w:rPr>
        <w:t xml:space="preserve">compensation </w:t>
      </w:r>
      <w:r w:rsidR="00637B17" w:rsidRPr="008D2F4A">
        <w:rPr>
          <w:rFonts w:eastAsia="Aptos" w:cs="Times New Roman"/>
          <w:sz w:val="24"/>
          <w:szCs w:val="24"/>
        </w:rPr>
        <w:t>under</w:t>
      </w:r>
      <w:r w:rsidR="003D69CC" w:rsidRPr="008D2F4A">
        <w:rPr>
          <w:rFonts w:eastAsia="Aptos" w:cs="Times New Roman"/>
          <w:sz w:val="24"/>
          <w:szCs w:val="24"/>
        </w:rPr>
        <w:t xml:space="preserve"> Article 28 of the </w:t>
      </w:r>
      <w:r w:rsidR="00637B17" w:rsidRPr="008D2F4A">
        <w:rPr>
          <w:rFonts w:eastAsia="Aptos" w:cs="Times New Roman"/>
          <w:sz w:val="24"/>
          <w:szCs w:val="24"/>
        </w:rPr>
        <w:t xml:space="preserve">recast </w:t>
      </w:r>
      <w:r w:rsidR="003D69CC" w:rsidRPr="008D2F4A">
        <w:rPr>
          <w:rFonts w:eastAsia="Aptos" w:cs="Times New Roman"/>
          <w:sz w:val="24"/>
          <w:szCs w:val="24"/>
        </w:rPr>
        <w:t>Directive</w:t>
      </w:r>
      <w:r w:rsidRPr="008D2F4A">
        <w:rPr>
          <w:rFonts w:eastAsia="Aptos" w:cs="Times New Roman"/>
          <w:sz w:val="24"/>
          <w:szCs w:val="24"/>
        </w:rPr>
        <w:t xml:space="preserve">. Unfortunately, </w:t>
      </w:r>
      <w:r w:rsidR="00637B17" w:rsidRPr="008D2F4A">
        <w:rPr>
          <w:rFonts w:eastAsia="Aptos" w:cs="Times New Roman"/>
          <w:sz w:val="24"/>
          <w:szCs w:val="24"/>
        </w:rPr>
        <w:t>this</w:t>
      </w:r>
      <w:r w:rsidR="005932C5" w:rsidRPr="008D2F4A">
        <w:rPr>
          <w:rFonts w:eastAsia="Aptos" w:cs="Times New Roman"/>
          <w:sz w:val="24"/>
          <w:szCs w:val="24"/>
        </w:rPr>
        <w:t xml:space="preserve"> </w:t>
      </w:r>
      <w:r w:rsidR="00637B17" w:rsidRPr="008D2F4A">
        <w:rPr>
          <w:rFonts w:eastAsia="Aptos" w:cs="Times New Roman"/>
          <w:sz w:val="24"/>
          <w:szCs w:val="24"/>
        </w:rPr>
        <w:t>proposal</w:t>
      </w:r>
      <w:r w:rsidRPr="008D2F4A">
        <w:rPr>
          <w:rFonts w:eastAsia="Aptos" w:cs="Times New Roman"/>
          <w:sz w:val="24"/>
          <w:szCs w:val="24"/>
        </w:rPr>
        <w:t xml:space="preserve"> failed to gather support amongst the Member States. </w:t>
      </w:r>
    </w:p>
    <w:p w14:paraId="6B2C3416" w14:textId="73FCB0F6" w:rsidR="005B4A0C" w:rsidRPr="008D2F4A" w:rsidRDefault="00351525" w:rsidP="001B279E">
      <w:pPr>
        <w:spacing w:line="264" w:lineRule="auto"/>
        <w:ind w:firstLine="284"/>
        <w:jc w:val="both"/>
        <w:rPr>
          <w:rFonts w:eastAsia="Aptos" w:cs="Times New Roman"/>
          <w:sz w:val="24"/>
          <w:szCs w:val="24"/>
        </w:rPr>
      </w:pPr>
      <w:r w:rsidRPr="008D2F4A">
        <w:rPr>
          <w:rFonts w:eastAsia="Aptos" w:cs="Times New Roman"/>
          <w:sz w:val="24"/>
          <w:szCs w:val="24"/>
        </w:rPr>
        <w:t>It follows from Article 28 that a breach of air pollution standards is not constitutive as such of a violation trigger</w:t>
      </w:r>
      <w:r w:rsidR="00637B17" w:rsidRPr="008D2F4A">
        <w:rPr>
          <w:rFonts w:eastAsia="Aptos" w:cs="Times New Roman"/>
          <w:sz w:val="24"/>
          <w:szCs w:val="24"/>
        </w:rPr>
        <w:t>ing</w:t>
      </w:r>
      <w:r w:rsidRPr="008D2F4A">
        <w:rPr>
          <w:rFonts w:eastAsia="Aptos" w:cs="Times New Roman"/>
          <w:sz w:val="24"/>
          <w:szCs w:val="24"/>
        </w:rPr>
        <w:t xml:space="preserve"> the right of compensation. </w:t>
      </w:r>
      <w:r w:rsidR="00637B17" w:rsidRPr="008D2F4A">
        <w:rPr>
          <w:rFonts w:eastAsia="Aptos" w:cs="Times New Roman"/>
          <w:sz w:val="24"/>
          <w:szCs w:val="24"/>
        </w:rPr>
        <w:t>T</w:t>
      </w:r>
      <w:r w:rsidR="005B4A0C" w:rsidRPr="008D2F4A">
        <w:rPr>
          <w:rFonts w:eastAsia="Aptos" w:cs="Times New Roman"/>
          <w:sz w:val="24"/>
          <w:szCs w:val="24"/>
        </w:rPr>
        <w:t xml:space="preserve">he recast Directive </w:t>
      </w:r>
      <w:r w:rsidRPr="008D2F4A">
        <w:rPr>
          <w:rFonts w:eastAsia="Aptos" w:cs="Times New Roman"/>
          <w:sz w:val="24"/>
          <w:szCs w:val="24"/>
        </w:rPr>
        <w:t>even spells out an additional requirement,</w:t>
      </w:r>
      <w:r w:rsidR="005B4A0C" w:rsidRPr="008D2F4A">
        <w:rPr>
          <w:rFonts w:eastAsia="Aptos" w:cs="Times New Roman"/>
          <w:sz w:val="24"/>
          <w:szCs w:val="24"/>
        </w:rPr>
        <w:t xml:space="preserve"> </w:t>
      </w:r>
      <w:r w:rsidR="00637B17" w:rsidRPr="008D2F4A">
        <w:rPr>
          <w:rFonts w:eastAsia="Aptos" w:cs="Times New Roman"/>
          <w:sz w:val="24"/>
          <w:szCs w:val="24"/>
        </w:rPr>
        <w:t xml:space="preserve">introduced by the Council, </w:t>
      </w:r>
      <w:r w:rsidR="005B4A0C" w:rsidRPr="008D2F4A">
        <w:rPr>
          <w:rFonts w:eastAsia="Aptos" w:cs="Times New Roman"/>
          <w:sz w:val="24"/>
          <w:szCs w:val="24"/>
        </w:rPr>
        <w:t xml:space="preserve">which entails that financial compensation can only be obtained </w:t>
      </w:r>
      <w:r w:rsidR="00637B17" w:rsidRPr="008D2F4A">
        <w:rPr>
          <w:rFonts w:eastAsia="Aptos" w:cs="Times New Roman"/>
          <w:sz w:val="24"/>
          <w:szCs w:val="24"/>
        </w:rPr>
        <w:t>if</w:t>
      </w:r>
      <w:r w:rsidR="005B4A0C" w:rsidRPr="008D2F4A">
        <w:rPr>
          <w:rFonts w:eastAsia="Aptos" w:cs="Times New Roman"/>
          <w:sz w:val="24"/>
          <w:szCs w:val="24"/>
        </w:rPr>
        <w:t xml:space="preserve"> the violation was “committed intentionally or negligently”.</w:t>
      </w:r>
      <w:r w:rsidR="005B4A0C" w:rsidRPr="008D2F4A">
        <w:rPr>
          <w:rFonts w:eastAsia="Aptos" w:cs="Times New Roman"/>
          <w:sz w:val="24"/>
          <w:szCs w:val="24"/>
          <w:vertAlign w:val="superscript"/>
        </w:rPr>
        <w:footnoteReference w:id="80"/>
      </w:r>
      <w:r w:rsidR="005B4A0C" w:rsidRPr="008D2F4A">
        <w:rPr>
          <w:rFonts w:eastAsia="Aptos" w:cs="Times New Roman"/>
          <w:sz w:val="24"/>
          <w:szCs w:val="24"/>
        </w:rPr>
        <w:t xml:space="preserve"> </w:t>
      </w:r>
      <w:r w:rsidR="001B279E" w:rsidRPr="008D2F4A">
        <w:rPr>
          <w:rFonts w:eastAsia="Aptos" w:cs="Times New Roman"/>
          <w:sz w:val="24"/>
          <w:szCs w:val="24"/>
        </w:rPr>
        <w:t xml:space="preserve">This additional requirement entails that the breach must be qualified. The requirement of intent </w:t>
      </w:r>
      <w:r w:rsidR="00D47FAA" w:rsidRPr="008D2F4A">
        <w:rPr>
          <w:rFonts w:eastAsia="Aptos" w:cs="Times New Roman"/>
          <w:sz w:val="24"/>
          <w:szCs w:val="24"/>
        </w:rPr>
        <w:t xml:space="preserve">or negligence </w:t>
      </w:r>
      <w:r w:rsidR="001B279E" w:rsidRPr="008D2F4A">
        <w:rPr>
          <w:rFonts w:eastAsia="Aptos" w:cs="Times New Roman"/>
          <w:sz w:val="24"/>
          <w:szCs w:val="24"/>
        </w:rPr>
        <w:t xml:space="preserve">suggests, in particular, that the right </w:t>
      </w:r>
      <w:r w:rsidR="00637B17" w:rsidRPr="008D2F4A">
        <w:rPr>
          <w:rFonts w:eastAsia="Aptos" w:cs="Times New Roman"/>
          <w:sz w:val="24"/>
          <w:szCs w:val="24"/>
        </w:rPr>
        <w:t>to</w:t>
      </w:r>
      <w:r w:rsidR="001B279E" w:rsidRPr="008D2F4A">
        <w:rPr>
          <w:rFonts w:eastAsia="Aptos" w:cs="Times New Roman"/>
          <w:sz w:val="24"/>
          <w:szCs w:val="24"/>
        </w:rPr>
        <w:t xml:space="preserve"> compensation may be available only in relation to egregious breaches of the obligation to establish air quality plans. </w:t>
      </w:r>
      <w:r w:rsidR="00637B17" w:rsidRPr="008D2F4A">
        <w:rPr>
          <w:rFonts w:eastAsia="Aptos" w:cs="Times New Roman"/>
          <w:sz w:val="24"/>
          <w:szCs w:val="24"/>
        </w:rPr>
        <w:t>As a result, the ability of individuals to obtain compensation for harm caused by</w:t>
      </w:r>
      <w:r w:rsidR="001B279E" w:rsidRPr="008D2F4A">
        <w:rPr>
          <w:rFonts w:eastAsia="Aptos" w:cs="Times New Roman"/>
          <w:sz w:val="24"/>
          <w:szCs w:val="24"/>
        </w:rPr>
        <w:t xml:space="preserve"> air pollution</w:t>
      </w:r>
      <w:r w:rsidR="00637B17" w:rsidRPr="008D2F4A">
        <w:rPr>
          <w:rFonts w:eastAsia="Aptos" w:cs="Times New Roman"/>
          <w:sz w:val="24"/>
          <w:szCs w:val="24"/>
        </w:rPr>
        <w:t xml:space="preserve"> may be significantly restricted</w:t>
      </w:r>
      <w:r w:rsidR="001B279E" w:rsidRPr="008D2F4A">
        <w:rPr>
          <w:rFonts w:eastAsia="Aptos" w:cs="Times New Roman"/>
          <w:sz w:val="24"/>
          <w:szCs w:val="24"/>
        </w:rPr>
        <w:t>.</w:t>
      </w:r>
    </w:p>
    <w:p w14:paraId="40BEF75E" w14:textId="77777777" w:rsidR="001B279E" w:rsidRPr="008D2F4A" w:rsidRDefault="001B279E" w:rsidP="001B279E">
      <w:pPr>
        <w:spacing w:line="264" w:lineRule="auto"/>
        <w:ind w:firstLine="284"/>
        <w:jc w:val="both"/>
        <w:rPr>
          <w:rFonts w:eastAsia="Calibri" w:cs="Times New Roman"/>
          <w:sz w:val="24"/>
          <w:szCs w:val="24"/>
        </w:rPr>
      </w:pPr>
    </w:p>
    <w:p w14:paraId="44A81A39" w14:textId="77777777" w:rsidR="005B4A0C" w:rsidRPr="008D2F4A" w:rsidRDefault="005B4A0C" w:rsidP="00DD6ED9">
      <w:pPr>
        <w:numPr>
          <w:ilvl w:val="0"/>
          <w:numId w:val="1"/>
        </w:numPr>
        <w:spacing w:line="264" w:lineRule="auto"/>
        <w:ind w:left="709" w:hanging="709"/>
        <w:jc w:val="both"/>
        <w:rPr>
          <w:rFonts w:eastAsia="Calibri" w:cs="Times New Roman"/>
          <w:sz w:val="24"/>
          <w:szCs w:val="24"/>
        </w:rPr>
      </w:pPr>
      <w:r w:rsidRPr="008D2F4A">
        <w:rPr>
          <w:rFonts w:eastAsia="Calibri" w:cs="Times New Roman"/>
          <w:sz w:val="24"/>
          <w:szCs w:val="24"/>
        </w:rPr>
        <w:t>Concluding remarks</w:t>
      </w:r>
    </w:p>
    <w:p w14:paraId="0002DE58" w14:textId="77777777" w:rsidR="005B4A0C" w:rsidRPr="008D2F4A" w:rsidRDefault="005B4A0C" w:rsidP="00DD6ED9">
      <w:pPr>
        <w:spacing w:line="264" w:lineRule="auto"/>
        <w:ind w:left="709"/>
        <w:jc w:val="both"/>
        <w:rPr>
          <w:rFonts w:eastAsia="Calibri" w:cs="Times New Roman"/>
          <w:sz w:val="24"/>
          <w:szCs w:val="24"/>
        </w:rPr>
      </w:pPr>
    </w:p>
    <w:p w14:paraId="09187D16" w14:textId="5213AF68" w:rsidR="005B4A0C" w:rsidRPr="00330981" w:rsidRDefault="005B4A0C" w:rsidP="00DD6ED9">
      <w:pPr>
        <w:spacing w:line="264" w:lineRule="auto"/>
        <w:jc w:val="both"/>
        <w:rPr>
          <w:rFonts w:eastAsia="Times New Roman" w:cs="Times New Roman"/>
          <w:color w:val="0D0D0D"/>
          <w:sz w:val="24"/>
          <w:szCs w:val="24"/>
          <w:lang w:eastAsia="fr-FR"/>
        </w:rPr>
      </w:pPr>
      <w:r w:rsidRPr="008D2F4A">
        <w:rPr>
          <w:rFonts w:eastAsia="Calibri" w:cs="Times New Roman"/>
          <w:sz w:val="24"/>
          <w:szCs w:val="24"/>
        </w:rPr>
        <w:t>Much ink has been spilled about the rights and remedies available to individuals affected by breach</w:t>
      </w:r>
      <w:r w:rsidR="006F0FAE" w:rsidRPr="008D2F4A">
        <w:rPr>
          <w:rFonts w:eastAsia="Calibri" w:cs="Times New Roman"/>
          <w:sz w:val="24"/>
          <w:szCs w:val="24"/>
        </w:rPr>
        <w:t>es</w:t>
      </w:r>
      <w:r w:rsidRPr="008D2F4A">
        <w:rPr>
          <w:rFonts w:eastAsia="Calibri" w:cs="Times New Roman"/>
          <w:sz w:val="24"/>
          <w:szCs w:val="24"/>
        </w:rPr>
        <w:t xml:space="preserve"> of EU environmental law. This issue bears strong relevance in the context of long-standing debates </w:t>
      </w:r>
      <w:r w:rsidR="006F0FAE" w:rsidRPr="008D2F4A">
        <w:rPr>
          <w:rFonts w:eastAsia="Calibri" w:cs="Times New Roman"/>
          <w:sz w:val="24"/>
          <w:szCs w:val="24"/>
        </w:rPr>
        <w:t>regarding</w:t>
      </w:r>
      <w:r w:rsidRPr="008D2F4A">
        <w:rPr>
          <w:rFonts w:eastAsia="Calibri" w:cs="Times New Roman"/>
          <w:sz w:val="24"/>
          <w:szCs w:val="24"/>
        </w:rPr>
        <w:t xml:space="preserve"> the enforcement </w:t>
      </w:r>
      <w:r w:rsidR="002036ED" w:rsidRPr="008D2F4A">
        <w:rPr>
          <w:rFonts w:eastAsia="Calibri" w:cs="Times New Roman"/>
          <w:sz w:val="24"/>
          <w:szCs w:val="24"/>
        </w:rPr>
        <w:t xml:space="preserve">issues </w:t>
      </w:r>
      <w:r w:rsidRPr="008D2F4A">
        <w:rPr>
          <w:rFonts w:eastAsia="Calibri" w:cs="Times New Roman"/>
          <w:sz w:val="24"/>
          <w:szCs w:val="24"/>
        </w:rPr>
        <w:t xml:space="preserve">of EU environmental law by national authorities. </w:t>
      </w:r>
      <w:r w:rsidR="004A7273" w:rsidRPr="008D2F4A">
        <w:rPr>
          <w:rFonts w:eastAsia="Calibri" w:cs="Times New Roman"/>
          <w:sz w:val="24"/>
          <w:szCs w:val="24"/>
        </w:rPr>
        <w:t>Historically, t</w:t>
      </w:r>
      <w:r w:rsidRPr="008D2F4A">
        <w:rPr>
          <w:rFonts w:eastAsia="Calibri" w:cs="Times New Roman"/>
          <w:sz w:val="24"/>
          <w:szCs w:val="24"/>
        </w:rPr>
        <w:t xml:space="preserve">he Court has </w:t>
      </w:r>
      <w:r w:rsidR="006F0FAE" w:rsidRPr="008D2F4A">
        <w:rPr>
          <w:rFonts w:eastAsia="Calibri" w:cs="Times New Roman"/>
          <w:sz w:val="24"/>
          <w:szCs w:val="24"/>
        </w:rPr>
        <w:t xml:space="preserve">sought </w:t>
      </w:r>
      <w:r w:rsidRPr="008D2F4A">
        <w:rPr>
          <w:rFonts w:eastAsia="Calibri" w:cs="Times New Roman"/>
          <w:sz w:val="24"/>
          <w:szCs w:val="24"/>
        </w:rPr>
        <w:t xml:space="preserve">to encourage concerned individuals to stand up for the environment. This chapter explained, in particular, that </w:t>
      </w:r>
      <w:r w:rsidR="006F0FAE" w:rsidRPr="008D2F4A">
        <w:rPr>
          <w:rFonts w:eastAsia="Calibri" w:cs="Times New Roman"/>
          <w:sz w:val="24"/>
          <w:szCs w:val="24"/>
        </w:rPr>
        <w:t>the Court</w:t>
      </w:r>
      <w:r w:rsidRPr="008D2F4A">
        <w:rPr>
          <w:rFonts w:eastAsia="Calibri" w:cs="Times New Roman"/>
          <w:sz w:val="24"/>
          <w:szCs w:val="24"/>
        </w:rPr>
        <w:t xml:space="preserve"> has developed remedies </w:t>
      </w:r>
      <w:r w:rsidR="006F0FAE" w:rsidRPr="008D2F4A">
        <w:rPr>
          <w:rFonts w:eastAsia="Calibri" w:cs="Times New Roman"/>
          <w:sz w:val="24"/>
          <w:szCs w:val="24"/>
        </w:rPr>
        <w:t>focused on</w:t>
      </w:r>
      <w:r w:rsidRPr="008D2F4A">
        <w:rPr>
          <w:rFonts w:eastAsia="Calibri" w:cs="Times New Roman"/>
          <w:sz w:val="24"/>
          <w:szCs w:val="24"/>
        </w:rPr>
        <w:t xml:space="preserve"> the judicial protection of the collective interests underlying much of </w:t>
      </w:r>
      <w:r w:rsidR="006F0FAE" w:rsidRPr="008D2F4A">
        <w:rPr>
          <w:rFonts w:eastAsia="Calibri" w:cs="Times New Roman"/>
          <w:sz w:val="24"/>
          <w:szCs w:val="24"/>
        </w:rPr>
        <w:t>EU</w:t>
      </w:r>
      <w:r w:rsidRPr="008D2F4A">
        <w:rPr>
          <w:rFonts w:eastAsia="Calibri" w:cs="Times New Roman"/>
          <w:sz w:val="24"/>
          <w:szCs w:val="24"/>
        </w:rPr>
        <w:t xml:space="preserve"> environmental law</w:t>
      </w:r>
      <w:r w:rsidRPr="00330981">
        <w:rPr>
          <w:rFonts w:eastAsia="Times New Roman" w:cs="Times New Roman"/>
          <w:color w:val="0D0D0D"/>
          <w:sz w:val="24"/>
          <w:szCs w:val="24"/>
          <w:lang w:eastAsia="fr-FR"/>
        </w:rPr>
        <w:t xml:space="preserve">. In a nutshell, concerned individuals and environmental NGOs </w:t>
      </w:r>
      <w:r w:rsidR="006F0FAE" w:rsidRPr="00330981">
        <w:rPr>
          <w:rFonts w:eastAsia="Times New Roman" w:cs="Times New Roman"/>
          <w:color w:val="0D0D0D"/>
          <w:sz w:val="24"/>
          <w:szCs w:val="24"/>
          <w:lang w:eastAsia="fr-FR"/>
        </w:rPr>
        <w:t>have been</w:t>
      </w:r>
      <w:r w:rsidRPr="00330981">
        <w:rPr>
          <w:rFonts w:eastAsia="Times New Roman" w:cs="Times New Roman"/>
          <w:color w:val="0D0D0D"/>
          <w:sz w:val="24"/>
          <w:szCs w:val="24"/>
          <w:lang w:eastAsia="fr-FR"/>
        </w:rPr>
        <w:t xml:space="preserve"> empowered to bring national authorities to court for their failure to comply with EU environmental law. </w:t>
      </w:r>
      <w:r w:rsidRPr="008D2F4A">
        <w:rPr>
          <w:rFonts w:eastAsia="Calibri" w:cs="Times New Roman"/>
          <w:sz w:val="24"/>
          <w:szCs w:val="24"/>
        </w:rPr>
        <w:t>The relevant case law</w:t>
      </w:r>
      <w:r w:rsidR="002036ED" w:rsidRPr="008D2F4A">
        <w:rPr>
          <w:rFonts w:eastAsia="Calibri" w:cs="Times New Roman"/>
          <w:sz w:val="24"/>
          <w:szCs w:val="24"/>
        </w:rPr>
        <w:t>,</w:t>
      </w:r>
      <w:r w:rsidRPr="008D2F4A">
        <w:rPr>
          <w:rFonts w:eastAsia="Calibri" w:cs="Times New Roman"/>
          <w:sz w:val="24"/>
          <w:szCs w:val="24"/>
        </w:rPr>
        <w:t xml:space="preserve"> nevertheless</w:t>
      </w:r>
      <w:r w:rsidR="002036ED" w:rsidRPr="008D2F4A">
        <w:rPr>
          <w:rFonts w:eastAsia="Calibri" w:cs="Times New Roman"/>
          <w:sz w:val="24"/>
          <w:szCs w:val="24"/>
        </w:rPr>
        <w:t>,</w:t>
      </w:r>
      <w:r w:rsidRPr="008D2F4A">
        <w:rPr>
          <w:rFonts w:eastAsia="Calibri" w:cs="Times New Roman"/>
          <w:sz w:val="24"/>
          <w:szCs w:val="24"/>
        </w:rPr>
        <w:t xml:space="preserve"> falls short of establishing remedies geared towards the protection of individual rights. The exclusion of state liability in environmental matters </w:t>
      </w:r>
      <w:r w:rsidR="006F0FAE" w:rsidRPr="008D2F4A">
        <w:rPr>
          <w:rFonts w:eastAsia="Calibri" w:cs="Times New Roman"/>
          <w:sz w:val="24"/>
          <w:szCs w:val="24"/>
        </w:rPr>
        <w:t>illustrates</w:t>
      </w:r>
      <w:r w:rsidRPr="008D2F4A">
        <w:rPr>
          <w:rFonts w:eastAsia="Calibri" w:cs="Times New Roman"/>
          <w:sz w:val="24"/>
          <w:szCs w:val="24"/>
        </w:rPr>
        <w:t xml:space="preserve"> the Court’s </w:t>
      </w:r>
      <w:r w:rsidR="006F0FAE" w:rsidRPr="008D2F4A">
        <w:rPr>
          <w:rFonts w:eastAsia="Calibri" w:cs="Times New Roman"/>
          <w:sz w:val="24"/>
          <w:szCs w:val="24"/>
        </w:rPr>
        <w:t>reluctance</w:t>
      </w:r>
      <w:r w:rsidRPr="008D2F4A">
        <w:rPr>
          <w:rFonts w:eastAsia="Calibri" w:cs="Times New Roman"/>
          <w:sz w:val="24"/>
          <w:szCs w:val="24"/>
        </w:rPr>
        <w:t xml:space="preserve"> to expand the </w:t>
      </w:r>
      <w:r w:rsidR="006F0FAE" w:rsidRPr="008D2F4A">
        <w:rPr>
          <w:rFonts w:eastAsia="Calibri" w:cs="Times New Roman"/>
          <w:sz w:val="24"/>
          <w:szCs w:val="24"/>
        </w:rPr>
        <w:t>scope</w:t>
      </w:r>
      <w:r w:rsidRPr="008D2F4A">
        <w:rPr>
          <w:rFonts w:eastAsia="Calibri" w:cs="Times New Roman"/>
          <w:sz w:val="24"/>
          <w:szCs w:val="24"/>
        </w:rPr>
        <w:t xml:space="preserve"> of judicial protection beyond the </w:t>
      </w:r>
      <w:r w:rsidR="006F0FAE" w:rsidRPr="008D2F4A">
        <w:rPr>
          <w:rFonts w:eastAsia="Calibri" w:cs="Times New Roman"/>
          <w:sz w:val="24"/>
          <w:szCs w:val="24"/>
        </w:rPr>
        <w:t xml:space="preserve">current emphasis on </w:t>
      </w:r>
      <w:r w:rsidRPr="008D2F4A">
        <w:rPr>
          <w:rFonts w:eastAsia="Calibri" w:cs="Times New Roman"/>
          <w:sz w:val="24"/>
          <w:szCs w:val="24"/>
        </w:rPr>
        <w:t>collective interests prevailing in current secondary legislation.</w:t>
      </w:r>
      <w:r w:rsidRPr="008D2F4A">
        <w:rPr>
          <w:rFonts w:eastAsia="Times New Roman" w:cs="Times New Roman"/>
          <w:color w:val="0D0D0D"/>
          <w:sz w:val="24"/>
          <w:szCs w:val="24"/>
          <w:lang w:eastAsia="fr-FR"/>
        </w:rPr>
        <w:t xml:space="preserve"> </w:t>
      </w:r>
    </w:p>
    <w:p w14:paraId="5046AA82" w14:textId="6B53A2C3" w:rsidR="006F0FAE" w:rsidRPr="00330981" w:rsidRDefault="005B4A0C" w:rsidP="00915151">
      <w:pPr>
        <w:spacing w:line="264" w:lineRule="auto"/>
        <w:ind w:firstLine="284"/>
        <w:jc w:val="both"/>
        <w:rPr>
          <w:rFonts w:eastAsia="Times New Roman" w:cs="Times New Roman"/>
          <w:color w:val="0D0D0D"/>
          <w:sz w:val="24"/>
          <w:szCs w:val="24"/>
          <w:lang w:eastAsia="fr-FR"/>
        </w:rPr>
      </w:pPr>
      <w:r w:rsidRPr="008D2F4A">
        <w:rPr>
          <w:rFonts w:eastAsia="Times New Roman" w:cs="Times New Roman"/>
          <w:color w:val="0D0D0D"/>
          <w:sz w:val="24"/>
          <w:szCs w:val="24"/>
          <w:lang w:eastAsia="fr-FR"/>
        </w:rPr>
        <w:t>I</w:t>
      </w:r>
      <w:r w:rsidR="002036ED" w:rsidRPr="008D2F4A">
        <w:rPr>
          <w:rFonts w:eastAsia="Times New Roman" w:cs="Times New Roman"/>
          <w:color w:val="0D0D0D"/>
          <w:sz w:val="24"/>
          <w:szCs w:val="24"/>
          <w:lang w:eastAsia="fr-FR"/>
        </w:rPr>
        <w:t>n light of these considerations, i</w:t>
      </w:r>
      <w:r w:rsidRPr="008D2F4A">
        <w:rPr>
          <w:rFonts w:eastAsia="Times New Roman" w:cs="Times New Roman"/>
          <w:color w:val="0D0D0D"/>
          <w:sz w:val="24"/>
          <w:szCs w:val="24"/>
          <w:lang w:eastAsia="fr-FR"/>
        </w:rPr>
        <w:t xml:space="preserve">t should come as no surprise that </w:t>
      </w:r>
      <w:r w:rsidRPr="008D2F4A">
        <w:rPr>
          <w:rFonts w:eastAsia="Calibri" w:cs="Times New Roman"/>
          <w:sz w:val="24"/>
          <w:szCs w:val="24"/>
        </w:rPr>
        <w:t>many legal commentators voiced concerns about the Court’s failure to embrace a more explicit individual rights</w:t>
      </w:r>
      <w:r w:rsidR="002036ED" w:rsidRPr="008D2F4A">
        <w:rPr>
          <w:rFonts w:eastAsia="Calibri" w:cs="Times New Roman"/>
          <w:sz w:val="24"/>
          <w:szCs w:val="24"/>
        </w:rPr>
        <w:t>-based</w:t>
      </w:r>
      <w:r w:rsidRPr="008D2F4A">
        <w:rPr>
          <w:rFonts w:eastAsia="Calibri" w:cs="Times New Roman"/>
          <w:sz w:val="24"/>
          <w:szCs w:val="24"/>
        </w:rPr>
        <w:t xml:space="preserve"> approach in environmental matters. This chapter explained, however, that the approach of the Court was </w:t>
      </w:r>
      <w:r w:rsidR="006F0FAE" w:rsidRPr="008D2F4A">
        <w:rPr>
          <w:rFonts w:eastAsia="Calibri" w:cs="Times New Roman"/>
          <w:sz w:val="24"/>
          <w:szCs w:val="24"/>
        </w:rPr>
        <w:t>driven</w:t>
      </w:r>
      <w:r w:rsidRPr="008D2F4A">
        <w:rPr>
          <w:rFonts w:eastAsia="Calibri" w:cs="Times New Roman"/>
          <w:sz w:val="24"/>
          <w:szCs w:val="24"/>
        </w:rPr>
        <w:t xml:space="preserve"> by underlying concerns intrinsic to the realm of environmental law. After all, that field has historically been preserved from the narrative of individual rights. </w:t>
      </w:r>
      <w:r w:rsidRPr="00330981">
        <w:rPr>
          <w:rFonts w:eastAsia="Times New Roman" w:cs="Times New Roman"/>
          <w:color w:val="0D0D0D"/>
          <w:sz w:val="24"/>
          <w:szCs w:val="24"/>
          <w:lang w:eastAsia="fr-FR"/>
        </w:rPr>
        <w:t>One would be hard-pressed to find, within the regulatory universe of EU environmental law, specific legislative provisions explicitly conferring rights upon individuals (beyond the procedural participatory rights inspired by the Aarhus Convention). Most</w:t>
      </w:r>
      <w:r w:rsidR="006F0FAE" w:rsidRPr="00330981">
        <w:rPr>
          <w:rFonts w:eastAsia="Times New Roman" w:cs="Times New Roman"/>
          <w:color w:val="0D0D0D"/>
          <w:sz w:val="24"/>
          <w:szCs w:val="24"/>
          <w:lang w:eastAsia="fr-FR"/>
        </w:rPr>
        <w:t xml:space="preserve"> environmental provisions are designed to</w:t>
      </w:r>
      <w:r w:rsidRPr="00330981">
        <w:rPr>
          <w:rFonts w:eastAsia="Times New Roman" w:cs="Times New Roman"/>
          <w:color w:val="0D0D0D"/>
          <w:sz w:val="24"/>
          <w:szCs w:val="24"/>
          <w:lang w:eastAsia="fr-FR"/>
        </w:rPr>
        <w:t xml:space="preserve"> safeguard collective and diffuse interests</w:t>
      </w:r>
      <w:r w:rsidR="006F0FAE" w:rsidRPr="00330981">
        <w:rPr>
          <w:rFonts w:eastAsia="Times New Roman" w:cs="Times New Roman"/>
          <w:color w:val="0D0D0D"/>
          <w:sz w:val="24"/>
          <w:szCs w:val="24"/>
          <w:lang w:eastAsia="fr-FR"/>
        </w:rPr>
        <w:t xml:space="preserve">, focused on </w:t>
      </w:r>
      <w:r w:rsidRPr="00330981">
        <w:rPr>
          <w:rFonts w:eastAsia="Times New Roman" w:cs="Times New Roman"/>
          <w:color w:val="0D0D0D"/>
          <w:sz w:val="24"/>
          <w:szCs w:val="24"/>
          <w:lang w:eastAsia="fr-FR"/>
        </w:rPr>
        <w:t>the preservation of the environment</w:t>
      </w:r>
      <w:r w:rsidR="006F0FAE" w:rsidRPr="00330981">
        <w:rPr>
          <w:rFonts w:eastAsia="Times New Roman" w:cs="Times New Roman"/>
          <w:color w:val="0D0D0D"/>
          <w:sz w:val="24"/>
          <w:szCs w:val="24"/>
          <w:lang w:eastAsia="fr-FR"/>
        </w:rPr>
        <w:t xml:space="preserve"> as a whole</w:t>
      </w:r>
      <w:r w:rsidRPr="00330981">
        <w:rPr>
          <w:rFonts w:eastAsia="Times New Roman" w:cs="Times New Roman"/>
          <w:color w:val="0D0D0D"/>
          <w:sz w:val="24"/>
          <w:szCs w:val="24"/>
          <w:lang w:eastAsia="fr-FR"/>
        </w:rPr>
        <w:t xml:space="preserve">. The EU Charter </w:t>
      </w:r>
      <w:r w:rsidR="006F0FAE" w:rsidRPr="00330981">
        <w:rPr>
          <w:rFonts w:eastAsia="Times New Roman" w:cs="Times New Roman"/>
          <w:color w:val="0D0D0D"/>
          <w:sz w:val="24"/>
          <w:szCs w:val="24"/>
          <w:lang w:eastAsia="fr-FR"/>
        </w:rPr>
        <w:t>also</w:t>
      </w:r>
      <w:r w:rsidRPr="00330981">
        <w:rPr>
          <w:rFonts w:eastAsia="Times New Roman" w:cs="Times New Roman"/>
          <w:color w:val="0D0D0D"/>
          <w:sz w:val="24"/>
          <w:szCs w:val="24"/>
          <w:lang w:eastAsia="fr-FR"/>
        </w:rPr>
        <w:t xml:space="preserve"> evinces a certain reluctance to embrace a regulatory approach framed explicitly around environmental fundamental rights. It spells out a </w:t>
      </w:r>
      <w:r w:rsidRPr="00330981">
        <w:rPr>
          <w:rFonts w:eastAsia="Times New Roman" w:cs="Times New Roman"/>
          <w:color w:val="0D0D0D"/>
          <w:sz w:val="24"/>
          <w:szCs w:val="24"/>
          <w:lang w:eastAsia="fr-FR"/>
        </w:rPr>
        <w:lastRenderedPageBreak/>
        <w:t xml:space="preserve">principle encouraging public authorities to strive for a </w:t>
      </w:r>
      <w:r w:rsidR="00DD6ED9" w:rsidRPr="00330981">
        <w:rPr>
          <w:rFonts w:eastAsia="Times New Roman" w:cs="Times New Roman"/>
          <w:color w:val="0D0D0D"/>
          <w:sz w:val="24"/>
          <w:szCs w:val="24"/>
          <w:lang w:eastAsia="fr-FR"/>
        </w:rPr>
        <w:t>“</w:t>
      </w:r>
      <w:r w:rsidRPr="00330981">
        <w:rPr>
          <w:rFonts w:eastAsia="Times New Roman" w:cs="Times New Roman"/>
          <w:color w:val="0D0D0D"/>
          <w:sz w:val="24"/>
          <w:szCs w:val="24"/>
          <w:lang w:eastAsia="fr-FR"/>
        </w:rPr>
        <w:t>high level of environmental protection</w:t>
      </w:r>
      <w:r w:rsidR="00DD6ED9" w:rsidRPr="00330981">
        <w:rPr>
          <w:rFonts w:eastAsia="Times New Roman" w:cs="Times New Roman"/>
          <w:color w:val="0D0D0D"/>
          <w:sz w:val="24"/>
          <w:szCs w:val="24"/>
          <w:lang w:eastAsia="fr-FR"/>
        </w:rPr>
        <w:t>”</w:t>
      </w:r>
      <w:r w:rsidRPr="00330981">
        <w:rPr>
          <w:rFonts w:eastAsia="Times New Roman" w:cs="Times New Roman"/>
          <w:color w:val="0D0D0D"/>
          <w:sz w:val="24"/>
          <w:szCs w:val="24"/>
          <w:lang w:eastAsia="fr-FR"/>
        </w:rPr>
        <w:t xml:space="preserve">, rather than a subjective entitlement </w:t>
      </w:r>
      <w:r w:rsidR="00B04AEE" w:rsidRPr="00330981">
        <w:rPr>
          <w:rFonts w:eastAsia="Times New Roman" w:cs="Times New Roman"/>
          <w:color w:val="0D0D0D"/>
          <w:sz w:val="24"/>
          <w:szCs w:val="24"/>
          <w:lang w:eastAsia="fr-FR"/>
        </w:rPr>
        <w:t>available</w:t>
      </w:r>
      <w:r w:rsidRPr="00330981">
        <w:rPr>
          <w:rFonts w:eastAsia="Times New Roman" w:cs="Times New Roman"/>
          <w:color w:val="0D0D0D"/>
          <w:sz w:val="24"/>
          <w:szCs w:val="24"/>
          <w:lang w:eastAsia="fr-FR"/>
        </w:rPr>
        <w:t xml:space="preserve"> to individuals affected by the deterioration of the environment. </w:t>
      </w:r>
    </w:p>
    <w:p w14:paraId="7E6AAA3D" w14:textId="1CBDFA2A" w:rsidR="000A2B0C" w:rsidRPr="00915151" w:rsidRDefault="005B4A0C" w:rsidP="00915151">
      <w:pPr>
        <w:spacing w:line="264" w:lineRule="auto"/>
        <w:ind w:firstLine="284"/>
        <w:jc w:val="both"/>
        <w:rPr>
          <w:rFonts w:eastAsia="Calibri" w:cs="Times New Roman"/>
          <w:sz w:val="24"/>
          <w:szCs w:val="24"/>
        </w:rPr>
      </w:pPr>
      <w:r w:rsidRPr="008D2F4A">
        <w:rPr>
          <w:rFonts w:eastAsia="Calibri" w:cs="Times New Roman"/>
          <w:sz w:val="24"/>
          <w:szCs w:val="24"/>
        </w:rPr>
        <w:t xml:space="preserve">Viewed from </w:t>
      </w:r>
      <w:r w:rsidR="006F0FAE" w:rsidRPr="008D2F4A">
        <w:rPr>
          <w:rFonts w:eastAsia="Calibri" w:cs="Times New Roman"/>
          <w:sz w:val="24"/>
          <w:szCs w:val="24"/>
        </w:rPr>
        <w:t>this</w:t>
      </w:r>
      <w:r w:rsidRPr="008D2F4A">
        <w:rPr>
          <w:rFonts w:eastAsia="Calibri" w:cs="Times New Roman"/>
          <w:sz w:val="24"/>
          <w:szCs w:val="24"/>
        </w:rPr>
        <w:t xml:space="preserve"> perspective, the Court should be commended for attempting to </w:t>
      </w:r>
      <w:r w:rsidR="006F0FAE" w:rsidRPr="008D2F4A">
        <w:rPr>
          <w:rFonts w:eastAsia="Calibri" w:cs="Times New Roman"/>
          <w:sz w:val="24"/>
          <w:szCs w:val="24"/>
        </w:rPr>
        <w:t>develop</w:t>
      </w:r>
      <w:r w:rsidRPr="008D2F4A">
        <w:rPr>
          <w:rFonts w:eastAsia="Calibri" w:cs="Times New Roman"/>
          <w:sz w:val="24"/>
          <w:szCs w:val="24"/>
        </w:rPr>
        <w:t xml:space="preserve"> procedural rules and remedies tailored to the </w:t>
      </w:r>
      <w:r w:rsidR="006F0FAE" w:rsidRPr="008D2F4A">
        <w:rPr>
          <w:rFonts w:eastAsia="Calibri" w:cs="Times New Roman"/>
          <w:sz w:val="24"/>
          <w:szCs w:val="24"/>
        </w:rPr>
        <w:t>unique features of</w:t>
      </w:r>
      <w:r w:rsidRPr="008D2F4A">
        <w:rPr>
          <w:rFonts w:eastAsia="Calibri" w:cs="Times New Roman"/>
          <w:sz w:val="24"/>
          <w:szCs w:val="24"/>
        </w:rPr>
        <w:t xml:space="preserve"> environmental law. </w:t>
      </w:r>
      <w:r w:rsidRPr="00330981">
        <w:rPr>
          <w:rFonts w:eastAsia="Calibri" w:cs="Times New Roman"/>
          <w:sz w:val="24"/>
          <w:szCs w:val="24"/>
        </w:rPr>
        <w:t xml:space="preserve">A reasonable case </w:t>
      </w:r>
      <w:r w:rsidR="006F0FAE" w:rsidRPr="00330981">
        <w:rPr>
          <w:rFonts w:eastAsia="Calibri" w:cs="Times New Roman"/>
          <w:sz w:val="24"/>
          <w:szCs w:val="24"/>
        </w:rPr>
        <w:t>can</w:t>
      </w:r>
      <w:r w:rsidR="002036ED" w:rsidRPr="00330981">
        <w:rPr>
          <w:rFonts w:eastAsia="Calibri" w:cs="Times New Roman"/>
          <w:sz w:val="24"/>
          <w:szCs w:val="24"/>
        </w:rPr>
        <w:t>,</w:t>
      </w:r>
      <w:r w:rsidRPr="00330981">
        <w:rPr>
          <w:rFonts w:eastAsia="Calibri" w:cs="Times New Roman"/>
          <w:sz w:val="24"/>
          <w:szCs w:val="24"/>
        </w:rPr>
        <w:t xml:space="preserve"> therefore</w:t>
      </w:r>
      <w:r w:rsidR="002036ED" w:rsidRPr="00330981">
        <w:rPr>
          <w:rFonts w:eastAsia="Calibri" w:cs="Times New Roman"/>
          <w:sz w:val="24"/>
          <w:szCs w:val="24"/>
        </w:rPr>
        <w:t>,</w:t>
      </w:r>
      <w:r w:rsidRPr="00330981">
        <w:rPr>
          <w:rFonts w:eastAsia="Calibri" w:cs="Times New Roman"/>
          <w:sz w:val="24"/>
          <w:szCs w:val="24"/>
        </w:rPr>
        <w:t xml:space="preserve"> be made that the </w:t>
      </w:r>
      <w:r w:rsidR="006F0FAE" w:rsidRPr="00330981">
        <w:rPr>
          <w:rFonts w:eastAsia="Calibri" w:cs="Times New Roman"/>
          <w:sz w:val="24"/>
          <w:szCs w:val="24"/>
        </w:rPr>
        <w:t>responsibility lies with</w:t>
      </w:r>
      <w:r w:rsidRPr="00330981">
        <w:rPr>
          <w:rFonts w:eastAsia="Calibri" w:cs="Times New Roman"/>
          <w:sz w:val="24"/>
          <w:szCs w:val="24"/>
        </w:rPr>
        <w:t xml:space="preserve"> </w:t>
      </w:r>
      <w:r w:rsidRPr="008D2F4A">
        <w:rPr>
          <w:rFonts w:eastAsia="Calibri" w:cs="Times New Roman"/>
          <w:sz w:val="24"/>
          <w:szCs w:val="24"/>
        </w:rPr>
        <w:t xml:space="preserve">the </w:t>
      </w:r>
      <w:r w:rsidR="004A7273" w:rsidRPr="008D2F4A">
        <w:rPr>
          <w:rFonts w:eastAsia="Calibri" w:cs="Times New Roman"/>
          <w:sz w:val="24"/>
          <w:szCs w:val="24"/>
        </w:rPr>
        <w:t xml:space="preserve">EU </w:t>
      </w:r>
      <w:r w:rsidRPr="008D2F4A">
        <w:rPr>
          <w:rFonts w:eastAsia="Calibri" w:cs="Times New Roman"/>
          <w:sz w:val="24"/>
          <w:szCs w:val="24"/>
        </w:rPr>
        <w:t xml:space="preserve">legislature to overcome the emphasis on collective environmental interests prevailing in </w:t>
      </w:r>
      <w:r w:rsidR="006F0FAE" w:rsidRPr="008D2F4A">
        <w:rPr>
          <w:rFonts w:eastAsia="Calibri" w:cs="Times New Roman"/>
          <w:sz w:val="24"/>
          <w:szCs w:val="24"/>
        </w:rPr>
        <w:t>existing</w:t>
      </w:r>
      <w:r w:rsidRPr="008D2F4A">
        <w:rPr>
          <w:rFonts w:eastAsia="Calibri" w:cs="Times New Roman"/>
          <w:sz w:val="24"/>
          <w:szCs w:val="24"/>
        </w:rPr>
        <w:t xml:space="preserve"> secondary legislation. Recent legislative </w:t>
      </w:r>
      <w:r w:rsidR="006F0FAE" w:rsidRPr="008D2F4A">
        <w:rPr>
          <w:rFonts w:eastAsia="Calibri" w:cs="Times New Roman"/>
          <w:sz w:val="24"/>
          <w:szCs w:val="24"/>
        </w:rPr>
        <w:t>developments</w:t>
      </w:r>
      <w:r w:rsidRPr="008D2F4A">
        <w:rPr>
          <w:rFonts w:eastAsia="Calibri" w:cs="Times New Roman"/>
          <w:sz w:val="24"/>
          <w:szCs w:val="24"/>
        </w:rPr>
        <w:t xml:space="preserve"> suggest that the legislature is up </w:t>
      </w:r>
      <w:r w:rsidR="00BD55C6" w:rsidRPr="008D2F4A">
        <w:rPr>
          <w:rFonts w:eastAsia="Calibri" w:cs="Times New Roman"/>
          <w:sz w:val="24"/>
          <w:szCs w:val="24"/>
        </w:rPr>
        <w:t>to</w:t>
      </w:r>
      <w:r w:rsidRPr="008D2F4A">
        <w:rPr>
          <w:rFonts w:eastAsia="Calibri" w:cs="Times New Roman"/>
          <w:sz w:val="24"/>
          <w:szCs w:val="24"/>
        </w:rPr>
        <w:t xml:space="preserve"> the task. The recast Air Quality Directive </w:t>
      </w:r>
      <w:r w:rsidR="002036ED" w:rsidRPr="008D2F4A">
        <w:rPr>
          <w:rFonts w:eastAsia="Calibri" w:cs="Times New Roman"/>
          <w:sz w:val="24"/>
          <w:szCs w:val="24"/>
        </w:rPr>
        <w:t>shows</w:t>
      </w:r>
      <w:r w:rsidRPr="008D2F4A">
        <w:rPr>
          <w:rFonts w:eastAsia="Calibri" w:cs="Times New Roman"/>
          <w:sz w:val="24"/>
          <w:szCs w:val="24"/>
        </w:rPr>
        <w:t xml:space="preserve">, in particular, that </w:t>
      </w:r>
      <w:r w:rsidR="00050EAA" w:rsidRPr="008D2F4A">
        <w:rPr>
          <w:rFonts w:eastAsia="Calibri" w:cs="Times New Roman"/>
          <w:sz w:val="24"/>
          <w:szCs w:val="24"/>
        </w:rPr>
        <w:t>the EU</w:t>
      </w:r>
      <w:r w:rsidRPr="008D2F4A">
        <w:rPr>
          <w:rFonts w:eastAsia="Calibri" w:cs="Times New Roman"/>
          <w:sz w:val="24"/>
          <w:szCs w:val="24"/>
        </w:rPr>
        <w:t xml:space="preserve"> is willing to </w:t>
      </w:r>
      <w:r w:rsidR="006F0FAE" w:rsidRPr="008D2F4A">
        <w:rPr>
          <w:rFonts w:eastAsia="Calibri" w:cs="Times New Roman"/>
          <w:sz w:val="24"/>
          <w:szCs w:val="24"/>
        </w:rPr>
        <w:t>adopt</w:t>
      </w:r>
      <w:r w:rsidRPr="008D2F4A">
        <w:rPr>
          <w:rFonts w:eastAsia="Calibri" w:cs="Times New Roman"/>
          <w:sz w:val="24"/>
          <w:szCs w:val="24"/>
        </w:rPr>
        <w:t xml:space="preserve"> a more explicit stance</w:t>
      </w:r>
      <w:r w:rsidR="004A7273" w:rsidRPr="008D2F4A">
        <w:rPr>
          <w:rFonts w:eastAsia="Calibri" w:cs="Times New Roman"/>
          <w:sz w:val="24"/>
          <w:szCs w:val="24"/>
        </w:rPr>
        <w:t xml:space="preserve"> on individual rights</w:t>
      </w:r>
      <w:r w:rsidRPr="008D2F4A">
        <w:rPr>
          <w:rFonts w:eastAsia="Calibri" w:cs="Times New Roman"/>
          <w:sz w:val="24"/>
          <w:szCs w:val="24"/>
        </w:rPr>
        <w:t xml:space="preserve"> in environmental law.</w:t>
      </w:r>
      <w:bookmarkEnd w:id="0"/>
      <w:r w:rsidR="00050EAA" w:rsidRPr="008D2F4A">
        <w:rPr>
          <w:rFonts w:eastAsia="Calibri" w:cs="Times New Roman"/>
          <w:sz w:val="24"/>
          <w:szCs w:val="24"/>
        </w:rPr>
        <w:t xml:space="preserve"> Ultimately, though, the </w:t>
      </w:r>
      <w:r w:rsidR="0018042F" w:rsidRPr="008D2F4A">
        <w:rPr>
          <w:rFonts w:eastAsia="Calibri" w:cs="Times New Roman"/>
          <w:sz w:val="24"/>
          <w:szCs w:val="24"/>
        </w:rPr>
        <w:t>conditions</w:t>
      </w:r>
      <w:r w:rsidR="00050EAA" w:rsidRPr="008D2F4A">
        <w:rPr>
          <w:rFonts w:eastAsia="Calibri" w:cs="Times New Roman"/>
          <w:sz w:val="24"/>
          <w:szCs w:val="24"/>
        </w:rPr>
        <w:t xml:space="preserve"> established by Article 28 of the Directiv</w:t>
      </w:r>
      <w:r w:rsidR="00BA60ED" w:rsidRPr="008D2F4A">
        <w:rPr>
          <w:rFonts w:eastAsia="Calibri" w:cs="Times New Roman"/>
          <w:sz w:val="24"/>
          <w:szCs w:val="24"/>
        </w:rPr>
        <w:t xml:space="preserve">e </w:t>
      </w:r>
      <w:r w:rsidR="006F0FAE" w:rsidRPr="008D2F4A">
        <w:rPr>
          <w:rFonts w:eastAsia="Calibri" w:cs="Times New Roman"/>
          <w:sz w:val="24"/>
          <w:szCs w:val="24"/>
        </w:rPr>
        <w:t xml:space="preserve">present significant challenges for individual </w:t>
      </w:r>
      <w:r w:rsidR="00915151" w:rsidRPr="008D2F4A">
        <w:rPr>
          <w:rFonts w:eastAsia="Calibri" w:cs="Times New Roman"/>
          <w:sz w:val="24"/>
          <w:szCs w:val="24"/>
        </w:rPr>
        <w:t>claimants</w:t>
      </w:r>
      <w:r w:rsidR="00050EAA" w:rsidRPr="008D2F4A">
        <w:rPr>
          <w:rFonts w:eastAsia="Calibri" w:cs="Times New Roman"/>
          <w:sz w:val="24"/>
          <w:szCs w:val="24"/>
        </w:rPr>
        <w:t xml:space="preserve"> </w:t>
      </w:r>
      <w:r w:rsidR="000F3F36" w:rsidRPr="008D2F4A">
        <w:rPr>
          <w:rFonts w:eastAsia="Calibri" w:cs="Times New Roman"/>
          <w:sz w:val="24"/>
          <w:szCs w:val="24"/>
        </w:rPr>
        <w:t>seeking</w:t>
      </w:r>
      <w:r w:rsidR="00050EAA" w:rsidRPr="008D2F4A">
        <w:rPr>
          <w:rFonts w:eastAsia="Calibri" w:cs="Times New Roman"/>
          <w:sz w:val="24"/>
          <w:szCs w:val="24"/>
        </w:rPr>
        <w:t xml:space="preserve"> compensation for health damage caused by air pollution</w:t>
      </w:r>
      <w:r w:rsidR="002036ED" w:rsidRPr="008D2F4A">
        <w:rPr>
          <w:rFonts w:eastAsia="Calibri" w:cs="Times New Roman"/>
          <w:sz w:val="24"/>
          <w:szCs w:val="24"/>
        </w:rPr>
        <w:t>, thereby limiting the ‘bite’ of the newly introduced provision</w:t>
      </w:r>
      <w:r w:rsidR="00050EAA" w:rsidRPr="008D2F4A">
        <w:rPr>
          <w:rFonts w:eastAsia="Calibri" w:cs="Times New Roman"/>
          <w:sz w:val="24"/>
          <w:szCs w:val="24"/>
        </w:rPr>
        <w:t xml:space="preserve">. </w:t>
      </w:r>
    </w:p>
    <w:sectPr w:rsidR="000A2B0C" w:rsidRPr="009151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3062" w14:textId="77777777" w:rsidR="008637F8" w:rsidRPr="008D2F4A" w:rsidRDefault="008637F8" w:rsidP="00E71183">
      <w:pPr>
        <w:spacing w:after="0" w:line="240" w:lineRule="auto"/>
      </w:pPr>
      <w:r w:rsidRPr="008D2F4A">
        <w:separator/>
      </w:r>
    </w:p>
  </w:endnote>
  <w:endnote w:type="continuationSeparator" w:id="0">
    <w:p w14:paraId="5507509F" w14:textId="77777777" w:rsidR="008637F8" w:rsidRPr="008D2F4A" w:rsidRDefault="008637F8" w:rsidP="00E71183">
      <w:pPr>
        <w:spacing w:after="0" w:line="240" w:lineRule="auto"/>
      </w:pPr>
      <w:r w:rsidRPr="008D2F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5DE2" w14:textId="77777777" w:rsidR="008637F8" w:rsidRPr="008D2F4A" w:rsidRDefault="008637F8" w:rsidP="00E71183">
      <w:pPr>
        <w:spacing w:after="0" w:line="240" w:lineRule="auto"/>
      </w:pPr>
      <w:r w:rsidRPr="008D2F4A">
        <w:separator/>
      </w:r>
    </w:p>
  </w:footnote>
  <w:footnote w:type="continuationSeparator" w:id="0">
    <w:p w14:paraId="21D6D6F8" w14:textId="77777777" w:rsidR="008637F8" w:rsidRPr="008D2F4A" w:rsidRDefault="008637F8" w:rsidP="00E71183">
      <w:pPr>
        <w:spacing w:after="0" w:line="240" w:lineRule="auto"/>
      </w:pPr>
      <w:r w:rsidRPr="008D2F4A">
        <w:continuationSeparator/>
      </w:r>
    </w:p>
  </w:footnote>
  <w:footnote w:id="1">
    <w:p w14:paraId="41E44456" w14:textId="5F032300" w:rsidR="005B4A0C" w:rsidRPr="008D2F4A" w:rsidRDefault="005B4A0C" w:rsidP="005B4A0C">
      <w:pPr>
        <w:pStyle w:val="FootnoteText"/>
        <w:jc w:val="both"/>
      </w:pPr>
      <w:r w:rsidRPr="008D2F4A">
        <w:rPr>
          <w:rStyle w:val="FootnoteReference"/>
        </w:rPr>
        <w:footnoteRef/>
      </w:r>
      <w:r w:rsidRPr="008D2F4A">
        <w:t xml:space="preserve"> This chapter was prepared during a research stay at the European University Institute (EUI), which would not have been possible without the financial support of the Fédération </w:t>
      </w:r>
      <w:proofErr w:type="spellStart"/>
      <w:r w:rsidRPr="008D2F4A">
        <w:t>Wallonie-Bruxelles</w:t>
      </w:r>
      <w:proofErr w:type="spellEnd"/>
      <w:r w:rsidRPr="008D2F4A">
        <w:t xml:space="preserve"> (FWB). </w:t>
      </w:r>
      <w:r w:rsidRPr="008D2F4A">
        <w:rPr>
          <w:color w:val="000000"/>
          <w:shd w:val="clear" w:color="auto" w:fill="FFFFFF"/>
        </w:rPr>
        <w:t>This project has also received funding from the European Research Council (ERC) under the European Union</w:t>
      </w:r>
      <w:r w:rsidR="00073F30" w:rsidRPr="008D2F4A">
        <w:rPr>
          <w:color w:val="000000"/>
          <w:shd w:val="clear" w:color="auto" w:fill="FFFFFF"/>
        </w:rPr>
        <w:t>’</w:t>
      </w:r>
      <w:r w:rsidRPr="008D2F4A">
        <w:rPr>
          <w:color w:val="000000"/>
          <w:shd w:val="clear" w:color="auto" w:fill="FFFFFF"/>
        </w:rPr>
        <w:t>s Horizon 2020 research and innovation programme (grant agreement n°948473).</w:t>
      </w:r>
    </w:p>
  </w:footnote>
  <w:footnote w:id="2">
    <w:p w14:paraId="6D1E659D" w14:textId="5F301035" w:rsidR="005B4A0C" w:rsidRPr="008D2F4A" w:rsidRDefault="005B4A0C" w:rsidP="005B4A0C">
      <w:pPr>
        <w:pStyle w:val="FootnoteText"/>
        <w:jc w:val="both"/>
      </w:pPr>
      <w:r w:rsidRPr="008D2F4A">
        <w:rPr>
          <w:rStyle w:val="FootnoteReference"/>
        </w:rPr>
        <w:footnoteRef/>
      </w:r>
      <w:r w:rsidRPr="008D2F4A">
        <w:t xml:space="preserve"> Directive (EU) 2024/2881 of the European Parliament and of the Council of 23 October 2024 on ambient air quality and cleaner air for Europe (recast) </w:t>
      </w:r>
      <w:r w:rsidR="00326547" w:rsidRPr="008D2F4A">
        <w:t>[</w:t>
      </w:r>
      <w:r w:rsidRPr="008D2F4A">
        <w:t>2024</w:t>
      </w:r>
      <w:r w:rsidR="00326547" w:rsidRPr="008D2F4A">
        <w:t>]</w:t>
      </w:r>
      <w:r w:rsidRPr="008D2F4A">
        <w:t xml:space="preserve"> OJ L1/70.</w:t>
      </w:r>
    </w:p>
  </w:footnote>
  <w:footnote w:id="3">
    <w:p w14:paraId="422D3816" w14:textId="308636CE" w:rsidR="005B4A0C" w:rsidRPr="008D2F4A" w:rsidRDefault="005B4A0C" w:rsidP="005B4A0C">
      <w:pPr>
        <w:pStyle w:val="FootnoteText"/>
        <w:jc w:val="both"/>
      </w:pPr>
      <w:r w:rsidRPr="008D2F4A">
        <w:rPr>
          <w:rStyle w:val="FootnoteReference"/>
        </w:rPr>
        <w:footnoteRef/>
      </w:r>
      <w:r w:rsidRPr="008D2F4A">
        <w:t xml:space="preserve"> Directive 2008/50/EC of the European Parliament and of the Council of 21 May 2008 on ambient air quality and cleaner air for Europe </w:t>
      </w:r>
      <w:r w:rsidR="00A46056" w:rsidRPr="008D2F4A">
        <w:t>[</w:t>
      </w:r>
      <w:r w:rsidRPr="008D2F4A">
        <w:t>2008</w:t>
      </w:r>
      <w:r w:rsidR="00A46056" w:rsidRPr="008D2F4A">
        <w:t>]</w:t>
      </w:r>
      <w:r w:rsidRPr="008D2F4A">
        <w:t xml:space="preserve"> OJ L152/1.</w:t>
      </w:r>
    </w:p>
  </w:footnote>
  <w:footnote w:id="4">
    <w:p w14:paraId="5BCD8E2A" w14:textId="278B3ABB" w:rsidR="005B4A0C" w:rsidRPr="008D2F4A" w:rsidRDefault="005B4A0C" w:rsidP="005B4A0C">
      <w:pPr>
        <w:pStyle w:val="FootnoteText"/>
        <w:jc w:val="both"/>
      </w:pPr>
      <w:r w:rsidRPr="008D2F4A">
        <w:rPr>
          <w:rStyle w:val="FootnoteReference"/>
        </w:rPr>
        <w:footnoteRef/>
      </w:r>
      <w:r w:rsidRPr="008D2F4A">
        <w:t xml:space="preserve"> See most notably </w:t>
      </w:r>
      <w:r w:rsidR="00925372" w:rsidRPr="008D2F4A">
        <w:t xml:space="preserve">Thomas </w:t>
      </w:r>
      <w:proofErr w:type="spellStart"/>
      <w:r w:rsidRPr="008D2F4A">
        <w:t>Eilmansberger</w:t>
      </w:r>
      <w:proofErr w:type="spellEnd"/>
      <w:r w:rsidRPr="008D2F4A">
        <w:t xml:space="preserve">, </w:t>
      </w:r>
      <w:r w:rsidR="00C70719" w:rsidRPr="008D2F4A">
        <w:t>‘</w:t>
      </w:r>
      <w:r w:rsidRPr="008D2F4A">
        <w:t>The Relationship Between Rights and Remedies in EC Law: In Search of the Missing Link</w:t>
      </w:r>
      <w:r w:rsidR="00C70719" w:rsidRPr="008D2F4A">
        <w:t>’</w:t>
      </w:r>
      <w:r w:rsidRPr="008D2F4A">
        <w:t xml:space="preserve"> (2004) 41 C</w:t>
      </w:r>
      <w:r w:rsidR="00AD31BC" w:rsidRPr="008D2F4A">
        <w:t>ommon Market Law</w:t>
      </w:r>
      <w:r w:rsidRPr="008D2F4A">
        <w:t xml:space="preserve"> Rev</w:t>
      </w:r>
      <w:r w:rsidR="00AD31BC" w:rsidRPr="008D2F4A">
        <w:t>iew</w:t>
      </w:r>
      <w:r w:rsidRPr="008D2F4A">
        <w:t xml:space="preserve"> 1199; </w:t>
      </w:r>
      <w:r w:rsidR="000D53A7" w:rsidRPr="008D2F4A">
        <w:t xml:space="preserve">Michael </w:t>
      </w:r>
      <w:r w:rsidRPr="008D2F4A">
        <w:t xml:space="preserve">Dougan, </w:t>
      </w:r>
      <w:r w:rsidR="000D53A7" w:rsidRPr="008D2F4A">
        <w:t>‘</w:t>
      </w:r>
      <w:r w:rsidRPr="008D2F4A">
        <w:t>Who Exactly Benefits from the Treaties? The Murky Interaction Between Union and National Competence over the Capacity to Enforce EU Law</w:t>
      </w:r>
      <w:r w:rsidR="000D53A7" w:rsidRPr="008D2F4A">
        <w:t xml:space="preserve">’ </w:t>
      </w:r>
      <w:r w:rsidRPr="008D2F4A">
        <w:t>(2010) 12 C</w:t>
      </w:r>
      <w:r w:rsidR="00D8498B" w:rsidRPr="008D2F4A">
        <w:t xml:space="preserve">ambridge Yearbook of </w:t>
      </w:r>
      <w:r w:rsidR="006F5AD8" w:rsidRPr="008D2F4A">
        <w:t>European Legal Studies</w:t>
      </w:r>
      <w:r w:rsidRPr="008D2F4A">
        <w:t xml:space="preserve"> 73. </w:t>
      </w:r>
    </w:p>
  </w:footnote>
  <w:footnote w:id="5">
    <w:p w14:paraId="2D0A650A" w14:textId="21972046" w:rsidR="005B4A0C" w:rsidRPr="0069589D" w:rsidRDefault="005B4A0C" w:rsidP="005B4A0C">
      <w:pPr>
        <w:pStyle w:val="FootnoteText"/>
        <w:rPr>
          <w:lang w:val="fr-BE"/>
        </w:rPr>
      </w:pPr>
      <w:r w:rsidRPr="008D2F4A">
        <w:rPr>
          <w:rStyle w:val="FootnoteReference"/>
        </w:rPr>
        <w:footnoteRef/>
      </w:r>
      <w:r w:rsidRPr="0069589D">
        <w:rPr>
          <w:lang w:val="fr-BE"/>
        </w:rPr>
        <w:t xml:space="preserve"> Case C-752/18 </w:t>
      </w:r>
      <w:r w:rsidRPr="0069589D">
        <w:rPr>
          <w:i/>
          <w:iCs/>
          <w:lang w:val="fr-BE"/>
        </w:rPr>
        <w:t xml:space="preserve">Deutsche </w:t>
      </w:r>
      <w:proofErr w:type="spellStart"/>
      <w:r w:rsidRPr="0069589D">
        <w:rPr>
          <w:i/>
          <w:iCs/>
          <w:lang w:val="fr-BE"/>
        </w:rPr>
        <w:t>Umwelthilfe</w:t>
      </w:r>
      <w:proofErr w:type="spellEnd"/>
      <w:r w:rsidRPr="0069589D">
        <w:rPr>
          <w:lang w:val="fr-BE"/>
        </w:rPr>
        <w:t xml:space="preserve"> </w:t>
      </w:r>
      <w:r w:rsidR="00925372" w:rsidRPr="0069589D">
        <w:rPr>
          <w:lang w:val="fr-BE"/>
        </w:rPr>
        <w:t>ECLI:</w:t>
      </w:r>
      <w:r w:rsidRPr="0069589D">
        <w:rPr>
          <w:lang w:val="fr-BE"/>
        </w:rPr>
        <w:t>EU:C:2019:1114, para 54.</w:t>
      </w:r>
    </w:p>
  </w:footnote>
  <w:footnote w:id="6">
    <w:p w14:paraId="02D302E8" w14:textId="3948A052" w:rsidR="005B4A0C" w:rsidRPr="0069589D" w:rsidRDefault="005B4A0C" w:rsidP="005B4A0C">
      <w:pPr>
        <w:pStyle w:val="FootnoteText"/>
        <w:jc w:val="both"/>
        <w:rPr>
          <w:lang w:val="fr-BE"/>
        </w:rPr>
      </w:pPr>
      <w:r w:rsidRPr="008D2F4A">
        <w:rPr>
          <w:rStyle w:val="FootnoteReference"/>
        </w:rPr>
        <w:footnoteRef/>
      </w:r>
      <w:r w:rsidRPr="0069589D">
        <w:rPr>
          <w:lang w:val="fr-BE"/>
        </w:rPr>
        <w:t xml:space="preserve"> Opinion of AG </w:t>
      </w:r>
      <w:proofErr w:type="spellStart"/>
      <w:r w:rsidRPr="0069589D">
        <w:rPr>
          <w:lang w:val="fr-BE"/>
        </w:rPr>
        <w:t>Kokott</w:t>
      </w:r>
      <w:proofErr w:type="spellEnd"/>
      <w:r w:rsidRPr="0069589D">
        <w:rPr>
          <w:lang w:val="fr-BE"/>
        </w:rPr>
        <w:t xml:space="preserve"> in Case C-61/21 </w:t>
      </w:r>
      <w:r w:rsidRPr="0069589D">
        <w:rPr>
          <w:i/>
          <w:iCs/>
          <w:lang w:val="fr-BE"/>
        </w:rPr>
        <w:t>Ministre de la Transition écologique and Premier Ministre (Responsabilité de l’Etat pour la pollution de l’air)</w:t>
      </w:r>
      <w:r w:rsidRPr="0069589D">
        <w:rPr>
          <w:lang w:val="fr-BE"/>
        </w:rPr>
        <w:t xml:space="preserve"> </w:t>
      </w:r>
      <w:r w:rsidR="00896529" w:rsidRPr="0069589D">
        <w:rPr>
          <w:lang w:val="fr-BE"/>
        </w:rPr>
        <w:t>ECLI:</w:t>
      </w:r>
      <w:r w:rsidRPr="0069589D">
        <w:rPr>
          <w:lang w:val="fr-BE"/>
        </w:rPr>
        <w:t>EU:C:2022:359, para 100.</w:t>
      </w:r>
    </w:p>
  </w:footnote>
  <w:footnote w:id="7">
    <w:p w14:paraId="302C8DDF" w14:textId="250EBB23" w:rsidR="00540795" w:rsidRPr="0069589D" w:rsidRDefault="00540795" w:rsidP="00540795">
      <w:pPr>
        <w:pStyle w:val="FootnoteText"/>
        <w:jc w:val="both"/>
        <w:rPr>
          <w:lang w:val="fr-BE"/>
        </w:rPr>
      </w:pPr>
      <w:r w:rsidRPr="008D2F4A">
        <w:rPr>
          <w:rStyle w:val="FootnoteReference"/>
        </w:rPr>
        <w:footnoteRef/>
      </w:r>
      <w:r w:rsidRPr="0069589D">
        <w:rPr>
          <w:lang w:val="fr-BE"/>
        </w:rPr>
        <w:t xml:space="preserve"> Case C-61/21 </w:t>
      </w:r>
      <w:r w:rsidRPr="0069589D">
        <w:rPr>
          <w:i/>
          <w:iCs/>
          <w:lang w:val="fr-BE"/>
        </w:rPr>
        <w:t>Ministre de la Transition écologique et Premier Ministre (Responsabilité de l’Etat pour la pollution de l’air)</w:t>
      </w:r>
      <w:r w:rsidRPr="0069589D">
        <w:rPr>
          <w:lang w:val="fr-BE"/>
        </w:rPr>
        <w:t xml:space="preserve"> </w:t>
      </w:r>
      <w:r w:rsidR="00896529" w:rsidRPr="0069589D">
        <w:rPr>
          <w:lang w:val="fr-BE"/>
        </w:rPr>
        <w:t>ECLI:</w:t>
      </w:r>
      <w:r w:rsidRPr="0069589D">
        <w:rPr>
          <w:lang w:val="fr-BE"/>
        </w:rPr>
        <w:t>EU:C:2022:1015.</w:t>
      </w:r>
    </w:p>
    <w:p w14:paraId="46A41A00" w14:textId="384B6ABF" w:rsidR="00540795" w:rsidRPr="0069589D" w:rsidRDefault="00540795">
      <w:pPr>
        <w:pStyle w:val="FootnoteText"/>
        <w:rPr>
          <w:lang w:val="fr-BE"/>
        </w:rPr>
      </w:pPr>
    </w:p>
  </w:footnote>
  <w:footnote w:id="8">
    <w:p w14:paraId="07C253ED" w14:textId="272C375B" w:rsidR="005B4A0C" w:rsidRPr="00330981" w:rsidRDefault="005B4A0C" w:rsidP="005B4A0C">
      <w:pPr>
        <w:pStyle w:val="FootnoteText"/>
        <w:jc w:val="both"/>
      </w:pPr>
      <w:r w:rsidRPr="008D2F4A">
        <w:rPr>
          <w:rStyle w:val="FootnoteReference"/>
        </w:rPr>
        <w:footnoteRef/>
      </w:r>
      <w:r w:rsidRPr="008D2F4A">
        <w:t xml:space="preserve"> See further, </w:t>
      </w:r>
      <w:proofErr w:type="spellStart"/>
      <w:r w:rsidRPr="008D2F4A">
        <w:t>e</w:t>
      </w:r>
      <w:r w:rsidR="00944563" w:rsidRPr="008D2F4A">
        <w:t>g</w:t>
      </w:r>
      <w:proofErr w:type="spellEnd"/>
      <w:r w:rsidRPr="008D2F4A">
        <w:t xml:space="preserve">, </w:t>
      </w:r>
      <w:r w:rsidR="009255F0" w:rsidRPr="008D2F4A">
        <w:t xml:space="preserve">Koen </w:t>
      </w:r>
      <w:proofErr w:type="spellStart"/>
      <w:r w:rsidRPr="008D2F4A">
        <w:t>Lenaerts</w:t>
      </w:r>
      <w:proofErr w:type="spellEnd"/>
      <w:r w:rsidR="009255F0" w:rsidRPr="008D2F4A">
        <w:t xml:space="preserve"> and Tim </w:t>
      </w:r>
      <w:proofErr w:type="spellStart"/>
      <w:r w:rsidR="009255F0" w:rsidRPr="008D2F4A">
        <w:t>Corthaut</w:t>
      </w:r>
      <w:proofErr w:type="spellEnd"/>
      <w:r w:rsidRPr="008D2F4A">
        <w:t xml:space="preserve">, </w:t>
      </w:r>
      <w:r w:rsidR="00944563" w:rsidRPr="008D2F4A">
        <w:t>‘</w:t>
      </w:r>
      <w:r w:rsidR="00A356D7" w:rsidRPr="008D2F4A">
        <w:t xml:space="preserve">Of </w:t>
      </w:r>
      <w:r w:rsidRPr="008D2F4A">
        <w:t>Birds and Hedges: The Role of Primacy in Invoking Norms of EU Law</w:t>
      </w:r>
      <w:r w:rsidR="00944563" w:rsidRPr="008D2F4A">
        <w:t>’</w:t>
      </w:r>
      <w:r w:rsidRPr="008D2F4A">
        <w:t xml:space="preserve"> (2006) 31 E</w:t>
      </w:r>
      <w:r w:rsidR="008640D1" w:rsidRPr="008D2F4A">
        <w:t>uropean Law Review</w:t>
      </w:r>
      <w:r w:rsidRPr="008D2F4A">
        <w:t xml:space="preserve"> 287; </w:t>
      </w:r>
      <w:r w:rsidR="008640D1" w:rsidRPr="008D2F4A">
        <w:t xml:space="preserve">Michael </w:t>
      </w:r>
      <w:r w:rsidRPr="008D2F4A">
        <w:t xml:space="preserve">Dougan, </w:t>
      </w:r>
      <w:r w:rsidR="008640D1" w:rsidRPr="008D2F4A">
        <w:t>‘</w:t>
      </w:r>
      <w:r w:rsidRPr="008D2F4A">
        <w:t>When Worlds Collide! Competing Visions of the Relationship between Direct Effect and Primacy</w:t>
      </w:r>
      <w:r w:rsidR="00507A72" w:rsidRPr="008D2F4A">
        <w:t>’</w:t>
      </w:r>
      <w:r w:rsidRPr="008D2F4A">
        <w:t xml:space="preserve"> (2007) 44 </w:t>
      </w:r>
      <w:r w:rsidR="00507A72" w:rsidRPr="008D2F4A">
        <w:t>Common Market Law Review</w:t>
      </w:r>
      <w:r w:rsidRPr="008D2F4A">
        <w:t xml:space="preserve"> 931; </w:t>
      </w:r>
      <w:proofErr w:type="spellStart"/>
      <w:r w:rsidRPr="008D2F4A">
        <w:t>Eilmansberger</w:t>
      </w:r>
      <w:proofErr w:type="spellEnd"/>
      <w:r w:rsidR="00CA3FEA" w:rsidRPr="008D2F4A">
        <w:t xml:space="preserve"> (n 4)</w:t>
      </w:r>
      <w:r w:rsidRPr="008D2F4A">
        <w:t xml:space="preserve">; </w:t>
      </w:r>
      <w:r w:rsidR="00C87E17" w:rsidRPr="008D2F4A">
        <w:t xml:space="preserve">Michael </w:t>
      </w:r>
      <w:r w:rsidRPr="008D2F4A">
        <w:t xml:space="preserve">Dougan, </w:t>
      </w:r>
      <w:r w:rsidR="00C87E17" w:rsidRPr="008D2F4A">
        <w:t>‘</w:t>
      </w:r>
      <w:r w:rsidRPr="008D2F4A">
        <w:t xml:space="preserve">Addressing Issues of Protective Scope within the </w:t>
      </w:r>
      <w:r w:rsidRPr="008D2F4A">
        <w:rPr>
          <w:i/>
          <w:iCs/>
        </w:rPr>
        <w:t>Francovich</w:t>
      </w:r>
      <w:r w:rsidRPr="008D2F4A">
        <w:t xml:space="preserve"> Right to Reparation</w:t>
      </w:r>
      <w:r w:rsidR="00C87E17" w:rsidRPr="008D2F4A">
        <w:t>’</w:t>
      </w:r>
      <w:r w:rsidRPr="008D2F4A">
        <w:t xml:space="preserve"> (2017) 13 E</w:t>
      </w:r>
      <w:r w:rsidR="003E350F" w:rsidRPr="008D2F4A">
        <w:t>uropean Constitutional Law Review</w:t>
      </w:r>
      <w:r w:rsidRPr="008D2F4A">
        <w:t xml:space="preserve"> 124.</w:t>
      </w:r>
    </w:p>
  </w:footnote>
  <w:footnote w:id="9">
    <w:p w14:paraId="6DE3911D" w14:textId="6A694987" w:rsidR="00A0309B" w:rsidRPr="008D2F4A" w:rsidRDefault="00A0309B" w:rsidP="00A0309B">
      <w:pPr>
        <w:pStyle w:val="FootnoteText"/>
        <w:jc w:val="both"/>
      </w:pPr>
      <w:r w:rsidRPr="008D2F4A">
        <w:rPr>
          <w:rStyle w:val="FootnoteReference"/>
        </w:rPr>
        <w:footnoteRef/>
      </w:r>
      <w:r w:rsidRPr="008D2F4A">
        <w:t xml:space="preserve"> See </w:t>
      </w:r>
      <w:proofErr w:type="spellStart"/>
      <w:r w:rsidRPr="008D2F4A">
        <w:t>eg</w:t>
      </w:r>
      <w:proofErr w:type="spellEnd"/>
      <w:r w:rsidRPr="008D2F4A">
        <w:t xml:space="preserve">, </w:t>
      </w:r>
      <w:r w:rsidR="00C00D4B" w:rsidRPr="008D2F4A">
        <w:t xml:space="preserve">Jasper </w:t>
      </w:r>
      <w:proofErr w:type="spellStart"/>
      <w:r w:rsidRPr="008D2F4A">
        <w:t>Krommendijk</w:t>
      </w:r>
      <w:proofErr w:type="spellEnd"/>
      <w:r w:rsidRPr="008D2F4A">
        <w:t xml:space="preserve"> and </w:t>
      </w:r>
      <w:r w:rsidR="00C00D4B" w:rsidRPr="008D2F4A">
        <w:t xml:space="preserve">Dirk </w:t>
      </w:r>
      <w:proofErr w:type="spellStart"/>
      <w:r w:rsidRPr="008D2F4A">
        <w:t>Sanderink</w:t>
      </w:r>
      <w:proofErr w:type="spellEnd"/>
      <w:r w:rsidRPr="008D2F4A">
        <w:t xml:space="preserve">, </w:t>
      </w:r>
      <w:r w:rsidR="00C00D4B" w:rsidRPr="008D2F4A">
        <w:t>‘</w:t>
      </w:r>
      <w:r w:rsidRPr="008D2F4A">
        <w:t>The Role of Fundamental Rights in the Environmental Case Law of the CJEU</w:t>
      </w:r>
      <w:r w:rsidR="00C00D4B" w:rsidRPr="008D2F4A">
        <w:t>’</w:t>
      </w:r>
      <w:r w:rsidRPr="008D2F4A">
        <w:t xml:space="preserve"> (2023) 2 European Law Open 616, esp</w:t>
      </w:r>
      <w:r w:rsidR="00654D2C" w:rsidRPr="008D2F4A">
        <w:t>ecially</w:t>
      </w:r>
      <w:r w:rsidRPr="008D2F4A">
        <w:t xml:space="preserve"> 618</w:t>
      </w:r>
      <w:r w:rsidR="00654D2C" w:rsidRPr="008D2F4A">
        <w:t>ff</w:t>
      </w:r>
      <w:r w:rsidRPr="00EC64B6">
        <w:t xml:space="preserve">; </w:t>
      </w:r>
      <w:r w:rsidR="00EC64B6">
        <w:t xml:space="preserve">Patrick </w:t>
      </w:r>
      <w:proofErr w:type="spellStart"/>
      <w:r w:rsidRPr="00EC64B6">
        <w:t>Thieffry</w:t>
      </w:r>
      <w:proofErr w:type="spellEnd"/>
      <w:r w:rsidRPr="00EC64B6">
        <w:t>,</w:t>
      </w:r>
      <w:r w:rsidRPr="00EC64B6">
        <w:rPr>
          <w:color w:val="0D0D0D"/>
          <w:sz w:val="24"/>
          <w:szCs w:val="24"/>
        </w:rPr>
        <w:t xml:space="preserve"> </w:t>
      </w:r>
      <w:r w:rsidR="00EC64B6">
        <w:t>‘</w:t>
      </w:r>
      <w:r w:rsidRPr="00EC64B6">
        <w:t xml:space="preserve">La Montée en Puissance (en Trompe </w:t>
      </w:r>
      <w:proofErr w:type="spellStart"/>
      <w:r w:rsidRPr="00EC64B6">
        <w:t>l’Oeil</w:t>
      </w:r>
      <w:proofErr w:type="spellEnd"/>
      <w:r w:rsidRPr="00EC64B6">
        <w:t xml:space="preserve">?) de la </w:t>
      </w:r>
      <w:proofErr w:type="spellStart"/>
      <w:r w:rsidRPr="00EC64B6">
        <w:t>Charte</w:t>
      </w:r>
      <w:proofErr w:type="spellEnd"/>
      <w:r w:rsidRPr="00EC64B6">
        <w:t xml:space="preserve"> des Droits </w:t>
      </w:r>
      <w:proofErr w:type="spellStart"/>
      <w:r w:rsidRPr="00EC64B6">
        <w:t>Fondamentaux</w:t>
      </w:r>
      <w:proofErr w:type="spellEnd"/>
      <w:r w:rsidRPr="00EC64B6">
        <w:t xml:space="preserve"> en Matière </w:t>
      </w:r>
      <w:proofErr w:type="spellStart"/>
      <w:r w:rsidRPr="00EC64B6">
        <w:t>Environmentale</w:t>
      </w:r>
      <w:proofErr w:type="spellEnd"/>
      <w:r w:rsidR="00EC64B6">
        <w:t>’</w:t>
      </w:r>
      <w:r w:rsidRPr="00EC64B6">
        <w:t xml:space="preserve"> (2020) </w:t>
      </w:r>
      <w:r w:rsidR="00EC64B6" w:rsidRPr="00EC64B6">
        <w:t xml:space="preserve">Revue </w:t>
      </w:r>
      <w:proofErr w:type="spellStart"/>
      <w:r w:rsidR="00EC64B6" w:rsidRPr="00EC64B6">
        <w:t>Trimestrielle</w:t>
      </w:r>
      <w:proofErr w:type="spellEnd"/>
      <w:r w:rsidR="00EC64B6" w:rsidRPr="00EC64B6">
        <w:t xml:space="preserve"> de Droit </w:t>
      </w:r>
      <w:proofErr w:type="spellStart"/>
      <w:r w:rsidR="00EC64B6" w:rsidRPr="00EC64B6">
        <w:t>Européen</w:t>
      </w:r>
      <w:proofErr w:type="spellEnd"/>
      <w:r w:rsidR="00EC64B6">
        <w:t xml:space="preserve"> </w:t>
      </w:r>
      <w:r w:rsidRPr="00EC64B6">
        <w:t>455.</w:t>
      </w:r>
    </w:p>
  </w:footnote>
  <w:footnote w:id="10">
    <w:p w14:paraId="4E4985B0" w14:textId="6436A4E5" w:rsidR="00A0309B" w:rsidRPr="008D2F4A" w:rsidRDefault="00A0309B" w:rsidP="00A0309B">
      <w:pPr>
        <w:pStyle w:val="FootnoteText"/>
        <w:jc w:val="both"/>
      </w:pPr>
      <w:r w:rsidRPr="008D2F4A">
        <w:rPr>
          <w:rStyle w:val="FootnoteReference"/>
        </w:rPr>
        <w:footnoteRef/>
      </w:r>
      <w:r w:rsidRPr="008D2F4A">
        <w:t xml:space="preserve"> Dougan</w:t>
      </w:r>
      <w:r w:rsidR="00AD07FA" w:rsidRPr="008D2F4A">
        <w:t xml:space="preserve"> </w:t>
      </w:r>
      <w:r w:rsidR="00057B98" w:rsidRPr="008D2F4A">
        <w:t xml:space="preserve">2010 </w:t>
      </w:r>
      <w:r w:rsidR="00AD07FA" w:rsidRPr="008D2F4A">
        <w:t>(n 4) 95.</w:t>
      </w:r>
    </w:p>
  </w:footnote>
  <w:footnote w:id="11">
    <w:p w14:paraId="064ECA25" w14:textId="1F60D1C4" w:rsidR="002B069A" w:rsidRPr="00330981" w:rsidRDefault="002B069A" w:rsidP="002B069A">
      <w:pPr>
        <w:pStyle w:val="FootnoteText"/>
        <w:jc w:val="both"/>
      </w:pPr>
      <w:r w:rsidRPr="008D2F4A">
        <w:rPr>
          <w:rStyle w:val="FootnoteReference"/>
        </w:rPr>
        <w:footnoteRef/>
      </w:r>
      <w:r w:rsidRPr="00330981">
        <w:t xml:space="preserve"> </w:t>
      </w:r>
      <w:r w:rsidR="004572D8" w:rsidRPr="008D2F4A">
        <w:t>Ibid</w:t>
      </w:r>
      <w:r w:rsidRPr="008D2F4A">
        <w:t xml:space="preserve"> 73.</w:t>
      </w:r>
    </w:p>
  </w:footnote>
  <w:footnote w:id="12">
    <w:p w14:paraId="6A0A83CC" w14:textId="39C60A6F" w:rsidR="005B4A0C" w:rsidRPr="00330981" w:rsidRDefault="005B4A0C" w:rsidP="005B4A0C">
      <w:pPr>
        <w:pStyle w:val="FootnoteText"/>
        <w:jc w:val="both"/>
      </w:pPr>
      <w:r w:rsidRPr="008D2F4A">
        <w:rPr>
          <w:rStyle w:val="FootnoteReference"/>
        </w:rPr>
        <w:footnoteRef/>
      </w:r>
      <w:r w:rsidRPr="00330981">
        <w:t xml:space="preserve"> Case C-361/88 </w:t>
      </w:r>
      <w:r w:rsidRPr="00330981">
        <w:rPr>
          <w:i/>
          <w:iCs/>
        </w:rPr>
        <w:t>Commission v</w:t>
      </w:r>
      <w:r w:rsidR="00E46910" w:rsidRPr="00330981">
        <w:rPr>
          <w:i/>
          <w:iCs/>
        </w:rPr>
        <w:t>.</w:t>
      </w:r>
      <w:r w:rsidRPr="00330981">
        <w:rPr>
          <w:i/>
          <w:iCs/>
        </w:rPr>
        <w:t xml:space="preserve"> Germany</w:t>
      </w:r>
      <w:r w:rsidRPr="00330981">
        <w:t xml:space="preserve"> </w:t>
      </w:r>
      <w:r w:rsidR="004572D8" w:rsidRPr="00330981">
        <w:t>ECLI:</w:t>
      </w:r>
      <w:r w:rsidRPr="00330981">
        <w:t>EU:C:1991:224</w:t>
      </w:r>
      <w:r w:rsidR="000B6C5C" w:rsidRPr="00330981">
        <w:t>;</w:t>
      </w:r>
      <w:r w:rsidRPr="00330981">
        <w:t xml:space="preserve"> Case C-59/89 </w:t>
      </w:r>
      <w:r w:rsidRPr="00330981">
        <w:rPr>
          <w:i/>
          <w:iCs/>
        </w:rPr>
        <w:t>Commission v</w:t>
      </w:r>
      <w:r w:rsidR="00E46910" w:rsidRPr="00330981">
        <w:rPr>
          <w:i/>
          <w:iCs/>
        </w:rPr>
        <w:t>.</w:t>
      </w:r>
      <w:r w:rsidRPr="00330981">
        <w:rPr>
          <w:i/>
          <w:iCs/>
        </w:rPr>
        <w:t xml:space="preserve"> Germany</w:t>
      </w:r>
      <w:r w:rsidRPr="00330981">
        <w:t xml:space="preserve"> </w:t>
      </w:r>
      <w:r w:rsidR="000B6C5C" w:rsidRPr="00330981">
        <w:t>ECLI:</w:t>
      </w:r>
      <w:r w:rsidRPr="00330981">
        <w:t xml:space="preserve">EU:C:1991:225; Case C-58/89 </w:t>
      </w:r>
      <w:r w:rsidRPr="00330981">
        <w:rPr>
          <w:i/>
          <w:iCs/>
        </w:rPr>
        <w:t>Commission v</w:t>
      </w:r>
      <w:r w:rsidR="00E46910" w:rsidRPr="00330981">
        <w:rPr>
          <w:i/>
          <w:iCs/>
        </w:rPr>
        <w:t xml:space="preserve">. </w:t>
      </w:r>
      <w:r w:rsidRPr="00330981">
        <w:rPr>
          <w:i/>
          <w:iCs/>
        </w:rPr>
        <w:t>Germany</w:t>
      </w:r>
      <w:r w:rsidRPr="00330981">
        <w:t xml:space="preserve"> </w:t>
      </w:r>
      <w:r w:rsidR="000B6C5C" w:rsidRPr="00330981">
        <w:t>ECLI:</w:t>
      </w:r>
      <w:r w:rsidRPr="00330981">
        <w:t>EU:C:1991:391.</w:t>
      </w:r>
      <w:r w:rsidR="008C4F2C" w:rsidRPr="00330981">
        <w:t xml:space="preserve"> See also Case C-72/95 </w:t>
      </w:r>
      <w:proofErr w:type="spellStart"/>
      <w:r w:rsidR="008C4F2C" w:rsidRPr="00330981">
        <w:rPr>
          <w:i/>
          <w:iCs/>
        </w:rPr>
        <w:t>Kraaijeveld</w:t>
      </w:r>
      <w:proofErr w:type="spellEnd"/>
      <w:r w:rsidR="008C4F2C" w:rsidRPr="00330981">
        <w:rPr>
          <w:i/>
          <w:iCs/>
        </w:rPr>
        <w:t xml:space="preserve"> and Others</w:t>
      </w:r>
      <w:r w:rsidR="008C4F2C" w:rsidRPr="00330981">
        <w:t xml:space="preserve"> </w:t>
      </w:r>
      <w:r w:rsidR="000B6C5C" w:rsidRPr="00330981">
        <w:t>ECLI:</w:t>
      </w:r>
      <w:r w:rsidR="008C4F2C" w:rsidRPr="00330981">
        <w:t xml:space="preserve">EU:C:1996:404, para 56. </w:t>
      </w:r>
    </w:p>
  </w:footnote>
  <w:footnote w:id="13">
    <w:p w14:paraId="306F0CEA" w14:textId="7D8B28A6" w:rsidR="005B4A0C" w:rsidRPr="008D2F4A" w:rsidRDefault="005B4A0C" w:rsidP="005B4A0C">
      <w:pPr>
        <w:pStyle w:val="FootnoteText"/>
        <w:jc w:val="both"/>
      </w:pPr>
      <w:r w:rsidRPr="008D2F4A">
        <w:rPr>
          <w:rStyle w:val="FootnoteReference"/>
        </w:rPr>
        <w:footnoteRef/>
      </w:r>
      <w:r w:rsidRPr="008D2F4A">
        <w:t xml:space="preserve"> Council Directive 80/779/EEC of 15 July 1980 on air quality limit values and guide values for sulphur dioxide and suspended particulates </w:t>
      </w:r>
      <w:r w:rsidR="00693B89" w:rsidRPr="008D2F4A">
        <w:t>[</w:t>
      </w:r>
      <w:r w:rsidRPr="008D2F4A">
        <w:t>1980</w:t>
      </w:r>
      <w:r w:rsidR="00693B89" w:rsidRPr="008D2F4A">
        <w:t>]</w:t>
      </w:r>
      <w:r w:rsidRPr="008D2F4A">
        <w:t xml:space="preserve"> OJ L229/30.</w:t>
      </w:r>
    </w:p>
  </w:footnote>
  <w:footnote w:id="14">
    <w:p w14:paraId="2F4F44C0" w14:textId="5EA370D3" w:rsidR="005B4A0C" w:rsidRPr="008D2F4A" w:rsidRDefault="005B4A0C" w:rsidP="005B4A0C">
      <w:pPr>
        <w:pStyle w:val="FootnoteText"/>
        <w:jc w:val="both"/>
      </w:pPr>
      <w:r w:rsidRPr="008D2F4A">
        <w:rPr>
          <w:rStyle w:val="FootnoteReference"/>
        </w:rPr>
        <w:footnoteRef/>
      </w:r>
      <w:r w:rsidRPr="008D2F4A">
        <w:t xml:space="preserve"> Council Directive 82/884/EEC of 3 December 1982 on a limit value for lead in the air </w:t>
      </w:r>
      <w:r w:rsidR="00693B89" w:rsidRPr="008D2F4A">
        <w:t>[</w:t>
      </w:r>
      <w:r w:rsidRPr="008D2F4A">
        <w:t>1982</w:t>
      </w:r>
      <w:r w:rsidR="00693B89" w:rsidRPr="008D2F4A">
        <w:t>]</w:t>
      </w:r>
      <w:r w:rsidRPr="008D2F4A">
        <w:t xml:space="preserve"> OJ L378/15. </w:t>
      </w:r>
    </w:p>
  </w:footnote>
  <w:footnote w:id="15">
    <w:p w14:paraId="0F0D4821" w14:textId="3F2C26B2" w:rsidR="005B4A0C" w:rsidRPr="008D2F4A" w:rsidRDefault="005B4A0C" w:rsidP="005B4A0C">
      <w:pPr>
        <w:pStyle w:val="FootnoteText"/>
        <w:jc w:val="both"/>
      </w:pPr>
      <w:r w:rsidRPr="008D2F4A">
        <w:rPr>
          <w:rStyle w:val="FootnoteReference"/>
        </w:rPr>
        <w:footnoteRef/>
      </w:r>
      <w:r w:rsidRPr="008D2F4A">
        <w:t xml:space="preserve"> Council Directive 75/440/EEC of 16 June 1975 concerning the quality required of surface water intended for the abstraction of drinking water in the Member States </w:t>
      </w:r>
      <w:r w:rsidR="00693B89" w:rsidRPr="008D2F4A">
        <w:t>[</w:t>
      </w:r>
      <w:r w:rsidRPr="008D2F4A">
        <w:t>1975</w:t>
      </w:r>
      <w:r w:rsidR="00693B89" w:rsidRPr="008D2F4A">
        <w:t>]</w:t>
      </w:r>
      <w:r w:rsidRPr="008D2F4A">
        <w:t xml:space="preserve"> OJ L194/26.</w:t>
      </w:r>
    </w:p>
  </w:footnote>
  <w:footnote w:id="16">
    <w:p w14:paraId="0B94CD51" w14:textId="5ECD706D" w:rsidR="005B4A0C" w:rsidRPr="008D2F4A" w:rsidRDefault="005B4A0C" w:rsidP="005B4A0C">
      <w:pPr>
        <w:pStyle w:val="FootnoteText"/>
      </w:pPr>
      <w:r w:rsidRPr="008D2F4A">
        <w:rPr>
          <w:rStyle w:val="FootnoteReference"/>
        </w:rPr>
        <w:footnoteRef/>
      </w:r>
      <w:r w:rsidRPr="008D2F4A">
        <w:t xml:space="preserve"> Case C-361/88</w:t>
      </w:r>
      <w:r w:rsidR="00823A49" w:rsidRPr="008D2F4A">
        <w:t xml:space="preserve"> </w:t>
      </w:r>
      <w:r w:rsidRPr="008D2F4A">
        <w:rPr>
          <w:i/>
          <w:iCs/>
        </w:rPr>
        <w:t>Commission v Germany</w:t>
      </w:r>
      <w:r w:rsidR="003367C5" w:rsidRPr="008D2F4A">
        <w:t xml:space="preserve"> (n 12)</w:t>
      </w:r>
      <w:r w:rsidRPr="008D2F4A">
        <w:t xml:space="preserve"> para 21. </w:t>
      </w:r>
    </w:p>
  </w:footnote>
  <w:footnote w:id="17">
    <w:p w14:paraId="66956029" w14:textId="0A5EF133" w:rsidR="005B4A0C" w:rsidRPr="008D2F4A" w:rsidRDefault="005B4A0C" w:rsidP="005B4A0C">
      <w:pPr>
        <w:pStyle w:val="FootnoteText"/>
        <w:jc w:val="both"/>
      </w:pPr>
      <w:r w:rsidRPr="008D2F4A">
        <w:rPr>
          <w:rStyle w:val="FootnoteReference"/>
        </w:rPr>
        <w:footnoteRef/>
      </w:r>
      <w:r w:rsidRPr="008D2F4A">
        <w:t xml:space="preserve"> Ibid para 15.</w:t>
      </w:r>
    </w:p>
  </w:footnote>
  <w:footnote w:id="18">
    <w:p w14:paraId="0B96E688" w14:textId="7757DEB5" w:rsidR="005B4A0C" w:rsidRPr="008D2F4A" w:rsidRDefault="005B4A0C" w:rsidP="005B4A0C">
      <w:pPr>
        <w:pStyle w:val="FootnoteText"/>
        <w:jc w:val="both"/>
      </w:pPr>
      <w:r w:rsidRPr="008D2F4A">
        <w:rPr>
          <w:rStyle w:val="FootnoteReference"/>
        </w:rPr>
        <w:footnoteRef/>
      </w:r>
      <w:r w:rsidRPr="008D2F4A">
        <w:t xml:space="preserve"> Ibid para 16.</w:t>
      </w:r>
    </w:p>
  </w:footnote>
  <w:footnote w:id="19">
    <w:p w14:paraId="37169685" w14:textId="1F8D58FF" w:rsidR="005B4A0C" w:rsidRPr="00330981" w:rsidRDefault="005B4A0C" w:rsidP="005B4A0C">
      <w:pPr>
        <w:spacing w:after="0"/>
        <w:jc w:val="both"/>
      </w:pPr>
      <w:r w:rsidRPr="008D2F4A">
        <w:rPr>
          <w:rStyle w:val="FootnoteReference"/>
        </w:rPr>
        <w:footnoteRef/>
      </w:r>
      <w:r w:rsidRPr="00330981">
        <w:t xml:space="preserve"> Opinion of AG Wahl in Case C-33/17 </w:t>
      </w:r>
      <w:proofErr w:type="spellStart"/>
      <w:r w:rsidRPr="00330981">
        <w:rPr>
          <w:i/>
          <w:iCs/>
          <w:color w:val="000000"/>
        </w:rPr>
        <w:t>Čepelnik</w:t>
      </w:r>
      <w:proofErr w:type="spellEnd"/>
      <w:r w:rsidRPr="00330981">
        <w:rPr>
          <w:bCs/>
          <w:color w:val="000000"/>
        </w:rPr>
        <w:t xml:space="preserve"> </w:t>
      </w:r>
      <w:r w:rsidR="006E5A6D" w:rsidRPr="00330981">
        <w:rPr>
          <w:bCs/>
          <w:color w:val="000000"/>
        </w:rPr>
        <w:t>ECLI:</w:t>
      </w:r>
      <w:r w:rsidRPr="00330981">
        <w:rPr>
          <w:bCs/>
          <w:color w:val="000000"/>
        </w:rPr>
        <w:t xml:space="preserve">EU:C:2018:311, para 97. </w:t>
      </w:r>
    </w:p>
  </w:footnote>
  <w:footnote w:id="20">
    <w:p w14:paraId="78993F1C" w14:textId="1739B4F4" w:rsidR="005B4A0C" w:rsidRPr="0069589D" w:rsidRDefault="005B4A0C" w:rsidP="005B4A0C">
      <w:pPr>
        <w:spacing w:after="0"/>
        <w:jc w:val="both"/>
        <w:rPr>
          <w:lang w:val="fr-BE"/>
        </w:rPr>
      </w:pPr>
      <w:r w:rsidRPr="008D2F4A">
        <w:rPr>
          <w:rStyle w:val="FootnoteReference"/>
        </w:rPr>
        <w:footnoteRef/>
      </w:r>
      <w:r w:rsidRPr="0069589D">
        <w:rPr>
          <w:lang w:val="fr-BE"/>
        </w:rPr>
        <w:t xml:space="preserve"> </w:t>
      </w:r>
      <w:r w:rsidRPr="0069589D">
        <w:rPr>
          <w:bCs/>
          <w:color w:val="000000"/>
          <w:lang w:val="fr-BE"/>
        </w:rPr>
        <w:t xml:space="preserve">Opinion of AG </w:t>
      </w:r>
      <w:proofErr w:type="spellStart"/>
      <w:r w:rsidRPr="0069589D">
        <w:rPr>
          <w:bCs/>
          <w:color w:val="000000"/>
          <w:lang w:val="fr-BE"/>
        </w:rPr>
        <w:t>Bobek</w:t>
      </w:r>
      <w:proofErr w:type="spellEnd"/>
      <w:r w:rsidRPr="0069589D">
        <w:rPr>
          <w:bCs/>
          <w:color w:val="000000"/>
          <w:lang w:val="fr-BE"/>
        </w:rPr>
        <w:t xml:space="preserve"> in Case C-403/16 </w:t>
      </w:r>
      <w:r w:rsidRPr="0069589D">
        <w:rPr>
          <w:bCs/>
          <w:i/>
          <w:iCs/>
          <w:color w:val="000000"/>
          <w:lang w:val="fr-BE"/>
        </w:rPr>
        <w:t>El Hassani</w:t>
      </w:r>
      <w:r w:rsidRPr="0069589D">
        <w:rPr>
          <w:bCs/>
          <w:color w:val="000000"/>
          <w:lang w:val="fr-BE"/>
        </w:rPr>
        <w:t xml:space="preserve"> </w:t>
      </w:r>
      <w:r w:rsidR="00492661" w:rsidRPr="0069589D">
        <w:rPr>
          <w:bCs/>
          <w:color w:val="000000"/>
          <w:lang w:val="fr-BE"/>
        </w:rPr>
        <w:t>ECLI:</w:t>
      </w:r>
      <w:r w:rsidRPr="0069589D">
        <w:rPr>
          <w:bCs/>
          <w:color w:val="000000"/>
          <w:lang w:val="fr-BE"/>
        </w:rPr>
        <w:t xml:space="preserve">EU:C:2017:659, para 82; Opinion of AG </w:t>
      </w:r>
      <w:proofErr w:type="spellStart"/>
      <w:r w:rsidRPr="0069589D">
        <w:rPr>
          <w:bCs/>
          <w:color w:val="000000"/>
          <w:lang w:val="fr-BE"/>
        </w:rPr>
        <w:t>Kokott</w:t>
      </w:r>
      <w:proofErr w:type="spellEnd"/>
      <w:r w:rsidRPr="0069589D">
        <w:rPr>
          <w:bCs/>
          <w:color w:val="000000"/>
          <w:lang w:val="fr-BE"/>
        </w:rPr>
        <w:t xml:space="preserve"> in </w:t>
      </w:r>
      <w:r w:rsidRPr="0069589D">
        <w:rPr>
          <w:bCs/>
          <w:i/>
          <w:iCs/>
          <w:color w:val="000000"/>
          <w:lang w:val="fr-BE"/>
        </w:rPr>
        <w:t>Ministre de la Transition écologique and Premier Ministre (Responsabilité de l'État pour la pollution de l'air)</w:t>
      </w:r>
      <w:r w:rsidRPr="0069589D">
        <w:rPr>
          <w:bCs/>
          <w:color w:val="000000"/>
          <w:lang w:val="fr-BE"/>
        </w:rPr>
        <w:t xml:space="preserve"> </w:t>
      </w:r>
      <w:r w:rsidR="007825AD" w:rsidRPr="0069589D">
        <w:rPr>
          <w:bCs/>
          <w:color w:val="000000"/>
          <w:lang w:val="fr-BE"/>
        </w:rPr>
        <w:t xml:space="preserve">(n 6) </w:t>
      </w:r>
      <w:r w:rsidRPr="0069589D">
        <w:rPr>
          <w:bCs/>
          <w:color w:val="000000"/>
          <w:lang w:val="fr-BE"/>
        </w:rPr>
        <w:t>paras 95ff.</w:t>
      </w:r>
    </w:p>
  </w:footnote>
  <w:footnote w:id="21">
    <w:p w14:paraId="3F273C84" w14:textId="32D9BE26" w:rsidR="005C7996" w:rsidRPr="0069589D" w:rsidRDefault="005C7996">
      <w:pPr>
        <w:pStyle w:val="FootnoteText"/>
        <w:rPr>
          <w:lang w:val="fr-BE"/>
        </w:rPr>
      </w:pPr>
      <w:r w:rsidRPr="008D2F4A">
        <w:rPr>
          <w:rStyle w:val="FootnoteReference"/>
        </w:rPr>
        <w:footnoteRef/>
      </w:r>
      <w:r w:rsidRPr="0069589D">
        <w:rPr>
          <w:lang w:val="fr-BE"/>
        </w:rPr>
        <w:t xml:space="preserve"> </w:t>
      </w:r>
      <w:proofErr w:type="spellStart"/>
      <w:r w:rsidR="007927B9" w:rsidRPr="0069589D">
        <w:rPr>
          <w:lang w:val="fr-BE"/>
        </w:rPr>
        <w:t>See</w:t>
      </w:r>
      <w:proofErr w:type="spellEnd"/>
      <w:r w:rsidR="007927B9" w:rsidRPr="0069589D">
        <w:rPr>
          <w:lang w:val="fr-BE"/>
        </w:rPr>
        <w:t xml:space="preserve"> </w:t>
      </w:r>
      <w:proofErr w:type="spellStart"/>
      <w:r w:rsidR="007927B9" w:rsidRPr="0069589D">
        <w:rPr>
          <w:lang w:val="fr-BE"/>
        </w:rPr>
        <w:t>eg</w:t>
      </w:r>
      <w:proofErr w:type="spellEnd"/>
      <w:r w:rsidR="007927B9" w:rsidRPr="0069589D">
        <w:rPr>
          <w:lang w:val="fr-BE"/>
        </w:rPr>
        <w:t xml:space="preserve">, Case C-240/09 </w:t>
      </w:r>
      <w:proofErr w:type="spellStart"/>
      <w:r w:rsidR="007927B9" w:rsidRPr="0069589D">
        <w:rPr>
          <w:i/>
          <w:iCs/>
          <w:lang w:val="fr-BE"/>
        </w:rPr>
        <w:t>Lesoochranárske</w:t>
      </w:r>
      <w:proofErr w:type="spellEnd"/>
      <w:r w:rsidR="007927B9" w:rsidRPr="0069589D">
        <w:rPr>
          <w:i/>
          <w:iCs/>
          <w:lang w:val="fr-BE"/>
        </w:rPr>
        <w:t xml:space="preserve"> </w:t>
      </w:r>
      <w:proofErr w:type="spellStart"/>
      <w:r w:rsidR="007927B9" w:rsidRPr="0069589D">
        <w:rPr>
          <w:i/>
          <w:iCs/>
          <w:lang w:val="fr-BE"/>
        </w:rPr>
        <w:t>zoskupenie</w:t>
      </w:r>
      <w:proofErr w:type="spellEnd"/>
      <w:r w:rsidR="007927B9" w:rsidRPr="0069589D">
        <w:rPr>
          <w:lang w:val="fr-BE"/>
        </w:rPr>
        <w:t xml:space="preserve"> </w:t>
      </w:r>
      <w:r w:rsidR="0093310C" w:rsidRPr="0069589D">
        <w:rPr>
          <w:lang w:val="fr-BE"/>
        </w:rPr>
        <w:t>ECLI:</w:t>
      </w:r>
      <w:r w:rsidR="007927B9" w:rsidRPr="0069589D">
        <w:rPr>
          <w:lang w:val="fr-BE"/>
        </w:rPr>
        <w:t xml:space="preserve">EU:C:2011:125; Case C-243/15 </w:t>
      </w:r>
      <w:proofErr w:type="spellStart"/>
      <w:r w:rsidR="007927B9" w:rsidRPr="0069589D">
        <w:rPr>
          <w:i/>
          <w:iCs/>
          <w:lang w:val="fr-BE"/>
        </w:rPr>
        <w:t>Lesoochranárske</w:t>
      </w:r>
      <w:proofErr w:type="spellEnd"/>
      <w:r w:rsidR="007927B9" w:rsidRPr="0069589D">
        <w:rPr>
          <w:i/>
          <w:iCs/>
          <w:lang w:val="fr-BE"/>
        </w:rPr>
        <w:t xml:space="preserve"> </w:t>
      </w:r>
      <w:proofErr w:type="spellStart"/>
      <w:r w:rsidR="007927B9" w:rsidRPr="0069589D">
        <w:rPr>
          <w:i/>
          <w:iCs/>
          <w:lang w:val="fr-BE"/>
        </w:rPr>
        <w:t>zoskupenie</w:t>
      </w:r>
      <w:proofErr w:type="spellEnd"/>
      <w:r w:rsidR="007927B9" w:rsidRPr="0069589D">
        <w:rPr>
          <w:i/>
          <w:iCs/>
          <w:lang w:val="fr-BE"/>
        </w:rPr>
        <w:t xml:space="preserve"> VLK</w:t>
      </w:r>
      <w:r w:rsidR="007927B9" w:rsidRPr="0069589D">
        <w:rPr>
          <w:lang w:val="fr-BE"/>
        </w:rPr>
        <w:t xml:space="preserve"> </w:t>
      </w:r>
      <w:r w:rsidR="0093310C" w:rsidRPr="0069589D">
        <w:rPr>
          <w:lang w:val="fr-BE"/>
        </w:rPr>
        <w:t>ECLI:</w:t>
      </w:r>
      <w:r w:rsidR="007927B9" w:rsidRPr="0069589D">
        <w:rPr>
          <w:lang w:val="fr-BE"/>
        </w:rPr>
        <w:t xml:space="preserve">EU:C:2016:838; Case C-664/15 </w:t>
      </w:r>
      <w:proofErr w:type="spellStart"/>
      <w:r w:rsidR="007927B9" w:rsidRPr="0069589D">
        <w:rPr>
          <w:i/>
          <w:iCs/>
          <w:lang w:val="fr-BE"/>
        </w:rPr>
        <w:t>Protect</w:t>
      </w:r>
      <w:proofErr w:type="spellEnd"/>
      <w:r w:rsidR="007927B9" w:rsidRPr="0069589D">
        <w:rPr>
          <w:lang w:val="fr-BE"/>
        </w:rPr>
        <w:t xml:space="preserve"> </w:t>
      </w:r>
      <w:r w:rsidR="0093310C" w:rsidRPr="0069589D">
        <w:rPr>
          <w:lang w:val="fr-BE"/>
        </w:rPr>
        <w:t>ECLI:</w:t>
      </w:r>
      <w:r w:rsidR="007927B9" w:rsidRPr="0069589D">
        <w:rPr>
          <w:lang w:val="fr-BE"/>
        </w:rPr>
        <w:t xml:space="preserve">EU:C:2017:987; Case C-873/19 </w:t>
      </w:r>
      <w:r w:rsidR="007927B9" w:rsidRPr="0069589D">
        <w:rPr>
          <w:i/>
          <w:iCs/>
          <w:lang w:val="fr-BE"/>
        </w:rPr>
        <w:t xml:space="preserve">Deutsche </w:t>
      </w:r>
      <w:proofErr w:type="spellStart"/>
      <w:r w:rsidR="007927B9" w:rsidRPr="0069589D">
        <w:rPr>
          <w:i/>
          <w:iCs/>
          <w:lang w:val="fr-BE"/>
        </w:rPr>
        <w:t>Umwelthilfe</w:t>
      </w:r>
      <w:proofErr w:type="spellEnd"/>
      <w:r w:rsidR="007927B9" w:rsidRPr="0069589D">
        <w:rPr>
          <w:lang w:val="fr-BE"/>
        </w:rPr>
        <w:t xml:space="preserve"> </w:t>
      </w:r>
      <w:r w:rsidR="0093310C" w:rsidRPr="0069589D">
        <w:rPr>
          <w:lang w:val="fr-BE"/>
        </w:rPr>
        <w:t>ECLI:</w:t>
      </w:r>
      <w:r w:rsidR="007927B9" w:rsidRPr="0069589D">
        <w:rPr>
          <w:lang w:val="fr-BE"/>
        </w:rPr>
        <w:t>EU:C:2022:857.</w:t>
      </w:r>
    </w:p>
  </w:footnote>
  <w:footnote w:id="22">
    <w:p w14:paraId="2A170A5D" w14:textId="21F1166B" w:rsidR="005B4A0C" w:rsidRPr="00330981" w:rsidRDefault="005B4A0C" w:rsidP="005B4A0C">
      <w:pPr>
        <w:pStyle w:val="FootnoteText"/>
        <w:jc w:val="both"/>
      </w:pPr>
      <w:r w:rsidRPr="008D2F4A">
        <w:rPr>
          <w:rStyle w:val="FootnoteReference"/>
        </w:rPr>
        <w:footnoteRef/>
      </w:r>
      <w:r w:rsidRPr="00330981">
        <w:t xml:space="preserve"> See further </w:t>
      </w:r>
      <w:r w:rsidR="001F048A" w:rsidRPr="00330981">
        <w:t xml:space="preserve">Charles </w:t>
      </w:r>
      <w:r w:rsidRPr="00330981">
        <w:t xml:space="preserve">Poncelet, </w:t>
      </w:r>
      <w:r w:rsidR="001F048A" w:rsidRPr="00330981">
        <w:t>‘</w:t>
      </w:r>
      <w:r w:rsidRPr="00330981">
        <w:t>Access to Justice in Environmental Matters – Does the European Union Comply with its Obligations?</w:t>
      </w:r>
      <w:r w:rsidR="001F048A" w:rsidRPr="00330981">
        <w:t>’</w:t>
      </w:r>
      <w:r w:rsidRPr="00330981">
        <w:t xml:space="preserve"> (2012) 24 Journal of Environmental Law 287.</w:t>
      </w:r>
    </w:p>
  </w:footnote>
  <w:footnote w:id="23">
    <w:p w14:paraId="50F5488F" w14:textId="57B052AC" w:rsidR="005B4A0C" w:rsidRPr="008D2F4A" w:rsidRDefault="005B4A0C" w:rsidP="005B4A0C">
      <w:pPr>
        <w:pStyle w:val="FootnoteText"/>
        <w:jc w:val="both"/>
      </w:pPr>
      <w:r w:rsidRPr="008D2F4A">
        <w:rPr>
          <w:rStyle w:val="FootnoteReference"/>
        </w:rPr>
        <w:footnoteRef/>
      </w:r>
      <w:r w:rsidRPr="00330981">
        <w:t xml:space="preserve"> </w:t>
      </w:r>
      <w:r w:rsidRPr="008D2F4A">
        <w:t xml:space="preserve">See more on these judgments, </w:t>
      </w:r>
      <w:r w:rsidR="001E2420" w:rsidRPr="008D2F4A">
        <w:t xml:space="preserve">Maxime </w:t>
      </w:r>
      <w:r w:rsidRPr="008D2F4A">
        <w:t xml:space="preserve">Tecqmenne, </w:t>
      </w:r>
      <w:r w:rsidR="001E2420" w:rsidRPr="008D2F4A">
        <w:t>‘</w:t>
      </w:r>
      <w:r w:rsidRPr="008D2F4A">
        <w:t xml:space="preserve">Turning </w:t>
      </w:r>
      <w:r w:rsidR="001E2420" w:rsidRPr="008D2F4A">
        <w:t>“</w:t>
      </w:r>
      <w:r w:rsidRPr="008D2F4A">
        <w:t>Public Interest Litigation</w:t>
      </w:r>
      <w:r w:rsidR="001E2420" w:rsidRPr="008D2F4A">
        <w:t>”</w:t>
      </w:r>
      <w:r w:rsidRPr="008D2F4A">
        <w:t xml:space="preserve"> into a Positive Obligation Deriving from Article 47 of the Charter: </w:t>
      </w:r>
      <w:r w:rsidRPr="008D2F4A">
        <w:rPr>
          <w:i/>
          <w:iCs/>
        </w:rPr>
        <w:t xml:space="preserve">Deutsche </w:t>
      </w:r>
      <w:proofErr w:type="spellStart"/>
      <w:r w:rsidRPr="008D2F4A">
        <w:rPr>
          <w:i/>
          <w:iCs/>
        </w:rPr>
        <w:t>Umwelthilfe</w:t>
      </w:r>
      <w:proofErr w:type="spellEnd"/>
      <w:r w:rsidR="001E2420" w:rsidRPr="008D2F4A">
        <w:t>’</w:t>
      </w:r>
      <w:r w:rsidRPr="008D2F4A">
        <w:t xml:space="preserve"> (2023) 60 C</w:t>
      </w:r>
      <w:r w:rsidR="001E2420" w:rsidRPr="008D2F4A">
        <w:t>ommon Market Law Review</w:t>
      </w:r>
      <w:r w:rsidRPr="008D2F4A">
        <w:t xml:space="preserve"> 1745; </w:t>
      </w:r>
      <w:r w:rsidR="00075ACA" w:rsidRPr="008D2F4A">
        <w:t xml:space="preserve">Mariolina </w:t>
      </w:r>
      <w:r w:rsidRPr="008D2F4A">
        <w:t xml:space="preserve">Eliantonio, </w:t>
      </w:r>
      <w:r w:rsidR="002C483D" w:rsidRPr="008D2F4A">
        <w:t>‘</w:t>
      </w:r>
      <w:r w:rsidRPr="008D2F4A">
        <w:t xml:space="preserve">The Relationship between EU Secondary Rules and the Principles of Effectiveness and Effective Judicial Protection in Environmental Matters: Towards a New Dawn for the </w:t>
      </w:r>
      <w:r w:rsidR="002C483D" w:rsidRPr="008D2F4A">
        <w:t>“</w:t>
      </w:r>
      <w:r w:rsidRPr="008D2F4A">
        <w:t>Language of Rights</w:t>
      </w:r>
      <w:r w:rsidR="002C483D" w:rsidRPr="008D2F4A">
        <w:t>”</w:t>
      </w:r>
      <w:r w:rsidRPr="008D2F4A">
        <w:t>?</w:t>
      </w:r>
      <w:r w:rsidR="002C483D" w:rsidRPr="008D2F4A">
        <w:t>’</w:t>
      </w:r>
      <w:r w:rsidRPr="008D2F4A">
        <w:t xml:space="preserve"> (2019) 12 R</w:t>
      </w:r>
      <w:r w:rsidR="00075ACA" w:rsidRPr="008D2F4A">
        <w:t>eview of European Administrative Law</w:t>
      </w:r>
      <w:r w:rsidRPr="008D2F4A">
        <w:t xml:space="preserve"> 95.    </w:t>
      </w:r>
    </w:p>
  </w:footnote>
  <w:footnote w:id="24">
    <w:p w14:paraId="6CED6752" w14:textId="6AB8C2D8" w:rsidR="005B4A0C" w:rsidRPr="008D2F4A" w:rsidRDefault="005B4A0C" w:rsidP="005B4A0C">
      <w:pPr>
        <w:pStyle w:val="FootnoteText"/>
      </w:pPr>
      <w:r w:rsidRPr="008D2F4A">
        <w:rPr>
          <w:rStyle w:val="FootnoteReference"/>
        </w:rPr>
        <w:footnoteRef/>
      </w:r>
      <w:r w:rsidRPr="008D2F4A">
        <w:t xml:space="preserve"> Case C-237/07 </w:t>
      </w:r>
      <w:proofErr w:type="spellStart"/>
      <w:r w:rsidRPr="008D2F4A">
        <w:rPr>
          <w:i/>
          <w:iCs/>
        </w:rPr>
        <w:t>Janecek</w:t>
      </w:r>
      <w:proofErr w:type="spellEnd"/>
      <w:r w:rsidRPr="008D2F4A">
        <w:t xml:space="preserve"> </w:t>
      </w:r>
      <w:r w:rsidR="00C202B0" w:rsidRPr="008D2F4A">
        <w:t>ECLI:</w:t>
      </w:r>
      <w:r w:rsidRPr="008D2F4A">
        <w:t>EU:C:2008:447.</w:t>
      </w:r>
    </w:p>
  </w:footnote>
  <w:footnote w:id="25">
    <w:p w14:paraId="6AA198AB" w14:textId="51E9088D" w:rsidR="005B4A0C" w:rsidRPr="008D2F4A" w:rsidRDefault="005B4A0C" w:rsidP="005B4A0C">
      <w:pPr>
        <w:pStyle w:val="FootnoteText"/>
        <w:jc w:val="both"/>
      </w:pPr>
      <w:r w:rsidRPr="008D2F4A">
        <w:rPr>
          <w:rStyle w:val="FootnoteReference"/>
        </w:rPr>
        <w:footnoteRef/>
      </w:r>
      <w:r w:rsidRPr="008D2F4A">
        <w:t xml:space="preserve"> The observations submitted by the Austrian government are instructive. They reveal that, based on the </w:t>
      </w:r>
      <w:proofErr w:type="spellStart"/>
      <w:r w:rsidRPr="008D2F4A">
        <w:rPr>
          <w:i/>
          <w:iCs/>
        </w:rPr>
        <w:t>Schutznorm</w:t>
      </w:r>
      <w:proofErr w:type="spellEnd"/>
      <w:r w:rsidRPr="008D2F4A">
        <w:t xml:space="preserve"> doctrine, it </w:t>
      </w:r>
      <w:r w:rsidR="00DF37BC" w:rsidRPr="008D2F4A">
        <w:t>was</w:t>
      </w:r>
      <w:r w:rsidRPr="008D2F4A">
        <w:t xml:space="preserve"> possible to infer a legally enforceable right from the provisions on limit values because the latter essentially aim to protect human health. On the contrary, it was suggested that the obligation to set up an action plan was not intended to establish a personal right for the sake of concerned individuals (</w:t>
      </w:r>
      <w:proofErr w:type="spellStart"/>
      <w:r w:rsidRPr="008D2F4A">
        <w:rPr>
          <w:i/>
          <w:iCs/>
        </w:rPr>
        <w:t>Janecek</w:t>
      </w:r>
      <w:proofErr w:type="spellEnd"/>
      <w:r w:rsidR="008B5236" w:rsidRPr="008D2F4A">
        <w:rPr>
          <w:i/>
          <w:iCs/>
        </w:rPr>
        <w:t xml:space="preserve"> </w:t>
      </w:r>
      <w:r w:rsidR="00972964" w:rsidRPr="008D2F4A">
        <w:t xml:space="preserve">(n 24) </w:t>
      </w:r>
      <w:r w:rsidRPr="008D2F4A">
        <w:t>paras 29</w:t>
      </w:r>
      <w:r w:rsidR="00972964" w:rsidRPr="008D2F4A">
        <w:t>–</w:t>
      </w:r>
      <w:r w:rsidRPr="008D2F4A">
        <w:t>30).</w:t>
      </w:r>
    </w:p>
  </w:footnote>
  <w:footnote w:id="26">
    <w:p w14:paraId="546AB6E8" w14:textId="586B41BD" w:rsidR="005B4A0C" w:rsidRPr="008D2F4A" w:rsidRDefault="005B4A0C" w:rsidP="005B4A0C">
      <w:pPr>
        <w:pStyle w:val="FootnoteText"/>
        <w:jc w:val="both"/>
      </w:pPr>
      <w:r w:rsidRPr="008D2F4A">
        <w:rPr>
          <w:rStyle w:val="FootnoteReference"/>
        </w:rPr>
        <w:footnoteRef/>
      </w:r>
      <w:r w:rsidRPr="008D2F4A">
        <w:t xml:space="preserve"> </w:t>
      </w:r>
      <w:proofErr w:type="spellStart"/>
      <w:r w:rsidRPr="008D2F4A">
        <w:rPr>
          <w:i/>
          <w:iCs/>
        </w:rPr>
        <w:t>Janecek</w:t>
      </w:r>
      <w:proofErr w:type="spellEnd"/>
      <w:r w:rsidR="009103C9" w:rsidRPr="008D2F4A">
        <w:t xml:space="preserve"> (n</w:t>
      </w:r>
      <w:r w:rsidR="003048CD" w:rsidRPr="008D2F4A">
        <w:t xml:space="preserve"> 24)</w:t>
      </w:r>
      <w:r w:rsidRPr="008D2F4A">
        <w:t xml:space="preserve"> para 39. </w:t>
      </w:r>
    </w:p>
  </w:footnote>
  <w:footnote w:id="27">
    <w:p w14:paraId="1CF7B382" w14:textId="2EC79112" w:rsidR="005B4A0C" w:rsidRPr="008D2F4A" w:rsidRDefault="005B4A0C" w:rsidP="005B4A0C">
      <w:pPr>
        <w:pStyle w:val="FootnoteText"/>
        <w:jc w:val="both"/>
      </w:pPr>
      <w:r w:rsidRPr="008D2F4A">
        <w:rPr>
          <w:rStyle w:val="FootnoteReference"/>
        </w:rPr>
        <w:footnoteRef/>
      </w:r>
      <w:r w:rsidRPr="008D2F4A">
        <w:t xml:space="preserve"> Case C-404/13 </w:t>
      </w:r>
      <w:proofErr w:type="spellStart"/>
      <w:r w:rsidRPr="008D2F4A">
        <w:rPr>
          <w:i/>
          <w:iCs/>
        </w:rPr>
        <w:t>ClientEarth</w:t>
      </w:r>
      <w:proofErr w:type="spellEnd"/>
      <w:r w:rsidRPr="008D2F4A">
        <w:t xml:space="preserve"> </w:t>
      </w:r>
      <w:r w:rsidR="003048CD" w:rsidRPr="008D2F4A">
        <w:t>ECLI:</w:t>
      </w:r>
      <w:r w:rsidRPr="008D2F4A">
        <w:t>EU:C:2014:2382, para 56 (emphasis added).</w:t>
      </w:r>
    </w:p>
  </w:footnote>
  <w:footnote w:id="28">
    <w:p w14:paraId="65AE31CE" w14:textId="60DC38BA" w:rsidR="005B4A0C" w:rsidRPr="008D2F4A" w:rsidRDefault="005B4A0C" w:rsidP="005B4A0C">
      <w:pPr>
        <w:pStyle w:val="FootnoteText"/>
        <w:jc w:val="both"/>
      </w:pPr>
      <w:r w:rsidRPr="008D2F4A">
        <w:rPr>
          <w:rStyle w:val="FootnoteReference"/>
        </w:rPr>
        <w:footnoteRef/>
      </w:r>
      <w:r w:rsidRPr="008D2F4A">
        <w:t xml:space="preserve"> See also Case C-723/17 </w:t>
      </w:r>
      <w:proofErr w:type="spellStart"/>
      <w:r w:rsidRPr="008D2F4A">
        <w:rPr>
          <w:i/>
          <w:iCs/>
        </w:rPr>
        <w:t>Craeynest</w:t>
      </w:r>
      <w:proofErr w:type="spellEnd"/>
      <w:r w:rsidRPr="008D2F4A">
        <w:rPr>
          <w:i/>
          <w:iCs/>
        </w:rPr>
        <w:t xml:space="preserve"> and Others</w:t>
      </w:r>
      <w:r w:rsidRPr="008D2F4A">
        <w:t xml:space="preserve"> </w:t>
      </w:r>
      <w:r w:rsidR="00740932" w:rsidRPr="008D2F4A">
        <w:t>ECLI:</w:t>
      </w:r>
      <w:r w:rsidRPr="008D2F4A">
        <w:t xml:space="preserve">EU:C:2019:533, para 32; Case </w:t>
      </w:r>
      <w:bookmarkStart w:id="1" w:name="_Hlk153627731"/>
      <w:r w:rsidRPr="008D2F4A">
        <w:t xml:space="preserve">C-197/18 </w:t>
      </w:r>
      <w:proofErr w:type="spellStart"/>
      <w:r w:rsidRPr="008D2F4A">
        <w:rPr>
          <w:i/>
          <w:iCs/>
        </w:rPr>
        <w:t>Wasserleitungsvervand</w:t>
      </w:r>
      <w:proofErr w:type="spellEnd"/>
      <w:r w:rsidRPr="008D2F4A">
        <w:rPr>
          <w:i/>
          <w:iCs/>
        </w:rPr>
        <w:t xml:space="preserve"> </w:t>
      </w:r>
      <w:proofErr w:type="spellStart"/>
      <w:r w:rsidRPr="008D2F4A">
        <w:rPr>
          <w:i/>
          <w:iCs/>
        </w:rPr>
        <w:t>Nördliches</w:t>
      </w:r>
      <w:proofErr w:type="spellEnd"/>
      <w:r w:rsidRPr="008D2F4A">
        <w:rPr>
          <w:i/>
          <w:iCs/>
        </w:rPr>
        <w:t xml:space="preserve"> Burgenland and Others</w:t>
      </w:r>
      <w:bookmarkEnd w:id="1"/>
      <w:r w:rsidRPr="008D2F4A">
        <w:t xml:space="preserve"> </w:t>
      </w:r>
      <w:r w:rsidR="00740932" w:rsidRPr="008D2F4A">
        <w:t>ECLI:</w:t>
      </w:r>
      <w:r w:rsidRPr="008D2F4A">
        <w:t xml:space="preserve">EU:C:2019:824, para 32. </w:t>
      </w:r>
    </w:p>
  </w:footnote>
  <w:footnote w:id="29">
    <w:p w14:paraId="66B992C9" w14:textId="6EF9B6AD" w:rsidR="005B4A0C" w:rsidRPr="008D2F4A" w:rsidRDefault="005B4A0C" w:rsidP="005B4A0C">
      <w:pPr>
        <w:pStyle w:val="FootnoteText"/>
      </w:pPr>
      <w:r w:rsidRPr="008D2F4A">
        <w:rPr>
          <w:rStyle w:val="FootnoteReference"/>
        </w:rPr>
        <w:footnoteRef/>
      </w:r>
      <w:r w:rsidRPr="008D2F4A">
        <w:t xml:space="preserve"> </w:t>
      </w:r>
      <w:r w:rsidRPr="00330981">
        <w:rPr>
          <w:rFonts w:cs="Times New Roman"/>
          <w:bCs/>
        </w:rPr>
        <w:t xml:space="preserve">A similar story unfolded in </w:t>
      </w:r>
      <w:r w:rsidRPr="00330981">
        <w:rPr>
          <w:rFonts w:cs="Times New Roman"/>
          <w:bCs/>
          <w:i/>
          <w:iCs/>
        </w:rPr>
        <w:t>Land Nordrhein-Westfalen</w:t>
      </w:r>
      <w:r w:rsidRPr="00330981">
        <w:rPr>
          <w:rFonts w:cs="Times New Roman"/>
          <w:bCs/>
        </w:rPr>
        <w:t xml:space="preserve">, only this time, the question put to the Court concerned Directive 2000/60 (see </w:t>
      </w:r>
      <w:r w:rsidRPr="008D2F4A">
        <w:t xml:space="preserve">Case C-535/18 </w:t>
      </w:r>
      <w:r w:rsidRPr="008D2F4A">
        <w:rPr>
          <w:i/>
          <w:iCs/>
        </w:rPr>
        <w:t>Land Nordrhein-Westfalen</w:t>
      </w:r>
      <w:r w:rsidRPr="008D2F4A">
        <w:t xml:space="preserve"> </w:t>
      </w:r>
      <w:r w:rsidR="00CC5329" w:rsidRPr="008D2F4A">
        <w:t>ECLI:</w:t>
      </w:r>
      <w:r w:rsidRPr="008D2F4A">
        <w:t>EU:C:2020:391</w:t>
      </w:r>
      <w:r w:rsidRPr="00330981">
        <w:rPr>
          <w:rFonts w:cs="Times New Roman"/>
          <w:bCs/>
        </w:rPr>
        <w:t>).</w:t>
      </w:r>
    </w:p>
  </w:footnote>
  <w:footnote w:id="30">
    <w:p w14:paraId="784118E2" w14:textId="7CE1F9F7" w:rsidR="005B4A0C" w:rsidRPr="008D2F4A" w:rsidRDefault="005B4A0C" w:rsidP="005B4A0C">
      <w:pPr>
        <w:pStyle w:val="FootnoteText"/>
        <w:jc w:val="both"/>
      </w:pPr>
      <w:r w:rsidRPr="008D2F4A">
        <w:rPr>
          <w:rStyle w:val="FootnoteReference"/>
        </w:rPr>
        <w:footnoteRef/>
      </w:r>
      <w:r w:rsidRPr="008D2F4A">
        <w:t xml:space="preserve"> Council Directive 91/676/EEC of 12 December 1991 concerning the protection against pollution caused by nitrates from agricultural sources </w:t>
      </w:r>
      <w:r w:rsidR="00DB58BA" w:rsidRPr="008D2F4A">
        <w:t>[</w:t>
      </w:r>
      <w:r w:rsidRPr="008D2F4A">
        <w:t>1991</w:t>
      </w:r>
      <w:r w:rsidR="00DB58BA" w:rsidRPr="008D2F4A">
        <w:t>]</w:t>
      </w:r>
      <w:r w:rsidRPr="008D2F4A">
        <w:t xml:space="preserve"> OJ L375/1. </w:t>
      </w:r>
    </w:p>
  </w:footnote>
  <w:footnote w:id="31">
    <w:p w14:paraId="74649D92" w14:textId="0E7763F5" w:rsidR="005B4A0C" w:rsidRPr="00330981" w:rsidRDefault="005B4A0C" w:rsidP="005B4A0C">
      <w:pPr>
        <w:pStyle w:val="FootnoteText"/>
        <w:jc w:val="both"/>
        <w:rPr>
          <w:lang w:val="de-DE"/>
        </w:rPr>
      </w:pPr>
      <w:r w:rsidRPr="008D2F4A">
        <w:rPr>
          <w:rStyle w:val="FootnoteReference"/>
        </w:rPr>
        <w:footnoteRef/>
      </w:r>
      <w:r w:rsidRPr="00330981">
        <w:rPr>
          <w:lang w:val="de-DE"/>
        </w:rPr>
        <w:t xml:space="preserve"> </w:t>
      </w:r>
      <w:r w:rsidRPr="00330981">
        <w:rPr>
          <w:i/>
          <w:iCs/>
          <w:lang w:val="de-DE"/>
        </w:rPr>
        <w:t>Wasserleitungsvervand Nördliches Burgenland and Others</w:t>
      </w:r>
      <w:r w:rsidR="003E177F" w:rsidRPr="00330981">
        <w:rPr>
          <w:lang w:val="de-DE"/>
        </w:rPr>
        <w:t xml:space="preserve"> (n 28)</w:t>
      </w:r>
      <w:r w:rsidRPr="00330981">
        <w:rPr>
          <w:lang w:val="de-DE"/>
        </w:rPr>
        <w:t xml:space="preserve"> para 35.</w:t>
      </w:r>
    </w:p>
  </w:footnote>
  <w:footnote w:id="32">
    <w:p w14:paraId="52FDD376" w14:textId="15427663" w:rsidR="005B4A0C" w:rsidRPr="00330981" w:rsidRDefault="005B4A0C" w:rsidP="005B4A0C">
      <w:pPr>
        <w:pStyle w:val="FootnoteText"/>
        <w:jc w:val="both"/>
        <w:rPr>
          <w:lang w:val="es-ES"/>
        </w:rPr>
      </w:pPr>
      <w:r w:rsidRPr="008D2F4A">
        <w:rPr>
          <w:rStyle w:val="FootnoteReference"/>
        </w:rPr>
        <w:footnoteRef/>
      </w:r>
      <w:r w:rsidRPr="00330981">
        <w:rPr>
          <w:lang w:val="es-ES"/>
        </w:rPr>
        <w:t xml:space="preserve"> Ibid para 39.</w:t>
      </w:r>
    </w:p>
  </w:footnote>
  <w:footnote w:id="33">
    <w:p w14:paraId="6EA64595" w14:textId="31C47946" w:rsidR="005B4A0C" w:rsidRPr="00330981" w:rsidRDefault="005B4A0C" w:rsidP="005B4A0C">
      <w:pPr>
        <w:pStyle w:val="FootnoteText"/>
        <w:jc w:val="both"/>
        <w:rPr>
          <w:lang w:val="es-ES"/>
        </w:rPr>
      </w:pPr>
      <w:r w:rsidRPr="008D2F4A">
        <w:rPr>
          <w:rStyle w:val="FootnoteReference"/>
        </w:rPr>
        <w:footnoteRef/>
      </w:r>
      <w:r w:rsidRPr="00330981">
        <w:rPr>
          <w:lang w:val="es-ES"/>
        </w:rPr>
        <w:t xml:space="preserve"> Ibid para 40.</w:t>
      </w:r>
    </w:p>
  </w:footnote>
  <w:footnote w:id="34">
    <w:p w14:paraId="7BC85EA9" w14:textId="596D4CF1" w:rsidR="005B4A0C" w:rsidRPr="00330981" w:rsidRDefault="005B4A0C" w:rsidP="005B4A0C">
      <w:pPr>
        <w:pStyle w:val="FootnoteText"/>
        <w:rPr>
          <w:lang w:val="es-ES"/>
        </w:rPr>
      </w:pPr>
      <w:r w:rsidRPr="008D2F4A">
        <w:rPr>
          <w:rStyle w:val="FootnoteReference"/>
        </w:rPr>
        <w:footnoteRef/>
      </w:r>
      <w:r w:rsidRPr="00330981">
        <w:rPr>
          <w:lang w:val="es-ES"/>
        </w:rPr>
        <w:t xml:space="preserve"> Ibid para 43.</w:t>
      </w:r>
    </w:p>
  </w:footnote>
  <w:footnote w:id="35">
    <w:p w14:paraId="50E46B36" w14:textId="5EE91910" w:rsidR="005B4A0C" w:rsidRPr="00330981" w:rsidRDefault="005B4A0C" w:rsidP="005B4A0C">
      <w:pPr>
        <w:pStyle w:val="FootnoteText"/>
        <w:jc w:val="both"/>
        <w:rPr>
          <w:lang w:val="es-ES"/>
        </w:rPr>
      </w:pPr>
      <w:r w:rsidRPr="008D2F4A">
        <w:rPr>
          <w:rStyle w:val="FootnoteReference"/>
        </w:rPr>
        <w:footnoteRef/>
      </w:r>
      <w:r w:rsidRPr="00330981">
        <w:rPr>
          <w:lang w:val="es-ES"/>
        </w:rPr>
        <w:t xml:space="preserve"> See similarly AG Kokott in </w:t>
      </w:r>
      <w:r w:rsidRPr="00330981">
        <w:rPr>
          <w:i/>
          <w:iCs/>
          <w:lang w:val="es-ES"/>
        </w:rPr>
        <w:t>Wasserleitungsverband Nördliches Burgenland and Others</w:t>
      </w:r>
      <w:r w:rsidR="002605E1" w:rsidRPr="00330981">
        <w:rPr>
          <w:lang w:val="es-ES"/>
        </w:rPr>
        <w:t xml:space="preserve"> (n 28)</w:t>
      </w:r>
      <w:r w:rsidRPr="00330981">
        <w:rPr>
          <w:lang w:val="es-ES"/>
        </w:rPr>
        <w:t xml:space="preserve"> para 50. </w:t>
      </w:r>
    </w:p>
  </w:footnote>
  <w:footnote w:id="36">
    <w:p w14:paraId="65F1CD28" w14:textId="2F7372C6" w:rsidR="005B4A0C" w:rsidRPr="00330981" w:rsidRDefault="005B4A0C" w:rsidP="005B4A0C">
      <w:pPr>
        <w:pStyle w:val="FootnoteText"/>
        <w:rPr>
          <w:lang w:val="es-ES"/>
        </w:rPr>
      </w:pPr>
      <w:r w:rsidRPr="008D2F4A">
        <w:rPr>
          <w:rStyle w:val="FootnoteReference"/>
        </w:rPr>
        <w:footnoteRef/>
      </w:r>
      <w:r w:rsidRPr="00330981">
        <w:rPr>
          <w:lang w:val="es-ES"/>
        </w:rPr>
        <w:t xml:space="preserve"> Dougan</w:t>
      </w:r>
      <w:r w:rsidR="002605E1" w:rsidRPr="00330981">
        <w:rPr>
          <w:lang w:val="es-ES"/>
        </w:rPr>
        <w:t xml:space="preserve"> </w:t>
      </w:r>
      <w:r w:rsidR="00057B98" w:rsidRPr="00330981">
        <w:rPr>
          <w:lang w:val="es-ES"/>
        </w:rPr>
        <w:t xml:space="preserve">2010 </w:t>
      </w:r>
      <w:r w:rsidR="002605E1" w:rsidRPr="00330981">
        <w:rPr>
          <w:lang w:val="es-ES"/>
        </w:rPr>
        <w:t xml:space="preserve">(n </w:t>
      </w:r>
      <w:r w:rsidR="00415B91" w:rsidRPr="00330981">
        <w:rPr>
          <w:lang w:val="es-ES"/>
        </w:rPr>
        <w:t xml:space="preserve">4) </w:t>
      </w:r>
      <w:r w:rsidRPr="00330981">
        <w:rPr>
          <w:lang w:val="es-ES"/>
        </w:rPr>
        <w:t>94.</w:t>
      </w:r>
    </w:p>
  </w:footnote>
  <w:footnote w:id="37">
    <w:p w14:paraId="43C8668C" w14:textId="3D80AE3F" w:rsidR="005B4A0C" w:rsidRPr="00330981" w:rsidRDefault="005B4A0C" w:rsidP="005B4A0C">
      <w:pPr>
        <w:pStyle w:val="FootnoteText"/>
        <w:jc w:val="both"/>
        <w:rPr>
          <w:lang w:val="es-ES"/>
        </w:rPr>
      </w:pPr>
      <w:r w:rsidRPr="008D2F4A">
        <w:rPr>
          <w:rStyle w:val="FootnoteReference"/>
        </w:rPr>
        <w:footnoteRef/>
      </w:r>
      <w:r w:rsidRPr="00330981">
        <w:rPr>
          <w:lang w:val="es-ES"/>
        </w:rPr>
        <w:t xml:space="preserve"> Case C-752/18 </w:t>
      </w:r>
      <w:r w:rsidRPr="00330981">
        <w:rPr>
          <w:i/>
          <w:iCs/>
          <w:lang w:val="es-ES"/>
        </w:rPr>
        <w:t>Deutsche Umwelthilfe</w:t>
      </w:r>
      <w:r w:rsidR="00B06794" w:rsidRPr="00330981">
        <w:rPr>
          <w:lang w:val="es-ES"/>
        </w:rPr>
        <w:t xml:space="preserve"> (n 5)</w:t>
      </w:r>
      <w:r w:rsidRPr="00330981">
        <w:rPr>
          <w:lang w:val="es-ES"/>
        </w:rPr>
        <w:t xml:space="preserve"> para 30; Case C-404/13, </w:t>
      </w:r>
      <w:r w:rsidRPr="00330981">
        <w:rPr>
          <w:i/>
          <w:iCs/>
          <w:lang w:val="es-ES"/>
        </w:rPr>
        <w:t>ClientEarth</w:t>
      </w:r>
      <w:r w:rsidR="00B06794" w:rsidRPr="00330981">
        <w:rPr>
          <w:lang w:val="es-ES"/>
        </w:rPr>
        <w:t xml:space="preserve"> (n 27) </w:t>
      </w:r>
      <w:r w:rsidRPr="00330981">
        <w:rPr>
          <w:lang w:val="es-ES"/>
        </w:rPr>
        <w:t xml:space="preserve">para 58.  </w:t>
      </w:r>
    </w:p>
  </w:footnote>
  <w:footnote w:id="38">
    <w:p w14:paraId="7A12ECF6" w14:textId="4D440A90" w:rsidR="005B4A0C" w:rsidRPr="00330981" w:rsidRDefault="005B4A0C" w:rsidP="005B4A0C">
      <w:pPr>
        <w:pStyle w:val="FootnoteText"/>
        <w:jc w:val="both"/>
      </w:pPr>
      <w:r w:rsidRPr="008D2F4A">
        <w:rPr>
          <w:rStyle w:val="FootnoteReference"/>
        </w:rPr>
        <w:footnoteRef/>
      </w:r>
      <w:r w:rsidRPr="00330981">
        <w:rPr>
          <w:color w:val="0D0D0D"/>
        </w:rPr>
        <w:t>.</w:t>
      </w:r>
      <w:r w:rsidR="00F90632" w:rsidRPr="00330981">
        <w:t xml:space="preserve"> The Air Quality Directive (n 3).</w:t>
      </w:r>
    </w:p>
  </w:footnote>
  <w:footnote w:id="39">
    <w:p w14:paraId="43198CFB" w14:textId="4A24F9B9" w:rsidR="005B4A0C" w:rsidRPr="008D2F4A" w:rsidRDefault="005B4A0C" w:rsidP="005B4A0C">
      <w:pPr>
        <w:pStyle w:val="FootnoteText"/>
        <w:jc w:val="both"/>
      </w:pPr>
      <w:r w:rsidRPr="008D2F4A">
        <w:rPr>
          <w:rStyle w:val="FootnoteReference"/>
        </w:rPr>
        <w:footnoteRef/>
      </w:r>
      <w:r w:rsidRPr="008D2F4A">
        <w:t xml:space="preserve"> Directive (EU) 2020/2184 of the European Parliament and of the Council of 16 December 2020 on the quality of water intended for human consumption (recast) [2020] OJ L435/1 </w:t>
      </w:r>
      <w:r w:rsidRPr="00330981">
        <w:t>(</w:t>
      </w:r>
      <w:r w:rsidR="0006050A" w:rsidRPr="00330981">
        <w:rPr>
          <w:color w:val="0D0D0D"/>
        </w:rPr>
        <w:t>‘</w:t>
      </w:r>
      <w:r w:rsidRPr="00330981">
        <w:rPr>
          <w:color w:val="0D0D0D"/>
        </w:rPr>
        <w:t>Drinking Water Directive</w:t>
      </w:r>
      <w:r w:rsidR="0006050A" w:rsidRPr="00330981">
        <w:rPr>
          <w:color w:val="0D0D0D"/>
        </w:rPr>
        <w:t>’</w:t>
      </w:r>
      <w:r w:rsidRPr="00330981">
        <w:rPr>
          <w:color w:val="0D0D0D"/>
        </w:rPr>
        <w:t>)</w:t>
      </w:r>
      <w:r w:rsidRPr="008D2F4A">
        <w:t xml:space="preserve">. </w:t>
      </w:r>
    </w:p>
  </w:footnote>
  <w:footnote w:id="40">
    <w:p w14:paraId="326E2136" w14:textId="0612CDEA" w:rsidR="0056147C" w:rsidRPr="00330981" w:rsidRDefault="0056147C">
      <w:pPr>
        <w:pStyle w:val="FootnoteText"/>
      </w:pPr>
      <w:r w:rsidRPr="008D2F4A">
        <w:rPr>
          <w:rStyle w:val="FootnoteReference"/>
        </w:rPr>
        <w:footnoteRef/>
      </w:r>
      <w:r w:rsidRPr="008D2F4A">
        <w:t xml:space="preserve"> </w:t>
      </w:r>
      <w:proofErr w:type="spellStart"/>
      <w:r w:rsidR="0098523C" w:rsidRPr="00330981">
        <w:t>Saša</w:t>
      </w:r>
      <w:proofErr w:type="spellEnd"/>
      <w:r w:rsidR="0098523C" w:rsidRPr="00330981">
        <w:t xml:space="preserve"> </w:t>
      </w:r>
      <w:proofErr w:type="spellStart"/>
      <w:r w:rsidR="004439B0" w:rsidRPr="00330981">
        <w:t>Beljin</w:t>
      </w:r>
      <w:proofErr w:type="spellEnd"/>
      <w:r w:rsidR="004439B0" w:rsidRPr="00330981">
        <w:t xml:space="preserve">, </w:t>
      </w:r>
      <w:r w:rsidR="0098523C" w:rsidRPr="00330981">
        <w:t>‘</w:t>
      </w:r>
      <w:r w:rsidR="004439B0" w:rsidRPr="00330981">
        <w:t>Rights in EU Law</w:t>
      </w:r>
      <w:r w:rsidR="0098523C" w:rsidRPr="00330981">
        <w:t>’</w:t>
      </w:r>
      <w:r w:rsidR="004439B0" w:rsidRPr="00330981">
        <w:t xml:space="preserve"> in </w:t>
      </w:r>
      <w:r w:rsidR="00590C06" w:rsidRPr="00330981">
        <w:t xml:space="preserve">Sacha </w:t>
      </w:r>
      <w:proofErr w:type="spellStart"/>
      <w:r w:rsidR="004439B0" w:rsidRPr="00330981">
        <w:t>Prechal</w:t>
      </w:r>
      <w:proofErr w:type="spellEnd"/>
      <w:r w:rsidR="004439B0" w:rsidRPr="00330981">
        <w:t xml:space="preserve"> and </w:t>
      </w:r>
      <w:r w:rsidR="00590C06" w:rsidRPr="00330981">
        <w:t>Bert v</w:t>
      </w:r>
      <w:r w:rsidR="004439B0" w:rsidRPr="00330981">
        <w:t xml:space="preserve">an </w:t>
      </w:r>
      <w:proofErr w:type="spellStart"/>
      <w:r w:rsidR="004439B0" w:rsidRPr="00330981">
        <w:t>Roermond</w:t>
      </w:r>
      <w:proofErr w:type="spellEnd"/>
      <w:r w:rsidR="006D057E" w:rsidRPr="00330981">
        <w:t xml:space="preserve"> (eds)</w:t>
      </w:r>
      <w:r w:rsidR="004439B0" w:rsidRPr="00330981">
        <w:t xml:space="preserve">, </w:t>
      </w:r>
      <w:r w:rsidR="004439B0" w:rsidRPr="00330981">
        <w:rPr>
          <w:i/>
          <w:iCs/>
        </w:rPr>
        <w:t xml:space="preserve">The Coherence of EU Law: The Search for Unity in Divergent Concepts </w:t>
      </w:r>
      <w:r w:rsidR="004439B0" w:rsidRPr="00330981">
        <w:t>(OUP 2008) 114.</w:t>
      </w:r>
    </w:p>
  </w:footnote>
  <w:footnote w:id="41">
    <w:p w14:paraId="46425D83" w14:textId="62CAFCD8" w:rsidR="005B4A0C" w:rsidRPr="008D2F4A" w:rsidRDefault="005B4A0C" w:rsidP="005B4A0C">
      <w:pPr>
        <w:pStyle w:val="FootnoteText"/>
        <w:jc w:val="both"/>
      </w:pPr>
      <w:r w:rsidRPr="008D2F4A">
        <w:rPr>
          <w:rStyle w:val="FootnoteReference"/>
        </w:rPr>
        <w:footnoteRef/>
      </w:r>
      <w:r w:rsidRPr="008D2F4A">
        <w:t xml:space="preserve"> See </w:t>
      </w:r>
      <w:proofErr w:type="spellStart"/>
      <w:r w:rsidRPr="008D2F4A">
        <w:t>eg</w:t>
      </w:r>
      <w:proofErr w:type="spellEnd"/>
      <w:r w:rsidRPr="008D2F4A">
        <w:t xml:space="preserve">, Joined Cases C-6/90 and C-9/90 </w:t>
      </w:r>
      <w:r w:rsidRPr="008D2F4A">
        <w:rPr>
          <w:i/>
          <w:iCs/>
        </w:rPr>
        <w:t xml:space="preserve">Francovich and </w:t>
      </w:r>
      <w:proofErr w:type="spellStart"/>
      <w:r w:rsidRPr="008D2F4A">
        <w:rPr>
          <w:i/>
          <w:iCs/>
        </w:rPr>
        <w:t>Bonifaci</w:t>
      </w:r>
      <w:proofErr w:type="spellEnd"/>
      <w:r w:rsidRPr="008D2F4A">
        <w:rPr>
          <w:i/>
          <w:iCs/>
        </w:rPr>
        <w:t xml:space="preserve"> v. Italy</w:t>
      </w:r>
      <w:r w:rsidRPr="008D2F4A">
        <w:t xml:space="preserve"> </w:t>
      </w:r>
      <w:r w:rsidR="00F909D2" w:rsidRPr="008D2F4A">
        <w:t>ECLI:</w:t>
      </w:r>
      <w:r w:rsidRPr="008D2F4A">
        <w:t>EU:C:1991:428,</w:t>
      </w:r>
      <w:r w:rsidRPr="008D2F4A">
        <w:rPr>
          <w:i/>
          <w:iCs/>
        </w:rPr>
        <w:t xml:space="preserve"> </w:t>
      </w:r>
      <w:r w:rsidRPr="008D2F4A">
        <w:t xml:space="preserve">paras 40ff; Joined Cases C-46/93 and C-48/93 </w:t>
      </w:r>
      <w:r w:rsidRPr="008D2F4A">
        <w:rPr>
          <w:i/>
          <w:iCs/>
        </w:rPr>
        <w:t xml:space="preserve">Brasserie du </w:t>
      </w:r>
      <w:proofErr w:type="spellStart"/>
      <w:r w:rsidRPr="008D2F4A">
        <w:rPr>
          <w:i/>
          <w:iCs/>
        </w:rPr>
        <w:t>Pêcheur</w:t>
      </w:r>
      <w:proofErr w:type="spellEnd"/>
      <w:r w:rsidRPr="008D2F4A">
        <w:t xml:space="preserve"> </w:t>
      </w:r>
      <w:r w:rsidR="002054E7" w:rsidRPr="008D2F4A">
        <w:t>ECLI:</w:t>
      </w:r>
      <w:r w:rsidRPr="008D2F4A">
        <w:t>EU:C:1996:79, para 51.</w:t>
      </w:r>
    </w:p>
  </w:footnote>
  <w:footnote w:id="42">
    <w:p w14:paraId="7B0A4CBE" w14:textId="227B59C9" w:rsidR="005B4A0C" w:rsidRPr="008D2F4A" w:rsidRDefault="005B4A0C" w:rsidP="005B4A0C">
      <w:pPr>
        <w:pStyle w:val="FootnoteText"/>
        <w:jc w:val="both"/>
      </w:pPr>
      <w:r w:rsidRPr="008D2F4A">
        <w:rPr>
          <w:rStyle w:val="FootnoteReference"/>
        </w:rPr>
        <w:footnoteRef/>
      </w:r>
      <w:r w:rsidRPr="008D2F4A">
        <w:t xml:space="preserve"> </w:t>
      </w:r>
      <w:r w:rsidR="002054E7" w:rsidRPr="008D2F4A">
        <w:t xml:space="preserve">Sacha </w:t>
      </w:r>
      <w:proofErr w:type="spellStart"/>
      <w:r w:rsidRPr="008D2F4A">
        <w:t>Prechal</w:t>
      </w:r>
      <w:proofErr w:type="spellEnd"/>
      <w:r w:rsidRPr="008D2F4A">
        <w:t xml:space="preserve">, </w:t>
      </w:r>
      <w:r w:rsidR="002054E7" w:rsidRPr="008D2F4A">
        <w:t>‘</w:t>
      </w:r>
      <w:r w:rsidRPr="008D2F4A">
        <w:t>Member State Liability and Direct Effect: What’s the Difference After All?</w:t>
      </w:r>
      <w:r w:rsidR="002054E7" w:rsidRPr="008D2F4A">
        <w:t>’</w:t>
      </w:r>
      <w:r w:rsidRPr="008D2F4A">
        <w:t xml:space="preserve"> (2006) 17 European Business Law Review 299, 310.</w:t>
      </w:r>
    </w:p>
  </w:footnote>
  <w:footnote w:id="43">
    <w:p w14:paraId="552F1347" w14:textId="36D4F045" w:rsidR="005B4A0C" w:rsidRPr="008D2F4A" w:rsidRDefault="005B4A0C" w:rsidP="005B4A0C">
      <w:pPr>
        <w:pStyle w:val="FootnoteText"/>
        <w:jc w:val="both"/>
      </w:pPr>
      <w:r w:rsidRPr="008D2F4A">
        <w:rPr>
          <w:rStyle w:val="FootnoteReference"/>
        </w:rPr>
        <w:footnoteRef/>
      </w:r>
      <w:r w:rsidRPr="008D2F4A">
        <w:t xml:space="preserve"> Dougan</w:t>
      </w:r>
      <w:r w:rsidR="00A861E9" w:rsidRPr="008D2F4A">
        <w:t xml:space="preserve"> 2017 (n</w:t>
      </w:r>
      <w:r w:rsidR="00166391" w:rsidRPr="008D2F4A">
        <w:t xml:space="preserve"> 8</w:t>
      </w:r>
      <w:r w:rsidR="00A861E9" w:rsidRPr="008D2F4A">
        <w:t>)</w:t>
      </w:r>
      <w:r w:rsidRPr="008D2F4A">
        <w:t xml:space="preserve"> 124</w:t>
      </w:r>
      <w:r w:rsidR="00166391" w:rsidRPr="008D2F4A">
        <w:t>–125</w:t>
      </w:r>
      <w:r w:rsidRPr="008D2F4A">
        <w:t>.</w:t>
      </w:r>
    </w:p>
  </w:footnote>
  <w:footnote w:id="44">
    <w:p w14:paraId="0A03672F" w14:textId="2483BD39" w:rsidR="005B4A0C" w:rsidRPr="008D2F4A" w:rsidRDefault="005B4A0C" w:rsidP="005B4A0C">
      <w:pPr>
        <w:pStyle w:val="FootnoteText"/>
        <w:jc w:val="both"/>
      </w:pPr>
      <w:r w:rsidRPr="008D2F4A">
        <w:rPr>
          <w:rStyle w:val="FootnoteReference"/>
        </w:rPr>
        <w:footnoteRef/>
      </w:r>
      <w:r w:rsidRPr="00330981">
        <w:t xml:space="preserve"> Case C-420/11 </w:t>
      </w:r>
      <w:proofErr w:type="spellStart"/>
      <w:r w:rsidRPr="00330981">
        <w:rPr>
          <w:i/>
          <w:iCs/>
        </w:rPr>
        <w:t>Leth</w:t>
      </w:r>
      <w:proofErr w:type="spellEnd"/>
      <w:r w:rsidRPr="00330981">
        <w:t xml:space="preserve"> EU:C:2013:166, esp</w:t>
      </w:r>
      <w:r w:rsidR="001C13D1" w:rsidRPr="00330981">
        <w:t>ecially</w:t>
      </w:r>
      <w:r w:rsidRPr="00330981">
        <w:t xml:space="preserve"> paras 33ff. </w:t>
      </w:r>
      <w:r w:rsidRPr="008D2F4A">
        <w:t>Admittedly, the Court concluded that the relevant provision was intended to confer rights upon individuals. It should be stressed, however, that the conception of rights prevailing in that judgment was rather “expansive”, or even “superficial”. See further, Dougan</w:t>
      </w:r>
      <w:r w:rsidR="00AB28C2" w:rsidRPr="008D2F4A">
        <w:t xml:space="preserve"> 2017 (n 8) </w:t>
      </w:r>
      <w:r w:rsidRPr="008D2F4A">
        <w:t>154. Stagstrup also observed that the Court generally strives to identify economic rights for the purposes of Francovich. According to him, this approach might “greatly imperil individuals’ ability to hold Member States responsible for their environmental law breaches based on the Member State liability doctrine”</w:t>
      </w:r>
      <w:r w:rsidR="00941B1F" w:rsidRPr="008D2F4A">
        <w:t>:</w:t>
      </w:r>
      <w:r w:rsidRPr="008D2F4A">
        <w:t xml:space="preserve"> </w:t>
      </w:r>
      <w:r w:rsidR="00281512" w:rsidRPr="008D2F4A">
        <w:t xml:space="preserve">Johan P </w:t>
      </w:r>
      <w:proofErr w:type="spellStart"/>
      <w:r w:rsidRPr="008D2F4A">
        <w:t>Stagstrup</w:t>
      </w:r>
      <w:proofErr w:type="spellEnd"/>
      <w:r w:rsidRPr="008D2F4A">
        <w:t xml:space="preserve">, </w:t>
      </w:r>
      <w:r w:rsidR="00281512" w:rsidRPr="008D2F4A">
        <w:t>‘</w:t>
      </w:r>
      <w:r w:rsidRPr="008D2F4A">
        <w:t xml:space="preserve">State Liability in EU Environmental Law: </w:t>
      </w:r>
      <w:r w:rsidRPr="008D2F4A">
        <w:rPr>
          <w:i/>
          <w:iCs/>
        </w:rPr>
        <w:t>Francovich</w:t>
      </w:r>
      <w:r w:rsidRPr="008D2F4A">
        <w:t xml:space="preserve"> is Dead, Long Live Compensation?</w:t>
      </w:r>
      <w:r w:rsidR="00281512" w:rsidRPr="008D2F4A">
        <w:t>’</w:t>
      </w:r>
      <w:r w:rsidRPr="008D2F4A">
        <w:t xml:space="preserve"> (2024) 36 Journal of Environmental Law 343, 350. </w:t>
      </w:r>
    </w:p>
  </w:footnote>
  <w:footnote w:id="45">
    <w:p w14:paraId="3F9A2820" w14:textId="0A0EC6B7" w:rsidR="005B4A0C" w:rsidRPr="008D2F4A" w:rsidRDefault="005B4A0C" w:rsidP="005B4A0C">
      <w:pPr>
        <w:pStyle w:val="FootnoteText"/>
        <w:jc w:val="both"/>
      </w:pPr>
      <w:r w:rsidRPr="008D2F4A">
        <w:rPr>
          <w:rStyle w:val="FootnoteReference"/>
        </w:rPr>
        <w:footnoteRef/>
      </w:r>
      <w:r w:rsidRPr="008D2F4A">
        <w:t xml:space="preserve"> Dougan</w:t>
      </w:r>
      <w:r w:rsidR="00941B1F" w:rsidRPr="008D2F4A">
        <w:t xml:space="preserve"> 2010 (n 4)</w:t>
      </w:r>
      <w:r w:rsidRPr="008D2F4A">
        <w:t xml:space="preserve"> 96</w:t>
      </w:r>
      <w:r w:rsidR="00941B1F" w:rsidRPr="008D2F4A">
        <w:t>–9</w:t>
      </w:r>
      <w:r w:rsidRPr="008D2F4A">
        <w:t xml:space="preserve">7. </w:t>
      </w:r>
    </w:p>
  </w:footnote>
  <w:footnote w:id="46">
    <w:p w14:paraId="18023A5B" w14:textId="73EA130C" w:rsidR="005B4A0C" w:rsidRPr="00330981" w:rsidRDefault="005B4A0C" w:rsidP="005B4A0C">
      <w:pPr>
        <w:pStyle w:val="FootnoteText"/>
      </w:pPr>
      <w:r w:rsidRPr="008D2F4A">
        <w:rPr>
          <w:rStyle w:val="FootnoteReference"/>
        </w:rPr>
        <w:footnoteRef/>
      </w:r>
      <w:r w:rsidRPr="00330981">
        <w:t xml:space="preserve"> </w:t>
      </w:r>
      <w:proofErr w:type="spellStart"/>
      <w:r w:rsidRPr="00330981">
        <w:t>Beljin</w:t>
      </w:r>
      <w:proofErr w:type="spellEnd"/>
      <w:r w:rsidR="00941B1F" w:rsidRPr="00330981">
        <w:t xml:space="preserve"> (n 40) </w:t>
      </w:r>
      <w:r w:rsidRPr="00330981">
        <w:t>114.</w:t>
      </w:r>
    </w:p>
  </w:footnote>
  <w:footnote w:id="47">
    <w:p w14:paraId="288569A9" w14:textId="3E702F76" w:rsidR="005B4A0C" w:rsidRPr="00330981" w:rsidRDefault="005B4A0C" w:rsidP="005B4A0C">
      <w:pPr>
        <w:pStyle w:val="FootnoteText"/>
      </w:pPr>
      <w:r w:rsidRPr="008D2F4A">
        <w:rPr>
          <w:rStyle w:val="FootnoteReference"/>
        </w:rPr>
        <w:footnoteRef/>
      </w:r>
      <w:r w:rsidRPr="00330981">
        <w:t xml:space="preserve"> Case C-58/89</w:t>
      </w:r>
      <w:r w:rsidRPr="00330981">
        <w:rPr>
          <w:i/>
          <w:iCs/>
        </w:rPr>
        <w:t xml:space="preserve"> Commission v</w:t>
      </w:r>
      <w:r w:rsidR="00F44A6E" w:rsidRPr="00330981">
        <w:rPr>
          <w:i/>
          <w:iCs/>
        </w:rPr>
        <w:t>.</w:t>
      </w:r>
      <w:r w:rsidRPr="00330981">
        <w:rPr>
          <w:i/>
          <w:iCs/>
        </w:rPr>
        <w:t xml:space="preserve"> Germany</w:t>
      </w:r>
      <w:r w:rsidR="00E229AC" w:rsidRPr="00330981">
        <w:t xml:space="preserve"> (n</w:t>
      </w:r>
      <w:r w:rsidR="009C4C6A" w:rsidRPr="00330981">
        <w:t xml:space="preserve"> 12)</w:t>
      </w:r>
      <w:r w:rsidRPr="00330981">
        <w:t xml:space="preserve"> para 14;  </w:t>
      </w:r>
      <w:r w:rsidRPr="00330981">
        <w:rPr>
          <w:i/>
          <w:iCs/>
        </w:rPr>
        <w:t>Janecek</w:t>
      </w:r>
      <w:r w:rsidR="007546B8" w:rsidRPr="00330981">
        <w:t xml:space="preserve"> (n 24)</w:t>
      </w:r>
      <w:r w:rsidRPr="00330981">
        <w:t xml:space="preserve"> para 38.</w:t>
      </w:r>
    </w:p>
  </w:footnote>
  <w:footnote w:id="48">
    <w:p w14:paraId="21333F81" w14:textId="675F7E9D" w:rsidR="005B4A0C" w:rsidRPr="00330981" w:rsidRDefault="005B4A0C" w:rsidP="005B4A0C">
      <w:pPr>
        <w:pStyle w:val="FootnoteText"/>
      </w:pPr>
      <w:r w:rsidRPr="008D2F4A">
        <w:rPr>
          <w:rStyle w:val="FootnoteReference"/>
        </w:rPr>
        <w:footnoteRef/>
      </w:r>
      <w:r w:rsidRPr="00330981">
        <w:t xml:space="preserve"> Case C-361/88 </w:t>
      </w:r>
      <w:r w:rsidRPr="00330981">
        <w:rPr>
          <w:i/>
          <w:iCs/>
        </w:rPr>
        <w:t>Commission v</w:t>
      </w:r>
      <w:r w:rsidR="00F44A6E" w:rsidRPr="00330981">
        <w:rPr>
          <w:i/>
          <w:iCs/>
        </w:rPr>
        <w:t>.</w:t>
      </w:r>
      <w:r w:rsidRPr="00330981">
        <w:rPr>
          <w:i/>
          <w:iCs/>
        </w:rPr>
        <w:t xml:space="preserve"> Germany</w:t>
      </w:r>
      <w:r w:rsidR="009C4C6A" w:rsidRPr="00330981">
        <w:t xml:space="preserve"> (n 12)</w:t>
      </w:r>
      <w:r w:rsidRPr="00330981">
        <w:t xml:space="preserve"> para 16</w:t>
      </w:r>
    </w:p>
  </w:footnote>
  <w:footnote w:id="49">
    <w:p w14:paraId="4617F9CD" w14:textId="0C6E10FA" w:rsidR="005B4A0C" w:rsidRPr="00330981" w:rsidRDefault="005B4A0C" w:rsidP="005B4A0C">
      <w:pPr>
        <w:pStyle w:val="FootnoteText"/>
      </w:pPr>
      <w:r w:rsidRPr="008D2F4A">
        <w:rPr>
          <w:rStyle w:val="FootnoteReference"/>
        </w:rPr>
        <w:footnoteRef/>
      </w:r>
      <w:r w:rsidRPr="00330981">
        <w:t xml:space="preserve"> Case C-59/89 </w:t>
      </w:r>
      <w:r w:rsidRPr="00330981">
        <w:rPr>
          <w:i/>
          <w:iCs/>
        </w:rPr>
        <w:t>Commission v</w:t>
      </w:r>
      <w:r w:rsidR="00F44A6E" w:rsidRPr="00330981">
        <w:rPr>
          <w:i/>
          <w:iCs/>
        </w:rPr>
        <w:t>.</w:t>
      </w:r>
      <w:r w:rsidRPr="00330981">
        <w:rPr>
          <w:i/>
          <w:iCs/>
        </w:rPr>
        <w:t xml:space="preserve"> Germany</w:t>
      </w:r>
      <w:r w:rsidR="009C4C6A" w:rsidRPr="00330981">
        <w:t xml:space="preserve"> (n 12)</w:t>
      </w:r>
      <w:r w:rsidRPr="00330981">
        <w:t xml:space="preserve"> para 19. </w:t>
      </w:r>
    </w:p>
  </w:footnote>
  <w:footnote w:id="50">
    <w:p w14:paraId="20D70152" w14:textId="3532432E" w:rsidR="005B4A0C" w:rsidRPr="008D2F4A" w:rsidRDefault="005B4A0C" w:rsidP="005B4A0C">
      <w:pPr>
        <w:pStyle w:val="FootnoteText"/>
        <w:jc w:val="both"/>
      </w:pPr>
      <w:r w:rsidRPr="008D2F4A">
        <w:rPr>
          <w:rStyle w:val="FootnoteReference"/>
        </w:rPr>
        <w:footnoteRef/>
      </w:r>
      <w:r w:rsidRPr="008D2F4A">
        <w:t xml:space="preserve"> </w:t>
      </w:r>
      <w:r w:rsidR="002543A7" w:rsidRPr="008D2F4A">
        <w:t xml:space="preserve">Ugo </w:t>
      </w:r>
      <w:proofErr w:type="spellStart"/>
      <w:r w:rsidRPr="008D2F4A">
        <w:t>Taddei</w:t>
      </w:r>
      <w:proofErr w:type="spellEnd"/>
      <w:r w:rsidRPr="008D2F4A">
        <w:t xml:space="preserve">, </w:t>
      </w:r>
      <w:r w:rsidR="002543A7" w:rsidRPr="008D2F4A">
        <w:t>‘</w:t>
      </w:r>
      <w:r w:rsidRPr="008D2F4A">
        <w:t xml:space="preserve">Case C-723/17 </w:t>
      </w:r>
      <w:proofErr w:type="spellStart"/>
      <w:r w:rsidRPr="008D2F4A">
        <w:rPr>
          <w:i/>
          <w:iCs/>
        </w:rPr>
        <w:t>Craeynest</w:t>
      </w:r>
      <w:proofErr w:type="spellEnd"/>
      <w:r w:rsidRPr="008D2F4A">
        <w:t>: New Developments for the Right to Clean Air in the EU</w:t>
      </w:r>
      <w:r w:rsidR="002543A7" w:rsidRPr="008D2F4A">
        <w:t>’</w:t>
      </w:r>
      <w:r w:rsidRPr="008D2F4A">
        <w:t xml:space="preserve"> (2020) 32 </w:t>
      </w:r>
      <w:r w:rsidRPr="00330981">
        <w:t>Journal of Environmental Law</w:t>
      </w:r>
      <w:r w:rsidRPr="008D2F4A">
        <w:t xml:space="preserve"> 151; </w:t>
      </w:r>
      <w:r w:rsidR="0053111A" w:rsidRPr="008D2F4A">
        <w:t xml:space="preserve">Delphine </w:t>
      </w:r>
      <w:r w:rsidRPr="008D2F4A">
        <w:t xml:space="preserve">Misonne, </w:t>
      </w:r>
      <w:r w:rsidR="0053111A" w:rsidRPr="008D2F4A">
        <w:t>‘</w:t>
      </w:r>
      <w:r w:rsidRPr="008D2F4A">
        <w:t>The Emergence of a Right to Clean Air: Transforming European Union Law Through Litigation and Citizen Science</w:t>
      </w:r>
      <w:r w:rsidR="0053111A" w:rsidRPr="008D2F4A">
        <w:t>’</w:t>
      </w:r>
      <w:r w:rsidRPr="008D2F4A">
        <w:t xml:space="preserve"> (2021) 30 </w:t>
      </w:r>
      <w:r w:rsidRPr="00330981">
        <w:t>Review of European,</w:t>
      </w:r>
      <w:r w:rsidR="0053111A" w:rsidRPr="008D2F4A">
        <w:t xml:space="preserve"> </w:t>
      </w:r>
      <w:r w:rsidRPr="00330981">
        <w:t>Comparative and International Environmental Law</w:t>
      </w:r>
      <w:r w:rsidRPr="008D2F4A">
        <w:t xml:space="preserve"> 34. </w:t>
      </w:r>
      <w:r w:rsidR="0053111A" w:rsidRPr="008D2F4A">
        <w:t xml:space="preserve"> </w:t>
      </w:r>
    </w:p>
  </w:footnote>
  <w:footnote w:id="51">
    <w:p w14:paraId="0F73EB35" w14:textId="51B965F4" w:rsidR="00402288" w:rsidRPr="008D2F4A" w:rsidRDefault="00402288" w:rsidP="00402288">
      <w:pPr>
        <w:pStyle w:val="FootnoteText"/>
        <w:jc w:val="both"/>
      </w:pPr>
      <w:r w:rsidRPr="008D2F4A">
        <w:rPr>
          <w:rStyle w:val="FootnoteReference"/>
        </w:rPr>
        <w:footnoteRef/>
      </w:r>
      <w:r w:rsidRPr="008D2F4A">
        <w:t xml:space="preserve"> Misonne</w:t>
      </w:r>
      <w:r w:rsidR="00816B4E" w:rsidRPr="008D2F4A">
        <w:t xml:space="preserve"> (n 50) </w:t>
      </w:r>
      <w:r w:rsidRPr="008D2F4A">
        <w:t xml:space="preserve">37; </w:t>
      </w:r>
      <w:proofErr w:type="spellStart"/>
      <w:r w:rsidRPr="008D2F4A">
        <w:t>Taddei</w:t>
      </w:r>
      <w:proofErr w:type="spellEnd"/>
      <w:r w:rsidR="00816B4E" w:rsidRPr="008D2F4A">
        <w:t xml:space="preserve"> (n 50).</w:t>
      </w:r>
    </w:p>
  </w:footnote>
  <w:footnote w:id="52">
    <w:p w14:paraId="6D130E38" w14:textId="3626D869" w:rsidR="00402288" w:rsidRPr="008D2F4A" w:rsidRDefault="00402288" w:rsidP="00402288">
      <w:pPr>
        <w:pStyle w:val="FootnoteText"/>
      </w:pPr>
      <w:r w:rsidRPr="008D2F4A">
        <w:rPr>
          <w:rStyle w:val="FootnoteReference"/>
        </w:rPr>
        <w:footnoteRef/>
      </w:r>
      <w:r w:rsidRPr="008D2F4A">
        <w:t xml:space="preserve"> Opinion of AG </w:t>
      </w:r>
      <w:proofErr w:type="spellStart"/>
      <w:r w:rsidRPr="008D2F4A">
        <w:t>Kokott</w:t>
      </w:r>
      <w:proofErr w:type="spellEnd"/>
      <w:r w:rsidRPr="008D2F4A">
        <w:t xml:space="preserve"> in Case C-723/17 </w:t>
      </w:r>
      <w:proofErr w:type="spellStart"/>
      <w:r w:rsidRPr="008D2F4A">
        <w:rPr>
          <w:i/>
          <w:iCs/>
        </w:rPr>
        <w:t>Craeynest</w:t>
      </w:r>
      <w:proofErr w:type="spellEnd"/>
      <w:r w:rsidRPr="008D2F4A">
        <w:rPr>
          <w:i/>
          <w:iCs/>
        </w:rPr>
        <w:t xml:space="preserve"> and Others</w:t>
      </w:r>
      <w:r w:rsidRPr="008D2F4A">
        <w:t xml:space="preserve"> </w:t>
      </w:r>
      <w:r w:rsidR="001E6C41" w:rsidRPr="008D2F4A">
        <w:t>ECLI:</w:t>
      </w:r>
      <w:r w:rsidRPr="008D2F4A">
        <w:t xml:space="preserve">EU:C:2019:168, para 53. </w:t>
      </w:r>
    </w:p>
  </w:footnote>
  <w:footnote w:id="53">
    <w:p w14:paraId="735A6414" w14:textId="0B48FB1B" w:rsidR="005B4A0C" w:rsidRPr="00330981" w:rsidRDefault="005B4A0C" w:rsidP="005B4A0C">
      <w:pPr>
        <w:pStyle w:val="FootnoteText"/>
      </w:pPr>
      <w:r w:rsidRPr="008D2F4A">
        <w:rPr>
          <w:rStyle w:val="FootnoteReference"/>
        </w:rPr>
        <w:footnoteRef/>
      </w:r>
      <w:r w:rsidRPr="00330981">
        <w:t xml:space="preserve"> </w:t>
      </w:r>
      <w:proofErr w:type="spellStart"/>
      <w:r w:rsidRPr="00330981">
        <w:t>Beljin</w:t>
      </w:r>
      <w:proofErr w:type="spellEnd"/>
      <w:r w:rsidR="001E6C41" w:rsidRPr="00330981">
        <w:t xml:space="preserve"> (n 40) </w:t>
      </w:r>
      <w:r w:rsidRPr="00330981">
        <w:t>114.</w:t>
      </w:r>
    </w:p>
  </w:footnote>
  <w:footnote w:id="54">
    <w:p w14:paraId="6DBE436E" w14:textId="6F375749" w:rsidR="005B4A0C" w:rsidRPr="008D2F4A" w:rsidRDefault="005B4A0C" w:rsidP="005B4A0C">
      <w:pPr>
        <w:pStyle w:val="FootnoteText"/>
      </w:pPr>
      <w:r w:rsidRPr="008D2F4A">
        <w:rPr>
          <w:rStyle w:val="FootnoteReference"/>
        </w:rPr>
        <w:footnoteRef/>
      </w:r>
      <w:r w:rsidRPr="008D2F4A">
        <w:t xml:space="preserve"> Case C-404/13 </w:t>
      </w:r>
      <w:proofErr w:type="spellStart"/>
      <w:r w:rsidRPr="008D2F4A">
        <w:rPr>
          <w:i/>
          <w:iCs/>
        </w:rPr>
        <w:t>ClientEarth</w:t>
      </w:r>
      <w:proofErr w:type="spellEnd"/>
      <w:r w:rsidR="0096127F" w:rsidRPr="00330981">
        <w:t xml:space="preserve"> (n 27)</w:t>
      </w:r>
      <w:r w:rsidRPr="008D2F4A">
        <w:t xml:space="preserve"> para 58.</w:t>
      </w:r>
    </w:p>
  </w:footnote>
  <w:footnote w:id="55">
    <w:p w14:paraId="372DD004" w14:textId="0CD0FEEF" w:rsidR="005B4A0C" w:rsidRPr="00330981" w:rsidRDefault="005B4A0C" w:rsidP="005B4A0C">
      <w:pPr>
        <w:pStyle w:val="ListParagraph"/>
        <w:spacing w:after="0"/>
        <w:ind w:left="0"/>
        <w:jc w:val="both"/>
      </w:pPr>
      <w:r w:rsidRPr="008D2F4A">
        <w:rPr>
          <w:rStyle w:val="FootnoteReference"/>
        </w:rPr>
        <w:footnoteRef/>
      </w:r>
      <w:r w:rsidRPr="00330981">
        <w:t xml:space="preserve"> European Commission, </w:t>
      </w:r>
      <w:r w:rsidR="001B4077" w:rsidRPr="00330981">
        <w:t>‘</w:t>
      </w:r>
      <w:r w:rsidRPr="00330981">
        <w:t>Commission Notice on Access to Justice in Environmental Matters</w:t>
      </w:r>
      <w:r w:rsidR="001B4077" w:rsidRPr="00330981">
        <w:t>’</w:t>
      </w:r>
      <w:r w:rsidRPr="00330981">
        <w:t xml:space="preserve"> </w:t>
      </w:r>
      <w:r w:rsidR="000F51F0" w:rsidRPr="008D2F4A">
        <w:t>[2017] OJ C275</w:t>
      </w:r>
      <w:r w:rsidR="00E84E09" w:rsidRPr="008D2F4A">
        <w:t>, 16.</w:t>
      </w:r>
    </w:p>
  </w:footnote>
  <w:footnote w:id="56">
    <w:p w14:paraId="7392096F" w14:textId="48D0DE75" w:rsidR="005B4A0C" w:rsidRPr="00330981" w:rsidRDefault="005B4A0C" w:rsidP="005B4A0C">
      <w:pPr>
        <w:spacing w:after="0"/>
        <w:jc w:val="both"/>
        <w:rPr>
          <w:lang w:val="de-DE"/>
        </w:rPr>
      </w:pPr>
      <w:r w:rsidRPr="008D2F4A">
        <w:rPr>
          <w:rStyle w:val="FootnoteReference"/>
        </w:rPr>
        <w:footnoteRef/>
      </w:r>
      <w:r w:rsidRPr="00330981">
        <w:rPr>
          <w:lang w:val="de-DE"/>
        </w:rPr>
        <w:t xml:space="preserve"> </w:t>
      </w:r>
      <w:r w:rsidRPr="00330981">
        <w:rPr>
          <w:lang w:val="de-DE"/>
        </w:rPr>
        <w:t>Ibid</w:t>
      </w:r>
      <w:r w:rsidR="00FF601D" w:rsidRPr="00330981">
        <w:rPr>
          <w:lang w:val="de-DE"/>
        </w:rPr>
        <w:t>.</w:t>
      </w:r>
    </w:p>
  </w:footnote>
  <w:footnote w:id="57">
    <w:p w14:paraId="4480DB50" w14:textId="778E80EB" w:rsidR="005B4A0C" w:rsidRPr="00330981" w:rsidRDefault="005B4A0C" w:rsidP="005B4A0C">
      <w:pPr>
        <w:pStyle w:val="FootnoteText"/>
        <w:jc w:val="both"/>
        <w:rPr>
          <w:lang w:val="de-DE"/>
        </w:rPr>
      </w:pPr>
      <w:r w:rsidRPr="008D2F4A">
        <w:rPr>
          <w:rStyle w:val="FootnoteReference"/>
        </w:rPr>
        <w:footnoteRef/>
      </w:r>
      <w:r w:rsidRPr="00330981">
        <w:rPr>
          <w:lang w:val="de-DE"/>
        </w:rPr>
        <w:t xml:space="preserve"> Krommendijk and Sanderink </w:t>
      </w:r>
      <w:r w:rsidR="00E53668" w:rsidRPr="00330981">
        <w:rPr>
          <w:lang w:val="de-DE"/>
        </w:rPr>
        <w:t xml:space="preserve">(n 9) </w:t>
      </w:r>
      <w:r w:rsidRPr="00330981">
        <w:rPr>
          <w:lang w:val="de-DE"/>
        </w:rPr>
        <w:t>620.</w:t>
      </w:r>
    </w:p>
  </w:footnote>
  <w:footnote w:id="58">
    <w:p w14:paraId="1E6A6CCC" w14:textId="3350C0E6" w:rsidR="005B4A0C" w:rsidRPr="00330981" w:rsidRDefault="005B4A0C" w:rsidP="005B4A0C">
      <w:pPr>
        <w:pStyle w:val="FootnoteText"/>
        <w:rPr>
          <w:lang w:val="de-DE"/>
        </w:rPr>
      </w:pPr>
      <w:r w:rsidRPr="008D2F4A">
        <w:rPr>
          <w:rStyle w:val="FootnoteReference"/>
        </w:rPr>
        <w:footnoteRef/>
      </w:r>
      <w:r w:rsidRPr="00330981">
        <w:rPr>
          <w:lang w:val="de-DE"/>
        </w:rPr>
        <w:t xml:space="preserve"> Case C-752/18 </w:t>
      </w:r>
      <w:r w:rsidRPr="00330981">
        <w:rPr>
          <w:i/>
          <w:iCs/>
          <w:lang w:val="de-DE"/>
        </w:rPr>
        <w:t>Deutsche Umwelthilfe</w:t>
      </w:r>
      <w:r w:rsidR="0027084C" w:rsidRPr="00330981">
        <w:rPr>
          <w:lang w:val="de-DE"/>
        </w:rPr>
        <w:t xml:space="preserve"> (n 5) </w:t>
      </w:r>
      <w:r w:rsidRPr="00330981">
        <w:rPr>
          <w:lang w:val="de-DE"/>
        </w:rPr>
        <w:t>para 54.</w:t>
      </w:r>
    </w:p>
  </w:footnote>
  <w:footnote w:id="59">
    <w:p w14:paraId="73DC94B0" w14:textId="3F0EA23A" w:rsidR="005B4A0C" w:rsidRPr="00330981" w:rsidRDefault="005B4A0C" w:rsidP="005B4A0C">
      <w:pPr>
        <w:pStyle w:val="FootnoteText"/>
        <w:jc w:val="both"/>
        <w:rPr>
          <w:lang w:val="de-DE"/>
        </w:rPr>
      </w:pPr>
      <w:r w:rsidRPr="008D2F4A">
        <w:rPr>
          <w:rStyle w:val="FootnoteReference"/>
        </w:rPr>
        <w:footnoteRef/>
      </w:r>
      <w:r w:rsidRPr="0069589D">
        <w:rPr>
          <w:lang w:val="fr-BE"/>
        </w:rPr>
        <w:t xml:space="preserve"> Case C-61/21 </w:t>
      </w:r>
      <w:r w:rsidRPr="0069589D">
        <w:rPr>
          <w:i/>
          <w:iCs/>
          <w:lang w:val="fr-BE"/>
        </w:rPr>
        <w:t>Ministre de la Transition écologique et Premier Ministre (Responsabilité de l’Etat pour la pollution de l’air)</w:t>
      </w:r>
      <w:r w:rsidR="004C00EB" w:rsidRPr="0069589D">
        <w:rPr>
          <w:i/>
          <w:iCs/>
          <w:lang w:val="fr-BE"/>
        </w:rPr>
        <w:t xml:space="preserve"> </w:t>
      </w:r>
      <w:r w:rsidR="004C00EB" w:rsidRPr="0069589D">
        <w:rPr>
          <w:lang w:val="fr-BE"/>
        </w:rPr>
        <w:t>(n 7)</w:t>
      </w:r>
      <w:r w:rsidRPr="0069589D">
        <w:rPr>
          <w:lang w:val="fr-BE"/>
        </w:rPr>
        <w:t xml:space="preserve">. </w:t>
      </w:r>
      <w:r w:rsidRPr="00330981">
        <w:rPr>
          <w:lang w:val="de-DE"/>
        </w:rPr>
        <w:t xml:space="preserve">See further, on that judgment, </w:t>
      </w:r>
      <w:r w:rsidR="0084309C" w:rsidRPr="00330981">
        <w:rPr>
          <w:lang w:val="de-DE"/>
        </w:rPr>
        <w:t xml:space="preserve">Bernhard W </w:t>
      </w:r>
      <w:r w:rsidRPr="00330981">
        <w:rPr>
          <w:lang w:val="de-DE"/>
        </w:rPr>
        <w:t xml:space="preserve">Wegener, </w:t>
      </w:r>
      <w:r w:rsidR="008D2F4A" w:rsidRPr="00330981">
        <w:rPr>
          <w:lang w:val="de-DE"/>
        </w:rPr>
        <w:t>‘</w:t>
      </w:r>
      <w:r w:rsidRPr="00330981">
        <w:rPr>
          <w:lang w:val="de-DE"/>
        </w:rPr>
        <w:t xml:space="preserve">No Francovich in Environmental Law: the ECJ’s Decision in </w:t>
      </w:r>
      <w:r w:rsidRPr="00330981">
        <w:rPr>
          <w:i/>
          <w:iCs/>
          <w:lang w:val="de-DE"/>
        </w:rPr>
        <w:t>J.P.</w:t>
      </w:r>
      <w:r w:rsidRPr="00330981">
        <w:rPr>
          <w:lang w:val="de-DE"/>
        </w:rPr>
        <w:t xml:space="preserve"> v. </w:t>
      </w:r>
      <w:r w:rsidRPr="00330981">
        <w:rPr>
          <w:i/>
          <w:iCs/>
          <w:lang w:val="de-DE"/>
        </w:rPr>
        <w:t>Ministre de la Transition Ecologique</w:t>
      </w:r>
      <w:r w:rsidR="00FA3AFC" w:rsidRPr="00330981">
        <w:rPr>
          <w:lang w:val="de-DE"/>
        </w:rPr>
        <w:t>‘</w:t>
      </w:r>
      <w:r w:rsidRPr="00330981">
        <w:rPr>
          <w:lang w:val="de-DE"/>
        </w:rPr>
        <w:t xml:space="preserve"> (2023) 60 C</w:t>
      </w:r>
      <w:r w:rsidR="00FA3AFC" w:rsidRPr="00330981">
        <w:rPr>
          <w:lang w:val="de-DE"/>
        </w:rPr>
        <w:t xml:space="preserve">ommon Market Law Review </w:t>
      </w:r>
      <w:r w:rsidRPr="00330981">
        <w:rPr>
          <w:lang w:val="de-DE"/>
        </w:rPr>
        <w:t xml:space="preserve"> 1773.</w:t>
      </w:r>
    </w:p>
  </w:footnote>
  <w:footnote w:id="60">
    <w:p w14:paraId="7041282F" w14:textId="2F7256C0" w:rsidR="005B4A0C" w:rsidRPr="00330981" w:rsidRDefault="005B4A0C" w:rsidP="005B4A0C">
      <w:pPr>
        <w:pStyle w:val="FootnoteText"/>
        <w:rPr>
          <w:lang w:val="fr-BE"/>
        </w:rPr>
      </w:pPr>
      <w:r w:rsidRPr="008D2F4A">
        <w:rPr>
          <w:rStyle w:val="FootnoteReference"/>
        </w:rPr>
        <w:footnoteRef/>
      </w:r>
      <w:r w:rsidRPr="00330981">
        <w:rPr>
          <w:lang w:val="fr-BE"/>
        </w:rPr>
        <w:t xml:space="preserve"> </w:t>
      </w:r>
      <w:r w:rsidR="00E55767" w:rsidRPr="0069589D">
        <w:rPr>
          <w:lang w:val="fr-BE"/>
        </w:rPr>
        <w:t xml:space="preserve">Case C-61/21 </w:t>
      </w:r>
      <w:r w:rsidR="00E55767" w:rsidRPr="0069589D">
        <w:rPr>
          <w:i/>
          <w:iCs/>
          <w:lang w:val="fr-BE"/>
        </w:rPr>
        <w:t xml:space="preserve">Ministre de la Transition écologique et Premier Ministre (Responsabilité de l’Etat pour la pollution de l’air) </w:t>
      </w:r>
      <w:r w:rsidR="00E55767" w:rsidRPr="0069589D">
        <w:rPr>
          <w:lang w:val="fr-BE"/>
        </w:rPr>
        <w:t xml:space="preserve">(n 7) para </w:t>
      </w:r>
      <w:r w:rsidRPr="00330981">
        <w:rPr>
          <w:lang w:val="fr-BE"/>
        </w:rPr>
        <w:t xml:space="preserve">42. </w:t>
      </w:r>
    </w:p>
  </w:footnote>
  <w:footnote w:id="61">
    <w:p w14:paraId="0EAF83D8" w14:textId="5076C8C2" w:rsidR="005B4A0C" w:rsidRPr="00330981" w:rsidRDefault="005B4A0C" w:rsidP="005B4A0C">
      <w:pPr>
        <w:pStyle w:val="FootnoteText"/>
      </w:pPr>
      <w:r w:rsidRPr="008D2F4A">
        <w:rPr>
          <w:rStyle w:val="FootnoteReference"/>
        </w:rPr>
        <w:footnoteRef/>
      </w:r>
      <w:r w:rsidRPr="00330981">
        <w:t xml:space="preserve"> Ibid para 55.</w:t>
      </w:r>
    </w:p>
  </w:footnote>
  <w:footnote w:id="62">
    <w:p w14:paraId="7E61B72D" w14:textId="78009F7A" w:rsidR="005B4A0C" w:rsidRPr="00330981" w:rsidRDefault="005B4A0C" w:rsidP="005B4A0C">
      <w:pPr>
        <w:pStyle w:val="FootnoteText"/>
      </w:pPr>
      <w:r w:rsidRPr="008D2F4A">
        <w:rPr>
          <w:rStyle w:val="FootnoteReference"/>
        </w:rPr>
        <w:footnoteRef/>
      </w:r>
      <w:r w:rsidRPr="00330981">
        <w:t xml:space="preserve"> Ibid para 56.</w:t>
      </w:r>
    </w:p>
  </w:footnote>
  <w:footnote w:id="63">
    <w:p w14:paraId="05BD4505" w14:textId="4AF305D4" w:rsidR="005B4A0C" w:rsidRPr="008D2F4A" w:rsidRDefault="005B4A0C" w:rsidP="005B4A0C">
      <w:pPr>
        <w:pStyle w:val="FootnoteText"/>
        <w:jc w:val="both"/>
      </w:pPr>
      <w:r w:rsidRPr="008D2F4A">
        <w:rPr>
          <w:rStyle w:val="FootnoteReference"/>
        </w:rPr>
        <w:footnoteRef/>
      </w:r>
      <w:r w:rsidRPr="008D2F4A">
        <w:t xml:space="preserve"> </w:t>
      </w:r>
      <w:proofErr w:type="spellStart"/>
      <w:r w:rsidRPr="008D2F4A">
        <w:t>Krommendijk</w:t>
      </w:r>
      <w:proofErr w:type="spellEnd"/>
      <w:r w:rsidRPr="008D2F4A">
        <w:t xml:space="preserve"> and </w:t>
      </w:r>
      <w:proofErr w:type="spellStart"/>
      <w:r w:rsidRPr="008D2F4A">
        <w:t>Sanderink</w:t>
      </w:r>
      <w:proofErr w:type="spellEnd"/>
      <w:r w:rsidR="00E55767" w:rsidRPr="008D2F4A">
        <w:t xml:space="preserve"> (n 9)</w:t>
      </w:r>
      <w:r w:rsidRPr="008D2F4A">
        <w:t>.</w:t>
      </w:r>
    </w:p>
  </w:footnote>
  <w:footnote w:id="64">
    <w:p w14:paraId="490D741B" w14:textId="6DAF880F" w:rsidR="005B4A0C" w:rsidRPr="008D2F4A" w:rsidRDefault="005B4A0C" w:rsidP="005B4A0C">
      <w:pPr>
        <w:pStyle w:val="FootnoteText"/>
        <w:jc w:val="both"/>
      </w:pPr>
      <w:r w:rsidRPr="008D2F4A">
        <w:rPr>
          <w:rStyle w:val="FootnoteReference"/>
        </w:rPr>
        <w:footnoteRef/>
      </w:r>
      <w:r w:rsidRPr="008D2F4A">
        <w:t xml:space="preserve"> </w:t>
      </w:r>
      <w:r w:rsidR="00B55B4D" w:rsidRPr="008D2F4A">
        <w:t xml:space="preserve">Mario </w:t>
      </w:r>
      <w:r w:rsidRPr="008D2F4A">
        <w:t xml:space="preserve">Pagano, </w:t>
      </w:r>
      <w:r w:rsidR="00BD4926" w:rsidRPr="008D2F4A">
        <w:t>‘</w:t>
      </w:r>
      <w:r w:rsidRPr="008D2F4A">
        <w:t xml:space="preserve">Human Rights and Ineffective Public Duties: </w:t>
      </w:r>
      <w:r w:rsidR="00E94352" w:rsidRPr="008D2F4A">
        <w:t>T</w:t>
      </w:r>
      <w:r w:rsidRPr="008D2F4A">
        <w:t xml:space="preserve">he Grand Chamber Judgment in </w:t>
      </w:r>
      <w:r w:rsidRPr="008D2F4A">
        <w:rPr>
          <w:i/>
          <w:iCs/>
        </w:rPr>
        <w:t xml:space="preserve">JP v. </w:t>
      </w:r>
      <w:proofErr w:type="spellStart"/>
      <w:r w:rsidRPr="008D2F4A">
        <w:rPr>
          <w:i/>
          <w:iCs/>
        </w:rPr>
        <w:t>Ministre</w:t>
      </w:r>
      <w:proofErr w:type="spellEnd"/>
      <w:r w:rsidRPr="008D2F4A">
        <w:rPr>
          <w:i/>
          <w:iCs/>
        </w:rPr>
        <w:t xml:space="preserve"> de la Transition </w:t>
      </w:r>
      <w:proofErr w:type="spellStart"/>
      <w:r w:rsidRPr="008D2F4A">
        <w:rPr>
          <w:i/>
          <w:iCs/>
        </w:rPr>
        <w:t>écologique</w:t>
      </w:r>
      <w:proofErr w:type="spellEnd"/>
      <w:r w:rsidR="00BD4926" w:rsidRPr="008D2F4A">
        <w:t>’</w:t>
      </w:r>
      <w:r w:rsidRPr="008D2F4A">
        <w:t xml:space="preserve"> (2023) European Law Blog &lt;</w:t>
      </w:r>
      <w:r w:rsidR="00C947BB" w:rsidRPr="008D2F4A">
        <w:t xml:space="preserve">www.europeanlawblog.eu/pub/human-rights-and-ineffective-public-duties-the-grand-chamber-judgment-in-jp-v-ministre-de-la-transition-ecologique/release/1&gt; </w:t>
      </w:r>
      <w:r w:rsidRPr="008D2F4A">
        <w:t>accessed 18 December 2023.</w:t>
      </w:r>
    </w:p>
  </w:footnote>
  <w:footnote w:id="65">
    <w:p w14:paraId="756818A0" w14:textId="5EB9E0A4" w:rsidR="00E94352" w:rsidRPr="00330981" w:rsidRDefault="00E94352" w:rsidP="003E16F9">
      <w:pPr>
        <w:pStyle w:val="FootnoteText"/>
        <w:jc w:val="both"/>
      </w:pPr>
      <w:r w:rsidRPr="008D2F4A">
        <w:rPr>
          <w:rStyle w:val="FootnoteReference"/>
        </w:rPr>
        <w:footnoteRef/>
      </w:r>
      <w:r w:rsidRPr="008D2F4A">
        <w:t xml:space="preserve"> </w:t>
      </w:r>
      <w:proofErr w:type="spellStart"/>
      <w:r w:rsidRPr="008D2F4A">
        <w:t>Krommendijk</w:t>
      </w:r>
      <w:proofErr w:type="spellEnd"/>
      <w:r w:rsidRPr="008D2F4A">
        <w:t xml:space="preserve"> and </w:t>
      </w:r>
      <w:proofErr w:type="spellStart"/>
      <w:r w:rsidRPr="008D2F4A">
        <w:t>Sanderink</w:t>
      </w:r>
      <w:proofErr w:type="spellEnd"/>
      <w:r w:rsidR="00C96454" w:rsidRPr="008D2F4A">
        <w:t xml:space="preserve"> (n 9) </w:t>
      </w:r>
      <w:r w:rsidRPr="008D2F4A">
        <w:t>626</w:t>
      </w:r>
      <w:r w:rsidR="00C96454" w:rsidRPr="008D2F4A">
        <w:t>ff</w:t>
      </w:r>
      <w:r w:rsidR="00402288" w:rsidRPr="008D2F4A">
        <w:t>.</w:t>
      </w:r>
    </w:p>
  </w:footnote>
  <w:footnote w:id="66">
    <w:p w14:paraId="242C1EDB" w14:textId="2AEB0716" w:rsidR="005B4A0C" w:rsidRPr="008D2F4A" w:rsidRDefault="005B4A0C" w:rsidP="005B4A0C">
      <w:pPr>
        <w:pStyle w:val="FootnoteText"/>
        <w:jc w:val="both"/>
      </w:pPr>
      <w:r w:rsidRPr="008D2F4A">
        <w:rPr>
          <w:rStyle w:val="FootnoteReference"/>
        </w:rPr>
        <w:footnoteRef/>
      </w:r>
      <w:r w:rsidRPr="008D2F4A">
        <w:t xml:space="preserve"> </w:t>
      </w:r>
      <w:r w:rsidR="00E94352" w:rsidRPr="008D2F4A">
        <w:t>Ibid</w:t>
      </w:r>
      <w:r w:rsidRPr="008D2F4A">
        <w:t>.</w:t>
      </w:r>
    </w:p>
  </w:footnote>
  <w:footnote w:id="67">
    <w:p w14:paraId="4BA87260" w14:textId="5AE50625" w:rsidR="005B4A0C" w:rsidRPr="008D2F4A" w:rsidRDefault="005B4A0C" w:rsidP="005B4A0C">
      <w:pPr>
        <w:pStyle w:val="FootnoteText"/>
        <w:jc w:val="both"/>
      </w:pPr>
      <w:r w:rsidRPr="008D2F4A">
        <w:rPr>
          <w:rStyle w:val="FootnoteReference"/>
        </w:rPr>
        <w:footnoteRef/>
      </w:r>
      <w:r w:rsidRPr="008D2F4A">
        <w:t xml:space="preserve"> See similarly </w:t>
      </w:r>
      <w:proofErr w:type="spellStart"/>
      <w:r w:rsidRPr="008D2F4A">
        <w:t>Stagstrup</w:t>
      </w:r>
      <w:proofErr w:type="spellEnd"/>
      <w:r w:rsidR="00F93E4A" w:rsidRPr="008D2F4A">
        <w:t xml:space="preserve"> (n 44)</w:t>
      </w:r>
      <w:r w:rsidR="00E6268F" w:rsidRPr="008D2F4A">
        <w:t xml:space="preserve"> </w:t>
      </w:r>
      <w:r w:rsidRPr="008D2F4A">
        <w:t xml:space="preserve">355. </w:t>
      </w:r>
    </w:p>
  </w:footnote>
  <w:footnote w:id="68">
    <w:p w14:paraId="1838BD45" w14:textId="6199D4EB" w:rsidR="005B4A0C" w:rsidRPr="008D2F4A" w:rsidRDefault="005B4A0C" w:rsidP="005B4A0C">
      <w:pPr>
        <w:pStyle w:val="FootnoteText"/>
        <w:jc w:val="both"/>
      </w:pPr>
      <w:r w:rsidRPr="008D2F4A">
        <w:rPr>
          <w:rStyle w:val="FootnoteReference"/>
        </w:rPr>
        <w:footnoteRef/>
      </w:r>
      <w:r w:rsidRPr="008D2F4A">
        <w:t xml:space="preserve"> </w:t>
      </w:r>
      <w:r w:rsidR="00763804" w:rsidRPr="008D2F4A">
        <w:t xml:space="preserve">European Commission, </w:t>
      </w:r>
      <w:r w:rsidR="007F2CBD" w:rsidRPr="008D2F4A">
        <w:t>‘</w:t>
      </w:r>
      <w:r w:rsidRPr="008D2F4A">
        <w:t>Pathway to a healthy planet for all. EU Action Plan: “Towards Zero Pollution for Air Water and Soil”</w:t>
      </w:r>
      <w:r w:rsidR="007F2CBD" w:rsidRPr="008D2F4A">
        <w:t>’ (Communication)</w:t>
      </w:r>
      <w:r w:rsidRPr="008D2F4A">
        <w:t xml:space="preserve"> COM(2021) 400 final. </w:t>
      </w:r>
    </w:p>
  </w:footnote>
  <w:footnote w:id="69">
    <w:p w14:paraId="53C1C539" w14:textId="3BE5AE18" w:rsidR="005B4A0C" w:rsidRPr="008D2F4A" w:rsidRDefault="005B4A0C" w:rsidP="005B4A0C">
      <w:pPr>
        <w:pStyle w:val="FootnoteText"/>
        <w:jc w:val="both"/>
      </w:pPr>
      <w:r w:rsidRPr="008D2F4A">
        <w:rPr>
          <w:rStyle w:val="FootnoteReference"/>
        </w:rPr>
        <w:footnoteRef/>
      </w:r>
      <w:r w:rsidRPr="008D2F4A">
        <w:t xml:space="preserve"> </w:t>
      </w:r>
      <w:r w:rsidR="00F16775" w:rsidRPr="008D2F4A">
        <w:t>WHO, ‘</w:t>
      </w:r>
      <w:r w:rsidRPr="008D2F4A">
        <w:t xml:space="preserve">WHO </w:t>
      </w:r>
      <w:r w:rsidR="00F16775" w:rsidRPr="008D2F4A">
        <w:t>G</w:t>
      </w:r>
      <w:r w:rsidRPr="008D2F4A">
        <w:t xml:space="preserve">lobal </w:t>
      </w:r>
      <w:r w:rsidR="00F16775" w:rsidRPr="008D2F4A">
        <w:t>A</w:t>
      </w:r>
      <w:r w:rsidRPr="008D2F4A">
        <w:t xml:space="preserve">ir </w:t>
      </w:r>
      <w:r w:rsidR="00F16775" w:rsidRPr="008D2F4A">
        <w:t>Q</w:t>
      </w:r>
      <w:r w:rsidRPr="008D2F4A">
        <w:t xml:space="preserve">uality </w:t>
      </w:r>
      <w:r w:rsidR="00F16775" w:rsidRPr="008D2F4A">
        <w:t>G</w:t>
      </w:r>
      <w:r w:rsidRPr="008D2F4A">
        <w:t xml:space="preserve">uidelines. Particulate </w:t>
      </w:r>
      <w:r w:rsidR="00F16775" w:rsidRPr="008D2F4A">
        <w:t>M</w:t>
      </w:r>
      <w:r w:rsidRPr="008D2F4A">
        <w:t xml:space="preserve">atter (PM2.5 and PM10), </w:t>
      </w:r>
      <w:r w:rsidR="00F16775" w:rsidRPr="008D2F4A">
        <w:t>O</w:t>
      </w:r>
      <w:r w:rsidRPr="008D2F4A">
        <w:t xml:space="preserve">zone, </w:t>
      </w:r>
      <w:r w:rsidR="00F16775" w:rsidRPr="008D2F4A">
        <w:t>N</w:t>
      </w:r>
      <w:r w:rsidRPr="008D2F4A">
        <w:t xml:space="preserve">itrogen </w:t>
      </w:r>
      <w:r w:rsidR="00F16775" w:rsidRPr="008D2F4A">
        <w:t>D</w:t>
      </w:r>
      <w:r w:rsidRPr="008D2F4A">
        <w:t xml:space="preserve">ioxide, </w:t>
      </w:r>
      <w:r w:rsidR="00F16775" w:rsidRPr="008D2F4A">
        <w:t>S</w:t>
      </w:r>
      <w:r w:rsidRPr="008D2F4A">
        <w:t xml:space="preserve">ulphur </w:t>
      </w:r>
      <w:r w:rsidR="00F16775" w:rsidRPr="008D2F4A">
        <w:t>D</w:t>
      </w:r>
      <w:r w:rsidRPr="008D2F4A">
        <w:t xml:space="preserve">ioxide and </w:t>
      </w:r>
      <w:r w:rsidR="00F16775" w:rsidRPr="008D2F4A">
        <w:t>C</w:t>
      </w:r>
      <w:r w:rsidRPr="008D2F4A">
        <w:t xml:space="preserve">arbon </w:t>
      </w:r>
      <w:r w:rsidR="00F16775" w:rsidRPr="008D2F4A">
        <w:t>M</w:t>
      </w:r>
      <w:r w:rsidRPr="008D2F4A">
        <w:t>onoxide</w:t>
      </w:r>
      <w:r w:rsidR="0096644C" w:rsidRPr="008D2F4A">
        <w:t>’</w:t>
      </w:r>
      <w:r w:rsidRPr="008D2F4A">
        <w:t xml:space="preserve"> (2021) 4. </w:t>
      </w:r>
    </w:p>
  </w:footnote>
  <w:footnote w:id="70">
    <w:p w14:paraId="4BB80EA6" w14:textId="7554AA21" w:rsidR="005B4A0C" w:rsidRPr="008D2F4A" w:rsidRDefault="005B4A0C" w:rsidP="005B4A0C">
      <w:pPr>
        <w:pStyle w:val="FootnoteText"/>
        <w:jc w:val="both"/>
      </w:pPr>
      <w:r w:rsidRPr="008D2F4A">
        <w:rPr>
          <w:rStyle w:val="FootnoteReference"/>
        </w:rPr>
        <w:footnoteRef/>
      </w:r>
      <w:r w:rsidRPr="008D2F4A">
        <w:t xml:space="preserve"> European Parliament resolution of 25 March 2021 on the implementation of the Ambient Air Quality Directives: Directive 2004/107/EC and Directive 2008/50/EC (2020/2091(INI)), P9_TA(2021)0107.</w:t>
      </w:r>
    </w:p>
  </w:footnote>
  <w:footnote w:id="71">
    <w:p w14:paraId="6F16C234" w14:textId="7C66D2A0" w:rsidR="005B4A0C" w:rsidRPr="008D2F4A" w:rsidRDefault="005B4A0C" w:rsidP="005B4A0C">
      <w:pPr>
        <w:pStyle w:val="FootnoteText"/>
        <w:jc w:val="both"/>
      </w:pPr>
      <w:r w:rsidRPr="008D2F4A">
        <w:rPr>
          <w:rStyle w:val="FootnoteReference"/>
        </w:rPr>
        <w:footnoteRef/>
      </w:r>
      <w:r w:rsidRPr="008D2F4A">
        <w:t xml:space="preserve"> </w:t>
      </w:r>
      <w:bookmarkStart w:id="2" w:name="_Hlk164856858"/>
      <w:r w:rsidRPr="008D2F4A">
        <w:t xml:space="preserve">European Commission, </w:t>
      </w:r>
      <w:r w:rsidR="001A38D3" w:rsidRPr="008D2F4A">
        <w:t>‘</w:t>
      </w:r>
      <w:r w:rsidRPr="008D2F4A">
        <w:t>Proposal for a Directive of the European Parliament and of the Council on ambient air quality and cleaner air for Europe (recast)</w:t>
      </w:r>
      <w:r w:rsidR="001A38D3" w:rsidRPr="008D2F4A">
        <w:t>’</w:t>
      </w:r>
      <w:r w:rsidRPr="008D2F4A">
        <w:t xml:space="preserve"> COM(2022) 542 final/2,</w:t>
      </w:r>
      <w:bookmarkEnd w:id="2"/>
      <w:r w:rsidRPr="008D2F4A">
        <w:t xml:space="preserve"> 1.  </w:t>
      </w:r>
      <w:r w:rsidR="00D47FAA" w:rsidRPr="008D2F4A">
        <w:t xml:space="preserve">Much of the debate revolved around when and </w:t>
      </w:r>
      <w:r w:rsidRPr="008D2F4A">
        <w:t>to what extent the standards introduced by the recast Directive should be brought in line with the recommendations formulated by the World Health Organization.</w:t>
      </w:r>
    </w:p>
  </w:footnote>
  <w:footnote w:id="72">
    <w:p w14:paraId="5725452B" w14:textId="39159481" w:rsidR="005B4A0C" w:rsidRPr="008D2F4A" w:rsidRDefault="005B4A0C" w:rsidP="005B4A0C">
      <w:pPr>
        <w:pStyle w:val="FootnoteText"/>
        <w:jc w:val="both"/>
      </w:pPr>
      <w:r w:rsidRPr="008D2F4A">
        <w:rPr>
          <w:rStyle w:val="FootnoteReference"/>
        </w:rPr>
        <w:footnoteRef/>
      </w:r>
      <w:r w:rsidRPr="008D2F4A">
        <w:t xml:space="preserve"> Directive (EU) 2024/1785 of the European Parliament and of the Council of 24 April 2024 amending Directive 2010/75/EU of the European Parliament and of the Council on industrial emissions (integrated pollution prevention and control) and Council Directive 1999/31/EC on the landfill of waste (Text with EEA relevance) </w:t>
      </w:r>
      <w:r w:rsidR="008A2D38" w:rsidRPr="008D2F4A">
        <w:t>[</w:t>
      </w:r>
      <w:r w:rsidRPr="008D2F4A">
        <w:t>2024</w:t>
      </w:r>
      <w:r w:rsidR="008A2D38" w:rsidRPr="008D2F4A">
        <w:t>]</w:t>
      </w:r>
      <w:r w:rsidRPr="008D2F4A">
        <w:t xml:space="preserve"> OJ L1/47. </w:t>
      </w:r>
    </w:p>
  </w:footnote>
  <w:footnote w:id="73">
    <w:p w14:paraId="4BDB5B43" w14:textId="674C674C" w:rsidR="005B4A0C" w:rsidRPr="008D2F4A" w:rsidRDefault="005B4A0C" w:rsidP="005B4A0C">
      <w:pPr>
        <w:pStyle w:val="FootnoteText"/>
        <w:jc w:val="both"/>
      </w:pPr>
      <w:r w:rsidRPr="008D2F4A">
        <w:rPr>
          <w:rStyle w:val="FootnoteReference"/>
        </w:rPr>
        <w:footnoteRef/>
      </w:r>
      <w:r w:rsidRPr="008D2F4A">
        <w:t xml:space="preserve"> </w:t>
      </w:r>
      <w:r w:rsidR="00685BB6" w:rsidRPr="008D2F4A">
        <w:t>European Commission, ‘</w:t>
      </w:r>
      <w:r w:rsidRPr="008D2F4A">
        <w:t>Proposal for a Directive of the European Parliament and of the Council concerning urban wastewater treatment (recast)</w:t>
      </w:r>
      <w:r w:rsidR="00685BB6" w:rsidRPr="008D2F4A">
        <w:t>’</w:t>
      </w:r>
      <w:r w:rsidRPr="008D2F4A">
        <w:t xml:space="preserve"> COM(2022) 541 final, </w:t>
      </w:r>
      <w:r w:rsidR="00685BB6" w:rsidRPr="008D2F4A">
        <w:t>art</w:t>
      </w:r>
      <w:r w:rsidRPr="008D2F4A">
        <w:t xml:space="preserve"> 26.</w:t>
      </w:r>
    </w:p>
  </w:footnote>
  <w:footnote w:id="74">
    <w:p w14:paraId="3948EE9C" w14:textId="6B1F73F5" w:rsidR="005B4A0C" w:rsidRPr="008D2F4A" w:rsidRDefault="005B4A0C" w:rsidP="005B4A0C">
      <w:pPr>
        <w:pStyle w:val="FootnoteText"/>
        <w:jc w:val="both"/>
      </w:pPr>
      <w:r w:rsidRPr="008D2F4A">
        <w:rPr>
          <w:rStyle w:val="FootnoteReference"/>
        </w:rPr>
        <w:footnoteRef/>
      </w:r>
      <w:r w:rsidRPr="008D2F4A">
        <w:t xml:space="preserve"> </w:t>
      </w:r>
      <w:r w:rsidR="00C76A78" w:rsidRPr="008D2F4A">
        <w:t>Gráinne d</w:t>
      </w:r>
      <w:r w:rsidRPr="008D2F4A">
        <w:t xml:space="preserve">e </w:t>
      </w:r>
      <w:proofErr w:type="spellStart"/>
      <w:r w:rsidRPr="008D2F4A">
        <w:t>Búrca</w:t>
      </w:r>
      <w:proofErr w:type="spellEnd"/>
      <w:r w:rsidRPr="008D2F4A">
        <w:t xml:space="preserve">, </w:t>
      </w:r>
      <w:r w:rsidR="00C76A78" w:rsidRPr="008D2F4A">
        <w:t>‘</w:t>
      </w:r>
      <w:r w:rsidRPr="008D2F4A">
        <w:t>The Language of Rights and European Integration</w:t>
      </w:r>
      <w:r w:rsidR="00C76A78" w:rsidRPr="008D2F4A">
        <w:t>’</w:t>
      </w:r>
      <w:r w:rsidRPr="008D2F4A">
        <w:t xml:space="preserve"> in </w:t>
      </w:r>
      <w:r w:rsidR="00316931" w:rsidRPr="008D2F4A">
        <w:t xml:space="preserve">Gillian </w:t>
      </w:r>
      <w:r w:rsidRPr="008D2F4A">
        <w:t xml:space="preserve">More and </w:t>
      </w:r>
      <w:r w:rsidR="00316931" w:rsidRPr="008D2F4A">
        <w:t xml:space="preserve">Jo </w:t>
      </w:r>
      <w:r w:rsidRPr="008D2F4A">
        <w:t xml:space="preserve">Shaw (eds), </w:t>
      </w:r>
      <w:r w:rsidRPr="008D2F4A">
        <w:rPr>
          <w:i/>
          <w:iCs/>
        </w:rPr>
        <w:t>New Legal Dynamics of the European Union</w:t>
      </w:r>
      <w:r w:rsidRPr="008D2F4A">
        <w:t xml:space="preserve"> (OUP 1995). In a similar vein, see also</w:t>
      </w:r>
      <w:r w:rsidR="00452A5F" w:rsidRPr="008D2F4A">
        <w:t xml:space="preserve"> Chris</w:t>
      </w:r>
      <w:r w:rsidRPr="008D2F4A">
        <w:t xml:space="preserve"> </w:t>
      </w:r>
      <w:proofErr w:type="spellStart"/>
      <w:r w:rsidRPr="008D2F4A">
        <w:t>Hilson</w:t>
      </w:r>
      <w:proofErr w:type="spellEnd"/>
      <w:r w:rsidRPr="008D2F4A">
        <w:t xml:space="preserve">, </w:t>
      </w:r>
      <w:r w:rsidR="00293B3E" w:rsidRPr="008D2F4A">
        <w:t>‘</w:t>
      </w:r>
      <w:r w:rsidRPr="008D2F4A">
        <w:t xml:space="preserve">The Visibility of Environmental Rights in the EU Legal Order: </w:t>
      </w:r>
      <w:proofErr w:type="spellStart"/>
      <w:r w:rsidRPr="008D2F4A">
        <w:t>Eurolegalism</w:t>
      </w:r>
      <w:proofErr w:type="spellEnd"/>
      <w:r w:rsidRPr="008D2F4A">
        <w:t xml:space="preserve"> in Action?</w:t>
      </w:r>
      <w:r w:rsidR="00293B3E" w:rsidRPr="008D2F4A">
        <w:t>’</w:t>
      </w:r>
      <w:r w:rsidRPr="008D2F4A">
        <w:t xml:space="preserve"> (2018) 25 Journal of European Public Policy 1589. </w:t>
      </w:r>
    </w:p>
  </w:footnote>
  <w:footnote w:id="75">
    <w:p w14:paraId="3DF6A546" w14:textId="77777777" w:rsidR="005B4A0C" w:rsidRPr="008D2F4A" w:rsidRDefault="005B4A0C" w:rsidP="005B4A0C">
      <w:pPr>
        <w:pStyle w:val="FootnoteText"/>
        <w:jc w:val="both"/>
      </w:pPr>
      <w:r w:rsidRPr="008D2F4A">
        <w:rPr>
          <w:rStyle w:val="FootnoteReference"/>
        </w:rPr>
        <w:footnoteRef/>
      </w:r>
      <w:r w:rsidRPr="008D2F4A">
        <w:t xml:space="preserve"> See references cited in footnotes 43 and 47.</w:t>
      </w:r>
    </w:p>
  </w:footnote>
  <w:footnote w:id="76">
    <w:p w14:paraId="3A2F36A9" w14:textId="543FF2B5" w:rsidR="005B4A0C" w:rsidRPr="0069589D" w:rsidRDefault="005B4A0C" w:rsidP="005B4A0C">
      <w:pPr>
        <w:pStyle w:val="FootnoteText"/>
        <w:jc w:val="both"/>
        <w:rPr>
          <w:lang w:val="fr-BE"/>
        </w:rPr>
      </w:pPr>
      <w:r w:rsidRPr="008D2F4A">
        <w:rPr>
          <w:rStyle w:val="FootnoteReference"/>
        </w:rPr>
        <w:footnoteRef/>
      </w:r>
      <w:r w:rsidRPr="008D2F4A">
        <w:t xml:space="preserve"> Although that issue falls outside the scope of this chapter, it should be clear that challenging questions remain about the establishment of causation. </w:t>
      </w:r>
      <w:r w:rsidRPr="0069589D">
        <w:rPr>
          <w:lang w:val="fr-BE"/>
        </w:rPr>
        <w:t xml:space="preserve">See further, on </w:t>
      </w:r>
      <w:proofErr w:type="spellStart"/>
      <w:r w:rsidRPr="0069589D">
        <w:rPr>
          <w:lang w:val="fr-BE"/>
        </w:rPr>
        <w:t>that</w:t>
      </w:r>
      <w:proofErr w:type="spellEnd"/>
      <w:r w:rsidRPr="0069589D">
        <w:rPr>
          <w:lang w:val="fr-BE"/>
        </w:rPr>
        <w:t xml:space="preserve"> issue, </w:t>
      </w:r>
      <w:proofErr w:type="spellStart"/>
      <w:r w:rsidRPr="0069589D">
        <w:rPr>
          <w:lang w:val="fr-BE"/>
        </w:rPr>
        <w:t>e</w:t>
      </w:r>
      <w:r w:rsidR="00452A5F" w:rsidRPr="0069589D">
        <w:rPr>
          <w:lang w:val="fr-BE"/>
        </w:rPr>
        <w:t>g</w:t>
      </w:r>
      <w:proofErr w:type="spellEnd"/>
      <w:r w:rsidRPr="0069589D">
        <w:rPr>
          <w:lang w:val="fr-BE"/>
        </w:rPr>
        <w:t xml:space="preserve">, </w:t>
      </w:r>
      <w:r w:rsidR="008B318D" w:rsidRPr="0069589D">
        <w:rPr>
          <w:lang w:val="fr-BE"/>
        </w:rPr>
        <w:t xml:space="preserve">Antoine </w:t>
      </w:r>
      <w:r w:rsidRPr="0069589D">
        <w:rPr>
          <w:lang w:val="fr-BE"/>
        </w:rPr>
        <w:t xml:space="preserve">Le </w:t>
      </w:r>
      <w:proofErr w:type="spellStart"/>
      <w:r w:rsidRPr="0069589D">
        <w:rPr>
          <w:lang w:val="fr-BE"/>
        </w:rPr>
        <w:t>Dylio</w:t>
      </w:r>
      <w:proofErr w:type="spellEnd"/>
      <w:r w:rsidRPr="0069589D">
        <w:rPr>
          <w:lang w:val="fr-BE"/>
        </w:rPr>
        <w:t xml:space="preserve">, </w:t>
      </w:r>
      <w:r w:rsidR="008B318D" w:rsidRPr="0069589D">
        <w:rPr>
          <w:lang w:val="fr-BE"/>
        </w:rPr>
        <w:t>‘</w:t>
      </w:r>
      <w:r w:rsidRPr="0069589D">
        <w:rPr>
          <w:lang w:val="fr-BE"/>
        </w:rPr>
        <w:t>Lutte contre la Pollution Atmosphérique: La Carence Fautive de l’Etat Reconnue par des Jugements en Demi-Teinte</w:t>
      </w:r>
      <w:r w:rsidR="008B318D" w:rsidRPr="0069589D">
        <w:rPr>
          <w:lang w:val="fr-BE"/>
        </w:rPr>
        <w:t>’</w:t>
      </w:r>
      <w:r w:rsidRPr="0069589D">
        <w:rPr>
          <w:lang w:val="fr-BE"/>
        </w:rPr>
        <w:t xml:space="preserve"> (2019) Revue des droits de l’homme 1, 4; </w:t>
      </w:r>
      <w:r w:rsidR="004A5E04" w:rsidRPr="0069589D">
        <w:rPr>
          <w:lang w:val="fr-BE"/>
        </w:rPr>
        <w:t xml:space="preserve">Maryse </w:t>
      </w:r>
      <w:proofErr w:type="spellStart"/>
      <w:r w:rsidRPr="0069589D">
        <w:rPr>
          <w:lang w:val="fr-BE"/>
        </w:rPr>
        <w:t>Deguergue</w:t>
      </w:r>
      <w:proofErr w:type="spellEnd"/>
      <w:r w:rsidRPr="0069589D">
        <w:rPr>
          <w:lang w:val="fr-BE"/>
        </w:rPr>
        <w:t xml:space="preserve">, </w:t>
      </w:r>
      <w:r w:rsidR="00EC64B6" w:rsidRPr="00330981">
        <w:rPr>
          <w:lang w:val="fr-BE"/>
        </w:rPr>
        <w:t>‘</w:t>
      </w:r>
      <w:r w:rsidRPr="0069589D">
        <w:rPr>
          <w:lang w:val="fr-BE"/>
        </w:rPr>
        <w:t>Pollution de l’Air et Responsabilité de l’Etat</w:t>
      </w:r>
      <w:r w:rsidR="00EC64B6" w:rsidRPr="00330981">
        <w:rPr>
          <w:lang w:val="fr-BE"/>
        </w:rPr>
        <w:t>’</w:t>
      </w:r>
      <w:r w:rsidRPr="0069589D">
        <w:rPr>
          <w:lang w:val="fr-BE"/>
        </w:rPr>
        <w:t xml:space="preserve"> (2018) Energie – Environnement – Infrastructures : actualité, pratiques et enjeux 16, 18.</w:t>
      </w:r>
    </w:p>
  </w:footnote>
  <w:footnote w:id="77">
    <w:p w14:paraId="4050CF21" w14:textId="51F10AB7" w:rsidR="005B4A0C" w:rsidRPr="008D2F4A" w:rsidRDefault="005B4A0C" w:rsidP="005B4A0C">
      <w:pPr>
        <w:pStyle w:val="FootnoteText"/>
      </w:pPr>
      <w:r w:rsidRPr="008D2F4A">
        <w:rPr>
          <w:rStyle w:val="FootnoteReference"/>
        </w:rPr>
        <w:footnoteRef/>
      </w:r>
      <w:r w:rsidRPr="008D2F4A">
        <w:t xml:space="preserve"> Case C-404/13 </w:t>
      </w:r>
      <w:proofErr w:type="spellStart"/>
      <w:r w:rsidRPr="008D2F4A">
        <w:rPr>
          <w:i/>
          <w:iCs/>
        </w:rPr>
        <w:t>ClientEarth</w:t>
      </w:r>
      <w:proofErr w:type="spellEnd"/>
      <w:r w:rsidR="000B221D" w:rsidRPr="008D2F4A">
        <w:t xml:space="preserve"> (n 27)</w:t>
      </w:r>
      <w:r w:rsidRPr="008D2F4A">
        <w:t xml:space="preserve"> para 57.</w:t>
      </w:r>
    </w:p>
  </w:footnote>
  <w:footnote w:id="78">
    <w:p w14:paraId="772707BE" w14:textId="273502D9" w:rsidR="005B4A0C" w:rsidRPr="008D2F4A" w:rsidRDefault="005B4A0C" w:rsidP="005B4A0C">
      <w:pPr>
        <w:pStyle w:val="FootnoteText"/>
      </w:pPr>
      <w:r w:rsidRPr="008D2F4A">
        <w:rPr>
          <w:rStyle w:val="FootnoteReference"/>
        </w:rPr>
        <w:footnoteRef/>
      </w:r>
      <w:r w:rsidRPr="008D2F4A">
        <w:t xml:space="preserve"> </w:t>
      </w:r>
      <w:r w:rsidR="00FB6DFF" w:rsidRPr="008D2F4A">
        <w:t>The recast Ambient Air Directive (n 2) art</w:t>
      </w:r>
      <w:r w:rsidRPr="008D2F4A">
        <w:t xml:space="preserve"> 19(</w:t>
      </w:r>
      <w:r w:rsidR="00050EAA" w:rsidRPr="008D2F4A">
        <w:t>6</w:t>
      </w:r>
      <w:r w:rsidRPr="008D2F4A">
        <w:t>).</w:t>
      </w:r>
    </w:p>
  </w:footnote>
  <w:footnote w:id="79">
    <w:p w14:paraId="2F60ED4D" w14:textId="1A6FEC8E" w:rsidR="005B4A0C" w:rsidRPr="0069589D" w:rsidRDefault="005B4A0C" w:rsidP="005B4A0C">
      <w:pPr>
        <w:pStyle w:val="FootnoteText"/>
        <w:rPr>
          <w:lang w:val="fr-BE"/>
        </w:rPr>
      </w:pPr>
      <w:r w:rsidRPr="008D2F4A">
        <w:rPr>
          <w:rStyle w:val="FootnoteReference"/>
        </w:rPr>
        <w:footnoteRef/>
      </w:r>
      <w:r w:rsidRPr="0069589D">
        <w:rPr>
          <w:lang w:val="fr-BE"/>
        </w:rPr>
        <w:t xml:space="preserve"> Case C-488/15 </w:t>
      </w:r>
      <w:r w:rsidRPr="0069589D">
        <w:rPr>
          <w:i/>
          <w:iCs/>
          <w:lang w:val="fr-BE"/>
        </w:rPr>
        <w:t>Commission v</w:t>
      </w:r>
      <w:r w:rsidR="00915151" w:rsidRPr="0069589D">
        <w:rPr>
          <w:i/>
          <w:iCs/>
          <w:lang w:val="fr-BE"/>
        </w:rPr>
        <w:t>.</w:t>
      </w:r>
      <w:r w:rsidRPr="0069589D">
        <w:rPr>
          <w:i/>
          <w:iCs/>
          <w:lang w:val="fr-BE"/>
        </w:rPr>
        <w:t xml:space="preserve"> </w:t>
      </w:r>
      <w:proofErr w:type="spellStart"/>
      <w:r w:rsidRPr="0069589D">
        <w:rPr>
          <w:i/>
          <w:iCs/>
          <w:lang w:val="fr-BE"/>
        </w:rPr>
        <w:t>Bulgaria</w:t>
      </w:r>
      <w:proofErr w:type="spellEnd"/>
      <w:r w:rsidRPr="0069589D">
        <w:rPr>
          <w:lang w:val="fr-BE"/>
        </w:rPr>
        <w:t xml:space="preserve"> </w:t>
      </w:r>
      <w:r w:rsidR="00FB6DFF" w:rsidRPr="0069589D">
        <w:rPr>
          <w:lang w:val="fr-BE"/>
        </w:rPr>
        <w:t>ECLI:</w:t>
      </w:r>
      <w:r w:rsidRPr="0069589D">
        <w:rPr>
          <w:lang w:val="fr-BE"/>
        </w:rPr>
        <w:t xml:space="preserve">EU:C:2017:267, para 107. </w:t>
      </w:r>
    </w:p>
  </w:footnote>
  <w:footnote w:id="80">
    <w:p w14:paraId="347C5E64" w14:textId="52D2BCFB" w:rsidR="005B4A0C" w:rsidRPr="002F03F5" w:rsidRDefault="005B4A0C" w:rsidP="005B4A0C">
      <w:pPr>
        <w:pStyle w:val="FootnoteText"/>
      </w:pPr>
      <w:r w:rsidRPr="008D2F4A">
        <w:rPr>
          <w:rStyle w:val="FootnoteReference"/>
        </w:rPr>
        <w:footnoteRef/>
      </w:r>
      <w:r w:rsidRPr="008D2F4A">
        <w:t xml:space="preserve"> Interinstitutional File 2022/0347(COD), </w:t>
      </w:r>
      <w:r w:rsidR="006D51D3" w:rsidRPr="008D2F4A">
        <w:t>art</w:t>
      </w:r>
      <w:r w:rsidRPr="008D2F4A">
        <w:t xml:space="preserve"> 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75EE5"/>
    <w:multiLevelType w:val="multilevel"/>
    <w:tmpl w:val="67F6BC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5645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83"/>
    <w:rsid w:val="0000115D"/>
    <w:rsid w:val="00005DFD"/>
    <w:rsid w:val="00046ED0"/>
    <w:rsid w:val="00050EAA"/>
    <w:rsid w:val="00057B98"/>
    <w:rsid w:val="0006050A"/>
    <w:rsid w:val="00073F30"/>
    <w:rsid w:val="00075ACA"/>
    <w:rsid w:val="000A2B0C"/>
    <w:rsid w:val="000A7357"/>
    <w:rsid w:val="000B221D"/>
    <w:rsid w:val="000B6C5C"/>
    <w:rsid w:val="000C3E01"/>
    <w:rsid w:val="000C4BA9"/>
    <w:rsid w:val="000D53A7"/>
    <w:rsid w:val="000F1272"/>
    <w:rsid w:val="000F3F36"/>
    <w:rsid w:val="000F51F0"/>
    <w:rsid w:val="001040A0"/>
    <w:rsid w:val="0014643D"/>
    <w:rsid w:val="00151EE6"/>
    <w:rsid w:val="00161B32"/>
    <w:rsid w:val="001653C6"/>
    <w:rsid w:val="00166391"/>
    <w:rsid w:val="0018042F"/>
    <w:rsid w:val="001A38D3"/>
    <w:rsid w:val="001B1C54"/>
    <w:rsid w:val="001B279E"/>
    <w:rsid w:val="001B4077"/>
    <w:rsid w:val="001C13D1"/>
    <w:rsid w:val="001C23C1"/>
    <w:rsid w:val="001C7A96"/>
    <w:rsid w:val="001D065F"/>
    <w:rsid w:val="001E2420"/>
    <w:rsid w:val="001E6C41"/>
    <w:rsid w:val="001F048A"/>
    <w:rsid w:val="002036ED"/>
    <w:rsid w:val="002054E7"/>
    <w:rsid w:val="00231A76"/>
    <w:rsid w:val="00237454"/>
    <w:rsid w:val="002543A7"/>
    <w:rsid w:val="002605E1"/>
    <w:rsid w:val="002705A9"/>
    <w:rsid w:val="0027084C"/>
    <w:rsid w:val="00273246"/>
    <w:rsid w:val="00281512"/>
    <w:rsid w:val="00293B3E"/>
    <w:rsid w:val="002A56ED"/>
    <w:rsid w:val="002A7CBD"/>
    <w:rsid w:val="002B069A"/>
    <w:rsid w:val="002B7141"/>
    <w:rsid w:val="002C02B3"/>
    <w:rsid w:val="002C03F4"/>
    <w:rsid w:val="002C483D"/>
    <w:rsid w:val="003048CD"/>
    <w:rsid w:val="00316931"/>
    <w:rsid w:val="00326547"/>
    <w:rsid w:val="00330981"/>
    <w:rsid w:val="00330FBB"/>
    <w:rsid w:val="003367C5"/>
    <w:rsid w:val="00351525"/>
    <w:rsid w:val="0036641E"/>
    <w:rsid w:val="00367389"/>
    <w:rsid w:val="003B4D3B"/>
    <w:rsid w:val="003C1F6A"/>
    <w:rsid w:val="003D62F3"/>
    <w:rsid w:val="003D69CC"/>
    <w:rsid w:val="003E16F9"/>
    <w:rsid w:val="003E177F"/>
    <w:rsid w:val="003E350F"/>
    <w:rsid w:val="003E524F"/>
    <w:rsid w:val="003E5764"/>
    <w:rsid w:val="00402288"/>
    <w:rsid w:val="0041399C"/>
    <w:rsid w:val="00415B91"/>
    <w:rsid w:val="00427E3E"/>
    <w:rsid w:val="004439B0"/>
    <w:rsid w:val="00445A06"/>
    <w:rsid w:val="00452A5F"/>
    <w:rsid w:val="004572D8"/>
    <w:rsid w:val="00460472"/>
    <w:rsid w:val="0048650A"/>
    <w:rsid w:val="00492661"/>
    <w:rsid w:val="004A5E04"/>
    <w:rsid w:val="004A7273"/>
    <w:rsid w:val="004B029D"/>
    <w:rsid w:val="004C00EB"/>
    <w:rsid w:val="004C7099"/>
    <w:rsid w:val="004D7293"/>
    <w:rsid w:val="004E1DC6"/>
    <w:rsid w:val="004F0E4E"/>
    <w:rsid w:val="00507A72"/>
    <w:rsid w:val="0053111A"/>
    <w:rsid w:val="00540795"/>
    <w:rsid w:val="00555B71"/>
    <w:rsid w:val="0056147C"/>
    <w:rsid w:val="00582212"/>
    <w:rsid w:val="00590C06"/>
    <w:rsid w:val="005932C5"/>
    <w:rsid w:val="005975AD"/>
    <w:rsid w:val="005A2E45"/>
    <w:rsid w:val="005B4A0C"/>
    <w:rsid w:val="005B4C6D"/>
    <w:rsid w:val="005C7996"/>
    <w:rsid w:val="005F7322"/>
    <w:rsid w:val="00601B6F"/>
    <w:rsid w:val="0063451D"/>
    <w:rsid w:val="00637B17"/>
    <w:rsid w:val="0064250B"/>
    <w:rsid w:val="00654D2C"/>
    <w:rsid w:val="006747AC"/>
    <w:rsid w:val="00685BB6"/>
    <w:rsid w:val="006926F2"/>
    <w:rsid w:val="00693B89"/>
    <w:rsid w:val="0069589D"/>
    <w:rsid w:val="006C14A7"/>
    <w:rsid w:val="006D057E"/>
    <w:rsid w:val="006D51D3"/>
    <w:rsid w:val="006E5A6D"/>
    <w:rsid w:val="006F0FAE"/>
    <w:rsid w:val="006F5AD8"/>
    <w:rsid w:val="007007CC"/>
    <w:rsid w:val="00710D41"/>
    <w:rsid w:val="00740932"/>
    <w:rsid w:val="00746C92"/>
    <w:rsid w:val="007546B8"/>
    <w:rsid w:val="0075788E"/>
    <w:rsid w:val="00763804"/>
    <w:rsid w:val="00765E33"/>
    <w:rsid w:val="007825AD"/>
    <w:rsid w:val="00786814"/>
    <w:rsid w:val="007927B9"/>
    <w:rsid w:val="007D7EF3"/>
    <w:rsid w:val="007F2CBD"/>
    <w:rsid w:val="00816B4E"/>
    <w:rsid w:val="00823A49"/>
    <w:rsid w:val="0084309C"/>
    <w:rsid w:val="00846E00"/>
    <w:rsid w:val="008571F3"/>
    <w:rsid w:val="008637F8"/>
    <w:rsid w:val="008640D1"/>
    <w:rsid w:val="008711BE"/>
    <w:rsid w:val="00873DA8"/>
    <w:rsid w:val="00874297"/>
    <w:rsid w:val="008742B5"/>
    <w:rsid w:val="00896529"/>
    <w:rsid w:val="008A19B8"/>
    <w:rsid w:val="008A2D38"/>
    <w:rsid w:val="008B0790"/>
    <w:rsid w:val="008B318D"/>
    <w:rsid w:val="008B5236"/>
    <w:rsid w:val="008C4559"/>
    <w:rsid w:val="008C4F2C"/>
    <w:rsid w:val="008D0BA1"/>
    <w:rsid w:val="008D2F4A"/>
    <w:rsid w:val="009103C9"/>
    <w:rsid w:val="00915151"/>
    <w:rsid w:val="00925372"/>
    <w:rsid w:val="009255F0"/>
    <w:rsid w:val="0093310C"/>
    <w:rsid w:val="00941B1F"/>
    <w:rsid w:val="00944563"/>
    <w:rsid w:val="0096127F"/>
    <w:rsid w:val="0096644C"/>
    <w:rsid w:val="00967F9A"/>
    <w:rsid w:val="00972964"/>
    <w:rsid w:val="0098523C"/>
    <w:rsid w:val="009A0CEF"/>
    <w:rsid w:val="009A4C53"/>
    <w:rsid w:val="009C4C6A"/>
    <w:rsid w:val="009D7779"/>
    <w:rsid w:val="009E4B5B"/>
    <w:rsid w:val="009F4B6F"/>
    <w:rsid w:val="00A0309B"/>
    <w:rsid w:val="00A11DD8"/>
    <w:rsid w:val="00A356D7"/>
    <w:rsid w:val="00A46056"/>
    <w:rsid w:val="00A64BE5"/>
    <w:rsid w:val="00A861E9"/>
    <w:rsid w:val="00AB28C2"/>
    <w:rsid w:val="00AD07FA"/>
    <w:rsid w:val="00AD1B59"/>
    <w:rsid w:val="00AD31BC"/>
    <w:rsid w:val="00AE6746"/>
    <w:rsid w:val="00B01C9D"/>
    <w:rsid w:val="00B04AEE"/>
    <w:rsid w:val="00B06794"/>
    <w:rsid w:val="00B11779"/>
    <w:rsid w:val="00B47262"/>
    <w:rsid w:val="00B55B4D"/>
    <w:rsid w:val="00B55FED"/>
    <w:rsid w:val="00B6404D"/>
    <w:rsid w:val="00B6645D"/>
    <w:rsid w:val="00B800AD"/>
    <w:rsid w:val="00B903B2"/>
    <w:rsid w:val="00BA60ED"/>
    <w:rsid w:val="00BD4926"/>
    <w:rsid w:val="00BD55C6"/>
    <w:rsid w:val="00BF0766"/>
    <w:rsid w:val="00C00D4B"/>
    <w:rsid w:val="00C202B0"/>
    <w:rsid w:val="00C267AB"/>
    <w:rsid w:val="00C563EB"/>
    <w:rsid w:val="00C57644"/>
    <w:rsid w:val="00C61176"/>
    <w:rsid w:val="00C70719"/>
    <w:rsid w:val="00C76A78"/>
    <w:rsid w:val="00C87E17"/>
    <w:rsid w:val="00C947BB"/>
    <w:rsid w:val="00C96454"/>
    <w:rsid w:val="00C97751"/>
    <w:rsid w:val="00CA3FEA"/>
    <w:rsid w:val="00CB1650"/>
    <w:rsid w:val="00CC5329"/>
    <w:rsid w:val="00CF71A0"/>
    <w:rsid w:val="00D20003"/>
    <w:rsid w:val="00D47FAA"/>
    <w:rsid w:val="00D57164"/>
    <w:rsid w:val="00D577C2"/>
    <w:rsid w:val="00D678E1"/>
    <w:rsid w:val="00D80060"/>
    <w:rsid w:val="00D8498B"/>
    <w:rsid w:val="00DB2041"/>
    <w:rsid w:val="00DB58BA"/>
    <w:rsid w:val="00DB6CE7"/>
    <w:rsid w:val="00DC6218"/>
    <w:rsid w:val="00DD3FBA"/>
    <w:rsid w:val="00DD6ED9"/>
    <w:rsid w:val="00DF37BC"/>
    <w:rsid w:val="00E02A3F"/>
    <w:rsid w:val="00E229AC"/>
    <w:rsid w:val="00E46910"/>
    <w:rsid w:val="00E53668"/>
    <w:rsid w:val="00E55767"/>
    <w:rsid w:val="00E6268F"/>
    <w:rsid w:val="00E71183"/>
    <w:rsid w:val="00E7524C"/>
    <w:rsid w:val="00E84E09"/>
    <w:rsid w:val="00E94352"/>
    <w:rsid w:val="00EC64B6"/>
    <w:rsid w:val="00ED158F"/>
    <w:rsid w:val="00EE2181"/>
    <w:rsid w:val="00EE6C78"/>
    <w:rsid w:val="00F155C5"/>
    <w:rsid w:val="00F16775"/>
    <w:rsid w:val="00F22966"/>
    <w:rsid w:val="00F44A6E"/>
    <w:rsid w:val="00F90632"/>
    <w:rsid w:val="00F909D2"/>
    <w:rsid w:val="00F93E4A"/>
    <w:rsid w:val="00FA3AFC"/>
    <w:rsid w:val="00FB6DFF"/>
    <w:rsid w:val="00FE7DC5"/>
    <w:rsid w:val="00FF60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C947"/>
  <w15:chartTrackingRefBased/>
  <w15:docId w15:val="{1CCB5C45-1126-4FF6-92AB-DBACDCFE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71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1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1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11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11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11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11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11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8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7118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71183"/>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71183"/>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71183"/>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E71183"/>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71183"/>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E71183"/>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71183"/>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E71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18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711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183"/>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71183"/>
    <w:pPr>
      <w:spacing w:before="160"/>
      <w:jc w:val="center"/>
    </w:pPr>
    <w:rPr>
      <w:i/>
      <w:iCs/>
      <w:color w:val="404040" w:themeColor="text1" w:themeTint="BF"/>
    </w:rPr>
  </w:style>
  <w:style w:type="character" w:customStyle="1" w:styleId="QuoteChar">
    <w:name w:val="Quote Char"/>
    <w:basedOn w:val="DefaultParagraphFont"/>
    <w:link w:val="Quote"/>
    <w:uiPriority w:val="29"/>
    <w:rsid w:val="00E71183"/>
    <w:rPr>
      <w:i/>
      <w:iCs/>
      <w:color w:val="404040" w:themeColor="text1" w:themeTint="BF"/>
      <w:lang w:val="en-GB"/>
    </w:rPr>
  </w:style>
  <w:style w:type="paragraph" w:styleId="ListParagraph">
    <w:name w:val="List Paragraph"/>
    <w:basedOn w:val="Normal"/>
    <w:uiPriority w:val="34"/>
    <w:qFormat/>
    <w:rsid w:val="00E71183"/>
    <w:pPr>
      <w:ind w:left="720"/>
      <w:contextualSpacing/>
    </w:pPr>
  </w:style>
  <w:style w:type="character" w:styleId="IntenseEmphasis">
    <w:name w:val="Intense Emphasis"/>
    <w:basedOn w:val="DefaultParagraphFont"/>
    <w:uiPriority w:val="21"/>
    <w:qFormat/>
    <w:rsid w:val="00E71183"/>
    <w:rPr>
      <w:i/>
      <w:iCs/>
      <w:color w:val="0F4761" w:themeColor="accent1" w:themeShade="BF"/>
    </w:rPr>
  </w:style>
  <w:style w:type="paragraph" w:styleId="IntenseQuote">
    <w:name w:val="Intense Quote"/>
    <w:basedOn w:val="Normal"/>
    <w:next w:val="Normal"/>
    <w:link w:val="IntenseQuoteChar"/>
    <w:uiPriority w:val="30"/>
    <w:qFormat/>
    <w:rsid w:val="00E71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183"/>
    <w:rPr>
      <w:i/>
      <w:iCs/>
      <w:color w:val="0F4761" w:themeColor="accent1" w:themeShade="BF"/>
      <w:lang w:val="en-GB"/>
    </w:rPr>
  </w:style>
  <w:style w:type="character" w:styleId="IntenseReference">
    <w:name w:val="Intense Reference"/>
    <w:basedOn w:val="DefaultParagraphFont"/>
    <w:uiPriority w:val="32"/>
    <w:qFormat/>
    <w:rsid w:val="00E71183"/>
    <w:rPr>
      <w:b/>
      <w:bCs/>
      <w:smallCaps/>
      <w:color w:val="0F4761" w:themeColor="accent1" w:themeShade="BF"/>
      <w:spacing w:val="5"/>
    </w:rPr>
  </w:style>
  <w:style w:type="paragraph" w:styleId="FootnoteText">
    <w:name w:val="footnote text"/>
    <w:basedOn w:val="Normal"/>
    <w:link w:val="FootnoteTextChar"/>
    <w:uiPriority w:val="99"/>
    <w:semiHidden/>
    <w:unhideWhenUsed/>
    <w:rsid w:val="00E71183"/>
    <w:pPr>
      <w:spacing w:after="0" w:line="240" w:lineRule="auto"/>
    </w:pPr>
  </w:style>
  <w:style w:type="character" w:customStyle="1" w:styleId="FootnoteTextChar">
    <w:name w:val="Footnote Text Char"/>
    <w:basedOn w:val="DefaultParagraphFont"/>
    <w:link w:val="FootnoteText"/>
    <w:uiPriority w:val="99"/>
    <w:semiHidden/>
    <w:rsid w:val="00E71183"/>
    <w:rPr>
      <w:lang w:val="en-GB"/>
    </w:rPr>
  </w:style>
  <w:style w:type="character" w:styleId="FootnoteReference">
    <w:name w:val="footnote reference"/>
    <w:basedOn w:val="DefaultParagraphFont"/>
    <w:uiPriority w:val="99"/>
    <w:unhideWhenUsed/>
    <w:rsid w:val="00E71183"/>
    <w:rPr>
      <w:vertAlign w:val="superscript"/>
    </w:rPr>
  </w:style>
  <w:style w:type="paragraph" w:styleId="CommentText">
    <w:name w:val="annotation text"/>
    <w:basedOn w:val="Normal"/>
    <w:link w:val="CommentTextChar"/>
    <w:uiPriority w:val="99"/>
    <w:unhideWhenUsed/>
    <w:rsid w:val="00E71183"/>
    <w:pPr>
      <w:spacing w:line="240" w:lineRule="auto"/>
    </w:pPr>
  </w:style>
  <w:style w:type="character" w:customStyle="1" w:styleId="CommentTextChar">
    <w:name w:val="Comment Text Char"/>
    <w:basedOn w:val="DefaultParagraphFont"/>
    <w:link w:val="CommentText"/>
    <w:uiPriority w:val="99"/>
    <w:rsid w:val="00E71183"/>
    <w:rPr>
      <w:lang w:val="en-GB"/>
    </w:rPr>
  </w:style>
  <w:style w:type="character" w:styleId="CommentReference">
    <w:name w:val="annotation reference"/>
    <w:basedOn w:val="DefaultParagraphFont"/>
    <w:uiPriority w:val="99"/>
    <w:semiHidden/>
    <w:unhideWhenUsed/>
    <w:rsid w:val="00E71183"/>
    <w:rPr>
      <w:sz w:val="16"/>
      <w:szCs w:val="16"/>
    </w:rPr>
  </w:style>
  <w:style w:type="paragraph" w:styleId="CommentSubject">
    <w:name w:val="annotation subject"/>
    <w:basedOn w:val="CommentText"/>
    <w:next w:val="CommentText"/>
    <w:link w:val="CommentSubjectChar"/>
    <w:uiPriority w:val="99"/>
    <w:semiHidden/>
    <w:unhideWhenUsed/>
    <w:rsid w:val="00E7524C"/>
    <w:rPr>
      <w:b/>
      <w:bCs/>
    </w:rPr>
  </w:style>
  <w:style w:type="character" w:customStyle="1" w:styleId="CommentSubjectChar">
    <w:name w:val="Comment Subject Char"/>
    <w:basedOn w:val="CommentTextChar"/>
    <w:link w:val="CommentSubject"/>
    <w:uiPriority w:val="99"/>
    <w:semiHidden/>
    <w:rsid w:val="00E7524C"/>
    <w:rPr>
      <w:b/>
      <w:bCs/>
      <w:lang w:val="en-GB"/>
    </w:rPr>
  </w:style>
  <w:style w:type="paragraph" w:styleId="Revision">
    <w:name w:val="Revision"/>
    <w:hidden/>
    <w:uiPriority w:val="99"/>
    <w:semiHidden/>
    <w:rsid w:val="00765E33"/>
    <w:pPr>
      <w:spacing w:after="0" w:line="240" w:lineRule="auto"/>
    </w:pPr>
    <w:rPr>
      <w:lang w:val="en-GB"/>
    </w:rPr>
  </w:style>
  <w:style w:type="character" w:styleId="Hyperlink">
    <w:name w:val="Hyperlink"/>
    <w:basedOn w:val="DefaultParagraphFont"/>
    <w:uiPriority w:val="99"/>
    <w:unhideWhenUsed/>
    <w:rsid w:val="00C947BB"/>
    <w:rPr>
      <w:color w:val="467886" w:themeColor="hyperlink"/>
      <w:u w:val="single"/>
    </w:rPr>
  </w:style>
  <w:style w:type="character" w:styleId="UnresolvedMention">
    <w:name w:val="Unresolved Mention"/>
    <w:basedOn w:val="DefaultParagraphFont"/>
    <w:uiPriority w:val="99"/>
    <w:semiHidden/>
    <w:unhideWhenUsed/>
    <w:rsid w:val="00C9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A5275-CEFC-44EE-A903-5846CAC7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5899</Words>
  <Characters>33626</Characters>
  <Application>Microsoft Office Word</Application>
  <DocSecurity>0</DocSecurity>
  <Lines>280</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Tecqmenne Maxime</dc:creator>
  <cp:keywords/>
  <dc:description/>
  <cp:lastModifiedBy>Peeters, Marjan (ER)</cp:lastModifiedBy>
  <cp:revision>3</cp:revision>
  <dcterms:created xsi:type="dcterms:W3CDTF">2025-02-07T13:04:00Z</dcterms:created>
  <dcterms:modified xsi:type="dcterms:W3CDTF">2025-02-07T13:04:00Z</dcterms:modified>
</cp:coreProperties>
</file>