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C0F9D" w14:textId="77777777" w:rsidR="00905A96" w:rsidRDefault="00905A96"/>
    <w:p w14:paraId="481ADE4C" w14:textId="77777777" w:rsidR="009929B7" w:rsidRDefault="009929B7">
      <w:pPr>
        <w:rPr>
          <w:rFonts w:cstheme="minorHAnsi"/>
          <w:b/>
          <w:bCs/>
          <w:sz w:val="22"/>
          <w:szCs w:val="22"/>
        </w:rPr>
      </w:pPr>
    </w:p>
    <w:p w14:paraId="6AC78792" w14:textId="4EB2ACDD" w:rsidR="00DF7C50" w:rsidRPr="00212C67" w:rsidRDefault="009929B7">
      <w:pPr>
        <w:rPr>
          <w:rFonts w:cstheme="minorHAnsi"/>
          <w:b/>
          <w:bCs/>
          <w:sz w:val="22"/>
          <w:szCs w:val="22"/>
        </w:rPr>
      </w:pPr>
      <w:r>
        <w:rPr>
          <w:rFonts w:cstheme="minorHAnsi"/>
          <w:b/>
          <w:bCs/>
          <w:sz w:val="22"/>
          <w:szCs w:val="22"/>
        </w:rPr>
        <w:t>CARACTÉRISTIQUES CLINIQUES ET D’IMAGERIE D’INFARCTI OSSEUX SUSPECTÉS OU CONFIRMÉS CHEZ 11 CHEVAUX</w:t>
      </w:r>
    </w:p>
    <w:p w14:paraId="4395C70C" w14:textId="77777777" w:rsidR="00F914D1" w:rsidRPr="00F914D1" w:rsidRDefault="00F914D1">
      <w:pPr>
        <w:rPr>
          <w:rFonts w:cstheme="minorHAnsi"/>
          <w:sz w:val="22"/>
          <w:szCs w:val="22"/>
        </w:rPr>
      </w:pPr>
    </w:p>
    <w:p w14:paraId="0113D264" w14:textId="77777777" w:rsidR="008E0557" w:rsidRPr="00F914D1" w:rsidRDefault="008E0557" w:rsidP="008E0557">
      <w:pPr>
        <w:rPr>
          <w:rFonts w:cstheme="minorHAnsi"/>
          <w:b/>
          <w:bCs/>
          <w:sz w:val="22"/>
          <w:szCs w:val="22"/>
        </w:rPr>
      </w:pPr>
      <w:r w:rsidRPr="00F914D1">
        <w:rPr>
          <w:rFonts w:cstheme="minorHAnsi"/>
          <w:b/>
          <w:bCs/>
          <w:sz w:val="22"/>
          <w:szCs w:val="22"/>
        </w:rPr>
        <w:t>Introduction / Objectifs</w:t>
      </w:r>
    </w:p>
    <w:p w14:paraId="707AEA4B" w14:textId="77777777" w:rsidR="008E0557" w:rsidRPr="00F914D1" w:rsidRDefault="008E0557" w:rsidP="008E0557">
      <w:pPr>
        <w:rPr>
          <w:rFonts w:cstheme="minorHAnsi"/>
          <w:sz w:val="22"/>
          <w:szCs w:val="22"/>
        </w:rPr>
      </w:pPr>
      <w:r w:rsidRPr="00F914D1">
        <w:rPr>
          <w:rFonts w:cstheme="minorHAnsi"/>
          <w:sz w:val="22"/>
          <w:szCs w:val="22"/>
        </w:rPr>
        <w:t>Les lésions d’infarctus osseux sont sporadiquement reportées chez les chevaux</w:t>
      </w:r>
      <w:r>
        <w:rPr>
          <w:rFonts w:cstheme="minorHAnsi"/>
          <w:sz w:val="22"/>
          <w:szCs w:val="22"/>
        </w:rPr>
        <w:fldChar w:fldCharType="begin"/>
      </w:r>
      <w:r>
        <w:rPr>
          <w:rFonts w:cstheme="minorHAnsi"/>
          <w:sz w:val="22"/>
          <w:szCs w:val="22"/>
        </w:rPr>
        <w:instrText xml:space="preserve"> ADDIN ZOTERO_ITEM CSL_CITATION {"citationID":"1lMh7oU7","properties":{"formattedCitation":"\\super 1\\uc0\\u8211{}3\\nosupersub{}","plainCitation":"1–3","noteIndex":0},"citationItems":[{"id":440,"uris":["http://zotero.org/users/local/4Ad5Q6ul/items/9PPNG4PC"],"itemData":{"id":440,"type":"article-journal","abstract":"Generalized medullary infarction of the long bones was diagnosed in a 12-year-old Tennessee Walking Horse mare. The mare was referred after a 6-week course of shifting weight on her hind limbs, and kicking. Physical examination revealed mild stifle joint distention and withdrawal reactions to digital pressure over the long bones. Radiography revealed patchy areas of medullary sclerosis in the distal portion of each femur and proximal portion of each tibia. A full-thickness cortical and cancellous tibial biopsy revealed infarcted bone marrow, with cortical and periosteal osteonecrosis. The cause of the intramedullary infarction could not be determined, but might have been attributable to cumulative bone stress resulting from mild primary hyperparathyroidism and some unidentified inflammatory factor.","container-title":"Journal of the American Veterinary Medical Association","ISSN":"0003-1488","issue":"4","journalAbbreviation":"J Am Vet Med Assoc","language":"eng","note":"PMID: 8449806","page":"621-623","source":"PubMed","title":"Generalized medullary infarction of the long bones in a horse","volume":"202","author":[{"family":"Fenger","given":"C. K."},{"family":"Bertone","given":"J. J."},{"family":"Biller","given":"D."},{"family":"Merryman","given":"J."}],"issued":{"date-parts":[["1993",2,15]]}}},{"id":700,"uris":["http://zotero.org/users/local/4Ad5Q6ul/items/6LGRXH36"],"itemData":{"id":700,"type":"article-journal","abstract":"An 8-year-old Warmblood-cross mare presented for investigation of acute onset left hindlimb lameness. Nuclear scintigraphy identified a marked, focal, increase in radiopharmaceutical uptake in the distal aspect of the left tibia. Radiography revealed a large, oval, multi-loculated radiolucent area within the medulla of the distal metaphysis of the left tibia. The mare was treated conservatively for 6 months but showed little improvement in the lameness so the owner elected for euthanasia. Post-mortem computed tomographic imaging revealed a large, oval, hypoattenuating area within the distal tibia, surrounded by a thick, irregular, sclerotic border. The lesion occupied the majority of the medullary cavity but the cortical bone was unaffected. Gross and histopathological examination confirmed a diagnosis of a bone infarction in the medullary cavity of the distal tibia.","container-title":"Equine Veterinary Education","DOI":"10.1111/eve.13335","ISSN":"2042-3292","issue":"11","language":"en","license":"© 2020 The Authors. Equine Veterinary Education published by John Wiley &amp; Sons Ltd on behalf of EVJ Ltd","note":"_eprint: https://onlinelibrary.wiley.com/doi/pdf/10.1111/eve.13335","page":"e423-e428","source":"Wiley Online Library","title":"Advanced imaging of a histologically confirmed bone infarction of the distal tibia in a Warmblood mare","volume":"33","author":[{"family":"Hann","given":"M. J."},{"family":"Rocchigiani","given":"G."},{"family":"Verin","given":"R."},{"family":"Milner","given":"P."},{"family":"Robinson","given":"C."},{"family":"Castro Martins","given":"M."}],"issued":{"date-parts":[["2021"]]}}},{"id":702,"uris":["http://zotero.org/users/local/4Ad5Q6ul/items/BUJGHE82"],"itemData":{"id":702,"type":"article-journal","abstract":"An Andalusian Stallion with left hind limb lameness had a radiolucent lesion in the medullary cavity of distal tibial metaphysis. After euthanasia for other disease, the tibia was examined with magnetic resonance (MR). The MR imaging sequences were characterized by a double line sign, although showing quite different lesion area intensities. Histologically, the lesion was compatible with medullary infarction being characterized by normal spongy bone, areas of abundant fibrous tissue and numerous necrotic adipocytes in various stages of destruction.","container-title":"Veterinary Radiology &amp; Ultrasound","DOI":"10.1111/j.1740-8261.2009.01643.x","ISSN":"1740-8261","issue":"2","language":"en","license":"© 2010 Veterinary Radiology &amp; Ultrasound","note":"_eprint: https://onlinelibrary.wiley.com/doi/pdf/10.1111/j.1740-8261.2009.01643.x","page":"159-161","source":"Wiley Online Library","title":"Imaging Diagnosis—Medullary Tibial Infarction in a Horse","volume":"51","author":[{"family":"Sánchez","given":"Jesus"},{"family":"Gonzalo-Orden","given":"José M."},{"family":"Ginja","given":"Mário M. D."},{"family":"Oliveira","given":"Paula A."},{"family":"Reyes","given":"Luis E."},{"family":"Serantes","given":"Alicia E."},{"family":"Orden","given":"Maria A."}],"issued":{"date-parts":[["2010"]]}}}],"schema":"https://github.com/citation-style-language/schema/raw/master/csl-citation.json"} </w:instrText>
      </w:r>
      <w:r>
        <w:rPr>
          <w:rFonts w:cstheme="minorHAnsi"/>
          <w:sz w:val="22"/>
          <w:szCs w:val="22"/>
        </w:rPr>
        <w:fldChar w:fldCharType="separate"/>
      </w:r>
      <w:r w:rsidRPr="00212C67">
        <w:rPr>
          <w:rFonts w:ascii="Calibri" w:cs="Calibri"/>
          <w:kern w:val="0"/>
          <w:sz w:val="22"/>
          <w:vertAlign w:val="superscript"/>
        </w:rPr>
        <w:t>1–3</w:t>
      </w:r>
      <w:r>
        <w:rPr>
          <w:rFonts w:cstheme="minorHAnsi"/>
          <w:sz w:val="22"/>
          <w:szCs w:val="22"/>
        </w:rPr>
        <w:fldChar w:fldCharType="end"/>
      </w:r>
      <w:r w:rsidRPr="00F914D1">
        <w:rPr>
          <w:rFonts w:cstheme="minorHAnsi"/>
          <w:sz w:val="22"/>
          <w:szCs w:val="22"/>
        </w:rPr>
        <w:t xml:space="preserve">. Cette série de cas rapporte les caractéristiques </w:t>
      </w:r>
      <w:r>
        <w:rPr>
          <w:rFonts w:cstheme="minorHAnsi"/>
          <w:sz w:val="22"/>
          <w:szCs w:val="22"/>
        </w:rPr>
        <w:t xml:space="preserve">cliniques et </w:t>
      </w:r>
      <w:r w:rsidRPr="00F914D1">
        <w:rPr>
          <w:rFonts w:cstheme="minorHAnsi"/>
          <w:sz w:val="22"/>
          <w:szCs w:val="22"/>
        </w:rPr>
        <w:t xml:space="preserve">d’imagerie chez des chevaux présentant une lésion osseuse trabéculaire suspectée ou confirmée comme étant un infarctus osseux. </w:t>
      </w:r>
    </w:p>
    <w:p w14:paraId="367B2048" w14:textId="77777777" w:rsidR="008E0557" w:rsidRPr="00F914D1" w:rsidRDefault="008E0557" w:rsidP="008E0557">
      <w:pPr>
        <w:rPr>
          <w:rFonts w:cstheme="minorHAnsi"/>
          <w:sz w:val="22"/>
          <w:szCs w:val="22"/>
        </w:rPr>
      </w:pPr>
    </w:p>
    <w:p w14:paraId="2C9231B7" w14:textId="77777777" w:rsidR="008E0557" w:rsidRPr="00F914D1" w:rsidRDefault="008E0557" w:rsidP="008E0557">
      <w:pPr>
        <w:rPr>
          <w:rFonts w:cstheme="minorHAnsi"/>
          <w:b/>
          <w:bCs/>
          <w:sz w:val="22"/>
          <w:szCs w:val="22"/>
        </w:rPr>
      </w:pPr>
      <w:r w:rsidRPr="00F914D1">
        <w:rPr>
          <w:rFonts w:cstheme="minorHAnsi"/>
          <w:b/>
          <w:bCs/>
          <w:sz w:val="22"/>
          <w:szCs w:val="22"/>
        </w:rPr>
        <w:t>Méthodes</w:t>
      </w:r>
    </w:p>
    <w:p w14:paraId="7F89FEDC" w14:textId="77777777" w:rsidR="008E0557" w:rsidRPr="00F914D1" w:rsidRDefault="008E0557" w:rsidP="008E0557">
      <w:pPr>
        <w:rPr>
          <w:rFonts w:cstheme="minorHAnsi"/>
          <w:sz w:val="22"/>
          <w:szCs w:val="22"/>
        </w:rPr>
      </w:pPr>
      <w:r w:rsidRPr="00F914D1">
        <w:rPr>
          <w:rFonts w:cstheme="minorHAnsi"/>
          <w:sz w:val="22"/>
          <w:szCs w:val="22"/>
        </w:rPr>
        <w:t>Les chevaux présentant une lésion osseuse trabéculaire caractérisée radiographiquement par une sclérose en coquille d’œuf et des marges serpigineuses, avec ou zone centrale radio-transparente ont été inclus et analysés. Les examen</w:t>
      </w:r>
      <w:r>
        <w:rPr>
          <w:rFonts w:cstheme="minorHAnsi"/>
          <w:sz w:val="22"/>
          <w:szCs w:val="22"/>
        </w:rPr>
        <w:t>s CT</w:t>
      </w:r>
      <w:r w:rsidRPr="00F914D1">
        <w:rPr>
          <w:rFonts w:cstheme="minorHAnsi"/>
          <w:sz w:val="22"/>
          <w:szCs w:val="22"/>
        </w:rPr>
        <w:t xml:space="preserve"> et d’IRM disponibles ont également été examinés. </w:t>
      </w:r>
    </w:p>
    <w:p w14:paraId="6C0345C4" w14:textId="77777777" w:rsidR="008E0557" w:rsidRPr="00F914D1" w:rsidRDefault="008E0557" w:rsidP="008E0557">
      <w:pPr>
        <w:rPr>
          <w:rFonts w:cstheme="minorHAnsi"/>
          <w:sz w:val="22"/>
          <w:szCs w:val="22"/>
        </w:rPr>
      </w:pPr>
    </w:p>
    <w:p w14:paraId="5498562E" w14:textId="77777777" w:rsidR="008E0557" w:rsidRPr="00F914D1" w:rsidRDefault="008E0557" w:rsidP="008E0557">
      <w:pPr>
        <w:rPr>
          <w:rFonts w:cstheme="minorHAnsi"/>
          <w:b/>
          <w:bCs/>
          <w:sz w:val="22"/>
          <w:szCs w:val="22"/>
        </w:rPr>
      </w:pPr>
      <w:r w:rsidRPr="00F914D1">
        <w:rPr>
          <w:rFonts w:cstheme="minorHAnsi"/>
          <w:b/>
          <w:bCs/>
          <w:sz w:val="22"/>
          <w:szCs w:val="22"/>
        </w:rPr>
        <w:t>Résultats</w:t>
      </w:r>
    </w:p>
    <w:p w14:paraId="732F04CA" w14:textId="77777777" w:rsidR="008E0557" w:rsidRPr="00F914D1" w:rsidRDefault="008E0557" w:rsidP="008E0557">
      <w:pPr>
        <w:rPr>
          <w:rFonts w:cstheme="minorHAnsi"/>
          <w:sz w:val="22"/>
          <w:szCs w:val="22"/>
        </w:rPr>
      </w:pPr>
      <w:r w:rsidRPr="00F914D1">
        <w:rPr>
          <w:rFonts w:cstheme="minorHAnsi"/>
          <w:sz w:val="22"/>
          <w:szCs w:val="22"/>
        </w:rPr>
        <w:t xml:space="preserve">Onze chevaux ont été inclus </w:t>
      </w:r>
      <w:r>
        <w:rPr>
          <w:rFonts w:cstheme="minorHAnsi"/>
          <w:sz w:val="22"/>
          <w:szCs w:val="22"/>
        </w:rPr>
        <w:t>(</w:t>
      </w:r>
      <w:r w:rsidRPr="00F914D1">
        <w:rPr>
          <w:rFonts w:cstheme="minorHAnsi"/>
          <w:sz w:val="22"/>
          <w:szCs w:val="22"/>
        </w:rPr>
        <w:t>3</w:t>
      </w:r>
      <w:r>
        <w:rPr>
          <w:rFonts w:cstheme="minorHAnsi"/>
          <w:sz w:val="22"/>
          <w:szCs w:val="22"/>
        </w:rPr>
        <w:t>6</w:t>
      </w:r>
      <w:r w:rsidRPr="00F914D1">
        <w:rPr>
          <w:rFonts w:cstheme="minorHAnsi"/>
          <w:sz w:val="22"/>
          <w:szCs w:val="22"/>
        </w:rPr>
        <w:t xml:space="preserve"> lésions</w:t>
      </w:r>
      <w:r>
        <w:rPr>
          <w:rFonts w:cstheme="minorHAnsi"/>
          <w:sz w:val="22"/>
          <w:szCs w:val="22"/>
        </w:rPr>
        <w:t>)</w:t>
      </w:r>
      <w:r w:rsidRPr="00F914D1">
        <w:rPr>
          <w:rFonts w:cstheme="minorHAnsi"/>
          <w:sz w:val="22"/>
          <w:szCs w:val="22"/>
        </w:rPr>
        <w:t xml:space="preserve">. </w:t>
      </w:r>
      <w:r>
        <w:rPr>
          <w:rFonts w:cstheme="minorHAnsi"/>
          <w:sz w:val="22"/>
          <w:szCs w:val="22"/>
        </w:rPr>
        <w:t xml:space="preserve">Les lésions affectaient plus d’une articulation chez 6/11 chevaux, avec une atteinte bilatérale et symétrique chez 5/6 d’entre eux. 3/5 des autres chevaux, avaient une atteinte unilatérale confirmée. 32/36 lésions étaient </w:t>
      </w:r>
      <w:proofErr w:type="spellStart"/>
      <w:r>
        <w:rPr>
          <w:rFonts w:cstheme="minorHAnsi"/>
          <w:sz w:val="22"/>
          <w:szCs w:val="22"/>
        </w:rPr>
        <w:t>métadiaphysaires</w:t>
      </w:r>
      <w:proofErr w:type="spellEnd"/>
      <w:r>
        <w:rPr>
          <w:rFonts w:cstheme="minorHAnsi"/>
          <w:sz w:val="22"/>
          <w:szCs w:val="22"/>
        </w:rPr>
        <w:t xml:space="preserve"> dont 10 s’étendant également dans l’épiphyse. 4/36 lésions étaient strictement épiphysaires. Quatre chevaux ne présentaient pas de boiterie (23 lésions de découverte fortuite). Chez 5 chevaux (11 lésions) une autre pathologie était considérée responsable de la boiterie. Chez 2 chevaux, une lésion unilatérale affectant le grasset était considérée potentielle cause de la boiterie (pas d’autre lésion identifiée). Les lésions affectant le boulet, le carpe et le radius ont toutes été identifiées chez une pouliche qui présentait 8 articulations atteintes (14 lésions). </w:t>
      </w:r>
      <w:r w:rsidRPr="00F914D1">
        <w:rPr>
          <w:rFonts w:cstheme="minorHAnsi"/>
          <w:sz w:val="22"/>
          <w:szCs w:val="22"/>
        </w:rPr>
        <w:t>A l’IRM</w:t>
      </w:r>
      <w:r>
        <w:rPr>
          <w:rFonts w:cstheme="minorHAnsi"/>
          <w:sz w:val="22"/>
          <w:szCs w:val="22"/>
        </w:rPr>
        <w:t xml:space="preserve"> (3 chevaux)</w:t>
      </w:r>
      <w:r w:rsidRPr="00F914D1">
        <w:rPr>
          <w:rFonts w:cstheme="minorHAnsi"/>
          <w:sz w:val="22"/>
          <w:szCs w:val="22"/>
        </w:rPr>
        <w:t xml:space="preserve"> les lésions étaient centrale</w:t>
      </w:r>
      <w:r>
        <w:rPr>
          <w:rFonts w:cstheme="minorHAnsi"/>
          <w:sz w:val="22"/>
          <w:szCs w:val="22"/>
        </w:rPr>
        <w:t>s</w:t>
      </w:r>
      <w:r w:rsidRPr="00F914D1">
        <w:rPr>
          <w:rFonts w:cstheme="minorHAnsi"/>
          <w:sz w:val="22"/>
          <w:szCs w:val="22"/>
        </w:rPr>
        <w:t xml:space="preserve"> en carte de géographie</w:t>
      </w:r>
      <w:r>
        <w:rPr>
          <w:rFonts w:cstheme="minorHAnsi"/>
          <w:sz w:val="22"/>
          <w:szCs w:val="22"/>
        </w:rPr>
        <w:t xml:space="preserve">, </w:t>
      </w:r>
      <w:r w:rsidRPr="00F914D1">
        <w:rPr>
          <w:rFonts w:cstheme="minorHAnsi"/>
          <w:sz w:val="22"/>
          <w:szCs w:val="22"/>
        </w:rPr>
        <w:t>entourée</w:t>
      </w:r>
      <w:r>
        <w:rPr>
          <w:rFonts w:cstheme="minorHAnsi"/>
          <w:sz w:val="22"/>
          <w:szCs w:val="22"/>
        </w:rPr>
        <w:t>s</w:t>
      </w:r>
      <w:r w:rsidRPr="00F914D1">
        <w:rPr>
          <w:rFonts w:cstheme="minorHAnsi"/>
          <w:sz w:val="22"/>
          <w:szCs w:val="22"/>
        </w:rPr>
        <w:t xml:space="preserve"> d’un halo hypo-intense ou d’une double ligne périphérique </w:t>
      </w:r>
      <w:r>
        <w:rPr>
          <w:rFonts w:cstheme="minorHAnsi"/>
          <w:sz w:val="22"/>
          <w:szCs w:val="22"/>
        </w:rPr>
        <w:t>en pondération T2</w:t>
      </w:r>
      <w:r w:rsidRPr="00F914D1">
        <w:rPr>
          <w:rFonts w:cstheme="minorHAnsi"/>
          <w:sz w:val="22"/>
          <w:szCs w:val="22"/>
        </w:rPr>
        <w:t xml:space="preserve">. Les images CT </w:t>
      </w:r>
      <w:r>
        <w:rPr>
          <w:rFonts w:cstheme="minorHAnsi"/>
          <w:sz w:val="22"/>
          <w:szCs w:val="22"/>
        </w:rPr>
        <w:t xml:space="preserve">(1 cheval) </w:t>
      </w:r>
      <w:r w:rsidRPr="00F914D1">
        <w:rPr>
          <w:rFonts w:cstheme="minorHAnsi"/>
          <w:sz w:val="22"/>
          <w:szCs w:val="22"/>
        </w:rPr>
        <w:t xml:space="preserve">révélaient une zone centrale hypo-atténuante entourée d’une bande sclérotique. Le diagnostic histopathologique a été confirmé chez </w:t>
      </w:r>
      <w:r>
        <w:rPr>
          <w:rFonts w:cstheme="minorHAnsi"/>
          <w:sz w:val="22"/>
          <w:szCs w:val="22"/>
        </w:rPr>
        <w:t>1</w:t>
      </w:r>
      <w:r w:rsidRPr="00F914D1">
        <w:rPr>
          <w:rFonts w:cstheme="minorHAnsi"/>
          <w:sz w:val="22"/>
          <w:szCs w:val="22"/>
        </w:rPr>
        <w:t xml:space="preserve"> cheval. </w:t>
      </w:r>
    </w:p>
    <w:p w14:paraId="6DD7B0AB" w14:textId="77777777" w:rsidR="008E0557" w:rsidRPr="00F914D1" w:rsidRDefault="008E0557" w:rsidP="008E0557">
      <w:pPr>
        <w:rPr>
          <w:rFonts w:cstheme="minorHAnsi"/>
          <w:sz w:val="22"/>
          <w:szCs w:val="22"/>
        </w:rPr>
      </w:pPr>
    </w:p>
    <w:p w14:paraId="06A1708F" w14:textId="77777777" w:rsidR="008E0557" w:rsidRPr="00F914D1" w:rsidRDefault="008E0557" w:rsidP="008E0557">
      <w:pPr>
        <w:rPr>
          <w:rFonts w:cstheme="minorHAnsi"/>
          <w:b/>
          <w:bCs/>
          <w:sz w:val="22"/>
          <w:szCs w:val="22"/>
        </w:rPr>
      </w:pPr>
      <w:r w:rsidRPr="00F914D1">
        <w:rPr>
          <w:rFonts w:cstheme="minorHAnsi"/>
          <w:b/>
          <w:bCs/>
          <w:sz w:val="22"/>
          <w:szCs w:val="22"/>
        </w:rPr>
        <w:t>Discussion/Conclusion</w:t>
      </w:r>
    </w:p>
    <w:p w14:paraId="7A67C8BB" w14:textId="77777777" w:rsidR="008E0557" w:rsidRPr="00895C4D" w:rsidRDefault="008E0557" w:rsidP="008E0557">
      <w:pPr>
        <w:rPr>
          <w:rFonts w:cstheme="minorHAnsi"/>
          <w:b/>
          <w:bCs/>
          <w:sz w:val="22"/>
          <w:szCs w:val="22"/>
        </w:rPr>
      </w:pPr>
      <w:r>
        <w:rPr>
          <w:rFonts w:cstheme="minorHAnsi"/>
          <w:sz w:val="22"/>
          <w:szCs w:val="22"/>
        </w:rPr>
        <w:t>Chez l’Homme</w:t>
      </w:r>
      <w:r w:rsidRPr="00F914D1">
        <w:rPr>
          <w:rFonts w:cstheme="minorHAnsi"/>
          <w:sz w:val="22"/>
          <w:szCs w:val="22"/>
        </w:rPr>
        <w:t xml:space="preserve">, l’infarctus osseux </w:t>
      </w:r>
      <w:proofErr w:type="spellStart"/>
      <w:r>
        <w:rPr>
          <w:rFonts w:cstheme="minorHAnsi"/>
          <w:sz w:val="22"/>
          <w:szCs w:val="22"/>
        </w:rPr>
        <w:t>métadiaphysaire</w:t>
      </w:r>
      <w:proofErr w:type="spellEnd"/>
      <w:r>
        <w:rPr>
          <w:rFonts w:cstheme="minorHAnsi"/>
          <w:sz w:val="22"/>
          <w:szCs w:val="22"/>
        </w:rPr>
        <w:t xml:space="preserve"> </w:t>
      </w:r>
      <w:r w:rsidRPr="00F914D1">
        <w:rPr>
          <w:rFonts w:cstheme="minorHAnsi"/>
          <w:sz w:val="22"/>
          <w:szCs w:val="22"/>
        </w:rPr>
        <w:t>constitu</w:t>
      </w:r>
      <w:r>
        <w:rPr>
          <w:rFonts w:cstheme="minorHAnsi"/>
          <w:sz w:val="22"/>
          <w:szCs w:val="22"/>
        </w:rPr>
        <w:t xml:space="preserve">e fréquemment une </w:t>
      </w:r>
      <w:r w:rsidRPr="00F914D1">
        <w:rPr>
          <w:rFonts w:cstheme="minorHAnsi"/>
          <w:sz w:val="22"/>
          <w:szCs w:val="22"/>
        </w:rPr>
        <w:t>trouvaille fortuite</w:t>
      </w:r>
      <w:r>
        <w:rPr>
          <w:rFonts w:cstheme="minorHAnsi"/>
          <w:sz w:val="22"/>
          <w:szCs w:val="22"/>
        </w:rPr>
        <w:t xml:space="preserve"> et les lésions épiphysaires ont plus souvent une répercussion clinique</w:t>
      </w:r>
      <w:r>
        <w:rPr>
          <w:rFonts w:cstheme="minorHAnsi"/>
          <w:sz w:val="22"/>
          <w:szCs w:val="22"/>
        </w:rPr>
        <w:fldChar w:fldCharType="begin"/>
      </w:r>
      <w:r>
        <w:rPr>
          <w:rFonts w:cstheme="minorHAnsi"/>
          <w:sz w:val="22"/>
          <w:szCs w:val="22"/>
        </w:rPr>
        <w:instrText xml:space="preserve"> ADDIN ZOTERO_ITEM CSL_CITATION {"citationID":"OoUxz0DU","properties":{"formattedCitation":"\\super 4\\nosupersub{}","plainCitation":"4","noteIndex":0},"citationItems":[{"id":705,"uris":["http://zotero.org/users/local/4Ad5Q6ul/items/T2DQ3WFT"],"itemData":{"id":705,"type":"article-journal","abstract":"Osteonecrosis is a relatively common condition, which may be idiopathic or secondary to a variety of clinical situations. It may involve the subarticular region of a joint, when it is commonly referred to as ischaemic necrosis, or the metaphyseal regions of long bones, when it is referred to as bone infarction. In both situations, early lesions may be radiographically occult. However, magnetic resonance imaging (MRI) is very sensitive in identifying and characterizing osteonecrosis. This review illustrates the varied MRI features of osteonecrosis that enable a confident diagnosis to be made. Complications and differential diagnosis are also considered.","container-title":"Clinical Radiology","DOI":"10.1016/j.crad.2004.04.014","ISSN":"0009-9260","issue":"12","journalAbbreviation":"Clin Radiol","language":"eng","note":"PMID: 15556590","page":"1079-1093","source":"PubMed","title":"MRI of osteonecrosis","volume":"59","author":[{"family":"Saini","given":"A."},{"family":"Saifuddin","given":"A."}],"issued":{"date-parts":[["2004",12]]}}}],"schema":"https://github.com/citation-style-language/schema/raw/master/csl-citation.json"} </w:instrText>
      </w:r>
      <w:r>
        <w:rPr>
          <w:rFonts w:cstheme="minorHAnsi"/>
          <w:sz w:val="22"/>
          <w:szCs w:val="22"/>
        </w:rPr>
        <w:fldChar w:fldCharType="separate"/>
      </w:r>
      <w:r w:rsidRPr="00DE5C60">
        <w:rPr>
          <w:rFonts w:ascii="Calibri" w:cs="Calibri"/>
          <w:kern w:val="0"/>
          <w:sz w:val="22"/>
          <w:vertAlign w:val="superscript"/>
        </w:rPr>
        <w:t>4</w:t>
      </w:r>
      <w:r>
        <w:rPr>
          <w:rFonts w:cstheme="minorHAnsi"/>
          <w:sz w:val="22"/>
          <w:szCs w:val="22"/>
        </w:rPr>
        <w:fldChar w:fldCharType="end"/>
      </w:r>
      <w:r w:rsidRPr="00F914D1">
        <w:rPr>
          <w:rFonts w:cstheme="minorHAnsi"/>
          <w:sz w:val="22"/>
          <w:szCs w:val="22"/>
        </w:rPr>
        <w:t>. De façon similaire dans cette série de cas, des lésions osseuses trabéculaires présentant des caractéristiques compatibles avec un infarctus osseux ont été rapportées comme trouvailles fortuites chez des chevaux non boiteux.</w:t>
      </w:r>
    </w:p>
    <w:p w14:paraId="026B2A57" w14:textId="77777777" w:rsidR="00212C67" w:rsidRDefault="00212C67">
      <w:pPr>
        <w:rPr>
          <w:rFonts w:cstheme="minorHAnsi"/>
          <w:sz w:val="22"/>
          <w:szCs w:val="22"/>
        </w:rPr>
      </w:pPr>
    </w:p>
    <w:p w14:paraId="220E9BB5" w14:textId="6EC2ACD3" w:rsidR="00A15834" w:rsidRPr="00A15834" w:rsidRDefault="00A15834" w:rsidP="00A15834">
      <w:pPr>
        <w:tabs>
          <w:tab w:val="left" w:pos="3878"/>
        </w:tabs>
        <w:rPr>
          <w:rFonts w:cstheme="minorHAnsi"/>
          <w:sz w:val="22"/>
          <w:szCs w:val="22"/>
        </w:rPr>
      </w:pPr>
    </w:p>
    <w:sectPr w:rsidR="00A15834" w:rsidRPr="00A15834" w:rsidSect="007E420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C50"/>
    <w:rsid w:val="00062436"/>
    <w:rsid w:val="00071ADC"/>
    <w:rsid w:val="000D5044"/>
    <w:rsid w:val="00212C67"/>
    <w:rsid w:val="002F6056"/>
    <w:rsid w:val="003B0C13"/>
    <w:rsid w:val="003D5DB0"/>
    <w:rsid w:val="00460EC7"/>
    <w:rsid w:val="004A41CB"/>
    <w:rsid w:val="006E266D"/>
    <w:rsid w:val="00784347"/>
    <w:rsid w:val="00787A01"/>
    <w:rsid w:val="007E420C"/>
    <w:rsid w:val="008E0557"/>
    <w:rsid w:val="00905A96"/>
    <w:rsid w:val="00955E4A"/>
    <w:rsid w:val="009929B7"/>
    <w:rsid w:val="00A15834"/>
    <w:rsid w:val="00B30D28"/>
    <w:rsid w:val="00CA6D0A"/>
    <w:rsid w:val="00CE51F2"/>
    <w:rsid w:val="00DE5C60"/>
    <w:rsid w:val="00DF7C50"/>
    <w:rsid w:val="00E26B8C"/>
    <w:rsid w:val="00F06202"/>
    <w:rsid w:val="00F914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9DF4"/>
  <w15:chartTrackingRefBased/>
  <w15:docId w15:val="{992D746F-36F5-C84D-91E1-0B2E5543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F7C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F7C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F7C5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F7C5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F7C5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F7C5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F7C5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F7C5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F7C5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F7C5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F7C5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F7C5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F7C5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F7C5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F7C5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F7C5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F7C5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F7C50"/>
    <w:rPr>
      <w:rFonts w:eastAsiaTheme="majorEastAsia" w:cstheme="majorBidi"/>
      <w:color w:val="272727" w:themeColor="text1" w:themeTint="D8"/>
    </w:rPr>
  </w:style>
  <w:style w:type="paragraph" w:styleId="Titre">
    <w:name w:val="Title"/>
    <w:basedOn w:val="Normal"/>
    <w:next w:val="Normal"/>
    <w:link w:val="TitreCar"/>
    <w:uiPriority w:val="10"/>
    <w:qFormat/>
    <w:rsid w:val="00DF7C5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F7C5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F7C5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F7C5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F7C5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F7C50"/>
    <w:rPr>
      <w:i/>
      <w:iCs/>
      <w:color w:val="404040" w:themeColor="text1" w:themeTint="BF"/>
    </w:rPr>
  </w:style>
  <w:style w:type="paragraph" w:styleId="Paragraphedeliste">
    <w:name w:val="List Paragraph"/>
    <w:basedOn w:val="Normal"/>
    <w:uiPriority w:val="34"/>
    <w:qFormat/>
    <w:rsid w:val="00DF7C50"/>
    <w:pPr>
      <w:ind w:left="720"/>
      <w:contextualSpacing/>
    </w:pPr>
  </w:style>
  <w:style w:type="character" w:styleId="Accentuationintense">
    <w:name w:val="Intense Emphasis"/>
    <w:basedOn w:val="Policepardfaut"/>
    <w:uiPriority w:val="21"/>
    <w:qFormat/>
    <w:rsid w:val="00DF7C50"/>
    <w:rPr>
      <w:i/>
      <w:iCs/>
      <w:color w:val="2F5496" w:themeColor="accent1" w:themeShade="BF"/>
    </w:rPr>
  </w:style>
  <w:style w:type="paragraph" w:styleId="Citationintense">
    <w:name w:val="Intense Quote"/>
    <w:basedOn w:val="Normal"/>
    <w:next w:val="Normal"/>
    <w:link w:val="CitationintenseCar"/>
    <w:uiPriority w:val="30"/>
    <w:qFormat/>
    <w:rsid w:val="00DF7C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F7C50"/>
    <w:rPr>
      <w:i/>
      <w:iCs/>
      <w:color w:val="2F5496" w:themeColor="accent1" w:themeShade="BF"/>
    </w:rPr>
  </w:style>
  <w:style w:type="character" w:styleId="Rfrenceintense">
    <w:name w:val="Intense Reference"/>
    <w:basedOn w:val="Policepardfaut"/>
    <w:uiPriority w:val="32"/>
    <w:qFormat/>
    <w:rsid w:val="00DF7C50"/>
    <w:rPr>
      <w:b/>
      <w:bCs/>
      <w:smallCaps/>
      <w:color w:val="2F5496" w:themeColor="accent1" w:themeShade="BF"/>
      <w:spacing w:val="5"/>
    </w:rPr>
  </w:style>
  <w:style w:type="paragraph" w:styleId="NormalWeb">
    <w:name w:val="Normal (Web)"/>
    <w:basedOn w:val="Normal"/>
    <w:uiPriority w:val="99"/>
    <w:unhideWhenUsed/>
    <w:qFormat/>
    <w:rsid w:val="00DF7C50"/>
    <w:pPr>
      <w:suppressAutoHyphens/>
      <w:spacing w:beforeAutospacing="1" w:after="142" w:line="276" w:lineRule="auto"/>
    </w:pPr>
    <w:rPr>
      <w:rFonts w:ascii="Times New Roman" w:eastAsia="Times New Roman" w:hAnsi="Times New Roman" w:cs="Times New Roman"/>
      <w:kern w:val="0"/>
      <w:lang w:val="fr-BE" w:eastAsia="fr-FR"/>
      <w14:ligatures w14:val="none"/>
    </w:rPr>
  </w:style>
  <w:style w:type="paragraph" w:customStyle="1" w:styleId="Bibliographie1">
    <w:name w:val="Bibliographie1"/>
    <w:basedOn w:val="Normal"/>
    <w:link w:val="BibliographyCar"/>
    <w:rsid w:val="00DE5C60"/>
    <w:pPr>
      <w:tabs>
        <w:tab w:val="left" w:pos="380"/>
      </w:tabs>
      <w:spacing w:after="240"/>
      <w:ind w:left="384" w:hanging="384"/>
    </w:pPr>
    <w:rPr>
      <w:rFonts w:cstheme="minorHAnsi"/>
      <w:b/>
      <w:bCs/>
      <w:sz w:val="22"/>
      <w:szCs w:val="22"/>
    </w:rPr>
  </w:style>
  <w:style w:type="character" w:customStyle="1" w:styleId="BibliographyCar">
    <w:name w:val="Bibliography Car"/>
    <w:basedOn w:val="Policepardfaut"/>
    <w:link w:val="Bibliographie1"/>
    <w:rsid w:val="00DE5C60"/>
    <w:rPr>
      <w:rFonts w:cstheme="minorHAns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1334</Words>
  <Characters>7340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Alexandre</dc:creator>
  <cp:keywords/>
  <dc:description/>
  <cp:lastModifiedBy>Charles Alexandre</cp:lastModifiedBy>
  <cp:revision>3</cp:revision>
  <dcterms:created xsi:type="dcterms:W3CDTF">2024-10-14T22:18:00Z</dcterms:created>
  <dcterms:modified xsi:type="dcterms:W3CDTF">2024-10-14T22:19:00Z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id="BNqWN8HX"/&gt;&lt;style id="http://www.zotero.org/styles/veterinary-radiology-and-ultrasound" hasBibliography="1" bibliographyStyleHasBeenSet="1"/&gt;&lt;prefs&gt;&lt;pref name="fieldType" value="Field"/&gt;&lt;pref nam</vt:lpwstr>
  </property>
  <property fmtid="{D5CDD505-2E9C-101B-9397-08002B2CF9AE}" pid="3" name="ZOTERO_PREF_2">
    <vt:lpwstr>e="automaticJournalAbbreviations" value="true"/&gt;&lt;/prefs&gt;&lt;/data&gt;</vt:lpwstr>
  </property>
</Properties>
</file>