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0CFCA" w14:textId="50332F7D" w:rsidR="002B264A" w:rsidRPr="00B35171" w:rsidRDefault="002B264A" w:rsidP="002B264A">
      <w:pPr>
        <w:pStyle w:val="Titre1"/>
        <w:spacing w:line="276" w:lineRule="auto"/>
        <w:jc w:val="both"/>
        <w:rPr>
          <w:color w:val="000000" w:themeColor="text1"/>
        </w:rPr>
      </w:pPr>
      <w:bookmarkStart w:id="0" w:name="_Toc118374765"/>
      <w:bookmarkStart w:id="1" w:name="_Toc118807815"/>
      <w:bookmarkStart w:id="2" w:name="_Toc120019795"/>
      <w:r w:rsidRPr="00B35171">
        <w:rPr>
          <w:color w:val="000000" w:themeColor="text1"/>
        </w:rPr>
        <w:t>Dans les coulisses de l’institution universitaire</w:t>
      </w:r>
      <w:r w:rsidR="001932DF" w:rsidRPr="00B35171">
        <w:rPr>
          <w:color w:val="000000" w:themeColor="text1"/>
        </w:rPr>
        <w:t> : bricolage</w:t>
      </w:r>
      <w:r w:rsidR="00B91381" w:rsidRPr="00B35171">
        <w:rPr>
          <w:color w:val="000000" w:themeColor="text1"/>
        </w:rPr>
        <w:t>s</w:t>
      </w:r>
      <w:r w:rsidR="001932DF" w:rsidRPr="00B35171">
        <w:rPr>
          <w:color w:val="000000" w:themeColor="text1"/>
        </w:rPr>
        <w:t xml:space="preserve">, </w:t>
      </w:r>
      <w:r w:rsidR="00931C4B" w:rsidRPr="00B35171">
        <w:rPr>
          <w:color w:val="000000" w:themeColor="text1"/>
        </w:rPr>
        <w:t>inventivité</w:t>
      </w:r>
      <w:r w:rsidR="008574B5" w:rsidRPr="00B35171">
        <w:rPr>
          <w:color w:val="000000" w:themeColor="text1"/>
        </w:rPr>
        <w:t>s</w:t>
      </w:r>
      <w:r w:rsidR="001932DF" w:rsidRPr="00B35171">
        <w:rPr>
          <w:color w:val="000000" w:themeColor="text1"/>
        </w:rPr>
        <w:t xml:space="preserve"> et </w:t>
      </w:r>
      <w:r w:rsidR="008574B5" w:rsidRPr="00B35171">
        <w:rPr>
          <w:color w:val="000000" w:themeColor="text1"/>
        </w:rPr>
        <w:t>arrangements</w:t>
      </w:r>
      <w:r w:rsidR="001932DF" w:rsidRPr="00B35171">
        <w:rPr>
          <w:color w:val="000000" w:themeColor="text1"/>
        </w:rPr>
        <w:t xml:space="preserve"> pratique</w:t>
      </w:r>
      <w:r w:rsidR="008574B5" w:rsidRPr="00B35171">
        <w:rPr>
          <w:color w:val="000000" w:themeColor="text1"/>
        </w:rPr>
        <w:t>s</w:t>
      </w:r>
      <w:r w:rsidR="001932DF" w:rsidRPr="00B35171">
        <w:rPr>
          <w:color w:val="000000" w:themeColor="text1"/>
        </w:rPr>
        <w:t>.</w:t>
      </w:r>
      <w:r w:rsidRPr="00B35171">
        <w:rPr>
          <w:color w:val="000000" w:themeColor="text1"/>
        </w:rPr>
        <w:t xml:space="preserve"> L’exemple ethnographique de l’implémentation de la RFIE</w:t>
      </w:r>
      <w:bookmarkEnd w:id="0"/>
      <w:bookmarkEnd w:id="1"/>
      <w:bookmarkEnd w:id="2"/>
    </w:p>
    <w:p w14:paraId="28639D96" w14:textId="51C016E9" w:rsidR="003B5D2D" w:rsidRPr="00B35171" w:rsidRDefault="003B5D2D" w:rsidP="003B5D2D">
      <w:pPr>
        <w:rPr>
          <w:color w:val="000000" w:themeColor="text1"/>
        </w:rPr>
      </w:pPr>
    </w:p>
    <w:p w14:paraId="413299A7" w14:textId="77777777" w:rsidR="00B35171" w:rsidRPr="00B35171" w:rsidRDefault="003B5D2D" w:rsidP="00B35171">
      <w:pPr>
        <w:ind w:left="567"/>
        <w:rPr>
          <w:rFonts w:ascii="Segoe UI" w:hAnsi="Segoe UI" w:cs="Segoe UI"/>
          <w:color w:val="000000" w:themeColor="text1"/>
        </w:rPr>
      </w:pPr>
      <w:r w:rsidRPr="00B35171">
        <w:rPr>
          <w:rFonts w:ascii="Segoe UI" w:hAnsi="Segoe UI" w:cs="Segoe UI"/>
          <w:color w:val="000000" w:themeColor="text1"/>
          <w:shd w:val="clear" w:color="auto" w:fill="FDFDFD"/>
        </w:rPr>
        <w:t xml:space="preserve">Edgar </w:t>
      </w:r>
      <w:proofErr w:type="spellStart"/>
      <w:r w:rsidRPr="00B35171">
        <w:rPr>
          <w:rFonts w:ascii="Segoe UI" w:hAnsi="Segoe UI" w:cs="Segoe UI"/>
          <w:color w:val="000000" w:themeColor="text1"/>
          <w:shd w:val="clear" w:color="auto" w:fill="FDFDFD"/>
        </w:rPr>
        <w:t>Tasia</w:t>
      </w:r>
      <w:proofErr w:type="spellEnd"/>
      <w:r w:rsidRPr="00B35171">
        <w:rPr>
          <w:rFonts w:ascii="Segoe UI" w:hAnsi="Segoe UI" w:cs="Segoe UI"/>
          <w:color w:val="000000" w:themeColor="text1"/>
        </w:rPr>
        <w:br/>
      </w:r>
      <w:bookmarkStart w:id="3" w:name="_Toc120019796"/>
    </w:p>
    <w:p w14:paraId="52024E37" w14:textId="1D14C768" w:rsidR="00B35171" w:rsidRPr="00B35171" w:rsidRDefault="00B35171" w:rsidP="00B35171">
      <w:pPr>
        <w:ind w:left="567"/>
        <w:rPr>
          <w:rFonts w:ascii="Segoe UI" w:hAnsi="Segoe UI" w:cs="Segoe UI"/>
          <w:color w:val="000000" w:themeColor="text1"/>
        </w:rPr>
      </w:pPr>
      <w:r w:rsidRPr="00B35171">
        <w:rPr>
          <w:rFonts w:ascii="Segoe UI" w:hAnsi="Segoe UI" w:cs="Segoe UI"/>
          <w:color w:val="000000" w:themeColor="text1"/>
        </w:rPr>
        <w:t xml:space="preserve">Anthropologue, assistant en didactique des sciences sociales, université de </w:t>
      </w:r>
      <w:proofErr w:type="spellStart"/>
      <w:r w:rsidRPr="00B35171">
        <w:rPr>
          <w:rFonts w:ascii="Segoe UI" w:hAnsi="Segoe UI" w:cs="Segoe UI"/>
          <w:color w:val="000000" w:themeColor="text1"/>
        </w:rPr>
        <w:t>Liège</w:t>
      </w:r>
    </w:p>
    <w:p w14:paraId="1EF44838" w14:textId="5E573111" w:rsidR="002B264A" w:rsidRPr="00B35171" w:rsidRDefault="002B264A" w:rsidP="002B264A">
      <w:pPr>
        <w:pStyle w:val="Titre1"/>
        <w:rPr>
          <w:color w:val="000000" w:themeColor="text1"/>
        </w:rPr>
      </w:pPr>
      <w:r w:rsidRPr="00B35171">
        <w:rPr>
          <w:color w:val="000000" w:themeColor="text1"/>
        </w:rPr>
        <w:t>Introductio</w:t>
      </w:r>
      <w:proofErr w:type="spellEnd"/>
      <w:r w:rsidRPr="00B35171">
        <w:rPr>
          <w:color w:val="000000" w:themeColor="text1"/>
        </w:rPr>
        <w:t>n</w:t>
      </w:r>
      <w:bookmarkEnd w:id="3"/>
    </w:p>
    <w:p w14:paraId="738FFD4F" w14:textId="77777777" w:rsidR="002B264A" w:rsidRPr="00B35171" w:rsidRDefault="002B264A" w:rsidP="002B264A">
      <w:pPr>
        <w:spacing w:line="276" w:lineRule="auto"/>
        <w:jc w:val="both"/>
        <w:rPr>
          <w:color w:val="000000" w:themeColor="text1"/>
        </w:rPr>
      </w:pPr>
    </w:p>
    <w:p w14:paraId="7E9DE1AB" w14:textId="60D79742" w:rsidR="001A5B6A" w:rsidRPr="00B35171" w:rsidRDefault="002B264A" w:rsidP="002B264A">
      <w:pPr>
        <w:spacing w:line="276" w:lineRule="auto"/>
        <w:jc w:val="both"/>
        <w:rPr>
          <w:color w:val="000000" w:themeColor="text1"/>
        </w:rPr>
      </w:pPr>
      <w:r w:rsidRPr="00B35171">
        <w:rPr>
          <w:color w:val="000000" w:themeColor="text1"/>
        </w:rPr>
        <w:t>Cette étude prend pour objet certaines interactions d’acteurs — les « </w:t>
      </w:r>
      <w:r w:rsidR="009E36E8" w:rsidRPr="00B35171">
        <w:rPr>
          <w:color w:val="000000" w:themeColor="text1"/>
        </w:rPr>
        <w:t>c</w:t>
      </w:r>
      <w:r w:rsidRPr="00B35171">
        <w:rPr>
          <w:color w:val="000000" w:themeColor="text1"/>
        </w:rPr>
        <w:t>onseillers RFIE » —</w:t>
      </w:r>
      <w:r w:rsidR="00433AB0" w:rsidRPr="00B35171">
        <w:rPr>
          <w:color w:val="000000" w:themeColor="text1"/>
        </w:rPr>
        <w:t xml:space="preserve"> </w:t>
      </w:r>
      <w:r w:rsidR="00086D67" w:rsidRPr="00B35171">
        <w:rPr>
          <w:color w:val="000000" w:themeColor="text1"/>
        </w:rPr>
        <w:t xml:space="preserve">qui évoluent </w:t>
      </w:r>
      <w:r w:rsidRPr="00B35171">
        <w:rPr>
          <w:color w:val="000000" w:themeColor="text1"/>
        </w:rPr>
        <w:t>au sein de l’institution universitaire de l’enquêteur</w:t>
      </w:r>
      <w:r w:rsidR="009D6C84" w:rsidRPr="00B35171">
        <w:rPr>
          <w:color w:val="000000" w:themeColor="text1"/>
        </w:rPr>
        <w:t xml:space="preserve">, </w:t>
      </w:r>
      <w:r w:rsidR="00B62AA6" w:rsidRPr="00B35171">
        <w:rPr>
          <w:color w:val="000000" w:themeColor="text1"/>
        </w:rPr>
        <w:t>aux prises avec l’implémentation d’un</w:t>
      </w:r>
      <w:r w:rsidR="009E36E8" w:rsidRPr="00B35171">
        <w:rPr>
          <w:color w:val="000000" w:themeColor="text1"/>
        </w:rPr>
        <w:t>e</w:t>
      </w:r>
      <w:r w:rsidR="00B62AA6" w:rsidRPr="00B35171">
        <w:rPr>
          <w:color w:val="000000" w:themeColor="text1"/>
        </w:rPr>
        <w:t xml:space="preserve"> politique publique</w:t>
      </w:r>
      <w:r w:rsidR="00F14813" w:rsidRPr="00B35171">
        <w:rPr>
          <w:color w:val="000000" w:themeColor="text1"/>
        </w:rPr>
        <w:t xml:space="preserve"> — la Réforme de la Formation Initiale des Enseignants (RFIE)</w:t>
      </w:r>
      <w:r w:rsidRPr="00B35171">
        <w:rPr>
          <w:color w:val="000000" w:themeColor="text1"/>
        </w:rPr>
        <w:t xml:space="preserve">. </w:t>
      </w:r>
      <w:r w:rsidR="00B62AA6" w:rsidRPr="00B35171">
        <w:rPr>
          <w:color w:val="000000" w:themeColor="text1"/>
        </w:rPr>
        <w:t>L’enquêteur</w:t>
      </w:r>
      <w:r w:rsidRPr="00B35171">
        <w:rPr>
          <w:color w:val="000000" w:themeColor="text1"/>
        </w:rPr>
        <w:t xml:space="preserve"> étant lui-même un </w:t>
      </w:r>
      <w:r w:rsidR="009E36E8" w:rsidRPr="00B35171">
        <w:rPr>
          <w:color w:val="000000" w:themeColor="text1"/>
        </w:rPr>
        <w:t>« c</w:t>
      </w:r>
      <w:r w:rsidRPr="00B35171">
        <w:rPr>
          <w:color w:val="000000" w:themeColor="text1"/>
        </w:rPr>
        <w:t>onseiller RFIE</w:t>
      </w:r>
      <w:r w:rsidR="009E36E8" w:rsidRPr="00B35171">
        <w:rPr>
          <w:color w:val="000000" w:themeColor="text1"/>
        </w:rPr>
        <w:t> »</w:t>
      </w:r>
      <w:r w:rsidRPr="00B35171">
        <w:rPr>
          <w:color w:val="000000" w:themeColor="text1"/>
        </w:rPr>
        <w:t>, la démarche qui est la sienne et qui consiste à s’ethnographier soi-même au milieu des autres</w:t>
      </w:r>
      <w:r w:rsidR="0050034B" w:rsidRPr="00B35171">
        <w:rPr>
          <w:color w:val="000000" w:themeColor="text1"/>
        </w:rPr>
        <w:t>, à s’engager, donc dans un processus auto</w:t>
      </w:r>
      <w:r w:rsidR="0014272D" w:rsidRPr="00B35171">
        <w:rPr>
          <w:color w:val="000000" w:themeColor="text1"/>
        </w:rPr>
        <w:t>-</w:t>
      </w:r>
      <w:r w:rsidR="0050034B" w:rsidRPr="00B35171">
        <w:rPr>
          <w:color w:val="000000" w:themeColor="text1"/>
        </w:rPr>
        <w:t>ethnographique,</w:t>
      </w:r>
      <w:r w:rsidR="00661365" w:rsidRPr="00B35171">
        <w:rPr>
          <w:color w:val="000000" w:themeColor="text1"/>
        </w:rPr>
        <w:t xml:space="preserve"> </w:t>
      </w:r>
      <w:r w:rsidRPr="00B35171">
        <w:rPr>
          <w:color w:val="000000" w:themeColor="text1"/>
        </w:rPr>
        <w:t>peut apparaitre comme un projet particulièrement périlleux et délicat, voir</w:t>
      </w:r>
      <w:r w:rsidR="009E36E8" w:rsidRPr="00B35171">
        <w:rPr>
          <w:color w:val="000000" w:themeColor="text1"/>
        </w:rPr>
        <w:t>e</w:t>
      </w:r>
      <w:r w:rsidRPr="00B35171">
        <w:rPr>
          <w:color w:val="000000" w:themeColor="text1"/>
        </w:rPr>
        <w:t xml:space="preserve"> douteux, tant d’un point de vue épistémologique que méthodologique. Pourtant, le souhait de l’enquêteur est que l</w:t>
      </w:r>
      <w:r w:rsidR="000C22CF" w:rsidRPr="00B35171">
        <w:rPr>
          <w:color w:val="000000" w:themeColor="text1"/>
        </w:rPr>
        <w:t xml:space="preserve">a spécificité </w:t>
      </w:r>
      <w:r w:rsidRPr="00B35171">
        <w:rPr>
          <w:color w:val="000000" w:themeColor="text1"/>
        </w:rPr>
        <w:t xml:space="preserve">de sa démarche </w:t>
      </w:r>
      <w:r w:rsidR="009D6C84" w:rsidRPr="00B35171">
        <w:rPr>
          <w:color w:val="000000" w:themeColor="text1"/>
        </w:rPr>
        <w:t xml:space="preserve">— s’appuyant sur </w:t>
      </w:r>
      <w:r w:rsidR="000C22CF" w:rsidRPr="00B35171">
        <w:rPr>
          <w:color w:val="000000" w:themeColor="text1"/>
        </w:rPr>
        <w:t xml:space="preserve">une </w:t>
      </w:r>
      <w:r w:rsidR="009D6C84" w:rsidRPr="00B35171">
        <w:rPr>
          <w:color w:val="000000" w:themeColor="text1"/>
        </w:rPr>
        <w:t>tradition</w:t>
      </w:r>
      <w:r w:rsidR="000C22CF" w:rsidRPr="00B35171">
        <w:rPr>
          <w:color w:val="000000" w:themeColor="text1"/>
        </w:rPr>
        <w:t xml:space="preserve"> d’enquête</w:t>
      </w:r>
      <w:r w:rsidR="00867A84" w:rsidRPr="00B35171">
        <w:rPr>
          <w:color w:val="000000" w:themeColor="text1"/>
        </w:rPr>
        <w:t xml:space="preserve"> </w:t>
      </w:r>
      <w:r w:rsidR="006A3F5D" w:rsidRPr="00B35171">
        <w:rPr>
          <w:color w:val="000000" w:themeColor="text1"/>
        </w:rPr>
        <w:t>qualitative</w:t>
      </w:r>
      <w:r w:rsidR="009D6C84" w:rsidRPr="00B35171">
        <w:rPr>
          <w:rStyle w:val="Appelnotedebasdep"/>
          <w:color w:val="000000" w:themeColor="text1"/>
        </w:rPr>
        <w:footnoteReference w:id="1"/>
      </w:r>
      <w:r w:rsidR="009D6C84" w:rsidRPr="00B35171">
        <w:rPr>
          <w:color w:val="000000" w:themeColor="text1"/>
        </w:rPr>
        <w:t xml:space="preserve"> — </w:t>
      </w:r>
      <w:r w:rsidRPr="00B35171">
        <w:rPr>
          <w:color w:val="000000" w:themeColor="text1"/>
        </w:rPr>
        <w:t xml:space="preserve">ne vienne </w:t>
      </w:r>
      <w:r w:rsidR="00086D67" w:rsidRPr="00B35171">
        <w:rPr>
          <w:color w:val="000000" w:themeColor="text1"/>
        </w:rPr>
        <w:t xml:space="preserve">pas </w:t>
      </w:r>
      <w:r w:rsidR="0014272D" w:rsidRPr="00B35171">
        <w:rPr>
          <w:color w:val="000000" w:themeColor="text1"/>
        </w:rPr>
        <w:t xml:space="preserve">éclipser </w:t>
      </w:r>
      <w:r w:rsidR="009D6C84" w:rsidRPr="00B35171">
        <w:rPr>
          <w:color w:val="000000" w:themeColor="text1"/>
        </w:rPr>
        <w:t>l’intérêt de sa</w:t>
      </w:r>
      <w:r w:rsidRPr="00B35171">
        <w:rPr>
          <w:color w:val="000000" w:themeColor="text1"/>
        </w:rPr>
        <w:t xml:space="preserve"> démonstration</w:t>
      </w:r>
      <w:r w:rsidR="0014272D" w:rsidRPr="00B35171">
        <w:rPr>
          <w:color w:val="000000" w:themeColor="text1"/>
        </w:rPr>
        <w:t xml:space="preserve"> (scientifique)</w:t>
      </w:r>
      <w:r w:rsidR="009D6C84" w:rsidRPr="00B35171">
        <w:rPr>
          <w:color w:val="000000" w:themeColor="text1"/>
        </w:rPr>
        <w:t xml:space="preserve"> ou </w:t>
      </w:r>
      <w:r w:rsidR="0014272D" w:rsidRPr="00B35171">
        <w:rPr>
          <w:color w:val="000000" w:themeColor="text1"/>
        </w:rPr>
        <w:t>semer le doute quant aux objectifs de la démarche</w:t>
      </w:r>
      <w:r w:rsidR="00794C27" w:rsidRPr="00B35171">
        <w:rPr>
          <w:rStyle w:val="Appelnotedebasdep"/>
          <w:color w:val="000000" w:themeColor="text1"/>
        </w:rPr>
        <w:footnoteReference w:id="2"/>
      </w:r>
      <w:r w:rsidR="00794C27" w:rsidRPr="00B35171">
        <w:rPr>
          <w:color w:val="000000" w:themeColor="text1"/>
        </w:rPr>
        <w:t xml:space="preserve">. </w:t>
      </w:r>
      <w:r w:rsidRPr="00B35171">
        <w:rPr>
          <w:color w:val="000000" w:themeColor="text1"/>
        </w:rPr>
        <w:t>Aussi, voudrions-nous insister</w:t>
      </w:r>
      <w:r w:rsidR="00F14813" w:rsidRPr="00B35171">
        <w:rPr>
          <w:color w:val="000000" w:themeColor="text1"/>
        </w:rPr>
        <w:t xml:space="preserve"> d’emblée,</w:t>
      </w:r>
      <w:r w:rsidRPr="00B35171">
        <w:rPr>
          <w:color w:val="000000" w:themeColor="text1"/>
        </w:rPr>
        <w:t xml:space="preserve"> dans cette introduction, sur le point suivant : </w:t>
      </w:r>
      <w:r w:rsidR="00F14813" w:rsidRPr="00B35171">
        <w:rPr>
          <w:color w:val="000000" w:themeColor="text1"/>
        </w:rPr>
        <w:t>en faisant mauvaise fortune (épistémologique et méthodologique) bon cœur (théorique)</w:t>
      </w:r>
      <w:r w:rsidR="0050034B" w:rsidRPr="00B35171">
        <w:rPr>
          <w:rStyle w:val="Appelnotedebasdep"/>
          <w:color w:val="000000" w:themeColor="text1"/>
        </w:rPr>
        <w:footnoteReference w:id="3"/>
      </w:r>
      <w:r w:rsidR="00F14813" w:rsidRPr="00B35171">
        <w:rPr>
          <w:color w:val="000000" w:themeColor="text1"/>
        </w:rPr>
        <w:t> et en prenant pour objet l’institution d’où elle émerge, l’analyse qui suit voudrait d’une part participer aux débats scientifique</w:t>
      </w:r>
      <w:r w:rsidR="009E36E8" w:rsidRPr="00B35171">
        <w:rPr>
          <w:color w:val="000000" w:themeColor="text1"/>
        </w:rPr>
        <w:t>s</w:t>
      </w:r>
      <w:r w:rsidR="00F14813" w:rsidRPr="00B35171">
        <w:rPr>
          <w:color w:val="000000" w:themeColor="text1"/>
        </w:rPr>
        <w:t xml:space="preserve"> sur les concepts sociologique</w:t>
      </w:r>
      <w:r w:rsidR="009E36E8" w:rsidRPr="00B35171">
        <w:rPr>
          <w:color w:val="000000" w:themeColor="text1"/>
        </w:rPr>
        <w:t>s</w:t>
      </w:r>
      <w:r w:rsidR="00F14813" w:rsidRPr="00B35171">
        <w:rPr>
          <w:color w:val="000000" w:themeColor="text1"/>
        </w:rPr>
        <w:t xml:space="preserve"> dont elle traite — l’arrangement</w:t>
      </w:r>
      <w:r w:rsidR="009D6C84" w:rsidRPr="00B35171">
        <w:rPr>
          <w:color w:val="000000" w:themeColor="text1"/>
        </w:rPr>
        <w:t>, le bricolage et</w:t>
      </w:r>
      <w:r w:rsidR="00F14813" w:rsidRPr="00B35171">
        <w:rPr>
          <w:color w:val="000000" w:themeColor="text1"/>
        </w:rPr>
        <w:t xml:space="preserve"> </w:t>
      </w:r>
      <w:r w:rsidR="00F55FE6" w:rsidRPr="00B35171">
        <w:rPr>
          <w:color w:val="000000" w:themeColor="text1"/>
        </w:rPr>
        <w:t>l’action</w:t>
      </w:r>
      <w:r w:rsidR="009D6C84" w:rsidRPr="00B35171">
        <w:rPr>
          <w:color w:val="000000" w:themeColor="text1"/>
        </w:rPr>
        <w:t xml:space="preserve"> pratique</w:t>
      </w:r>
      <w:r w:rsidR="00F14813" w:rsidRPr="00B35171">
        <w:rPr>
          <w:color w:val="000000" w:themeColor="text1"/>
        </w:rPr>
        <w:t xml:space="preserve"> — en nourrissant ceux-ci d’un exemple ethnographique ; d’autre part, elle souhaiterait attirer l’attention du lecteur sur la spécificité même de cet exemple et des potentiels enjeux épistémologiques et théoriques dont il est porteur. L</w:t>
      </w:r>
      <w:r w:rsidRPr="00B35171">
        <w:rPr>
          <w:color w:val="000000" w:themeColor="text1"/>
        </w:rPr>
        <w:t>’université est</w:t>
      </w:r>
      <w:r w:rsidR="00F14813" w:rsidRPr="00B35171">
        <w:rPr>
          <w:color w:val="000000" w:themeColor="text1"/>
        </w:rPr>
        <w:t xml:space="preserve"> en effet,</w:t>
      </w:r>
      <w:r w:rsidR="00BD1D0A" w:rsidRPr="00B35171">
        <w:rPr>
          <w:color w:val="000000" w:themeColor="text1"/>
        </w:rPr>
        <w:t xml:space="preserve"> dans cette étude, entendue avant tout comme une institution, c’est-à-dire, comme « un </w:t>
      </w:r>
      <w:r w:rsidR="00BD1D0A" w:rsidRPr="00B35171">
        <w:rPr>
          <w:i/>
          <w:iCs/>
          <w:color w:val="000000" w:themeColor="text1"/>
        </w:rPr>
        <w:t>être sans corps</w:t>
      </w:r>
      <w:r w:rsidR="00BD1D0A" w:rsidRPr="00B35171">
        <w:rPr>
          <w:color w:val="000000" w:themeColor="text1"/>
        </w:rPr>
        <w:t xml:space="preserve"> à qui est déléguée la tâche de dire ce qu’il en est de ce qui est</w:t>
      </w:r>
      <w:r w:rsidR="009E36E8" w:rsidRPr="00B35171">
        <w:rPr>
          <w:color w:val="000000" w:themeColor="text1"/>
        </w:rPr>
        <w:t> </w:t>
      </w:r>
      <w:r w:rsidR="00BD1D0A" w:rsidRPr="00B35171">
        <w:rPr>
          <w:color w:val="000000" w:themeColor="text1"/>
        </w:rPr>
        <w:t>»</w:t>
      </w:r>
      <w:r w:rsidR="00433AB0" w:rsidRPr="00B35171">
        <w:rPr>
          <w:rStyle w:val="Appelnotedebasdep"/>
          <w:color w:val="000000" w:themeColor="text1"/>
        </w:rPr>
        <w:footnoteReference w:id="4"/>
      </w:r>
      <w:r w:rsidR="00BD1D0A" w:rsidRPr="00B35171">
        <w:rPr>
          <w:color w:val="000000" w:themeColor="text1"/>
        </w:rPr>
        <w:t>.</w:t>
      </w:r>
      <w:r w:rsidRPr="00B35171">
        <w:rPr>
          <w:color w:val="000000" w:themeColor="text1"/>
        </w:rPr>
        <w:t xml:space="preserve"> En ce sens, c’est bien la capacité à « créer le réel »</w:t>
      </w:r>
      <w:r w:rsidR="00433AB0" w:rsidRPr="00B35171">
        <w:rPr>
          <w:rStyle w:val="Appelnotedebasdep"/>
          <w:color w:val="000000" w:themeColor="text1"/>
        </w:rPr>
        <w:footnoteReference w:id="5"/>
      </w:r>
      <w:r w:rsidRPr="00B35171">
        <w:rPr>
          <w:color w:val="000000" w:themeColor="text1"/>
        </w:rPr>
        <w:t xml:space="preserve"> par la double nature de ce « corps » qui se veut être le </w:t>
      </w:r>
      <w:r w:rsidRPr="00B35171">
        <w:rPr>
          <w:color w:val="000000" w:themeColor="text1"/>
        </w:rPr>
        <w:lastRenderedPageBreak/>
        <w:t xml:space="preserve">point d’analyse principal de cette étude : </w:t>
      </w:r>
      <w:r w:rsidR="00BD1D0A" w:rsidRPr="00B35171">
        <w:rPr>
          <w:color w:val="000000" w:themeColor="text1"/>
        </w:rPr>
        <w:t>sa dimension</w:t>
      </w:r>
      <w:r w:rsidR="00BD1D0A" w:rsidRPr="00B35171">
        <w:rPr>
          <w:i/>
          <w:iCs/>
          <w:color w:val="000000" w:themeColor="text1"/>
        </w:rPr>
        <w:t xml:space="preserve"> instituante</w:t>
      </w:r>
      <w:r w:rsidR="00BD1D0A" w:rsidRPr="00B35171">
        <w:rPr>
          <w:color w:val="000000" w:themeColor="text1"/>
        </w:rPr>
        <w:t xml:space="preserve">, mais surtout </w:t>
      </w:r>
      <w:r w:rsidRPr="00B35171">
        <w:rPr>
          <w:color w:val="000000" w:themeColor="text1"/>
        </w:rPr>
        <w:t xml:space="preserve">sa dimension </w:t>
      </w:r>
      <w:r w:rsidR="00BD1D0A" w:rsidRPr="00B35171">
        <w:rPr>
          <w:i/>
          <w:iCs/>
          <w:color w:val="000000" w:themeColor="text1"/>
        </w:rPr>
        <w:t>instituée</w:t>
      </w:r>
      <w:r w:rsidR="00794C27" w:rsidRPr="00B35171">
        <w:rPr>
          <w:rStyle w:val="Appelnotedebasdep"/>
          <w:color w:val="000000" w:themeColor="text1"/>
        </w:rPr>
        <w:footnoteReference w:id="6"/>
      </w:r>
      <w:r w:rsidRPr="00B35171">
        <w:rPr>
          <w:color w:val="000000" w:themeColor="text1"/>
        </w:rPr>
        <w:t xml:space="preserve"> ; c’est au « jeu » et aux relations </w:t>
      </w:r>
      <w:r w:rsidR="00086D67" w:rsidRPr="00B35171">
        <w:rPr>
          <w:color w:val="000000" w:themeColor="text1"/>
        </w:rPr>
        <w:t xml:space="preserve">qui existent </w:t>
      </w:r>
      <w:r w:rsidRPr="00B35171">
        <w:rPr>
          <w:color w:val="000000" w:themeColor="text1"/>
        </w:rPr>
        <w:t>entre ces deux fonctions et aux conséquence</w:t>
      </w:r>
      <w:r w:rsidR="009E36E8" w:rsidRPr="00B35171">
        <w:rPr>
          <w:color w:val="000000" w:themeColor="text1"/>
        </w:rPr>
        <w:t>s</w:t>
      </w:r>
      <w:r w:rsidRPr="00B35171">
        <w:rPr>
          <w:color w:val="000000" w:themeColor="text1"/>
        </w:rPr>
        <w:t xml:space="preserve"> de ce dernier, propre à l’institution, que l’on voudrait s’attarder. Plus précisément encore, c’est </w:t>
      </w:r>
      <w:r w:rsidR="00086D67" w:rsidRPr="00B35171">
        <w:rPr>
          <w:color w:val="000000" w:themeColor="text1"/>
        </w:rPr>
        <w:t xml:space="preserve">des </w:t>
      </w:r>
      <w:r w:rsidRPr="00B35171">
        <w:rPr>
          <w:color w:val="000000" w:themeColor="text1"/>
        </w:rPr>
        <w:t>corps — faits de chairs, cette fois-ci — des acteurs qui animent cet « </w:t>
      </w:r>
      <w:r w:rsidRPr="00B35171">
        <w:rPr>
          <w:i/>
          <w:iCs/>
          <w:color w:val="000000" w:themeColor="text1"/>
        </w:rPr>
        <w:t>être sans corps</w:t>
      </w:r>
      <w:r w:rsidRPr="00B35171">
        <w:rPr>
          <w:color w:val="000000" w:themeColor="text1"/>
        </w:rPr>
        <w:t> », ceux-là même qui en forge</w:t>
      </w:r>
      <w:r w:rsidR="009E36E8" w:rsidRPr="00B35171">
        <w:rPr>
          <w:color w:val="000000" w:themeColor="text1"/>
        </w:rPr>
        <w:t>nt</w:t>
      </w:r>
      <w:r w:rsidRPr="00B35171">
        <w:rPr>
          <w:color w:val="000000" w:themeColor="text1"/>
        </w:rPr>
        <w:t xml:space="preserve"> et en façonne</w:t>
      </w:r>
      <w:r w:rsidR="009E36E8" w:rsidRPr="00B35171">
        <w:rPr>
          <w:color w:val="000000" w:themeColor="text1"/>
        </w:rPr>
        <w:t>nt</w:t>
      </w:r>
      <w:r w:rsidRPr="00B35171">
        <w:rPr>
          <w:color w:val="000000" w:themeColor="text1"/>
        </w:rPr>
        <w:t xml:space="preserve"> la vie institutionnelle depuis les coulisses, que nous voudrions rendre compte, c’est-à-dire proposer un compte rendu ethnographique de leurs mouvements. Notre pari est d’ainsi laisser transparaitre, par cet exemple ethnographique</w:t>
      </w:r>
      <w:r w:rsidR="009F344D" w:rsidRPr="00B35171">
        <w:rPr>
          <w:color w:val="000000" w:themeColor="text1"/>
        </w:rPr>
        <w:t xml:space="preserve"> situé au plus près de l’action</w:t>
      </w:r>
      <w:r w:rsidRPr="00B35171">
        <w:rPr>
          <w:color w:val="000000" w:themeColor="text1"/>
        </w:rPr>
        <w:t xml:space="preserve">, certaines pratiques </w:t>
      </w:r>
      <w:r w:rsidR="009D6C84" w:rsidRPr="00B35171">
        <w:rPr>
          <w:color w:val="000000" w:themeColor="text1"/>
        </w:rPr>
        <w:t>d’inventivité — relevant, comme nous le verrons dans la conclusion, d</w:t>
      </w:r>
      <w:r w:rsidR="00F55FE6" w:rsidRPr="00B35171">
        <w:rPr>
          <w:color w:val="000000" w:themeColor="text1"/>
        </w:rPr>
        <w:t xml:space="preserve">e l’action </w:t>
      </w:r>
      <w:r w:rsidR="009D6C84" w:rsidRPr="00B35171">
        <w:rPr>
          <w:color w:val="000000" w:themeColor="text1"/>
        </w:rPr>
        <w:t>pratique —</w:t>
      </w:r>
      <w:r w:rsidR="00B647A0" w:rsidRPr="00B35171">
        <w:rPr>
          <w:color w:val="000000" w:themeColor="text1"/>
        </w:rPr>
        <w:t xml:space="preserve"> de l’institution universitaire</w:t>
      </w:r>
      <w:r w:rsidRPr="00B35171">
        <w:rPr>
          <w:color w:val="000000" w:themeColor="text1"/>
        </w:rPr>
        <w:t xml:space="preserve"> et ainsi nourrir le débat scientifique </w:t>
      </w:r>
      <w:r w:rsidR="00B647A0" w:rsidRPr="00B35171">
        <w:rPr>
          <w:color w:val="000000" w:themeColor="text1"/>
        </w:rPr>
        <w:t xml:space="preserve">plus large </w:t>
      </w:r>
      <w:r w:rsidRPr="00B35171">
        <w:rPr>
          <w:color w:val="000000" w:themeColor="text1"/>
        </w:rPr>
        <w:t>traitant de</w:t>
      </w:r>
      <w:r w:rsidR="009D6C84" w:rsidRPr="00B35171">
        <w:rPr>
          <w:color w:val="000000" w:themeColor="text1"/>
        </w:rPr>
        <w:t xml:space="preserve"> </w:t>
      </w:r>
      <w:r w:rsidRPr="00B35171">
        <w:rPr>
          <w:color w:val="000000" w:themeColor="text1"/>
        </w:rPr>
        <w:t>concepts</w:t>
      </w:r>
      <w:r w:rsidR="009D6C84" w:rsidRPr="00B35171">
        <w:rPr>
          <w:color w:val="000000" w:themeColor="text1"/>
        </w:rPr>
        <w:t xml:space="preserve"> </w:t>
      </w:r>
      <w:r w:rsidR="000C22CF" w:rsidRPr="00B35171">
        <w:rPr>
          <w:color w:val="000000" w:themeColor="text1"/>
        </w:rPr>
        <w:t xml:space="preserve">sociologiques </w:t>
      </w:r>
      <w:r w:rsidR="009D6C84" w:rsidRPr="00B35171">
        <w:rPr>
          <w:color w:val="000000" w:themeColor="text1"/>
        </w:rPr>
        <w:t>connexes</w:t>
      </w:r>
      <w:r w:rsidR="00794C27" w:rsidRPr="00B35171">
        <w:rPr>
          <w:rStyle w:val="Appelnotedebasdep"/>
          <w:color w:val="000000" w:themeColor="text1"/>
        </w:rPr>
        <w:footnoteReference w:id="7"/>
      </w:r>
      <w:r w:rsidR="00FD42D9" w:rsidRPr="00B35171">
        <w:rPr>
          <w:color w:val="000000" w:themeColor="text1"/>
        </w:rPr>
        <w:t>.</w:t>
      </w:r>
    </w:p>
    <w:p w14:paraId="06D09410" w14:textId="5B5153AD" w:rsidR="009F344D" w:rsidRPr="00B35171" w:rsidRDefault="009F344D" w:rsidP="009F344D">
      <w:pPr>
        <w:pStyle w:val="Titre1"/>
        <w:rPr>
          <w:color w:val="000000" w:themeColor="text1"/>
        </w:rPr>
      </w:pPr>
      <w:bookmarkStart w:id="4" w:name="_Toc120019797"/>
      <w:r w:rsidRPr="00B35171">
        <w:rPr>
          <w:color w:val="000000" w:themeColor="text1"/>
        </w:rPr>
        <w:t>Note épistémologique</w:t>
      </w:r>
      <w:bookmarkEnd w:id="4"/>
    </w:p>
    <w:p w14:paraId="6E584850" w14:textId="77777777" w:rsidR="009F344D" w:rsidRPr="00B35171" w:rsidRDefault="009F344D" w:rsidP="002B264A">
      <w:pPr>
        <w:spacing w:line="276" w:lineRule="auto"/>
        <w:jc w:val="both"/>
        <w:rPr>
          <w:color w:val="000000" w:themeColor="text1"/>
        </w:rPr>
      </w:pPr>
    </w:p>
    <w:p w14:paraId="2C99539D" w14:textId="7CD23083" w:rsidR="002B264A" w:rsidRPr="00B35171" w:rsidRDefault="00D50082" w:rsidP="002B264A">
      <w:pPr>
        <w:spacing w:line="276" w:lineRule="auto"/>
        <w:jc w:val="both"/>
        <w:rPr>
          <w:color w:val="000000" w:themeColor="text1"/>
        </w:rPr>
      </w:pPr>
      <w:r w:rsidRPr="00B35171">
        <w:rPr>
          <w:color w:val="000000" w:themeColor="text1"/>
        </w:rPr>
        <w:t>D</w:t>
      </w:r>
      <w:r w:rsidR="00B647A0" w:rsidRPr="00B35171">
        <w:rPr>
          <w:color w:val="000000" w:themeColor="text1"/>
        </w:rPr>
        <w:t>ans ce travail,</w:t>
      </w:r>
      <w:r w:rsidR="002B264A" w:rsidRPr="00B35171">
        <w:rPr>
          <w:color w:val="000000" w:themeColor="text1"/>
        </w:rPr>
        <w:t xml:space="preserve"> nous adopterons une posture épistémique résolument microsociologique. </w:t>
      </w:r>
      <w:r w:rsidR="002B264A" w:rsidRPr="00B35171">
        <w:rPr>
          <w:color w:val="000000" w:themeColor="text1"/>
          <w:lang w:val="fr-FR"/>
        </w:rPr>
        <w:t>L’approche ainsi défendue nous permettra, d'aborder les procédures réalisées par les acteurs de l'institution universitaire plongés « dans un bricolage institutionnel permanent »</w:t>
      </w:r>
      <w:r w:rsidR="00433AB0" w:rsidRPr="00B35171">
        <w:rPr>
          <w:rStyle w:val="Appelnotedebasdep"/>
          <w:color w:val="000000" w:themeColor="text1"/>
        </w:rPr>
        <w:footnoteReference w:id="8"/>
      </w:r>
      <w:r w:rsidR="002B264A" w:rsidRPr="00B35171">
        <w:rPr>
          <w:color w:val="000000" w:themeColor="text1"/>
          <w:lang w:val="fr-FR"/>
        </w:rPr>
        <w:t xml:space="preserve"> comme des procédures pratique</w:t>
      </w:r>
      <w:r w:rsidR="00490296" w:rsidRPr="00B35171">
        <w:rPr>
          <w:color w:val="000000" w:themeColor="text1"/>
          <w:lang w:val="fr-FR"/>
        </w:rPr>
        <w:t>s</w:t>
      </w:r>
      <w:r w:rsidR="002B264A" w:rsidRPr="00B35171">
        <w:rPr>
          <w:color w:val="000000" w:themeColor="text1"/>
          <w:lang w:val="fr-FR"/>
        </w:rPr>
        <w:t xml:space="preserve"> et quotidienne</w:t>
      </w:r>
      <w:r w:rsidR="00490296" w:rsidRPr="00B35171">
        <w:rPr>
          <w:color w:val="000000" w:themeColor="text1"/>
          <w:lang w:val="fr-FR"/>
        </w:rPr>
        <w:t>s</w:t>
      </w:r>
      <w:r w:rsidR="002B264A" w:rsidRPr="00B35171">
        <w:rPr>
          <w:color w:val="000000" w:themeColor="text1"/>
          <w:lang w:val="fr-FR"/>
        </w:rPr>
        <w:t xml:space="preserve"> de plein droit</w:t>
      </w:r>
      <w:r w:rsidR="00424CB3" w:rsidRPr="00B35171">
        <w:rPr>
          <w:color w:val="000000" w:themeColor="text1"/>
          <w:lang w:val="fr-FR"/>
        </w:rPr>
        <w:t xml:space="preserve">. </w:t>
      </w:r>
      <w:r w:rsidR="002B264A" w:rsidRPr="00B35171">
        <w:rPr>
          <w:color w:val="000000" w:themeColor="text1"/>
        </w:rPr>
        <w:t>Et puisque « l’analyse des activités pratiques des membres, dans leurs activités concrètes, révèle les règles et les procédures qu’ils suivent »</w:t>
      </w:r>
      <w:r w:rsidR="00D02703" w:rsidRPr="00B35171">
        <w:rPr>
          <w:rStyle w:val="Appelnotedebasdep"/>
          <w:color w:val="000000" w:themeColor="text1"/>
        </w:rPr>
        <w:footnoteReference w:id="9"/>
      </w:r>
      <w:r w:rsidR="002B264A" w:rsidRPr="00B35171">
        <w:rPr>
          <w:color w:val="000000" w:themeColor="text1"/>
        </w:rPr>
        <w:t xml:space="preserve">, l’approche </w:t>
      </w:r>
      <w:proofErr w:type="spellStart"/>
      <w:r w:rsidR="002B264A" w:rsidRPr="00B35171">
        <w:rPr>
          <w:color w:val="000000" w:themeColor="text1"/>
        </w:rPr>
        <w:t>interactionnaliste</w:t>
      </w:r>
      <w:proofErr w:type="spellEnd"/>
      <w:r w:rsidR="002B264A" w:rsidRPr="00B35171">
        <w:rPr>
          <w:color w:val="000000" w:themeColor="text1"/>
        </w:rPr>
        <w:t xml:space="preserve"> et </w:t>
      </w:r>
      <w:proofErr w:type="spellStart"/>
      <w:r w:rsidR="00D02703" w:rsidRPr="00B35171">
        <w:rPr>
          <w:color w:val="000000" w:themeColor="text1"/>
        </w:rPr>
        <w:t>ethnométhodologique</w:t>
      </w:r>
      <w:proofErr w:type="spellEnd"/>
      <w:r w:rsidR="002B264A" w:rsidRPr="00B35171">
        <w:rPr>
          <w:color w:val="000000" w:themeColor="text1"/>
        </w:rPr>
        <w:t xml:space="preserve"> qui sera ici la nôtre, devrait nous permettre de mettre à jour non seulement les règles (endogènes) utilisées et forgées pratiquement par les membres mais également le rapport de ces derniers </w:t>
      </w:r>
      <w:r w:rsidR="00FD42D9" w:rsidRPr="00B35171">
        <w:rPr>
          <w:color w:val="000000" w:themeColor="text1"/>
        </w:rPr>
        <w:t xml:space="preserve">aux </w:t>
      </w:r>
      <w:r w:rsidR="002B264A" w:rsidRPr="00B35171">
        <w:rPr>
          <w:color w:val="000000" w:themeColor="text1"/>
        </w:rPr>
        <w:t>« règle</w:t>
      </w:r>
      <w:r w:rsidR="00086D67" w:rsidRPr="00B35171">
        <w:rPr>
          <w:color w:val="000000" w:themeColor="text1"/>
        </w:rPr>
        <w:t>s</w:t>
      </w:r>
      <w:r w:rsidR="002B264A" w:rsidRPr="00B35171">
        <w:rPr>
          <w:color w:val="000000" w:themeColor="text1"/>
        </w:rPr>
        <w:t> » (hétérogène</w:t>
      </w:r>
      <w:r w:rsidR="00086D67" w:rsidRPr="00B35171">
        <w:rPr>
          <w:color w:val="000000" w:themeColor="text1"/>
        </w:rPr>
        <w:t>s</w:t>
      </w:r>
      <w:r w:rsidR="002B264A" w:rsidRPr="00B35171">
        <w:rPr>
          <w:color w:val="000000" w:themeColor="text1"/>
        </w:rPr>
        <w:t>)</w:t>
      </w:r>
      <w:r w:rsidR="00B647A0" w:rsidRPr="00B35171">
        <w:rPr>
          <w:color w:val="000000" w:themeColor="text1"/>
        </w:rPr>
        <w:t xml:space="preserve"> </w:t>
      </w:r>
      <w:r w:rsidR="00086D67" w:rsidRPr="00B35171">
        <w:rPr>
          <w:color w:val="000000" w:themeColor="text1"/>
        </w:rPr>
        <w:t xml:space="preserve">que sont </w:t>
      </w:r>
      <w:r w:rsidR="00B647A0" w:rsidRPr="00B35171">
        <w:rPr>
          <w:color w:val="000000" w:themeColor="text1"/>
        </w:rPr>
        <w:t>la loi ou le règlement interne de l’institution</w:t>
      </w:r>
      <w:r w:rsidR="002B264A" w:rsidRPr="00B35171">
        <w:rPr>
          <w:color w:val="000000" w:themeColor="text1"/>
        </w:rPr>
        <w:t xml:space="preserve">. </w:t>
      </w:r>
      <w:r w:rsidR="002B264A" w:rsidRPr="00B35171">
        <w:rPr>
          <w:color w:val="000000" w:themeColor="text1"/>
          <w:lang w:val="fr-FR"/>
        </w:rPr>
        <w:t>Nous nous intéresserons donc</w:t>
      </w:r>
      <w:r w:rsidR="001A5B6A" w:rsidRPr="00B35171">
        <w:rPr>
          <w:color w:val="000000" w:themeColor="text1"/>
          <w:lang w:val="fr-FR"/>
        </w:rPr>
        <w:t xml:space="preserve"> aux membres que sont le</w:t>
      </w:r>
      <w:r w:rsidR="002B264A" w:rsidRPr="00B35171">
        <w:rPr>
          <w:color w:val="000000" w:themeColor="text1"/>
          <w:lang w:val="fr-FR"/>
        </w:rPr>
        <w:t xml:space="preserve">s </w:t>
      </w:r>
      <w:r w:rsidR="00FC2E36" w:rsidRPr="00B35171">
        <w:rPr>
          <w:color w:val="000000" w:themeColor="text1"/>
          <w:lang w:val="fr-FR"/>
        </w:rPr>
        <w:t>c</w:t>
      </w:r>
      <w:r w:rsidR="002B264A" w:rsidRPr="00B35171">
        <w:rPr>
          <w:color w:val="000000" w:themeColor="text1"/>
          <w:lang w:val="fr-FR"/>
        </w:rPr>
        <w:t>onseillers RFIE et tenterons de saisir comment</w:t>
      </w:r>
      <w:r w:rsidR="00F14813" w:rsidRPr="00B35171">
        <w:rPr>
          <w:color w:val="000000" w:themeColor="text1"/>
        </w:rPr>
        <w:t xml:space="preserve"> ces derniers parviennent à réaliser trois choses en un même mouvement : </w:t>
      </w:r>
      <w:r w:rsidR="00B647A0" w:rsidRPr="00B35171">
        <w:rPr>
          <w:color w:val="000000" w:themeColor="text1"/>
        </w:rPr>
        <w:t xml:space="preserve">(a) </w:t>
      </w:r>
      <w:r w:rsidR="00F14813" w:rsidRPr="00B35171">
        <w:rPr>
          <w:color w:val="000000" w:themeColor="text1"/>
        </w:rPr>
        <w:t xml:space="preserve">réaliser leurs tâches pratiques, </w:t>
      </w:r>
      <w:r w:rsidR="00B647A0" w:rsidRPr="00B35171">
        <w:rPr>
          <w:color w:val="000000" w:themeColor="text1"/>
        </w:rPr>
        <w:t xml:space="preserve">(b) </w:t>
      </w:r>
      <w:r w:rsidR="00F14813" w:rsidRPr="00B35171">
        <w:rPr>
          <w:color w:val="000000" w:themeColor="text1"/>
        </w:rPr>
        <w:t>en forger le sens au sein même de l’interaction</w:t>
      </w:r>
      <w:r w:rsidR="00B647A0" w:rsidRPr="00B35171">
        <w:rPr>
          <w:color w:val="000000" w:themeColor="text1"/>
        </w:rPr>
        <w:t xml:space="preserve"> </w:t>
      </w:r>
      <w:r w:rsidR="00F14813" w:rsidRPr="00B35171">
        <w:rPr>
          <w:color w:val="000000" w:themeColor="text1"/>
        </w:rPr>
        <w:t xml:space="preserve">et </w:t>
      </w:r>
      <w:r w:rsidR="00B647A0" w:rsidRPr="00B35171">
        <w:rPr>
          <w:color w:val="000000" w:themeColor="text1"/>
        </w:rPr>
        <w:t xml:space="preserve">(c) </w:t>
      </w:r>
      <w:r w:rsidR="00F14813" w:rsidRPr="00B35171">
        <w:rPr>
          <w:color w:val="000000" w:themeColor="text1"/>
        </w:rPr>
        <w:t>se communiquer l’un l’autre ce sens.</w:t>
      </w:r>
      <w:r w:rsidR="002B264A" w:rsidRPr="00B35171">
        <w:rPr>
          <w:color w:val="000000" w:themeColor="text1"/>
          <w:lang w:val="fr-FR"/>
        </w:rPr>
        <w:t xml:space="preserve"> </w:t>
      </w:r>
      <w:r w:rsidR="00F14813" w:rsidRPr="00B35171">
        <w:rPr>
          <w:color w:val="000000" w:themeColor="text1"/>
          <w:lang w:val="fr-FR"/>
        </w:rPr>
        <w:t xml:space="preserve">Pour ce faire nous chercherons à comprendre comment </w:t>
      </w:r>
      <w:r w:rsidR="002B264A" w:rsidRPr="00B35171">
        <w:rPr>
          <w:color w:val="000000" w:themeColor="text1"/>
          <w:lang w:val="fr-FR"/>
        </w:rPr>
        <w:t xml:space="preserve">l’on devient </w:t>
      </w:r>
      <w:r w:rsidR="00670F6C" w:rsidRPr="00B35171">
        <w:rPr>
          <w:color w:val="000000" w:themeColor="text1"/>
          <w:lang w:val="fr-FR"/>
        </w:rPr>
        <w:t xml:space="preserve">un </w:t>
      </w:r>
      <w:r w:rsidR="002B264A" w:rsidRPr="00B35171">
        <w:rPr>
          <w:color w:val="000000" w:themeColor="text1"/>
          <w:lang w:val="fr-FR"/>
        </w:rPr>
        <w:t xml:space="preserve">membre et ce que cela signifie de l’être. </w:t>
      </w:r>
      <w:r w:rsidR="002B264A" w:rsidRPr="00B35171">
        <w:rPr>
          <w:color w:val="000000" w:themeColor="text1"/>
        </w:rPr>
        <w:t xml:space="preserve">Par cette démarche, nous espérons ainsi parvenir à saisir, à rendre observable, le régime de l’arrangement en train de s’opérationnaliser. </w:t>
      </w:r>
    </w:p>
    <w:p w14:paraId="69CCD08D" w14:textId="77777777" w:rsidR="00DC5C5A" w:rsidRPr="00B35171" w:rsidRDefault="00DC5C5A" w:rsidP="002B264A">
      <w:pPr>
        <w:spacing w:line="276" w:lineRule="auto"/>
        <w:jc w:val="both"/>
        <w:rPr>
          <w:color w:val="000000" w:themeColor="text1"/>
        </w:rPr>
      </w:pPr>
    </w:p>
    <w:p w14:paraId="3A5DEBCA" w14:textId="512D92E3" w:rsidR="00DC5C5A" w:rsidRPr="00B35171" w:rsidRDefault="00D50082" w:rsidP="00DC5C5A">
      <w:pPr>
        <w:spacing w:line="276" w:lineRule="auto"/>
        <w:jc w:val="both"/>
        <w:rPr>
          <w:rFonts w:cstheme="minorHAnsi"/>
          <w:color w:val="000000" w:themeColor="text1"/>
        </w:rPr>
      </w:pPr>
      <w:r w:rsidRPr="00B35171">
        <w:rPr>
          <w:rFonts w:cstheme="minorHAnsi"/>
          <w:color w:val="000000" w:themeColor="text1"/>
        </w:rPr>
        <w:t>Pour ce faire, n</w:t>
      </w:r>
      <w:r w:rsidR="00DC5C5A" w:rsidRPr="00B35171">
        <w:rPr>
          <w:rFonts w:cstheme="minorHAnsi"/>
          <w:color w:val="000000" w:themeColor="text1"/>
        </w:rPr>
        <w:t>ous le mentionnions dans l’introduction</w:t>
      </w:r>
      <w:r w:rsidRPr="00B35171">
        <w:rPr>
          <w:rFonts w:cstheme="minorHAnsi"/>
          <w:color w:val="000000" w:themeColor="text1"/>
        </w:rPr>
        <w:t>,</w:t>
      </w:r>
      <w:r w:rsidR="00DC5C5A" w:rsidRPr="00B35171">
        <w:rPr>
          <w:rFonts w:cstheme="minorHAnsi"/>
          <w:color w:val="000000" w:themeColor="text1"/>
        </w:rPr>
        <w:t xml:space="preserve"> notre démarche </w:t>
      </w:r>
      <w:r w:rsidRPr="00B35171">
        <w:rPr>
          <w:rFonts w:cstheme="minorHAnsi"/>
          <w:color w:val="000000" w:themeColor="text1"/>
        </w:rPr>
        <w:t>s’appuiera sur</w:t>
      </w:r>
      <w:r w:rsidR="00DC5C5A" w:rsidRPr="00B35171">
        <w:rPr>
          <w:rFonts w:cstheme="minorHAnsi"/>
          <w:color w:val="000000" w:themeColor="text1"/>
        </w:rPr>
        <w:t xml:space="preserve"> </w:t>
      </w:r>
      <w:r w:rsidRPr="00B35171">
        <w:rPr>
          <w:rFonts w:cstheme="minorHAnsi"/>
          <w:color w:val="000000" w:themeColor="text1"/>
        </w:rPr>
        <w:t>l’a</w:t>
      </w:r>
      <w:r w:rsidR="00DC5C5A" w:rsidRPr="00B35171">
        <w:rPr>
          <w:rFonts w:cstheme="minorHAnsi"/>
          <w:color w:val="000000" w:themeColor="text1"/>
        </w:rPr>
        <w:t>uto</w:t>
      </w:r>
      <w:r w:rsidR="0014272D" w:rsidRPr="00B35171">
        <w:rPr>
          <w:rFonts w:cstheme="minorHAnsi"/>
          <w:color w:val="000000" w:themeColor="text1"/>
        </w:rPr>
        <w:t>-</w:t>
      </w:r>
      <w:r w:rsidR="00DC5C5A" w:rsidRPr="00B35171">
        <w:rPr>
          <w:rFonts w:cstheme="minorHAnsi"/>
          <w:color w:val="000000" w:themeColor="text1"/>
        </w:rPr>
        <w:t>ethnographie. Comme toute démarche basée sur l’observation participante, cette dernière n’échappe pas aux biais, bien connus, de l’interprétation et d</w:t>
      </w:r>
      <w:r w:rsidRPr="00B35171">
        <w:rPr>
          <w:rFonts w:cstheme="minorHAnsi"/>
          <w:color w:val="000000" w:themeColor="text1"/>
        </w:rPr>
        <w:t>u subjectivisme</w:t>
      </w:r>
      <w:r w:rsidR="00DC5C5A" w:rsidRPr="00B35171">
        <w:rPr>
          <w:rStyle w:val="Appelnotedebasdep"/>
          <w:rFonts w:cstheme="minorHAnsi"/>
          <w:color w:val="000000" w:themeColor="text1"/>
        </w:rPr>
        <w:footnoteReference w:id="10"/>
      </w:r>
      <w:r w:rsidR="0014272D" w:rsidRPr="00B35171">
        <w:rPr>
          <w:rFonts w:cstheme="minorHAnsi"/>
          <w:color w:val="000000" w:themeColor="text1"/>
        </w:rPr>
        <w:t>.</w:t>
      </w:r>
      <w:r w:rsidR="00DC5C5A" w:rsidRPr="00B35171">
        <w:rPr>
          <w:rFonts w:cstheme="minorHAnsi"/>
          <w:color w:val="000000" w:themeColor="text1"/>
        </w:rPr>
        <w:t xml:space="preserve"> Il est donc </w:t>
      </w:r>
      <w:r w:rsidRPr="00B35171">
        <w:rPr>
          <w:rFonts w:cstheme="minorHAnsi"/>
          <w:color w:val="000000" w:themeColor="text1"/>
        </w:rPr>
        <w:lastRenderedPageBreak/>
        <w:t>important</w:t>
      </w:r>
      <w:r w:rsidR="00DC5C5A" w:rsidRPr="00B35171">
        <w:rPr>
          <w:rFonts w:cstheme="minorHAnsi"/>
          <w:color w:val="000000" w:themeColor="text1"/>
        </w:rPr>
        <w:t xml:space="preserve"> de garder en tête le fait épistémologique suivant : l’esquisse théorique et la description proposée sur laquelle </w:t>
      </w:r>
      <w:r w:rsidR="0014272D" w:rsidRPr="00B35171">
        <w:rPr>
          <w:rFonts w:cstheme="minorHAnsi"/>
          <w:color w:val="000000" w:themeColor="text1"/>
        </w:rPr>
        <w:t>elle</w:t>
      </w:r>
      <w:r w:rsidR="00DC5C5A" w:rsidRPr="00B35171">
        <w:rPr>
          <w:rFonts w:cstheme="minorHAnsi"/>
          <w:color w:val="000000" w:themeColor="text1"/>
        </w:rPr>
        <w:t xml:space="preserve"> repose émane</w:t>
      </w:r>
      <w:r w:rsidR="003F6EF6" w:rsidRPr="00B35171">
        <w:rPr>
          <w:rFonts w:cstheme="minorHAnsi"/>
          <w:color w:val="000000" w:themeColor="text1"/>
        </w:rPr>
        <w:t>nt</w:t>
      </w:r>
      <w:r w:rsidR="00DC5C5A" w:rsidRPr="00B35171">
        <w:rPr>
          <w:rFonts w:cstheme="minorHAnsi"/>
          <w:color w:val="000000" w:themeColor="text1"/>
        </w:rPr>
        <w:t xml:space="preserve"> d’un matériau empirique collecté par l’enquêteur ; elles sont donc intrinsèquement tributaire</w:t>
      </w:r>
      <w:r w:rsidR="0014272D" w:rsidRPr="00B35171">
        <w:rPr>
          <w:rFonts w:cstheme="minorHAnsi"/>
          <w:color w:val="000000" w:themeColor="text1"/>
        </w:rPr>
        <w:t>s</w:t>
      </w:r>
      <w:r w:rsidR="00DC5C5A" w:rsidRPr="00B35171">
        <w:rPr>
          <w:rFonts w:cstheme="minorHAnsi"/>
          <w:color w:val="000000" w:themeColor="text1"/>
        </w:rPr>
        <w:t xml:space="preserve"> de son positionnement — institutionnel, géo-temporel, interactionnel — au moment de l’observation des faits et de la collecte des données effectuée : la recomposition de sens de la réalité sociale en train de se construire et de se reconduire, au travers des interactions, est effectuée à partir d’information</w:t>
      </w:r>
      <w:r w:rsidR="0014272D" w:rsidRPr="00B35171">
        <w:rPr>
          <w:rFonts w:cstheme="minorHAnsi"/>
          <w:color w:val="000000" w:themeColor="text1"/>
        </w:rPr>
        <w:t>s</w:t>
      </w:r>
      <w:r w:rsidR="00DC5C5A" w:rsidRPr="00B35171">
        <w:rPr>
          <w:rFonts w:cstheme="minorHAnsi"/>
          <w:color w:val="000000" w:themeColor="text1"/>
        </w:rPr>
        <w:t xml:space="preserve"> </w:t>
      </w:r>
      <w:r w:rsidRPr="00B35171">
        <w:rPr>
          <w:rFonts w:cstheme="minorHAnsi"/>
          <w:color w:val="000000" w:themeColor="text1"/>
        </w:rPr>
        <w:t>parcellaire</w:t>
      </w:r>
      <w:r w:rsidR="0014272D" w:rsidRPr="00B35171">
        <w:rPr>
          <w:rFonts w:cstheme="minorHAnsi"/>
          <w:color w:val="000000" w:themeColor="text1"/>
        </w:rPr>
        <w:t>s</w:t>
      </w:r>
      <w:r w:rsidR="00DC5C5A" w:rsidRPr="00B35171">
        <w:rPr>
          <w:rFonts w:cstheme="minorHAnsi"/>
          <w:color w:val="000000" w:themeColor="text1"/>
        </w:rPr>
        <w:t>. Mais, loin d’être un handicap (épistémologique), cet état de fait est, dans le cas qui nous préoccupe, un</w:t>
      </w:r>
      <w:r w:rsidR="009752A7" w:rsidRPr="00B35171">
        <w:rPr>
          <w:rFonts w:cstheme="minorHAnsi"/>
          <w:color w:val="000000" w:themeColor="text1"/>
        </w:rPr>
        <w:t>e force. C’est que,</w:t>
      </w:r>
      <w:r w:rsidRPr="00B35171">
        <w:rPr>
          <w:rFonts w:cstheme="minorHAnsi"/>
          <w:color w:val="000000" w:themeColor="text1"/>
        </w:rPr>
        <w:t xml:space="preserve"> </w:t>
      </w:r>
      <w:r w:rsidR="009752A7" w:rsidRPr="00B35171">
        <w:rPr>
          <w:rFonts w:cstheme="minorHAnsi"/>
          <w:color w:val="000000" w:themeColor="text1"/>
        </w:rPr>
        <w:t>l’objectif de cette analyse est justement, comme nous venons de le mentionner, de démonter —</w:t>
      </w:r>
      <w:r w:rsidR="00B35171">
        <w:rPr>
          <w:rFonts w:cstheme="minorHAnsi"/>
          <w:color w:val="000000" w:themeColor="text1"/>
        </w:rPr>
        <w:t xml:space="preserve"> </w:t>
      </w:r>
      <w:r w:rsidR="009752A7" w:rsidRPr="00B35171">
        <w:rPr>
          <w:rFonts w:cstheme="minorHAnsi"/>
          <w:color w:val="000000" w:themeColor="text1"/>
        </w:rPr>
        <w:t xml:space="preserve">au moyen d’un exemple ethnographique original — la manière dont les acteurs sociaux </w:t>
      </w:r>
      <w:r w:rsidR="0011350E" w:rsidRPr="00B35171">
        <w:rPr>
          <w:rFonts w:cstheme="minorHAnsi"/>
          <w:color w:val="000000" w:themeColor="text1"/>
        </w:rPr>
        <w:t>engendrent</w:t>
      </w:r>
      <w:r w:rsidR="00513C49" w:rsidRPr="00B35171">
        <w:rPr>
          <w:rFonts w:cstheme="minorHAnsi"/>
          <w:color w:val="000000" w:themeColor="text1"/>
        </w:rPr>
        <w:t xml:space="preserve"> et donne</w:t>
      </w:r>
      <w:r w:rsidR="0011350E" w:rsidRPr="00B35171">
        <w:rPr>
          <w:rFonts w:cstheme="minorHAnsi"/>
          <w:color w:val="000000" w:themeColor="text1"/>
        </w:rPr>
        <w:t>nt</w:t>
      </w:r>
      <w:r w:rsidR="009752A7" w:rsidRPr="00B35171">
        <w:rPr>
          <w:rFonts w:cstheme="minorHAnsi"/>
          <w:color w:val="000000" w:themeColor="text1"/>
        </w:rPr>
        <w:t xml:space="preserve"> </w:t>
      </w:r>
      <w:r w:rsidR="00513C49" w:rsidRPr="00B35171">
        <w:rPr>
          <w:rFonts w:cstheme="minorHAnsi"/>
          <w:color w:val="000000" w:themeColor="text1"/>
        </w:rPr>
        <w:t>du</w:t>
      </w:r>
      <w:r w:rsidR="009752A7" w:rsidRPr="00B35171">
        <w:rPr>
          <w:rFonts w:cstheme="minorHAnsi"/>
          <w:color w:val="000000" w:themeColor="text1"/>
        </w:rPr>
        <w:t xml:space="preserve"> sens à leurs actions à partir d’informations </w:t>
      </w:r>
      <w:r w:rsidRPr="00B35171">
        <w:rPr>
          <w:rFonts w:cstheme="minorHAnsi"/>
          <w:color w:val="000000" w:themeColor="text1"/>
        </w:rPr>
        <w:t>incomplètes et imprécises</w:t>
      </w:r>
      <w:r w:rsidR="009752A7" w:rsidRPr="00B35171">
        <w:rPr>
          <w:rStyle w:val="Appelnotedebasdep"/>
          <w:rFonts w:cstheme="minorHAnsi"/>
          <w:color w:val="000000" w:themeColor="text1"/>
        </w:rPr>
        <w:footnoteReference w:id="11"/>
      </w:r>
      <w:r w:rsidR="009752A7" w:rsidRPr="00B35171">
        <w:rPr>
          <w:rFonts w:cstheme="minorHAnsi"/>
          <w:color w:val="000000" w:themeColor="text1"/>
        </w:rPr>
        <w:t>. Un isomorphisme fécond se trouve donc à l’œuvre entre, d’une part notre objet d’étude et d’autre part, la démarche d’enquête qui est la nôtre pour en rendre compte</w:t>
      </w:r>
      <w:r w:rsidR="009752A7" w:rsidRPr="00B35171">
        <w:rPr>
          <w:rStyle w:val="Appelnotedebasdep"/>
          <w:rFonts w:cstheme="minorHAnsi"/>
          <w:color w:val="000000" w:themeColor="text1"/>
        </w:rPr>
        <w:footnoteReference w:id="12"/>
      </w:r>
      <w:r w:rsidR="009752A7" w:rsidRPr="00B35171">
        <w:rPr>
          <w:rFonts w:cstheme="minorHAnsi"/>
          <w:color w:val="000000" w:themeColor="text1"/>
        </w:rPr>
        <w:t>.</w:t>
      </w:r>
    </w:p>
    <w:p w14:paraId="59E266B1" w14:textId="77777777" w:rsidR="00131490" w:rsidRPr="00B35171" w:rsidRDefault="00131490" w:rsidP="002B264A">
      <w:pPr>
        <w:spacing w:line="276" w:lineRule="auto"/>
        <w:jc w:val="both"/>
        <w:rPr>
          <w:color w:val="000000" w:themeColor="text1"/>
        </w:rPr>
      </w:pPr>
    </w:p>
    <w:p w14:paraId="7F16CC26" w14:textId="28A2C0E5" w:rsidR="00131490" w:rsidRPr="00B35171" w:rsidRDefault="00131490" w:rsidP="002B264A">
      <w:pPr>
        <w:spacing w:line="276" w:lineRule="auto"/>
        <w:jc w:val="both"/>
        <w:rPr>
          <w:rFonts w:asciiTheme="majorHAnsi" w:hAnsiTheme="majorHAnsi" w:cstheme="majorHAnsi"/>
          <w:color w:val="000000" w:themeColor="text1"/>
          <w:sz w:val="32"/>
          <w:szCs w:val="32"/>
        </w:rPr>
      </w:pPr>
      <w:r w:rsidRPr="00B35171">
        <w:rPr>
          <w:rFonts w:asciiTheme="majorHAnsi" w:hAnsiTheme="majorHAnsi" w:cstheme="majorHAnsi"/>
          <w:color w:val="000000" w:themeColor="text1"/>
          <w:sz w:val="32"/>
          <w:szCs w:val="32"/>
        </w:rPr>
        <w:t>Note méthodologique</w:t>
      </w:r>
    </w:p>
    <w:p w14:paraId="3FEAC4BF" w14:textId="77777777" w:rsidR="00DC5C5A" w:rsidRPr="00B35171" w:rsidRDefault="00DC5C5A" w:rsidP="002B264A">
      <w:pPr>
        <w:spacing w:line="276" w:lineRule="auto"/>
        <w:jc w:val="both"/>
        <w:rPr>
          <w:rFonts w:asciiTheme="majorHAnsi" w:hAnsiTheme="majorHAnsi" w:cstheme="majorHAnsi"/>
          <w:color w:val="000000" w:themeColor="text1"/>
          <w:sz w:val="32"/>
          <w:szCs w:val="32"/>
        </w:rPr>
      </w:pPr>
    </w:p>
    <w:p w14:paraId="210C8C03" w14:textId="5D215F54" w:rsidR="00AC38A2" w:rsidRPr="00B35171" w:rsidRDefault="00A414F0" w:rsidP="009752A7">
      <w:pPr>
        <w:spacing w:line="276" w:lineRule="auto"/>
        <w:jc w:val="both"/>
        <w:rPr>
          <w:rFonts w:cstheme="minorHAnsi"/>
          <w:color w:val="000000" w:themeColor="text1"/>
        </w:rPr>
      </w:pPr>
      <w:r w:rsidRPr="00B35171">
        <w:rPr>
          <w:rFonts w:cstheme="minorHAnsi"/>
          <w:color w:val="000000" w:themeColor="text1"/>
        </w:rPr>
        <w:t>Au</w:t>
      </w:r>
      <w:r w:rsidR="00FE4639" w:rsidRPr="00B35171">
        <w:rPr>
          <w:rFonts w:cstheme="minorHAnsi"/>
          <w:color w:val="000000" w:themeColor="text1"/>
        </w:rPr>
        <w:t xml:space="preserve"> moment de notre engagement en tant que conseiller RFIE, il n’était pas dans notre intention de faire des pratiques des membres un objet d’étude</w:t>
      </w:r>
      <w:r w:rsidR="001E5300" w:rsidRPr="00B35171">
        <w:rPr>
          <w:rFonts w:cstheme="minorHAnsi"/>
          <w:color w:val="000000" w:themeColor="text1"/>
        </w:rPr>
        <w:t xml:space="preserve"> (anthropologique ou autre)</w:t>
      </w:r>
      <w:r w:rsidR="00FE4639" w:rsidRPr="00B35171">
        <w:rPr>
          <w:rFonts w:cstheme="minorHAnsi"/>
          <w:color w:val="000000" w:themeColor="text1"/>
        </w:rPr>
        <w:t xml:space="preserve"> ; c’est à la suite d’une invitation au colloque dont ces actes se veulent la résultante, et d’une réponse positive de notre part à cette invitation, que cette idée nous est venue. L’analyse qui suit et le matériau empirique sur lequel elle s’appuie </w:t>
      </w:r>
      <w:r w:rsidRPr="00B35171">
        <w:rPr>
          <w:rFonts w:cstheme="minorHAnsi"/>
          <w:color w:val="000000" w:themeColor="text1"/>
        </w:rPr>
        <w:t>se</w:t>
      </w:r>
      <w:r w:rsidR="00FE4639" w:rsidRPr="00B35171">
        <w:rPr>
          <w:rFonts w:cstheme="minorHAnsi"/>
          <w:color w:val="000000" w:themeColor="text1"/>
        </w:rPr>
        <w:t xml:space="preserve"> </w:t>
      </w:r>
      <w:r w:rsidRPr="00B35171">
        <w:rPr>
          <w:rFonts w:cstheme="minorHAnsi"/>
          <w:color w:val="000000" w:themeColor="text1"/>
        </w:rPr>
        <w:t xml:space="preserve">sont </w:t>
      </w:r>
      <w:r w:rsidR="00FE4639" w:rsidRPr="00B35171">
        <w:rPr>
          <w:rFonts w:cstheme="minorHAnsi"/>
          <w:color w:val="000000" w:themeColor="text1"/>
        </w:rPr>
        <w:t>donc constitué</w:t>
      </w:r>
      <w:r w:rsidRPr="00B35171">
        <w:rPr>
          <w:rFonts w:cstheme="minorHAnsi"/>
          <w:color w:val="000000" w:themeColor="text1"/>
        </w:rPr>
        <w:t>s</w:t>
      </w:r>
      <w:r w:rsidR="00FE4639" w:rsidRPr="00B35171">
        <w:rPr>
          <w:rFonts w:cstheme="minorHAnsi"/>
          <w:color w:val="000000" w:themeColor="text1"/>
        </w:rPr>
        <w:t xml:space="preserve"> dans une sorte « d’après-coup »</w:t>
      </w:r>
      <w:r w:rsidRPr="00B35171">
        <w:rPr>
          <w:rFonts w:cstheme="minorHAnsi"/>
          <w:color w:val="000000" w:themeColor="text1"/>
        </w:rPr>
        <w:t xml:space="preserve">, une fois notre introduction sur le « terrain » déjà entamée ; c’est notre connaissance — en amont de l’analyse, donc — de celui-ci qui a participé à nous faire considérer ce dernier comme un objet valide et d’intérêt pour l’étude proposée. Ces raisons, ajoutée à </w:t>
      </w:r>
      <w:r w:rsidR="001E5300" w:rsidRPr="00B35171">
        <w:rPr>
          <w:rFonts w:cstheme="minorHAnsi"/>
          <w:color w:val="000000" w:themeColor="text1"/>
        </w:rPr>
        <w:t xml:space="preserve">la </w:t>
      </w:r>
      <w:r w:rsidRPr="00B35171">
        <w:rPr>
          <w:rFonts w:cstheme="minorHAnsi"/>
          <w:color w:val="000000" w:themeColor="text1"/>
        </w:rPr>
        <w:t xml:space="preserve">thématique du sujet traité — </w:t>
      </w:r>
      <w:r w:rsidR="001E5300" w:rsidRPr="00B35171">
        <w:rPr>
          <w:rFonts w:cstheme="minorHAnsi"/>
          <w:color w:val="000000" w:themeColor="text1"/>
        </w:rPr>
        <w:t xml:space="preserve">les bricolages, l’inventivité et les arrangements pratiques — </w:t>
      </w:r>
      <w:r w:rsidRPr="00B35171">
        <w:rPr>
          <w:rFonts w:cstheme="minorHAnsi"/>
          <w:color w:val="000000" w:themeColor="text1"/>
        </w:rPr>
        <w:t xml:space="preserve">nous ont </w:t>
      </w:r>
      <w:r w:rsidR="001E5300" w:rsidRPr="00B35171">
        <w:rPr>
          <w:rFonts w:cstheme="minorHAnsi"/>
          <w:color w:val="000000" w:themeColor="text1"/>
        </w:rPr>
        <w:t>poussé</w:t>
      </w:r>
      <w:r w:rsidRPr="00B35171">
        <w:rPr>
          <w:rFonts w:cstheme="minorHAnsi"/>
          <w:color w:val="000000" w:themeColor="text1"/>
        </w:rPr>
        <w:t xml:space="preserve"> à faire le choix méthodologique de ne point </w:t>
      </w:r>
      <w:r w:rsidR="001E5300" w:rsidRPr="00B35171">
        <w:rPr>
          <w:rFonts w:cstheme="minorHAnsi"/>
          <w:color w:val="000000" w:themeColor="text1"/>
        </w:rPr>
        <w:t>révéler notre posture d’enquêteur</w:t>
      </w:r>
      <w:r w:rsidR="00AF2705" w:rsidRPr="00B35171">
        <w:rPr>
          <w:rFonts w:cstheme="minorHAnsi"/>
          <w:color w:val="000000" w:themeColor="text1"/>
        </w:rPr>
        <w:t xml:space="preserve"> auprès de nos enquêtés</w:t>
      </w:r>
      <w:r w:rsidR="001E5300" w:rsidRPr="00B35171">
        <w:rPr>
          <w:rFonts w:cstheme="minorHAnsi"/>
          <w:color w:val="000000" w:themeColor="text1"/>
        </w:rPr>
        <w:t>. « Peu goutée par les anthropologues »</w:t>
      </w:r>
      <w:r w:rsidR="00AF2705" w:rsidRPr="00B35171">
        <w:rPr>
          <w:rStyle w:val="Appelnotedebasdep"/>
          <w:rFonts w:cstheme="minorHAnsi"/>
          <w:color w:val="000000" w:themeColor="text1"/>
        </w:rPr>
        <w:footnoteReference w:id="13"/>
      </w:r>
      <w:r w:rsidR="001E5300" w:rsidRPr="00B35171">
        <w:rPr>
          <w:rFonts w:cstheme="minorHAnsi"/>
          <w:color w:val="000000" w:themeColor="text1"/>
        </w:rPr>
        <w:t xml:space="preserve">, cette posture </w:t>
      </w:r>
      <w:r w:rsidR="00AF2705" w:rsidRPr="00B35171">
        <w:rPr>
          <w:rFonts w:cstheme="minorHAnsi"/>
          <w:color w:val="000000" w:themeColor="text1"/>
        </w:rPr>
        <w:t>clandestine a pour ambition de permettre au chercheur de glaner « en principe des informations qui ne sont pas parasitées par la connaissance du fait qu’une enquête est menée »</w:t>
      </w:r>
      <w:r w:rsidR="00AF2705" w:rsidRPr="00B35171">
        <w:rPr>
          <w:rStyle w:val="Appelnotedebasdep"/>
          <w:rFonts w:cstheme="minorHAnsi"/>
          <w:color w:val="000000" w:themeColor="text1"/>
        </w:rPr>
        <w:footnoteReference w:id="14"/>
      </w:r>
      <w:r w:rsidR="0011350E" w:rsidRPr="00B35171">
        <w:rPr>
          <w:rFonts w:cstheme="minorHAnsi"/>
          <w:color w:val="000000" w:themeColor="text1"/>
        </w:rPr>
        <w:t>.</w:t>
      </w:r>
      <w:r w:rsidR="00AF2705" w:rsidRPr="00B35171">
        <w:rPr>
          <w:rFonts w:cstheme="minorHAnsi"/>
          <w:color w:val="000000" w:themeColor="text1"/>
        </w:rPr>
        <w:t xml:space="preserve"> Elle se justifie donc </w:t>
      </w:r>
      <w:r w:rsidR="009362E7" w:rsidRPr="00B35171">
        <w:rPr>
          <w:rFonts w:cstheme="minorHAnsi"/>
          <w:color w:val="000000" w:themeColor="text1"/>
        </w:rPr>
        <w:t>principalement</w:t>
      </w:r>
      <w:r w:rsidR="00AF2705" w:rsidRPr="00B35171">
        <w:rPr>
          <w:rFonts w:cstheme="minorHAnsi"/>
          <w:color w:val="000000" w:themeColor="text1"/>
        </w:rPr>
        <w:t xml:space="preserve"> par un souci </w:t>
      </w:r>
      <w:r w:rsidR="009362E7" w:rsidRPr="00B35171">
        <w:rPr>
          <w:rFonts w:cstheme="minorHAnsi"/>
          <w:color w:val="000000" w:themeColor="text1"/>
        </w:rPr>
        <w:t xml:space="preserve">scientifique </w:t>
      </w:r>
      <w:r w:rsidR="00AF2705" w:rsidRPr="00B35171">
        <w:rPr>
          <w:rFonts w:cstheme="minorHAnsi"/>
          <w:color w:val="000000" w:themeColor="text1"/>
        </w:rPr>
        <w:t>de préservation du matériau d’enquêt</w:t>
      </w:r>
      <w:r w:rsidR="009362E7" w:rsidRPr="00B35171">
        <w:rPr>
          <w:rFonts w:cstheme="minorHAnsi"/>
          <w:color w:val="000000" w:themeColor="text1"/>
        </w:rPr>
        <w:t>e</w:t>
      </w:r>
      <w:r w:rsidR="00100B3B" w:rsidRPr="00B35171">
        <w:rPr>
          <w:rFonts w:cstheme="minorHAnsi"/>
          <w:color w:val="000000" w:themeColor="text1"/>
        </w:rPr>
        <w:t xml:space="preserve">. </w:t>
      </w:r>
      <w:r w:rsidR="009752A7" w:rsidRPr="00B35171">
        <w:rPr>
          <w:rFonts w:cstheme="minorHAnsi"/>
          <w:color w:val="000000" w:themeColor="text1"/>
        </w:rPr>
        <w:t>Ainsi</w:t>
      </w:r>
      <w:r w:rsidR="00975AF6" w:rsidRPr="00B35171">
        <w:rPr>
          <w:rFonts w:cstheme="minorHAnsi"/>
          <w:color w:val="000000" w:themeColor="text1"/>
        </w:rPr>
        <w:t>, bien</w:t>
      </w:r>
      <w:r w:rsidR="009362E7" w:rsidRPr="00B35171">
        <w:rPr>
          <w:rFonts w:cstheme="minorHAnsi"/>
          <w:color w:val="000000" w:themeColor="text1"/>
        </w:rPr>
        <w:t xml:space="preserve"> qu’</w:t>
      </w:r>
      <w:r w:rsidR="00AF2705" w:rsidRPr="00B35171">
        <w:rPr>
          <w:rFonts w:cstheme="minorHAnsi"/>
          <w:color w:val="000000" w:themeColor="text1"/>
        </w:rPr>
        <w:t xml:space="preserve">elle </w:t>
      </w:r>
      <w:r w:rsidR="00C03905" w:rsidRPr="00B35171">
        <w:rPr>
          <w:rFonts w:cstheme="minorHAnsi"/>
          <w:color w:val="000000" w:themeColor="text1"/>
        </w:rPr>
        <w:t>impliqu</w:t>
      </w:r>
      <w:r w:rsidR="0011350E" w:rsidRPr="00B35171">
        <w:rPr>
          <w:rFonts w:cstheme="minorHAnsi"/>
          <w:color w:val="000000" w:themeColor="text1"/>
        </w:rPr>
        <w:t>e</w:t>
      </w:r>
      <w:r w:rsidR="00C03905" w:rsidRPr="00B35171">
        <w:rPr>
          <w:rFonts w:cstheme="minorHAnsi"/>
          <w:color w:val="000000" w:themeColor="text1"/>
        </w:rPr>
        <w:t xml:space="preserve"> quelques</w:t>
      </w:r>
      <w:r w:rsidR="009362E7" w:rsidRPr="00B35171">
        <w:rPr>
          <w:rFonts w:cstheme="minorHAnsi"/>
          <w:color w:val="000000" w:themeColor="text1"/>
        </w:rPr>
        <w:t xml:space="preserve"> </w:t>
      </w:r>
      <w:r w:rsidR="00C03905" w:rsidRPr="00B35171">
        <w:rPr>
          <w:rFonts w:cstheme="minorHAnsi"/>
          <w:color w:val="000000" w:themeColor="text1"/>
        </w:rPr>
        <w:t>complications</w:t>
      </w:r>
      <w:r w:rsidR="009362E7" w:rsidRPr="00B35171">
        <w:rPr>
          <w:rFonts w:cstheme="minorHAnsi"/>
          <w:color w:val="000000" w:themeColor="text1"/>
        </w:rPr>
        <w:t xml:space="preserve">, d’ordre </w:t>
      </w:r>
      <w:r w:rsidR="009362E7" w:rsidRPr="00B35171">
        <w:rPr>
          <w:rFonts w:cstheme="minorHAnsi"/>
          <w:color w:val="000000" w:themeColor="text1"/>
        </w:rPr>
        <w:lastRenderedPageBreak/>
        <w:t>épistémologique ou éthique</w:t>
      </w:r>
      <w:r w:rsidR="009752A7" w:rsidRPr="00B35171">
        <w:rPr>
          <w:rFonts w:cstheme="minorHAnsi"/>
          <w:color w:val="000000" w:themeColor="text1"/>
        </w:rPr>
        <w:t xml:space="preserve"> notamment</w:t>
      </w:r>
      <w:r w:rsidR="009362E7" w:rsidRPr="00B35171">
        <w:rPr>
          <w:rStyle w:val="Appelnotedebasdep"/>
          <w:rFonts w:cstheme="minorHAnsi"/>
          <w:color w:val="000000" w:themeColor="text1"/>
        </w:rPr>
        <w:footnoteReference w:id="15"/>
      </w:r>
      <w:r w:rsidR="009362E7" w:rsidRPr="00B35171">
        <w:rPr>
          <w:rFonts w:cstheme="minorHAnsi"/>
          <w:color w:val="000000" w:themeColor="text1"/>
        </w:rPr>
        <w:t xml:space="preserve">, cette </w:t>
      </w:r>
      <w:r w:rsidR="00224202" w:rsidRPr="00B35171">
        <w:rPr>
          <w:rFonts w:cstheme="minorHAnsi"/>
          <w:color w:val="000000" w:themeColor="text1"/>
        </w:rPr>
        <w:t>méthode</w:t>
      </w:r>
      <w:r w:rsidR="009362E7" w:rsidRPr="00B35171">
        <w:rPr>
          <w:rFonts w:cstheme="minorHAnsi"/>
          <w:color w:val="000000" w:themeColor="text1"/>
        </w:rPr>
        <w:t xml:space="preserve"> reste avant tout un moyen</w:t>
      </w:r>
      <w:r w:rsidR="00224202" w:rsidRPr="00B35171">
        <w:rPr>
          <w:rFonts w:cstheme="minorHAnsi"/>
          <w:color w:val="000000" w:themeColor="text1"/>
        </w:rPr>
        <w:t xml:space="preserve"> </w:t>
      </w:r>
      <w:r w:rsidR="00224202" w:rsidRPr="00B35171">
        <w:rPr>
          <w:rFonts w:cstheme="minorHAnsi"/>
          <w:i/>
          <w:iCs/>
          <w:color w:val="000000" w:themeColor="text1"/>
        </w:rPr>
        <w:t>ad hoc</w:t>
      </w:r>
      <w:r w:rsidR="009362E7" w:rsidRPr="00B35171">
        <w:rPr>
          <w:rFonts w:cstheme="minorHAnsi"/>
          <w:color w:val="000000" w:themeColor="text1"/>
        </w:rPr>
        <w:t>, un</w:t>
      </w:r>
      <w:r w:rsidR="00100B3B" w:rsidRPr="00B35171">
        <w:rPr>
          <w:rFonts w:cstheme="minorHAnsi"/>
          <w:color w:val="000000" w:themeColor="text1"/>
        </w:rPr>
        <w:t xml:space="preserve"> </w:t>
      </w:r>
      <w:r w:rsidR="009362E7" w:rsidRPr="00B35171">
        <w:rPr>
          <w:rFonts w:cstheme="minorHAnsi"/>
          <w:color w:val="000000" w:themeColor="text1"/>
        </w:rPr>
        <w:t>outil</w:t>
      </w:r>
      <w:r w:rsidR="00224202" w:rsidRPr="00B35171">
        <w:rPr>
          <w:rFonts w:cstheme="minorHAnsi"/>
          <w:color w:val="000000" w:themeColor="text1"/>
        </w:rPr>
        <w:t xml:space="preserve"> </w:t>
      </w:r>
      <w:r w:rsidR="00100B3B" w:rsidRPr="00B35171">
        <w:rPr>
          <w:rFonts w:cstheme="minorHAnsi"/>
          <w:color w:val="000000" w:themeColor="text1"/>
        </w:rPr>
        <w:t xml:space="preserve">ethnographique </w:t>
      </w:r>
      <w:r w:rsidR="00224202" w:rsidRPr="00B35171">
        <w:rPr>
          <w:rFonts w:cstheme="minorHAnsi"/>
          <w:color w:val="000000" w:themeColor="text1"/>
        </w:rPr>
        <w:t>rigoureux</w:t>
      </w:r>
      <w:r w:rsidR="009362E7" w:rsidRPr="00B35171">
        <w:rPr>
          <w:rFonts w:cstheme="minorHAnsi"/>
          <w:color w:val="000000" w:themeColor="text1"/>
        </w:rPr>
        <w:t>, devant permettre à l'enquêteur de réaliser une enquête sur un objet d’étude qu’il considère comme digne d’intérêt</w:t>
      </w:r>
      <w:r w:rsidR="00100B3B" w:rsidRPr="00B35171">
        <w:rPr>
          <w:rFonts w:cstheme="minorHAnsi"/>
          <w:color w:val="000000" w:themeColor="text1"/>
        </w:rPr>
        <w:t xml:space="preserve"> </w:t>
      </w:r>
      <w:r w:rsidR="00100B3B" w:rsidRPr="00B35171">
        <w:rPr>
          <w:rFonts w:cstheme="minorHAnsi"/>
          <w:i/>
          <w:iCs/>
          <w:color w:val="000000" w:themeColor="text1"/>
        </w:rPr>
        <w:t>scientifique</w:t>
      </w:r>
      <w:r w:rsidR="009362E7" w:rsidRPr="00B35171">
        <w:rPr>
          <w:rStyle w:val="Appelnotedebasdep"/>
          <w:rFonts w:cstheme="minorHAnsi"/>
          <w:color w:val="000000" w:themeColor="text1"/>
        </w:rPr>
        <w:footnoteReference w:id="16"/>
      </w:r>
      <w:r w:rsidR="009362E7" w:rsidRPr="00B35171">
        <w:rPr>
          <w:rFonts w:cstheme="minorHAnsi"/>
          <w:color w:val="000000" w:themeColor="text1"/>
        </w:rPr>
        <w:t xml:space="preserve">. </w:t>
      </w:r>
    </w:p>
    <w:p w14:paraId="7B396EB2" w14:textId="4E50A1FE" w:rsidR="009F344D" w:rsidRPr="00B35171" w:rsidRDefault="009F344D" w:rsidP="009F344D">
      <w:pPr>
        <w:pStyle w:val="Titre1"/>
        <w:rPr>
          <w:color w:val="000000" w:themeColor="text1"/>
        </w:rPr>
      </w:pPr>
      <w:bookmarkStart w:id="5" w:name="_Toc118374767"/>
      <w:bookmarkStart w:id="6" w:name="_Toc118807817"/>
      <w:bookmarkStart w:id="7" w:name="_Toc120019798"/>
      <w:r w:rsidRPr="00B35171">
        <w:rPr>
          <w:color w:val="000000" w:themeColor="text1"/>
        </w:rPr>
        <w:t>La Réforme de la Formation Initiale des Enseignants</w:t>
      </w:r>
      <w:r w:rsidR="00FD42D9" w:rsidRPr="00B35171">
        <w:rPr>
          <w:color w:val="000000" w:themeColor="text1"/>
        </w:rPr>
        <w:t xml:space="preserve"> (RFIE)</w:t>
      </w:r>
      <w:r w:rsidRPr="00B35171">
        <w:rPr>
          <w:color w:val="000000" w:themeColor="text1"/>
        </w:rPr>
        <w:t> : un</w:t>
      </w:r>
      <w:r w:rsidR="00C2096F" w:rsidRPr="00B35171">
        <w:rPr>
          <w:color w:val="000000" w:themeColor="text1"/>
        </w:rPr>
        <w:t xml:space="preserve"> </w:t>
      </w:r>
      <w:r w:rsidRPr="00B35171">
        <w:rPr>
          <w:color w:val="000000" w:themeColor="text1"/>
        </w:rPr>
        <w:t>objet institutionnel</w:t>
      </w:r>
      <w:r w:rsidR="00C2096F" w:rsidRPr="00B35171">
        <w:rPr>
          <w:color w:val="000000" w:themeColor="text1"/>
        </w:rPr>
        <w:t xml:space="preserve"> d’ampleur </w:t>
      </w:r>
      <w:r w:rsidRPr="00B35171">
        <w:rPr>
          <w:color w:val="000000" w:themeColor="text1"/>
        </w:rPr>
        <w:t>; une fonction de « </w:t>
      </w:r>
      <w:r w:rsidR="00FC2E36" w:rsidRPr="00B35171">
        <w:rPr>
          <w:color w:val="000000" w:themeColor="text1"/>
        </w:rPr>
        <w:t>c</w:t>
      </w:r>
      <w:r w:rsidRPr="00B35171">
        <w:rPr>
          <w:color w:val="000000" w:themeColor="text1"/>
        </w:rPr>
        <w:t>onseiller » à créer.</w:t>
      </w:r>
      <w:bookmarkEnd w:id="5"/>
      <w:bookmarkEnd w:id="6"/>
      <w:bookmarkEnd w:id="7"/>
    </w:p>
    <w:p w14:paraId="65589EBE" w14:textId="77777777" w:rsidR="009F344D" w:rsidRPr="00B35171" w:rsidRDefault="009F344D" w:rsidP="009F344D">
      <w:pPr>
        <w:spacing w:line="276" w:lineRule="auto"/>
        <w:jc w:val="both"/>
        <w:rPr>
          <w:color w:val="000000" w:themeColor="text1"/>
        </w:rPr>
      </w:pPr>
    </w:p>
    <w:p w14:paraId="13CED770" w14:textId="40AE6077" w:rsidR="009F344D" w:rsidRPr="00B35171" w:rsidRDefault="009F344D" w:rsidP="009F344D">
      <w:pPr>
        <w:pStyle w:val="Titre2"/>
        <w:rPr>
          <w:color w:val="000000" w:themeColor="text1"/>
        </w:rPr>
      </w:pPr>
      <w:bookmarkStart w:id="8" w:name="_Toc118374768"/>
      <w:bookmarkStart w:id="9" w:name="_Toc118807818"/>
      <w:bookmarkStart w:id="10" w:name="_Toc120019799"/>
      <w:r w:rsidRPr="00B35171">
        <w:rPr>
          <w:color w:val="000000" w:themeColor="text1"/>
        </w:rPr>
        <w:t xml:space="preserve">Éléments pour une construction du mandat de </w:t>
      </w:r>
      <w:r w:rsidR="00FC2E36" w:rsidRPr="00B35171">
        <w:rPr>
          <w:color w:val="000000" w:themeColor="text1"/>
        </w:rPr>
        <w:t>c</w:t>
      </w:r>
      <w:r w:rsidRPr="00B35171">
        <w:rPr>
          <w:color w:val="000000" w:themeColor="text1"/>
        </w:rPr>
        <w:t>onseiller</w:t>
      </w:r>
      <w:bookmarkEnd w:id="8"/>
      <w:r w:rsidRPr="00B35171">
        <w:rPr>
          <w:color w:val="000000" w:themeColor="text1"/>
        </w:rPr>
        <w:t xml:space="preserve"> RFIE</w:t>
      </w:r>
      <w:bookmarkEnd w:id="9"/>
      <w:bookmarkEnd w:id="10"/>
    </w:p>
    <w:p w14:paraId="012B9332" w14:textId="77777777" w:rsidR="009F344D" w:rsidRPr="00B35171" w:rsidRDefault="009F344D" w:rsidP="009F344D">
      <w:pPr>
        <w:spacing w:line="276" w:lineRule="auto"/>
        <w:jc w:val="both"/>
        <w:rPr>
          <w:color w:val="000000" w:themeColor="text1"/>
        </w:rPr>
      </w:pPr>
    </w:p>
    <w:p w14:paraId="7FBA9EC8" w14:textId="53352C93" w:rsidR="009F344D" w:rsidRPr="00B35171" w:rsidRDefault="009F344D" w:rsidP="009F344D">
      <w:pPr>
        <w:spacing w:line="276" w:lineRule="auto"/>
        <w:jc w:val="both"/>
        <w:rPr>
          <w:color w:val="000000" w:themeColor="text1"/>
        </w:rPr>
      </w:pPr>
      <w:r w:rsidRPr="00B35171">
        <w:rPr>
          <w:color w:val="000000" w:themeColor="text1"/>
        </w:rPr>
        <w:t>En octobre 2022, l’enquêteur fut officiellement engagé au sein d</w:t>
      </w:r>
      <w:r w:rsidR="00D02703" w:rsidRPr="00B35171">
        <w:rPr>
          <w:color w:val="000000" w:themeColor="text1"/>
        </w:rPr>
        <w:t>’une</w:t>
      </w:r>
      <w:r w:rsidRPr="00B35171">
        <w:rPr>
          <w:color w:val="000000" w:themeColor="text1"/>
        </w:rPr>
        <w:t xml:space="preserve"> </w:t>
      </w:r>
      <w:r w:rsidR="00D02703" w:rsidRPr="00B35171">
        <w:rPr>
          <w:color w:val="000000" w:themeColor="text1"/>
        </w:rPr>
        <w:t>u</w:t>
      </w:r>
      <w:r w:rsidRPr="00B35171">
        <w:rPr>
          <w:color w:val="000000" w:themeColor="text1"/>
        </w:rPr>
        <w:t>niversité</w:t>
      </w:r>
      <w:r w:rsidR="00D02703" w:rsidRPr="00B35171">
        <w:rPr>
          <w:color w:val="000000" w:themeColor="text1"/>
        </w:rPr>
        <w:t xml:space="preserve"> francophone </w:t>
      </w:r>
      <w:r w:rsidRPr="00B35171">
        <w:rPr>
          <w:color w:val="000000" w:themeColor="text1"/>
        </w:rPr>
        <w:t>en tant que « </w:t>
      </w:r>
      <w:r w:rsidR="00FC2E36" w:rsidRPr="00B35171">
        <w:rPr>
          <w:color w:val="000000" w:themeColor="text1"/>
        </w:rPr>
        <w:t>c</w:t>
      </w:r>
      <w:r w:rsidRPr="00B35171">
        <w:rPr>
          <w:color w:val="000000" w:themeColor="text1"/>
        </w:rPr>
        <w:t xml:space="preserve">onseiller RFIE ». </w:t>
      </w:r>
    </w:p>
    <w:p w14:paraId="67B8FCF5" w14:textId="0BAA8CE9" w:rsidR="009F344D" w:rsidRPr="00B35171" w:rsidRDefault="009F344D" w:rsidP="002B264A">
      <w:pPr>
        <w:jc w:val="both"/>
        <w:rPr>
          <w:color w:val="000000" w:themeColor="text1"/>
        </w:rPr>
      </w:pPr>
    </w:p>
    <w:p w14:paraId="11161FF5" w14:textId="14362B69" w:rsidR="009F344D" w:rsidRPr="00B35171" w:rsidRDefault="009F344D" w:rsidP="009F344D">
      <w:pPr>
        <w:spacing w:line="276" w:lineRule="auto"/>
        <w:jc w:val="both"/>
        <w:rPr>
          <w:color w:val="000000" w:themeColor="text1"/>
        </w:rPr>
      </w:pPr>
      <w:r w:rsidRPr="00B35171">
        <w:rPr>
          <w:color w:val="000000" w:themeColor="text1"/>
        </w:rPr>
        <w:t>Avant d’aller plus loin dans le descriptif de cette fonction et de ses relations avec la RFIE, étape nécessaire à la bonne compréhension de l’analyse qui suit puisqu’elle en fourni</w:t>
      </w:r>
      <w:r w:rsidR="00FC2E36" w:rsidRPr="00B35171">
        <w:rPr>
          <w:color w:val="000000" w:themeColor="text1"/>
        </w:rPr>
        <w:t>t</w:t>
      </w:r>
      <w:r w:rsidRPr="00B35171">
        <w:rPr>
          <w:color w:val="000000" w:themeColor="text1"/>
        </w:rPr>
        <w:t xml:space="preserve"> le contexte et participe à en dessiner les contours du cadre d’expérience</w:t>
      </w:r>
      <w:r w:rsidR="00433AB0" w:rsidRPr="00B35171">
        <w:rPr>
          <w:rStyle w:val="Appelnotedebasdep"/>
          <w:color w:val="000000" w:themeColor="text1"/>
        </w:rPr>
        <w:footnoteReference w:id="17"/>
      </w:r>
      <w:r w:rsidRPr="00B35171">
        <w:rPr>
          <w:color w:val="000000" w:themeColor="text1"/>
        </w:rPr>
        <w:t>, il nous faut déjà réaliser un pas de côté et, ce faisant, entrer de pl</w:t>
      </w:r>
      <w:r w:rsidR="00BF1D63" w:rsidRPr="00B35171">
        <w:rPr>
          <w:color w:val="000000" w:themeColor="text1"/>
        </w:rPr>
        <w:t>a</w:t>
      </w:r>
      <w:r w:rsidRPr="00B35171">
        <w:rPr>
          <w:color w:val="000000" w:themeColor="text1"/>
        </w:rPr>
        <w:t>in</w:t>
      </w:r>
      <w:r w:rsidR="00BF1D63" w:rsidRPr="00B35171">
        <w:rPr>
          <w:color w:val="000000" w:themeColor="text1"/>
        </w:rPr>
        <w:t>-</w:t>
      </w:r>
      <w:r w:rsidRPr="00B35171">
        <w:rPr>
          <w:color w:val="000000" w:themeColor="text1"/>
        </w:rPr>
        <w:t xml:space="preserve">pied dans le sujet de notre étude : le régime de l’arrangement tel qu’a pu notamment le définir Mohammed </w:t>
      </w:r>
      <w:proofErr w:type="spellStart"/>
      <w:r w:rsidRPr="00B35171">
        <w:rPr>
          <w:color w:val="000000" w:themeColor="text1"/>
        </w:rPr>
        <w:t>Nachi</w:t>
      </w:r>
      <w:proofErr w:type="spellEnd"/>
      <w:r w:rsidR="00D02703" w:rsidRPr="00B35171">
        <w:rPr>
          <w:rStyle w:val="Appelnotedebasdep"/>
          <w:color w:val="000000" w:themeColor="text1"/>
        </w:rPr>
        <w:footnoteReference w:id="18"/>
      </w:r>
      <w:r w:rsidR="00670F6C" w:rsidRPr="00B35171">
        <w:rPr>
          <w:color w:val="000000" w:themeColor="text1"/>
        </w:rPr>
        <w:t xml:space="preserve"> et l’inventivité pratique que ce dernier concept cherche à saisir</w:t>
      </w:r>
      <w:r w:rsidRPr="00B35171">
        <w:rPr>
          <w:color w:val="000000" w:themeColor="text1"/>
        </w:rPr>
        <w:t xml:space="preserve">. C’est que ce </w:t>
      </w:r>
      <w:r w:rsidR="00FC2E36" w:rsidRPr="00B35171">
        <w:rPr>
          <w:color w:val="000000" w:themeColor="text1"/>
        </w:rPr>
        <w:t xml:space="preserve">titre </w:t>
      </w:r>
      <w:r w:rsidRPr="00B35171">
        <w:rPr>
          <w:color w:val="000000" w:themeColor="text1"/>
        </w:rPr>
        <w:t>de « </w:t>
      </w:r>
      <w:r w:rsidR="00FC2E36" w:rsidRPr="00B35171">
        <w:rPr>
          <w:color w:val="000000" w:themeColor="text1"/>
        </w:rPr>
        <w:t>c</w:t>
      </w:r>
      <w:r w:rsidRPr="00B35171">
        <w:rPr>
          <w:color w:val="000000" w:themeColor="text1"/>
        </w:rPr>
        <w:t>onseiller RFIE », c’est lui-même, l’enquêteur, avec ses pairs — les autres « </w:t>
      </w:r>
      <w:r w:rsidR="00BF1D63" w:rsidRPr="00B35171">
        <w:rPr>
          <w:color w:val="000000" w:themeColor="text1"/>
        </w:rPr>
        <w:t>c</w:t>
      </w:r>
      <w:r w:rsidRPr="00B35171">
        <w:rPr>
          <w:color w:val="000000" w:themeColor="text1"/>
        </w:rPr>
        <w:t xml:space="preserve">onseillers RFIE » donc — qui se l’est forgé. En effet, </w:t>
      </w:r>
      <w:r w:rsidR="00FC2E36" w:rsidRPr="00B35171">
        <w:rPr>
          <w:color w:val="000000" w:themeColor="text1"/>
        </w:rPr>
        <w:t xml:space="preserve">ceci se déroula </w:t>
      </w:r>
      <w:r w:rsidRPr="00B35171">
        <w:rPr>
          <w:color w:val="000000" w:themeColor="text1"/>
        </w:rPr>
        <w:t>au cours d’une réunion de rentrée académique, le 1</w:t>
      </w:r>
      <w:r w:rsidRPr="00B35171">
        <w:rPr>
          <w:color w:val="000000" w:themeColor="text1"/>
          <w:vertAlign w:val="superscript"/>
        </w:rPr>
        <w:t>er</w:t>
      </w:r>
      <w:r w:rsidR="00FC2E36" w:rsidRPr="00B35171">
        <w:rPr>
          <w:color w:val="000000" w:themeColor="text1"/>
        </w:rPr>
        <w:t> </w:t>
      </w:r>
      <w:r w:rsidRPr="00B35171">
        <w:rPr>
          <w:color w:val="000000" w:themeColor="text1"/>
        </w:rPr>
        <w:t xml:space="preserve">septembre 2022, </w:t>
      </w:r>
      <w:r w:rsidR="00FC2E36" w:rsidRPr="00B35171">
        <w:rPr>
          <w:color w:val="000000" w:themeColor="text1"/>
        </w:rPr>
        <w:t xml:space="preserve">lors de laquelle </w:t>
      </w:r>
      <w:r w:rsidRPr="00B35171">
        <w:rPr>
          <w:color w:val="000000" w:themeColor="text1"/>
        </w:rPr>
        <w:t>fu</w:t>
      </w:r>
      <w:r w:rsidR="00FC2E36" w:rsidRPr="00B35171">
        <w:rPr>
          <w:color w:val="000000" w:themeColor="text1"/>
        </w:rPr>
        <w:t>rent</w:t>
      </w:r>
      <w:r w:rsidRPr="00B35171">
        <w:rPr>
          <w:color w:val="000000" w:themeColor="text1"/>
        </w:rPr>
        <w:t xml:space="preserve"> brièvement rappel</w:t>
      </w:r>
      <w:r w:rsidR="00FC2E36" w:rsidRPr="00B35171">
        <w:rPr>
          <w:color w:val="000000" w:themeColor="text1"/>
        </w:rPr>
        <w:t>és</w:t>
      </w:r>
      <w:r w:rsidRPr="00B35171">
        <w:rPr>
          <w:color w:val="000000" w:themeColor="text1"/>
        </w:rPr>
        <w:t xml:space="preserve"> aux acteurs en présence les divers enjeux de la RFIE pour l’université</w:t>
      </w:r>
      <w:r w:rsidR="00FC2E36" w:rsidRPr="00B35171">
        <w:rPr>
          <w:color w:val="000000" w:themeColor="text1"/>
        </w:rPr>
        <w:t>.</w:t>
      </w:r>
      <w:r w:rsidRPr="00B35171">
        <w:rPr>
          <w:color w:val="000000" w:themeColor="text1"/>
        </w:rPr>
        <w:t xml:space="preserve"> </w:t>
      </w:r>
      <w:r w:rsidR="00FC2E36" w:rsidRPr="00B35171">
        <w:rPr>
          <w:color w:val="000000" w:themeColor="text1"/>
        </w:rPr>
        <w:t>C</w:t>
      </w:r>
      <w:r w:rsidRPr="00B35171">
        <w:rPr>
          <w:color w:val="000000" w:themeColor="text1"/>
        </w:rPr>
        <w:t>hacun fut invité à se présenter aux autres — le nombre d’individus présents dans la salle avoisina</w:t>
      </w:r>
      <w:r w:rsidR="00FC2E36" w:rsidRPr="00B35171">
        <w:rPr>
          <w:color w:val="000000" w:themeColor="text1"/>
        </w:rPr>
        <w:t>i</w:t>
      </w:r>
      <w:r w:rsidRPr="00B35171">
        <w:rPr>
          <w:color w:val="000000" w:themeColor="text1"/>
        </w:rPr>
        <w:t>t la vingtaine de personne</w:t>
      </w:r>
      <w:r w:rsidR="00FC2E36" w:rsidRPr="00B35171">
        <w:rPr>
          <w:color w:val="000000" w:themeColor="text1"/>
        </w:rPr>
        <w:t>s</w:t>
      </w:r>
      <w:r w:rsidRPr="00B35171">
        <w:rPr>
          <w:color w:val="000000" w:themeColor="text1"/>
        </w:rPr>
        <w:t xml:space="preserve">. Parmi ces dernières, plusieurs individus se présentèrent aux autres au moyen de leur statut officiel au sein de l’université (assistant, assistant pédagogique, didacticien, etc.) ; d’autres firent de même mais ajoutèrent un </w:t>
      </w:r>
      <w:r w:rsidR="00D02703" w:rsidRPr="00B35171">
        <w:rPr>
          <w:color w:val="000000" w:themeColor="text1"/>
        </w:rPr>
        <w:t>nom</w:t>
      </w:r>
      <w:r w:rsidRPr="00B35171">
        <w:rPr>
          <w:color w:val="000000" w:themeColor="text1"/>
        </w:rPr>
        <w:t>, un « et » significatif à leur étiquette. Derrière cette conjonction de coordination fu</w:t>
      </w:r>
      <w:r w:rsidR="00FC2E36" w:rsidRPr="00B35171">
        <w:rPr>
          <w:color w:val="000000" w:themeColor="text1"/>
        </w:rPr>
        <w:t>rent</w:t>
      </w:r>
      <w:r w:rsidRPr="00B35171">
        <w:rPr>
          <w:color w:val="000000" w:themeColor="text1"/>
        </w:rPr>
        <w:t xml:space="preserve">, parmi les premières personnes amenées à s’exprimer, notamment mentionnés les </w:t>
      </w:r>
      <w:r w:rsidR="00D812FB" w:rsidRPr="00B35171">
        <w:rPr>
          <w:color w:val="000000" w:themeColor="text1"/>
        </w:rPr>
        <w:t xml:space="preserve">termes </w:t>
      </w:r>
      <w:r w:rsidRPr="00B35171">
        <w:rPr>
          <w:color w:val="000000" w:themeColor="text1"/>
        </w:rPr>
        <w:t>suivants :</w:t>
      </w:r>
      <w:r w:rsidR="00D812FB" w:rsidRPr="00B35171">
        <w:rPr>
          <w:color w:val="000000" w:themeColor="text1"/>
        </w:rPr>
        <w:t> </w:t>
      </w:r>
      <w:r w:rsidRPr="00B35171">
        <w:rPr>
          <w:color w:val="000000" w:themeColor="text1"/>
        </w:rPr>
        <w:t xml:space="preserve">« assistant RFIE », « futur assistant RFIE », « travailleur </w:t>
      </w:r>
      <w:r w:rsidRPr="00B35171">
        <w:rPr>
          <w:color w:val="000000" w:themeColor="text1"/>
        </w:rPr>
        <w:lastRenderedPageBreak/>
        <w:t>RFIE » (ce fut le choix terminologique de l’enquêteur) et puis, finalement « </w:t>
      </w:r>
      <w:r w:rsidR="00FC2E36" w:rsidRPr="00B35171">
        <w:rPr>
          <w:color w:val="000000" w:themeColor="text1"/>
        </w:rPr>
        <w:t>c</w:t>
      </w:r>
      <w:r w:rsidRPr="00B35171">
        <w:rPr>
          <w:color w:val="000000" w:themeColor="text1"/>
        </w:rPr>
        <w:t>onseiller RFIE ». Ce fut ce dernier alliage terminologique, choisi par les ultimes personnes invitées à se présenter à la suite de la personne ayant</w:t>
      </w:r>
      <w:r w:rsidR="00B35171">
        <w:rPr>
          <w:color w:val="000000" w:themeColor="text1"/>
        </w:rPr>
        <w:t>, semble-t-il,</w:t>
      </w:r>
      <w:r w:rsidRPr="00B35171">
        <w:rPr>
          <w:color w:val="000000" w:themeColor="text1"/>
        </w:rPr>
        <w:t xml:space="preserve"> improvisé</w:t>
      </w:r>
      <w:r w:rsidR="00C2096F" w:rsidRPr="00B35171">
        <w:rPr>
          <w:color w:val="000000" w:themeColor="text1"/>
        </w:rPr>
        <w:t>e</w:t>
      </w:r>
      <w:r w:rsidRPr="00B35171">
        <w:rPr>
          <w:color w:val="000000" w:themeColor="text1"/>
        </w:rPr>
        <w:t xml:space="preserve"> « sur le tas » ce terme, </w:t>
      </w:r>
      <w:r w:rsidR="00FC2E36" w:rsidRPr="00B35171">
        <w:rPr>
          <w:color w:val="000000" w:themeColor="text1"/>
        </w:rPr>
        <w:t xml:space="preserve">qui </w:t>
      </w:r>
      <w:r w:rsidRPr="00B35171">
        <w:rPr>
          <w:color w:val="000000" w:themeColor="text1"/>
        </w:rPr>
        <w:t>remporta l’assentiment tacite général</w:t>
      </w:r>
      <w:r w:rsidRPr="00B35171">
        <w:rPr>
          <w:rStyle w:val="Appelnotedebasdep"/>
          <w:color w:val="000000" w:themeColor="text1"/>
        </w:rPr>
        <w:footnoteReference w:id="19"/>
      </w:r>
      <w:r w:rsidR="00C2096F" w:rsidRPr="00B35171">
        <w:rPr>
          <w:color w:val="000000" w:themeColor="text1"/>
        </w:rPr>
        <w:t>. N</w:t>
      </w:r>
      <w:r w:rsidRPr="00B35171">
        <w:rPr>
          <w:color w:val="000000" w:themeColor="text1"/>
        </w:rPr>
        <w:t>otons encore que chacune de ces présentations fu</w:t>
      </w:r>
      <w:r w:rsidR="00FC2E36" w:rsidRPr="00B35171">
        <w:rPr>
          <w:color w:val="000000" w:themeColor="text1"/>
        </w:rPr>
        <w:t>t</w:t>
      </w:r>
      <w:r w:rsidRPr="00B35171">
        <w:rPr>
          <w:color w:val="000000" w:themeColor="text1"/>
        </w:rPr>
        <w:t xml:space="preserve"> suivie de rires plus ou moins appuyés dont l’intensité f</w:t>
      </w:r>
      <w:r w:rsidR="00C2096F" w:rsidRPr="00B35171">
        <w:rPr>
          <w:color w:val="000000" w:themeColor="text1"/>
        </w:rPr>
        <w:t>u</w:t>
      </w:r>
      <w:r w:rsidRPr="00B35171">
        <w:rPr>
          <w:color w:val="000000" w:themeColor="text1"/>
        </w:rPr>
        <w:t>t fonction</w:t>
      </w:r>
      <w:r w:rsidR="00670F6C" w:rsidRPr="00B35171">
        <w:rPr>
          <w:color w:val="000000" w:themeColor="text1"/>
        </w:rPr>
        <w:t xml:space="preserve">, d’après notre </w:t>
      </w:r>
      <w:r w:rsidR="008803FD" w:rsidRPr="00B35171">
        <w:rPr>
          <w:color w:val="000000" w:themeColor="text1"/>
        </w:rPr>
        <w:t>lecture de la situation</w:t>
      </w:r>
      <w:r w:rsidR="00670F6C" w:rsidRPr="00B35171">
        <w:rPr>
          <w:color w:val="000000" w:themeColor="text1"/>
        </w:rPr>
        <w:t>,</w:t>
      </w:r>
      <w:r w:rsidRPr="00B35171">
        <w:rPr>
          <w:color w:val="000000" w:themeColor="text1"/>
        </w:rPr>
        <w:t xml:space="preserve"> de l’embarras de l’individu s’exprimant alors à justement parvenir à qualifier son statut. Pourquoi donc un tel embarras ? </w:t>
      </w:r>
    </w:p>
    <w:p w14:paraId="18D4B1AE" w14:textId="6610BB57" w:rsidR="009F344D" w:rsidRPr="00B35171" w:rsidRDefault="009F344D" w:rsidP="009F344D">
      <w:pPr>
        <w:spacing w:line="276" w:lineRule="auto"/>
        <w:jc w:val="both"/>
        <w:rPr>
          <w:color w:val="000000" w:themeColor="text1"/>
        </w:rPr>
      </w:pPr>
    </w:p>
    <w:p w14:paraId="32B1121D" w14:textId="227956E0" w:rsidR="009F344D" w:rsidRPr="00B35171" w:rsidRDefault="009F344D" w:rsidP="0036138D">
      <w:pPr>
        <w:pStyle w:val="Paragraphedeliste"/>
        <w:numPr>
          <w:ilvl w:val="0"/>
          <w:numId w:val="1"/>
        </w:numPr>
        <w:spacing w:line="276" w:lineRule="auto"/>
        <w:jc w:val="both"/>
        <w:rPr>
          <w:color w:val="000000" w:themeColor="text1"/>
        </w:rPr>
      </w:pPr>
      <w:r w:rsidRPr="00B35171">
        <w:rPr>
          <w:color w:val="000000" w:themeColor="text1"/>
        </w:rPr>
        <w:t xml:space="preserve">D’abord parce qu’officiellement, les personnes présentes dans cette salle et amenées à assumer cette fonction encore </w:t>
      </w:r>
      <w:r w:rsidR="008574B5" w:rsidRPr="00B35171">
        <w:rPr>
          <w:color w:val="000000" w:themeColor="text1"/>
        </w:rPr>
        <w:t>imprécisée</w:t>
      </w:r>
      <w:r w:rsidRPr="00B35171">
        <w:rPr>
          <w:color w:val="000000" w:themeColor="text1"/>
        </w:rPr>
        <w:t xml:space="preserve"> de « </w:t>
      </w:r>
      <w:r w:rsidR="00FC2E36" w:rsidRPr="00B35171">
        <w:rPr>
          <w:color w:val="000000" w:themeColor="text1"/>
        </w:rPr>
        <w:t>c</w:t>
      </w:r>
      <w:r w:rsidRPr="00B35171">
        <w:rPr>
          <w:color w:val="000000" w:themeColor="text1"/>
        </w:rPr>
        <w:t xml:space="preserve">onseiller RFIE » ne seront </w:t>
      </w:r>
      <w:r w:rsidR="00FC2E36" w:rsidRPr="00B35171">
        <w:rPr>
          <w:color w:val="000000" w:themeColor="text1"/>
        </w:rPr>
        <w:t xml:space="preserve">effectivement </w:t>
      </w:r>
      <w:r w:rsidR="00D812FB" w:rsidRPr="00B35171">
        <w:rPr>
          <w:color w:val="000000" w:themeColor="text1"/>
        </w:rPr>
        <w:t>engagées</w:t>
      </w:r>
      <w:r w:rsidRPr="00B35171">
        <w:rPr>
          <w:color w:val="000000" w:themeColor="text1"/>
        </w:rPr>
        <w:t xml:space="preserve"> qu’un mois plus tard. Or</w:t>
      </w:r>
      <w:r w:rsidR="00670F6C" w:rsidRPr="00B35171">
        <w:rPr>
          <w:color w:val="000000" w:themeColor="text1"/>
        </w:rPr>
        <w:t xml:space="preserve">, </w:t>
      </w:r>
      <w:r w:rsidRPr="00B35171">
        <w:rPr>
          <w:color w:val="000000" w:themeColor="text1"/>
        </w:rPr>
        <w:t xml:space="preserve">au moment de ladite réunion, de nombreuses autres ont déjà eu lieu. Autrement dit, le « travail » des </w:t>
      </w:r>
      <w:r w:rsidR="00FC2E36" w:rsidRPr="00B35171">
        <w:rPr>
          <w:color w:val="000000" w:themeColor="text1"/>
        </w:rPr>
        <w:t>c</w:t>
      </w:r>
      <w:r w:rsidRPr="00B35171">
        <w:rPr>
          <w:color w:val="000000" w:themeColor="text1"/>
        </w:rPr>
        <w:t>onseillers a déjà commencé depuis longtemps</w:t>
      </w:r>
      <w:r w:rsidR="00AC0F3C" w:rsidRPr="00B35171">
        <w:rPr>
          <w:color w:val="000000" w:themeColor="text1"/>
        </w:rPr>
        <w:t>.</w:t>
      </w:r>
      <w:r w:rsidR="00670F6C" w:rsidRPr="00B35171">
        <w:rPr>
          <w:color w:val="000000" w:themeColor="text1"/>
        </w:rPr>
        <w:t xml:space="preserve"> </w:t>
      </w:r>
    </w:p>
    <w:p w14:paraId="22070067" w14:textId="77777777" w:rsidR="0036138D" w:rsidRPr="00B35171" w:rsidRDefault="0036138D" w:rsidP="0036138D">
      <w:pPr>
        <w:pStyle w:val="Paragraphedeliste"/>
        <w:spacing w:line="276" w:lineRule="auto"/>
        <w:jc w:val="both"/>
        <w:rPr>
          <w:color w:val="000000" w:themeColor="text1"/>
        </w:rPr>
      </w:pPr>
    </w:p>
    <w:p w14:paraId="4E10BB53" w14:textId="6A3BB89B" w:rsidR="009F344D" w:rsidRPr="00B35171" w:rsidRDefault="009F344D" w:rsidP="009F344D">
      <w:pPr>
        <w:pStyle w:val="Paragraphedeliste"/>
        <w:numPr>
          <w:ilvl w:val="0"/>
          <w:numId w:val="1"/>
        </w:numPr>
        <w:spacing w:line="276" w:lineRule="auto"/>
        <w:jc w:val="both"/>
        <w:rPr>
          <w:color w:val="000000" w:themeColor="text1"/>
        </w:rPr>
      </w:pPr>
      <w:r w:rsidRPr="00B35171">
        <w:rPr>
          <w:color w:val="000000" w:themeColor="text1"/>
        </w:rPr>
        <w:t xml:space="preserve">Ensuite, au moment des faits décrits, les </w:t>
      </w:r>
      <w:r w:rsidR="00FC2E36" w:rsidRPr="00B35171">
        <w:rPr>
          <w:color w:val="000000" w:themeColor="text1"/>
        </w:rPr>
        <w:t>c</w:t>
      </w:r>
      <w:r w:rsidRPr="00B35171">
        <w:rPr>
          <w:color w:val="000000" w:themeColor="text1"/>
        </w:rPr>
        <w:t>onseillers n’ont reçu que des promesses d’engagement (au détour d’un échange de couloir avec une personne ressource déjà impliquée</w:t>
      </w:r>
      <w:r w:rsidR="00AC0F3C" w:rsidRPr="00B35171">
        <w:rPr>
          <w:color w:val="000000" w:themeColor="text1"/>
        </w:rPr>
        <w:t xml:space="preserve"> — de près ou de loin — </w:t>
      </w:r>
      <w:r w:rsidRPr="00B35171">
        <w:rPr>
          <w:color w:val="000000" w:themeColor="text1"/>
        </w:rPr>
        <w:t>dans la RFIE, par e</w:t>
      </w:r>
      <w:r w:rsidR="003F6EF6" w:rsidRPr="00B35171">
        <w:rPr>
          <w:color w:val="000000" w:themeColor="text1"/>
        </w:rPr>
        <w:t>-</w:t>
      </w:r>
      <w:r w:rsidRPr="00B35171">
        <w:rPr>
          <w:color w:val="000000" w:themeColor="text1"/>
        </w:rPr>
        <w:t>mails interposés ou encore, au cours d’autres réunions exploratoires avec quelques collèges</w:t>
      </w:r>
      <w:r w:rsidR="001241D0" w:rsidRPr="00B35171">
        <w:rPr>
          <w:color w:val="000000" w:themeColor="text1"/>
        </w:rPr>
        <w:t xml:space="preserve"> concernés</w:t>
      </w:r>
      <w:r w:rsidRPr="00B35171">
        <w:rPr>
          <w:color w:val="000000" w:themeColor="text1"/>
        </w:rPr>
        <w:t>) ; ils ne sont</w:t>
      </w:r>
      <w:r w:rsidR="001241D0" w:rsidRPr="00B35171">
        <w:rPr>
          <w:color w:val="000000" w:themeColor="text1"/>
        </w:rPr>
        <w:t xml:space="preserve"> alors</w:t>
      </w:r>
      <w:r w:rsidRPr="00B35171">
        <w:rPr>
          <w:color w:val="000000" w:themeColor="text1"/>
        </w:rPr>
        <w:t xml:space="preserve"> que « pressentis au</w:t>
      </w:r>
      <w:r w:rsidR="00D812FB" w:rsidRPr="00B35171">
        <w:rPr>
          <w:color w:val="000000" w:themeColor="text1"/>
        </w:rPr>
        <w:t>x</w:t>
      </w:r>
      <w:r w:rsidRPr="00B35171">
        <w:rPr>
          <w:color w:val="000000" w:themeColor="text1"/>
        </w:rPr>
        <w:t xml:space="preserve"> poste</w:t>
      </w:r>
      <w:r w:rsidR="00D812FB" w:rsidRPr="00B35171">
        <w:rPr>
          <w:color w:val="000000" w:themeColor="text1"/>
        </w:rPr>
        <w:t>s</w:t>
      </w:r>
      <w:r w:rsidR="00AC0F3C" w:rsidRPr="00B35171">
        <w:rPr>
          <w:color w:val="000000" w:themeColor="text1"/>
        </w:rPr>
        <w:t xml:space="preserve"> </w:t>
      </w:r>
      <w:r w:rsidRPr="00B35171">
        <w:rPr>
          <w:color w:val="000000" w:themeColor="text1"/>
        </w:rPr>
        <w:t>» ; ils ne peuvent être certain</w:t>
      </w:r>
      <w:r w:rsidR="00FC2E36" w:rsidRPr="00B35171">
        <w:rPr>
          <w:color w:val="000000" w:themeColor="text1"/>
        </w:rPr>
        <w:t>s</w:t>
      </w:r>
      <w:r w:rsidRPr="00B35171">
        <w:rPr>
          <w:color w:val="000000" w:themeColor="text1"/>
        </w:rPr>
        <w:t xml:space="preserve"> que ces propositions peuvent faire office de « garanties » d’embauche, ni de ce qui est véritablement et concrètement attendu d’eux dans le cadre de ces fonctions, bien qu’ils aient déjà officieusement</w:t>
      </w:r>
      <w:r w:rsidR="007F6F8C" w:rsidRPr="00B35171">
        <w:rPr>
          <w:color w:val="000000" w:themeColor="text1"/>
        </w:rPr>
        <w:t xml:space="preserve"> accepté</w:t>
      </w:r>
      <w:r w:rsidRPr="00B35171">
        <w:rPr>
          <w:color w:val="000000" w:themeColor="text1"/>
        </w:rPr>
        <w:t xml:space="preserve"> la proposition d’emploi. </w:t>
      </w:r>
    </w:p>
    <w:p w14:paraId="073CB6F9" w14:textId="77777777" w:rsidR="0036138D" w:rsidRPr="00B35171" w:rsidRDefault="0036138D" w:rsidP="0036138D">
      <w:pPr>
        <w:spacing w:line="276" w:lineRule="auto"/>
        <w:jc w:val="both"/>
        <w:rPr>
          <w:color w:val="000000" w:themeColor="text1"/>
        </w:rPr>
      </w:pPr>
    </w:p>
    <w:p w14:paraId="72EF425B" w14:textId="5072B8E1" w:rsidR="009F344D" w:rsidRPr="00B35171" w:rsidRDefault="009F344D" w:rsidP="009F344D">
      <w:pPr>
        <w:pStyle w:val="Paragraphedeliste"/>
        <w:numPr>
          <w:ilvl w:val="0"/>
          <w:numId w:val="1"/>
        </w:numPr>
        <w:spacing w:line="276" w:lineRule="auto"/>
        <w:jc w:val="both"/>
        <w:rPr>
          <w:color w:val="000000" w:themeColor="text1"/>
        </w:rPr>
      </w:pPr>
      <w:r w:rsidRPr="00B35171">
        <w:rPr>
          <w:color w:val="000000" w:themeColor="text1"/>
        </w:rPr>
        <w:t>Enfin car, justement, la fonction en question reste</w:t>
      </w:r>
      <w:r w:rsidR="007F6F8C" w:rsidRPr="00B35171">
        <w:rPr>
          <w:color w:val="000000" w:themeColor="text1"/>
        </w:rPr>
        <w:t>,</w:t>
      </w:r>
      <w:r w:rsidRPr="00B35171">
        <w:rPr>
          <w:color w:val="000000" w:themeColor="text1"/>
        </w:rPr>
        <w:t xml:space="preserve"> au moment où ces présentations ont lieu</w:t>
      </w:r>
      <w:r w:rsidR="007F6F8C" w:rsidRPr="00B35171">
        <w:rPr>
          <w:color w:val="000000" w:themeColor="text1"/>
        </w:rPr>
        <w:t>,</w:t>
      </w:r>
      <w:r w:rsidRPr="00B35171">
        <w:rPr>
          <w:color w:val="000000" w:themeColor="text1"/>
        </w:rPr>
        <w:t xml:space="preserve"> floue. Et de même que </w:t>
      </w:r>
      <w:r w:rsidR="00FC2E36" w:rsidRPr="00B35171">
        <w:rPr>
          <w:color w:val="000000" w:themeColor="text1"/>
        </w:rPr>
        <w:t>c</w:t>
      </w:r>
      <w:r w:rsidRPr="00B35171">
        <w:rPr>
          <w:color w:val="000000" w:themeColor="text1"/>
        </w:rPr>
        <w:t xml:space="preserve">e fut aux </w:t>
      </w:r>
      <w:r w:rsidR="00FC2E36" w:rsidRPr="00B35171">
        <w:rPr>
          <w:color w:val="000000" w:themeColor="text1"/>
        </w:rPr>
        <w:t>c</w:t>
      </w:r>
      <w:r w:rsidRPr="00B35171">
        <w:rPr>
          <w:color w:val="000000" w:themeColor="text1"/>
        </w:rPr>
        <w:t xml:space="preserve">onseillers de s’autoqualifier </w:t>
      </w:r>
      <w:r w:rsidR="00FC2E36" w:rsidRPr="00B35171">
        <w:rPr>
          <w:color w:val="000000" w:themeColor="text1"/>
        </w:rPr>
        <w:t>c</w:t>
      </w:r>
      <w:r w:rsidRPr="00B35171">
        <w:rPr>
          <w:color w:val="000000" w:themeColor="text1"/>
        </w:rPr>
        <w:t xml:space="preserve">onseillers, de même </w:t>
      </w:r>
      <w:r w:rsidR="00FC2E36" w:rsidRPr="00B35171">
        <w:rPr>
          <w:color w:val="000000" w:themeColor="text1"/>
        </w:rPr>
        <w:t>c</w:t>
      </w:r>
      <w:r w:rsidRPr="00B35171">
        <w:rPr>
          <w:color w:val="000000" w:themeColor="text1"/>
        </w:rPr>
        <w:t xml:space="preserve">e fut </w:t>
      </w:r>
      <w:r w:rsidR="001241D0" w:rsidRPr="00B35171">
        <w:rPr>
          <w:color w:val="000000" w:themeColor="text1"/>
        </w:rPr>
        <w:t xml:space="preserve">en partie </w:t>
      </w:r>
      <w:r w:rsidRPr="00B35171">
        <w:rPr>
          <w:color w:val="000000" w:themeColor="text1"/>
        </w:rPr>
        <w:t xml:space="preserve">à eux de proposer, quelques jours après cette réunion, une </w:t>
      </w:r>
      <w:r w:rsidR="001241D0" w:rsidRPr="00B35171">
        <w:rPr>
          <w:color w:val="000000" w:themeColor="text1"/>
        </w:rPr>
        <w:t xml:space="preserve">première </w:t>
      </w:r>
      <w:r w:rsidRPr="00B35171">
        <w:rPr>
          <w:color w:val="000000" w:themeColor="text1"/>
        </w:rPr>
        <w:t xml:space="preserve">définition de leur nouvelle fonction. L’enquêteur fut en effet invité à rédiger le </w:t>
      </w:r>
      <w:r w:rsidR="001241D0" w:rsidRPr="00B35171">
        <w:rPr>
          <w:i/>
          <w:iCs/>
          <w:color w:val="000000" w:themeColor="text1"/>
        </w:rPr>
        <w:t>draft</w:t>
      </w:r>
      <w:r w:rsidR="001241D0" w:rsidRPr="00B35171">
        <w:rPr>
          <w:color w:val="000000" w:themeColor="text1"/>
        </w:rPr>
        <w:t xml:space="preserve"> du contenu</w:t>
      </w:r>
      <w:r w:rsidRPr="00B35171">
        <w:rPr>
          <w:color w:val="000000" w:themeColor="text1"/>
        </w:rPr>
        <w:t xml:space="preserve"> de son futur contrat de travail et à renvoyer celui-ci aux autorités administratives compétentes pour </w:t>
      </w:r>
      <w:r w:rsidR="001241D0" w:rsidRPr="00B35171">
        <w:rPr>
          <w:color w:val="000000" w:themeColor="text1"/>
        </w:rPr>
        <w:t>que ces dernières le relisent, l’amende</w:t>
      </w:r>
      <w:r w:rsidR="00250671" w:rsidRPr="00B35171">
        <w:rPr>
          <w:color w:val="000000" w:themeColor="text1"/>
        </w:rPr>
        <w:t>nt</w:t>
      </w:r>
      <w:r w:rsidR="001241D0" w:rsidRPr="00B35171">
        <w:rPr>
          <w:color w:val="000000" w:themeColor="text1"/>
        </w:rPr>
        <w:t xml:space="preserve"> et l’acte</w:t>
      </w:r>
      <w:r w:rsidR="00250671" w:rsidRPr="00B35171">
        <w:rPr>
          <w:color w:val="000000" w:themeColor="text1"/>
        </w:rPr>
        <w:t>nt</w:t>
      </w:r>
      <w:r w:rsidRPr="00B35171">
        <w:rPr>
          <w:color w:val="000000" w:themeColor="text1"/>
        </w:rPr>
        <w:t>. C</w:t>
      </w:r>
      <w:r w:rsidR="001241D0" w:rsidRPr="00B35171">
        <w:rPr>
          <w:color w:val="000000" w:themeColor="text1"/>
        </w:rPr>
        <w:t>ette première version du contenu</w:t>
      </w:r>
      <w:r w:rsidRPr="00B35171">
        <w:rPr>
          <w:color w:val="000000" w:themeColor="text1"/>
        </w:rPr>
        <w:t>, il ne le décida pas tout seul</w:t>
      </w:r>
      <w:r w:rsidR="007F6F8C" w:rsidRPr="00B35171">
        <w:rPr>
          <w:color w:val="000000" w:themeColor="text1"/>
        </w:rPr>
        <w:t xml:space="preserve"> et arbitrairement,</w:t>
      </w:r>
      <w:r w:rsidRPr="00B35171">
        <w:rPr>
          <w:color w:val="000000" w:themeColor="text1"/>
        </w:rPr>
        <w:t xml:space="preserve"> bien sûr : c’est en compagnie des autres </w:t>
      </w:r>
      <w:r w:rsidR="00435690" w:rsidRPr="00B35171">
        <w:rPr>
          <w:color w:val="000000" w:themeColor="text1"/>
        </w:rPr>
        <w:t>c</w:t>
      </w:r>
      <w:r w:rsidRPr="00B35171">
        <w:rPr>
          <w:color w:val="000000" w:themeColor="text1"/>
        </w:rPr>
        <w:t>onseillers, notamment, qu’il</w:t>
      </w:r>
      <w:r w:rsidR="007F6F8C" w:rsidRPr="00B35171">
        <w:rPr>
          <w:color w:val="000000" w:themeColor="text1"/>
        </w:rPr>
        <w:t xml:space="preserve"> le créa</w:t>
      </w:r>
      <w:r w:rsidRPr="00B35171">
        <w:rPr>
          <w:color w:val="000000" w:themeColor="text1"/>
        </w:rPr>
        <w:t xml:space="preserve">. </w:t>
      </w:r>
    </w:p>
    <w:p w14:paraId="28EC6CC9" w14:textId="3966909F" w:rsidR="009F344D" w:rsidRPr="00B35171" w:rsidRDefault="009F344D" w:rsidP="002B264A">
      <w:pPr>
        <w:jc w:val="both"/>
        <w:rPr>
          <w:color w:val="000000" w:themeColor="text1"/>
        </w:rPr>
      </w:pPr>
    </w:p>
    <w:p w14:paraId="217D7FD2" w14:textId="77777777" w:rsidR="009F344D" w:rsidRPr="00B35171" w:rsidRDefault="009F344D" w:rsidP="00307910">
      <w:pPr>
        <w:pStyle w:val="Titre2"/>
        <w:rPr>
          <w:color w:val="000000" w:themeColor="text1"/>
        </w:rPr>
      </w:pPr>
      <w:bookmarkStart w:id="11" w:name="_Toc118374770"/>
      <w:bookmarkStart w:id="12" w:name="_Toc118807820"/>
      <w:bookmarkStart w:id="13" w:name="_Toc120019800"/>
      <w:r w:rsidRPr="00B35171">
        <w:rPr>
          <w:color w:val="000000" w:themeColor="text1"/>
        </w:rPr>
        <w:t>La RFIE : petit détour historique</w:t>
      </w:r>
      <w:bookmarkEnd w:id="11"/>
      <w:bookmarkEnd w:id="12"/>
      <w:bookmarkEnd w:id="13"/>
      <w:r w:rsidRPr="00B35171">
        <w:rPr>
          <w:color w:val="000000" w:themeColor="text1"/>
        </w:rPr>
        <w:t xml:space="preserve"> </w:t>
      </w:r>
    </w:p>
    <w:p w14:paraId="669D5954" w14:textId="77777777" w:rsidR="009F344D" w:rsidRPr="00B35171" w:rsidRDefault="009F344D" w:rsidP="009F344D">
      <w:pPr>
        <w:spacing w:line="276" w:lineRule="auto"/>
        <w:jc w:val="both"/>
        <w:rPr>
          <w:color w:val="000000" w:themeColor="text1"/>
        </w:rPr>
      </w:pPr>
    </w:p>
    <w:p w14:paraId="6610215D" w14:textId="4D4871C2" w:rsidR="00983C65" w:rsidRPr="00B35171" w:rsidRDefault="009F344D" w:rsidP="00871BE3">
      <w:pPr>
        <w:spacing w:line="276" w:lineRule="auto"/>
        <w:jc w:val="both"/>
        <w:rPr>
          <w:color w:val="000000" w:themeColor="text1"/>
        </w:rPr>
      </w:pPr>
      <w:r w:rsidRPr="00B35171">
        <w:rPr>
          <w:color w:val="000000" w:themeColor="text1"/>
        </w:rPr>
        <w:t xml:space="preserve">Mais, avant </w:t>
      </w:r>
      <w:r w:rsidR="00A12FF6" w:rsidRPr="00B35171">
        <w:rPr>
          <w:color w:val="000000" w:themeColor="text1"/>
        </w:rPr>
        <w:t>d’aller plus loin</w:t>
      </w:r>
      <w:r w:rsidRPr="00B35171">
        <w:rPr>
          <w:color w:val="000000" w:themeColor="text1"/>
        </w:rPr>
        <w:t xml:space="preserve">, un mot sur la RFIE. </w:t>
      </w:r>
      <w:r w:rsidR="00DD350A" w:rsidRPr="00B35171">
        <w:rPr>
          <w:color w:val="000000" w:themeColor="text1"/>
        </w:rPr>
        <w:t>Depuis plusieurs</w:t>
      </w:r>
      <w:r w:rsidR="007F6F8C" w:rsidRPr="00B35171">
        <w:rPr>
          <w:color w:val="000000" w:themeColor="text1"/>
        </w:rPr>
        <w:t xml:space="preserve"> dizaines</w:t>
      </w:r>
      <w:r w:rsidR="00DD350A" w:rsidRPr="00B35171">
        <w:rPr>
          <w:color w:val="000000" w:themeColor="text1"/>
        </w:rPr>
        <w:t xml:space="preserve"> </w:t>
      </w:r>
      <w:r w:rsidR="007F6F8C" w:rsidRPr="00B35171">
        <w:rPr>
          <w:color w:val="000000" w:themeColor="text1"/>
        </w:rPr>
        <w:t>d’</w:t>
      </w:r>
      <w:r w:rsidR="00DD350A" w:rsidRPr="00B35171">
        <w:rPr>
          <w:color w:val="000000" w:themeColor="text1"/>
        </w:rPr>
        <w:t>années, l’Union Européenne cherche, e</w:t>
      </w:r>
      <w:r w:rsidRPr="00B35171">
        <w:rPr>
          <w:color w:val="000000" w:themeColor="text1"/>
        </w:rPr>
        <w:t xml:space="preserve">n réponse à la déclaration de Bologne, </w:t>
      </w:r>
      <w:r w:rsidR="00DD350A" w:rsidRPr="00B35171">
        <w:rPr>
          <w:color w:val="000000" w:themeColor="text1"/>
        </w:rPr>
        <w:t>à harmoniser les politiques et les structures éducatives de ses États</w:t>
      </w:r>
      <w:r w:rsidR="00D812FB" w:rsidRPr="00B35171">
        <w:rPr>
          <w:color w:val="000000" w:themeColor="text1"/>
        </w:rPr>
        <w:t xml:space="preserve"> </w:t>
      </w:r>
      <w:r w:rsidR="00DD350A" w:rsidRPr="00B35171">
        <w:rPr>
          <w:color w:val="000000" w:themeColor="text1"/>
        </w:rPr>
        <w:t>membres</w:t>
      </w:r>
      <w:r w:rsidR="00433AB0" w:rsidRPr="00B35171">
        <w:rPr>
          <w:rStyle w:val="Appelnotedebasdep"/>
          <w:color w:val="000000" w:themeColor="text1"/>
        </w:rPr>
        <w:footnoteReference w:id="20"/>
      </w:r>
      <w:r w:rsidR="00DD350A" w:rsidRPr="00B35171">
        <w:rPr>
          <w:color w:val="000000" w:themeColor="text1"/>
        </w:rPr>
        <w:t>. En effet,</w:t>
      </w:r>
      <w:r w:rsidR="00433823" w:rsidRPr="00B35171">
        <w:rPr>
          <w:color w:val="000000" w:themeColor="text1"/>
        </w:rPr>
        <w:t xml:space="preserve"> « de nombreux </w:t>
      </w:r>
      <w:r w:rsidRPr="00B35171">
        <w:rPr>
          <w:color w:val="000000" w:themeColor="text1"/>
        </w:rPr>
        <w:t xml:space="preserve">pays européens </w:t>
      </w:r>
      <w:r w:rsidRPr="00B35171">
        <w:rPr>
          <w:color w:val="000000" w:themeColor="text1"/>
        </w:rPr>
        <w:lastRenderedPageBreak/>
        <w:t>ont lancé</w:t>
      </w:r>
      <w:r w:rsidR="0009304D" w:rsidRPr="00B35171">
        <w:rPr>
          <w:color w:val="000000" w:themeColor="text1"/>
        </w:rPr>
        <w:t>,</w:t>
      </w:r>
      <w:r w:rsidRPr="00B35171">
        <w:rPr>
          <w:color w:val="000000" w:themeColor="text1"/>
        </w:rPr>
        <w:t xml:space="preserve"> depuis 1999</w:t>
      </w:r>
      <w:r w:rsidR="0009304D" w:rsidRPr="00B35171">
        <w:rPr>
          <w:color w:val="000000" w:themeColor="text1"/>
        </w:rPr>
        <w:t>,</w:t>
      </w:r>
      <w:r w:rsidRPr="00B35171">
        <w:rPr>
          <w:color w:val="000000" w:themeColor="text1"/>
        </w:rPr>
        <w:t xml:space="preserve"> des réformes majeures afin de parvenir à </w:t>
      </w:r>
      <w:r w:rsidR="00433823" w:rsidRPr="00B35171">
        <w:rPr>
          <w:color w:val="000000" w:themeColor="text1"/>
        </w:rPr>
        <w:t>“</w:t>
      </w:r>
      <w:r w:rsidR="006D6DCC" w:rsidRPr="00B35171">
        <w:rPr>
          <w:color w:val="000000" w:themeColor="text1"/>
        </w:rPr>
        <w:t xml:space="preserve">[l]a </w:t>
      </w:r>
      <w:r w:rsidR="00936E4B" w:rsidRPr="00B35171">
        <w:rPr>
          <w:color w:val="000000" w:themeColor="text1"/>
        </w:rPr>
        <w:t>réalisation</w:t>
      </w:r>
      <w:r w:rsidR="006D6DCC" w:rsidRPr="00B35171">
        <w:rPr>
          <w:color w:val="000000" w:themeColor="text1"/>
        </w:rPr>
        <w:t xml:space="preserve"> d’une plus grande </w:t>
      </w:r>
      <w:r w:rsidR="00936E4B" w:rsidRPr="00B35171">
        <w:rPr>
          <w:color w:val="000000" w:themeColor="text1"/>
        </w:rPr>
        <w:t>compatibilit</w:t>
      </w:r>
      <w:r w:rsidR="00652C1D" w:rsidRPr="00B35171">
        <w:rPr>
          <w:color w:val="000000" w:themeColor="text1"/>
        </w:rPr>
        <w:t>é</w:t>
      </w:r>
      <w:r w:rsidR="006D6DCC" w:rsidRPr="00B35171">
        <w:rPr>
          <w:color w:val="000000" w:themeColor="text1"/>
        </w:rPr>
        <w:t xml:space="preserve"> et </w:t>
      </w:r>
      <w:r w:rsidR="00936E4B" w:rsidRPr="00B35171">
        <w:rPr>
          <w:color w:val="000000" w:themeColor="text1"/>
        </w:rPr>
        <w:t>comparabilité</w:t>
      </w:r>
      <w:r w:rsidR="006D6DCC" w:rsidRPr="00B35171">
        <w:rPr>
          <w:color w:val="000000" w:themeColor="text1"/>
        </w:rPr>
        <w:t xml:space="preserve"> entre les </w:t>
      </w:r>
      <w:r w:rsidR="00936E4B" w:rsidRPr="00B35171">
        <w:rPr>
          <w:color w:val="000000" w:themeColor="text1"/>
        </w:rPr>
        <w:t>différents</w:t>
      </w:r>
      <w:r w:rsidR="006D6DCC" w:rsidRPr="00B35171">
        <w:rPr>
          <w:color w:val="000000" w:themeColor="text1"/>
        </w:rPr>
        <w:t xml:space="preserve"> </w:t>
      </w:r>
      <w:r w:rsidR="00936E4B" w:rsidRPr="00B35171">
        <w:rPr>
          <w:color w:val="000000" w:themeColor="text1"/>
        </w:rPr>
        <w:t>systèmes</w:t>
      </w:r>
      <w:r w:rsidR="006D6DCC" w:rsidRPr="00B35171">
        <w:rPr>
          <w:color w:val="000000" w:themeColor="text1"/>
        </w:rPr>
        <w:t xml:space="preserve"> d’enseignement</w:t>
      </w:r>
      <w:r w:rsidR="00433823" w:rsidRPr="00B35171">
        <w:rPr>
          <w:color w:val="000000" w:themeColor="text1"/>
        </w:rPr>
        <w:t>” (Witte et al. 2008). »</w:t>
      </w:r>
      <w:r w:rsidR="00433823" w:rsidRPr="00B35171">
        <w:rPr>
          <w:rStyle w:val="Appelnotedebasdep"/>
          <w:color w:val="000000" w:themeColor="text1"/>
        </w:rPr>
        <w:footnoteReference w:id="21"/>
      </w:r>
      <w:r w:rsidR="006D6DCC" w:rsidRPr="00B35171">
        <w:rPr>
          <w:color w:val="000000" w:themeColor="text1"/>
        </w:rPr>
        <w:t xml:space="preserve"> </w:t>
      </w:r>
      <w:r w:rsidR="00433823" w:rsidRPr="00B35171">
        <w:rPr>
          <w:color w:val="000000" w:themeColor="text1"/>
        </w:rPr>
        <w:t xml:space="preserve">L’objectif est d’ainsi </w:t>
      </w:r>
      <w:r w:rsidR="00FD42D9" w:rsidRPr="00B35171">
        <w:rPr>
          <w:color w:val="000000" w:themeColor="text1"/>
        </w:rPr>
        <w:t xml:space="preserve">rendre </w:t>
      </w:r>
      <w:r w:rsidR="006D6DCC" w:rsidRPr="00B35171">
        <w:rPr>
          <w:color w:val="000000" w:themeColor="text1"/>
        </w:rPr>
        <w:t xml:space="preserve">ces derniers plus </w:t>
      </w:r>
      <w:r w:rsidR="00936E4B" w:rsidRPr="00B35171">
        <w:rPr>
          <w:color w:val="000000" w:themeColor="text1"/>
        </w:rPr>
        <w:t>performants</w:t>
      </w:r>
      <w:r w:rsidR="00433AB0" w:rsidRPr="00B35171">
        <w:rPr>
          <w:rStyle w:val="Appelnotedebasdep"/>
          <w:color w:val="000000" w:themeColor="text1"/>
        </w:rPr>
        <w:footnoteReference w:id="22"/>
      </w:r>
      <w:r w:rsidR="006D6DCC" w:rsidRPr="00B35171">
        <w:rPr>
          <w:color w:val="000000" w:themeColor="text1"/>
        </w:rPr>
        <w:t>. Dans ce cadre, la</w:t>
      </w:r>
      <w:r w:rsidR="00936E4B" w:rsidRPr="00B35171">
        <w:rPr>
          <w:color w:val="000000" w:themeColor="text1"/>
        </w:rPr>
        <w:t xml:space="preserve"> réforme de la</w:t>
      </w:r>
      <w:r w:rsidR="006D6DCC" w:rsidRPr="00B35171">
        <w:rPr>
          <w:color w:val="000000" w:themeColor="text1"/>
        </w:rPr>
        <w:t xml:space="preserve"> formation initiale des enseignants est devenu</w:t>
      </w:r>
      <w:r w:rsidR="00D812FB" w:rsidRPr="00B35171">
        <w:rPr>
          <w:color w:val="000000" w:themeColor="text1"/>
        </w:rPr>
        <w:t>e</w:t>
      </w:r>
      <w:r w:rsidR="006D6DCC" w:rsidRPr="00B35171">
        <w:rPr>
          <w:color w:val="000000" w:themeColor="text1"/>
        </w:rPr>
        <w:t xml:space="preserve"> un enjeu central</w:t>
      </w:r>
      <w:r w:rsidR="00D02703" w:rsidRPr="00B35171">
        <w:rPr>
          <w:color w:val="000000" w:themeColor="text1"/>
        </w:rPr>
        <w:t xml:space="preserve"> pour les institutions concernées</w:t>
      </w:r>
      <w:r w:rsidR="00433AB0" w:rsidRPr="00B35171">
        <w:rPr>
          <w:rStyle w:val="Appelnotedebasdep"/>
          <w:color w:val="000000" w:themeColor="text1"/>
        </w:rPr>
        <w:footnoteReference w:id="23"/>
      </w:r>
      <w:r w:rsidR="006D6DCC" w:rsidRPr="00B35171">
        <w:rPr>
          <w:color w:val="000000" w:themeColor="text1"/>
        </w:rPr>
        <w:t xml:space="preserve">. En Belgique, </w:t>
      </w:r>
      <w:r w:rsidR="00433823" w:rsidRPr="00B35171">
        <w:rPr>
          <w:color w:val="000000" w:themeColor="text1"/>
        </w:rPr>
        <w:t>« </w:t>
      </w:r>
      <w:r w:rsidR="006D6DCC" w:rsidRPr="00B35171">
        <w:rPr>
          <w:color w:val="000000" w:themeColor="text1"/>
        </w:rPr>
        <w:t>c</w:t>
      </w:r>
      <w:r w:rsidRPr="00B35171">
        <w:rPr>
          <w:color w:val="000000" w:themeColor="text1"/>
        </w:rPr>
        <w:t xml:space="preserve">elle-ci a été progressivement construite et planifiée </w:t>
      </w:r>
      <w:r w:rsidR="00433823" w:rsidRPr="00B35171">
        <w:rPr>
          <w:color w:val="000000" w:themeColor="text1"/>
        </w:rPr>
        <w:t xml:space="preserve">au cours des trois dernières décennies </w:t>
      </w:r>
      <w:r w:rsidRPr="00B35171">
        <w:rPr>
          <w:color w:val="000000" w:themeColor="text1"/>
        </w:rPr>
        <w:t>sur la base d'un travail collaboratif entre divers groupes d'acteurs issus de différentes institutions</w:t>
      </w:r>
      <w:r w:rsidR="00433823" w:rsidRPr="00B35171">
        <w:rPr>
          <w:color w:val="000000" w:themeColor="text1"/>
        </w:rPr>
        <w:t> »</w:t>
      </w:r>
      <w:r w:rsidR="00433823" w:rsidRPr="00B35171">
        <w:rPr>
          <w:rStyle w:val="Appelnotedebasdep"/>
          <w:color w:val="000000" w:themeColor="text1"/>
        </w:rPr>
        <w:t xml:space="preserve"> </w:t>
      </w:r>
      <w:r w:rsidR="00433823" w:rsidRPr="00B35171">
        <w:rPr>
          <w:rStyle w:val="Appelnotedebasdep"/>
          <w:color w:val="000000" w:themeColor="text1"/>
        </w:rPr>
        <w:footnoteReference w:id="24"/>
      </w:r>
      <w:r w:rsidR="00936E4B" w:rsidRPr="00B35171">
        <w:rPr>
          <w:color w:val="000000" w:themeColor="text1"/>
        </w:rPr>
        <w:t xml:space="preserve"> dont les principales sont les Universités</w:t>
      </w:r>
      <w:r w:rsidR="007F6F8C" w:rsidRPr="00B35171">
        <w:rPr>
          <w:color w:val="000000" w:themeColor="text1"/>
        </w:rPr>
        <w:t xml:space="preserve">, </w:t>
      </w:r>
      <w:r w:rsidR="00936E4B" w:rsidRPr="00B35171">
        <w:rPr>
          <w:color w:val="000000" w:themeColor="text1"/>
        </w:rPr>
        <w:t>d’une part</w:t>
      </w:r>
      <w:r w:rsidR="007F6F8C" w:rsidRPr="00B35171">
        <w:rPr>
          <w:color w:val="000000" w:themeColor="text1"/>
        </w:rPr>
        <w:t>,</w:t>
      </w:r>
      <w:r w:rsidR="00936E4B" w:rsidRPr="00B35171">
        <w:rPr>
          <w:color w:val="000000" w:themeColor="text1"/>
        </w:rPr>
        <w:t xml:space="preserve"> et les Hautes</w:t>
      </w:r>
      <w:r w:rsidR="00652C1D" w:rsidRPr="00B35171">
        <w:rPr>
          <w:color w:val="000000" w:themeColor="text1"/>
        </w:rPr>
        <w:t xml:space="preserve"> </w:t>
      </w:r>
      <w:r w:rsidR="00C215EB" w:rsidRPr="00B35171">
        <w:rPr>
          <w:color w:val="000000" w:themeColor="text1"/>
        </w:rPr>
        <w:t>é</w:t>
      </w:r>
      <w:r w:rsidR="00936E4B" w:rsidRPr="00B35171">
        <w:rPr>
          <w:color w:val="000000" w:themeColor="text1"/>
        </w:rPr>
        <w:t>coles</w:t>
      </w:r>
      <w:r w:rsidR="007F6F8C" w:rsidRPr="00B35171">
        <w:rPr>
          <w:color w:val="000000" w:themeColor="text1"/>
        </w:rPr>
        <w:t>,</w:t>
      </w:r>
      <w:r w:rsidR="00936E4B" w:rsidRPr="00B35171">
        <w:rPr>
          <w:color w:val="000000" w:themeColor="text1"/>
        </w:rPr>
        <w:t xml:space="preserve"> d’autre part</w:t>
      </w:r>
      <w:r w:rsidRPr="00B35171">
        <w:rPr>
          <w:color w:val="000000" w:themeColor="text1"/>
        </w:rPr>
        <w:t>.</w:t>
      </w:r>
      <w:r w:rsidR="00A91223" w:rsidRPr="00B35171">
        <w:rPr>
          <w:color w:val="000000" w:themeColor="text1"/>
        </w:rPr>
        <w:t xml:space="preserve"> Dorénavant, </w:t>
      </w:r>
      <w:r w:rsidR="007F6F8C" w:rsidRPr="00B35171">
        <w:rPr>
          <w:color w:val="000000" w:themeColor="text1"/>
        </w:rPr>
        <w:t xml:space="preserve">et à la suite d’une décision décrétale allant dans ce sens, </w:t>
      </w:r>
      <w:r w:rsidR="00A91223" w:rsidRPr="00B35171">
        <w:rPr>
          <w:color w:val="000000" w:themeColor="text1"/>
        </w:rPr>
        <w:t xml:space="preserve">ces deux types d’institutions se devront de collaborer conjointement et concrètement à la </w:t>
      </w:r>
      <w:r w:rsidR="007F6F8C" w:rsidRPr="00B35171">
        <w:rPr>
          <w:color w:val="000000" w:themeColor="text1"/>
        </w:rPr>
        <w:t>Formation Initiale des Enseignants (</w:t>
      </w:r>
      <w:r w:rsidR="00A91223" w:rsidRPr="00B35171">
        <w:rPr>
          <w:color w:val="000000" w:themeColor="text1"/>
        </w:rPr>
        <w:t>FI</w:t>
      </w:r>
      <w:r w:rsidR="00307910" w:rsidRPr="00B35171">
        <w:rPr>
          <w:color w:val="000000" w:themeColor="text1"/>
        </w:rPr>
        <w:t>E</w:t>
      </w:r>
      <w:r w:rsidR="007F6F8C" w:rsidRPr="00B35171">
        <w:rPr>
          <w:color w:val="000000" w:themeColor="text1"/>
        </w:rPr>
        <w:t>)</w:t>
      </w:r>
      <w:r w:rsidR="00433AB0" w:rsidRPr="00B35171">
        <w:rPr>
          <w:rStyle w:val="Appelnotedebasdep"/>
          <w:color w:val="000000" w:themeColor="text1"/>
        </w:rPr>
        <w:footnoteReference w:id="25"/>
      </w:r>
      <w:r w:rsidR="00A91223" w:rsidRPr="00B35171">
        <w:rPr>
          <w:color w:val="000000" w:themeColor="text1"/>
        </w:rPr>
        <w:t>.</w:t>
      </w:r>
      <w:r w:rsidR="00871BE3" w:rsidRPr="00B35171">
        <w:rPr>
          <w:color w:val="000000" w:themeColor="text1"/>
        </w:rPr>
        <w:t xml:space="preserve"> Parmi les pôles régionaux — unité</w:t>
      </w:r>
      <w:r w:rsidR="008F64FB" w:rsidRPr="00B35171">
        <w:rPr>
          <w:color w:val="000000" w:themeColor="text1"/>
        </w:rPr>
        <w:t>s</w:t>
      </w:r>
      <w:r w:rsidR="00871BE3" w:rsidRPr="00B35171">
        <w:rPr>
          <w:color w:val="000000" w:themeColor="text1"/>
        </w:rPr>
        <w:t xml:space="preserve"> géographique</w:t>
      </w:r>
      <w:r w:rsidR="008F64FB" w:rsidRPr="00B35171">
        <w:rPr>
          <w:color w:val="000000" w:themeColor="text1"/>
        </w:rPr>
        <w:t>s</w:t>
      </w:r>
      <w:r w:rsidR="00871BE3" w:rsidRPr="00B35171">
        <w:rPr>
          <w:color w:val="000000" w:themeColor="text1"/>
        </w:rPr>
        <w:t xml:space="preserve"> et administrative</w:t>
      </w:r>
      <w:r w:rsidR="008F64FB" w:rsidRPr="00B35171">
        <w:rPr>
          <w:color w:val="000000" w:themeColor="text1"/>
        </w:rPr>
        <w:t>s</w:t>
      </w:r>
      <w:r w:rsidR="00871BE3" w:rsidRPr="00B35171">
        <w:rPr>
          <w:color w:val="000000" w:themeColor="text1"/>
        </w:rPr>
        <w:t xml:space="preserve"> d’intervention de cette réforme </w:t>
      </w:r>
      <w:r w:rsidR="00AC0F3C" w:rsidRPr="00B35171">
        <w:rPr>
          <w:color w:val="000000" w:themeColor="text1"/>
        </w:rPr>
        <w:t xml:space="preserve">— </w:t>
      </w:r>
      <w:r w:rsidR="00871BE3" w:rsidRPr="00B35171">
        <w:rPr>
          <w:color w:val="000000" w:themeColor="text1"/>
        </w:rPr>
        <w:t xml:space="preserve">celui du lieu de cette enquête fait sans doute partie de ceux aux seins desquels l’implémentation </w:t>
      </w:r>
      <w:r w:rsidR="00AC0F3C" w:rsidRPr="00B35171">
        <w:rPr>
          <w:color w:val="000000" w:themeColor="text1"/>
        </w:rPr>
        <w:t>est</w:t>
      </w:r>
      <w:r w:rsidR="00871BE3" w:rsidRPr="00B35171">
        <w:rPr>
          <w:color w:val="000000" w:themeColor="text1"/>
        </w:rPr>
        <w:t xml:space="preserve"> </w:t>
      </w:r>
      <w:r w:rsidR="003F6EF6" w:rsidRPr="00B35171">
        <w:rPr>
          <w:color w:val="000000" w:themeColor="text1"/>
        </w:rPr>
        <w:t xml:space="preserve">la plus </w:t>
      </w:r>
      <w:r w:rsidR="008F64FB" w:rsidRPr="00B35171">
        <w:rPr>
          <w:color w:val="000000" w:themeColor="text1"/>
        </w:rPr>
        <w:t>complexe</w:t>
      </w:r>
      <w:r w:rsidR="00094B66" w:rsidRPr="00B35171">
        <w:rPr>
          <w:color w:val="000000" w:themeColor="text1"/>
        </w:rPr>
        <w:t>,</w:t>
      </w:r>
      <w:r w:rsidR="00871BE3" w:rsidRPr="00B35171">
        <w:rPr>
          <w:color w:val="000000" w:themeColor="text1"/>
        </w:rPr>
        <w:t xml:space="preserve"> de par la situation géographique et politique de certaines </w:t>
      </w:r>
      <w:r w:rsidR="00094B66" w:rsidRPr="00B35171">
        <w:rPr>
          <w:color w:val="000000" w:themeColor="text1"/>
        </w:rPr>
        <w:t>des</w:t>
      </w:r>
      <w:r w:rsidR="00871BE3" w:rsidRPr="00B35171">
        <w:rPr>
          <w:color w:val="000000" w:themeColor="text1"/>
        </w:rPr>
        <w:t xml:space="preserve"> institutions partenaires. </w:t>
      </w:r>
      <w:bookmarkStart w:id="14" w:name="_Toc118374771"/>
      <w:bookmarkStart w:id="15" w:name="_Toc118807821"/>
      <w:bookmarkStart w:id="16" w:name="_Toc120019801"/>
    </w:p>
    <w:p w14:paraId="619A66FA" w14:textId="1D4B1FD0" w:rsidR="009F344D" w:rsidRPr="00B35171" w:rsidRDefault="009F344D" w:rsidP="00983C65">
      <w:pPr>
        <w:pStyle w:val="Titre1"/>
        <w:rPr>
          <w:color w:val="000000" w:themeColor="text1"/>
        </w:rPr>
      </w:pPr>
      <w:r w:rsidRPr="00B35171">
        <w:rPr>
          <w:color w:val="000000" w:themeColor="text1"/>
        </w:rPr>
        <w:t>Bricoler,</w:t>
      </w:r>
      <w:r w:rsidR="007F6F8C" w:rsidRPr="00B35171">
        <w:rPr>
          <w:color w:val="000000" w:themeColor="text1"/>
        </w:rPr>
        <w:t xml:space="preserve"> </w:t>
      </w:r>
      <w:r w:rsidRPr="00B35171">
        <w:rPr>
          <w:color w:val="000000" w:themeColor="text1"/>
        </w:rPr>
        <w:t>s’arranger,</w:t>
      </w:r>
      <w:r w:rsidR="007F6F8C" w:rsidRPr="00B35171">
        <w:rPr>
          <w:color w:val="000000" w:themeColor="text1"/>
        </w:rPr>
        <w:t xml:space="preserve"> </w:t>
      </w:r>
      <w:r w:rsidRPr="00B35171">
        <w:rPr>
          <w:color w:val="000000" w:themeColor="text1"/>
        </w:rPr>
        <w:t>se débrouiller</w:t>
      </w:r>
      <w:r w:rsidR="007F6F8C" w:rsidRPr="00B35171">
        <w:rPr>
          <w:color w:val="000000" w:themeColor="text1"/>
        </w:rPr>
        <w:t xml:space="preserve"> </w:t>
      </w:r>
      <w:r w:rsidRPr="00B35171">
        <w:rPr>
          <w:color w:val="000000" w:themeColor="text1"/>
        </w:rPr>
        <w:t xml:space="preserve">: dans les coulisses du processus d’implémentation de la RFIE avec les </w:t>
      </w:r>
      <w:r w:rsidR="00D812FB" w:rsidRPr="00B35171">
        <w:rPr>
          <w:color w:val="000000" w:themeColor="text1"/>
        </w:rPr>
        <w:t>c</w:t>
      </w:r>
      <w:r w:rsidRPr="00B35171">
        <w:rPr>
          <w:color w:val="000000" w:themeColor="text1"/>
        </w:rPr>
        <w:t>onseillers</w:t>
      </w:r>
      <w:bookmarkEnd w:id="14"/>
      <w:bookmarkEnd w:id="15"/>
      <w:bookmarkEnd w:id="16"/>
    </w:p>
    <w:p w14:paraId="7B6D8013" w14:textId="77777777" w:rsidR="009F344D" w:rsidRPr="00B35171" w:rsidRDefault="009F344D" w:rsidP="009F344D">
      <w:pPr>
        <w:spacing w:line="276" w:lineRule="auto"/>
        <w:jc w:val="both"/>
        <w:rPr>
          <w:color w:val="000000" w:themeColor="text1"/>
        </w:rPr>
      </w:pPr>
    </w:p>
    <w:p w14:paraId="09121DD6" w14:textId="6F40F20C" w:rsidR="00380E3F" w:rsidRPr="00B35171" w:rsidRDefault="00380E3F" w:rsidP="00380E3F">
      <w:pPr>
        <w:spacing w:line="276" w:lineRule="auto"/>
        <w:jc w:val="both"/>
        <w:rPr>
          <w:color w:val="000000" w:themeColor="text1"/>
        </w:rPr>
      </w:pPr>
      <w:r w:rsidRPr="00B35171">
        <w:rPr>
          <w:color w:val="000000" w:themeColor="text1"/>
        </w:rPr>
        <w:t>Toute implémentation de politiques publiques (notamment lié</w:t>
      </w:r>
      <w:r w:rsidR="00652C1D" w:rsidRPr="00B35171">
        <w:rPr>
          <w:color w:val="000000" w:themeColor="text1"/>
        </w:rPr>
        <w:t>e</w:t>
      </w:r>
      <w:r w:rsidRPr="00B35171">
        <w:rPr>
          <w:color w:val="000000" w:themeColor="text1"/>
        </w:rPr>
        <w:t>s à l’enseignement) nécessite un processus de traduction</w:t>
      </w:r>
      <w:r w:rsidR="007F6F8C" w:rsidRPr="00B35171">
        <w:rPr>
          <w:color w:val="000000" w:themeColor="text1"/>
        </w:rPr>
        <w:t xml:space="preserve"> </w:t>
      </w:r>
      <w:r w:rsidRPr="00B35171">
        <w:rPr>
          <w:color w:val="000000" w:themeColor="text1"/>
        </w:rPr>
        <w:t>par les acteurs</w:t>
      </w:r>
      <w:r w:rsidR="00EE7D80" w:rsidRPr="00B35171">
        <w:rPr>
          <w:rStyle w:val="Appelnotedebasdep"/>
          <w:color w:val="000000" w:themeColor="text1"/>
        </w:rPr>
        <w:footnoteReference w:id="26"/>
      </w:r>
      <w:r w:rsidR="00EE7D80" w:rsidRPr="00B35171">
        <w:rPr>
          <w:color w:val="000000" w:themeColor="text1"/>
        </w:rPr>
        <w:t xml:space="preserve">. </w:t>
      </w:r>
      <w:r w:rsidRPr="00B35171">
        <w:rPr>
          <w:color w:val="000000" w:themeColor="text1"/>
        </w:rPr>
        <w:t>Mais ce que la macrosociologie, dont une certaine sociologie des organisations fait partie, tend à ne pas percevoir, de par l’approche méthodologique qui est la sienne, c’est, d’un point de vue pragmatique, la nature intrinsèquement interactionnelle de cette traduction. Une institution, si elle est bien instituante par principe est toujours également institué</w:t>
      </w:r>
      <w:r w:rsidR="00652C1D" w:rsidRPr="00B35171">
        <w:rPr>
          <w:color w:val="000000" w:themeColor="text1"/>
        </w:rPr>
        <w:t>e</w:t>
      </w:r>
      <w:r w:rsidRPr="00B35171">
        <w:rPr>
          <w:color w:val="000000" w:themeColor="text1"/>
        </w:rPr>
        <w:t xml:space="preserve"> par les acteurs qui la font exister en tant que telle ; et ce processus d’opérationnalisation de l’institution est un processus social, proprement interactionnel, qui se joue pour bonne part à l’échelle locale</w:t>
      </w:r>
      <w:r w:rsidR="00433AB0" w:rsidRPr="00B35171">
        <w:rPr>
          <w:rStyle w:val="Appelnotedebasdep"/>
          <w:color w:val="000000" w:themeColor="text1"/>
        </w:rPr>
        <w:footnoteReference w:id="27"/>
      </w:r>
      <w:r w:rsidRPr="00B35171">
        <w:rPr>
          <w:color w:val="000000" w:themeColor="text1"/>
        </w:rPr>
        <w:t xml:space="preserve">. Contrairement </w:t>
      </w:r>
      <w:r w:rsidRPr="00B35171">
        <w:rPr>
          <w:color w:val="000000" w:themeColor="text1"/>
        </w:rPr>
        <w:lastRenderedPageBreak/>
        <w:t xml:space="preserve">donc à l’approche macrosociologique, ce que l’approche ethnographique permet de faire, c’est de rendre compte de cette logique interactionnelle </w:t>
      </w:r>
      <w:r w:rsidRPr="00B35171">
        <w:rPr>
          <w:i/>
          <w:iCs/>
          <w:color w:val="000000" w:themeColor="text1"/>
        </w:rPr>
        <w:t>constituante</w:t>
      </w:r>
      <w:r w:rsidR="00433AB0" w:rsidRPr="00B35171">
        <w:rPr>
          <w:rStyle w:val="Appelnotedebasdep"/>
          <w:color w:val="000000" w:themeColor="text1"/>
        </w:rPr>
        <w:footnoteReference w:id="28"/>
      </w:r>
      <w:r w:rsidR="00A91223" w:rsidRPr="00B35171">
        <w:rPr>
          <w:i/>
          <w:iCs/>
          <w:color w:val="000000" w:themeColor="text1"/>
        </w:rPr>
        <w:t xml:space="preserve"> </w:t>
      </w:r>
      <w:r w:rsidRPr="00B35171">
        <w:rPr>
          <w:color w:val="000000" w:themeColor="text1"/>
        </w:rPr>
        <w:t xml:space="preserve">et, partant, d’en analyser </w:t>
      </w:r>
      <w:r w:rsidR="00652C1D" w:rsidRPr="00B35171">
        <w:rPr>
          <w:color w:val="000000" w:themeColor="text1"/>
        </w:rPr>
        <w:t>s</w:t>
      </w:r>
      <w:r w:rsidRPr="00B35171">
        <w:rPr>
          <w:color w:val="000000" w:themeColor="text1"/>
        </w:rPr>
        <w:t>es différents régime</w:t>
      </w:r>
      <w:r w:rsidR="00652C1D" w:rsidRPr="00B35171">
        <w:rPr>
          <w:color w:val="000000" w:themeColor="text1"/>
        </w:rPr>
        <w:t>s</w:t>
      </w:r>
      <w:r w:rsidRPr="00B35171">
        <w:rPr>
          <w:color w:val="000000" w:themeColor="text1"/>
        </w:rPr>
        <w:t xml:space="preserve"> de réalisation pratique</w:t>
      </w:r>
      <w:r w:rsidRPr="00B35171">
        <w:rPr>
          <w:rStyle w:val="Appelnotedebasdep"/>
          <w:color w:val="000000" w:themeColor="text1"/>
        </w:rPr>
        <w:footnoteReference w:id="29"/>
      </w:r>
      <w:r w:rsidRPr="00B35171">
        <w:rPr>
          <w:color w:val="000000" w:themeColor="text1"/>
        </w:rPr>
        <w:t xml:space="preserve">. Dans le cas qui nous intéresse ici, ce que ce positionnement dans les coulisses — pratique et épistémologique — de l’implémentation de la RFIE à l’université permet de montrer, est l’importance même du régime d’arrangement au sein des interactions — tant du point de vue pratique des acteurs (qui ne cessent de « s’arranger » entre eux, de </w:t>
      </w:r>
      <w:r w:rsidR="008574B5" w:rsidRPr="00B35171">
        <w:rPr>
          <w:color w:val="000000" w:themeColor="text1"/>
        </w:rPr>
        <w:t>s’arranger</w:t>
      </w:r>
      <w:r w:rsidRPr="00B35171">
        <w:rPr>
          <w:color w:val="000000" w:themeColor="text1"/>
        </w:rPr>
        <w:t xml:space="preserve"> avec les normes établies </w:t>
      </w:r>
      <w:r w:rsidR="00AC0F3C" w:rsidRPr="00B35171">
        <w:rPr>
          <w:color w:val="000000" w:themeColor="text1"/>
        </w:rPr>
        <w:t>par</w:t>
      </w:r>
      <w:r w:rsidRPr="00B35171">
        <w:rPr>
          <w:color w:val="000000" w:themeColor="text1"/>
        </w:rPr>
        <w:t xml:space="preserve"> l’université) que du point de vue de leurs représentations collectives au sujet du travail (de traduction) qu’ils sont en charge d’effectuer. </w:t>
      </w:r>
    </w:p>
    <w:p w14:paraId="095A1FCE" w14:textId="77777777" w:rsidR="009F344D" w:rsidRPr="00B35171" w:rsidRDefault="009F344D" w:rsidP="009F344D">
      <w:pPr>
        <w:spacing w:line="276" w:lineRule="auto"/>
        <w:jc w:val="both"/>
        <w:rPr>
          <w:color w:val="000000" w:themeColor="text1"/>
        </w:rPr>
      </w:pPr>
    </w:p>
    <w:p w14:paraId="6182D755" w14:textId="06069DC7" w:rsidR="009F344D" w:rsidRPr="00B35171" w:rsidRDefault="009F344D" w:rsidP="00383ABB">
      <w:pPr>
        <w:pStyle w:val="Titre2"/>
        <w:rPr>
          <w:color w:val="000000" w:themeColor="text1"/>
        </w:rPr>
      </w:pPr>
      <w:bookmarkStart w:id="17" w:name="_Toc118374772"/>
      <w:bookmarkStart w:id="18" w:name="_Toc118807822"/>
      <w:bookmarkStart w:id="19" w:name="_Toc120019802"/>
      <w:r w:rsidRPr="00B35171">
        <w:rPr>
          <w:color w:val="000000" w:themeColor="text1"/>
        </w:rPr>
        <w:t>Arrangement</w:t>
      </w:r>
      <w:r w:rsidR="00383ABB" w:rsidRPr="00B35171">
        <w:rPr>
          <w:color w:val="000000" w:themeColor="text1"/>
        </w:rPr>
        <w:t>s</w:t>
      </w:r>
      <w:r w:rsidRPr="00B35171">
        <w:rPr>
          <w:color w:val="000000" w:themeColor="text1"/>
        </w:rPr>
        <w:t xml:space="preserve"> pratique</w:t>
      </w:r>
      <w:r w:rsidR="00383ABB" w:rsidRPr="00B35171">
        <w:rPr>
          <w:color w:val="000000" w:themeColor="text1"/>
        </w:rPr>
        <w:t>s</w:t>
      </w:r>
      <w:r w:rsidRPr="00B35171">
        <w:rPr>
          <w:color w:val="000000" w:themeColor="text1"/>
        </w:rPr>
        <w:t> et pratiques d’arrangement</w:t>
      </w:r>
      <w:bookmarkEnd w:id="17"/>
      <w:bookmarkEnd w:id="18"/>
      <w:bookmarkEnd w:id="19"/>
    </w:p>
    <w:p w14:paraId="738BCC3D" w14:textId="77777777" w:rsidR="009F344D" w:rsidRPr="00B35171" w:rsidRDefault="009F344D" w:rsidP="009F344D">
      <w:pPr>
        <w:spacing w:line="276" w:lineRule="auto"/>
        <w:ind w:firstLine="708"/>
        <w:jc w:val="both"/>
        <w:rPr>
          <w:b/>
          <w:bCs/>
          <w:color w:val="000000" w:themeColor="text1"/>
        </w:rPr>
      </w:pPr>
    </w:p>
    <w:p w14:paraId="552743BC" w14:textId="7B99DE10" w:rsidR="009F344D" w:rsidRPr="00B35171" w:rsidRDefault="009F344D" w:rsidP="009F344D">
      <w:pPr>
        <w:spacing w:line="276" w:lineRule="auto"/>
        <w:jc w:val="both"/>
        <w:rPr>
          <w:color w:val="000000" w:themeColor="text1"/>
        </w:rPr>
      </w:pPr>
      <w:r w:rsidRPr="00B35171">
        <w:rPr>
          <w:color w:val="000000" w:themeColor="text1"/>
        </w:rPr>
        <w:t>Pour effectuer la tâche qui est attendu</w:t>
      </w:r>
      <w:r w:rsidR="00110EBB" w:rsidRPr="00B35171">
        <w:rPr>
          <w:color w:val="000000" w:themeColor="text1"/>
        </w:rPr>
        <w:t>e</w:t>
      </w:r>
      <w:r w:rsidRPr="00B35171">
        <w:rPr>
          <w:color w:val="000000" w:themeColor="text1"/>
        </w:rPr>
        <w:t xml:space="preserve"> d’eux — et que, rappelons-le, les </w:t>
      </w:r>
      <w:r w:rsidR="00110EBB" w:rsidRPr="00B35171">
        <w:rPr>
          <w:color w:val="000000" w:themeColor="text1"/>
        </w:rPr>
        <w:t>c</w:t>
      </w:r>
      <w:r w:rsidRPr="00B35171">
        <w:rPr>
          <w:color w:val="000000" w:themeColor="text1"/>
        </w:rPr>
        <w:t xml:space="preserve">onseillers « découvrent » au fur et à mesure qu’ils participent à en créer les impératifs —, ces derniers ont souvent besoin de se réunir. Aussi, quantité de réunions — allant de la plus informelle (une discussion autour d’un sandwich assis </w:t>
      </w:r>
      <w:r w:rsidR="00D812FB" w:rsidRPr="00B35171">
        <w:rPr>
          <w:color w:val="000000" w:themeColor="text1"/>
        </w:rPr>
        <w:t>à la terrasse</w:t>
      </w:r>
      <w:r w:rsidRPr="00B35171">
        <w:rPr>
          <w:color w:val="000000" w:themeColor="text1"/>
        </w:rPr>
        <w:t xml:space="preserve"> de la cantine) à la plus formelle (réunion avec les autorité</w:t>
      </w:r>
      <w:r w:rsidR="007F6F8C" w:rsidRPr="00B35171">
        <w:rPr>
          <w:color w:val="000000" w:themeColor="text1"/>
        </w:rPr>
        <w:t>s</w:t>
      </w:r>
      <w:r w:rsidRPr="00B35171">
        <w:rPr>
          <w:color w:val="000000" w:themeColor="text1"/>
        </w:rPr>
        <w:t xml:space="preserve"> facultaires, avec parfois d’autres intervenants impliqués également dans la RFIE) — sont organisées ; de nombreux « groupes de travail » (GT) sont formés en cours de route</w:t>
      </w:r>
      <w:r w:rsidR="00391BDC" w:rsidRPr="00B35171">
        <w:rPr>
          <w:color w:val="000000" w:themeColor="text1"/>
        </w:rPr>
        <w:t xml:space="preserve"> (</w:t>
      </w:r>
      <w:r w:rsidR="001241D0" w:rsidRPr="00B35171">
        <w:rPr>
          <w:color w:val="000000" w:themeColor="text1"/>
        </w:rPr>
        <w:t>du point de vue du membre</w:t>
      </w:r>
      <w:r w:rsidR="00391BDC" w:rsidRPr="00B35171">
        <w:rPr>
          <w:color w:val="000000" w:themeColor="text1"/>
        </w:rPr>
        <w:t> :</w:t>
      </w:r>
      <w:r w:rsidRPr="00B35171">
        <w:rPr>
          <w:color w:val="000000" w:themeColor="text1"/>
        </w:rPr>
        <w:t xml:space="preserve"> on ne sait trop comment</w:t>
      </w:r>
      <w:r w:rsidR="00391BDC" w:rsidRPr="00B35171">
        <w:rPr>
          <w:color w:val="000000" w:themeColor="text1"/>
        </w:rPr>
        <w:t>)</w:t>
      </w:r>
      <w:r w:rsidRPr="00B35171">
        <w:rPr>
          <w:color w:val="000000" w:themeColor="text1"/>
        </w:rPr>
        <w:t> ; d’autres réunion</w:t>
      </w:r>
      <w:r w:rsidR="005E55EC" w:rsidRPr="00B35171">
        <w:rPr>
          <w:color w:val="000000" w:themeColor="text1"/>
        </w:rPr>
        <w:t>s</w:t>
      </w:r>
      <w:r w:rsidRPr="00B35171">
        <w:rPr>
          <w:color w:val="000000" w:themeColor="text1"/>
        </w:rPr>
        <w:t>, plus axé</w:t>
      </w:r>
      <w:r w:rsidR="00110EBB" w:rsidRPr="00B35171">
        <w:rPr>
          <w:color w:val="000000" w:themeColor="text1"/>
        </w:rPr>
        <w:t>es</w:t>
      </w:r>
      <w:r w:rsidRPr="00B35171">
        <w:rPr>
          <w:color w:val="000000" w:themeColor="text1"/>
        </w:rPr>
        <w:t xml:space="preserve"> sur le fond de la problématique prennent vie, et semblent </w:t>
      </w:r>
      <w:r w:rsidR="001241D0" w:rsidRPr="00B35171">
        <w:rPr>
          <w:color w:val="000000" w:themeColor="text1"/>
        </w:rPr>
        <w:t xml:space="preserve">à nouveau, pour le </w:t>
      </w:r>
      <w:r w:rsidR="00814F95" w:rsidRPr="00B35171">
        <w:rPr>
          <w:color w:val="000000" w:themeColor="text1"/>
        </w:rPr>
        <w:t>conseiller</w:t>
      </w:r>
      <w:r w:rsidR="001241D0" w:rsidRPr="00B35171">
        <w:rPr>
          <w:color w:val="000000" w:themeColor="text1"/>
        </w:rPr>
        <w:t xml:space="preserve"> qu’est l’enquêteur, </w:t>
      </w:r>
      <w:r w:rsidRPr="00B35171">
        <w:rPr>
          <w:color w:val="000000" w:themeColor="text1"/>
        </w:rPr>
        <w:t>émerger du néant institutionnel comme par magie ; d’autres réunion</w:t>
      </w:r>
      <w:r w:rsidR="005E55EC" w:rsidRPr="00B35171">
        <w:rPr>
          <w:color w:val="000000" w:themeColor="text1"/>
        </w:rPr>
        <w:t>s</w:t>
      </w:r>
      <w:r w:rsidRPr="00B35171">
        <w:rPr>
          <w:color w:val="000000" w:themeColor="text1"/>
        </w:rPr>
        <w:t xml:space="preserve"> encore, plus logistique</w:t>
      </w:r>
      <w:r w:rsidR="005E55EC" w:rsidRPr="00B35171">
        <w:rPr>
          <w:color w:val="000000" w:themeColor="text1"/>
        </w:rPr>
        <w:t>s</w:t>
      </w:r>
      <w:r w:rsidRPr="00B35171">
        <w:rPr>
          <w:color w:val="000000" w:themeColor="text1"/>
        </w:rPr>
        <w:t xml:space="preserve"> voient également le jour. Aussi, de par l’inflation du nombre de réunion</w:t>
      </w:r>
      <w:r w:rsidR="005E55EC" w:rsidRPr="00B35171">
        <w:rPr>
          <w:color w:val="000000" w:themeColor="text1"/>
        </w:rPr>
        <w:t>s</w:t>
      </w:r>
      <w:r w:rsidRPr="00B35171">
        <w:rPr>
          <w:color w:val="000000" w:themeColor="text1"/>
        </w:rPr>
        <w:t xml:space="preserve"> auquel il lui faut participer, la première tâche du </w:t>
      </w:r>
      <w:r w:rsidR="00110EBB" w:rsidRPr="00B35171">
        <w:rPr>
          <w:color w:val="000000" w:themeColor="text1"/>
        </w:rPr>
        <w:t>c</w:t>
      </w:r>
      <w:r w:rsidRPr="00B35171">
        <w:rPr>
          <w:color w:val="000000" w:themeColor="text1"/>
        </w:rPr>
        <w:t>onseiller est tout d’abord de parvenir à récolter les informations pratiques concernant ces dernières. L’affaire peut paraitre bien banale et pourtant, ici déjà, l</w:t>
      </w:r>
      <w:r w:rsidR="00814F95" w:rsidRPr="00B35171">
        <w:rPr>
          <w:color w:val="000000" w:themeColor="text1"/>
        </w:rPr>
        <w:t xml:space="preserve">’inventivité intrinsèque au </w:t>
      </w:r>
      <w:r w:rsidRPr="00B35171">
        <w:rPr>
          <w:color w:val="000000" w:themeColor="text1"/>
        </w:rPr>
        <w:t xml:space="preserve">régime de l’arrangement se laisse entre-apercevoir. C’est que, pour parvenir à mettre la main sur ces informations, le </w:t>
      </w:r>
      <w:r w:rsidR="00110EBB" w:rsidRPr="00B35171">
        <w:rPr>
          <w:color w:val="000000" w:themeColor="text1"/>
        </w:rPr>
        <w:t>c</w:t>
      </w:r>
      <w:r w:rsidRPr="00B35171">
        <w:rPr>
          <w:color w:val="000000" w:themeColor="text1"/>
        </w:rPr>
        <w:t>onseiller se doit de les chercher activement. Perdu dans l’immensité du processus de traduction qu’on lui demande de réaliser, il doit se débrouiller pour, au détour d’une pause-café, ou d’un échange informel dans un couloir, après ou avant une réunion, s’inclure</w:t>
      </w:r>
      <w:r w:rsidR="005E55EC" w:rsidRPr="00B35171">
        <w:rPr>
          <w:color w:val="000000" w:themeColor="text1"/>
        </w:rPr>
        <w:t>,</w:t>
      </w:r>
      <w:r w:rsidRPr="00B35171">
        <w:rPr>
          <w:color w:val="000000" w:themeColor="text1"/>
        </w:rPr>
        <w:t xml:space="preserve"> par exemple, dans la « boucle de mail</w:t>
      </w:r>
      <w:r w:rsidR="00110EBB" w:rsidRPr="00B35171">
        <w:rPr>
          <w:color w:val="000000" w:themeColor="text1"/>
        </w:rPr>
        <w:t>s</w:t>
      </w:r>
      <w:r w:rsidRPr="00B35171">
        <w:rPr>
          <w:color w:val="000000" w:themeColor="text1"/>
        </w:rPr>
        <w:t xml:space="preserve"> » </w:t>
      </w:r>
      <w:r w:rsidRPr="00B35171">
        <w:rPr>
          <w:i/>
          <w:iCs/>
          <w:color w:val="000000" w:themeColor="text1"/>
        </w:rPr>
        <w:t>ad hoc </w:t>
      </w:r>
      <w:r w:rsidRPr="00B35171">
        <w:rPr>
          <w:color w:val="000000" w:themeColor="text1"/>
        </w:rPr>
        <w:t xml:space="preserve">; il doit, avec ses collègues directs — les autres </w:t>
      </w:r>
      <w:r w:rsidR="00110EBB" w:rsidRPr="00B35171">
        <w:rPr>
          <w:color w:val="000000" w:themeColor="text1"/>
        </w:rPr>
        <w:t>c</w:t>
      </w:r>
      <w:r w:rsidRPr="00B35171">
        <w:rPr>
          <w:color w:val="000000" w:themeColor="text1"/>
        </w:rPr>
        <w:t xml:space="preserve">onseillers —, dans les moments de flottement institutionnel, aux interstices des activités organisées et dont les protocoles </w:t>
      </w:r>
      <w:r w:rsidR="005E55EC" w:rsidRPr="00B35171">
        <w:rPr>
          <w:color w:val="000000" w:themeColor="text1"/>
        </w:rPr>
        <w:t xml:space="preserve">officiels </w:t>
      </w:r>
      <w:r w:rsidRPr="00B35171">
        <w:rPr>
          <w:color w:val="000000" w:themeColor="text1"/>
        </w:rPr>
        <w:t>saturent l’espace et le temps des éventuelles réunions, chercher à « s’organiser pour la suite » : créer des réunions en vue d’en organiser d’autres</w:t>
      </w:r>
      <w:r w:rsidR="005E55EC" w:rsidRPr="00B35171">
        <w:rPr>
          <w:color w:val="000000" w:themeColor="text1"/>
        </w:rPr>
        <w:t>. A</w:t>
      </w:r>
      <w:r w:rsidRPr="00B35171">
        <w:rPr>
          <w:color w:val="000000" w:themeColor="text1"/>
        </w:rPr>
        <w:t xml:space="preserve">utrement dit, il se doit de faire apparaitre, au sein de </w:t>
      </w:r>
      <w:r w:rsidR="005E55EC" w:rsidRPr="00B35171">
        <w:rPr>
          <w:color w:val="000000" w:themeColor="text1"/>
        </w:rPr>
        <w:t>c</w:t>
      </w:r>
      <w:r w:rsidRPr="00B35171">
        <w:rPr>
          <w:color w:val="000000" w:themeColor="text1"/>
        </w:rPr>
        <w:t xml:space="preserve">es interactions qui se déroulent le plus souvent </w:t>
      </w:r>
      <w:r w:rsidRPr="00B35171">
        <w:rPr>
          <w:color w:val="000000" w:themeColor="text1"/>
        </w:rPr>
        <w:lastRenderedPageBreak/>
        <w:t>dans les « coulisses » de l’institution</w:t>
      </w:r>
      <w:r w:rsidRPr="00B35171">
        <w:rPr>
          <w:rStyle w:val="Appelnotedebasdep"/>
          <w:color w:val="000000" w:themeColor="text1"/>
        </w:rPr>
        <w:footnoteReference w:id="30"/>
      </w:r>
      <w:r w:rsidRPr="00B35171">
        <w:rPr>
          <w:color w:val="000000" w:themeColor="text1"/>
        </w:rPr>
        <w:t xml:space="preserve">, </w:t>
      </w:r>
      <w:r w:rsidR="00814F95" w:rsidRPr="00B35171">
        <w:rPr>
          <w:color w:val="000000" w:themeColor="text1"/>
        </w:rPr>
        <w:t>par l’accentuation d’une mise en scène de soi</w:t>
      </w:r>
      <w:r w:rsidR="00814F95" w:rsidRPr="00B35171">
        <w:rPr>
          <w:rStyle w:val="Appelnotedebasdep"/>
          <w:color w:val="000000" w:themeColor="text1"/>
        </w:rPr>
        <w:footnoteReference w:id="31"/>
      </w:r>
      <w:r w:rsidR="00814F95" w:rsidRPr="00B35171">
        <w:rPr>
          <w:color w:val="000000" w:themeColor="text1"/>
        </w:rPr>
        <w:t xml:space="preserve">, </w:t>
      </w:r>
      <w:r w:rsidRPr="00B35171">
        <w:rPr>
          <w:color w:val="000000" w:themeColor="text1"/>
        </w:rPr>
        <w:t xml:space="preserve">le fait qu’il est quelque peu « perdu » dans l’agenda et qu’il serait bon de se voir pour en discuter, remettre de l’ordre dans ce qui peut apparaitre à toutes et tous comme véritablement chaotique ; bref, il se doit d’organiser pratiquement, au moyen d’un jeu interactionnel précis — celui d’apparaitre dépassé, et de montrer par son attitude qu’il notifie la même attitude chez ses interlocuteurs, notamment —, les modalités de possibilité de ces futurs arrangements pratiques — cela étant, </w:t>
      </w:r>
      <w:r w:rsidRPr="00B35171">
        <w:rPr>
          <w:i/>
          <w:iCs/>
          <w:color w:val="000000" w:themeColor="text1"/>
        </w:rPr>
        <w:t>en soi</w:t>
      </w:r>
      <w:r w:rsidRPr="00B35171">
        <w:rPr>
          <w:color w:val="000000" w:themeColor="text1"/>
        </w:rPr>
        <w:t xml:space="preserve">, déjà une sorte d’arrangement. </w:t>
      </w:r>
    </w:p>
    <w:p w14:paraId="5E5E5BA3" w14:textId="77777777" w:rsidR="009F344D" w:rsidRPr="00B35171" w:rsidRDefault="009F344D" w:rsidP="009F344D">
      <w:pPr>
        <w:spacing w:line="276" w:lineRule="auto"/>
        <w:jc w:val="both"/>
        <w:rPr>
          <w:color w:val="000000" w:themeColor="text1"/>
        </w:rPr>
      </w:pPr>
    </w:p>
    <w:p w14:paraId="64EE5BF9" w14:textId="3A2E7AF3" w:rsidR="009F344D" w:rsidRPr="00B35171" w:rsidRDefault="009F344D" w:rsidP="009F344D">
      <w:pPr>
        <w:spacing w:line="276" w:lineRule="auto"/>
        <w:jc w:val="both"/>
        <w:rPr>
          <w:color w:val="000000" w:themeColor="text1"/>
        </w:rPr>
      </w:pPr>
      <w:r w:rsidRPr="00B35171">
        <w:rPr>
          <w:color w:val="000000" w:themeColor="text1"/>
        </w:rPr>
        <w:t>Une fois acté</w:t>
      </w:r>
      <w:r w:rsidR="008553AC" w:rsidRPr="00B35171">
        <w:rPr>
          <w:color w:val="000000" w:themeColor="text1"/>
        </w:rPr>
        <w:t>e</w:t>
      </w:r>
      <w:r w:rsidRPr="00B35171">
        <w:rPr>
          <w:color w:val="000000" w:themeColor="text1"/>
        </w:rPr>
        <w:t>, par l’ensemble des membre</w:t>
      </w:r>
      <w:r w:rsidR="00110EBB" w:rsidRPr="00B35171">
        <w:rPr>
          <w:color w:val="000000" w:themeColor="text1"/>
        </w:rPr>
        <w:t>s</w:t>
      </w:r>
      <w:r w:rsidR="00814F95" w:rsidRPr="00B35171">
        <w:rPr>
          <w:color w:val="000000" w:themeColor="text1"/>
        </w:rPr>
        <w:t xml:space="preserve">, </w:t>
      </w:r>
      <w:r w:rsidRPr="00B35171">
        <w:rPr>
          <w:color w:val="000000" w:themeColor="text1"/>
        </w:rPr>
        <w:t xml:space="preserve">la dimension incertaine, floue des tâches à accomplir ainsi que l’aspect </w:t>
      </w:r>
      <w:r w:rsidR="00814F95" w:rsidRPr="00B35171">
        <w:rPr>
          <w:color w:val="000000" w:themeColor="text1"/>
        </w:rPr>
        <w:t xml:space="preserve">d’apparence </w:t>
      </w:r>
      <w:r w:rsidRPr="00B35171">
        <w:rPr>
          <w:color w:val="000000" w:themeColor="text1"/>
        </w:rPr>
        <w:t>désordonné</w:t>
      </w:r>
      <w:r w:rsidR="00094B66" w:rsidRPr="00B35171">
        <w:rPr>
          <w:color w:val="000000" w:themeColor="text1"/>
        </w:rPr>
        <w:t>e</w:t>
      </w:r>
      <w:r w:rsidRPr="00B35171">
        <w:rPr>
          <w:color w:val="000000" w:themeColor="text1"/>
        </w:rPr>
        <w:t xml:space="preserve"> du cadre pragmatique dans lequel elle</w:t>
      </w:r>
      <w:r w:rsidR="00110EBB" w:rsidRPr="00B35171">
        <w:rPr>
          <w:color w:val="000000" w:themeColor="text1"/>
        </w:rPr>
        <w:t>s</w:t>
      </w:r>
      <w:r w:rsidRPr="00B35171">
        <w:rPr>
          <w:color w:val="000000" w:themeColor="text1"/>
        </w:rPr>
        <w:t xml:space="preserve"> se doivent d’advenir, le travail d’organisation peut commencer à s’effectuer — une fois encore, sur le mode du bricolage pratique. Des noms de personnes ressources se mettent à circuler ; sont alors transmis entre les membres, </w:t>
      </w:r>
      <w:r w:rsidR="00110EBB" w:rsidRPr="00B35171">
        <w:rPr>
          <w:color w:val="000000" w:themeColor="text1"/>
        </w:rPr>
        <w:t>via</w:t>
      </w:r>
      <w:r w:rsidRPr="00B35171">
        <w:rPr>
          <w:color w:val="000000" w:themeColor="text1"/>
        </w:rPr>
        <w:t xml:space="preserve"> un réseau informel d’échange</w:t>
      </w:r>
      <w:r w:rsidR="00110EBB" w:rsidRPr="00B35171">
        <w:rPr>
          <w:color w:val="000000" w:themeColor="text1"/>
        </w:rPr>
        <w:t>s</w:t>
      </w:r>
      <w:r w:rsidRPr="00B35171">
        <w:rPr>
          <w:color w:val="000000" w:themeColor="text1"/>
        </w:rPr>
        <w:t xml:space="preserve"> d’e</w:t>
      </w:r>
      <w:r w:rsidR="00110EBB" w:rsidRPr="00B35171">
        <w:rPr>
          <w:color w:val="000000" w:themeColor="text1"/>
        </w:rPr>
        <w:t>-</w:t>
      </w:r>
      <w:r w:rsidRPr="00B35171">
        <w:rPr>
          <w:color w:val="000000" w:themeColor="text1"/>
        </w:rPr>
        <w:t>mails, des tableaux récapitulatifs ou des PV de réunions précédentes. Ces derniers documents sont souvent réalisés de manière imprécise et également informelle : la plupart contiennent des petits schéma</w:t>
      </w:r>
      <w:r w:rsidR="00110EBB" w:rsidRPr="00B35171">
        <w:rPr>
          <w:color w:val="000000" w:themeColor="text1"/>
        </w:rPr>
        <w:t>s</w:t>
      </w:r>
      <w:r w:rsidRPr="00B35171">
        <w:rPr>
          <w:color w:val="000000" w:themeColor="text1"/>
        </w:rPr>
        <w:t xml:space="preserve"> réalisés à la main, à la volée, par l’un ou l’autre membre, lors d’une prise de note</w:t>
      </w:r>
      <w:r w:rsidR="00110EBB" w:rsidRPr="00B35171">
        <w:rPr>
          <w:color w:val="000000" w:themeColor="text1"/>
        </w:rPr>
        <w:t>s</w:t>
      </w:r>
      <w:r w:rsidRPr="00B35171">
        <w:rPr>
          <w:color w:val="000000" w:themeColor="text1"/>
        </w:rPr>
        <w:t xml:space="preserve"> rapide </w:t>
      </w:r>
      <w:r w:rsidR="008553AC" w:rsidRPr="00B35171">
        <w:rPr>
          <w:color w:val="000000" w:themeColor="text1"/>
        </w:rPr>
        <w:t xml:space="preserve">pendant </w:t>
      </w:r>
      <w:r w:rsidRPr="00B35171">
        <w:rPr>
          <w:color w:val="000000" w:themeColor="text1"/>
        </w:rPr>
        <w:t>une réunion ; ils sont criblés de saut</w:t>
      </w:r>
      <w:r w:rsidR="00110EBB" w:rsidRPr="00B35171">
        <w:rPr>
          <w:color w:val="000000" w:themeColor="text1"/>
        </w:rPr>
        <w:t>s</w:t>
      </w:r>
      <w:r w:rsidRPr="00B35171">
        <w:rPr>
          <w:color w:val="000000" w:themeColor="text1"/>
        </w:rPr>
        <w:t xml:space="preserve"> de puces désordonnés, de flèches, de mots-clés juxtaposés les uns à côté des autres, de phrases hachurées et </w:t>
      </w:r>
      <w:r w:rsidR="00814F95" w:rsidRPr="00B35171">
        <w:rPr>
          <w:color w:val="000000" w:themeColor="text1"/>
        </w:rPr>
        <w:t>écrites à la main</w:t>
      </w:r>
      <w:r w:rsidRPr="00B35171">
        <w:rPr>
          <w:color w:val="000000" w:themeColor="text1"/>
        </w:rPr>
        <w:t xml:space="preserve"> ; parfois, ils prennent la forme plus prosaïque d’une simple photo, réalisée avec un smartphone au cours d’un exposé, d’un commentaire noté </w:t>
      </w:r>
      <w:r w:rsidR="008553AC" w:rsidRPr="00B35171">
        <w:rPr>
          <w:color w:val="000000" w:themeColor="text1"/>
        </w:rPr>
        <w:t>à la va-vite</w:t>
      </w:r>
      <w:r w:rsidRPr="00B35171">
        <w:rPr>
          <w:color w:val="000000" w:themeColor="text1"/>
        </w:rPr>
        <w:t xml:space="preserve"> au tableau par un intervenant. Les données que le </w:t>
      </w:r>
      <w:r w:rsidR="00110EBB" w:rsidRPr="00B35171">
        <w:rPr>
          <w:color w:val="000000" w:themeColor="text1"/>
        </w:rPr>
        <w:t>c</w:t>
      </w:r>
      <w:r w:rsidRPr="00B35171">
        <w:rPr>
          <w:color w:val="000000" w:themeColor="text1"/>
        </w:rPr>
        <w:t>onseiller accumule ainsi sur son ordinateur ou dans une farde à documents, non seulement, il se doit d’aller les chercher, de les classer, de les décod</w:t>
      </w:r>
      <w:r w:rsidR="00110EBB" w:rsidRPr="00B35171">
        <w:rPr>
          <w:color w:val="000000" w:themeColor="text1"/>
        </w:rPr>
        <w:t>er</w:t>
      </w:r>
      <w:r w:rsidRPr="00B35171">
        <w:rPr>
          <w:color w:val="000000" w:themeColor="text1"/>
        </w:rPr>
        <w:t xml:space="preserve"> comme il le peut — en « s’arrangeant » avec ses pairs, sur le mode du « faire avec »</w:t>
      </w:r>
      <w:r w:rsidR="00EE7D80" w:rsidRPr="00B35171">
        <w:rPr>
          <w:rStyle w:val="Appelnotedebasdep"/>
          <w:color w:val="000000" w:themeColor="text1"/>
        </w:rPr>
        <w:footnoteReference w:id="32"/>
      </w:r>
      <w:r w:rsidRPr="00B35171">
        <w:rPr>
          <w:color w:val="000000" w:themeColor="text1"/>
        </w:rPr>
        <w:t xml:space="preserve">, donc — mais également, il participe à en fabriquer la dimension bricolée en </w:t>
      </w:r>
      <w:r w:rsidR="005E55EC" w:rsidRPr="00B35171">
        <w:rPr>
          <w:color w:val="000000" w:themeColor="text1"/>
        </w:rPr>
        <w:t xml:space="preserve">rappelant </w:t>
      </w:r>
      <w:r w:rsidRPr="00B35171">
        <w:rPr>
          <w:color w:val="000000" w:themeColor="text1"/>
        </w:rPr>
        <w:t xml:space="preserve">continuellement, lors des échanges, combien tel ou tel document en question se doit d’être considéré comme « un brouillon » ou « juste un truc noté, comme ça » — de fait, toutes </w:t>
      </w:r>
      <w:r w:rsidR="00D243AD" w:rsidRPr="00B35171">
        <w:rPr>
          <w:color w:val="000000" w:themeColor="text1"/>
        </w:rPr>
        <w:t>c</w:t>
      </w:r>
      <w:r w:rsidRPr="00B35171">
        <w:rPr>
          <w:color w:val="000000" w:themeColor="text1"/>
        </w:rPr>
        <w:t>es informations sont systématiquement estampi</w:t>
      </w:r>
      <w:r w:rsidR="00D243AD" w:rsidRPr="00B35171">
        <w:rPr>
          <w:color w:val="000000" w:themeColor="text1"/>
        </w:rPr>
        <w:t>ll</w:t>
      </w:r>
      <w:r w:rsidRPr="00B35171">
        <w:rPr>
          <w:color w:val="000000" w:themeColor="text1"/>
        </w:rPr>
        <w:t xml:space="preserve">ées, de manière </w:t>
      </w:r>
      <w:r w:rsidR="00814F95" w:rsidRPr="00B35171">
        <w:rPr>
          <w:color w:val="000000" w:themeColor="text1"/>
        </w:rPr>
        <w:t>explicite</w:t>
      </w:r>
      <w:r w:rsidRPr="00B35171">
        <w:rPr>
          <w:color w:val="000000" w:themeColor="text1"/>
        </w:rPr>
        <w:t xml:space="preserve"> ou non, d’un commentaire concernant leur caractère proprement « informel » : ou, dans le jargon institutionnel, ce sont des « documents de travail ». Ceux-ci, bien évidemment, de par leurs formes mais également de par les informations qu’ils contiennent, ne peuvent être « partagés » en dehors du cercle d’initiés. C’est que, parfois, certains d’entre eux font explicitement référence à une personne « pressentie » pour tel ou tel poste mais non encore officiellement sélectionnée ; d’autres fois, ils traitent d’informations officieuses non encore validé</w:t>
      </w:r>
      <w:r w:rsidR="00D243AD" w:rsidRPr="00B35171">
        <w:rPr>
          <w:color w:val="000000" w:themeColor="text1"/>
        </w:rPr>
        <w:t>e</w:t>
      </w:r>
      <w:r w:rsidRPr="00B35171">
        <w:rPr>
          <w:color w:val="000000" w:themeColor="text1"/>
        </w:rPr>
        <w:t>s par la hiérarchie institutionnelle</w:t>
      </w:r>
      <w:r w:rsidR="005E55EC" w:rsidRPr="00B35171">
        <w:rPr>
          <w:color w:val="000000" w:themeColor="text1"/>
        </w:rPr>
        <w:t>.</w:t>
      </w:r>
      <w:r w:rsidRPr="00B35171">
        <w:rPr>
          <w:color w:val="000000" w:themeColor="text1"/>
        </w:rPr>
        <w:t xml:space="preserve"> C’est à partir de ces informations, parcellaires</w:t>
      </w:r>
      <w:r w:rsidR="00814F95" w:rsidRPr="00B35171">
        <w:rPr>
          <w:color w:val="000000" w:themeColor="text1"/>
        </w:rPr>
        <w:t xml:space="preserve"> et</w:t>
      </w:r>
      <w:r w:rsidRPr="00B35171">
        <w:rPr>
          <w:color w:val="000000" w:themeColor="text1"/>
        </w:rPr>
        <w:t xml:space="preserve"> fragmentées</w:t>
      </w:r>
      <w:r w:rsidR="00814F95" w:rsidRPr="00B35171">
        <w:rPr>
          <w:color w:val="000000" w:themeColor="text1"/>
        </w:rPr>
        <w:t xml:space="preserve"> </w:t>
      </w:r>
      <w:r w:rsidRPr="00B35171">
        <w:rPr>
          <w:color w:val="000000" w:themeColor="text1"/>
        </w:rPr>
        <w:t xml:space="preserve">que le </w:t>
      </w:r>
      <w:r w:rsidR="00D243AD" w:rsidRPr="00B35171">
        <w:rPr>
          <w:color w:val="000000" w:themeColor="text1"/>
        </w:rPr>
        <w:t>c</w:t>
      </w:r>
      <w:r w:rsidRPr="00B35171">
        <w:rPr>
          <w:color w:val="000000" w:themeColor="text1"/>
        </w:rPr>
        <w:t>onseiller doit penser et mettre en place ses activités professionnelles ; c’est sur le même mode — parcellaire</w:t>
      </w:r>
      <w:r w:rsidR="00814F95" w:rsidRPr="00B35171">
        <w:rPr>
          <w:color w:val="000000" w:themeColor="text1"/>
        </w:rPr>
        <w:t xml:space="preserve"> et</w:t>
      </w:r>
      <w:r w:rsidRPr="00B35171">
        <w:rPr>
          <w:color w:val="000000" w:themeColor="text1"/>
        </w:rPr>
        <w:t xml:space="preserve"> fragmenté — qu’il les réalise. </w:t>
      </w:r>
    </w:p>
    <w:p w14:paraId="274B3E8B" w14:textId="77777777" w:rsidR="009F344D" w:rsidRPr="00B35171" w:rsidRDefault="009F344D" w:rsidP="009F344D">
      <w:pPr>
        <w:spacing w:line="276" w:lineRule="auto"/>
        <w:jc w:val="both"/>
        <w:rPr>
          <w:color w:val="000000" w:themeColor="text1"/>
        </w:rPr>
      </w:pPr>
    </w:p>
    <w:p w14:paraId="0CAB213B" w14:textId="2577F92C" w:rsidR="009F344D" w:rsidRPr="00B35171" w:rsidRDefault="009F344D" w:rsidP="009F344D">
      <w:pPr>
        <w:spacing w:line="276" w:lineRule="auto"/>
        <w:jc w:val="both"/>
        <w:rPr>
          <w:color w:val="000000" w:themeColor="text1"/>
        </w:rPr>
      </w:pPr>
      <w:r w:rsidRPr="00B35171">
        <w:rPr>
          <w:color w:val="000000" w:themeColor="text1"/>
        </w:rPr>
        <w:lastRenderedPageBreak/>
        <w:t xml:space="preserve">Bien souvent, lorsqu’ils se « croisent » en réunion, dans les premiers instants, les </w:t>
      </w:r>
      <w:r w:rsidR="00D243AD" w:rsidRPr="00B35171">
        <w:rPr>
          <w:color w:val="000000" w:themeColor="text1"/>
        </w:rPr>
        <w:t>c</w:t>
      </w:r>
      <w:r w:rsidRPr="00B35171">
        <w:rPr>
          <w:color w:val="000000" w:themeColor="text1"/>
        </w:rPr>
        <w:t>onseillers discutent entre eux, sourire aux lèvres</w:t>
      </w:r>
      <w:r w:rsidR="005E55EC" w:rsidRPr="00B35171">
        <w:rPr>
          <w:color w:val="000000" w:themeColor="text1"/>
        </w:rPr>
        <w:t>,</w:t>
      </w:r>
      <w:r w:rsidRPr="00B35171">
        <w:rPr>
          <w:color w:val="000000" w:themeColor="text1"/>
        </w:rPr>
        <w:t xml:space="preserve"> en rythmant leurs interactions de ponctuels rires nerveux ; certains échange</w:t>
      </w:r>
      <w:r w:rsidR="005E55EC" w:rsidRPr="00B35171">
        <w:rPr>
          <w:color w:val="000000" w:themeColor="text1"/>
        </w:rPr>
        <w:t>nt</w:t>
      </w:r>
      <w:r w:rsidRPr="00B35171">
        <w:rPr>
          <w:color w:val="000000" w:themeColor="text1"/>
        </w:rPr>
        <w:t xml:space="preserve"> quelques regards complices, se font des clin</w:t>
      </w:r>
      <w:r w:rsidR="00D243AD" w:rsidRPr="00B35171">
        <w:rPr>
          <w:color w:val="000000" w:themeColor="text1"/>
        </w:rPr>
        <w:t xml:space="preserve">s </w:t>
      </w:r>
      <w:r w:rsidRPr="00B35171">
        <w:rPr>
          <w:color w:val="000000" w:themeColor="text1"/>
        </w:rPr>
        <w:t>d’œil, accompagnent leurs salutations mutuelles de petits commentaires tels que « </w:t>
      </w:r>
      <w:r w:rsidRPr="00B35171">
        <w:rPr>
          <w:i/>
          <w:iCs/>
          <w:color w:val="000000" w:themeColor="text1"/>
        </w:rPr>
        <w:t>pas facile, hein ?</w:t>
      </w:r>
      <w:r w:rsidRPr="00B35171">
        <w:rPr>
          <w:color w:val="000000" w:themeColor="text1"/>
        </w:rPr>
        <w:t xml:space="preserve"> » ou </w:t>
      </w:r>
      <w:r w:rsidRPr="00B35171">
        <w:rPr>
          <w:i/>
          <w:iCs/>
          <w:color w:val="000000" w:themeColor="text1"/>
        </w:rPr>
        <w:t>« alors, ça va ? Tu t’y retrouves, toi ? </w:t>
      </w:r>
      <w:r w:rsidRPr="00B35171">
        <w:rPr>
          <w:color w:val="000000" w:themeColor="text1"/>
        </w:rPr>
        <w:t>» Ainsi, par ces échanges d’apparence mondain</w:t>
      </w:r>
      <w:r w:rsidR="00D243AD" w:rsidRPr="00B35171">
        <w:rPr>
          <w:color w:val="000000" w:themeColor="text1"/>
        </w:rPr>
        <w:t>e</w:t>
      </w:r>
      <w:r w:rsidRPr="00B35171">
        <w:rPr>
          <w:color w:val="000000" w:themeColor="text1"/>
        </w:rPr>
        <w:t xml:space="preserve">, les </w:t>
      </w:r>
      <w:r w:rsidR="00D243AD" w:rsidRPr="00B35171">
        <w:rPr>
          <w:color w:val="000000" w:themeColor="text1"/>
        </w:rPr>
        <w:t>c</w:t>
      </w:r>
      <w:r w:rsidRPr="00B35171">
        <w:rPr>
          <w:color w:val="000000" w:themeColor="text1"/>
        </w:rPr>
        <w:t>onseillers ne font pas que reconnaitre le caractère sacré de l’autre</w:t>
      </w:r>
      <w:r w:rsidR="00433AB0" w:rsidRPr="00B35171">
        <w:rPr>
          <w:rStyle w:val="Appelnotedebasdep"/>
          <w:color w:val="000000" w:themeColor="text1"/>
        </w:rPr>
        <w:footnoteReference w:id="33"/>
      </w:r>
      <w:r w:rsidRPr="00B35171">
        <w:rPr>
          <w:color w:val="000000" w:themeColor="text1"/>
        </w:rPr>
        <w:t xml:space="preserve"> : ils entament également la fabrication de sens de leur activité professionnelle et ce, en passant notamment par la constitution — et pour ce faire par sa démonstration interactionnelle</w:t>
      </w:r>
      <w:r w:rsidRPr="00B35171">
        <w:rPr>
          <w:rStyle w:val="Appelnotedebasdep"/>
          <w:color w:val="000000" w:themeColor="text1"/>
        </w:rPr>
        <w:footnoteReference w:id="34"/>
      </w:r>
      <w:r w:rsidRPr="00B35171">
        <w:rPr>
          <w:color w:val="000000" w:themeColor="text1"/>
        </w:rPr>
        <w:t xml:space="preserve"> — d’une certaine complicité, voire d’un sentiment « d’équipe » au sens </w:t>
      </w:r>
      <w:proofErr w:type="spellStart"/>
      <w:r w:rsidRPr="00B35171">
        <w:rPr>
          <w:color w:val="000000" w:themeColor="text1"/>
        </w:rPr>
        <w:t>goffmanien</w:t>
      </w:r>
      <w:proofErr w:type="spellEnd"/>
      <w:r w:rsidRPr="00B35171">
        <w:rPr>
          <w:color w:val="000000" w:themeColor="text1"/>
        </w:rPr>
        <w:t xml:space="preserve"> du terme. « D’une manière générale, nous rappel</w:t>
      </w:r>
      <w:r w:rsidR="00E91D90" w:rsidRPr="00B35171">
        <w:rPr>
          <w:color w:val="000000" w:themeColor="text1"/>
        </w:rPr>
        <w:t>l</w:t>
      </w:r>
      <w:r w:rsidR="00D243AD" w:rsidRPr="00B35171">
        <w:rPr>
          <w:color w:val="000000" w:themeColor="text1"/>
        </w:rPr>
        <w:t>e</w:t>
      </w:r>
      <w:r w:rsidRPr="00B35171">
        <w:rPr>
          <w:color w:val="000000" w:themeColor="text1"/>
        </w:rPr>
        <w:t xml:space="preserve"> Goffman, les individus qui participent à l’activité d’une organisation sociale deviennent membres d’une équipe lorsqu’ils coopèrent à la présentation de leur activité sous un jour déterminé »</w:t>
      </w:r>
      <w:r w:rsidR="00EE7D80" w:rsidRPr="00B35171">
        <w:rPr>
          <w:rStyle w:val="Appelnotedebasdep"/>
          <w:color w:val="000000" w:themeColor="text1"/>
        </w:rPr>
        <w:footnoteReference w:id="35"/>
      </w:r>
      <w:r w:rsidRPr="00B35171">
        <w:rPr>
          <w:color w:val="000000" w:themeColor="text1"/>
        </w:rPr>
        <w:t>. En incarnant, littéralement, comme nous le mentionn</w:t>
      </w:r>
      <w:r w:rsidR="00DC4A8E" w:rsidRPr="00B35171">
        <w:rPr>
          <w:color w:val="000000" w:themeColor="text1"/>
        </w:rPr>
        <w:t>i</w:t>
      </w:r>
      <w:r w:rsidRPr="00B35171">
        <w:rPr>
          <w:color w:val="000000" w:themeColor="text1"/>
        </w:rPr>
        <w:t xml:space="preserve">ons plus haut, une attitude d’acteur dépassé par l’ampleur de </w:t>
      </w:r>
      <w:r w:rsidR="0051785E" w:rsidRPr="00B35171">
        <w:rPr>
          <w:color w:val="000000" w:themeColor="text1"/>
        </w:rPr>
        <w:t xml:space="preserve">la </w:t>
      </w:r>
      <w:r w:rsidRPr="00B35171">
        <w:rPr>
          <w:color w:val="000000" w:themeColor="text1"/>
        </w:rPr>
        <w:t>tâche encore à exécuter (« </w:t>
      </w:r>
      <w:r w:rsidRPr="00B35171">
        <w:rPr>
          <w:i/>
          <w:iCs/>
          <w:color w:val="000000" w:themeColor="text1"/>
        </w:rPr>
        <w:t>alors, ça va ? Tu t’y retrouves, toi ?</w:t>
      </w:r>
      <w:r w:rsidRPr="00B35171">
        <w:rPr>
          <w:color w:val="000000" w:themeColor="text1"/>
        </w:rPr>
        <w:t xml:space="preserve"> »), les </w:t>
      </w:r>
      <w:r w:rsidR="00D243AD" w:rsidRPr="00B35171">
        <w:rPr>
          <w:color w:val="000000" w:themeColor="text1"/>
        </w:rPr>
        <w:t>c</w:t>
      </w:r>
      <w:r w:rsidRPr="00B35171">
        <w:rPr>
          <w:color w:val="000000" w:themeColor="text1"/>
        </w:rPr>
        <w:t xml:space="preserve">onseillers participent tout autant à fonder les marqueurs culturels élémentaires de leur </w:t>
      </w:r>
      <w:r w:rsidR="00814F95" w:rsidRPr="00B35171">
        <w:rPr>
          <w:color w:val="000000" w:themeColor="text1"/>
        </w:rPr>
        <w:t>groupe</w:t>
      </w:r>
      <w:r w:rsidRPr="00B35171">
        <w:rPr>
          <w:color w:val="000000" w:themeColor="text1"/>
        </w:rPr>
        <w:t xml:space="preserve"> qu</w:t>
      </w:r>
      <w:r w:rsidR="00E91D90" w:rsidRPr="00B35171">
        <w:rPr>
          <w:color w:val="000000" w:themeColor="text1"/>
        </w:rPr>
        <w:t>’à</w:t>
      </w:r>
      <w:r w:rsidRPr="00B35171">
        <w:rPr>
          <w:color w:val="000000" w:themeColor="text1"/>
        </w:rPr>
        <w:t xml:space="preserve"> la définition de la situation donnée dans laquelle ils se retrouvent pris ; par ce double mouvement, ils amorcent une définition du sens de leurs interactions présentes ainsi que la coloration des interactions à venir. En effet, la dimension </w:t>
      </w:r>
      <w:r w:rsidR="00814F95" w:rsidRPr="00B35171">
        <w:rPr>
          <w:color w:val="000000" w:themeColor="text1"/>
        </w:rPr>
        <w:t xml:space="preserve">bricolée </w:t>
      </w:r>
      <w:r w:rsidRPr="00B35171">
        <w:rPr>
          <w:color w:val="000000" w:themeColor="text1"/>
        </w:rPr>
        <w:t>de leur statut — nombre de ces réunions ont eu lieu avant le 1</w:t>
      </w:r>
      <w:r w:rsidRPr="00B35171">
        <w:rPr>
          <w:color w:val="000000" w:themeColor="text1"/>
          <w:vertAlign w:val="superscript"/>
        </w:rPr>
        <w:t>er</w:t>
      </w:r>
      <w:r w:rsidRPr="00B35171">
        <w:rPr>
          <w:color w:val="000000" w:themeColor="text1"/>
        </w:rPr>
        <w:t xml:space="preserve"> octobre </w:t>
      </w:r>
      <w:r w:rsidR="00E91D90" w:rsidRPr="00B35171">
        <w:rPr>
          <w:color w:val="000000" w:themeColor="text1"/>
        </w:rPr>
        <w:t>2022</w:t>
      </w:r>
      <w:r w:rsidRPr="00B35171">
        <w:rPr>
          <w:color w:val="000000" w:themeColor="text1"/>
        </w:rPr>
        <w:t xml:space="preserve">, date à laquelle, rappelons-le, ont officiellement été engagés les </w:t>
      </w:r>
      <w:r w:rsidR="00D243AD" w:rsidRPr="00B35171">
        <w:rPr>
          <w:color w:val="000000" w:themeColor="text1"/>
        </w:rPr>
        <w:t>c</w:t>
      </w:r>
      <w:r w:rsidRPr="00B35171">
        <w:rPr>
          <w:color w:val="000000" w:themeColor="text1"/>
        </w:rPr>
        <w:t xml:space="preserve">onseillers RFIE — est, à ce niveau, extrêmement structurante : elle annonce la teinte des échanges : ceux-ci posséderont, nécessairement, une coloration </w:t>
      </w:r>
      <w:r w:rsidR="00814F95" w:rsidRPr="00B35171">
        <w:rPr>
          <w:color w:val="000000" w:themeColor="text1"/>
        </w:rPr>
        <w:t>bricolée</w:t>
      </w:r>
      <w:r w:rsidR="00CC7289" w:rsidRPr="00B35171">
        <w:rPr>
          <w:color w:val="000000" w:themeColor="text1"/>
        </w:rPr>
        <w:t xml:space="preserve"> — voire </w:t>
      </w:r>
      <w:r w:rsidR="00391BDC" w:rsidRPr="00B35171">
        <w:rPr>
          <w:color w:val="000000" w:themeColor="text1"/>
        </w:rPr>
        <w:t>« arrangée »</w:t>
      </w:r>
      <w:r w:rsidRPr="00B35171">
        <w:rPr>
          <w:color w:val="000000" w:themeColor="text1"/>
        </w:rPr>
        <w:t xml:space="preserve">. Bien sûr, ce </w:t>
      </w:r>
      <w:r w:rsidR="00BD1D0A" w:rsidRPr="00B35171">
        <w:rPr>
          <w:color w:val="000000" w:themeColor="text1"/>
        </w:rPr>
        <w:t>ne sont</w:t>
      </w:r>
      <w:r w:rsidRPr="00B35171">
        <w:rPr>
          <w:color w:val="000000" w:themeColor="text1"/>
        </w:rPr>
        <w:t xml:space="preserve"> pas ces mots (régime d’arrangement) que les acteurs utilisent. Plutôt, c’est par les indices interactionnels pointés brièvement plus haut (clin</w:t>
      </w:r>
      <w:r w:rsidR="00D243AD" w:rsidRPr="00B35171">
        <w:rPr>
          <w:color w:val="000000" w:themeColor="text1"/>
        </w:rPr>
        <w:t>s</w:t>
      </w:r>
      <w:r w:rsidRPr="00B35171">
        <w:rPr>
          <w:color w:val="000000" w:themeColor="text1"/>
        </w:rPr>
        <w:t xml:space="preserve"> d’œil, expirations appuyées, petits commentaires verba</w:t>
      </w:r>
      <w:r w:rsidR="00D243AD" w:rsidRPr="00B35171">
        <w:rPr>
          <w:color w:val="000000" w:themeColor="text1"/>
        </w:rPr>
        <w:t>ux</w:t>
      </w:r>
      <w:r w:rsidRPr="00B35171">
        <w:rPr>
          <w:color w:val="000000" w:themeColor="text1"/>
        </w:rPr>
        <w:t>,</w:t>
      </w:r>
      <w:r w:rsidR="0051785E" w:rsidRPr="00B35171">
        <w:rPr>
          <w:color w:val="000000" w:themeColor="text1"/>
        </w:rPr>
        <w:t xml:space="preserve"> attitude</w:t>
      </w:r>
      <w:r w:rsidR="00D243AD" w:rsidRPr="00B35171">
        <w:rPr>
          <w:color w:val="000000" w:themeColor="text1"/>
        </w:rPr>
        <w:t>s</w:t>
      </w:r>
      <w:r w:rsidR="0051785E" w:rsidRPr="00B35171">
        <w:rPr>
          <w:color w:val="000000" w:themeColor="text1"/>
        </w:rPr>
        <w:t xml:space="preserve"> corporelle</w:t>
      </w:r>
      <w:r w:rsidR="00D243AD" w:rsidRPr="00B35171">
        <w:rPr>
          <w:color w:val="000000" w:themeColor="text1"/>
        </w:rPr>
        <w:t>s</w:t>
      </w:r>
      <w:r w:rsidR="00DC4A8E" w:rsidRPr="00B35171">
        <w:rPr>
          <w:color w:val="000000" w:themeColor="text1"/>
        </w:rPr>
        <w:t xml:space="preserve"> </w:t>
      </w:r>
      <w:r w:rsidR="00DC4A8E" w:rsidRPr="00B35171">
        <w:rPr>
          <w:i/>
          <w:iCs/>
          <w:color w:val="000000" w:themeColor="text1"/>
        </w:rPr>
        <w:t>ad</w:t>
      </w:r>
      <w:r w:rsidR="00D243AD" w:rsidRPr="00B35171">
        <w:rPr>
          <w:i/>
          <w:iCs/>
          <w:color w:val="000000" w:themeColor="text1"/>
        </w:rPr>
        <w:t xml:space="preserve"> </w:t>
      </w:r>
      <w:r w:rsidR="00E91D90" w:rsidRPr="00B35171">
        <w:rPr>
          <w:i/>
          <w:iCs/>
          <w:color w:val="000000" w:themeColor="text1"/>
        </w:rPr>
        <w:t>h</w:t>
      </w:r>
      <w:r w:rsidR="00DC4A8E" w:rsidRPr="00B35171">
        <w:rPr>
          <w:i/>
          <w:iCs/>
          <w:color w:val="000000" w:themeColor="text1"/>
        </w:rPr>
        <w:t>oc</w:t>
      </w:r>
      <w:r w:rsidR="00983C65" w:rsidRPr="00B35171">
        <w:rPr>
          <w:color w:val="000000" w:themeColor="text1"/>
        </w:rPr>
        <w:t xml:space="preserve">, </w:t>
      </w:r>
      <w:r w:rsidRPr="00B35171">
        <w:rPr>
          <w:color w:val="000000" w:themeColor="text1"/>
        </w:rPr>
        <w:t>etc.) que s’installe — que s’instaure dans l’action — le cadre pragmatique des activités</w:t>
      </w:r>
      <w:r w:rsidR="00E91D90" w:rsidRPr="00B35171">
        <w:rPr>
          <w:color w:val="000000" w:themeColor="text1"/>
        </w:rPr>
        <w:t xml:space="preserve"> futures</w:t>
      </w:r>
      <w:r w:rsidRPr="00B35171">
        <w:rPr>
          <w:color w:val="000000" w:themeColor="text1"/>
        </w:rPr>
        <w:t xml:space="preserve">. </w:t>
      </w:r>
    </w:p>
    <w:p w14:paraId="38468D93" w14:textId="77777777" w:rsidR="009F344D" w:rsidRPr="00B35171" w:rsidRDefault="009F344D" w:rsidP="009F344D">
      <w:pPr>
        <w:spacing w:line="276" w:lineRule="auto"/>
        <w:jc w:val="both"/>
        <w:rPr>
          <w:color w:val="000000" w:themeColor="text1"/>
          <w:sz w:val="20"/>
          <w:szCs w:val="20"/>
        </w:rPr>
      </w:pPr>
    </w:p>
    <w:p w14:paraId="05B21BD2" w14:textId="4873BEFF" w:rsidR="009F344D" w:rsidRPr="00B35171" w:rsidRDefault="009F344D" w:rsidP="009F344D">
      <w:pPr>
        <w:spacing w:line="276" w:lineRule="auto"/>
        <w:jc w:val="both"/>
        <w:rPr>
          <w:color w:val="000000" w:themeColor="text1"/>
        </w:rPr>
      </w:pPr>
      <w:r w:rsidRPr="00B35171">
        <w:rPr>
          <w:color w:val="000000" w:themeColor="text1"/>
        </w:rPr>
        <w:t>Se laisse alors observer et lire, dans ces moments, le contenu d’un sens donné à ainsi se réunir en vue de définir collectivement le travail à fournir — et donc, l’ensemble des tâches qui incombent à la fonction de</w:t>
      </w:r>
      <w:r w:rsidR="00DC4A8E" w:rsidRPr="00B35171">
        <w:rPr>
          <w:color w:val="000000" w:themeColor="text1"/>
        </w:rPr>
        <w:t xml:space="preserve"> </w:t>
      </w:r>
      <w:r w:rsidR="00D243AD" w:rsidRPr="00B35171">
        <w:rPr>
          <w:color w:val="000000" w:themeColor="text1"/>
        </w:rPr>
        <w:t>c</w:t>
      </w:r>
      <w:r w:rsidRPr="00B35171">
        <w:rPr>
          <w:color w:val="000000" w:themeColor="text1"/>
        </w:rPr>
        <w:t>onseiller RFIE . « Une équipe n’est […] pas sans analogie avec une société secrète », nous dit Goffman</w:t>
      </w:r>
      <w:r w:rsidR="00EE7D80" w:rsidRPr="00B35171">
        <w:rPr>
          <w:rStyle w:val="Appelnotedebasdep"/>
          <w:color w:val="000000" w:themeColor="text1"/>
        </w:rPr>
        <w:footnoteReference w:id="36"/>
      </w:r>
      <w:r w:rsidRPr="00B35171">
        <w:rPr>
          <w:color w:val="000000" w:themeColor="text1"/>
        </w:rPr>
        <w:t>. Certains propos, notés par l’enquêteur, tel « </w:t>
      </w:r>
      <w:r w:rsidRPr="00B35171">
        <w:rPr>
          <w:i/>
          <w:iCs/>
          <w:color w:val="000000" w:themeColor="text1"/>
        </w:rPr>
        <w:t>je vais fermer la porte, parce que…</w:t>
      </w:r>
      <w:r w:rsidRPr="00B35171">
        <w:rPr>
          <w:color w:val="000000" w:themeColor="text1"/>
        </w:rPr>
        <w:t> » confirme</w:t>
      </w:r>
      <w:r w:rsidR="00250671" w:rsidRPr="00B35171">
        <w:rPr>
          <w:color w:val="000000" w:themeColor="text1"/>
        </w:rPr>
        <w:t>nt</w:t>
      </w:r>
      <w:r w:rsidRPr="00B35171">
        <w:rPr>
          <w:color w:val="000000" w:themeColor="text1"/>
        </w:rPr>
        <w:t xml:space="preserve"> une telle intuition théorique : « complices » avant d’être collègues, les membres participent, de par leur façon de se comporter, à la construction du cadre « bricolé »</w:t>
      </w:r>
      <w:r w:rsidR="00391BDC" w:rsidRPr="00B35171">
        <w:rPr>
          <w:color w:val="000000" w:themeColor="text1"/>
        </w:rPr>
        <w:t xml:space="preserve"> et</w:t>
      </w:r>
      <w:r w:rsidRPr="00B35171">
        <w:rPr>
          <w:color w:val="000000" w:themeColor="text1"/>
        </w:rPr>
        <w:t xml:space="preserve"> opaque</w:t>
      </w:r>
      <w:r w:rsidR="00CC7289" w:rsidRPr="00B35171">
        <w:rPr>
          <w:color w:val="000000" w:themeColor="text1"/>
        </w:rPr>
        <w:t xml:space="preserve"> </w:t>
      </w:r>
      <w:r w:rsidRPr="00B35171">
        <w:rPr>
          <w:color w:val="000000" w:themeColor="text1"/>
        </w:rPr>
        <w:t xml:space="preserve">de leur statut et de leurs devoirs. </w:t>
      </w:r>
    </w:p>
    <w:p w14:paraId="1CE1EB7B" w14:textId="77777777" w:rsidR="009F344D" w:rsidRPr="00B35171" w:rsidRDefault="009F344D" w:rsidP="009F344D">
      <w:pPr>
        <w:spacing w:line="276" w:lineRule="auto"/>
        <w:jc w:val="both"/>
        <w:rPr>
          <w:color w:val="000000" w:themeColor="text1"/>
        </w:rPr>
      </w:pPr>
    </w:p>
    <w:p w14:paraId="22139D42" w14:textId="6C76506C" w:rsidR="009F344D" w:rsidRPr="00B35171" w:rsidRDefault="009F344D" w:rsidP="009F344D">
      <w:pPr>
        <w:spacing w:line="276" w:lineRule="auto"/>
        <w:jc w:val="both"/>
        <w:rPr>
          <w:color w:val="000000" w:themeColor="text1"/>
        </w:rPr>
      </w:pPr>
      <w:r w:rsidRPr="00B35171">
        <w:rPr>
          <w:color w:val="000000" w:themeColor="text1"/>
        </w:rPr>
        <w:t>Dans d’autres réunion</w:t>
      </w:r>
      <w:r w:rsidR="00D243AD" w:rsidRPr="00B35171">
        <w:rPr>
          <w:color w:val="000000" w:themeColor="text1"/>
        </w:rPr>
        <w:t>s</w:t>
      </w:r>
      <w:r w:rsidRPr="00B35171">
        <w:rPr>
          <w:color w:val="000000" w:themeColor="text1"/>
        </w:rPr>
        <w:t>, en plus petit</w:t>
      </w:r>
      <w:r w:rsidR="00D243AD" w:rsidRPr="00B35171">
        <w:rPr>
          <w:color w:val="000000" w:themeColor="text1"/>
        </w:rPr>
        <w:t>s</w:t>
      </w:r>
      <w:r w:rsidRPr="00B35171">
        <w:rPr>
          <w:color w:val="000000" w:themeColor="text1"/>
        </w:rPr>
        <w:t xml:space="preserve"> comité</w:t>
      </w:r>
      <w:r w:rsidR="00D243AD" w:rsidRPr="00B35171">
        <w:rPr>
          <w:color w:val="000000" w:themeColor="text1"/>
        </w:rPr>
        <w:t>s</w:t>
      </w:r>
      <w:r w:rsidRPr="00B35171">
        <w:rPr>
          <w:color w:val="000000" w:themeColor="text1"/>
        </w:rPr>
        <w:t xml:space="preserve">, cette teinte de bricolage se fait encore plus prégnante. Parfois, de par leur activité, les </w:t>
      </w:r>
      <w:r w:rsidR="00D243AD" w:rsidRPr="00B35171">
        <w:rPr>
          <w:color w:val="000000" w:themeColor="text1"/>
        </w:rPr>
        <w:t>c</w:t>
      </w:r>
      <w:r w:rsidRPr="00B35171">
        <w:rPr>
          <w:color w:val="000000" w:themeColor="text1"/>
        </w:rPr>
        <w:t>onseillers sont amenés à devoir se projeter dans une t</w:t>
      </w:r>
      <w:r w:rsidR="00D243AD" w:rsidRPr="00B35171">
        <w:rPr>
          <w:color w:val="000000" w:themeColor="text1"/>
        </w:rPr>
        <w:t>â</w:t>
      </w:r>
      <w:r w:rsidRPr="00B35171">
        <w:rPr>
          <w:color w:val="000000" w:themeColor="text1"/>
        </w:rPr>
        <w:t>che de planification et d’implémentation qui les concern</w:t>
      </w:r>
      <w:r w:rsidR="00A10593" w:rsidRPr="00B35171">
        <w:rPr>
          <w:color w:val="000000" w:themeColor="text1"/>
        </w:rPr>
        <w:t>e</w:t>
      </w:r>
      <w:r w:rsidRPr="00B35171">
        <w:rPr>
          <w:color w:val="000000" w:themeColor="text1"/>
        </w:rPr>
        <w:t xml:space="preserve"> potentiellement eux-mêmes, </w:t>
      </w:r>
      <w:r w:rsidRPr="00B35171">
        <w:rPr>
          <w:color w:val="000000" w:themeColor="text1"/>
        </w:rPr>
        <w:lastRenderedPageBreak/>
        <w:t>à titre personnel. Par exemple, ces derniers sont amenés à réfléchir aux contenu</w:t>
      </w:r>
      <w:r w:rsidR="00D243AD" w:rsidRPr="00B35171">
        <w:rPr>
          <w:color w:val="000000" w:themeColor="text1"/>
        </w:rPr>
        <w:t>s</w:t>
      </w:r>
      <w:r w:rsidRPr="00B35171">
        <w:rPr>
          <w:color w:val="000000" w:themeColor="text1"/>
        </w:rPr>
        <w:t xml:space="preserve"> pédagogique</w:t>
      </w:r>
      <w:r w:rsidR="00D243AD" w:rsidRPr="00B35171">
        <w:rPr>
          <w:color w:val="000000" w:themeColor="text1"/>
        </w:rPr>
        <w:t>s</w:t>
      </w:r>
      <w:r w:rsidRPr="00B35171">
        <w:rPr>
          <w:color w:val="000000" w:themeColor="text1"/>
        </w:rPr>
        <w:t xml:space="preserve"> de cours qu’ils seront, pour certains d’entre eux, </w:t>
      </w:r>
      <w:r w:rsidR="00252375" w:rsidRPr="00B35171">
        <w:rPr>
          <w:color w:val="000000" w:themeColor="text1"/>
        </w:rPr>
        <w:t>potentiellement</w:t>
      </w:r>
      <w:r w:rsidR="00983C65" w:rsidRPr="00B35171">
        <w:rPr>
          <w:color w:val="000000" w:themeColor="text1"/>
        </w:rPr>
        <w:t xml:space="preserve"> </w:t>
      </w:r>
      <w:r w:rsidRPr="00B35171">
        <w:rPr>
          <w:color w:val="000000" w:themeColor="text1"/>
        </w:rPr>
        <w:t>amenés à devoir donner eux-mêmes. Mais, parce qu’ils ne peuvent présumer ouvertement de cela  — de tel</w:t>
      </w:r>
      <w:r w:rsidR="00D243AD" w:rsidRPr="00B35171">
        <w:rPr>
          <w:color w:val="000000" w:themeColor="text1"/>
        </w:rPr>
        <w:t>le</w:t>
      </w:r>
      <w:r w:rsidRPr="00B35171">
        <w:rPr>
          <w:color w:val="000000" w:themeColor="text1"/>
        </w:rPr>
        <w:t>s assignation</w:t>
      </w:r>
      <w:r w:rsidR="00D243AD" w:rsidRPr="00B35171">
        <w:rPr>
          <w:color w:val="000000" w:themeColor="text1"/>
        </w:rPr>
        <w:t>s</w:t>
      </w:r>
      <w:r w:rsidRPr="00B35171">
        <w:rPr>
          <w:color w:val="000000" w:themeColor="text1"/>
        </w:rPr>
        <w:t xml:space="preserve"> relevant, une nouvelle fois, d’un processus officiel et institutionnel long et lourd —, ils se doivent de développer une attitude</w:t>
      </w:r>
      <w:r w:rsidR="008574B5" w:rsidRPr="00B35171">
        <w:rPr>
          <w:color w:val="000000" w:themeColor="text1"/>
        </w:rPr>
        <w:t xml:space="preserve"> évasive</w:t>
      </w:r>
      <w:r w:rsidRPr="00B35171">
        <w:rPr>
          <w:color w:val="000000" w:themeColor="text1"/>
        </w:rPr>
        <w:t> face au travail à effectuer : ils joue</w:t>
      </w:r>
      <w:r w:rsidR="00D243AD" w:rsidRPr="00B35171">
        <w:rPr>
          <w:color w:val="000000" w:themeColor="text1"/>
        </w:rPr>
        <w:t>nt</w:t>
      </w:r>
      <w:r w:rsidRPr="00B35171">
        <w:rPr>
          <w:color w:val="000000" w:themeColor="text1"/>
        </w:rPr>
        <w:t xml:space="preserve"> à faire « comme si » </w:t>
      </w:r>
      <w:r w:rsidR="00252375" w:rsidRPr="00B35171">
        <w:rPr>
          <w:color w:val="000000" w:themeColor="text1"/>
        </w:rPr>
        <w:t>ils ne se projetaient pas dans la t</w:t>
      </w:r>
      <w:r w:rsidR="00250671" w:rsidRPr="00B35171">
        <w:rPr>
          <w:color w:val="000000" w:themeColor="text1"/>
        </w:rPr>
        <w:t>â</w:t>
      </w:r>
      <w:r w:rsidR="00252375" w:rsidRPr="00B35171">
        <w:rPr>
          <w:color w:val="000000" w:themeColor="text1"/>
        </w:rPr>
        <w:t xml:space="preserve">che de donner </w:t>
      </w:r>
      <w:r w:rsidRPr="00B35171">
        <w:rPr>
          <w:color w:val="000000" w:themeColor="text1"/>
        </w:rPr>
        <w:t>ledit cours</w:t>
      </w:r>
      <w:r w:rsidR="00252375" w:rsidRPr="00B35171">
        <w:rPr>
          <w:color w:val="000000" w:themeColor="text1"/>
        </w:rPr>
        <w:t xml:space="preserve"> </w:t>
      </w:r>
      <w:r w:rsidRPr="00B35171">
        <w:rPr>
          <w:color w:val="000000" w:themeColor="text1"/>
        </w:rPr>
        <w:t>; il</w:t>
      </w:r>
      <w:r w:rsidR="00252375" w:rsidRPr="00B35171">
        <w:rPr>
          <w:color w:val="000000" w:themeColor="text1"/>
        </w:rPr>
        <w:t>s</w:t>
      </w:r>
      <w:r w:rsidRPr="00B35171">
        <w:rPr>
          <w:color w:val="000000" w:themeColor="text1"/>
        </w:rPr>
        <w:t xml:space="preserve"> doivent penser et élaborer en collaboration avec d’autres </w:t>
      </w:r>
      <w:r w:rsidR="00D243AD" w:rsidRPr="00B35171">
        <w:rPr>
          <w:color w:val="000000" w:themeColor="text1"/>
        </w:rPr>
        <w:t>c</w:t>
      </w:r>
      <w:r w:rsidRPr="00B35171">
        <w:rPr>
          <w:color w:val="000000" w:themeColor="text1"/>
        </w:rPr>
        <w:t>onseillers, d’autres acteurs, son contenu à la lumière de cette attitude quelque peu schizophrénique ; ils doivent faire preuve d’une créativité langagière retor</w:t>
      </w:r>
      <w:r w:rsidR="00D243AD" w:rsidRPr="00B35171">
        <w:rPr>
          <w:color w:val="000000" w:themeColor="text1"/>
        </w:rPr>
        <w:t>se</w:t>
      </w:r>
      <w:r w:rsidRPr="00B35171">
        <w:rPr>
          <w:color w:val="000000" w:themeColor="text1"/>
        </w:rPr>
        <w:t xml:space="preserve"> pour ainsi éviter de dire ce qui-ne-peut-être-dit, ponctu</w:t>
      </w:r>
      <w:r w:rsidR="00D243AD" w:rsidRPr="00B35171">
        <w:rPr>
          <w:color w:val="000000" w:themeColor="text1"/>
        </w:rPr>
        <w:t>er</w:t>
      </w:r>
      <w:r w:rsidRPr="00B35171">
        <w:rPr>
          <w:color w:val="000000" w:themeColor="text1"/>
        </w:rPr>
        <w:t xml:space="preserve"> correctement le ton de leurs énoncés et adapter la gestuelle de leurs mouvements langagiers en fonction. Aussi, doivent-ils jouer sans cesse avec les codes et les règles de l’institution, s’arranger, dans la pratique, avec ces derniers pour parvenir à leurs fin</w:t>
      </w:r>
      <w:r w:rsidR="00D243AD" w:rsidRPr="00B35171">
        <w:rPr>
          <w:color w:val="000000" w:themeColor="text1"/>
        </w:rPr>
        <w:t>s</w:t>
      </w:r>
      <w:r w:rsidRPr="00B35171">
        <w:rPr>
          <w:color w:val="000000" w:themeColor="text1"/>
        </w:rPr>
        <w:t xml:space="preserve"> — c’est-à-dire réaliser la tâche pour laquelle ils ont été engagés.</w:t>
      </w:r>
    </w:p>
    <w:p w14:paraId="6584C311" w14:textId="77777777" w:rsidR="009F344D" w:rsidRPr="00B35171" w:rsidRDefault="009F344D" w:rsidP="009F344D">
      <w:pPr>
        <w:spacing w:line="276" w:lineRule="auto"/>
        <w:jc w:val="both"/>
        <w:rPr>
          <w:color w:val="000000" w:themeColor="text1"/>
        </w:rPr>
      </w:pPr>
    </w:p>
    <w:p w14:paraId="313C5811" w14:textId="3199871D" w:rsidR="009F344D" w:rsidRPr="00B35171" w:rsidRDefault="009F344D" w:rsidP="009F344D">
      <w:pPr>
        <w:spacing w:line="276" w:lineRule="auto"/>
        <w:jc w:val="both"/>
        <w:rPr>
          <w:color w:val="000000" w:themeColor="text1"/>
        </w:rPr>
      </w:pPr>
      <w:r w:rsidRPr="00B35171">
        <w:rPr>
          <w:color w:val="000000" w:themeColor="text1"/>
        </w:rPr>
        <w:t>Un autre exemple de ce « jeu » (compris au sens d’espace entre la règle et l’action pratique) est l’organisation de GT non-officiellement reconnu</w:t>
      </w:r>
      <w:r w:rsidR="00D243AD" w:rsidRPr="00B35171">
        <w:rPr>
          <w:color w:val="000000" w:themeColor="text1"/>
        </w:rPr>
        <w:t>s</w:t>
      </w:r>
      <w:r w:rsidRPr="00B35171">
        <w:rPr>
          <w:color w:val="000000" w:themeColor="text1"/>
        </w:rPr>
        <w:t xml:space="preserve"> comme tel</w:t>
      </w:r>
      <w:r w:rsidR="00D243AD" w:rsidRPr="00B35171">
        <w:rPr>
          <w:color w:val="000000" w:themeColor="text1"/>
        </w:rPr>
        <w:t>s</w:t>
      </w:r>
      <w:r w:rsidRPr="00B35171">
        <w:rPr>
          <w:color w:val="000000" w:themeColor="text1"/>
        </w:rPr>
        <w:t>. Se devant de prendre des initiatives professionnelles afin de faire avancer l’implémentation</w:t>
      </w:r>
      <w:r w:rsidR="00DC4A8E" w:rsidRPr="00B35171">
        <w:rPr>
          <w:color w:val="000000" w:themeColor="text1"/>
        </w:rPr>
        <w:t xml:space="preserve"> de la RFIE</w:t>
      </w:r>
      <w:r w:rsidRPr="00B35171">
        <w:rPr>
          <w:color w:val="000000" w:themeColor="text1"/>
        </w:rPr>
        <w:t xml:space="preserve">, les </w:t>
      </w:r>
      <w:r w:rsidR="00D243AD" w:rsidRPr="00B35171">
        <w:rPr>
          <w:color w:val="000000" w:themeColor="text1"/>
        </w:rPr>
        <w:t>c</w:t>
      </w:r>
      <w:r w:rsidRPr="00B35171">
        <w:rPr>
          <w:color w:val="000000" w:themeColor="text1"/>
        </w:rPr>
        <w:t>onseillers</w:t>
      </w:r>
      <w:r w:rsidR="00CC7289" w:rsidRPr="00B35171">
        <w:rPr>
          <w:color w:val="000000" w:themeColor="text1"/>
        </w:rPr>
        <w:t xml:space="preserve">, faisant ici preuves d’une grande inventivité pratique, </w:t>
      </w:r>
      <w:r w:rsidRPr="00B35171">
        <w:rPr>
          <w:color w:val="000000" w:themeColor="text1"/>
        </w:rPr>
        <w:t>en viennent parfois à s’arranger entre eux et à mettre au point des réunions quasi-officielles, avec des acteurs des Hautes</w:t>
      </w:r>
      <w:r w:rsidR="00D243AD" w:rsidRPr="00B35171">
        <w:rPr>
          <w:color w:val="000000" w:themeColor="text1"/>
        </w:rPr>
        <w:t xml:space="preserve"> </w:t>
      </w:r>
      <w:r w:rsidR="00F85E63" w:rsidRPr="00B35171">
        <w:rPr>
          <w:color w:val="000000" w:themeColor="text1"/>
        </w:rPr>
        <w:t>Écoles</w:t>
      </w:r>
      <w:r w:rsidRPr="00B35171">
        <w:rPr>
          <w:color w:val="000000" w:themeColor="text1"/>
        </w:rPr>
        <w:t xml:space="preserve"> notamment, alors </w:t>
      </w:r>
      <w:r w:rsidR="00D243AD" w:rsidRPr="00B35171">
        <w:rPr>
          <w:color w:val="000000" w:themeColor="text1"/>
        </w:rPr>
        <w:t xml:space="preserve">qu’organiser </w:t>
      </w:r>
      <w:r w:rsidRPr="00B35171">
        <w:rPr>
          <w:color w:val="000000" w:themeColor="text1"/>
        </w:rPr>
        <w:t>de telle</w:t>
      </w:r>
      <w:r w:rsidR="00D243AD" w:rsidRPr="00B35171">
        <w:rPr>
          <w:color w:val="000000" w:themeColor="text1"/>
        </w:rPr>
        <w:t>s</w:t>
      </w:r>
      <w:r w:rsidRPr="00B35171">
        <w:rPr>
          <w:color w:val="000000" w:themeColor="text1"/>
        </w:rPr>
        <w:t xml:space="preserve"> réunion</w:t>
      </w:r>
      <w:r w:rsidR="00D243AD" w:rsidRPr="00B35171">
        <w:rPr>
          <w:color w:val="000000" w:themeColor="text1"/>
        </w:rPr>
        <w:t>s</w:t>
      </w:r>
      <w:r w:rsidRPr="00B35171">
        <w:rPr>
          <w:color w:val="000000" w:themeColor="text1"/>
        </w:rPr>
        <w:t xml:space="preserve"> n</w:t>
      </w:r>
      <w:r w:rsidR="00DC4A8E" w:rsidRPr="00B35171">
        <w:rPr>
          <w:color w:val="000000" w:themeColor="text1"/>
        </w:rPr>
        <w:t>e relève</w:t>
      </w:r>
      <w:r w:rsidR="00D243AD" w:rsidRPr="00B35171">
        <w:rPr>
          <w:color w:val="000000" w:themeColor="text1"/>
        </w:rPr>
        <w:t xml:space="preserve"> pas</w:t>
      </w:r>
      <w:r w:rsidR="00DC4A8E" w:rsidRPr="00B35171">
        <w:rPr>
          <w:color w:val="000000" w:themeColor="text1"/>
        </w:rPr>
        <w:t xml:space="preserve"> </w:t>
      </w:r>
      <w:r w:rsidR="00CC7289" w:rsidRPr="00B35171">
        <w:rPr>
          <w:color w:val="000000" w:themeColor="text1"/>
        </w:rPr>
        <w:t xml:space="preserve">nécessairement </w:t>
      </w:r>
      <w:r w:rsidRPr="00B35171">
        <w:rPr>
          <w:color w:val="000000" w:themeColor="text1"/>
        </w:rPr>
        <w:t>de leur</w:t>
      </w:r>
      <w:r w:rsidR="00DC4A8E" w:rsidRPr="00B35171">
        <w:rPr>
          <w:color w:val="000000" w:themeColor="text1"/>
        </w:rPr>
        <w:t>s</w:t>
      </w:r>
      <w:r w:rsidRPr="00B35171">
        <w:rPr>
          <w:color w:val="000000" w:themeColor="text1"/>
        </w:rPr>
        <w:t xml:space="preserve"> prérogatives. Dans les fait</w:t>
      </w:r>
      <w:r w:rsidR="00D243AD" w:rsidRPr="00B35171">
        <w:rPr>
          <w:color w:val="000000" w:themeColor="text1"/>
        </w:rPr>
        <w:t>s</w:t>
      </w:r>
      <w:r w:rsidRPr="00B35171">
        <w:rPr>
          <w:color w:val="000000" w:themeColor="text1"/>
        </w:rPr>
        <w:t xml:space="preserve">, pourtant, les </w:t>
      </w:r>
      <w:r w:rsidR="00D243AD" w:rsidRPr="00B35171">
        <w:rPr>
          <w:color w:val="000000" w:themeColor="text1"/>
        </w:rPr>
        <w:t>c</w:t>
      </w:r>
      <w:r w:rsidRPr="00B35171">
        <w:rPr>
          <w:color w:val="000000" w:themeColor="text1"/>
        </w:rPr>
        <w:t xml:space="preserve">onseillers s’arrangent : s’il faut travailler sur telle question, alors il faut se réunir pour le faire ; qu’importe qu’une telle tâche leur incombe ou non : « </w:t>
      </w:r>
      <w:r w:rsidRPr="00B35171">
        <w:rPr>
          <w:i/>
          <w:iCs/>
          <w:color w:val="000000" w:themeColor="text1"/>
        </w:rPr>
        <w:t>moi</w:t>
      </w:r>
      <w:r w:rsidR="00DC4A8E" w:rsidRPr="00B35171">
        <w:rPr>
          <w:i/>
          <w:iCs/>
          <w:color w:val="000000" w:themeColor="text1"/>
        </w:rPr>
        <w:t>,</w:t>
      </w:r>
      <w:r w:rsidRPr="00B35171">
        <w:rPr>
          <w:i/>
          <w:iCs/>
          <w:color w:val="000000" w:themeColor="text1"/>
        </w:rPr>
        <w:t xml:space="preserve"> ça me convient, mais comme je ne sais pas qui décide…</w:t>
      </w:r>
      <w:r w:rsidRPr="00B35171">
        <w:rPr>
          <w:color w:val="000000" w:themeColor="text1"/>
        </w:rPr>
        <w:t xml:space="preserve"> » ; « </w:t>
      </w:r>
      <w:r w:rsidRPr="00B35171">
        <w:rPr>
          <w:i/>
          <w:iCs/>
          <w:color w:val="000000" w:themeColor="text1"/>
        </w:rPr>
        <w:t>et qui viendra nous dire quoi que ce soit ?</w:t>
      </w:r>
      <w:r w:rsidRPr="00B35171">
        <w:rPr>
          <w:color w:val="000000" w:themeColor="text1"/>
        </w:rPr>
        <w:t xml:space="preserve"> » entend-t-on parfois, lorsqu’est évoqué, au sein d’une interaction entre plusieurs </w:t>
      </w:r>
      <w:r w:rsidR="00D243AD" w:rsidRPr="00B35171">
        <w:rPr>
          <w:color w:val="000000" w:themeColor="text1"/>
        </w:rPr>
        <w:t>c</w:t>
      </w:r>
      <w:r w:rsidRPr="00B35171">
        <w:rPr>
          <w:color w:val="000000" w:themeColor="text1"/>
        </w:rPr>
        <w:t>onseillers autour d</w:t>
      </w:r>
      <w:r w:rsidR="00A10593" w:rsidRPr="00B35171">
        <w:rPr>
          <w:color w:val="000000" w:themeColor="text1"/>
        </w:rPr>
        <w:t xml:space="preserve">u </w:t>
      </w:r>
      <w:r w:rsidRPr="00B35171">
        <w:rPr>
          <w:color w:val="000000" w:themeColor="text1"/>
        </w:rPr>
        <w:t xml:space="preserve">thermos de café que l’on retrouve systématiquement lors des pauses </w:t>
      </w:r>
      <w:r w:rsidR="00DC4A8E" w:rsidRPr="00B35171">
        <w:rPr>
          <w:color w:val="000000" w:themeColor="text1"/>
        </w:rPr>
        <w:t xml:space="preserve">en </w:t>
      </w:r>
      <w:r w:rsidRPr="00B35171">
        <w:rPr>
          <w:color w:val="000000" w:themeColor="text1"/>
        </w:rPr>
        <w:t>réunion, la dimension potentiellement illégitime de l’action qu’ils s’apprêtent à entreprendre. Pour en revenir à notre exemple, ce GT, d’abord bricolé dans sa structure, évoluera par la suite en GT plus formel ; et le glissement de son statut — d’informel à formel — se réalisera au travers d’un autre arrangement pratique : celui</w:t>
      </w:r>
      <w:r w:rsidR="00CC7289" w:rsidRPr="00B35171">
        <w:rPr>
          <w:color w:val="000000" w:themeColor="text1"/>
        </w:rPr>
        <w:t xml:space="preserve">, sans doute, </w:t>
      </w:r>
      <w:r w:rsidRPr="00B35171">
        <w:rPr>
          <w:color w:val="000000" w:themeColor="text1"/>
        </w:rPr>
        <w:t xml:space="preserve">effectué par </w:t>
      </w:r>
      <w:r w:rsidR="00C2548C" w:rsidRPr="00B35171">
        <w:rPr>
          <w:color w:val="000000" w:themeColor="text1"/>
        </w:rPr>
        <w:t>d</w:t>
      </w:r>
      <w:r w:rsidRPr="00B35171">
        <w:rPr>
          <w:color w:val="000000" w:themeColor="text1"/>
        </w:rPr>
        <w:t>es individus situés au</w:t>
      </w:r>
      <w:r w:rsidR="00391BDC" w:rsidRPr="00B35171">
        <w:rPr>
          <w:color w:val="000000" w:themeColor="text1"/>
        </w:rPr>
        <w:t>x</w:t>
      </w:r>
      <w:r w:rsidRPr="00B35171">
        <w:rPr>
          <w:color w:val="000000" w:themeColor="text1"/>
        </w:rPr>
        <w:t xml:space="preserve"> niveau</w:t>
      </w:r>
      <w:r w:rsidR="00391BDC" w:rsidRPr="00B35171">
        <w:rPr>
          <w:color w:val="000000" w:themeColor="text1"/>
        </w:rPr>
        <w:t>x</w:t>
      </w:r>
      <w:r w:rsidRPr="00B35171">
        <w:rPr>
          <w:color w:val="000000" w:themeColor="text1"/>
        </w:rPr>
        <w:t xml:space="preserve"> supérie</w:t>
      </w:r>
      <w:r w:rsidR="00391BDC" w:rsidRPr="00B35171">
        <w:rPr>
          <w:color w:val="000000" w:themeColor="text1"/>
        </w:rPr>
        <w:t>u</w:t>
      </w:r>
      <w:r w:rsidRPr="00B35171">
        <w:rPr>
          <w:color w:val="000000" w:themeColor="text1"/>
        </w:rPr>
        <w:t>r</w:t>
      </w:r>
      <w:r w:rsidR="00391BDC" w:rsidRPr="00B35171">
        <w:rPr>
          <w:color w:val="000000" w:themeColor="text1"/>
        </w:rPr>
        <w:t>s</w:t>
      </w:r>
      <w:r w:rsidRPr="00B35171">
        <w:rPr>
          <w:color w:val="000000" w:themeColor="text1"/>
        </w:rPr>
        <w:t xml:space="preserve"> dans la hiérarchie institutionnelle de l’Université. </w:t>
      </w:r>
    </w:p>
    <w:p w14:paraId="3F53EF4C" w14:textId="69FF186D" w:rsidR="009F344D" w:rsidRPr="00B35171" w:rsidRDefault="009F344D" w:rsidP="009F344D">
      <w:pPr>
        <w:spacing w:line="276" w:lineRule="auto"/>
        <w:jc w:val="both"/>
        <w:rPr>
          <w:color w:val="000000" w:themeColor="text1"/>
        </w:rPr>
      </w:pPr>
    </w:p>
    <w:p w14:paraId="411DB511" w14:textId="77777777" w:rsidR="009F344D" w:rsidRPr="00B35171" w:rsidRDefault="009F344D" w:rsidP="00383ABB">
      <w:pPr>
        <w:pStyle w:val="Titre2"/>
        <w:rPr>
          <w:color w:val="000000" w:themeColor="text1"/>
        </w:rPr>
      </w:pPr>
      <w:bookmarkStart w:id="20" w:name="_Toc118374773"/>
      <w:bookmarkStart w:id="21" w:name="_Toc118807823"/>
      <w:bookmarkStart w:id="22" w:name="_Toc120019803"/>
      <w:r w:rsidRPr="00B35171">
        <w:rPr>
          <w:color w:val="000000" w:themeColor="text1"/>
        </w:rPr>
        <w:t>L’arrangement comme cadre de l’expérience</w:t>
      </w:r>
      <w:bookmarkEnd w:id="20"/>
      <w:bookmarkEnd w:id="21"/>
      <w:bookmarkEnd w:id="22"/>
    </w:p>
    <w:p w14:paraId="2BB81209" w14:textId="77777777" w:rsidR="009F344D" w:rsidRPr="00B35171" w:rsidRDefault="009F344D" w:rsidP="009F344D">
      <w:pPr>
        <w:spacing w:line="276" w:lineRule="auto"/>
        <w:jc w:val="both"/>
        <w:rPr>
          <w:color w:val="000000" w:themeColor="text1"/>
        </w:rPr>
      </w:pPr>
    </w:p>
    <w:p w14:paraId="4F98BA56" w14:textId="11F82909" w:rsidR="009F344D" w:rsidRPr="00B35171" w:rsidRDefault="009F344D" w:rsidP="009F344D">
      <w:pPr>
        <w:spacing w:line="276" w:lineRule="auto"/>
        <w:jc w:val="both"/>
        <w:rPr>
          <w:color w:val="000000" w:themeColor="text1"/>
        </w:rPr>
      </w:pPr>
      <w:r w:rsidRPr="00B35171">
        <w:rPr>
          <w:color w:val="000000" w:themeColor="text1"/>
        </w:rPr>
        <w:t>En ce qui concerne leur propre fonction, les représentations collectives des membres</w:t>
      </w:r>
      <w:r w:rsidR="00D8400E" w:rsidRPr="00B35171">
        <w:rPr>
          <w:color w:val="000000" w:themeColor="text1"/>
        </w:rPr>
        <w:t xml:space="preserve">, </w:t>
      </w:r>
      <w:r w:rsidRPr="00B35171">
        <w:rPr>
          <w:color w:val="000000" w:themeColor="text1"/>
        </w:rPr>
        <w:t>par la force des choses — de l’agencement des relations pratiques</w:t>
      </w:r>
      <w:r w:rsidR="00643DBC" w:rsidRPr="00B35171">
        <w:rPr>
          <w:color w:val="000000" w:themeColor="text1"/>
        </w:rPr>
        <w:t xml:space="preserve"> — </w:t>
      </w:r>
      <w:r w:rsidRPr="00B35171">
        <w:rPr>
          <w:color w:val="000000" w:themeColor="text1"/>
        </w:rPr>
        <w:t>dans lesquel</w:t>
      </w:r>
      <w:r w:rsidR="00643DBC" w:rsidRPr="00B35171">
        <w:rPr>
          <w:color w:val="000000" w:themeColor="text1"/>
        </w:rPr>
        <w:t>le</w:t>
      </w:r>
      <w:r w:rsidRPr="00B35171">
        <w:rPr>
          <w:color w:val="000000" w:themeColor="text1"/>
        </w:rPr>
        <w:t>s ils se voient englués et tel</w:t>
      </w:r>
      <w:r w:rsidR="00643DBC" w:rsidRPr="00B35171">
        <w:rPr>
          <w:color w:val="000000" w:themeColor="text1"/>
        </w:rPr>
        <w:t xml:space="preserve">les </w:t>
      </w:r>
      <w:r w:rsidRPr="00B35171">
        <w:rPr>
          <w:color w:val="000000" w:themeColor="text1"/>
        </w:rPr>
        <w:t>que, notamment, nous venons de les décrire pour partie</w:t>
      </w:r>
      <w:r w:rsidR="00F85E63" w:rsidRPr="00B35171">
        <w:rPr>
          <w:color w:val="000000" w:themeColor="text1"/>
        </w:rPr>
        <w:t xml:space="preserve">, </w:t>
      </w:r>
      <w:r w:rsidRPr="00B35171">
        <w:rPr>
          <w:color w:val="000000" w:themeColor="text1"/>
        </w:rPr>
        <w:t>ne sont pas sans rapport avec l</w:t>
      </w:r>
      <w:r w:rsidR="000C337C" w:rsidRPr="00B35171">
        <w:rPr>
          <w:color w:val="000000" w:themeColor="text1"/>
        </w:rPr>
        <w:t>es</w:t>
      </w:r>
      <w:r w:rsidRPr="00B35171">
        <w:rPr>
          <w:color w:val="000000" w:themeColor="text1"/>
        </w:rPr>
        <w:t xml:space="preserve"> notion</w:t>
      </w:r>
      <w:r w:rsidR="000C337C" w:rsidRPr="00B35171">
        <w:rPr>
          <w:color w:val="000000" w:themeColor="text1"/>
        </w:rPr>
        <w:t>s</w:t>
      </w:r>
      <w:r w:rsidRPr="00B35171">
        <w:rPr>
          <w:color w:val="000000" w:themeColor="text1"/>
        </w:rPr>
        <w:t xml:space="preserve"> profane</w:t>
      </w:r>
      <w:r w:rsidR="000C337C" w:rsidRPr="00B35171">
        <w:rPr>
          <w:color w:val="000000" w:themeColor="text1"/>
        </w:rPr>
        <w:t>s</w:t>
      </w:r>
      <w:r w:rsidRPr="00B35171">
        <w:rPr>
          <w:color w:val="000000" w:themeColor="text1"/>
        </w:rPr>
        <w:t xml:space="preserve"> d’arrangement </w:t>
      </w:r>
      <w:r w:rsidR="000C337C" w:rsidRPr="00B35171">
        <w:rPr>
          <w:color w:val="000000" w:themeColor="text1"/>
        </w:rPr>
        <w:t>et</w:t>
      </w:r>
      <w:r w:rsidRPr="00B35171">
        <w:rPr>
          <w:color w:val="000000" w:themeColor="text1"/>
        </w:rPr>
        <w:t xml:space="preserve"> </w:t>
      </w:r>
      <w:r w:rsidR="00F55FE6" w:rsidRPr="00B35171">
        <w:rPr>
          <w:color w:val="000000" w:themeColor="text1"/>
        </w:rPr>
        <w:t xml:space="preserve">de </w:t>
      </w:r>
      <w:r w:rsidRPr="00B35171">
        <w:rPr>
          <w:color w:val="000000" w:themeColor="text1"/>
        </w:rPr>
        <w:t xml:space="preserve">bricolage. En effet, lorsqu’ils envisagent — la plupart du temps, ouvertement — leur fonction, les </w:t>
      </w:r>
      <w:r w:rsidR="00643DBC" w:rsidRPr="00B35171">
        <w:rPr>
          <w:color w:val="000000" w:themeColor="text1"/>
        </w:rPr>
        <w:t>c</w:t>
      </w:r>
      <w:r w:rsidRPr="00B35171">
        <w:rPr>
          <w:color w:val="000000" w:themeColor="text1"/>
        </w:rPr>
        <w:t>onseillers mentionnent la nécessité de percevoir cette dernière comme encore à créer, à « bricoler » : nombreuses sont les injonctions émanant des instances supérieur</w:t>
      </w:r>
      <w:r w:rsidR="00643DBC" w:rsidRPr="00B35171">
        <w:rPr>
          <w:color w:val="000000" w:themeColor="text1"/>
        </w:rPr>
        <w:t>e</w:t>
      </w:r>
      <w:r w:rsidRPr="00B35171">
        <w:rPr>
          <w:color w:val="000000" w:themeColor="text1"/>
        </w:rPr>
        <w:t>s, lors des divers</w:t>
      </w:r>
      <w:r w:rsidR="00643DBC" w:rsidRPr="00B35171">
        <w:rPr>
          <w:color w:val="000000" w:themeColor="text1"/>
        </w:rPr>
        <w:t>es</w:t>
      </w:r>
      <w:r w:rsidRPr="00B35171">
        <w:rPr>
          <w:color w:val="000000" w:themeColor="text1"/>
        </w:rPr>
        <w:t xml:space="preserve"> réunions, à pousser lesdits conseillers à « </w:t>
      </w:r>
      <w:r w:rsidRPr="00B35171">
        <w:rPr>
          <w:i/>
          <w:iCs/>
          <w:color w:val="000000" w:themeColor="text1"/>
        </w:rPr>
        <w:t>s’arranger entre [eux]</w:t>
      </w:r>
      <w:r w:rsidRPr="00B35171">
        <w:rPr>
          <w:color w:val="000000" w:themeColor="text1"/>
        </w:rPr>
        <w:t> », à « </w:t>
      </w:r>
      <w:r w:rsidRPr="00B35171">
        <w:rPr>
          <w:i/>
          <w:iCs/>
          <w:color w:val="000000" w:themeColor="text1"/>
        </w:rPr>
        <w:t xml:space="preserve">prendre les commandes du truc et partir de </w:t>
      </w:r>
      <w:r w:rsidRPr="00B35171">
        <w:rPr>
          <w:i/>
          <w:iCs/>
          <w:color w:val="000000" w:themeColor="text1"/>
        </w:rPr>
        <w:lastRenderedPageBreak/>
        <w:t>là</w:t>
      </w:r>
      <w:r w:rsidRPr="00B35171">
        <w:rPr>
          <w:color w:val="000000" w:themeColor="text1"/>
        </w:rPr>
        <w:t> » pour penser et réaliser leur travail ; « </w:t>
      </w:r>
      <w:r w:rsidRPr="00B35171">
        <w:rPr>
          <w:i/>
          <w:iCs/>
          <w:color w:val="000000" w:themeColor="text1"/>
        </w:rPr>
        <w:t>cela</w:t>
      </w:r>
      <w:r w:rsidR="000C337C" w:rsidRPr="00B35171">
        <w:rPr>
          <w:i/>
          <w:iCs/>
          <w:color w:val="000000" w:themeColor="text1"/>
        </w:rPr>
        <w:t xml:space="preserve"> </w:t>
      </w:r>
      <w:r w:rsidR="000C337C" w:rsidRPr="00B35171">
        <w:rPr>
          <w:color w:val="000000" w:themeColor="text1"/>
        </w:rPr>
        <w:t>[</w:t>
      </w:r>
      <w:r w:rsidRPr="00B35171">
        <w:rPr>
          <w:color w:val="000000" w:themeColor="text1"/>
        </w:rPr>
        <w:t>entend-t-on souvent</w:t>
      </w:r>
      <w:r w:rsidR="000C337C" w:rsidRPr="00B35171">
        <w:rPr>
          <w:color w:val="000000" w:themeColor="text1"/>
        </w:rPr>
        <w:t>]</w:t>
      </w:r>
      <w:r w:rsidR="000C337C" w:rsidRPr="00B35171">
        <w:rPr>
          <w:i/>
          <w:iCs/>
          <w:color w:val="000000" w:themeColor="text1"/>
        </w:rPr>
        <w:t>,</w:t>
      </w:r>
      <w:r w:rsidRPr="00B35171">
        <w:rPr>
          <w:i/>
          <w:iCs/>
          <w:color w:val="000000" w:themeColor="text1"/>
        </w:rPr>
        <w:t xml:space="preserve"> c’est à vous de voir comment vous voulez vous y prendre </w:t>
      </w:r>
      <w:r w:rsidRPr="00B35171">
        <w:rPr>
          <w:color w:val="000000" w:themeColor="text1"/>
        </w:rPr>
        <w:t>» ; « </w:t>
      </w:r>
      <w:r w:rsidRPr="00B35171">
        <w:rPr>
          <w:i/>
          <w:iCs/>
          <w:color w:val="000000" w:themeColor="text1"/>
        </w:rPr>
        <w:t>il faut vous débrouiller entre vous</w:t>
      </w:r>
      <w:r w:rsidRPr="00B35171">
        <w:rPr>
          <w:color w:val="000000" w:themeColor="text1"/>
        </w:rPr>
        <w:t> ». Autrement dit, l’arrangement entendu comme régime d’action — catégorie étique du chercheur — semble ici venir se superposer à l’arrangement entendu comme cadre pragmatique</w:t>
      </w:r>
      <w:r w:rsidR="001D4926" w:rsidRPr="00B35171">
        <w:rPr>
          <w:color w:val="000000" w:themeColor="text1"/>
        </w:rPr>
        <w:t>, ou cadre d’expérience</w:t>
      </w:r>
      <w:r w:rsidRPr="00B35171">
        <w:rPr>
          <w:color w:val="000000" w:themeColor="text1"/>
        </w:rPr>
        <w:t xml:space="preserve"> de l’action — catégorie émique des acteurs.</w:t>
      </w:r>
      <w:r w:rsidR="00BD1D0A" w:rsidRPr="00B35171">
        <w:rPr>
          <w:color w:val="000000" w:themeColor="text1"/>
        </w:rPr>
        <w:t xml:space="preserve"> L</w:t>
      </w:r>
      <w:r w:rsidRPr="00B35171">
        <w:rPr>
          <w:color w:val="000000" w:themeColor="text1"/>
        </w:rPr>
        <w:t xml:space="preserve">es </w:t>
      </w:r>
      <w:r w:rsidR="00643DBC" w:rsidRPr="00B35171">
        <w:rPr>
          <w:color w:val="000000" w:themeColor="text1"/>
        </w:rPr>
        <w:t>c</w:t>
      </w:r>
      <w:r w:rsidRPr="00B35171">
        <w:rPr>
          <w:color w:val="000000" w:themeColor="text1"/>
        </w:rPr>
        <w:t>onseillers RFIE ne se contentent pas d’incarner l’arrangement par leurs actions pratiques : ils considérèrent également cette catégorie d’action comme adéquate pour penser cette dernière ; en conséquence de quoi, ils la mobilisent, la rendent « visible », « descriptible » (</w:t>
      </w:r>
      <w:proofErr w:type="spellStart"/>
      <w:r w:rsidRPr="00B35171">
        <w:rPr>
          <w:i/>
          <w:iCs/>
          <w:color w:val="000000" w:themeColor="text1"/>
        </w:rPr>
        <w:t>accountable</w:t>
      </w:r>
      <w:proofErr w:type="spellEnd"/>
      <w:r w:rsidRPr="00B35171">
        <w:rPr>
          <w:color w:val="000000" w:themeColor="text1"/>
        </w:rPr>
        <w:t xml:space="preserve">) pour donner du sens à leurs pratiques — </w:t>
      </w:r>
      <w:r w:rsidRPr="00B35171">
        <w:rPr>
          <w:i/>
          <w:iCs/>
          <w:color w:val="000000" w:themeColor="text1"/>
        </w:rPr>
        <w:t>et cela pratiquement</w:t>
      </w:r>
      <w:r w:rsidRPr="00B35171">
        <w:rPr>
          <w:rStyle w:val="Appelnotedebasdep"/>
          <w:color w:val="000000" w:themeColor="text1"/>
        </w:rPr>
        <w:footnoteReference w:id="37"/>
      </w:r>
      <w:r w:rsidRPr="00B35171">
        <w:rPr>
          <w:color w:val="000000" w:themeColor="text1"/>
        </w:rPr>
        <w:t>. Ainsi l’arrangement devient-il le cadre de référence de leur expérience commune</w:t>
      </w:r>
      <w:r w:rsidRPr="00B35171">
        <w:rPr>
          <w:rStyle w:val="Appelnotedebasdep"/>
          <w:color w:val="000000" w:themeColor="text1"/>
        </w:rPr>
        <w:footnoteReference w:id="38"/>
      </w:r>
      <w:r w:rsidRPr="00B35171">
        <w:rPr>
          <w:color w:val="000000" w:themeColor="text1"/>
        </w:rPr>
        <w:t>.</w:t>
      </w:r>
    </w:p>
    <w:p w14:paraId="313151A1" w14:textId="77777777" w:rsidR="009F344D" w:rsidRPr="00B35171" w:rsidRDefault="009F344D" w:rsidP="009F344D">
      <w:pPr>
        <w:spacing w:line="276" w:lineRule="auto"/>
        <w:jc w:val="both"/>
        <w:rPr>
          <w:color w:val="000000" w:themeColor="text1"/>
        </w:rPr>
      </w:pPr>
    </w:p>
    <w:p w14:paraId="4C1565E7" w14:textId="56266A9A" w:rsidR="009F344D" w:rsidRPr="00B35171" w:rsidRDefault="009F344D" w:rsidP="009F344D">
      <w:pPr>
        <w:spacing w:line="276" w:lineRule="auto"/>
        <w:jc w:val="both"/>
        <w:rPr>
          <w:color w:val="000000" w:themeColor="text1"/>
        </w:rPr>
      </w:pPr>
      <w:r w:rsidRPr="00B35171">
        <w:rPr>
          <w:color w:val="000000" w:themeColor="text1"/>
        </w:rPr>
        <w:t xml:space="preserve">Pour illustrer notre propos, nous voudrions ici nous arrêter un peu plus longuement sur </w:t>
      </w:r>
      <w:r w:rsidR="000C337C" w:rsidRPr="00B35171">
        <w:rPr>
          <w:color w:val="000000" w:themeColor="text1"/>
        </w:rPr>
        <w:t xml:space="preserve">un </w:t>
      </w:r>
      <w:r w:rsidRPr="00B35171">
        <w:rPr>
          <w:color w:val="000000" w:themeColor="text1"/>
        </w:rPr>
        <w:t>exemple</w:t>
      </w:r>
      <w:r w:rsidR="00531AE3" w:rsidRPr="00B35171">
        <w:rPr>
          <w:color w:val="000000" w:themeColor="text1"/>
        </w:rPr>
        <w:t xml:space="preserve"> </w:t>
      </w:r>
      <w:r w:rsidR="006775C5" w:rsidRPr="00B35171">
        <w:rPr>
          <w:color w:val="000000" w:themeColor="text1"/>
        </w:rPr>
        <w:t>supplémentaire</w:t>
      </w:r>
      <w:r w:rsidRPr="00B35171">
        <w:rPr>
          <w:color w:val="000000" w:themeColor="text1"/>
        </w:rPr>
        <w:t>.</w:t>
      </w:r>
    </w:p>
    <w:p w14:paraId="6BF335A4" w14:textId="77777777" w:rsidR="009F344D" w:rsidRPr="00B35171" w:rsidRDefault="009F344D" w:rsidP="009F344D">
      <w:pPr>
        <w:spacing w:line="276" w:lineRule="auto"/>
        <w:jc w:val="both"/>
        <w:rPr>
          <w:color w:val="000000" w:themeColor="text1"/>
        </w:rPr>
      </w:pPr>
    </w:p>
    <w:p w14:paraId="66E3EC89" w14:textId="69E12BB0" w:rsidR="009F344D" w:rsidRPr="00B35171" w:rsidRDefault="009F344D" w:rsidP="009F344D">
      <w:pPr>
        <w:spacing w:line="276" w:lineRule="auto"/>
        <w:jc w:val="both"/>
        <w:rPr>
          <w:color w:val="000000" w:themeColor="text1"/>
        </w:rPr>
      </w:pPr>
      <w:r w:rsidRPr="00B35171">
        <w:rPr>
          <w:color w:val="000000" w:themeColor="text1"/>
        </w:rPr>
        <w:t xml:space="preserve">Au cours d’une </w:t>
      </w:r>
      <w:proofErr w:type="spellStart"/>
      <w:r w:rsidRPr="00B35171">
        <w:rPr>
          <w:i/>
          <w:iCs/>
          <w:color w:val="000000" w:themeColor="text1"/>
        </w:rPr>
        <w:t>X</w:t>
      </w:r>
      <w:r w:rsidRPr="00B35171">
        <w:rPr>
          <w:color w:val="000000" w:themeColor="text1"/>
        </w:rPr>
        <w:t>ieme</w:t>
      </w:r>
      <w:proofErr w:type="spellEnd"/>
      <w:r w:rsidRPr="00B35171">
        <w:rPr>
          <w:color w:val="000000" w:themeColor="text1"/>
        </w:rPr>
        <w:t xml:space="preserve"> réunion de coordination, composée de </w:t>
      </w:r>
      <w:r w:rsidR="00D8400E" w:rsidRPr="00B35171">
        <w:rPr>
          <w:color w:val="000000" w:themeColor="text1"/>
        </w:rPr>
        <w:t>divers membres</w:t>
      </w:r>
      <w:r w:rsidR="00252375" w:rsidRPr="00B35171">
        <w:rPr>
          <w:color w:val="000000" w:themeColor="text1"/>
        </w:rPr>
        <w:t>,</w:t>
      </w:r>
      <w:r w:rsidRPr="00B35171">
        <w:rPr>
          <w:color w:val="000000" w:themeColor="text1"/>
        </w:rPr>
        <w:t xml:space="preserve"> fut abordée la problématique et </w:t>
      </w:r>
      <w:r w:rsidR="0066209E" w:rsidRPr="00B35171">
        <w:rPr>
          <w:color w:val="000000" w:themeColor="text1"/>
        </w:rPr>
        <w:t xml:space="preserve">centrale </w:t>
      </w:r>
      <w:r w:rsidR="00BD1D0A" w:rsidRPr="00B35171">
        <w:rPr>
          <w:color w:val="000000" w:themeColor="text1"/>
        </w:rPr>
        <w:t xml:space="preserve">question </w:t>
      </w:r>
      <w:r w:rsidRPr="00B35171">
        <w:rPr>
          <w:color w:val="000000" w:themeColor="text1"/>
        </w:rPr>
        <w:t>de la planification des t</w:t>
      </w:r>
      <w:r w:rsidR="00643DBC" w:rsidRPr="00B35171">
        <w:rPr>
          <w:color w:val="000000" w:themeColor="text1"/>
        </w:rPr>
        <w:t>â</w:t>
      </w:r>
      <w:r w:rsidRPr="00B35171">
        <w:rPr>
          <w:color w:val="000000" w:themeColor="text1"/>
        </w:rPr>
        <w:t>ches à exécuter pour l’année académique à venir. Cette question calendaire</w:t>
      </w:r>
      <w:r w:rsidR="0066209E" w:rsidRPr="00B35171">
        <w:rPr>
          <w:color w:val="000000" w:themeColor="text1"/>
        </w:rPr>
        <w:t xml:space="preserve"> a,</w:t>
      </w:r>
      <w:r w:rsidRPr="00B35171">
        <w:rPr>
          <w:color w:val="000000" w:themeColor="text1"/>
        </w:rPr>
        <w:t xml:space="preserve"> en effet, de grande</w:t>
      </w:r>
      <w:r w:rsidR="000C337C" w:rsidRPr="00B35171">
        <w:rPr>
          <w:color w:val="000000" w:themeColor="text1"/>
        </w:rPr>
        <w:t>s</w:t>
      </w:r>
      <w:r w:rsidRPr="00B35171">
        <w:rPr>
          <w:color w:val="000000" w:themeColor="text1"/>
        </w:rPr>
        <w:t xml:space="preserve"> implications pour les </w:t>
      </w:r>
      <w:r w:rsidR="00643DBC" w:rsidRPr="00B35171">
        <w:rPr>
          <w:color w:val="000000" w:themeColor="text1"/>
        </w:rPr>
        <w:t>c</w:t>
      </w:r>
      <w:r w:rsidRPr="00B35171">
        <w:rPr>
          <w:color w:val="000000" w:themeColor="text1"/>
        </w:rPr>
        <w:t>onseillers : elle indique de manière explicite ce qui est attendu d’eux « </w:t>
      </w:r>
      <w:r w:rsidR="000C337C" w:rsidRPr="00B35171">
        <w:rPr>
          <w:color w:val="000000" w:themeColor="text1"/>
        </w:rPr>
        <w:t>concrètement</w:t>
      </w:r>
      <w:r w:rsidRPr="00B35171">
        <w:rPr>
          <w:color w:val="000000" w:themeColor="text1"/>
        </w:rPr>
        <w:t xml:space="preserve"> ».  </w:t>
      </w:r>
    </w:p>
    <w:p w14:paraId="224953EF" w14:textId="77777777" w:rsidR="004972BC" w:rsidRPr="00B35171" w:rsidRDefault="004972BC" w:rsidP="009F344D">
      <w:pPr>
        <w:spacing w:line="276" w:lineRule="auto"/>
        <w:jc w:val="both"/>
        <w:rPr>
          <w:color w:val="000000" w:themeColor="text1"/>
        </w:rPr>
      </w:pPr>
    </w:p>
    <w:p w14:paraId="50F63A15" w14:textId="779F0EC2" w:rsidR="009F344D" w:rsidRPr="00B35171" w:rsidRDefault="009F344D" w:rsidP="009F344D">
      <w:pPr>
        <w:spacing w:line="276" w:lineRule="auto"/>
        <w:jc w:val="both"/>
        <w:rPr>
          <w:color w:val="000000" w:themeColor="text1"/>
        </w:rPr>
      </w:pPr>
      <w:r w:rsidRPr="00B35171">
        <w:rPr>
          <w:color w:val="000000" w:themeColor="text1"/>
        </w:rPr>
        <w:t xml:space="preserve">Ce matin-là, fut griffonné au tableau un schéma — de manière rudimentaire, comme tous les </w:t>
      </w:r>
      <w:proofErr w:type="spellStart"/>
      <w:r w:rsidRPr="00B35171">
        <w:rPr>
          <w:i/>
          <w:iCs/>
          <w:color w:val="000000" w:themeColor="text1"/>
        </w:rPr>
        <w:t>accounts</w:t>
      </w:r>
      <w:proofErr w:type="spellEnd"/>
      <w:r w:rsidRPr="00B35171">
        <w:rPr>
          <w:color w:val="000000" w:themeColor="text1"/>
        </w:rPr>
        <w:t xml:space="preserve"> concernant la question qui ici nous préoccupe — reprenant les quelques « grandes étapes » de l’implémentation de la RFIE pour l’année académique à venir. Ce tableau, résultat d’une co-construction entre les différents membres en présence dans la pièce, fut élaboré à partir de la réflexion suivante : « sachant qu’à la rentrée académique prochaine, tel</w:t>
      </w:r>
      <w:r w:rsidR="000C337C" w:rsidRPr="00B35171">
        <w:rPr>
          <w:color w:val="000000" w:themeColor="text1"/>
        </w:rPr>
        <w:t xml:space="preserve"> </w:t>
      </w:r>
      <w:r w:rsidRPr="00B35171">
        <w:rPr>
          <w:color w:val="000000" w:themeColor="text1"/>
        </w:rPr>
        <w:t xml:space="preserve">élément </w:t>
      </w:r>
      <w:r w:rsidR="00150150" w:rsidRPr="00B35171">
        <w:rPr>
          <w:color w:val="000000" w:themeColor="text1"/>
        </w:rPr>
        <w:t>doit être</w:t>
      </w:r>
      <w:r w:rsidRPr="00B35171">
        <w:rPr>
          <w:color w:val="000000" w:themeColor="text1"/>
        </w:rPr>
        <w:t xml:space="preserve"> mis en place </w:t>
      </w:r>
      <w:r w:rsidR="00EE7D80" w:rsidRPr="00B35171">
        <w:rPr>
          <w:color w:val="000000" w:themeColor="text1"/>
        </w:rPr>
        <w:t>(</w:t>
      </w:r>
      <w:r w:rsidRPr="00B35171">
        <w:rPr>
          <w:color w:val="000000" w:themeColor="text1"/>
        </w:rPr>
        <w:t>en l’occurrence : l’organisation d’un cours inter-facultaire qui devra être donné devant plus de 1500 étudiants des Hautes</w:t>
      </w:r>
      <w:r w:rsidR="00643DBC" w:rsidRPr="00B35171">
        <w:rPr>
          <w:color w:val="000000" w:themeColor="text1"/>
        </w:rPr>
        <w:t xml:space="preserve"> </w:t>
      </w:r>
      <w:r w:rsidR="00F85E63" w:rsidRPr="00B35171">
        <w:rPr>
          <w:color w:val="000000" w:themeColor="text1"/>
        </w:rPr>
        <w:t>Écoles</w:t>
      </w:r>
      <w:r w:rsidR="00EE7D80" w:rsidRPr="00B35171">
        <w:rPr>
          <w:color w:val="000000" w:themeColor="text1"/>
        </w:rPr>
        <w:t>)</w:t>
      </w:r>
      <w:r w:rsidRPr="00B35171">
        <w:rPr>
          <w:color w:val="000000" w:themeColor="text1"/>
        </w:rPr>
        <w:t xml:space="preserve">, que faut-il faire en amont pour en arriver là ? » </w:t>
      </w:r>
      <w:r w:rsidR="000C337C" w:rsidRPr="00B35171">
        <w:rPr>
          <w:color w:val="000000" w:themeColor="text1"/>
        </w:rPr>
        <w:t>Pour constituer ce rétroplanning, d</w:t>
      </w:r>
      <w:r w:rsidRPr="00B35171">
        <w:rPr>
          <w:color w:val="000000" w:themeColor="text1"/>
        </w:rPr>
        <w:t>ivers éléments furent, au tableau, ajoutés rectifiés, supprimés au fur et à mesure des échanges. Le résultat final</w:t>
      </w:r>
      <w:r w:rsidR="008B358C" w:rsidRPr="00B35171">
        <w:rPr>
          <w:color w:val="000000" w:themeColor="text1"/>
        </w:rPr>
        <w:t xml:space="preserve"> pri</w:t>
      </w:r>
      <w:r w:rsidR="00536065" w:rsidRPr="00B35171">
        <w:rPr>
          <w:color w:val="000000" w:themeColor="text1"/>
        </w:rPr>
        <w:t>t</w:t>
      </w:r>
      <w:r w:rsidR="008B358C" w:rsidRPr="00B35171">
        <w:rPr>
          <w:color w:val="000000" w:themeColor="text1"/>
        </w:rPr>
        <w:t xml:space="preserve"> la forme d’un tableau horizontal,</w:t>
      </w:r>
      <w:r w:rsidR="00252375" w:rsidRPr="00B35171">
        <w:rPr>
          <w:color w:val="000000" w:themeColor="text1"/>
        </w:rPr>
        <w:t xml:space="preserve"> représentant chronologiquement, via divers schéma</w:t>
      </w:r>
      <w:r w:rsidR="008B358C" w:rsidRPr="00B35171">
        <w:rPr>
          <w:color w:val="000000" w:themeColor="text1"/>
        </w:rPr>
        <w:t>s</w:t>
      </w:r>
      <w:r w:rsidR="00252375" w:rsidRPr="00B35171">
        <w:rPr>
          <w:color w:val="000000" w:themeColor="text1"/>
        </w:rPr>
        <w:t xml:space="preserve"> en forme de « cases », les étapes successives devant être réalisées</w:t>
      </w:r>
      <w:r w:rsidR="008B358C" w:rsidRPr="00B35171">
        <w:rPr>
          <w:color w:val="000000" w:themeColor="text1"/>
        </w:rPr>
        <w:t xml:space="preserve"> </w:t>
      </w:r>
      <w:r w:rsidRPr="00B35171">
        <w:rPr>
          <w:color w:val="000000" w:themeColor="text1"/>
        </w:rPr>
        <w:t>jusqu’à la rentrée académique 2023-24</w:t>
      </w:r>
      <w:r w:rsidR="00252375" w:rsidRPr="00B35171">
        <w:rPr>
          <w:color w:val="000000" w:themeColor="text1"/>
        </w:rPr>
        <w:t xml:space="preserve">. </w:t>
      </w:r>
      <w:r w:rsidRPr="00B35171">
        <w:rPr>
          <w:color w:val="000000" w:themeColor="text1"/>
        </w:rPr>
        <w:t>Un élément ici, nous semble-t-il, est particulièrement intéressant : c’est l</w:t>
      </w:r>
      <w:r w:rsidR="00214155" w:rsidRPr="00B35171">
        <w:rPr>
          <w:color w:val="000000" w:themeColor="text1"/>
        </w:rPr>
        <w:t>’ajout, par un des membres, d’un</w:t>
      </w:r>
      <w:r w:rsidRPr="00B35171">
        <w:rPr>
          <w:color w:val="000000" w:themeColor="text1"/>
        </w:rPr>
        <w:t xml:space="preserve"> petit dessin représentant un marteau et un tourne</w:t>
      </w:r>
      <w:r w:rsidR="00150150" w:rsidRPr="00B35171">
        <w:rPr>
          <w:color w:val="000000" w:themeColor="text1"/>
        </w:rPr>
        <w:t xml:space="preserve">vis </w:t>
      </w:r>
      <w:r w:rsidRPr="00B35171">
        <w:rPr>
          <w:color w:val="000000" w:themeColor="text1"/>
        </w:rPr>
        <w:t>réalisé en bas d</w:t>
      </w:r>
      <w:r w:rsidR="00214155" w:rsidRPr="00B35171">
        <w:rPr>
          <w:color w:val="000000" w:themeColor="text1"/>
        </w:rPr>
        <w:t xml:space="preserve">’un schéma </w:t>
      </w:r>
      <w:r w:rsidR="008B358C" w:rsidRPr="00B35171">
        <w:rPr>
          <w:color w:val="000000" w:themeColor="text1"/>
        </w:rPr>
        <w:t>symbolisant</w:t>
      </w:r>
      <w:r w:rsidR="00214155" w:rsidRPr="00B35171">
        <w:rPr>
          <w:color w:val="000000" w:themeColor="text1"/>
        </w:rPr>
        <w:t xml:space="preserve"> l’une des étape</w:t>
      </w:r>
      <w:r w:rsidR="00536065" w:rsidRPr="00B35171">
        <w:rPr>
          <w:color w:val="000000" w:themeColor="text1"/>
        </w:rPr>
        <w:t>s</w:t>
      </w:r>
      <w:r w:rsidR="00214155" w:rsidRPr="00B35171">
        <w:rPr>
          <w:color w:val="000000" w:themeColor="text1"/>
        </w:rPr>
        <w:t>-clé</w:t>
      </w:r>
      <w:r w:rsidR="00536065" w:rsidRPr="00B35171">
        <w:rPr>
          <w:color w:val="000000" w:themeColor="text1"/>
        </w:rPr>
        <w:t>s</w:t>
      </w:r>
      <w:r w:rsidR="00214155" w:rsidRPr="00B35171">
        <w:rPr>
          <w:color w:val="000000" w:themeColor="text1"/>
        </w:rPr>
        <w:t xml:space="preserve"> à mettre en place dans le cadre de cette planification</w:t>
      </w:r>
      <w:r w:rsidRPr="00B35171">
        <w:rPr>
          <w:color w:val="000000" w:themeColor="text1"/>
        </w:rPr>
        <w:t>. La signification de ce dernier nous a été offert</w:t>
      </w:r>
      <w:r w:rsidR="00150150" w:rsidRPr="00B35171">
        <w:rPr>
          <w:color w:val="000000" w:themeColor="text1"/>
        </w:rPr>
        <w:t>e</w:t>
      </w:r>
      <w:r w:rsidRPr="00B35171">
        <w:rPr>
          <w:color w:val="000000" w:themeColor="text1"/>
        </w:rPr>
        <w:t xml:space="preserve"> par son </w:t>
      </w:r>
      <w:r w:rsidR="00C215EB" w:rsidRPr="00B35171">
        <w:rPr>
          <w:color w:val="000000" w:themeColor="text1"/>
        </w:rPr>
        <w:t>créateur</w:t>
      </w:r>
      <w:r w:rsidRPr="00B35171">
        <w:rPr>
          <w:color w:val="000000" w:themeColor="text1"/>
        </w:rPr>
        <w:t> :</w:t>
      </w:r>
      <w:r w:rsidR="00C215EB" w:rsidRPr="00B35171">
        <w:rPr>
          <w:color w:val="000000" w:themeColor="text1"/>
        </w:rPr>
        <w:t> </w:t>
      </w:r>
      <w:r w:rsidRPr="00B35171">
        <w:rPr>
          <w:color w:val="000000" w:themeColor="text1"/>
        </w:rPr>
        <w:t>« </w:t>
      </w:r>
      <w:r w:rsidRPr="00B35171">
        <w:rPr>
          <w:i/>
          <w:iCs/>
          <w:color w:val="000000" w:themeColor="text1"/>
        </w:rPr>
        <w:t xml:space="preserve">ici, il va falloir </w:t>
      </w:r>
      <w:r w:rsidR="00E75489" w:rsidRPr="00B35171">
        <w:rPr>
          <w:color w:val="000000" w:themeColor="text1"/>
        </w:rPr>
        <w:lastRenderedPageBreak/>
        <w:t>[se]</w:t>
      </w:r>
      <w:r w:rsidRPr="00B35171">
        <w:rPr>
          <w:i/>
          <w:iCs/>
          <w:color w:val="000000" w:themeColor="text1"/>
        </w:rPr>
        <w:t xml:space="preserve"> débrouiller</w:t>
      </w:r>
      <w:r w:rsidRPr="00B35171">
        <w:rPr>
          <w:color w:val="000000" w:themeColor="text1"/>
        </w:rPr>
        <w:t xml:space="preserve"> </w:t>
      </w:r>
      <w:r w:rsidR="00E75489" w:rsidRPr="00B35171">
        <w:rPr>
          <w:color w:val="000000" w:themeColor="text1"/>
        </w:rPr>
        <w:t>[…]</w:t>
      </w:r>
      <w:r w:rsidRPr="00B35171">
        <w:rPr>
          <w:color w:val="000000" w:themeColor="text1"/>
        </w:rPr>
        <w:t>.</w:t>
      </w:r>
      <w:r w:rsidRPr="00B35171">
        <w:rPr>
          <w:i/>
          <w:iCs/>
          <w:color w:val="000000" w:themeColor="text1"/>
        </w:rPr>
        <w:t xml:space="preserve"> Il va falloir s’arranger et bricoler un truc parce que personne d’autres</w:t>
      </w:r>
      <w:r w:rsidRPr="00B35171">
        <w:rPr>
          <w:color w:val="000000" w:themeColor="text1"/>
        </w:rPr>
        <w:t xml:space="preserve"> </w:t>
      </w:r>
      <w:r w:rsidR="00E75489" w:rsidRPr="00B35171">
        <w:rPr>
          <w:color w:val="000000" w:themeColor="text1"/>
        </w:rPr>
        <w:t>[…]</w:t>
      </w:r>
      <w:r w:rsidR="00E75489" w:rsidRPr="00B35171">
        <w:rPr>
          <w:i/>
          <w:iCs/>
          <w:color w:val="000000" w:themeColor="text1"/>
        </w:rPr>
        <w:t xml:space="preserve"> ne </w:t>
      </w:r>
      <w:r w:rsidRPr="00B35171">
        <w:rPr>
          <w:i/>
          <w:iCs/>
          <w:color w:val="000000" w:themeColor="text1"/>
        </w:rPr>
        <w:t xml:space="preserve">va s’en charger </w:t>
      </w:r>
      <w:r w:rsidRPr="00B35171">
        <w:rPr>
          <w:color w:val="000000" w:themeColor="text1"/>
        </w:rPr>
        <w:t xml:space="preserve">». </w:t>
      </w:r>
    </w:p>
    <w:p w14:paraId="111F0A34" w14:textId="39EAAE6F" w:rsidR="009F344D" w:rsidRPr="00B35171" w:rsidRDefault="009F344D" w:rsidP="009F344D">
      <w:pPr>
        <w:spacing w:line="276" w:lineRule="auto"/>
        <w:jc w:val="both"/>
        <w:rPr>
          <w:b/>
          <w:bCs/>
          <w:color w:val="000000" w:themeColor="text1"/>
        </w:rPr>
      </w:pPr>
    </w:p>
    <w:p w14:paraId="6ED726CF" w14:textId="33CDD417" w:rsidR="009F344D" w:rsidRPr="00B35171" w:rsidRDefault="009F344D" w:rsidP="009F344D">
      <w:pPr>
        <w:spacing w:line="276" w:lineRule="auto"/>
        <w:jc w:val="both"/>
        <w:rPr>
          <w:color w:val="000000" w:themeColor="text1"/>
        </w:rPr>
      </w:pPr>
      <w:r w:rsidRPr="00B35171">
        <w:rPr>
          <w:color w:val="000000" w:themeColor="text1"/>
        </w:rPr>
        <w:t xml:space="preserve">La tâche en question est, pour l’implémentation de la RFIE, particulièrement cruciale ; et pour comprendre l’importance que celle-ci </w:t>
      </w:r>
      <w:r w:rsidRPr="00B35171">
        <w:rPr>
          <w:i/>
          <w:iCs/>
          <w:color w:val="000000" w:themeColor="text1"/>
        </w:rPr>
        <w:t>représente</w:t>
      </w:r>
      <w:r w:rsidRPr="00B35171">
        <w:rPr>
          <w:color w:val="000000" w:themeColor="text1"/>
        </w:rPr>
        <w:t xml:space="preserve"> pour les </w:t>
      </w:r>
      <w:r w:rsidR="00C215EB" w:rsidRPr="00B35171">
        <w:rPr>
          <w:color w:val="000000" w:themeColor="text1"/>
        </w:rPr>
        <w:t>c</w:t>
      </w:r>
      <w:r w:rsidRPr="00B35171">
        <w:rPr>
          <w:color w:val="000000" w:themeColor="text1"/>
        </w:rPr>
        <w:t xml:space="preserve">onseillers eux-mêmes, peut-être est-il bon d’en dire un mot. Ce dont il est ici question, et que </w:t>
      </w:r>
      <w:r w:rsidR="00214155" w:rsidRPr="00B35171">
        <w:rPr>
          <w:color w:val="000000" w:themeColor="text1"/>
        </w:rPr>
        <w:t xml:space="preserve">le schéma susmentionné </w:t>
      </w:r>
      <w:r w:rsidRPr="00B35171">
        <w:rPr>
          <w:color w:val="000000" w:themeColor="text1"/>
        </w:rPr>
        <w:t xml:space="preserve">symbolise, est la production </w:t>
      </w:r>
      <w:r w:rsidR="00AD7304" w:rsidRPr="00B35171">
        <w:rPr>
          <w:color w:val="000000" w:themeColor="text1"/>
        </w:rPr>
        <w:t xml:space="preserve">des premiers </w:t>
      </w:r>
      <w:r w:rsidR="00AD7304" w:rsidRPr="00B35171">
        <w:rPr>
          <w:i/>
          <w:iCs/>
          <w:color w:val="000000" w:themeColor="text1"/>
        </w:rPr>
        <w:t>drafts</w:t>
      </w:r>
      <w:r w:rsidR="00AD7304" w:rsidRPr="00B35171">
        <w:rPr>
          <w:color w:val="000000" w:themeColor="text1"/>
        </w:rPr>
        <w:t xml:space="preserve"> </w:t>
      </w:r>
      <w:r w:rsidRPr="00B35171">
        <w:rPr>
          <w:color w:val="000000" w:themeColor="text1"/>
        </w:rPr>
        <w:t xml:space="preserve">des appels d’offre </w:t>
      </w:r>
      <w:r w:rsidR="00150150" w:rsidRPr="00B35171">
        <w:rPr>
          <w:color w:val="000000" w:themeColor="text1"/>
        </w:rPr>
        <w:t>et</w:t>
      </w:r>
      <w:r w:rsidRPr="00B35171">
        <w:rPr>
          <w:color w:val="000000" w:themeColor="text1"/>
        </w:rPr>
        <w:t xml:space="preserve"> </w:t>
      </w:r>
      <w:r w:rsidR="000C337C" w:rsidRPr="00B35171">
        <w:rPr>
          <w:color w:val="000000" w:themeColor="text1"/>
        </w:rPr>
        <w:t>de</w:t>
      </w:r>
      <w:r w:rsidR="00796435" w:rsidRPr="00B35171">
        <w:rPr>
          <w:color w:val="000000" w:themeColor="text1"/>
        </w:rPr>
        <w:t xml:space="preserve">s </w:t>
      </w:r>
      <w:r w:rsidR="000C337C" w:rsidRPr="00B35171">
        <w:rPr>
          <w:color w:val="000000" w:themeColor="text1"/>
        </w:rPr>
        <w:t>structuration</w:t>
      </w:r>
      <w:r w:rsidR="00796435" w:rsidRPr="00B35171">
        <w:rPr>
          <w:color w:val="000000" w:themeColor="text1"/>
        </w:rPr>
        <w:t>s</w:t>
      </w:r>
      <w:r w:rsidR="000C337C" w:rsidRPr="00B35171">
        <w:rPr>
          <w:color w:val="000000" w:themeColor="text1"/>
        </w:rPr>
        <w:t xml:space="preserve"> des</w:t>
      </w:r>
      <w:r w:rsidRPr="00B35171">
        <w:rPr>
          <w:color w:val="000000" w:themeColor="text1"/>
        </w:rPr>
        <w:t xml:space="preserve"> cahiers des charges des futur</w:t>
      </w:r>
      <w:r w:rsidR="00150150" w:rsidRPr="00B35171">
        <w:rPr>
          <w:color w:val="000000" w:themeColor="text1"/>
        </w:rPr>
        <w:t>e</w:t>
      </w:r>
      <w:r w:rsidRPr="00B35171">
        <w:rPr>
          <w:color w:val="000000" w:themeColor="text1"/>
        </w:rPr>
        <w:t xml:space="preserve">s « charges de cours » qui seront ouvertes en vue de recruter </w:t>
      </w:r>
      <w:r w:rsidR="00150150" w:rsidRPr="00B35171">
        <w:rPr>
          <w:color w:val="000000" w:themeColor="text1"/>
        </w:rPr>
        <w:t>le</w:t>
      </w:r>
      <w:r w:rsidRPr="00B35171">
        <w:rPr>
          <w:color w:val="000000" w:themeColor="text1"/>
        </w:rPr>
        <w:t xml:space="preserve"> personnel amené à enseigner dans les Hautes</w:t>
      </w:r>
      <w:r w:rsidR="00C215EB" w:rsidRPr="00B35171">
        <w:rPr>
          <w:color w:val="000000" w:themeColor="text1"/>
        </w:rPr>
        <w:t xml:space="preserve"> </w:t>
      </w:r>
      <w:r w:rsidR="00F85E63" w:rsidRPr="00B35171">
        <w:rPr>
          <w:color w:val="000000" w:themeColor="text1"/>
        </w:rPr>
        <w:t>Écoles</w:t>
      </w:r>
      <w:r w:rsidRPr="00B35171">
        <w:rPr>
          <w:color w:val="000000" w:themeColor="text1"/>
        </w:rPr>
        <w:t xml:space="preserve"> au nom de l’</w:t>
      </w:r>
      <w:r w:rsidR="00EE7D80" w:rsidRPr="00B35171">
        <w:rPr>
          <w:color w:val="000000" w:themeColor="text1"/>
        </w:rPr>
        <w:t>université</w:t>
      </w:r>
      <w:r w:rsidRPr="00B35171">
        <w:rPr>
          <w:color w:val="000000" w:themeColor="text1"/>
        </w:rPr>
        <w:t xml:space="preserve">. </w:t>
      </w:r>
      <w:r w:rsidR="00796435" w:rsidRPr="00B35171">
        <w:rPr>
          <w:color w:val="000000" w:themeColor="text1"/>
        </w:rPr>
        <w:t xml:space="preserve">Il </w:t>
      </w:r>
      <w:r w:rsidRPr="00B35171">
        <w:rPr>
          <w:color w:val="000000" w:themeColor="text1"/>
        </w:rPr>
        <w:t xml:space="preserve">est attendu des </w:t>
      </w:r>
      <w:r w:rsidR="00C215EB" w:rsidRPr="00B35171">
        <w:rPr>
          <w:color w:val="000000" w:themeColor="text1"/>
        </w:rPr>
        <w:t>c</w:t>
      </w:r>
      <w:r w:rsidRPr="00B35171">
        <w:rPr>
          <w:color w:val="000000" w:themeColor="text1"/>
        </w:rPr>
        <w:t xml:space="preserve">onseillers, nous apprend </w:t>
      </w:r>
      <w:r w:rsidR="00214155" w:rsidRPr="00B35171">
        <w:rPr>
          <w:color w:val="000000" w:themeColor="text1"/>
        </w:rPr>
        <w:t>ce membre</w:t>
      </w:r>
      <w:r w:rsidRPr="00B35171">
        <w:rPr>
          <w:color w:val="000000" w:themeColor="text1"/>
        </w:rPr>
        <w:t>, qu’ils réalisent cette tâche ou, du moins, qu’il</w:t>
      </w:r>
      <w:r w:rsidR="00C215EB" w:rsidRPr="00B35171">
        <w:rPr>
          <w:color w:val="000000" w:themeColor="text1"/>
        </w:rPr>
        <w:t>s</w:t>
      </w:r>
      <w:r w:rsidRPr="00B35171">
        <w:rPr>
          <w:color w:val="000000" w:themeColor="text1"/>
        </w:rPr>
        <w:t xml:space="preserve"> en </w:t>
      </w:r>
      <w:r w:rsidR="00796435" w:rsidRPr="00B35171">
        <w:rPr>
          <w:color w:val="000000" w:themeColor="text1"/>
        </w:rPr>
        <w:t>effectuent</w:t>
      </w:r>
      <w:r w:rsidRPr="00B35171">
        <w:rPr>
          <w:color w:val="000000" w:themeColor="text1"/>
        </w:rPr>
        <w:t xml:space="preserve"> le travail préparatoire. </w:t>
      </w:r>
      <w:r w:rsidR="001D4926" w:rsidRPr="00B35171">
        <w:rPr>
          <w:color w:val="000000" w:themeColor="text1"/>
        </w:rPr>
        <w:t>Or, il fut</w:t>
      </w:r>
      <w:r w:rsidRPr="00B35171">
        <w:rPr>
          <w:color w:val="000000" w:themeColor="text1"/>
        </w:rPr>
        <w:t xml:space="preserve"> sous-entendu</w:t>
      </w:r>
      <w:r w:rsidR="001D4926" w:rsidRPr="00B35171">
        <w:rPr>
          <w:color w:val="000000" w:themeColor="text1"/>
        </w:rPr>
        <w:t>, à plusieurs reprises,</w:t>
      </w:r>
      <w:r w:rsidRPr="00B35171">
        <w:rPr>
          <w:color w:val="000000" w:themeColor="text1"/>
        </w:rPr>
        <w:t xml:space="preserve"> par </w:t>
      </w:r>
      <w:r w:rsidR="002C0970" w:rsidRPr="00B35171">
        <w:rPr>
          <w:color w:val="000000" w:themeColor="text1"/>
        </w:rPr>
        <w:t>certains collègues</w:t>
      </w:r>
      <w:r w:rsidRPr="00B35171">
        <w:rPr>
          <w:color w:val="000000" w:themeColor="text1"/>
        </w:rPr>
        <w:t xml:space="preserve"> que, parmi les différents conseillers, certains — notamment ceux </w:t>
      </w:r>
      <w:r w:rsidR="001D4926" w:rsidRPr="00B35171">
        <w:rPr>
          <w:color w:val="000000" w:themeColor="text1"/>
        </w:rPr>
        <w:t>correspondant au profil recherché</w:t>
      </w:r>
      <w:r w:rsidRPr="00B35171">
        <w:rPr>
          <w:color w:val="000000" w:themeColor="text1"/>
        </w:rPr>
        <w:t xml:space="preserve"> — ser</w:t>
      </w:r>
      <w:r w:rsidR="001D4926" w:rsidRPr="00B35171">
        <w:rPr>
          <w:color w:val="000000" w:themeColor="text1"/>
        </w:rPr>
        <w:t>aie</w:t>
      </w:r>
      <w:r w:rsidRPr="00B35171">
        <w:rPr>
          <w:color w:val="000000" w:themeColor="text1"/>
        </w:rPr>
        <w:t>nt « </w:t>
      </w:r>
      <w:r w:rsidR="000C337C" w:rsidRPr="00B35171">
        <w:rPr>
          <w:color w:val="000000" w:themeColor="text1"/>
        </w:rPr>
        <w:t xml:space="preserve">sans doute </w:t>
      </w:r>
      <w:r w:rsidRPr="00B35171">
        <w:rPr>
          <w:color w:val="000000" w:themeColor="text1"/>
        </w:rPr>
        <w:t>» engagés pour remplir ces fameuses positions vacantes à venir</w:t>
      </w:r>
      <w:r w:rsidR="00214155" w:rsidRPr="00B35171">
        <w:rPr>
          <w:color w:val="000000" w:themeColor="text1"/>
        </w:rPr>
        <w:t xml:space="preserve"> — à l’évidente condition qu’ils parviennent</w:t>
      </w:r>
      <w:r w:rsidR="00FE6761" w:rsidRPr="00B35171">
        <w:rPr>
          <w:color w:val="000000" w:themeColor="text1"/>
        </w:rPr>
        <w:t xml:space="preserve"> </w:t>
      </w:r>
      <w:r w:rsidR="00214155" w:rsidRPr="00B35171">
        <w:rPr>
          <w:color w:val="000000" w:themeColor="text1"/>
        </w:rPr>
        <w:t>à franchir, avec succès, les divers</w:t>
      </w:r>
      <w:r w:rsidR="00536065" w:rsidRPr="00B35171">
        <w:rPr>
          <w:color w:val="000000" w:themeColor="text1"/>
        </w:rPr>
        <w:t>es</w:t>
      </w:r>
      <w:r w:rsidR="00214155" w:rsidRPr="00B35171">
        <w:rPr>
          <w:color w:val="000000" w:themeColor="text1"/>
        </w:rPr>
        <w:t xml:space="preserve"> étapes officielles de sélection —</w:t>
      </w:r>
      <w:r w:rsidR="000C337C" w:rsidRPr="00B35171">
        <w:rPr>
          <w:color w:val="000000" w:themeColor="text1"/>
        </w:rPr>
        <w:t xml:space="preserve">, </w:t>
      </w:r>
      <w:r w:rsidRPr="00B35171">
        <w:rPr>
          <w:color w:val="000000" w:themeColor="text1"/>
        </w:rPr>
        <w:t xml:space="preserve">la demande nouvelle en personnel </w:t>
      </w:r>
      <w:r w:rsidR="007D6276" w:rsidRPr="00B35171">
        <w:rPr>
          <w:color w:val="000000" w:themeColor="text1"/>
        </w:rPr>
        <w:t xml:space="preserve">dûment </w:t>
      </w:r>
      <w:r w:rsidRPr="00B35171">
        <w:rPr>
          <w:color w:val="000000" w:themeColor="text1"/>
        </w:rPr>
        <w:t>qualifié pour remplir les poste</w:t>
      </w:r>
      <w:r w:rsidR="007D6276" w:rsidRPr="00B35171">
        <w:rPr>
          <w:color w:val="000000" w:themeColor="text1"/>
        </w:rPr>
        <w:t>s</w:t>
      </w:r>
      <w:r w:rsidRPr="00B35171">
        <w:rPr>
          <w:color w:val="000000" w:themeColor="text1"/>
        </w:rPr>
        <w:t xml:space="preserve"> à pourvoir que nécessite la mise en place de la RFIE </w:t>
      </w:r>
      <w:r w:rsidR="00150150" w:rsidRPr="00B35171">
        <w:rPr>
          <w:color w:val="000000" w:themeColor="text1"/>
        </w:rPr>
        <w:t>étant</w:t>
      </w:r>
      <w:r w:rsidRPr="00B35171">
        <w:rPr>
          <w:color w:val="000000" w:themeColor="text1"/>
        </w:rPr>
        <w:t xml:space="preserve"> particulièrement gourmande. Le registre sémantique employé par </w:t>
      </w:r>
      <w:r w:rsidR="00214155" w:rsidRPr="00B35171">
        <w:rPr>
          <w:color w:val="000000" w:themeColor="text1"/>
        </w:rPr>
        <w:t>l’un des membre</w:t>
      </w:r>
      <w:r w:rsidR="00F55FE6" w:rsidRPr="00B35171">
        <w:rPr>
          <w:color w:val="000000" w:themeColor="text1"/>
        </w:rPr>
        <w:t>s</w:t>
      </w:r>
      <w:r w:rsidRPr="00B35171">
        <w:rPr>
          <w:color w:val="000000" w:themeColor="text1"/>
        </w:rPr>
        <w:t xml:space="preserve">, faisant explicitement référence à « l’arrangement », à la « débrouille » ainsi qu’au « bricolage » est donc, dans ce contexte précis, employé pour désigner </w:t>
      </w:r>
      <w:r w:rsidR="006F698E" w:rsidRPr="00B35171">
        <w:rPr>
          <w:color w:val="000000" w:themeColor="text1"/>
        </w:rPr>
        <w:t xml:space="preserve">la dimension </w:t>
      </w:r>
      <w:r w:rsidR="00181332" w:rsidRPr="00B35171">
        <w:rPr>
          <w:color w:val="000000" w:themeColor="text1"/>
        </w:rPr>
        <w:t>atypique de la tâche</w:t>
      </w:r>
      <w:r w:rsidRPr="00B35171">
        <w:rPr>
          <w:color w:val="000000" w:themeColor="text1"/>
        </w:rPr>
        <w:t>, du point de vue de l’application du protocole de recrutement au sein de l’Université, et de la nécessité néanmoins de « faire avec » celle-ci, c’est-à-dire au moyen d’une pratique relevant clairement du registre de</w:t>
      </w:r>
      <w:r w:rsidR="007D6276" w:rsidRPr="00B35171">
        <w:rPr>
          <w:color w:val="000000" w:themeColor="text1"/>
        </w:rPr>
        <w:t xml:space="preserve"> l’arrangement</w:t>
      </w:r>
      <w:r w:rsidRPr="00B35171">
        <w:rPr>
          <w:color w:val="000000" w:themeColor="text1"/>
        </w:rPr>
        <w:t>. « Bricoler », « s’arranger », « se débrouiller » ne signifie dans ce contexte rien d’autre que parvenir à accomplir une tâche qui se veut</w:t>
      </w:r>
      <w:r w:rsidR="00214155" w:rsidRPr="00B35171">
        <w:rPr>
          <w:color w:val="000000" w:themeColor="text1"/>
        </w:rPr>
        <w:t xml:space="preserve"> être</w:t>
      </w:r>
      <w:r w:rsidRPr="00B35171">
        <w:rPr>
          <w:color w:val="000000" w:themeColor="text1"/>
        </w:rPr>
        <w:t xml:space="preserve"> </w:t>
      </w:r>
      <w:r w:rsidR="00214155" w:rsidRPr="00B35171">
        <w:rPr>
          <w:color w:val="000000" w:themeColor="text1"/>
        </w:rPr>
        <w:t>en marge</w:t>
      </w:r>
      <w:r w:rsidRPr="00B35171">
        <w:rPr>
          <w:color w:val="000000" w:themeColor="text1"/>
        </w:rPr>
        <w:t xml:space="preserve"> </w:t>
      </w:r>
      <w:r w:rsidR="00214155" w:rsidRPr="00B35171">
        <w:rPr>
          <w:color w:val="000000" w:themeColor="text1"/>
        </w:rPr>
        <w:t>du</w:t>
      </w:r>
      <w:r w:rsidRPr="00B35171">
        <w:rPr>
          <w:color w:val="000000" w:themeColor="text1"/>
        </w:rPr>
        <w:t xml:space="preserve"> règlement de l’institution. D’où l’importance, sans doute, de symboliser</w:t>
      </w:r>
      <w:r w:rsidR="000862C1" w:rsidRPr="00B35171">
        <w:rPr>
          <w:color w:val="000000" w:themeColor="text1"/>
        </w:rPr>
        <w:t xml:space="preserve">, </w:t>
      </w:r>
      <w:r w:rsidRPr="00B35171">
        <w:rPr>
          <w:color w:val="000000" w:themeColor="text1"/>
        </w:rPr>
        <w:t>à l’aide d’un petit dessin</w:t>
      </w:r>
      <w:r w:rsidR="000862C1" w:rsidRPr="00B35171">
        <w:rPr>
          <w:color w:val="000000" w:themeColor="text1"/>
        </w:rPr>
        <w:t xml:space="preserve">, </w:t>
      </w:r>
      <w:r w:rsidRPr="00B35171">
        <w:rPr>
          <w:color w:val="000000" w:themeColor="text1"/>
        </w:rPr>
        <w:t>à des fin</w:t>
      </w:r>
      <w:r w:rsidR="00C215EB" w:rsidRPr="00B35171">
        <w:rPr>
          <w:color w:val="000000" w:themeColor="text1"/>
        </w:rPr>
        <w:t>s</w:t>
      </w:r>
      <w:r w:rsidR="000862C1" w:rsidRPr="00B35171">
        <w:rPr>
          <w:color w:val="000000" w:themeColor="text1"/>
        </w:rPr>
        <w:t xml:space="preserve"> </w:t>
      </w:r>
      <w:r w:rsidRPr="00B35171">
        <w:rPr>
          <w:color w:val="000000" w:themeColor="text1"/>
        </w:rPr>
        <w:t xml:space="preserve">de réflexivité pratique, la </w:t>
      </w:r>
      <w:r w:rsidRPr="00B35171">
        <w:rPr>
          <w:i/>
          <w:iCs/>
          <w:color w:val="000000" w:themeColor="text1"/>
        </w:rPr>
        <w:t>monstration</w:t>
      </w:r>
      <w:r w:rsidRPr="00B35171">
        <w:rPr>
          <w:color w:val="000000" w:themeColor="text1"/>
        </w:rPr>
        <w:t xml:space="preserve"> de cet écart, de cet arrangement.</w:t>
      </w:r>
    </w:p>
    <w:p w14:paraId="54E1F24A" w14:textId="77777777" w:rsidR="000762FA" w:rsidRPr="00B35171" w:rsidRDefault="000762FA" w:rsidP="009F344D">
      <w:pPr>
        <w:spacing w:line="276" w:lineRule="auto"/>
        <w:jc w:val="both"/>
        <w:rPr>
          <w:color w:val="000000" w:themeColor="text1"/>
        </w:rPr>
      </w:pPr>
    </w:p>
    <w:p w14:paraId="1FBFD893" w14:textId="4FFB6256" w:rsidR="009F344D" w:rsidRPr="00B35171" w:rsidRDefault="009F344D" w:rsidP="009F344D">
      <w:pPr>
        <w:spacing w:line="276" w:lineRule="auto"/>
        <w:jc w:val="both"/>
        <w:rPr>
          <w:color w:val="000000" w:themeColor="text1"/>
        </w:rPr>
      </w:pPr>
      <w:r w:rsidRPr="00B35171">
        <w:rPr>
          <w:color w:val="000000" w:themeColor="text1"/>
        </w:rPr>
        <w:t xml:space="preserve">Les </w:t>
      </w:r>
      <w:r w:rsidR="00C215EB" w:rsidRPr="00B35171">
        <w:rPr>
          <w:color w:val="000000" w:themeColor="text1"/>
        </w:rPr>
        <w:t>c</w:t>
      </w:r>
      <w:r w:rsidRPr="00B35171">
        <w:rPr>
          <w:color w:val="000000" w:themeColor="text1"/>
        </w:rPr>
        <w:t>onseillers RFIE ne font pas seulement, dans l’agencement de leurs interactions et l’organisation de leurs actions pratiques, usage du régime d’action de l’arrangement : ils se savent en train de le faire et pensent leurs divers</w:t>
      </w:r>
      <w:r w:rsidR="00FD28A3" w:rsidRPr="00B35171">
        <w:rPr>
          <w:color w:val="000000" w:themeColor="text1"/>
        </w:rPr>
        <w:t>es</w:t>
      </w:r>
      <w:r w:rsidRPr="00B35171">
        <w:rPr>
          <w:color w:val="000000" w:themeColor="text1"/>
        </w:rPr>
        <w:t xml:space="preserve"> actions en des termes similaires (c’est-à-dire possédant un « air de famille »</w:t>
      </w:r>
      <w:r w:rsidR="00B87759" w:rsidRPr="00B35171">
        <w:rPr>
          <w:rStyle w:val="Appelnotedebasdep"/>
          <w:color w:val="000000" w:themeColor="text1"/>
        </w:rPr>
        <w:footnoteReference w:id="39"/>
      </w:r>
      <w:r w:rsidRPr="00B35171">
        <w:rPr>
          <w:color w:val="000000" w:themeColor="text1"/>
        </w:rPr>
        <w:t xml:space="preserve"> avec le concept d’arrangement). Autrement dit, loin d’être des « idiots culturels », pour reprendre ici les termes de Garfinkel</w:t>
      </w:r>
      <w:r w:rsidR="00EE7D80" w:rsidRPr="00B35171">
        <w:rPr>
          <w:rStyle w:val="Appelnotedebasdep"/>
          <w:color w:val="000000" w:themeColor="text1"/>
        </w:rPr>
        <w:footnoteReference w:id="40"/>
      </w:r>
      <w:r w:rsidR="00EE7D80" w:rsidRPr="00B35171">
        <w:rPr>
          <w:color w:val="000000" w:themeColor="text1"/>
        </w:rPr>
        <w:t xml:space="preserve">, </w:t>
      </w:r>
      <w:r w:rsidRPr="00B35171">
        <w:rPr>
          <w:color w:val="000000" w:themeColor="text1"/>
        </w:rPr>
        <w:t xml:space="preserve">les acteurs </w:t>
      </w:r>
      <w:r w:rsidRPr="00B35171">
        <w:rPr>
          <w:i/>
          <w:iCs/>
          <w:color w:val="000000" w:themeColor="text1"/>
        </w:rPr>
        <w:t>pensent</w:t>
      </w:r>
      <w:r w:rsidRPr="00B35171">
        <w:rPr>
          <w:color w:val="000000" w:themeColor="text1"/>
        </w:rPr>
        <w:t xml:space="preserve"> et </w:t>
      </w:r>
      <w:r w:rsidRPr="00B35171">
        <w:rPr>
          <w:i/>
          <w:iCs/>
          <w:color w:val="000000" w:themeColor="text1"/>
        </w:rPr>
        <w:t>font</w:t>
      </w:r>
      <w:r w:rsidRPr="00B35171">
        <w:rPr>
          <w:color w:val="000000" w:themeColor="text1"/>
        </w:rPr>
        <w:t xml:space="preserve"> de l’arrangement dans un même mouvement pratique. Aussi, l’arrangement est-il partout, en tant que régime d’action d’une part et en tant que principe de l’action d’autre part. Ce dédoublement de l’arrangement n’a rien de surprenant : parce que leurs préoccupations pratiques s’inscrivent dans un cadre pragmatique flou, l’enjeu de</w:t>
      </w:r>
      <w:r w:rsidR="00FD28A3" w:rsidRPr="00B35171">
        <w:rPr>
          <w:color w:val="000000" w:themeColor="text1"/>
        </w:rPr>
        <w:t>s</w:t>
      </w:r>
      <w:r w:rsidRPr="00B35171">
        <w:rPr>
          <w:color w:val="000000" w:themeColor="text1"/>
        </w:rPr>
        <w:t xml:space="preserve"> actes pratiques des acteurs, dans les actes qu’ils posent, est tout à la fois de signifier aux autres qu’ils perçoivent la nature vague </w:t>
      </w:r>
      <w:r w:rsidR="00FE6761" w:rsidRPr="00B35171">
        <w:rPr>
          <w:color w:val="000000" w:themeColor="text1"/>
        </w:rPr>
        <w:t xml:space="preserve">ou problématique </w:t>
      </w:r>
      <w:r w:rsidRPr="00B35171">
        <w:rPr>
          <w:color w:val="000000" w:themeColor="text1"/>
        </w:rPr>
        <w:t>de leur</w:t>
      </w:r>
      <w:r w:rsidR="000862C1" w:rsidRPr="00B35171">
        <w:rPr>
          <w:color w:val="000000" w:themeColor="text1"/>
        </w:rPr>
        <w:t>s</w:t>
      </w:r>
      <w:r w:rsidRPr="00B35171">
        <w:rPr>
          <w:color w:val="000000" w:themeColor="text1"/>
        </w:rPr>
        <w:t xml:space="preserve"> objectif</w:t>
      </w:r>
      <w:r w:rsidR="000862C1" w:rsidRPr="00B35171">
        <w:rPr>
          <w:color w:val="000000" w:themeColor="text1"/>
        </w:rPr>
        <w:t>s</w:t>
      </w:r>
      <w:r w:rsidRPr="00B35171">
        <w:rPr>
          <w:color w:val="000000" w:themeColor="text1"/>
        </w:rPr>
        <w:t xml:space="preserve"> professionnel</w:t>
      </w:r>
      <w:r w:rsidR="000862C1" w:rsidRPr="00B35171">
        <w:rPr>
          <w:color w:val="000000" w:themeColor="text1"/>
        </w:rPr>
        <w:t>s,</w:t>
      </w:r>
      <w:r w:rsidRPr="00B35171">
        <w:rPr>
          <w:color w:val="000000" w:themeColor="text1"/>
        </w:rPr>
        <w:t xml:space="preserve"> et d’incarner cette indétermination au sein même de l’interaction par le régime de </w:t>
      </w:r>
      <w:r w:rsidRPr="00B35171">
        <w:rPr>
          <w:color w:val="000000" w:themeColor="text1"/>
        </w:rPr>
        <w:lastRenderedPageBreak/>
        <w:t xml:space="preserve">l’arrangement. En effet, l’arrangement est à la fois le </w:t>
      </w:r>
      <w:r w:rsidRPr="00B35171">
        <w:rPr>
          <w:i/>
          <w:iCs/>
          <w:color w:val="000000" w:themeColor="text1"/>
        </w:rPr>
        <w:t>vecteur</w:t>
      </w:r>
      <w:r w:rsidRPr="00B35171">
        <w:rPr>
          <w:color w:val="000000" w:themeColor="text1"/>
        </w:rPr>
        <w:t xml:space="preserve"> et la </w:t>
      </w:r>
      <w:r w:rsidRPr="00B35171">
        <w:rPr>
          <w:i/>
          <w:iCs/>
          <w:color w:val="000000" w:themeColor="text1"/>
        </w:rPr>
        <w:t>manifestation</w:t>
      </w:r>
      <w:r w:rsidR="00433AB0" w:rsidRPr="00B35171">
        <w:rPr>
          <w:rStyle w:val="Appelnotedebasdep"/>
          <w:color w:val="000000" w:themeColor="text1"/>
        </w:rPr>
        <w:footnoteReference w:id="41"/>
      </w:r>
      <w:r w:rsidRPr="00B35171">
        <w:rPr>
          <w:i/>
          <w:iCs/>
          <w:color w:val="000000" w:themeColor="text1"/>
        </w:rPr>
        <w:t xml:space="preserve"> </w:t>
      </w:r>
      <w:r w:rsidRPr="00B35171">
        <w:rPr>
          <w:color w:val="000000" w:themeColor="text1"/>
        </w:rPr>
        <w:t xml:space="preserve">de leur appartenance </w:t>
      </w:r>
      <w:r w:rsidR="00707F5C" w:rsidRPr="00B35171">
        <w:rPr>
          <w:color w:val="000000" w:themeColor="text1"/>
        </w:rPr>
        <w:t>au groupe</w:t>
      </w:r>
      <w:r w:rsidRPr="00B35171">
        <w:rPr>
          <w:color w:val="000000" w:themeColor="text1"/>
        </w:rPr>
        <w:t xml:space="preserve">. Autrement dit, être un </w:t>
      </w:r>
      <w:r w:rsidR="007960CC" w:rsidRPr="00B35171">
        <w:rPr>
          <w:color w:val="000000" w:themeColor="text1"/>
        </w:rPr>
        <w:t>c</w:t>
      </w:r>
      <w:r w:rsidRPr="00B35171">
        <w:rPr>
          <w:color w:val="000000" w:themeColor="text1"/>
        </w:rPr>
        <w:t xml:space="preserve">onseiller RFIE, cela s’apparente tant à </w:t>
      </w:r>
      <w:r w:rsidRPr="00B35171">
        <w:rPr>
          <w:i/>
          <w:iCs/>
          <w:color w:val="000000" w:themeColor="text1"/>
        </w:rPr>
        <w:t>penser</w:t>
      </w:r>
      <w:r w:rsidRPr="00B35171">
        <w:rPr>
          <w:color w:val="000000" w:themeColor="text1"/>
        </w:rPr>
        <w:t xml:space="preserve"> son activité professionnel</w:t>
      </w:r>
      <w:r w:rsidR="007960CC" w:rsidRPr="00B35171">
        <w:rPr>
          <w:color w:val="000000" w:themeColor="text1"/>
        </w:rPr>
        <w:t>le</w:t>
      </w:r>
      <w:r w:rsidRPr="00B35171">
        <w:rPr>
          <w:color w:val="000000" w:themeColor="text1"/>
        </w:rPr>
        <w:t xml:space="preserve"> qu’à la </w:t>
      </w:r>
      <w:r w:rsidRPr="00B35171">
        <w:rPr>
          <w:i/>
          <w:iCs/>
          <w:color w:val="000000" w:themeColor="text1"/>
        </w:rPr>
        <w:t>réaliser</w:t>
      </w:r>
      <w:r w:rsidRPr="00B35171">
        <w:rPr>
          <w:color w:val="000000" w:themeColor="text1"/>
        </w:rPr>
        <w:t xml:space="preserve"> sur le mode de l’arrangement. </w:t>
      </w:r>
      <w:r w:rsidR="00ED0F59" w:rsidRPr="00B35171">
        <w:rPr>
          <w:color w:val="000000" w:themeColor="text1"/>
        </w:rPr>
        <w:t>Il est intéressant de noter à ce sujet que</w:t>
      </w:r>
      <w:r w:rsidRPr="00B35171">
        <w:rPr>
          <w:color w:val="000000" w:themeColor="text1"/>
        </w:rPr>
        <w:t xml:space="preserve"> </w:t>
      </w:r>
      <w:r w:rsidR="00ED0F59" w:rsidRPr="00B35171">
        <w:rPr>
          <w:color w:val="000000" w:themeColor="text1"/>
        </w:rPr>
        <w:t xml:space="preserve">la plupart des </w:t>
      </w:r>
      <w:r w:rsidRPr="00B35171">
        <w:rPr>
          <w:color w:val="000000" w:themeColor="text1"/>
        </w:rPr>
        <w:t>e</w:t>
      </w:r>
      <w:r w:rsidR="007960CC" w:rsidRPr="00B35171">
        <w:rPr>
          <w:color w:val="000000" w:themeColor="text1"/>
        </w:rPr>
        <w:t>-</w:t>
      </w:r>
      <w:r w:rsidRPr="00B35171">
        <w:rPr>
          <w:color w:val="000000" w:themeColor="text1"/>
        </w:rPr>
        <w:t xml:space="preserve">mails </w:t>
      </w:r>
      <w:r w:rsidR="00ED0F59" w:rsidRPr="00B35171">
        <w:rPr>
          <w:color w:val="000000" w:themeColor="text1"/>
        </w:rPr>
        <w:t xml:space="preserve">échangés </w:t>
      </w:r>
      <w:r w:rsidRPr="00B35171">
        <w:rPr>
          <w:color w:val="000000" w:themeColor="text1"/>
        </w:rPr>
        <w:t>entre</w:t>
      </w:r>
      <w:r w:rsidR="00ED0F59" w:rsidRPr="00B35171">
        <w:rPr>
          <w:color w:val="000000" w:themeColor="text1"/>
        </w:rPr>
        <w:t xml:space="preserve"> les </w:t>
      </w:r>
      <w:r w:rsidR="007960CC" w:rsidRPr="00B35171">
        <w:rPr>
          <w:color w:val="000000" w:themeColor="text1"/>
        </w:rPr>
        <w:t>c</w:t>
      </w:r>
      <w:r w:rsidRPr="00B35171">
        <w:rPr>
          <w:color w:val="000000" w:themeColor="text1"/>
        </w:rPr>
        <w:t>onseiller</w:t>
      </w:r>
      <w:r w:rsidR="00ED0F59" w:rsidRPr="00B35171">
        <w:rPr>
          <w:color w:val="000000" w:themeColor="text1"/>
        </w:rPr>
        <w:t>s</w:t>
      </w:r>
      <w:r w:rsidRPr="00B35171">
        <w:rPr>
          <w:color w:val="000000" w:themeColor="text1"/>
        </w:rPr>
        <w:t xml:space="preserve"> RFIE </w:t>
      </w:r>
      <w:r w:rsidR="00ED0F59" w:rsidRPr="00B35171">
        <w:rPr>
          <w:color w:val="000000" w:themeColor="text1"/>
        </w:rPr>
        <w:t xml:space="preserve">sont ponctués de nombreux « smileys ». Ces derniers, (sourires, </w:t>
      </w:r>
      <w:r w:rsidRPr="00B35171">
        <w:rPr>
          <w:color w:val="000000" w:themeColor="text1"/>
        </w:rPr>
        <w:t>clin</w:t>
      </w:r>
      <w:r w:rsidR="00ED0F59" w:rsidRPr="00B35171">
        <w:rPr>
          <w:color w:val="000000" w:themeColor="text1"/>
        </w:rPr>
        <w:t>s</w:t>
      </w:r>
      <w:r w:rsidR="00E510F8" w:rsidRPr="00B35171">
        <w:rPr>
          <w:color w:val="000000" w:themeColor="text1"/>
        </w:rPr>
        <w:t xml:space="preserve"> </w:t>
      </w:r>
      <w:r w:rsidRPr="00B35171">
        <w:rPr>
          <w:color w:val="000000" w:themeColor="text1"/>
        </w:rPr>
        <w:t>d ’œil), peut-être plus encore que le</w:t>
      </w:r>
      <w:r w:rsidR="00ED0F59" w:rsidRPr="00B35171">
        <w:rPr>
          <w:color w:val="000000" w:themeColor="text1"/>
        </w:rPr>
        <w:t>s</w:t>
      </w:r>
      <w:r w:rsidRPr="00B35171">
        <w:rPr>
          <w:color w:val="000000" w:themeColor="text1"/>
        </w:rPr>
        <w:t xml:space="preserve"> contenu</w:t>
      </w:r>
      <w:r w:rsidR="00ED0F59" w:rsidRPr="00B35171">
        <w:rPr>
          <w:color w:val="000000" w:themeColor="text1"/>
        </w:rPr>
        <w:t>s</w:t>
      </w:r>
      <w:r w:rsidRPr="00B35171">
        <w:rPr>
          <w:color w:val="000000" w:themeColor="text1"/>
        </w:rPr>
        <w:t xml:space="preserve"> sémantique</w:t>
      </w:r>
      <w:r w:rsidR="00ED0F59" w:rsidRPr="00B35171">
        <w:rPr>
          <w:color w:val="000000" w:themeColor="text1"/>
        </w:rPr>
        <w:t>s</w:t>
      </w:r>
      <w:r w:rsidRPr="00B35171">
        <w:rPr>
          <w:color w:val="000000" w:themeColor="text1"/>
        </w:rPr>
        <w:t xml:space="preserve"> des propos, </w:t>
      </w:r>
      <w:r w:rsidR="00ED0F59" w:rsidRPr="00B35171">
        <w:rPr>
          <w:color w:val="000000" w:themeColor="text1"/>
        </w:rPr>
        <w:t>sont</w:t>
      </w:r>
      <w:r w:rsidRPr="00B35171">
        <w:rPr>
          <w:color w:val="000000" w:themeColor="text1"/>
        </w:rPr>
        <w:t xml:space="preserve"> d’une extrême importance dans ce cas-ci : il</w:t>
      </w:r>
      <w:r w:rsidR="00ED0F59" w:rsidRPr="00B35171">
        <w:rPr>
          <w:color w:val="000000" w:themeColor="text1"/>
        </w:rPr>
        <w:t>s</w:t>
      </w:r>
      <w:r w:rsidRPr="00B35171">
        <w:rPr>
          <w:color w:val="000000" w:themeColor="text1"/>
        </w:rPr>
        <w:t xml:space="preserve"> dénote</w:t>
      </w:r>
      <w:r w:rsidR="00ED0F59" w:rsidRPr="00B35171">
        <w:rPr>
          <w:color w:val="000000" w:themeColor="text1"/>
        </w:rPr>
        <w:t>nt</w:t>
      </w:r>
      <w:r w:rsidRPr="00B35171">
        <w:rPr>
          <w:color w:val="000000" w:themeColor="text1"/>
        </w:rPr>
        <w:t>, signifie</w:t>
      </w:r>
      <w:r w:rsidR="00ED0F59" w:rsidRPr="00B35171">
        <w:rPr>
          <w:color w:val="000000" w:themeColor="text1"/>
        </w:rPr>
        <w:t>nt</w:t>
      </w:r>
      <w:r w:rsidRPr="00B35171">
        <w:rPr>
          <w:color w:val="000000" w:themeColor="text1"/>
        </w:rPr>
        <w:t xml:space="preserve"> et rappelle</w:t>
      </w:r>
      <w:r w:rsidR="00ED0F59" w:rsidRPr="00B35171">
        <w:rPr>
          <w:color w:val="000000" w:themeColor="text1"/>
        </w:rPr>
        <w:t>nt</w:t>
      </w:r>
      <w:r w:rsidRPr="00B35171">
        <w:rPr>
          <w:color w:val="000000" w:themeColor="text1"/>
        </w:rPr>
        <w:t xml:space="preserve"> aux différents interlocuteurs la dimension de complicité que </w:t>
      </w:r>
      <w:r w:rsidR="00ED0F59" w:rsidRPr="00B35171">
        <w:rPr>
          <w:color w:val="000000" w:themeColor="text1"/>
        </w:rPr>
        <w:t>ceux-ci</w:t>
      </w:r>
      <w:r w:rsidRPr="00B35171">
        <w:rPr>
          <w:color w:val="000000" w:themeColor="text1"/>
        </w:rPr>
        <w:t xml:space="preserve"> entretiennent et que nous avons not</w:t>
      </w:r>
      <w:r w:rsidR="00E510F8" w:rsidRPr="00B35171">
        <w:rPr>
          <w:color w:val="000000" w:themeColor="text1"/>
        </w:rPr>
        <w:t>ée</w:t>
      </w:r>
      <w:r w:rsidRPr="00B35171">
        <w:rPr>
          <w:color w:val="000000" w:themeColor="text1"/>
        </w:rPr>
        <w:t xml:space="preserve"> plus haut — cette complicité, ou plutôt cette monstration de complicité s’appuyant sur la connaissance et la reconnaissance de la dimension « bricolée » de leurs actions pratiques. </w:t>
      </w:r>
      <w:r w:rsidR="00F85E63" w:rsidRPr="00B35171">
        <w:rPr>
          <w:color w:val="000000" w:themeColor="text1"/>
        </w:rPr>
        <w:t xml:space="preserve">Ainsi, </w:t>
      </w:r>
      <w:r w:rsidRPr="00B35171">
        <w:rPr>
          <w:color w:val="000000" w:themeColor="text1"/>
        </w:rPr>
        <w:t>« </w:t>
      </w:r>
      <w:r w:rsidR="00F85E63" w:rsidRPr="00B35171">
        <w:rPr>
          <w:color w:val="000000" w:themeColor="text1"/>
        </w:rPr>
        <w:t>b</w:t>
      </w:r>
      <w:r w:rsidRPr="00B35171">
        <w:rPr>
          <w:color w:val="000000" w:themeColor="text1"/>
        </w:rPr>
        <w:t xml:space="preserve">ricoler », « s’arranger », « se débrouiller », c’est participer, pour les </w:t>
      </w:r>
      <w:r w:rsidR="00CD6013" w:rsidRPr="00B35171">
        <w:rPr>
          <w:color w:val="000000" w:themeColor="text1"/>
        </w:rPr>
        <w:t>c</w:t>
      </w:r>
      <w:r w:rsidRPr="00B35171">
        <w:rPr>
          <w:color w:val="000000" w:themeColor="text1"/>
        </w:rPr>
        <w:t>onseillers RFIE, à une véritable vision du monde coordonnant et régulant l’action pratique.</w:t>
      </w:r>
    </w:p>
    <w:p w14:paraId="1DE444CA" w14:textId="77777777" w:rsidR="009F344D" w:rsidRPr="00B35171" w:rsidRDefault="009F344D" w:rsidP="009F344D">
      <w:pPr>
        <w:spacing w:line="276" w:lineRule="auto"/>
        <w:jc w:val="both"/>
        <w:rPr>
          <w:color w:val="000000" w:themeColor="text1"/>
        </w:rPr>
      </w:pPr>
    </w:p>
    <w:p w14:paraId="592FB480" w14:textId="0E8E5ECC" w:rsidR="009F344D" w:rsidRPr="00B35171" w:rsidRDefault="009F344D" w:rsidP="00650F8C">
      <w:pPr>
        <w:pStyle w:val="Titre2"/>
        <w:spacing w:line="276" w:lineRule="auto"/>
        <w:jc w:val="both"/>
        <w:rPr>
          <w:b/>
          <w:bCs/>
          <w:color w:val="000000" w:themeColor="text1"/>
        </w:rPr>
      </w:pPr>
      <w:bookmarkStart w:id="23" w:name="_Toc118374774"/>
      <w:bookmarkStart w:id="24" w:name="_Toc118807824"/>
      <w:bookmarkStart w:id="25" w:name="_Toc120019804"/>
      <w:r w:rsidRPr="00B35171">
        <w:rPr>
          <w:color w:val="000000" w:themeColor="text1"/>
        </w:rPr>
        <w:t>Bricolage</w:t>
      </w:r>
      <w:r w:rsidR="00383ABB" w:rsidRPr="00B35171">
        <w:rPr>
          <w:color w:val="000000" w:themeColor="text1"/>
        </w:rPr>
        <w:t>s</w:t>
      </w:r>
      <w:r w:rsidR="00707F5C" w:rsidRPr="00B35171">
        <w:rPr>
          <w:color w:val="000000" w:themeColor="text1"/>
        </w:rPr>
        <w:t xml:space="preserve">, </w:t>
      </w:r>
      <w:r w:rsidR="004A2880" w:rsidRPr="00B35171">
        <w:rPr>
          <w:color w:val="000000" w:themeColor="text1"/>
        </w:rPr>
        <w:t xml:space="preserve">inventivité pratique </w:t>
      </w:r>
      <w:r w:rsidR="00707F5C" w:rsidRPr="00B35171">
        <w:rPr>
          <w:color w:val="000000" w:themeColor="text1"/>
        </w:rPr>
        <w:t>et</w:t>
      </w:r>
      <w:r w:rsidRPr="00B35171">
        <w:rPr>
          <w:color w:val="000000" w:themeColor="text1"/>
        </w:rPr>
        <w:t xml:space="preserve"> arrangement</w:t>
      </w:r>
      <w:r w:rsidR="00383ABB" w:rsidRPr="00B35171">
        <w:rPr>
          <w:color w:val="000000" w:themeColor="text1"/>
        </w:rPr>
        <w:t>s</w:t>
      </w:r>
      <w:r w:rsidR="00707F5C" w:rsidRPr="00B35171">
        <w:rPr>
          <w:color w:val="000000" w:themeColor="text1"/>
        </w:rPr>
        <w:t xml:space="preserve"> </w:t>
      </w:r>
      <w:r w:rsidRPr="00B35171">
        <w:rPr>
          <w:color w:val="000000" w:themeColor="text1"/>
        </w:rPr>
        <w:t xml:space="preserve">: un « simple » continuum de </w:t>
      </w:r>
      <w:r w:rsidRPr="00B35171">
        <w:rPr>
          <w:i/>
          <w:iCs/>
          <w:color w:val="000000" w:themeColor="text1"/>
        </w:rPr>
        <w:t>l’action pratique</w:t>
      </w:r>
      <w:r w:rsidRPr="00B35171">
        <w:rPr>
          <w:color w:val="000000" w:themeColor="text1"/>
        </w:rPr>
        <w:t> ?</w:t>
      </w:r>
      <w:bookmarkEnd w:id="23"/>
      <w:bookmarkEnd w:id="24"/>
      <w:bookmarkEnd w:id="25"/>
    </w:p>
    <w:p w14:paraId="162C7868" w14:textId="77777777" w:rsidR="009F344D" w:rsidRPr="00B35171" w:rsidRDefault="009F344D" w:rsidP="009F344D">
      <w:pPr>
        <w:spacing w:line="276" w:lineRule="auto"/>
        <w:jc w:val="both"/>
        <w:rPr>
          <w:color w:val="000000" w:themeColor="text1"/>
        </w:rPr>
      </w:pPr>
    </w:p>
    <w:p w14:paraId="49EC344E" w14:textId="4F14DE62" w:rsidR="00380E3F" w:rsidRPr="00B35171" w:rsidRDefault="009F344D" w:rsidP="009F344D">
      <w:pPr>
        <w:spacing w:line="276" w:lineRule="auto"/>
        <w:jc w:val="both"/>
        <w:rPr>
          <w:color w:val="000000" w:themeColor="text1"/>
        </w:rPr>
      </w:pPr>
      <w:r w:rsidRPr="00B35171">
        <w:rPr>
          <w:color w:val="000000" w:themeColor="text1"/>
        </w:rPr>
        <w:t xml:space="preserve">On le voit, les acteurs que sont les </w:t>
      </w:r>
      <w:r w:rsidR="00481C8A" w:rsidRPr="00B35171">
        <w:rPr>
          <w:color w:val="000000" w:themeColor="text1"/>
        </w:rPr>
        <w:t>c</w:t>
      </w:r>
      <w:r w:rsidRPr="00B35171">
        <w:rPr>
          <w:color w:val="000000" w:themeColor="text1"/>
        </w:rPr>
        <w:t xml:space="preserve">onseillers RFIE organisent la plupart de leurs échanges et actions pratiques au moyen du régime de l’arrangement. Mais ce que l’analyse ici met en évidence c’est, nous semble-t-il, la nature paradoxale de ce régime. En effet, pour les acteurs </w:t>
      </w:r>
      <w:r w:rsidR="004A2880" w:rsidRPr="00B35171">
        <w:rPr>
          <w:color w:val="000000" w:themeColor="text1"/>
        </w:rPr>
        <w:t>pris</w:t>
      </w:r>
      <w:r w:rsidRPr="00B35171">
        <w:rPr>
          <w:color w:val="000000" w:themeColor="text1"/>
        </w:rPr>
        <w:t xml:space="preserve"> dans l’action, l’arrangement n’est ici nullement un écart réalisé en face d’une règle quelconque : </w:t>
      </w:r>
      <w:r w:rsidRPr="00B35171">
        <w:rPr>
          <w:i/>
          <w:iCs/>
          <w:color w:val="000000" w:themeColor="text1"/>
        </w:rPr>
        <w:t>au sens pratique, l’arrangement est la règle</w:t>
      </w:r>
      <w:r w:rsidRPr="00B35171">
        <w:rPr>
          <w:color w:val="000000" w:themeColor="text1"/>
        </w:rPr>
        <w:t>. A cet égard, notre approche de la problématique par la porte d’entrée de l’ethnométhodologie nous a permis d’éviter une analyse de nos données « trop vite théorisée »</w:t>
      </w:r>
      <w:r w:rsidR="00433AB0" w:rsidRPr="00B35171">
        <w:rPr>
          <w:rStyle w:val="Appelnotedebasdep"/>
          <w:color w:val="000000" w:themeColor="text1"/>
        </w:rPr>
        <w:footnoteReference w:id="42"/>
      </w:r>
      <w:r w:rsidRPr="00B35171">
        <w:rPr>
          <w:color w:val="000000" w:themeColor="text1"/>
          <w:lang w:val="fr-FR"/>
        </w:rPr>
        <w:t xml:space="preserve">, et ce faisant, nous </w:t>
      </w:r>
      <w:r w:rsidR="001D4926" w:rsidRPr="00B35171">
        <w:rPr>
          <w:color w:val="000000" w:themeColor="text1"/>
          <w:lang w:val="fr-FR"/>
        </w:rPr>
        <w:t>octroie</w:t>
      </w:r>
      <w:r w:rsidRPr="00B35171">
        <w:rPr>
          <w:color w:val="000000" w:themeColor="text1"/>
          <w:lang w:val="fr-FR"/>
        </w:rPr>
        <w:t xml:space="preserve"> la possibilité de « découvrir » et puis ensuite de formuler la proposition paradoxale susmentionnée</w:t>
      </w:r>
      <w:r w:rsidR="000862C1" w:rsidRPr="00B35171">
        <w:rPr>
          <w:color w:val="000000" w:themeColor="text1"/>
          <w:lang w:val="fr-FR"/>
        </w:rPr>
        <w:t xml:space="preserve"> et mis</w:t>
      </w:r>
      <w:r w:rsidR="00481C8A" w:rsidRPr="00B35171">
        <w:rPr>
          <w:color w:val="000000" w:themeColor="text1"/>
          <w:lang w:val="fr-FR"/>
        </w:rPr>
        <w:t>e</w:t>
      </w:r>
      <w:r w:rsidR="000862C1" w:rsidRPr="00B35171">
        <w:rPr>
          <w:color w:val="000000" w:themeColor="text1"/>
          <w:lang w:val="fr-FR"/>
        </w:rPr>
        <w:t xml:space="preserve"> en exergue</w:t>
      </w:r>
      <w:r w:rsidRPr="00B35171">
        <w:rPr>
          <w:color w:val="000000" w:themeColor="text1"/>
          <w:lang w:val="fr-FR"/>
        </w:rPr>
        <w:t>. La question centrale d’une telle approche est bien la suivante : « savoir comment les acteurs produisent leur monde, quelles règles les engendrent et gouvernent le jugement »</w:t>
      </w:r>
      <w:r w:rsidR="00433AB0" w:rsidRPr="00B35171">
        <w:rPr>
          <w:rStyle w:val="Appelnotedebasdep"/>
          <w:color w:val="000000" w:themeColor="text1"/>
        </w:rPr>
        <w:footnoteReference w:id="43"/>
      </w:r>
      <w:r w:rsidRPr="00B35171">
        <w:rPr>
          <w:color w:val="000000" w:themeColor="text1"/>
          <w:lang w:val="fr-FR"/>
        </w:rPr>
        <w:t>. Et quelle autre règle que celle de l’arrangement — entendu comme </w:t>
      </w:r>
      <w:r w:rsidR="000862C1" w:rsidRPr="00B35171">
        <w:rPr>
          <w:color w:val="000000" w:themeColor="text1"/>
          <w:lang w:val="fr-FR"/>
        </w:rPr>
        <w:t>« </w:t>
      </w:r>
      <w:r w:rsidRPr="00B35171">
        <w:rPr>
          <w:color w:val="000000" w:themeColor="text1"/>
          <w:lang w:val="fr-FR"/>
        </w:rPr>
        <w:t xml:space="preserve">bricolage », </w:t>
      </w:r>
      <w:r w:rsidR="00536065" w:rsidRPr="00B35171">
        <w:rPr>
          <w:color w:val="000000" w:themeColor="text1"/>
          <w:lang w:val="fr-FR"/>
        </w:rPr>
        <w:t>« </w:t>
      </w:r>
      <w:r w:rsidRPr="00B35171">
        <w:rPr>
          <w:color w:val="000000" w:themeColor="text1"/>
          <w:lang w:val="fr-FR"/>
        </w:rPr>
        <w:t>débrouille</w:t>
      </w:r>
      <w:r w:rsidR="00536065" w:rsidRPr="00B35171">
        <w:rPr>
          <w:color w:val="000000" w:themeColor="text1"/>
          <w:lang w:val="fr-FR"/>
        </w:rPr>
        <w:t> »</w:t>
      </w:r>
      <w:r w:rsidR="004A2880" w:rsidRPr="00B35171">
        <w:rPr>
          <w:color w:val="000000" w:themeColor="text1"/>
          <w:lang w:val="fr-FR"/>
        </w:rPr>
        <w:t>,</w:t>
      </w:r>
      <w:r w:rsidR="00536065" w:rsidRPr="00B35171">
        <w:rPr>
          <w:color w:val="000000" w:themeColor="text1"/>
          <w:lang w:val="fr-FR"/>
        </w:rPr>
        <w:t> « i</w:t>
      </w:r>
      <w:r w:rsidR="004A2880" w:rsidRPr="00B35171">
        <w:rPr>
          <w:color w:val="000000" w:themeColor="text1"/>
          <w:lang w:val="fr-FR"/>
        </w:rPr>
        <w:t>nventivité pratique</w:t>
      </w:r>
      <w:r w:rsidR="00536065" w:rsidRPr="00B35171">
        <w:rPr>
          <w:color w:val="000000" w:themeColor="text1"/>
          <w:lang w:val="fr-FR"/>
        </w:rPr>
        <w:t> »</w:t>
      </w:r>
      <w:r w:rsidRPr="00B35171">
        <w:rPr>
          <w:color w:val="000000" w:themeColor="text1"/>
          <w:lang w:val="fr-FR"/>
        </w:rPr>
        <w:t xml:space="preserve"> — permettrait donc aux </w:t>
      </w:r>
      <w:r w:rsidR="00481C8A" w:rsidRPr="00B35171">
        <w:rPr>
          <w:color w:val="000000" w:themeColor="text1"/>
          <w:lang w:val="fr-FR"/>
        </w:rPr>
        <w:t>c</w:t>
      </w:r>
      <w:r w:rsidRPr="00B35171">
        <w:rPr>
          <w:color w:val="000000" w:themeColor="text1"/>
          <w:lang w:val="fr-FR"/>
        </w:rPr>
        <w:t>onseillers RFIE d’engendrer leur monde (comprendre</w:t>
      </w:r>
      <w:r w:rsidR="000862C1" w:rsidRPr="00B35171">
        <w:rPr>
          <w:color w:val="000000" w:themeColor="text1"/>
          <w:lang w:val="fr-FR"/>
        </w:rPr>
        <w:t> :</w:t>
      </w:r>
      <w:r w:rsidR="007C65C8" w:rsidRPr="00B35171">
        <w:rPr>
          <w:color w:val="000000" w:themeColor="text1"/>
          <w:lang w:val="fr-FR"/>
        </w:rPr>
        <w:t xml:space="preserve"> déployer</w:t>
      </w:r>
      <w:r w:rsidRPr="00B35171">
        <w:rPr>
          <w:color w:val="000000" w:themeColor="text1"/>
          <w:lang w:val="fr-FR"/>
        </w:rPr>
        <w:t xml:space="preserve"> leur activité professionnelle commune) ? </w:t>
      </w:r>
      <w:r w:rsidR="000862C1" w:rsidRPr="00B35171">
        <w:rPr>
          <w:color w:val="000000" w:themeColor="text1"/>
          <w:lang w:val="fr-FR"/>
        </w:rPr>
        <w:t>Ce</w:t>
      </w:r>
      <w:r w:rsidRPr="00B35171">
        <w:rPr>
          <w:color w:val="000000" w:themeColor="text1"/>
          <w:lang w:val="fr-FR"/>
        </w:rPr>
        <w:t xml:space="preserve"> cas ethnographique nous permet ainsi d’approfondir notre compréhension du régime d’action de l’arrangement ; ou, mieux encore, il nous autorise à en dire quelque chose sur </w:t>
      </w:r>
      <w:r w:rsidR="00CD6013" w:rsidRPr="00B35171">
        <w:rPr>
          <w:color w:val="000000" w:themeColor="text1"/>
          <w:lang w:val="fr-FR"/>
        </w:rPr>
        <w:t>s</w:t>
      </w:r>
      <w:r w:rsidRPr="00B35171">
        <w:rPr>
          <w:color w:val="000000" w:themeColor="text1"/>
          <w:lang w:val="fr-FR"/>
        </w:rPr>
        <w:t xml:space="preserve">es modalités de réalisations pratiques potentielles. En effet, s’arranger, jouer avec la règle, cela ne se fait jamais aussi simplement que cela : les acteurs, dans leurs actions pratiques, s’appuyant sur le </w:t>
      </w:r>
      <w:r w:rsidRPr="00B35171">
        <w:rPr>
          <w:color w:val="000000" w:themeColor="text1"/>
        </w:rPr>
        <w:t>« socle routinier des activités ordinaires »</w:t>
      </w:r>
      <w:r w:rsidR="00EE7D80" w:rsidRPr="00B35171">
        <w:rPr>
          <w:rStyle w:val="Appelnotedebasdep"/>
          <w:color w:val="000000" w:themeColor="text1"/>
        </w:rPr>
        <w:footnoteReference w:id="44"/>
      </w:r>
      <w:r w:rsidR="00EE7D80" w:rsidRPr="00B35171">
        <w:rPr>
          <w:color w:val="000000" w:themeColor="text1"/>
        </w:rPr>
        <w:t xml:space="preserve"> </w:t>
      </w:r>
      <w:r w:rsidRPr="00B35171">
        <w:rPr>
          <w:color w:val="000000" w:themeColor="text1"/>
        </w:rPr>
        <w:t>pour donner du sens à leurs actions, ne se contentent pas d’identifier une ou des règle</w:t>
      </w:r>
      <w:r w:rsidR="00CD6013" w:rsidRPr="00B35171">
        <w:rPr>
          <w:color w:val="000000" w:themeColor="text1"/>
        </w:rPr>
        <w:t>(</w:t>
      </w:r>
      <w:r w:rsidRPr="00B35171">
        <w:rPr>
          <w:color w:val="000000" w:themeColor="text1"/>
        </w:rPr>
        <w:t>s</w:t>
      </w:r>
      <w:r w:rsidR="00CD6013" w:rsidRPr="00B35171">
        <w:rPr>
          <w:color w:val="000000" w:themeColor="text1"/>
        </w:rPr>
        <w:t>)</w:t>
      </w:r>
      <w:r w:rsidRPr="00B35171">
        <w:rPr>
          <w:color w:val="000000" w:themeColor="text1"/>
        </w:rPr>
        <w:t xml:space="preserve"> à transgresser si besoin est. Bien qu’ils suivent </w:t>
      </w:r>
      <w:r w:rsidRPr="00B35171">
        <w:rPr>
          <w:color w:val="000000" w:themeColor="text1"/>
        </w:rPr>
        <w:lastRenderedPageBreak/>
        <w:t>effectivement — c’est-à-dire, pratiquement — des règles</w:t>
      </w:r>
      <w:r w:rsidR="00433AB0" w:rsidRPr="00B35171">
        <w:rPr>
          <w:rStyle w:val="Appelnotedebasdep"/>
          <w:color w:val="000000" w:themeColor="text1"/>
        </w:rPr>
        <w:footnoteReference w:id="45"/>
      </w:r>
      <w:r w:rsidRPr="00B35171">
        <w:rPr>
          <w:color w:val="000000" w:themeColor="text1"/>
        </w:rPr>
        <w:t>, ils le font systématiquement en se positionnant dans un espace social particulier — un contexte</w:t>
      </w:r>
      <w:r w:rsidR="003B6824" w:rsidRPr="00B35171">
        <w:rPr>
          <w:rStyle w:val="Appelnotedebasdep"/>
          <w:color w:val="000000" w:themeColor="text1"/>
        </w:rPr>
        <w:footnoteReference w:id="46"/>
      </w:r>
      <w:r w:rsidRPr="00B35171">
        <w:rPr>
          <w:color w:val="000000" w:themeColor="text1"/>
        </w:rPr>
        <w:t>. Ce positionnement, réflexif, motivé par toute une série de raisons — s’étendant de la nécessité d’incarner le</w:t>
      </w:r>
      <w:r w:rsidRPr="00B35171">
        <w:rPr>
          <w:i/>
          <w:iCs/>
          <w:color w:val="000000" w:themeColor="text1"/>
        </w:rPr>
        <w:t xml:space="preserve"> social </w:t>
      </w:r>
      <w:proofErr w:type="spellStart"/>
      <w:r w:rsidRPr="00B35171">
        <w:rPr>
          <w:i/>
          <w:iCs/>
          <w:color w:val="000000" w:themeColor="text1"/>
        </w:rPr>
        <w:t>role</w:t>
      </w:r>
      <w:proofErr w:type="spellEnd"/>
      <w:r w:rsidR="00433AB0" w:rsidRPr="00B35171">
        <w:rPr>
          <w:rStyle w:val="Appelnotedebasdep"/>
          <w:color w:val="000000" w:themeColor="text1"/>
        </w:rPr>
        <w:footnoteReference w:id="47"/>
      </w:r>
      <w:r w:rsidRPr="00B35171">
        <w:rPr>
          <w:color w:val="000000" w:themeColor="text1"/>
        </w:rPr>
        <w:t xml:space="preserve"> qu’ils pensent devoir être le leur jusqu’à la prise en compte des contraintes pratiques de l’interaction située — rétroagi</w:t>
      </w:r>
      <w:r w:rsidR="00481C8A" w:rsidRPr="00B35171">
        <w:rPr>
          <w:color w:val="000000" w:themeColor="text1"/>
        </w:rPr>
        <w:t>t</w:t>
      </w:r>
      <w:r w:rsidRPr="00B35171">
        <w:rPr>
          <w:color w:val="000000" w:themeColor="text1"/>
        </w:rPr>
        <w:t xml:space="preserve"> sur l’action, sur sa lecture et sur la définition de ses enjeux</w:t>
      </w:r>
      <w:r w:rsidR="00EE7D80" w:rsidRPr="00B35171">
        <w:rPr>
          <w:rStyle w:val="Appelnotedebasdep"/>
          <w:color w:val="000000" w:themeColor="text1"/>
        </w:rPr>
        <w:footnoteReference w:id="48"/>
      </w:r>
      <w:r w:rsidRPr="00B35171">
        <w:rPr>
          <w:color w:val="000000" w:themeColor="text1"/>
        </w:rPr>
        <w:t xml:space="preserve">. Cela étant, nul ne peut garantir le mode opératoire d’un régime d’action </w:t>
      </w:r>
      <w:r w:rsidRPr="00B35171">
        <w:rPr>
          <w:i/>
          <w:iCs/>
          <w:color w:val="000000" w:themeColor="text1"/>
        </w:rPr>
        <w:t>désincarné</w:t>
      </w:r>
      <w:r w:rsidRPr="00B35171">
        <w:rPr>
          <w:color w:val="000000" w:themeColor="text1"/>
        </w:rPr>
        <w:t> ; nul ne peut réduire un régime d’action à une modalité exclusive d’apparition dont les contours serai</w:t>
      </w:r>
      <w:r w:rsidR="00481C8A" w:rsidRPr="00B35171">
        <w:rPr>
          <w:color w:val="000000" w:themeColor="text1"/>
        </w:rPr>
        <w:t>en</w:t>
      </w:r>
      <w:r w:rsidRPr="00B35171">
        <w:rPr>
          <w:color w:val="000000" w:themeColor="text1"/>
        </w:rPr>
        <w:t>t connus d’avance. De fait, l’arrangement pourrait — c’est ce que le cas ici développé nous laisse supputer — n’être qu’une façon parmi tant d’autres de suivre la règle — non pas celle de l’autorité extérieure (</w:t>
      </w:r>
      <w:r w:rsidR="004A2880" w:rsidRPr="00B35171">
        <w:rPr>
          <w:color w:val="000000" w:themeColor="text1"/>
        </w:rPr>
        <w:t xml:space="preserve">ici, </w:t>
      </w:r>
      <w:r w:rsidR="000862C1" w:rsidRPr="00B35171">
        <w:rPr>
          <w:color w:val="000000" w:themeColor="text1"/>
        </w:rPr>
        <w:t>le règlement de l’université</w:t>
      </w:r>
      <w:r w:rsidRPr="00B35171">
        <w:rPr>
          <w:color w:val="000000" w:themeColor="text1"/>
        </w:rPr>
        <w:t>) mais bien plutôt celle d’une nécessité endogène, celle du groupe en train de se former en tant que groupe</w:t>
      </w:r>
      <w:r w:rsidR="00433AB0" w:rsidRPr="00B35171">
        <w:rPr>
          <w:rStyle w:val="Appelnotedebasdep"/>
          <w:color w:val="000000" w:themeColor="text1"/>
        </w:rPr>
        <w:footnoteReference w:id="49"/>
      </w:r>
      <w:r w:rsidRPr="00B35171">
        <w:rPr>
          <w:color w:val="000000" w:themeColor="text1"/>
        </w:rPr>
        <w:t xml:space="preserve">. Dans ce cas, que serait le régime d’action de l’arrangement sinon </w:t>
      </w:r>
      <w:r w:rsidR="004A2880" w:rsidRPr="00B35171">
        <w:rPr>
          <w:color w:val="000000" w:themeColor="text1"/>
        </w:rPr>
        <w:t>un</w:t>
      </w:r>
      <w:r w:rsidRPr="00B35171">
        <w:rPr>
          <w:color w:val="000000" w:themeColor="text1"/>
        </w:rPr>
        <w:t xml:space="preserve"> synonyme conceptuel de l’action pratique </w:t>
      </w:r>
      <w:r w:rsidRPr="00B35171">
        <w:rPr>
          <w:i/>
          <w:iCs/>
          <w:color w:val="000000" w:themeColor="text1"/>
        </w:rPr>
        <w:t>per se</w:t>
      </w:r>
      <w:r w:rsidRPr="00B35171">
        <w:rPr>
          <w:color w:val="000000" w:themeColor="text1"/>
        </w:rPr>
        <w:t> ? Ou, pour dire les choses autrement, étudie-t-on jamais autre chose</w:t>
      </w:r>
      <w:r w:rsidR="000862C1" w:rsidRPr="00B35171">
        <w:rPr>
          <w:color w:val="000000" w:themeColor="text1"/>
        </w:rPr>
        <w:t>,</w:t>
      </w:r>
      <w:r w:rsidRPr="00B35171">
        <w:rPr>
          <w:color w:val="000000" w:themeColor="text1"/>
        </w:rPr>
        <w:t xml:space="preserve"> lorsqu’on s’intéresse à l’action pratique des individus</w:t>
      </w:r>
      <w:r w:rsidR="000862C1" w:rsidRPr="00B35171">
        <w:rPr>
          <w:color w:val="000000" w:themeColor="text1"/>
        </w:rPr>
        <w:t>,</w:t>
      </w:r>
      <w:r w:rsidRPr="00B35171">
        <w:rPr>
          <w:color w:val="000000" w:themeColor="text1"/>
        </w:rPr>
        <w:t xml:space="preserve"> que leur façon de s’arranger, entre eux, avec leurs propres règles et avec l</w:t>
      </w:r>
      <w:r w:rsidR="00F55FE6" w:rsidRPr="00B35171">
        <w:rPr>
          <w:color w:val="000000" w:themeColor="text1"/>
        </w:rPr>
        <w:t>es règlements</w:t>
      </w:r>
      <w:r w:rsidRPr="00B35171">
        <w:rPr>
          <w:color w:val="000000" w:themeColor="text1"/>
        </w:rPr>
        <w:t xml:space="preserve"> ? </w:t>
      </w:r>
    </w:p>
    <w:p w14:paraId="517A98B3" w14:textId="1867F94F" w:rsidR="00380E3F" w:rsidRPr="00B35171" w:rsidRDefault="00380E3F" w:rsidP="00380E3F">
      <w:pPr>
        <w:pStyle w:val="Titre1"/>
        <w:rPr>
          <w:color w:val="000000" w:themeColor="text1"/>
        </w:rPr>
      </w:pPr>
      <w:bookmarkStart w:id="26" w:name="_Toc120019805"/>
      <w:r w:rsidRPr="00B35171">
        <w:rPr>
          <w:color w:val="000000" w:themeColor="text1"/>
        </w:rPr>
        <w:t>Conclusion</w:t>
      </w:r>
      <w:bookmarkEnd w:id="26"/>
    </w:p>
    <w:p w14:paraId="6CE37094" w14:textId="77777777" w:rsidR="009F344D" w:rsidRPr="00B35171" w:rsidRDefault="009F344D" w:rsidP="009F344D">
      <w:pPr>
        <w:spacing w:line="276" w:lineRule="auto"/>
        <w:jc w:val="both"/>
        <w:rPr>
          <w:color w:val="000000" w:themeColor="text1"/>
        </w:rPr>
      </w:pPr>
    </w:p>
    <w:p w14:paraId="3E77128E" w14:textId="718E217D" w:rsidR="0036138D" w:rsidRPr="00972E27" w:rsidRDefault="009F344D" w:rsidP="009F344D">
      <w:pPr>
        <w:spacing w:line="276" w:lineRule="auto"/>
        <w:jc w:val="both"/>
        <w:rPr>
          <w:color w:val="000000" w:themeColor="text1"/>
        </w:rPr>
      </w:pPr>
      <w:r w:rsidRPr="00B35171">
        <w:rPr>
          <w:color w:val="000000" w:themeColor="text1"/>
        </w:rPr>
        <w:t xml:space="preserve">Conceptuellement, un tel propos a bien évidemment des implications, et notamment, semble-t-il à première vue, celle de déforcer le régime d’action de l’arrangement en tant que concept sociologique d’analyse. Mais, à bien y regarder de plus près — c’est-à-dire, au plus près de l’action pratique des individus — ce régime particulier d’action est peut-être bien ce qui, parce qu’il est au cœur de l’action pratique — parce qu’il </w:t>
      </w:r>
      <w:r w:rsidRPr="00B35171">
        <w:rPr>
          <w:i/>
          <w:iCs/>
          <w:color w:val="000000" w:themeColor="text1"/>
        </w:rPr>
        <w:t>est</w:t>
      </w:r>
      <w:r w:rsidRPr="00B35171">
        <w:rPr>
          <w:color w:val="000000" w:themeColor="text1"/>
        </w:rPr>
        <w:t xml:space="preserve"> l’action pratique —, est le moins bien connu et théorisé des sciences sociales. Par conséquent, loin d’être déforcé, ce dernier concept se voit propuls</w:t>
      </w:r>
      <w:r w:rsidR="00DD238C" w:rsidRPr="00B35171">
        <w:rPr>
          <w:color w:val="000000" w:themeColor="text1"/>
        </w:rPr>
        <w:t>é</w:t>
      </w:r>
      <w:r w:rsidRPr="00B35171">
        <w:rPr>
          <w:color w:val="000000" w:themeColor="text1"/>
        </w:rPr>
        <w:t xml:space="preserve"> au rang d’objet central d’analyse dont la cartographie, encore à faire, ébauchée par </w:t>
      </w:r>
      <w:proofErr w:type="spellStart"/>
      <w:r w:rsidRPr="00B35171">
        <w:rPr>
          <w:color w:val="000000" w:themeColor="text1"/>
        </w:rPr>
        <w:t>Nachi</w:t>
      </w:r>
      <w:proofErr w:type="spellEnd"/>
      <w:r w:rsidR="00EE7D80" w:rsidRPr="00B35171">
        <w:rPr>
          <w:rStyle w:val="Appelnotedebasdep"/>
          <w:color w:val="000000" w:themeColor="text1"/>
        </w:rPr>
        <w:footnoteReference w:id="50"/>
      </w:r>
      <w:r w:rsidR="003B6824" w:rsidRPr="00B35171">
        <w:rPr>
          <w:color w:val="000000" w:themeColor="text1"/>
        </w:rPr>
        <w:t>,</w:t>
      </w:r>
      <w:r w:rsidRPr="00B35171">
        <w:rPr>
          <w:color w:val="000000" w:themeColor="text1"/>
        </w:rPr>
        <w:t xml:space="preserve"> nécessite d’être complété</w:t>
      </w:r>
      <w:r w:rsidR="00DD238C" w:rsidRPr="00B35171">
        <w:rPr>
          <w:color w:val="000000" w:themeColor="text1"/>
        </w:rPr>
        <w:t>e</w:t>
      </w:r>
      <w:r w:rsidRPr="00B35171">
        <w:rPr>
          <w:color w:val="000000" w:themeColor="text1"/>
        </w:rPr>
        <w:t xml:space="preserve"> et am</w:t>
      </w:r>
      <w:r w:rsidR="00DD238C" w:rsidRPr="00B35171">
        <w:rPr>
          <w:color w:val="000000" w:themeColor="text1"/>
        </w:rPr>
        <w:t>e</w:t>
      </w:r>
      <w:r w:rsidRPr="00B35171">
        <w:rPr>
          <w:color w:val="000000" w:themeColor="text1"/>
        </w:rPr>
        <w:t>ndée</w:t>
      </w:r>
      <w:r w:rsidR="003B2B55" w:rsidRPr="00B35171">
        <w:rPr>
          <w:color w:val="000000" w:themeColor="text1"/>
        </w:rPr>
        <w:t xml:space="preserve"> </w:t>
      </w:r>
      <w:r w:rsidRPr="00B35171">
        <w:rPr>
          <w:color w:val="000000" w:themeColor="text1"/>
        </w:rPr>
        <w:t xml:space="preserve">— sous peine, sinon, de rater l’essentiel de l’enjeu proprement sociologique des interactions. Ce que laisse à voir notre description ethnographique du travail des </w:t>
      </w:r>
      <w:r w:rsidR="00DD238C" w:rsidRPr="00B35171">
        <w:rPr>
          <w:color w:val="000000" w:themeColor="text1"/>
        </w:rPr>
        <w:t>c</w:t>
      </w:r>
      <w:r w:rsidRPr="00B35171">
        <w:rPr>
          <w:color w:val="000000" w:themeColor="text1"/>
        </w:rPr>
        <w:t xml:space="preserve">onseillers RFIE est bien la dimension </w:t>
      </w:r>
      <w:r w:rsidRPr="00B35171">
        <w:rPr>
          <w:i/>
          <w:iCs/>
          <w:color w:val="000000" w:themeColor="text1"/>
        </w:rPr>
        <w:t>infra</w:t>
      </w:r>
      <w:r w:rsidRPr="00B35171">
        <w:rPr>
          <w:color w:val="000000" w:themeColor="text1"/>
        </w:rPr>
        <w:t xml:space="preserve"> de l’action pratique ; où, « une manière d’agir ou un art de faire s’inscrivant à la marge ou en deçà d’un monde ordonné et constituant, parfois, une forme de résistance aux contraintes normatives, au poids du réel »</w:t>
      </w:r>
      <w:r w:rsidR="00AE3C81" w:rsidRPr="00B35171">
        <w:rPr>
          <w:rStyle w:val="Appelnotedebasdep"/>
          <w:color w:val="000000" w:themeColor="text1"/>
        </w:rPr>
        <w:footnoteReference w:id="51"/>
      </w:r>
      <w:r w:rsidR="00AE3C81" w:rsidRPr="00B35171">
        <w:rPr>
          <w:color w:val="000000" w:themeColor="text1"/>
        </w:rPr>
        <w:t>.</w:t>
      </w:r>
      <w:r w:rsidRPr="00B35171">
        <w:rPr>
          <w:color w:val="000000" w:themeColor="text1"/>
        </w:rPr>
        <w:t xml:space="preserve"> « Les arrangements</w:t>
      </w:r>
      <w:r w:rsidR="00044638" w:rsidRPr="00B35171">
        <w:rPr>
          <w:color w:val="000000" w:themeColor="text1"/>
        </w:rPr>
        <w:t xml:space="preserve"> [</w:t>
      </w:r>
      <w:r w:rsidRPr="00B35171">
        <w:rPr>
          <w:color w:val="000000" w:themeColor="text1"/>
        </w:rPr>
        <w:t xml:space="preserve">nous dit quelques pages en amont </w:t>
      </w:r>
      <w:proofErr w:type="spellStart"/>
      <w:r w:rsidRPr="00B35171">
        <w:rPr>
          <w:color w:val="000000" w:themeColor="text1"/>
        </w:rPr>
        <w:lastRenderedPageBreak/>
        <w:t>Nachi</w:t>
      </w:r>
      <w:proofErr w:type="spellEnd"/>
      <w:r w:rsidR="00044638" w:rsidRPr="00B35171">
        <w:rPr>
          <w:color w:val="000000" w:themeColor="text1"/>
        </w:rPr>
        <w:t>]</w:t>
      </w:r>
      <w:r w:rsidRPr="00B35171">
        <w:rPr>
          <w:color w:val="000000" w:themeColor="text1"/>
        </w:rPr>
        <w:t>, servent, en effet, de toile de fond aux relations sociales dans la vie quotidienne »</w:t>
      </w:r>
      <w:r w:rsidR="00AE3C81" w:rsidRPr="00B35171">
        <w:rPr>
          <w:rStyle w:val="Appelnotedebasdep"/>
          <w:color w:val="000000" w:themeColor="text1"/>
        </w:rPr>
        <w:footnoteReference w:id="52"/>
      </w:r>
      <w:r w:rsidRPr="00B35171">
        <w:rPr>
          <w:color w:val="000000" w:themeColor="text1"/>
        </w:rPr>
        <w:t>. Si tel est le cas, existerait-il une véritable césure entre le bricolage,</w:t>
      </w:r>
      <w:r w:rsidR="004A2880" w:rsidRPr="00B35171">
        <w:rPr>
          <w:color w:val="000000" w:themeColor="text1"/>
        </w:rPr>
        <w:t xml:space="preserve"> la débrouille et </w:t>
      </w:r>
      <w:r w:rsidRPr="00B35171">
        <w:rPr>
          <w:color w:val="000000" w:themeColor="text1"/>
        </w:rPr>
        <w:t>l’arrangement</w:t>
      </w:r>
      <w:r w:rsidR="00536065" w:rsidRPr="00B35171">
        <w:rPr>
          <w:color w:val="000000" w:themeColor="text1"/>
        </w:rPr>
        <w:t> </w:t>
      </w:r>
      <w:r w:rsidRPr="00B35171">
        <w:rPr>
          <w:color w:val="000000" w:themeColor="text1"/>
        </w:rPr>
        <w:t>? Ces trois notions, entretenant entre elle</w:t>
      </w:r>
      <w:r w:rsidR="00DD238C" w:rsidRPr="00B35171">
        <w:rPr>
          <w:color w:val="000000" w:themeColor="text1"/>
        </w:rPr>
        <w:t>s</w:t>
      </w:r>
      <w:r w:rsidRPr="00B35171">
        <w:rPr>
          <w:color w:val="000000" w:themeColor="text1"/>
        </w:rPr>
        <w:t xml:space="preserve"> un puissant « air de famille », comme </w:t>
      </w:r>
      <w:r w:rsidR="003B6824" w:rsidRPr="00B35171">
        <w:rPr>
          <w:color w:val="000000" w:themeColor="text1"/>
        </w:rPr>
        <w:t xml:space="preserve">le </w:t>
      </w:r>
      <w:r w:rsidRPr="00B35171">
        <w:rPr>
          <w:color w:val="000000" w:themeColor="text1"/>
        </w:rPr>
        <w:t>dirait Witt</w:t>
      </w:r>
      <w:r w:rsidR="00AE3C81" w:rsidRPr="00B35171">
        <w:rPr>
          <w:color w:val="000000" w:themeColor="text1"/>
        </w:rPr>
        <w:t>genstein</w:t>
      </w:r>
      <w:r w:rsidR="00AE3C81" w:rsidRPr="00B35171">
        <w:rPr>
          <w:rStyle w:val="Appelnotedebasdep"/>
          <w:color w:val="000000" w:themeColor="text1"/>
        </w:rPr>
        <w:footnoteReference w:id="53"/>
      </w:r>
      <w:r w:rsidR="00AE3C81" w:rsidRPr="00B35171">
        <w:rPr>
          <w:color w:val="000000" w:themeColor="text1"/>
        </w:rPr>
        <w:t xml:space="preserve"> </w:t>
      </w:r>
      <w:r w:rsidRPr="00B35171">
        <w:rPr>
          <w:color w:val="000000" w:themeColor="text1"/>
        </w:rPr>
        <w:t>ne serai</w:t>
      </w:r>
      <w:r w:rsidR="00044638" w:rsidRPr="00B35171">
        <w:rPr>
          <w:color w:val="000000" w:themeColor="text1"/>
        </w:rPr>
        <w:t>en</w:t>
      </w:r>
      <w:r w:rsidRPr="00B35171">
        <w:rPr>
          <w:color w:val="000000" w:themeColor="text1"/>
        </w:rPr>
        <w:t>t-elle</w:t>
      </w:r>
      <w:r w:rsidR="00044638" w:rsidRPr="00B35171">
        <w:rPr>
          <w:color w:val="000000" w:themeColor="text1"/>
        </w:rPr>
        <w:t>s</w:t>
      </w:r>
      <w:r w:rsidRPr="00B35171">
        <w:rPr>
          <w:color w:val="000000" w:themeColor="text1"/>
        </w:rPr>
        <w:t xml:space="preserve"> pas, chacune à sa manière, une tentative de cristalliser en un seul terme, un seul concept, le déroulé complexe de l’action pratique ? Autrement dit, ne peut-on pas voir ces différentes notions comme relevant d’un même objet — l’action pratique — à différent</w:t>
      </w:r>
      <w:r w:rsidR="00DD238C" w:rsidRPr="00B35171">
        <w:rPr>
          <w:color w:val="000000" w:themeColor="text1"/>
        </w:rPr>
        <w:t>s</w:t>
      </w:r>
      <w:r w:rsidRPr="00B35171">
        <w:rPr>
          <w:color w:val="000000" w:themeColor="text1"/>
        </w:rPr>
        <w:t xml:space="preserve"> moment</w:t>
      </w:r>
      <w:r w:rsidR="00DD238C" w:rsidRPr="00B35171">
        <w:rPr>
          <w:color w:val="000000" w:themeColor="text1"/>
        </w:rPr>
        <w:t>s</w:t>
      </w:r>
      <w:r w:rsidRPr="00B35171">
        <w:rPr>
          <w:color w:val="000000" w:themeColor="text1"/>
        </w:rPr>
        <w:t xml:space="preserve"> de sa réalisation contextualisée ? « Bricoler », « s’arranger », « se débrouiller » est-ce autre chose que de </w:t>
      </w:r>
      <w:r w:rsidRPr="00B35171">
        <w:rPr>
          <w:i/>
          <w:iCs/>
          <w:color w:val="000000" w:themeColor="text1"/>
        </w:rPr>
        <w:t>faire</w:t>
      </w:r>
      <w:r w:rsidRPr="00B35171">
        <w:rPr>
          <w:color w:val="000000" w:themeColor="text1"/>
        </w:rPr>
        <w:t>, au sens sociologique et pratique du terme ?</w:t>
      </w:r>
    </w:p>
    <w:p w14:paraId="70BB635D" w14:textId="71CFBE67" w:rsidR="00683D38" w:rsidRPr="00972E27" w:rsidRDefault="00683D38" w:rsidP="00C342C6">
      <w:pPr>
        <w:tabs>
          <w:tab w:val="left" w:pos="3853"/>
        </w:tabs>
        <w:spacing w:line="276" w:lineRule="auto"/>
        <w:jc w:val="both"/>
        <w:rPr>
          <w:rFonts w:cstheme="minorHAnsi"/>
          <w:color w:val="000000" w:themeColor="text1"/>
        </w:rPr>
      </w:pPr>
    </w:p>
    <w:sectPr w:rsidR="00683D38" w:rsidRPr="00972E2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69C6E" w14:textId="77777777" w:rsidR="00757116" w:rsidRDefault="00757116" w:rsidP="002B264A">
      <w:r>
        <w:separator/>
      </w:r>
    </w:p>
  </w:endnote>
  <w:endnote w:type="continuationSeparator" w:id="0">
    <w:p w14:paraId="4017CC22" w14:textId="77777777" w:rsidR="00757116" w:rsidRDefault="00757116" w:rsidP="002B2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807748022"/>
      <w:docPartObj>
        <w:docPartGallery w:val="Page Numbers (Bottom of Page)"/>
        <w:docPartUnique/>
      </w:docPartObj>
    </w:sdtPr>
    <w:sdtContent>
      <w:p w14:paraId="33CDA4FF" w14:textId="37916C7E" w:rsidR="00683D38" w:rsidRDefault="00683D38" w:rsidP="001F615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noProof/>
          </w:rPr>
          <w:t>4</w:t>
        </w:r>
        <w:r>
          <w:rPr>
            <w:rStyle w:val="Numrodepage"/>
          </w:rPr>
          <w:fldChar w:fldCharType="end"/>
        </w:r>
      </w:p>
    </w:sdtContent>
  </w:sdt>
  <w:p w14:paraId="6937A553" w14:textId="77777777" w:rsidR="00683D38" w:rsidRDefault="00683D38" w:rsidP="00683D3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sz w:val="20"/>
        <w:szCs w:val="20"/>
      </w:rPr>
      <w:id w:val="-639416395"/>
      <w:docPartObj>
        <w:docPartGallery w:val="Page Numbers (Bottom of Page)"/>
        <w:docPartUnique/>
      </w:docPartObj>
    </w:sdtPr>
    <w:sdtContent>
      <w:p w14:paraId="40D817B9" w14:textId="57A2542F" w:rsidR="00683D38" w:rsidRPr="00683D38" w:rsidRDefault="00683D38" w:rsidP="001F6154">
        <w:pPr>
          <w:pStyle w:val="Pieddepage"/>
          <w:framePr w:wrap="none" w:vAnchor="text" w:hAnchor="margin" w:xAlign="right" w:y="1"/>
          <w:rPr>
            <w:rStyle w:val="Numrodepage"/>
            <w:sz w:val="20"/>
            <w:szCs w:val="20"/>
          </w:rPr>
        </w:pPr>
        <w:r w:rsidRPr="00683D38">
          <w:rPr>
            <w:rStyle w:val="Numrodepage"/>
            <w:sz w:val="20"/>
            <w:szCs w:val="20"/>
          </w:rPr>
          <w:fldChar w:fldCharType="begin"/>
        </w:r>
        <w:r w:rsidRPr="00683D38">
          <w:rPr>
            <w:rStyle w:val="Numrodepage"/>
            <w:sz w:val="20"/>
            <w:szCs w:val="20"/>
          </w:rPr>
          <w:instrText xml:space="preserve"> PAGE </w:instrText>
        </w:r>
        <w:r w:rsidRPr="00683D38">
          <w:rPr>
            <w:rStyle w:val="Numrodepage"/>
            <w:sz w:val="20"/>
            <w:szCs w:val="20"/>
          </w:rPr>
          <w:fldChar w:fldCharType="separate"/>
        </w:r>
        <w:r w:rsidRPr="00683D38">
          <w:rPr>
            <w:rStyle w:val="Numrodepage"/>
            <w:noProof/>
            <w:sz w:val="20"/>
            <w:szCs w:val="20"/>
          </w:rPr>
          <w:t>1</w:t>
        </w:r>
        <w:r w:rsidRPr="00683D38">
          <w:rPr>
            <w:rStyle w:val="Numrodepage"/>
            <w:noProof/>
            <w:sz w:val="20"/>
            <w:szCs w:val="20"/>
          </w:rPr>
          <w:t>4</w:t>
        </w:r>
        <w:r w:rsidRPr="00683D38">
          <w:rPr>
            <w:rStyle w:val="Numrodepage"/>
            <w:sz w:val="20"/>
            <w:szCs w:val="20"/>
          </w:rPr>
          <w:fldChar w:fldCharType="end"/>
        </w:r>
      </w:p>
    </w:sdtContent>
  </w:sdt>
  <w:p w14:paraId="0354D5F2" w14:textId="77777777" w:rsidR="00683D38" w:rsidRDefault="00683D38" w:rsidP="00683D38">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3576C" w14:textId="77777777" w:rsidR="008B78E9" w:rsidRDefault="008B78E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6E447" w14:textId="77777777" w:rsidR="00757116" w:rsidRDefault="00757116" w:rsidP="002B264A">
      <w:r>
        <w:separator/>
      </w:r>
    </w:p>
  </w:footnote>
  <w:footnote w:type="continuationSeparator" w:id="0">
    <w:p w14:paraId="04FADE9E" w14:textId="77777777" w:rsidR="00757116" w:rsidRDefault="00757116" w:rsidP="002B264A">
      <w:r>
        <w:continuationSeparator/>
      </w:r>
    </w:p>
  </w:footnote>
  <w:footnote w:id="1">
    <w:p w14:paraId="62CA32F9" w14:textId="7DDC3B06" w:rsidR="009D6C84" w:rsidRPr="003620AE" w:rsidRDefault="009D6C84" w:rsidP="00DF197A">
      <w:pPr>
        <w:pStyle w:val="Notedebasdepage"/>
        <w:jc w:val="both"/>
        <w:rPr>
          <w:rFonts w:cstheme="minorHAnsi"/>
          <w:lang w:val="fr-FR"/>
        </w:rPr>
      </w:pPr>
      <w:r w:rsidRPr="003620AE">
        <w:rPr>
          <w:rStyle w:val="Appelnotedebasdep"/>
          <w:rFonts w:cstheme="minorHAnsi"/>
          <w:lang w:val="fr-FR"/>
        </w:rPr>
        <w:footnoteRef/>
      </w:r>
      <w:r w:rsidRPr="003620AE">
        <w:rPr>
          <w:rFonts w:cstheme="minorHAnsi"/>
          <w:lang w:val="en-US"/>
        </w:rPr>
        <w:t xml:space="preserve"> </w:t>
      </w:r>
      <w:r w:rsidR="006A3F5D" w:rsidRPr="003620AE">
        <w:rPr>
          <w:rFonts w:cstheme="minorHAnsi"/>
          <w:lang w:val="en-US"/>
        </w:rPr>
        <w:t xml:space="preserve">David </w:t>
      </w:r>
      <w:proofErr w:type="spellStart"/>
      <w:r w:rsidR="006A3F5D" w:rsidRPr="003620AE">
        <w:rPr>
          <w:rFonts w:cstheme="minorHAnsi"/>
          <w:lang w:val="en-US"/>
        </w:rPr>
        <w:t>Hayano</w:t>
      </w:r>
      <w:proofErr w:type="spellEnd"/>
      <w:r w:rsidR="006A3F5D" w:rsidRPr="003620AE">
        <w:rPr>
          <w:rFonts w:cstheme="minorHAnsi"/>
          <w:lang w:val="en-US"/>
        </w:rPr>
        <w:t xml:space="preserve">, </w:t>
      </w:r>
      <w:r w:rsidR="003620AE" w:rsidRPr="003620AE">
        <w:rPr>
          <w:rFonts w:cstheme="minorHAnsi"/>
          <w:lang w:val="en-US"/>
        </w:rPr>
        <w:t>« </w:t>
      </w:r>
      <w:r w:rsidR="006A3F5D" w:rsidRPr="003620AE">
        <w:rPr>
          <w:rFonts w:cstheme="minorHAnsi"/>
          <w:lang w:val="en-US"/>
        </w:rPr>
        <w:t>Auto-ethnography: paradigms, problems and prospects.</w:t>
      </w:r>
      <w:r w:rsidR="003620AE" w:rsidRPr="003620AE">
        <w:rPr>
          <w:rFonts w:cstheme="minorHAnsi"/>
          <w:lang w:val="en-US"/>
        </w:rPr>
        <w:t> »</w:t>
      </w:r>
      <w:r w:rsidR="006A3F5D" w:rsidRPr="003620AE">
        <w:rPr>
          <w:rFonts w:cstheme="minorHAnsi"/>
          <w:lang w:val="en-US"/>
        </w:rPr>
        <w:t xml:space="preserve"> </w:t>
      </w:r>
      <w:r w:rsidR="006A3F5D" w:rsidRPr="003620AE">
        <w:rPr>
          <w:rFonts w:cstheme="minorHAnsi"/>
          <w:i/>
          <w:iCs/>
          <w:lang w:val="en-US"/>
        </w:rPr>
        <w:t>Human Organization</w:t>
      </w:r>
      <w:r w:rsidR="006A3F5D" w:rsidRPr="003620AE">
        <w:rPr>
          <w:rFonts w:cstheme="minorHAnsi"/>
          <w:lang w:val="en-US"/>
        </w:rPr>
        <w:t>, 38</w:t>
      </w:r>
      <w:r w:rsidR="003620AE">
        <w:rPr>
          <w:rFonts w:cstheme="minorHAnsi"/>
          <w:lang w:val="en-US"/>
        </w:rPr>
        <w:t>[</w:t>
      </w:r>
      <w:r w:rsidR="006A3F5D" w:rsidRPr="003620AE">
        <w:rPr>
          <w:rFonts w:cstheme="minorHAnsi"/>
          <w:lang w:val="en-US"/>
        </w:rPr>
        <w:t>1</w:t>
      </w:r>
      <w:r w:rsidR="003620AE">
        <w:rPr>
          <w:rFonts w:cstheme="minorHAnsi"/>
          <w:lang w:val="en-US"/>
        </w:rPr>
        <w:t>]</w:t>
      </w:r>
      <w:r w:rsidR="006A3F5D" w:rsidRPr="003620AE">
        <w:rPr>
          <w:rFonts w:cstheme="minorHAnsi"/>
          <w:lang w:val="en-US"/>
        </w:rPr>
        <w:t xml:space="preserve">, 1979, </w:t>
      </w:r>
      <w:r w:rsidR="003620AE">
        <w:rPr>
          <w:rFonts w:cstheme="minorHAnsi"/>
          <w:lang w:val="en-US"/>
        </w:rPr>
        <w:t xml:space="preserve">p. </w:t>
      </w:r>
      <w:r w:rsidR="006A3F5D" w:rsidRPr="003620AE">
        <w:rPr>
          <w:rFonts w:cstheme="minorHAnsi"/>
          <w:lang w:val="en-US"/>
        </w:rPr>
        <w:t>99-</w:t>
      </w:r>
      <w:proofErr w:type="gramStart"/>
      <w:r w:rsidR="006A3F5D" w:rsidRPr="003620AE">
        <w:rPr>
          <w:rFonts w:cstheme="minorHAnsi"/>
          <w:lang w:val="en-US"/>
        </w:rPr>
        <w:t>104 ;</w:t>
      </w:r>
      <w:proofErr w:type="gramEnd"/>
      <w:r w:rsidR="006A3F5D" w:rsidRPr="003620AE">
        <w:rPr>
          <w:rFonts w:cstheme="minorHAnsi"/>
          <w:lang w:val="en-US"/>
        </w:rPr>
        <w:t xml:space="preserve"> Carolyn Ellis &amp; Arthur </w:t>
      </w:r>
      <w:proofErr w:type="spellStart"/>
      <w:r w:rsidR="006A3F5D" w:rsidRPr="003620AE">
        <w:rPr>
          <w:rFonts w:cstheme="minorHAnsi"/>
          <w:lang w:val="en-US"/>
        </w:rPr>
        <w:t>Bochner</w:t>
      </w:r>
      <w:proofErr w:type="spellEnd"/>
      <w:r w:rsidR="006A3F5D" w:rsidRPr="003620AE">
        <w:rPr>
          <w:rFonts w:cstheme="minorHAnsi"/>
          <w:lang w:val="en-US"/>
        </w:rPr>
        <w:t xml:space="preserve">, “Autoethnography, personal narrative, reflexivity : researcher as subject”. </w:t>
      </w:r>
      <w:r w:rsidR="006A3F5D" w:rsidRPr="003620AE">
        <w:rPr>
          <w:rFonts w:cstheme="minorHAnsi"/>
          <w:lang w:val="fr-FR"/>
        </w:rPr>
        <w:t xml:space="preserve">In N. </w:t>
      </w:r>
      <w:proofErr w:type="spellStart"/>
      <w:r w:rsidR="006A3F5D" w:rsidRPr="003620AE">
        <w:rPr>
          <w:rFonts w:cstheme="minorHAnsi"/>
          <w:lang w:val="fr-FR"/>
        </w:rPr>
        <w:t>Denzin</w:t>
      </w:r>
      <w:proofErr w:type="spellEnd"/>
      <w:r w:rsidR="006A3F5D" w:rsidRPr="003620AE">
        <w:rPr>
          <w:rFonts w:cstheme="minorHAnsi"/>
          <w:lang w:val="fr-FR"/>
        </w:rPr>
        <w:t>, &amp; Y. Lincoln (</w:t>
      </w:r>
      <w:proofErr w:type="spellStart"/>
      <w:r w:rsidR="006A3F5D" w:rsidRPr="003620AE">
        <w:rPr>
          <w:rFonts w:cstheme="minorHAnsi"/>
          <w:lang w:val="fr-FR"/>
        </w:rPr>
        <w:t>Éds</w:t>
      </w:r>
      <w:proofErr w:type="spellEnd"/>
      <w:r w:rsidR="006A3F5D" w:rsidRPr="003620AE">
        <w:rPr>
          <w:rFonts w:cstheme="minorHAnsi"/>
          <w:lang w:val="fr-FR"/>
        </w:rPr>
        <w:t xml:space="preserve">), </w:t>
      </w:r>
      <w:r w:rsidR="006A3F5D" w:rsidRPr="003620AE">
        <w:rPr>
          <w:rFonts w:cstheme="minorHAnsi"/>
          <w:i/>
          <w:iCs/>
          <w:lang w:val="fr-FR"/>
        </w:rPr>
        <w:t xml:space="preserve">Sage </w:t>
      </w:r>
      <w:proofErr w:type="spellStart"/>
      <w:r w:rsidR="006A3F5D" w:rsidRPr="003620AE">
        <w:rPr>
          <w:rFonts w:cstheme="minorHAnsi"/>
          <w:i/>
          <w:iCs/>
          <w:lang w:val="fr-FR"/>
        </w:rPr>
        <w:t>handbook</w:t>
      </w:r>
      <w:proofErr w:type="spellEnd"/>
      <w:r w:rsidR="006A3F5D" w:rsidRPr="003620AE">
        <w:rPr>
          <w:rFonts w:cstheme="minorHAnsi"/>
          <w:i/>
          <w:iCs/>
          <w:lang w:val="fr-FR"/>
        </w:rPr>
        <w:t xml:space="preserve"> of qualitative </w:t>
      </w:r>
      <w:proofErr w:type="spellStart"/>
      <w:r w:rsidR="006A3F5D" w:rsidRPr="003620AE">
        <w:rPr>
          <w:rFonts w:cstheme="minorHAnsi"/>
          <w:i/>
          <w:iCs/>
          <w:lang w:val="fr-FR"/>
        </w:rPr>
        <w:t>research</w:t>
      </w:r>
      <w:proofErr w:type="spellEnd"/>
      <w:r w:rsidR="006A3F5D" w:rsidRPr="003620AE">
        <w:rPr>
          <w:rFonts w:cstheme="minorHAnsi"/>
          <w:lang w:val="fr-FR"/>
        </w:rPr>
        <w:t xml:space="preserve">, </w:t>
      </w:r>
      <w:proofErr w:type="spellStart"/>
      <w:r w:rsidR="006A3F5D" w:rsidRPr="003620AE">
        <w:rPr>
          <w:rFonts w:cstheme="minorHAnsi"/>
          <w:lang w:val="fr-FR"/>
        </w:rPr>
        <w:t>Thousand</w:t>
      </w:r>
      <w:proofErr w:type="spellEnd"/>
      <w:r w:rsidR="006A3F5D" w:rsidRPr="003620AE">
        <w:rPr>
          <w:rFonts w:cstheme="minorHAnsi"/>
          <w:lang w:val="fr-FR"/>
        </w:rPr>
        <w:t xml:space="preserve"> Oaks, CA</w:t>
      </w:r>
      <w:r w:rsidR="003620AE">
        <w:rPr>
          <w:rFonts w:cstheme="minorHAnsi"/>
          <w:lang w:val="fr-FR"/>
        </w:rPr>
        <w:t>,</w:t>
      </w:r>
      <w:r w:rsidR="006A3F5D" w:rsidRPr="003620AE">
        <w:rPr>
          <w:rFonts w:cstheme="minorHAnsi"/>
          <w:lang w:val="fr-FR"/>
        </w:rPr>
        <w:t xml:space="preserve"> Sage, 2000, </w:t>
      </w:r>
      <w:r w:rsidR="003620AE">
        <w:rPr>
          <w:rFonts w:cstheme="minorHAnsi"/>
          <w:lang w:val="fr-FR"/>
        </w:rPr>
        <w:t xml:space="preserve">p. </w:t>
      </w:r>
      <w:r w:rsidR="006A3F5D" w:rsidRPr="003620AE">
        <w:rPr>
          <w:rFonts w:cstheme="minorHAnsi"/>
          <w:lang w:val="fr-FR"/>
        </w:rPr>
        <w:t>733-768.</w:t>
      </w:r>
    </w:p>
  </w:footnote>
  <w:footnote w:id="2">
    <w:p w14:paraId="6DE61B3B" w14:textId="5B5316D2" w:rsidR="00794C27" w:rsidRPr="003620AE" w:rsidRDefault="00794C27" w:rsidP="00DF197A">
      <w:pPr>
        <w:pStyle w:val="Notedebasdepage"/>
        <w:jc w:val="both"/>
        <w:rPr>
          <w:rFonts w:cstheme="minorHAnsi"/>
          <w:lang w:val="fr-FR"/>
        </w:rPr>
      </w:pPr>
      <w:r w:rsidRPr="003620AE">
        <w:rPr>
          <w:rStyle w:val="Appelnotedebasdep"/>
          <w:rFonts w:cstheme="minorHAnsi"/>
          <w:lang w:val="fr-FR"/>
        </w:rPr>
        <w:footnoteRef/>
      </w:r>
      <w:r w:rsidRPr="003620AE">
        <w:rPr>
          <w:rFonts w:cstheme="minorHAnsi"/>
          <w:lang w:val="fr-FR"/>
        </w:rPr>
        <w:t xml:space="preserve"> </w:t>
      </w:r>
      <w:r w:rsidR="009D6C84" w:rsidRPr="003620AE">
        <w:rPr>
          <w:rFonts w:cstheme="minorHAnsi"/>
          <w:lang w:val="fr-FR"/>
        </w:rPr>
        <w:t xml:space="preserve">« On sait que les groupes n'aiment guère ceux qui </w:t>
      </w:r>
      <w:r w:rsidR="003620AE">
        <w:rPr>
          <w:rFonts w:cstheme="minorHAnsi"/>
          <w:lang w:val="fr-FR"/>
        </w:rPr>
        <w:t>“v</w:t>
      </w:r>
      <w:r w:rsidR="009D6C84" w:rsidRPr="003620AE">
        <w:rPr>
          <w:rFonts w:cstheme="minorHAnsi"/>
          <w:lang w:val="fr-FR"/>
        </w:rPr>
        <w:t>endent la mèche</w:t>
      </w:r>
      <w:r w:rsidR="003620AE">
        <w:rPr>
          <w:rFonts w:cstheme="minorHAnsi"/>
          <w:lang w:val="fr-FR"/>
        </w:rPr>
        <w:t>”</w:t>
      </w:r>
      <w:r w:rsidR="009D6C84" w:rsidRPr="003620AE">
        <w:rPr>
          <w:rFonts w:cstheme="minorHAnsi"/>
          <w:lang w:val="fr-FR"/>
        </w:rPr>
        <w:t xml:space="preserve">, surtout peut-être lorsque la transgression ou la trahison peut se réclamer de leur valeur les plus hautes. Les mêmes qui ne manqueraient pas de saluer comme </w:t>
      </w:r>
      <w:r w:rsidR="003620AE">
        <w:rPr>
          <w:rFonts w:cstheme="minorHAnsi"/>
          <w:lang w:val="fr-FR"/>
        </w:rPr>
        <w:t>“</w:t>
      </w:r>
      <w:r w:rsidR="009D6C84" w:rsidRPr="003620AE">
        <w:rPr>
          <w:rFonts w:cstheme="minorHAnsi"/>
          <w:lang w:val="fr-FR"/>
        </w:rPr>
        <w:t>courageux</w:t>
      </w:r>
      <w:r w:rsidR="003620AE">
        <w:rPr>
          <w:rFonts w:cstheme="minorHAnsi"/>
          <w:lang w:val="fr-FR"/>
        </w:rPr>
        <w:t>”</w:t>
      </w:r>
      <w:r w:rsidR="009D6C84" w:rsidRPr="003620AE">
        <w:rPr>
          <w:rFonts w:cstheme="minorHAnsi"/>
          <w:lang w:val="fr-FR"/>
        </w:rPr>
        <w:t xml:space="preserve"> ou </w:t>
      </w:r>
      <w:r w:rsidR="003620AE">
        <w:rPr>
          <w:rFonts w:cstheme="minorHAnsi"/>
          <w:lang w:val="fr-FR"/>
        </w:rPr>
        <w:t>“</w:t>
      </w:r>
      <w:r w:rsidR="009D6C84" w:rsidRPr="003620AE">
        <w:rPr>
          <w:rFonts w:cstheme="minorHAnsi"/>
          <w:lang w:val="fr-FR"/>
        </w:rPr>
        <w:t>lucide</w:t>
      </w:r>
      <w:r w:rsidR="003620AE">
        <w:rPr>
          <w:rFonts w:cstheme="minorHAnsi"/>
          <w:lang w:val="fr-FR"/>
        </w:rPr>
        <w:t>”</w:t>
      </w:r>
      <w:r w:rsidR="009D6C84" w:rsidRPr="003620AE">
        <w:rPr>
          <w:rFonts w:cstheme="minorHAnsi"/>
          <w:lang w:val="fr-FR"/>
        </w:rPr>
        <w:t xml:space="preserve"> le travail d'objectivation s'il s'appliquait à des groupes étrangers et adverses seront portés à jeter le soupçon sur les déterminants de la lucidité spéciale que revendique l'analyste de son propre groupe »</w:t>
      </w:r>
      <w:r w:rsidR="003620AE">
        <w:rPr>
          <w:rFonts w:cstheme="minorHAnsi"/>
          <w:lang w:val="fr-FR"/>
        </w:rPr>
        <w:t>.</w:t>
      </w:r>
      <w:r w:rsidR="009D6C84" w:rsidRPr="003620AE">
        <w:rPr>
          <w:rFonts w:cstheme="minorHAnsi"/>
          <w:lang w:val="fr-FR"/>
        </w:rPr>
        <w:t xml:space="preserve"> </w:t>
      </w:r>
      <w:r w:rsidRPr="003620AE">
        <w:rPr>
          <w:rFonts w:cstheme="minorHAnsi"/>
          <w:lang w:val="fr-FR"/>
        </w:rPr>
        <w:fldChar w:fldCharType="begin"/>
      </w:r>
      <w:r w:rsidRPr="003620AE">
        <w:rPr>
          <w:rFonts w:cstheme="minorHAnsi"/>
          <w:lang w:val="fr-FR"/>
        </w:rPr>
        <w:instrText xml:space="preserve"> ADDIN ZOTERO_ITEM CSL_CITATION {"citationID":"Iwg0G7Rz","properties":{"formattedCitation":"Pierre Bourdieu, {\\i{}Homo academicus} (Paris: Editions de Minuit, 1984).","plainCitation":"Pierre Bourdieu, Homo academicus (Paris: Editions de Minuit, 1984).","noteIndex":1},"citationItems":[{"id":505,"uris":["http://zotero.org/users/local/c0m081EH/items/33ZDTUNG"],"itemData":{"id":505,"type":"book","call-number":"LB2331.74.F8 B68 1984","event-place":"Paris","ISBN":"978-2-7073-0696-8","number-of-pages":"302","publisher":"Editions de Minuit","publisher-place":"Paris","source":"Library of Congress ISBN","title":"Homo academicus","author":[{"family":"Bourdieu","given":"Pierre"}],"issued":{"date-parts":[["1984"]]}}}],"schema":"https://github.com/citation-style-language/schema/raw/master/csl-citation.json"} </w:instrText>
      </w:r>
      <w:r w:rsidRPr="003620AE">
        <w:rPr>
          <w:rFonts w:cstheme="minorHAnsi"/>
          <w:lang w:val="fr-FR"/>
        </w:rPr>
        <w:fldChar w:fldCharType="separate"/>
      </w:r>
      <w:r w:rsidRPr="003620AE">
        <w:rPr>
          <w:rFonts w:cstheme="minorHAnsi"/>
          <w:lang w:val="fr-FR"/>
        </w:rPr>
        <w:t xml:space="preserve">Pierre Bourdieu, </w:t>
      </w:r>
      <w:r w:rsidRPr="003620AE">
        <w:rPr>
          <w:rFonts w:cstheme="minorHAnsi"/>
          <w:i/>
          <w:iCs/>
          <w:lang w:val="fr-FR"/>
        </w:rPr>
        <w:t xml:space="preserve">Homo </w:t>
      </w:r>
      <w:proofErr w:type="spellStart"/>
      <w:r w:rsidRPr="003620AE">
        <w:rPr>
          <w:rFonts w:cstheme="minorHAnsi"/>
          <w:i/>
          <w:iCs/>
          <w:lang w:val="fr-FR"/>
        </w:rPr>
        <w:t>academicus</w:t>
      </w:r>
      <w:proofErr w:type="spellEnd"/>
      <w:r w:rsidR="000C5091" w:rsidRPr="003620AE">
        <w:rPr>
          <w:rFonts w:cstheme="minorHAnsi"/>
          <w:lang w:val="fr-FR"/>
        </w:rPr>
        <w:t xml:space="preserve">, </w:t>
      </w:r>
      <w:r w:rsidRPr="003620AE">
        <w:rPr>
          <w:rFonts w:cstheme="minorHAnsi"/>
          <w:lang w:val="fr-FR"/>
        </w:rPr>
        <w:t>Paris</w:t>
      </w:r>
      <w:r w:rsidR="003620AE">
        <w:rPr>
          <w:rFonts w:cstheme="minorHAnsi"/>
          <w:lang w:val="fr-FR"/>
        </w:rPr>
        <w:t xml:space="preserve">, </w:t>
      </w:r>
      <w:r w:rsidRPr="003620AE">
        <w:rPr>
          <w:rFonts w:cstheme="minorHAnsi"/>
          <w:lang w:val="fr-FR"/>
        </w:rPr>
        <w:t>Éditions de Minuit, 1984</w:t>
      </w:r>
      <w:r w:rsidR="009D6C84" w:rsidRPr="003620AE">
        <w:rPr>
          <w:rFonts w:cstheme="minorHAnsi"/>
          <w:lang w:val="fr-FR"/>
        </w:rPr>
        <w:t xml:space="preserve">, </w:t>
      </w:r>
      <w:r w:rsidR="003620AE">
        <w:rPr>
          <w:rFonts w:cstheme="minorHAnsi"/>
          <w:lang w:val="fr-FR"/>
        </w:rPr>
        <w:t xml:space="preserve">p. </w:t>
      </w:r>
      <w:r w:rsidR="009D6C84" w:rsidRPr="003620AE">
        <w:rPr>
          <w:rFonts w:cstheme="minorHAnsi"/>
          <w:lang w:val="fr-FR"/>
        </w:rPr>
        <w:t>15</w:t>
      </w:r>
      <w:r w:rsidRPr="003620AE">
        <w:rPr>
          <w:rFonts w:cstheme="minorHAnsi"/>
          <w:lang w:val="fr-FR"/>
        </w:rPr>
        <w:t>.</w:t>
      </w:r>
      <w:r w:rsidRPr="003620AE">
        <w:rPr>
          <w:rFonts w:cstheme="minorHAnsi"/>
          <w:lang w:val="fr-FR"/>
        </w:rPr>
        <w:fldChar w:fldCharType="end"/>
      </w:r>
    </w:p>
  </w:footnote>
  <w:footnote w:id="3">
    <w:p w14:paraId="46501285" w14:textId="7EF40F4D" w:rsidR="0050034B" w:rsidRPr="003620AE" w:rsidRDefault="0050034B" w:rsidP="00DF197A">
      <w:pPr>
        <w:pStyle w:val="Notedebasdepage"/>
        <w:jc w:val="both"/>
        <w:rPr>
          <w:rFonts w:cstheme="minorHAnsi"/>
          <w:lang w:val="fr-FR"/>
        </w:rPr>
      </w:pPr>
      <w:r w:rsidRPr="003620AE">
        <w:rPr>
          <w:rStyle w:val="Appelnotedebasdep"/>
          <w:rFonts w:cstheme="minorHAnsi"/>
          <w:lang w:val="fr-FR"/>
        </w:rPr>
        <w:footnoteRef/>
      </w:r>
      <w:r w:rsidRPr="003620AE">
        <w:rPr>
          <w:rFonts w:cstheme="minorHAnsi"/>
          <w:lang w:val="fr-FR"/>
        </w:rPr>
        <w:t xml:space="preserve"> Voir, ci-après, la note méthodologique.</w:t>
      </w:r>
    </w:p>
  </w:footnote>
  <w:footnote w:id="4">
    <w:p w14:paraId="639675CD" w14:textId="6D301E0A" w:rsidR="00433AB0" w:rsidRPr="003620AE" w:rsidRDefault="00433AB0" w:rsidP="00DF197A">
      <w:pPr>
        <w:pStyle w:val="Notedebasdepage"/>
        <w:jc w:val="both"/>
        <w:rPr>
          <w:rFonts w:cstheme="minorHAnsi"/>
          <w:lang w:val="fr-FR"/>
        </w:rPr>
      </w:pPr>
      <w:r w:rsidRPr="003620AE">
        <w:rPr>
          <w:rStyle w:val="Appelnotedebasdep"/>
          <w:rFonts w:cstheme="minorHAnsi"/>
          <w:lang w:val="fr-FR"/>
        </w:rPr>
        <w:footnoteRef/>
      </w:r>
      <w:r w:rsidRPr="003620AE">
        <w:rPr>
          <w:rFonts w:cstheme="minorHAnsi"/>
          <w:lang w:val="fr-FR"/>
        </w:rPr>
        <w:t xml:space="preserve"> </w:t>
      </w:r>
      <w:r w:rsidRPr="003620AE">
        <w:rPr>
          <w:rFonts w:cstheme="minorHAnsi"/>
          <w:lang w:val="fr-FR"/>
        </w:rPr>
        <w:fldChar w:fldCharType="begin"/>
      </w:r>
      <w:r w:rsidR="00794C27" w:rsidRPr="003620AE">
        <w:rPr>
          <w:rFonts w:cstheme="minorHAnsi"/>
          <w:lang w:val="fr-FR"/>
        </w:rPr>
        <w:instrText xml:space="preserve"> ADDIN ZOTERO_ITEM CSL_CITATION {"citationID":"ESLr1hVd","properties":{"formattedCitation":"Luc Boltanski, {\\i{}De la critique: pr\\uc0\\u233{}cis de sociologie de l\\uc0\\u8217{}\\uc0\\u233{}mancipation} (Paris: Gallimard, 2009), 117.","plainCitation":"Luc Boltanski, De la critique: précis de sociologie de l’émancipation (Paris: Gallimard, 2009), 117.","noteIndex":2},"citationItems":[{"id":510,"uris":["http://zotero.org/users/local/c0m081EH/items/I3YLA933"],"itemData":{"id":510,"type":"book","abstract":"\"Le rapport que la sociologie entretient avec la critique sociale n'a cessé de hanter cette discipline depuis les origines. La sociologie doit-elle être mise au service d'une critique de la société, ce qui suppose de rendre compatibles description et critique ? La critique détourne-t-elle la sociologie de son projet scientifique ou en est-elle la finalité sans laquelle la sociologie ne serait qu'une activité vaine, détachée des préoccupations que nourrissent les personnes en société ? Cette question a déterminé les couples d'oppositions fondateurs - entre faits et valeurs, idéologie et science, déterminisme et autonomie, structure et action, approche macro et micro sociales, explication et interprétation, etc. Elle dicte deux des principaux programmes qui aujourd'hui configurent la discipline : la sociologie critique des années 1970, particulièrement dans la forme que lui a donnée, en France, Pierre Bourdieu ; la sociologie pragmatique de la critique, développée dans les années 1980-1990. Dans la sociologie critique, la description en termes de rapports de forces met l'accent sur la puissance des mécanismes d'oppression, sur la façon dont les opprimés les subissent passivement, allant, dans leur aliénation, jusqu'à adopter les valeurs, intériorisées sous la forme d'idéologies, qui les asservissent. La sociologie pragmatique décrit les actions d'hommes révoltés mais dotés de raison, porte l'accent sur leur capacité, dans certaines conditions historiques, à se lever contre leur domination, à forger des interprétations nouvelles de la réalité au service d'une activité critique. Luc Boltanski propose ici un cadre permettant d'articuler ces deux approches, apparemment antagoniques - l'une déterministe et réservant le beau rôle à la science éclairante du sociologue, l'autre soucieuse de se tenir au plus près de ce que disent et font les personnes\"--P. [4] of cover","call-number":"HM588 .B65 2009","event-place":"Paris","ISBN":"978-2-07-012656-9","note":"OCLC: ocn445421528","number-of-pages":"294","publisher":"Gallimard","publisher-place":"Paris","source":"Library of Congress ISBN","title":"De la critique: précis de sociologie de l'émancipation","title-short":"De la critique","author":[{"family":"Boltanski","given":"Luc"}],"issued":{"date-parts":[["2009"]]}},"locator":"117","label":"page"}],"schema":"https://github.com/citation-style-language/schema/raw/master/csl-citation.json"} </w:instrText>
      </w:r>
      <w:r w:rsidRPr="003620AE">
        <w:rPr>
          <w:rFonts w:cstheme="minorHAnsi"/>
          <w:lang w:val="fr-FR"/>
        </w:rPr>
        <w:fldChar w:fldCharType="separate"/>
      </w:r>
      <w:r w:rsidRPr="003620AE">
        <w:rPr>
          <w:rFonts w:cstheme="minorHAnsi"/>
          <w:lang w:val="fr-FR"/>
        </w:rPr>
        <w:t xml:space="preserve">Luc Boltanski, </w:t>
      </w:r>
      <w:r w:rsidRPr="003620AE">
        <w:rPr>
          <w:rFonts w:cstheme="minorHAnsi"/>
          <w:i/>
          <w:iCs/>
          <w:lang w:val="fr-FR"/>
        </w:rPr>
        <w:t>De la critique</w:t>
      </w:r>
      <w:r w:rsidR="00794C27" w:rsidRPr="003620AE">
        <w:rPr>
          <w:rFonts w:cstheme="minorHAnsi"/>
          <w:i/>
          <w:iCs/>
          <w:lang w:val="fr-FR"/>
        </w:rPr>
        <w:t xml:space="preserve"> </w:t>
      </w:r>
      <w:r w:rsidRPr="003620AE">
        <w:rPr>
          <w:rFonts w:cstheme="minorHAnsi"/>
          <w:i/>
          <w:iCs/>
          <w:lang w:val="fr-FR"/>
        </w:rPr>
        <w:t>: précis de sociologie de l’émancipation</w:t>
      </w:r>
      <w:r w:rsidR="000C5091" w:rsidRPr="003620AE">
        <w:rPr>
          <w:rFonts w:cstheme="minorHAnsi"/>
          <w:lang w:val="fr-FR"/>
        </w:rPr>
        <w:t xml:space="preserve">, </w:t>
      </w:r>
      <w:r w:rsidRPr="003620AE">
        <w:rPr>
          <w:rFonts w:cstheme="minorHAnsi"/>
          <w:lang w:val="fr-FR"/>
        </w:rPr>
        <w:t>Paris</w:t>
      </w:r>
      <w:r w:rsidR="003620AE">
        <w:rPr>
          <w:rFonts w:cstheme="minorHAnsi"/>
          <w:lang w:val="fr-FR"/>
        </w:rPr>
        <w:t xml:space="preserve">, </w:t>
      </w:r>
      <w:r w:rsidRPr="003620AE">
        <w:rPr>
          <w:rFonts w:cstheme="minorHAnsi"/>
          <w:lang w:val="fr-FR"/>
        </w:rPr>
        <w:t>Gallimard, 2009,</w:t>
      </w:r>
      <w:r w:rsidR="003620AE">
        <w:rPr>
          <w:rFonts w:cstheme="minorHAnsi"/>
          <w:lang w:val="fr-FR"/>
        </w:rPr>
        <w:t xml:space="preserve"> p.</w:t>
      </w:r>
      <w:r w:rsidRPr="003620AE">
        <w:rPr>
          <w:rFonts w:cstheme="minorHAnsi"/>
          <w:lang w:val="fr-FR"/>
        </w:rPr>
        <w:t xml:space="preserve"> 117.</w:t>
      </w:r>
      <w:r w:rsidRPr="003620AE">
        <w:rPr>
          <w:rFonts w:cstheme="minorHAnsi"/>
          <w:lang w:val="fr-FR"/>
        </w:rPr>
        <w:fldChar w:fldCharType="end"/>
      </w:r>
    </w:p>
  </w:footnote>
  <w:footnote w:id="5">
    <w:p w14:paraId="5AACA8FF" w14:textId="213F4D25" w:rsidR="00433AB0" w:rsidRPr="003620AE" w:rsidRDefault="00433AB0" w:rsidP="00DF197A">
      <w:pPr>
        <w:pStyle w:val="Notedebasdepage"/>
        <w:jc w:val="both"/>
        <w:rPr>
          <w:rFonts w:cstheme="minorHAnsi"/>
          <w:lang w:val="fr-FR"/>
        </w:rPr>
      </w:pPr>
      <w:r w:rsidRPr="003620AE">
        <w:rPr>
          <w:rStyle w:val="Appelnotedebasdep"/>
          <w:rFonts w:cstheme="minorHAnsi"/>
          <w:lang w:val="fr-FR"/>
        </w:rPr>
        <w:footnoteRef/>
      </w:r>
      <w:r w:rsidRPr="003620AE">
        <w:rPr>
          <w:rFonts w:cstheme="minorHAnsi"/>
          <w:lang w:val="fr-FR"/>
        </w:rPr>
        <w:t xml:space="preserve"> </w:t>
      </w:r>
      <w:r w:rsidRPr="003620AE">
        <w:rPr>
          <w:rFonts w:cstheme="minorHAnsi"/>
          <w:lang w:val="fr-FR"/>
        </w:rPr>
        <w:fldChar w:fldCharType="begin"/>
      </w:r>
      <w:r w:rsidR="00794C27" w:rsidRPr="003620AE">
        <w:rPr>
          <w:rFonts w:cstheme="minorHAnsi"/>
          <w:lang w:val="fr-FR"/>
        </w:rPr>
        <w:instrText xml:space="preserve"> ADDIN ZOTERO_ITEM CSL_CITATION {"citationID":"dILtvK9f","properties":{"formattedCitation":"Thierry Melchior, {\\i{}Cr\\uc0\\u233{}er le r\\uc0\\u233{}el: hypnose et th\\uc0\\u233{}rapie} (Paris: \\uc0\\u201{}d. du Seuil, 1998).","plainCitation":"Thierry Melchior, Créer le réel: hypnose et thérapie (Paris: Éd. du Seuil, 1998).","noteIndex":3},"citationItems":[{"id":515,"uris":["http://zotero.org/users/local/c0m081EH/items/LGZN4GWZ"],"itemData":{"id":515,"type":"book","event-place":"Paris","ISBN":"978-2-02-032658-2","language":"fre","number-of-pages":"547","publisher":"Éd. du Seuil","publisher-place":"Paris","source":"K10plus ISBN","title":"Créer le réel: hypnose et thérapie","title-short":"Créer le réel","author":[{"family":"Melchior","given":"Thierry"}],"issued":{"date-parts":[["1998"]]}}}],"schema":"https://github.com/citation-style-language/schema/raw/master/csl-citation.json"} </w:instrText>
      </w:r>
      <w:r w:rsidRPr="003620AE">
        <w:rPr>
          <w:rFonts w:cstheme="minorHAnsi"/>
          <w:lang w:val="fr-FR"/>
        </w:rPr>
        <w:fldChar w:fldCharType="separate"/>
      </w:r>
      <w:r w:rsidRPr="003620AE">
        <w:rPr>
          <w:rFonts w:cstheme="minorHAnsi"/>
          <w:lang w:val="fr-FR"/>
        </w:rPr>
        <w:t xml:space="preserve">Thierry Melchior, </w:t>
      </w:r>
      <w:r w:rsidRPr="003620AE">
        <w:rPr>
          <w:rFonts w:cstheme="minorHAnsi"/>
          <w:i/>
          <w:iCs/>
          <w:lang w:val="fr-FR"/>
        </w:rPr>
        <w:t>Créer le réel</w:t>
      </w:r>
      <w:r w:rsidR="00794C27" w:rsidRPr="003620AE">
        <w:rPr>
          <w:rFonts w:cstheme="minorHAnsi"/>
          <w:i/>
          <w:iCs/>
          <w:lang w:val="fr-FR"/>
        </w:rPr>
        <w:t xml:space="preserve"> </w:t>
      </w:r>
      <w:r w:rsidRPr="003620AE">
        <w:rPr>
          <w:rFonts w:cstheme="minorHAnsi"/>
          <w:i/>
          <w:iCs/>
          <w:lang w:val="fr-FR"/>
        </w:rPr>
        <w:t>: hypnose et thérapie</w:t>
      </w:r>
      <w:r w:rsidR="000C5091" w:rsidRPr="003620AE">
        <w:rPr>
          <w:rFonts w:cstheme="minorHAnsi"/>
          <w:lang w:val="fr-FR"/>
        </w:rPr>
        <w:t xml:space="preserve">, </w:t>
      </w:r>
      <w:r w:rsidRPr="003620AE">
        <w:rPr>
          <w:rFonts w:cstheme="minorHAnsi"/>
          <w:lang w:val="fr-FR"/>
        </w:rPr>
        <w:t>Paris</w:t>
      </w:r>
      <w:r w:rsidR="003620AE">
        <w:rPr>
          <w:rFonts w:cstheme="minorHAnsi"/>
          <w:lang w:val="fr-FR"/>
        </w:rPr>
        <w:t>,</w:t>
      </w:r>
      <w:r w:rsidRPr="003620AE">
        <w:rPr>
          <w:rFonts w:cstheme="minorHAnsi"/>
          <w:lang w:val="fr-FR"/>
        </w:rPr>
        <w:t xml:space="preserve"> Éd. </w:t>
      </w:r>
      <w:proofErr w:type="gramStart"/>
      <w:r w:rsidRPr="003620AE">
        <w:rPr>
          <w:rFonts w:cstheme="minorHAnsi"/>
          <w:lang w:val="fr-FR"/>
        </w:rPr>
        <w:t>du</w:t>
      </w:r>
      <w:proofErr w:type="gramEnd"/>
      <w:r w:rsidRPr="003620AE">
        <w:rPr>
          <w:rFonts w:cstheme="minorHAnsi"/>
          <w:lang w:val="fr-FR"/>
        </w:rPr>
        <w:t xml:space="preserve"> Seuil, 199</w:t>
      </w:r>
      <w:r w:rsidR="000C5091" w:rsidRPr="003620AE">
        <w:rPr>
          <w:rFonts w:cstheme="minorHAnsi"/>
          <w:lang w:val="fr-FR"/>
        </w:rPr>
        <w:t>8</w:t>
      </w:r>
      <w:r w:rsidRPr="003620AE">
        <w:rPr>
          <w:rFonts w:cstheme="minorHAnsi"/>
          <w:lang w:val="fr-FR"/>
        </w:rPr>
        <w:t>.</w:t>
      </w:r>
      <w:r w:rsidRPr="003620AE">
        <w:rPr>
          <w:rFonts w:cstheme="minorHAnsi"/>
          <w:lang w:val="fr-FR"/>
        </w:rPr>
        <w:fldChar w:fldCharType="end"/>
      </w:r>
    </w:p>
  </w:footnote>
  <w:footnote w:id="6">
    <w:p w14:paraId="03982201" w14:textId="73B66836" w:rsidR="00794C27" w:rsidRPr="003620AE" w:rsidRDefault="00794C27" w:rsidP="00DF197A">
      <w:pPr>
        <w:pStyle w:val="Notedebasdepage"/>
        <w:jc w:val="both"/>
        <w:rPr>
          <w:rFonts w:cstheme="minorHAnsi"/>
          <w:lang w:val="fr-FR"/>
        </w:rPr>
      </w:pPr>
      <w:r w:rsidRPr="003620AE">
        <w:rPr>
          <w:rStyle w:val="Appelnotedebasdep"/>
          <w:rFonts w:cstheme="minorHAnsi"/>
          <w:lang w:val="fr-FR"/>
        </w:rPr>
        <w:footnoteRef/>
      </w:r>
      <w:r w:rsidRPr="003620AE">
        <w:rPr>
          <w:rFonts w:cstheme="minorHAnsi"/>
          <w:lang w:val="fr-FR"/>
        </w:rPr>
        <w:t xml:space="preserve"> </w:t>
      </w:r>
      <w:r w:rsidRPr="003620AE">
        <w:rPr>
          <w:rFonts w:cstheme="minorHAnsi"/>
          <w:lang w:val="fr-FR"/>
        </w:rPr>
        <w:fldChar w:fldCharType="begin"/>
      </w:r>
      <w:r w:rsidRPr="003620AE">
        <w:rPr>
          <w:rFonts w:cstheme="minorHAnsi"/>
          <w:lang w:val="fr-FR"/>
        </w:rPr>
        <w:instrText xml:space="preserve"> ADDIN ZOTERO_ITEM CSL_CITATION {"citationID":"1wlwXoG1","properties":{"formattedCitation":"Denis Laforgue, \\uc0\\u171{}\\uc0\\u160{}Ce que l\\uc0\\u8217{}ethnographie fait \\uc0\\u224{} la th\\uc0\\u233{}orie des institutions\\uc0\\u160{}\\uc0\\u187{}, in {\\i{}Ethnographie de l\\uc0\\u8217{}\\uc0\\u233{}cole: les coulisses des institutions scolaires et socio-\\uc0\\u233{}ducatives}, par Jean-Paul Payet, Didact (Rennes: Presses universitaires de Rennes, 2016).","plainCitation":"Denis Laforgue, « Ce que l’ethnographie fait à la théorie des institutions », in Ethnographie de l’école: les coulisses des institutions scolaires et socio-éducatives, par Jean-Paul Payet, Didact (Rennes: Presses universitaires de Rennes, 2016).","noteIndex":4},"citationItems":[{"id":388,"uris":["http://zotero.org/users/local/c0m081EH/items/HZLEMG82"],"itemData":{"id":388,"type":"chapter","call-number":"306.43","collection-title":"Didact","container-title":"Ethnographie de l'école: les coulisses des institutions scolaires et socio-éducatives","event-place":"Rennes","ISBN":"978-2-7535-4885-5","language":"fre","publisher":"Presses universitaires de Rennes","publisher-place":"Rennes","source":"BnF ISBN","title":"Ce que l'ethnographie fait à la théorie des institutions","container-author":[{"family":"Payet","given":"Jean-Paul"}],"author":[{"family":"Laforgue","given":"Denis"}],"issued":{"date-parts":[["2016"]]}}}],"schema":"https://github.com/citation-style-language/schema/raw/master/csl-citation.json"} </w:instrText>
      </w:r>
      <w:r w:rsidRPr="003620AE">
        <w:rPr>
          <w:rFonts w:cstheme="minorHAnsi"/>
          <w:lang w:val="fr-FR"/>
        </w:rPr>
        <w:fldChar w:fldCharType="separate"/>
      </w:r>
      <w:r w:rsidRPr="003620AE">
        <w:rPr>
          <w:rFonts w:cstheme="minorHAnsi"/>
          <w:lang w:val="fr-FR"/>
        </w:rPr>
        <w:t xml:space="preserve">Denis Laforgue, « Ce que l’ethnographie fait à la théorie des institutions », in </w:t>
      </w:r>
      <w:r w:rsidRPr="003620AE">
        <w:rPr>
          <w:rFonts w:cstheme="minorHAnsi"/>
          <w:i/>
          <w:iCs/>
          <w:lang w:val="fr-FR"/>
        </w:rPr>
        <w:t>Ethnographie de l’école : les coulisses des institutions scolaires et socio-éducatives</w:t>
      </w:r>
      <w:r w:rsidRPr="003620AE">
        <w:rPr>
          <w:rFonts w:cstheme="minorHAnsi"/>
          <w:lang w:val="fr-FR"/>
        </w:rPr>
        <w:t xml:space="preserve">, par Jean-Paul </w:t>
      </w:r>
      <w:proofErr w:type="spellStart"/>
      <w:r w:rsidRPr="003620AE">
        <w:rPr>
          <w:rFonts w:cstheme="minorHAnsi"/>
          <w:lang w:val="fr-FR"/>
        </w:rPr>
        <w:t>Payet</w:t>
      </w:r>
      <w:proofErr w:type="spellEnd"/>
      <w:r w:rsidR="000C5091" w:rsidRPr="003620AE">
        <w:rPr>
          <w:rFonts w:cstheme="minorHAnsi"/>
          <w:lang w:val="fr-FR"/>
        </w:rPr>
        <w:t xml:space="preserve">, </w:t>
      </w:r>
      <w:r w:rsidRPr="003620AE">
        <w:rPr>
          <w:rFonts w:cstheme="minorHAnsi"/>
          <w:lang w:val="fr-FR"/>
        </w:rPr>
        <w:t>Rennes</w:t>
      </w:r>
      <w:r w:rsidR="003620AE">
        <w:rPr>
          <w:rFonts w:cstheme="minorHAnsi"/>
          <w:lang w:val="fr-FR"/>
        </w:rPr>
        <w:t xml:space="preserve">, </w:t>
      </w:r>
      <w:r w:rsidRPr="003620AE">
        <w:rPr>
          <w:rFonts w:cstheme="minorHAnsi"/>
          <w:lang w:val="fr-FR"/>
        </w:rPr>
        <w:t>Presses universitaires de Rennes, 2016.</w:t>
      </w:r>
      <w:r w:rsidRPr="003620AE">
        <w:rPr>
          <w:rFonts w:cstheme="minorHAnsi"/>
          <w:lang w:val="fr-FR"/>
        </w:rPr>
        <w:fldChar w:fldCharType="end"/>
      </w:r>
    </w:p>
  </w:footnote>
  <w:footnote w:id="7">
    <w:p w14:paraId="2B31404E" w14:textId="6F95C7EC" w:rsidR="00794C27" w:rsidRPr="003620AE" w:rsidRDefault="00794C27" w:rsidP="00DF197A">
      <w:pPr>
        <w:pStyle w:val="Notedebasdepage"/>
        <w:jc w:val="both"/>
        <w:rPr>
          <w:rFonts w:cstheme="minorHAnsi"/>
          <w:lang w:val="fr-FR"/>
        </w:rPr>
      </w:pPr>
      <w:r w:rsidRPr="003620AE">
        <w:rPr>
          <w:rStyle w:val="Appelnotedebasdep"/>
          <w:rFonts w:cstheme="minorHAnsi"/>
          <w:lang w:val="fr-FR"/>
        </w:rPr>
        <w:footnoteRef/>
      </w:r>
      <w:r w:rsidRPr="003620AE">
        <w:rPr>
          <w:rFonts w:cstheme="minorHAnsi"/>
          <w:lang w:val="fr-FR"/>
        </w:rPr>
        <w:t xml:space="preserve"> </w:t>
      </w:r>
      <w:r w:rsidRPr="003620AE">
        <w:rPr>
          <w:rFonts w:cstheme="minorHAnsi"/>
          <w:lang w:val="fr-FR"/>
        </w:rPr>
        <w:fldChar w:fldCharType="begin"/>
      </w:r>
      <w:r w:rsidRPr="003620AE">
        <w:rPr>
          <w:rFonts w:cstheme="minorHAnsi"/>
          <w:lang w:val="fr-FR"/>
        </w:rPr>
        <w:instrText xml:space="preserve"> ADDIN ZOTERO_ITEM CSL_CITATION {"citationID":"GTqhQyKE","properties":{"formattedCitation":"Mohamed Nachi, \\uc0\\u171{}\\uc0\\u160{}Un r\\uc0\\u233{}gime pragmatique de l\\uc0\\u8217{}arrangement. L\\uc0\\u8217{}en-de\\uc0\\u231{}\\uc0\\u224{} du public, l\\uc0\\u8217{}au-del\\uc0\\u224{} du familier\\uc0\\u160{}\\uc0\\u187{}, {\\i{}Societ\\uc0\\u224{}MutamentoPolitica} 12, n\\super o\\nosupersub{} 23 (2021): 63\\uc0\\u8209{}79; Mohamed Nachi, \\uc0\\u171{}\\uc0\\u160{}Arrangement\\uc0\\u160{}\\uc0\\u187{}, {\\i{}Anthropen}, 16 septembre 2022, https://doi.org/10.47854/anthropen.v1i1.51550.","plainCitation":"Mohamed Nachi, « Un régime pragmatique de l’arrangement. L’en-deçà du public, l’au-delà du familier », SocietàMutamentoPolitica 12, no 23 (2021): 63</w:instrText>
      </w:r>
      <w:r w:rsidRPr="003620AE">
        <w:rPr>
          <w:rFonts w:ascii="Cambria Math" w:hAnsi="Cambria Math" w:cs="Cambria Math"/>
          <w:lang w:val="fr-FR"/>
        </w:rPr>
        <w:instrText>‑</w:instrText>
      </w:r>
      <w:r w:rsidRPr="003620AE">
        <w:rPr>
          <w:rFonts w:cstheme="minorHAnsi"/>
          <w:lang w:val="fr-FR"/>
        </w:rPr>
        <w:instrText xml:space="preserve">79; Mohamed Nachi, « Arrangement », Anthropen, 16 septembre 2022, https://doi.org/10.47854/anthropen.v1i1.51550.","noteIndex":5},"citationItems":[{"id":468,"uris":["http://zotero.org/users/local/c0m081EH/items/W9W7FYC3"],"itemData":{"id":468,"type":"article-journal","abstract":"In this paper, I propose to define the properties of a new pragmatic regime of action, which I have appointed as the « regime of the arrangement ». After a review of some work on regime of action developed from the perspective of pragmatic sociology, I underlined the importance of faces of arrangement in different areas of social life. By pointing out the semantic ambiguity of the arrangement, I have been able to identify the provisions, resources and practical modalities that allow me to consider it as a hybrid regime that is positioned beyond the familiar, but below the public.","container-title":"SocietàMutamentoPolitica","issue":"23","language":"fr","page":"63-79","source":"Zotero","title":"Un régime pragmatique de l’arrangement. L’en-deçà du public, l’au-delà du familier","volume":"12","author":[{"family":"Nachi","given":"Mohamed"}],"issued":{"date-parts":[["2021"]]}}},{"id":470,"uris":["http://zotero.org/users/local/c0m081EH/items/XZJN6ZIA"],"itemData":{"id":470,"type":"article-journal","abstract":"Il s'agit d'explorer les différents ressorts de l’arrangement ainsi que son usage dans plusieurs champs des sciences humaines et sociales.","container-title":"Anthropen","DOI":"10.47854/anthropen.v1i1.51550","ISSN":"2561-5807","journalAbbreviation":"anthropen","language":"fr","source":"DOI.org (Crossref)","title":"Arrangement","URL":"https://revues.ulaval.ca/ojs/index.php/anthropen/article/view/51550","author":[{"family":"Nachi","given":"Mohamed"}],"accessed":{"date-parts":[["2022",10,17]]},"issued":{"date-parts":[["2022",9,16]]}}}],"schema":"https://github.com/citation-style-language/schema/raw/master/csl-citation.json"} </w:instrText>
      </w:r>
      <w:r w:rsidRPr="003620AE">
        <w:rPr>
          <w:rFonts w:cstheme="minorHAnsi"/>
          <w:lang w:val="fr-FR"/>
        </w:rPr>
        <w:fldChar w:fldCharType="separate"/>
      </w:r>
      <w:r w:rsidRPr="003620AE">
        <w:rPr>
          <w:rFonts w:cstheme="minorHAnsi"/>
          <w:lang w:val="fr-FR"/>
        </w:rPr>
        <w:t xml:space="preserve">Mohamed </w:t>
      </w:r>
      <w:proofErr w:type="spellStart"/>
      <w:r w:rsidRPr="003620AE">
        <w:rPr>
          <w:rFonts w:cstheme="minorHAnsi"/>
          <w:lang w:val="fr-FR"/>
        </w:rPr>
        <w:t>Nachi</w:t>
      </w:r>
      <w:proofErr w:type="spellEnd"/>
      <w:r w:rsidRPr="003620AE">
        <w:rPr>
          <w:rFonts w:cstheme="minorHAnsi"/>
          <w:lang w:val="fr-FR"/>
        </w:rPr>
        <w:t xml:space="preserve">, « Un régime pragmatique de l’arrangement. L’en-deçà du public, l’au-delà du familier », </w:t>
      </w:r>
      <w:proofErr w:type="spellStart"/>
      <w:r w:rsidRPr="003620AE">
        <w:rPr>
          <w:rFonts w:cstheme="minorHAnsi"/>
          <w:i/>
          <w:iCs/>
          <w:lang w:val="fr-FR"/>
        </w:rPr>
        <w:t>SocietàMutamentoPolitica</w:t>
      </w:r>
      <w:proofErr w:type="spellEnd"/>
      <w:r w:rsidRPr="003620AE">
        <w:rPr>
          <w:rFonts w:cstheme="minorHAnsi"/>
          <w:lang w:val="fr-FR"/>
        </w:rPr>
        <w:t xml:space="preserve"> 12</w:t>
      </w:r>
      <w:r w:rsidR="003620AE">
        <w:rPr>
          <w:rFonts w:cstheme="minorHAnsi"/>
          <w:lang w:val="fr-FR"/>
        </w:rPr>
        <w:t>[</w:t>
      </w:r>
      <w:r w:rsidRPr="003620AE">
        <w:rPr>
          <w:rFonts w:cstheme="minorHAnsi"/>
          <w:lang w:val="fr-FR"/>
        </w:rPr>
        <w:t>23</w:t>
      </w:r>
      <w:r w:rsidR="003620AE">
        <w:rPr>
          <w:rFonts w:cstheme="minorHAnsi"/>
          <w:lang w:val="fr-FR"/>
        </w:rPr>
        <w:t>]</w:t>
      </w:r>
      <w:r w:rsidR="000C5091" w:rsidRPr="003620AE">
        <w:rPr>
          <w:rFonts w:cstheme="minorHAnsi"/>
          <w:lang w:val="fr-FR"/>
        </w:rPr>
        <w:t xml:space="preserve">, </w:t>
      </w:r>
      <w:r w:rsidRPr="003620AE">
        <w:rPr>
          <w:rFonts w:cstheme="minorHAnsi"/>
          <w:lang w:val="fr-FR"/>
        </w:rPr>
        <w:t>2021</w:t>
      </w:r>
      <w:r w:rsidR="00D02703" w:rsidRPr="003620AE">
        <w:rPr>
          <w:rFonts w:cstheme="minorHAnsi"/>
          <w:lang w:val="fr-FR"/>
        </w:rPr>
        <w:t xml:space="preserve"> </w:t>
      </w:r>
      <w:r w:rsidRPr="003620AE">
        <w:rPr>
          <w:rFonts w:cstheme="minorHAnsi"/>
          <w:lang w:val="fr-FR"/>
        </w:rPr>
        <w:t xml:space="preserve">; Mohamed </w:t>
      </w:r>
      <w:proofErr w:type="spellStart"/>
      <w:r w:rsidRPr="003620AE">
        <w:rPr>
          <w:rFonts w:cstheme="minorHAnsi"/>
          <w:lang w:val="fr-FR"/>
        </w:rPr>
        <w:t>Nachi</w:t>
      </w:r>
      <w:proofErr w:type="spellEnd"/>
      <w:r w:rsidRPr="003620AE">
        <w:rPr>
          <w:rFonts w:cstheme="minorHAnsi"/>
          <w:lang w:val="fr-FR"/>
        </w:rPr>
        <w:t xml:space="preserve">, « Arrangement », </w:t>
      </w:r>
      <w:proofErr w:type="spellStart"/>
      <w:r w:rsidRPr="003620AE">
        <w:rPr>
          <w:rFonts w:cstheme="minorHAnsi"/>
          <w:i/>
          <w:iCs/>
          <w:lang w:val="fr-FR"/>
        </w:rPr>
        <w:t>Anthropen</w:t>
      </w:r>
      <w:proofErr w:type="spellEnd"/>
      <w:r w:rsidRPr="003620AE">
        <w:rPr>
          <w:rFonts w:cstheme="minorHAnsi"/>
          <w:lang w:val="fr-FR"/>
        </w:rPr>
        <w:t>, 16 septembre 2022.</w:t>
      </w:r>
      <w:r w:rsidRPr="003620AE">
        <w:rPr>
          <w:rFonts w:cstheme="minorHAnsi"/>
          <w:lang w:val="fr-FR"/>
        </w:rPr>
        <w:fldChar w:fldCharType="end"/>
      </w:r>
    </w:p>
  </w:footnote>
  <w:footnote w:id="8">
    <w:p w14:paraId="2F390CC1" w14:textId="12B624AB" w:rsidR="00433AB0" w:rsidRPr="003620AE" w:rsidRDefault="00433AB0" w:rsidP="00DF197A">
      <w:pPr>
        <w:pStyle w:val="Notedebasdepage"/>
        <w:jc w:val="both"/>
        <w:rPr>
          <w:rFonts w:cstheme="minorHAnsi"/>
          <w:lang w:val="fr-FR"/>
        </w:rPr>
      </w:pPr>
      <w:r w:rsidRPr="003620AE">
        <w:rPr>
          <w:rStyle w:val="Appelnotedebasdep"/>
          <w:rFonts w:cstheme="minorHAnsi"/>
          <w:lang w:val="fr-FR"/>
        </w:rPr>
        <w:footnoteRef/>
      </w:r>
      <w:r w:rsidRPr="003620AE">
        <w:rPr>
          <w:rFonts w:cstheme="minorHAnsi"/>
          <w:lang w:val="fr-FR"/>
        </w:rPr>
        <w:t xml:space="preserve"> </w:t>
      </w:r>
      <w:r w:rsidRPr="003620AE">
        <w:rPr>
          <w:rFonts w:cstheme="minorHAnsi"/>
          <w:lang w:val="fr-FR"/>
        </w:rPr>
        <w:fldChar w:fldCharType="begin"/>
      </w:r>
      <w:r w:rsidR="00794C27" w:rsidRPr="003620AE">
        <w:rPr>
          <w:rFonts w:cstheme="minorHAnsi"/>
          <w:lang w:val="fr-FR"/>
        </w:rPr>
        <w:instrText xml:space="preserve"> ADDIN ZOTERO_ITEM CSL_CITATION {"citationID":"mthKwnwy","properties":{"formattedCitation":"Alain Coulon, {\\i{}Ethnom\\uc0\\u233{}thodologie et \\uc0\\u233{}ducation} (Paris: Presses universitaires de France, 1993), 15.","plainCitation":"Alain Coulon, Ethnométhodologie et éducation (Paris: Presses universitaires de France, 1993), 15.","noteIndex":6},"citationItems":[{"id":266,"uris":["http://zotero.org/users/local/c0m081EH/items/9LFHCFMQ"],"itemData":{"id":266,"type":"book","event-place":"Paris","language":"fr","publisher":"Presses universitaires de France","publisher-place":"Paris","source":"Zotero","title":"Ethnométhodologie et éducation","author":[{"family":"Coulon","given":"Alain"}],"issued":{"date-parts":[["1993"]]}},"locator":"15","label":"page"}],"schema":"https://github.com/citation-style-language/schema/raw/master/csl-citation.json"} </w:instrText>
      </w:r>
      <w:r w:rsidRPr="003620AE">
        <w:rPr>
          <w:rFonts w:cstheme="minorHAnsi"/>
          <w:lang w:val="fr-FR"/>
        </w:rPr>
        <w:fldChar w:fldCharType="separate"/>
      </w:r>
      <w:r w:rsidRPr="003620AE">
        <w:rPr>
          <w:rFonts w:cstheme="minorHAnsi"/>
          <w:lang w:val="fr-FR"/>
        </w:rPr>
        <w:t xml:space="preserve">Alain Coulon, </w:t>
      </w:r>
      <w:r w:rsidRPr="003620AE">
        <w:rPr>
          <w:rFonts w:cstheme="minorHAnsi"/>
          <w:i/>
          <w:iCs/>
          <w:lang w:val="fr-FR"/>
        </w:rPr>
        <w:t>Ethnométhodologie et éducation</w:t>
      </w:r>
      <w:r w:rsidR="000C5091" w:rsidRPr="003620AE">
        <w:rPr>
          <w:rFonts w:cstheme="minorHAnsi"/>
          <w:lang w:val="fr-FR"/>
        </w:rPr>
        <w:t xml:space="preserve">, </w:t>
      </w:r>
      <w:r w:rsidRPr="003620AE">
        <w:rPr>
          <w:rFonts w:cstheme="minorHAnsi"/>
          <w:lang w:val="fr-FR"/>
        </w:rPr>
        <w:t>Paris</w:t>
      </w:r>
      <w:r w:rsidR="003620AE">
        <w:rPr>
          <w:rFonts w:cstheme="minorHAnsi"/>
          <w:lang w:val="fr-FR"/>
        </w:rPr>
        <w:t xml:space="preserve">, </w:t>
      </w:r>
      <w:r w:rsidRPr="003620AE">
        <w:rPr>
          <w:rFonts w:cstheme="minorHAnsi"/>
          <w:lang w:val="fr-FR"/>
        </w:rPr>
        <w:t xml:space="preserve">Presses universitaires de France, 1993, </w:t>
      </w:r>
      <w:r w:rsidR="003620AE">
        <w:rPr>
          <w:rFonts w:cstheme="minorHAnsi"/>
          <w:lang w:val="fr-FR"/>
        </w:rPr>
        <w:t xml:space="preserve">p. </w:t>
      </w:r>
      <w:r w:rsidRPr="003620AE">
        <w:rPr>
          <w:rFonts w:cstheme="minorHAnsi"/>
          <w:lang w:val="fr-FR"/>
        </w:rPr>
        <w:t>15.</w:t>
      </w:r>
      <w:r w:rsidRPr="003620AE">
        <w:rPr>
          <w:rFonts w:cstheme="minorHAnsi"/>
          <w:lang w:val="fr-FR"/>
        </w:rPr>
        <w:fldChar w:fldCharType="end"/>
      </w:r>
    </w:p>
  </w:footnote>
  <w:footnote w:id="9">
    <w:p w14:paraId="34045091" w14:textId="5C3A55B7" w:rsidR="00D02703" w:rsidRPr="003620AE" w:rsidRDefault="00D02703" w:rsidP="00DF197A">
      <w:pPr>
        <w:pStyle w:val="Notedebasdepage"/>
        <w:jc w:val="both"/>
        <w:rPr>
          <w:rFonts w:cstheme="minorHAnsi"/>
          <w:lang w:val="fr-FR"/>
        </w:rPr>
      </w:pPr>
      <w:r w:rsidRPr="003620AE">
        <w:rPr>
          <w:rStyle w:val="Appelnotedebasdep"/>
          <w:rFonts w:cstheme="minorHAnsi"/>
          <w:lang w:val="fr-FR"/>
        </w:rPr>
        <w:footnoteRef/>
      </w:r>
      <w:r w:rsidRPr="003620AE">
        <w:rPr>
          <w:rFonts w:cstheme="minorHAnsi"/>
          <w:lang w:val="fr-FR"/>
        </w:rPr>
        <w:t xml:space="preserve"> </w:t>
      </w:r>
      <w:r w:rsidRPr="003620AE">
        <w:rPr>
          <w:rFonts w:cstheme="minorHAnsi"/>
          <w:lang w:val="fr-FR"/>
        </w:rPr>
        <w:fldChar w:fldCharType="begin"/>
      </w:r>
      <w:r w:rsidRPr="003620AE">
        <w:rPr>
          <w:rFonts w:cstheme="minorHAnsi"/>
          <w:lang w:val="fr-FR"/>
        </w:rPr>
        <w:instrText xml:space="preserve"> ADDIN ZOTERO_ITEM CSL_CITATION {"citationID":"2psSmKPn","properties":{"formattedCitation":"Coulon, 27.","plainCitation":"Coulon, 27.","noteIndex":7},"citationItems":[{"id":266,"uris":["http://zotero.org/users/local/c0m081EH/items/9LFHCFMQ"],"itemData":{"id":266,"type":"book","event-place":"Paris","language":"fr","publisher":"Presses universitaires de France","publisher-place":"Paris","source":"Zotero","title":"Ethnométhodologie et éducation","author":[{"family":"Coulon","given":"Alain"}],"issued":{"date-parts":[["1993"]]}},"locator":"27","label":"page"}],"schema":"https://github.com/citation-style-language/schema/raw/master/csl-citation.json"} </w:instrText>
      </w:r>
      <w:r w:rsidRPr="003620AE">
        <w:rPr>
          <w:rFonts w:cstheme="minorHAnsi"/>
          <w:lang w:val="fr-FR"/>
        </w:rPr>
        <w:fldChar w:fldCharType="separate"/>
      </w:r>
      <w:r w:rsidRPr="003620AE">
        <w:rPr>
          <w:rFonts w:cstheme="minorHAnsi"/>
          <w:noProof/>
          <w:lang w:val="fr-FR"/>
        </w:rPr>
        <w:t>Coulon, 27.</w:t>
      </w:r>
      <w:r w:rsidRPr="003620AE">
        <w:rPr>
          <w:rFonts w:cstheme="minorHAnsi"/>
          <w:lang w:val="fr-FR"/>
        </w:rPr>
        <w:fldChar w:fldCharType="end"/>
      </w:r>
    </w:p>
  </w:footnote>
  <w:footnote w:id="10">
    <w:p w14:paraId="402B881D" w14:textId="006CA015" w:rsidR="00DC5C5A" w:rsidRPr="003620AE" w:rsidRDefault="00DC5C5A" w:rsidP="00DF197A">
      <w:pPr>
        <w:pStyle w:val="Notedebasdepage"/>
        <w:jc w:val="both"/>
        <w:rPr>
          <w:rFonts w:cstheme="minorHAnsi"/>
          <w:lang w:val="fr-FR"/>
        </w:rPr>
      </w:pPr>
      <w:r w:rsidRPr="003620AE">
        <w:rPr>
          <w:rStyle w:val="Appelnotedebasdep"/>
          <w:rFonts w:cstheme="minorHAnsi"/>
          <w:lang w:val="fr-FR"/>
        </w:rPr>
        <w:footnoteRef/>
      </w:r>
      <w:r w:rsidRPr="003620AE">
        <w:rPr>
          <w:rFonts w:cstheme="minorHAnsi"/>
          <w:lang w:val="fr-FR"/>
        </w:rPr>
        <w:t xml:space="preserve"> </w:t>
      </w:r>
      <w:r w:rsidR="007647E7" w:rsidRPr="003620AE">
        <w:rPr>
          <w:rFonts w:cstheme="minorHAnsi"/>
          <w:lang w:val="fr-FR"/>
        </w:rPr>
        <w:t xml:space="preserve">Clifford </w:t>
      </w:r>
      <w:r w:rsidRPr="003620AE">
        <w:rPr>
          <w:rFonts w:cstheme="minorHAnsi"/>
          <w:lang w:val="fr-FR"/>
        </w:rPr>
        <w:t>Geertz</w:t>
      </w:r>
      <w:r w:rsidR="007647E7" w:rsidRPr="003620AE">
        <w:rPr>
          <w:rFonts w:cstheme="minorHAnsi"/>
          <w:lang w:val="fr-FR"/>
        </w:rPr>
        <w:t xml:space="preserve">, </w:t>
      </w:r>
      <w:r w:rsidR="007647E7" w:rsidRPr="003620AE">
        <w:rPr>
          <w:rFonts w:cstheme="minorHAnsi"/>
          <w:i/>
          <w:iCs/>
          <w:lang w:val="fr-FR"/>
        </w:rPr>
        <w:t xml:space="preserve">The </w:t>
      </w:r>
      <w:proofErr w:type="spellStart"/>
      <w:r w:rsidR="007647E7" w:rsidRPr="003620AE">
        <w:rPr>
          <w:rFonts w:cstheme="minorHAnsi"/>
          <w:i/>
          <w:iCs/>
          <w:lang w:val="fr-FR"/>
        </w:rPr>
        <w:t>interpretation</w:t>
      </w:r>
      <w:proofErr w:type="spellEnd"/>
      <w:r w:rsidR="007647E7" w:rsidRPr="003620AE">
        <w:rPr>
          <w:rFonts w:cstheme="minorHAnsi"/>
          <w:i/>
          <w:iCs/>
          <w:lang w:val="fr-FR"/>
        </w:rPr>
        <w:t xml:space="preserve"> of cultures</w:t>
      </w:r>
      <w:r w:rsidR="007647E7" w:rsidRPr="003620AE">
        <w:rPr>
          <w:rFonts w:cstheme="minorHAnsi"/>
          <w:lang w:val="fr-FR"/>
        </w:rPr>
        <w:t xml:space="preserve">, New-York : Basic Books, 1973 ; Bob </w:t>
      </w:r>
      <w:proofErr w:type="spellStart"/>
      <w:r w:rsidR="007647E7" w:rsidRPr="003620AE">
        <w:rPr>
          <w:rFonts w:cstheme="minorHAnsi"/>
          <w:lang w:val="fr-FR"/>
        </w:rPr>
        <w:t>Scholte</w:t>
      </w:r>
      <w:proofErr w:type="spellEnd"/>
      <w:r w:rsidR="007647E7" w:rsidRPr="003620AE">
        <w:rPr>
          <w:rFonts w:cstheme="minorHAnsi"/>
          <w:lang w:val="fr-FR"/>
        </w:rPr>
        <w:t>, “</w:t>
      </w:r>
      <w:proofErr w:type="spellStart"/>
      <w:r w:rsidR="007647E7" w:rsidRPr="003620AE">
        <w:rPr>
          <w:rFonts w:cstheme="minorHAnsi"/>
          <w:lang w:val="fr-FR"/>
        </w:rPr>
        <w:t>Toward</w:t>
      </w:r>
      <w:proofErr w:type="spellEnd"/>
      <w:r w:rsidR="007647E7" w:rsidRPr="003620AE">
        <w:rPr>
          <w:rFonts w:cstheme="minorHAnsi"/>
          <w:lang w:val="fr-FR"/>
        </w:rPr>
        <w:t xml:space="preserve"> a </w:t>
      </w:r>
      <w:proofErr w:type="spellStart"/>
      <w:r w:rsidR="007647E7" w:rsidRPr="003620AE">
        <w:rPr>
          <w:rFonts w:cstheme="minorHAnsi"/>
          <w:lang w:val="fr-FR"/>
        </w:rPr>
        <w:t>Reflexive</w:t>
      </w:r>
      <w:proofErr w:type="spellEnd"/>
      <w:r w:rsidR="007647E7" w:rsidRPr="003620AE">
        <w:rPr>
          <w:rFonts w:cstheme="minorHAnsi"/>
          <w:lang w:val="fr-FR"/>
        </w:rPr>
        <w:t xml:space="preserve"> and Critical </w:t>
      </w:r>
      <w:proofErr w:type="spellStart"/>
      <w:r w:rsidR="007647E7" w:rsidRPr="003620AE">
        <w:rPr>
          <w:rFonts w:cstheme="minorHAnsi"/>
          <w:lang w:val="fr-FR"/>
        </w:rPr>
        <w:t>Anthropology</w:t>
      </w:r>
      <w:proofErr w:type="spellEnd"/>
      <w:r w:rsidR="007647E7" w:rsidRPr="003620AE">
        <w:rPr>
          <w:rFonts w:cstheme="minorHAnsi"/>
          <w:lang w:val="fr-FR"/>
        </w:rPr>
        <w:t xml:space="preserve">.” In : Dell Hymes (éd.). </w:t>
      </w:r>
      <w:proofErr w:type="spellStart"/>
      <w:r w:rsidR="007647E7" w:rsidRPr="003620AE">
        <w:rPr>
          <w:rFonts w:cstheme="minorHAnsi"/>
          <w:i/>
          <w:iCs/>
          <w:lang w:val="fr-FR"/>
        </w:rPr>
        <w:t>Reinventing</w:t>
      </w:r>
      <w:proofErr w:type="spellEnd"/>
      <w:r w:rsidR="007647E7" w:rsidRPr="003620AE">
        <w:rPr>
          <w:rFonts w:cstheme="minorHAnsi"/>
          <w:i/>
          <w:iCs/>
          <w:lang w:val="fr-FR"/>
        </w:rPr>
        <w:t xml:space="preserve"> </w:t>
      </w:r>
      <w:proofErr w:type="spellStart"/>
      <w:r w:rsidR="007647E7" w:rsidRPr="003620AE">
        <w:rPr>
          <w:rFonts w:cstheme="minorHAnsi"/>
          <w:i/>
          <w:iCs/>
          <w:lang w:val="fr-FR"/>
        </w:rPr>
        <w:t>Anthropology</w:t>
      </w:r>
      <w:proofErr w:type="spellEnd"/>
      <w:r w:rsidR="007647E7" w:rsidRPr="003620AE">
        <w:rPr>
          <w:rFonts w:cstheme="minorHAnsi"/>
          <w:lang w:val="fr-FR"/>
        </w:rPr>
        <w:t>, New York</w:t>
      </w:r>
      <w:r w:rsidR="003620AE">
        <w:rPr>
          <w:rFonts w:cstheme="minorHAnsi"/>
          <w:lang w:val="fr-FR"/>
        </w:rPr>
        <w:t xml:space="preserve">, </w:t>
      </w:r>
      <w:r w:rsidR="007647E7" w:rsidRPr="003620AE">
        <w:rPr>
          <w:rFonts w:cstheme="minorHAnsi"/>
          <w:lang w:val="fr-FR"/>
        </w:rPr>
        <w:t xml:space="preserve">Vintage Books, 1974, </w:t>
      </w:r>
      <w:r w:rsidR="003620AE">
        <w:rPr>
          <w:rFonts w:cstheme="minorHAnsi"/>
          <w:lang w:val="fr-FR"/>
        </w:rPr>
        <w:t xml:space="preserve">p. </w:t>
      </w:r>
      <w:r w:rsidR="007647E7" w:rsidRPr="003620AE">
        <w:rPr>
          <w:rFonts w:cstheme="minorHAnsi"/>
          <w:lang w:val="fr-FR"/>
        </w:rPr>
        <w:t>430-457.</w:t>
      </w:r>
    </w:p>
  </w:footnote>
  <w:footnote w:id="11">
    <w:p w14:paraId="7B2A8A54" w14:textId="1B91392F" w:rsidR="009752A7" w:rsidRPr="003620AE" w:rsidRDefault="009752A7" w:rsidP="00DF197A">
      <w:pPr>
        <w:pStyle w:val="Notedebasdepage"/>
        <w:jc w:val="both"/>
        <w:rPr>
          <w:rFonts w:cstheme="minorHAnsi"/>
          <w:lang w:val="fr-FR"/>
        </w:rPr>
      </w:pPr>
      <w:r w:rsidRPr="003620AE">
        <w:rPr>
          <w:rStyle w:val="Appelnotedebasdep"/>
          <w:rFonts w:cstheme="minorHAnsi"/>
          <w:lang w:val="fr-FR"/>
        </w:rPr>
        <w:footnoteRef/>
      </w:r>
      <w:r w:rsidRPr="003620AE">
        <w:rPr>
          <w:rFonts w:cstheme="minorHAnsi"/>
          <w:lang w:val="fr-FR"/>
        </w:rPr>
        <w:t xml:space="preserve"> </w:t>
      </w:r>
      <w:r w:rsidR="00513C49" w:rsidRPr="003620AE">
        <w:rPr>
          <w:rFonts w:cstheme="minorHAnsi"/>
          <w:lang w:val="fr-FR"/>
        </w:rPr>
        <w:t xml:space="preserve">Sur cette question, voir </w:t>
      </w:r>
      <w:r w:rsidR="007647E7" w:rsidRPr="003620AE">
        <w:rPr>
          <w:rFonts w:cstheme="minorHAnsi"/>
          <w:lang w:val="fr-FR"/>
        </w:rPr>
        <w:t>Harold Garfinkel</w:t>
      </w:r>
      <w:r w:rsidR="003620AE">
        <w:rPr>
          <w:rFonts w:cstheme="minorHAnsi"/>
          <w:lang w:val="fr-FR"/>
        </w:rPr>
        <w:t>,</w:t>
      </w:r>
      <w:r w:rsidR="007647E7" w:rsidRPr="003620AE">
        <w:rPr>
          <w:rFonts w:cstheme="minorHAnsi"/>
          <w:lang w:val="fr-FR"/>
        </w:rPr>
        <w:t xml:space="preserve"> </w:t>
      </w:r>
      <w:r w:rsidR="007647E7" w:rsidRPr="003620AE">
        <w:rPr>
          <w:rFonts w:cstheme="minorHAnsi"/>
          <w:i/>
          <w:iCs/>
          <w:lang w:val="fr-FR"/>
        </w:rPr>
        <w:t>Recherches en ethnométhodologie</w:t>
      </w:r>
      <w:r w:rsidR="007647E7" w:rsidRPr="003620AE">
        <w:rPr>
          <w:rFonts w:cstheme="minorHAnsi"/>
          <w:lang w:val="fr-FR"/>
        </w:rPr>
        <w:t>, Paris</w:t>
      </w:r>
      <w:r w:rsidR="003620AE">
        <w:rPr>
          <w:rFonts w:cstheme="minorHAnsi"/>
          <w:lang w:val="fr-FR"/>
        </w:rPr>
        <w:t xml:space="preserve">, </w:t>
      </w:r>
      <w:r w:rsidR="007647E7" w:rsidRPr="003620AE">
        <w:rPr>
          <w:rFonts w:cstheme="minorHAnsi"/>
          <w:lang w:val="fr-FR"/>
        </w:rPr>
        <w:t>Presses universitaires de France, 2007.</w:t>
      </w:r>
    </w:p>
  </w:footnote>
  <w:footnote w:id="12">
    <w:p w14:paraId="7B878531" w14:textId="349A34AD" w:rsidR="009752A7" w:rsidRPr="003620AE" w:rsidRDefault="009752A7" w:rsidP="00DF197A">
      <w:pPr>
        <w:pStyle w:val="Notedebasdepage"/>
        <w:jc w:val="both"/>
        <w:rPr>
          <w:rFonts w:cstheme="minorHAnsi"/>
          <w:lang w:val="fr-FR"/>
        </w:rPr>
      </w:pPr>
      <w:r w:rsidRPr="003620AE">
        <w:rPr>
          <w:rStyle w:val="Appelnotedebasdep"/>
          <w:rFonts w:cstheme="minorHAnsi"/>
          <w:lang w:val="fr-FR"/>
        </w:rPr>
        <w:footnoteRef/>
      </w:r>
      <w:r w:rsidRPr="003620AE">
        <w:rPr>
          <w:rFonts w:cstheme="minorHAnsi"/>
          <w:lang w:val="fr-FR"/>
        </w:rPr>
        <w:t xml:space="preserve"> Sur cette question, voir Garfinkel,</w:t>
      </w:r>
      <w:r w:rsidR="007647E7" w:rsidRPr="003620AE">
        <w:rPr>
          <w:rFonts w:cstheme="minorHAnsi"/>
          <w:i/>
          <w:iCs/>
          <w:lang w:val="fr-FR"/>
        </w:rPr>
        <w:t xml:space="preserve"> Recherches en ethnométhodologie </w:t>
      </w:r>
      <w:r w:rsidR="007647E7" w:rsidRPr="003620AE">
        <w:rPr>
          <w:rFonts w:cstheme="minorHAnsi"/>
          <w:lang w:val="fr-FR"/>
        </w:rPr>
        <w:t>; Alfred</w:t>
      </w:r>
      <w:r w:rsidRPr="003620AE">
        <w:rPr>
          <w:rFonts w:cstheme="minorHAnsi"/>
          <w:lang w:val="fr-FR"/>
        </w:rPr>
        <w:t xml:space="preserve"> Schütz</w:t>
      </w:r>
      <w:r w:rsidR="007647E7" w:rsidRPr="003620AE">
        <w:rPr>
          <w:rFonts w:cstheme="minorHAnsi"/>
          <w:lang w:val="fr-FR"/>
        </w:rPr>
        <w:t xml:space="preserve">, </w:t>
      </w:r>
      <w:r w:rsidR="007647E7" w:rsidRPr="003620AE">
        <w:rPr>
          <w:rFonts w:cstheme="minorHAnsi"/>
          <w:i/>
          <w:iCs/>
          <w:lang w:val="fr-FR"/>
        </w:rPr>
        <w:t xml:space="preserve">Le chercheur et le </w:t>
      </w:r>
      <w:proofErr w:type="gramStart"/>
      <w:r w:rsidR="007647E7" w:rsidRPr="003620AE">
        <w:rPr>
          <w:rFonts w:cstheme="minorHAnsi"/>
          <w:i/>
          <w:iCs/>
          <w:lang w:val="fr-FR"/>
        </w:rPr>
        <w:t>quotidien:</w:t>
      </w:r>
      <w:proofErr w:type="gramEnd"/>
      <w:r w:rsidR="007647E7" w:rsidRPr="003620AE">
        <w:rPr>
          <w:rFonts w:cstheme="minorHAnsi"/>
          <w:i/>
          <w:iCs/>
          <w:lang w:val="fr-FR"/>
        </w:rPr>
        <w:t xml:space="preserve"> phénoménologie des sciences sociales</w:t>
      </w:r>
      <w:r w:rsidR="007647E7" w:rsidRPr="003620AE">
        <w:rPr>
          <w:rFonts w:cstheme="minorHAnsi"/>
          <w:lang w:val="fr-FR"/>
        </w:rPr>
        <w:t>, Paris</w:t>
      </w:r>
      <w:r w:rsidR="003620AE">
        <w:rPr>
          <w:rFonts w:cstheme="minorHAnsi"/>
          <w:lang w:val="fr-FR"/>
        </w:rPr>
        <w:t xml:space="preserve">, </w:t>
      </w:r>
      <w:proofErr w:type="spellStart"/>
      <w:r w:rsidR="007647E7" w:rsidRPr="003620AE">
        <w:rPr>
          <w:rFonts w:cstheme="minorHAnsi"/>
          <w:lang w:val="fr-FR"/>
        </w:rPr>
        <w:t>Klincksieck</w:t>
      </w:r>
      <w:proofErr w:type="spellEnd"/>
      <w:r w:rsidR="007647E7" w:rsidRPr="003620AE">
        <w:rPr>
          <w:rFonts w:cstheme="minorHAnsi"/>
          <w:lang w:val="fr-FR"/>
        </w:rPr>
        <w:t xml:space="preserve">, 2008. </w:t>
      </w:r>
    </w:p>
  </w:footnote>
  <w:footnote w:id="13">
    <w:p w14:paraId="3D4C2394" w14:textId="33B9741A" w:rsidR="00AF2705" w:rsidRPr="003620AE" w:rsidRDefault="00AF2705" w:rsidP="00DF197A">
      <w:pPr>
        <w:pStyle w:val="Notedebasdepage"/>
        <w:jc w:val="both"/>
        <w:rPr>
          <w:rFonts w:cstheme="minorHAnsi"/>
          <w:lang w:val="fr-FR"/>
        </w:rPr>
      </w:pPr>
      <w:r w:rsidRPr="003620AE">
        <w:rPr>
          <w:rStyle w:val="Appelnotedebasdep"/>
          <w:rFonts w:cstheme="minorHAnsi"/>
          <w:lang w:val="fr-FR"/>
        </w:rPr>
        <w:footnoteRef/>
      </w:r>
      <w:r w:rsidRPr="003620AE">
        <w:rPr>
          <w:rFonts w:cstheme="minorHAnsi"/>
          <w:lang w:val="fr-FR"/>
        </w:rPr>
        <w:t xml:space="preserve"> </w:t>
      </w:r>
      <w:r w:rsidR="00224202" w:rsidRPr="003620AE">
        <w:rPr>
          <w:rFonts w:cstheme="minorHAnsi"/>
          <w:lang w:val="fr-FR"/>
        </w:rPr>
        <w:t xml:space="preserve">Phillipe </w:t>
      </w:r>
      <w:r w:rsidRPr="003620AE">
        <w:rPr>
          <w:rFonts w:cstheme="minorHAnsi"/>
          <w:lang w:val="fr-FR"/>
        </w:rPr>
        <w:t>Vienne</w:t>
      </w:r>
      <w:r w:rsidR="007647E7" w:rsidRPr="003620AE">
        <w:rPr>
          <w:rFonts w:cstheme="minorHAnsi"/>
          <w:lang w:val="fr-FR"/>
        </w:rPr>
        <w:t xml:space="preserve"> « Mais qui a peur de l’ethnographie scolaire ? », </w:t>
      </w:r>
      <w:r w:rsidR="00DF197A" w:rsidRPr="003620AE">
        <w:rPr>
          <w:rFonts w:cstheme="minorHAnsi"/>
          <w:i/>
          <w:iCs/>
          <w:lang w:val="fr-FR"/>
        </w:rPr>
        <w:t>Éducation</w:t>
      </w:r>
      <w:r w:rsidR="007647E7" w:rsidRPr="003620AE">
        <w:rPr>
          <w:rFonts w:cstheme="minorHAnsi"/>
          <w:i/>
          <w:iCs/>
          <w:lang w:val="fr-FR"/>
        </w:rPr>
        <w:t xml:space="preserve"> et Sociétés</w:t>
      </w:r>
      <w:r w:rsidR="007647E7" w:rsidRPr="003620AE">
        <w:rPr>
          <w:rFonts w:cstheme="minorHAnsi"/>
          <w:lang w:val="fr-FR"/>
        </w:rPr>
        <w:t>, 16</w:t>
      </w:r>
      <w:r w:rsidR="003620AE">
        <w:rPr>
          <w:rFonts w:cstheme="minorHAnsi"/>
          <w:lang w:val="fr-FR"/>
        </w:rPr>
        <w:t>[</w:t>
      </w:r>
      <w:r w:rsidR="007647E7" w:rsidRPr="003620AE">
        <w:rPr>
          <w:rFonts w:cstheme="minorHAnsi"/>
          <w:lang w:val="fr-FR"/>
        </w:rPr>
        <w:t>2</w:t>
      </w:r>
      <w:r w:rsidR="003620AE">
        <w:rPr>
          <w:rFonts w:cstheme="minorHAnsi"/>
          <w:lang w:val="fr-FR"/>
        </w:rPr>
        <w:t>]</w:t>
      </w:r>
      <w:r w:rsidR="007647E7" w:rsidRPr="003620AE">
        <w:rPr>
          <w:rFonts w:cstheme="minorHAnsi"/>
          <w:lang w:val="fr-FR"/>
        </w:rPr>
        <w:t xml:space="preserve">, 2005, </w:t>
      </w:r>
      <w:r w:rsidR="003620AE">
        <w:rPr>
          <w:rFonts w:cstheme="minorHAnsi"/>
          <w:lang w:val="fr-FR"/>
        </w:rPr>
        <w:t xml:space="preserve">p. </w:t>
      </w:r>
      <w:r w:rsidR="007647E7" w:rsidRPr="003620AE">
        <w:rPr>
          <w:rFonts w:cstheme="minorHAnsi"/>
          <w:lang w:val="fr-FR"/>
        </w:rPr>
        <w:t>181</w:t>
      </w:r>
      <w:r w:rsidR="00513C49" w:rsidRPr="003620AE">
        <w:rPr>
          <w:rFonts w:cstheme="minorHAnsi"/>
          <w:lang w:val="fr-FR"/>
        </w:rPr>
        <w:t>.</w:t>
      </w:r>
    </w:p>
  </w:footnote>
  <w:footnote w:id="14">
    <w:p w14:paraId="72FD2F2C" w14:textId="2BC7651A" w:rsidR="00AF2705" w:rsidRPr="003620AE" w:rsidRDefault="00AF2705" w:rsidP="00DF197A">
      <w:pPr>
        <w:pStyle w:val="Notedebasdepage"/>
        <w:jc w:val="both"/>
        <w:rPr>
          <w:rFonts w:cstheme="minorHAnsi"/>
          <w:lang w:val="fr-FR"/>
        </w:rPr>
      </w:pPr>
      <w:r w:rsidRPr="003620AE">
        <w:rPr>
          <w:rStyle w:val="Appelnotedebasdep"/>
          <w:rFonts w:cstheme="minorHAnsi"/>
          <w:lang w:val="fr-FR"/>
        </w:rPr>
        <w:footnoteRef/>
      </w:r>
      <w:r w:rsidRPr="003620AE">
        <w:rPr>
          <w:rFonts w:cstheme="minorHAnsi"/>
          <w:lang w:val="fr-FR"/>
        </w:rPr>
        <w:t xml:space="preserve"> </w:t>
      </w:r>
      <w:r w:rsidR="007647E7" w:rsidRPr="003620AE">
        <w:rPr>
          <w:rFonts w:cstheme="minorHAnsi"/>
          <w:lang w:val="fr-FR"/>
        </w:rPr>
        <w:t xml:space="preserve">Vienne, « Mais qui a peur de l’ethnographie scolaire », </w:t>
      </w:r>
      <w:r w:rsidR="003620AE">
        <w:rPr>
          <w:rFonts w:cstheme="minorHAnsi"/>
          <w:lang w:val="fr-FR"/>
        </w:rPr>
        <w:t xml:space="preserve">p. </w:t>
      </w:r>
      <w:r w:rsidR="007647E7" w:rsidRPr="003620AE">
        <w:rPr>
          <w:rFonts w:cstheme="minorHAnsi"/>
          <w:lang w:val="fr-FR"/>
        </w:rPr>
        <w:t>181</w:t>
      </w:r>
      <w:r w:rsidR="00513C49" w:rsidRPr="003620AE">
        <w:rPr>
          <w:rFonts w:cstheme="minorHAnsi"/>
          <w:lang w:val="fr-FR"/>
        </w:rPr>
        <w:t xml:space="preserve"> ; voir également, </w:t>
      </w:r>
      <w:proofErr w:type="spellStart"/>
      <w:r w:rsidR="00513C49" w:rsidRPr="003620AE">
        <w:rPr>
          <w:rFonts w:cstheme="minorHAnsi"/>
          <w:lang w:val="fr-FR"/>
        </w:rPr>
        <w:t>Aksel</w:t>
      </w:r>
      <w:proofErr w:type="spellEnd"/>
      <w:r w:rsidR="00513C49" w:rsidRPr="003620AE">
        <w:rPr>
          <w:rFonts w:cstheme="minorHAnsi"/>
          <w:lang w:val="fr-FR"/>
        </w:rPr>
        <w:t xml:space="preserve"> </w:t>
      </w:r>
      <w:proofErr w:type="spellStart"/>
      <w:r w:rsidR="00513C49" w:rsidRPr="003620AE">
        <w:rPr>
          <w:rFonts w:cstheme="minorHAnsi"/>
          <w:lang w:val="fr-FR"/>
        </w:rPr>
        <w:t>Kilic</w:t>
      </w:r>
      <w:proofErr w:type="spellEnd"/>
      <w:r w:rsidR="00513C49" w:rsidRPr="003620AE">
        <w:rPr>
          <w:rFonts w:cstheme="minorHAnsi"/>
          <w:lang w:val="fr-FR"/>
        </w:rPr>
        <w:t xml:space="preserve">, </w:t>
      </w:r>
      <w:r w:rsidR="00513C49" w:rsidRPr="003620AE">
        <w:rPr>
          <w:rFonts w:cstheme="minorHAnsi"/>
          <w:i/>
          <w:iCs/>
          <w:lang w:val="fr-FR"/>
        </w:rPr>
        <w:t>L’école primaire vue des coulisses. La culture professionnelle informelle des professeurs des écoles,</w:t>
      </w:r>
      <w:r w:rsidR="00513C49" w:rsidRPr="003620AE">
        <w:rPr>
          <w:rFonts w:cstheme="minorHAnsi"/>
          <w:lang w:val="fr-FR"/>
        </w:rPr>
        <w:t xml:space="preserve"> Paris</w:t>
      </w:r>
      <w:r w:rsidR="003620AE">
        <w:rPr>
          <w:rFonts w:cstheme="minorHAnsi"/>
          <w:lang w:val="fr-FR"/>
        </w:rPr>
        <w:t>,</w:t>
      </w:r>
      <w:r w:rsidR="00513C49" w:rsidRPr="003620AE">
        <w:rPr>
          <w:rFonts w:cstheme="minorHAnsi"/>
          <w:lang w:val="fr-FR"/>
        </w:rPr>
        <w:t xml:space="preserve"> PUF, 2023, </w:t>
      </w:r>
      <w:r w:rsidR="003620AE">
        <w:rPr>
          <w:rFonts w:cstheme="minorHAnsi"/>
          <w:lang w:val="fr-FR"/>
        </w:rPr>
        <w:t xml:space="preserve">p. </w:t>
      </w:r>
      <w:r w:rsidR="00513C49" w:rsidRPr="003620AE">
        <w:rPr>
          <w:rFonts w:cstheme="minorHAnsi"/>
          <w:lang w:val="fr-FR"/>
        </w:rPr>
        <w:t>10 : « Le dispositif d’enquête est fondamental dans ce type de recherche dont l’objectif est de capter l’intimité (</w:t>
      </w:r>
      <w:proofErr w:type="spellStart"/>
      <w:r w:rsidR="00513C49" w:rsidRPr="003620AE">
        <w:rPr>
          <w:rFonts w:cstheme="minorHAnsi"/>
          <w:lang w:val="fr-FR"/>
        </w:rPr>
        <w:t>Payet</w:t>
      </w:r>
      <w:proofErr w:type="spellEnd"/>
      <w:r w:rsidR="00513C49" w:rsidRPr="003620AE">
        <w:rPr>
          <w:rFonts w:cstheme="minorHAnsi"/>
          <w:lang w:val="fr-FR"/>
        </w:rPr>
        <w:t xml:space="preserve">, 2016) d’une institution et d’une profession, son </w:t>
      </w:r>
      <w:r w:rsidR="00513C49" w:rsidRPr="003620AE">
        <w:rPr>
          <w:rFonts w:cstheme="minorHAnsi"/>
          <w:i/>
          <w:iCs/>
          <w:lang w:val="fr-FR"/>
        </w:rPr>
        <w:t>off</w:t>
      </w:r>
      <w:r w:rsidR="00513C49" w:rsidRPr="003620AE">
        <w:rPr>
          <w:rFonts w:cstheme="minorHAnsi"/>
          <w:lang w:val="fr-FR"/>
        </w:rPr>
        <w:t>, sa part confidentielle. Pour nous, il suppose une condition essentielle, celle d’être membre de cette profession, en avoir le statut et les codes pour pouvoir enquêter de l’intérieur, y réaliser des observations participantes de longue durée, clandestines, sans que la présence du chercheur ne suscite retenue et censure. »</w:t>
      </w:r>
    </w:p>
  </w:footnote>
  <w:footnote w:id="15">
    <w:p w14:paraId="588E2623" w14:textId="1B7E54F1" w:rsidR="009362E7" w:rsidRPr="003620AE" w:rsidRDefault="009362E7" w:rsidP="00DF197A">
      <w:pPr>
        <w:pStyle w:val="Notedebasdepage"/>
        <w:jc w:val="both"/>
        <w:rPr>
          <w:rFonts w:cstheme="minorHAnsi"/>
          <w:lang w:val="fr-FR"/>
        </w:rPr>
      </w:pPr>
      <w:r w:rsidRPr="003620AE">
        <w:rPr>
          <w:rStyle w:val="Appelnotedebasdep"/>
          <w:rFonts w:cstheme="minorHAnsi"/>
          <w:lang w:val="fr-FR"/>
        </w:rPr>
        <w:footnoteRef/>
      </w:r>
      <w:r w:rsidRPr="003620AE">
        <w:rPr>
          <w:rFonts w:cstheme="minorHAnsi"/>
          <w:lang w:val="en-US"/>
        </w:rPr>
        <w:t xml:space="preserve"> </w:t>
      </w:r>
      <w:proofErr w:type="spellStart"/>
      <w:r w:rsidRPr="003620AE">
        <w:rPr>
          <w:rFonts w:cstheme="minorHAnsi"/>
          <w:lang w:val="en-US"/>
        </w:rPr>
        <w:t>Voir</w:t>
      </w:r>
      <w:proofErr w:type="spellEnd"/>
      <w:r w:rsidRPr="003620AE">
        <w:rPr>
          <w:rFonts w:cstheme="minorHAnsi"/>
          <w:lang w:val="en-US"/>
        </w:rPr>
        <w:t> </w:t>
      </w:r>
      <w:r w:rsidR="008A2BAB" w:rsidRPr="003620AE">
        <w:rPr>
          <w:rFonts w:cstheme="minorHAnsi"/>
          <w:lang w:val="en-US"/>
        </w:rPr>
        <w:t>Na</w:t>
      </w:r>
      <w:r w:rsidR="003620AE" w:rsidRPr="003620AE">
        <w:rPr>
          <w:rFonts w:cstheme="minorHAnsi"/>
          <w:lang w:val="en-US"/>
        </w:rPr>
        <w:t>n</w:t>
      </w:r>
      <w:r w:rsidR="008A2BAB" w:rsidRPr="003620AE">
        <w:rPr>
          <w:rFonts w:cstheme="minorHAnsi"/>
          <w:lang w:val="en-US"/>
        </w:rPr>
        <w:t xml:space="preserve">cy </w:t>
      </w:r>
      <w:r w:rsidR="00224202" w:rsidRPr="003620AE">
        <w:rPr>
          <w:rFonts w:cstheme="minorHAnsi"/>
          <w:lang w:val="en-US"/>
        </w:rPr>
        <w:t>S</w:t>
      </w:r>
      <w:r w:rsidR="008A2BAB" w:rsidRPr="003620AE">
        <w:rPr>
          <w:rFonts w:cstheme="minorHAnsi"/>
          <w:lang w:val="en-US"/>
        </w:rPr>
        <w:t>c</w:t>
      </w:r>
      <w:r w:rsidR="00224202" w:rsidRPr="003620AE">
        <w:rPr>
          <w:rFonts w:cstheme="minorHAnsi"/>
          <w:lang w:val="en-US"/>
        </w:rPr>
        <w:t>heper-</w:t>
      </w:r>
      <w:r w:rsidR="008A2BAB" w:rsidRPr="003620AE">
        <w:rPr>
          <w:rFonts w:cstheme="minorHAnsi"/>
          <w:lang w:val="en-US"/>
        </w:rPr>
        <w:t>H</w:t>
      </w:r>
      <w:r w:rsidR="00224202" w:rsidRPr="003620AE">
        <w:rPr>
          <w:rFonts w:cstheme="minorHAnsi"/>
          <w:lang w:val="en-US"/>
        </w:rPr>
        <w:t>ughes</w:t>
      </w:r>
      <w:r w:rsidR="008A2BAB" w:rsidRPr="003620AE">
        <w:rPr>
          <w:rFonts w:cstheme="minorHAnsi"/>
          <w:lang w:val="en-US"/>
        </w:rPr>
        <w:t xml:space="preserve">, « Parts unknown: Undercover ethnography of the organs-trafficking underworld », </w:t>
      </w:r>
      <w:r w:rsidR="008A2BAB" w:rsidRPr="003620AE">
        <w:rPr>
          <w:rFonts w:cstheme="minorHAnsi"/>
          <w:i/>
          <w:iCs/>
          <w:lang w:val="en-US"/>
        </w:rPr>
        <w:t>Ethnography</w:t>
      </w:r>
      <w:r w:rsidR="008A2BAB" w:rsidRPr="003620AE">
        <w:rPr>
          <w:rFonts w:cstheme="minorHAnsi"/>
          <w:lang w:val="en-US"/>
        </w:rPr>
        <w:t>, 5(1), 2004.</w:t>
      </w:r>
      <w:r w:rsidR="00686E08" w:rsidRPr="003620AE">
        <w:rPr>
          <w:rFonts w:cstheme="minorHAnsi"/>
          <w:lang w:val="en-US"/>
        </w:rPr>
        <w:t xml:space="preserve"> </w:t>
      </w:r>
      <w:r w:rsidR="00686E08" w:rsidRPr="003620AE">
        <w:rPr>
          <w:rFonts w:cstheme="minorHAnsi"/>
          <w:lang w:val="fr-FR"/>
        </w:rPr>
        <w:t xml:space="preserve">A cet égard, </w:t>
      </w:r>
      <w:r w:rsidR="00FC6968" w:rsidRPr="003620AE">
        <w:rPr>
          <w:rFonts w:cstheme="minorHAnsi"/>
          <w:lang w:val="fr-FR"/>
        </w:rPr>
        <w:t xml:space="preserve">et dans </w:t>
      </w:r>
      <w:proofErr w:type="gramStart"/>
      <w:r w:rsidR="00FC6968" w:rsidRPr="003620AE">
        <w:rPr>
          <w:rFonts w:cstheme="minorHAnsi"/>
          <w:lang w:val="fr-FR"/>
        </w:rPr>
        <w:t>un soucis</w:t>
      </w:r>
      <w:proofErr w:type="gramEnd"/>
      <w:r w:rsidR="00FC6968" w:rsidRPr="003620AE">
        <w:rPr>
          <w:rFonts w:cstheme="minorHAnsi"/>
          <w:lang w:val="fr-FR"/>
        </w:rPr>
        <w:t xml:space="preserve"> de les préserver, </w:t>
      </w:r>
      <w:r w:rsidR="00686E08" w:rsidRPr="003620AE">
        <w:rPr>
          <w:rFonts w:cstheme="minorHAnsi"/>
          <w:lang w:val="fr-FR"/>
        </w:rPr>
        <w:t>nous avons pris soin d’anonymiser</w:t>
      </w:r>
      <w:r w:rsidR="00FC6968" w:rsidRPr="003620AE">
        <w:rPr>
          <w:rFonts w:cstheme="minorHAnsi"/>
          <w:lang w:val="fr-FR"/>
        </w:rPr>
        <w:t xml:space="preserve"> – voir</w:t>
      </w:r>
      <w:r w:rsidR="007000B0" w:rsidRPr="003620AE">
        <w:rPr>
          <w:rFonts w:cstheme="minorHAnsi"/>
          <w:lang w:val="fr-FR"/>
        </w:rPr>
        <w:t>e</w:t>
      </w:r>
      <w:r w:rsidR="00FC6968" w:rsidRPr="003620AE">
        <w:rPr>
          <w:rFonts w:cstheme="minorHAnsi"/>
          <w:lang w:val="fr-FR"/>
        </w:rPr>
        <w:t xml:space="preserve"> d’indifférencier, dans l’analyse — </w:t>
      </w:r>
      <w:r w:rsidR="00686E08" w:rsidRPr="003620AE">
        <w:rPr>
          <w:rFonts w:cstheme="minorHAnsi"/>
          <w:lang w:val="fr-FR"/>
        </w:rPr>
        <w:t>les enquêtés</w:t>
      </w:r>
      <w:r w:rsidR="00550671" w:rsidRPr="003620AE">
        <w:rPr>
          <w:rFonts w:cstheme="minorHAnsi"/>
          <w:lang w:val="fr-FR"/>
        </w:rPr>
        <w:t xml:space="preserve">. Nous avons cherché à </w:t>
      </w:r>
      <w:r w:rsidR="00686E08" w:rsidRPr="003620AE">
        <w:rPr>
          <w:rFonts w:cstheme="minorHAnsi"/>
          <w:lang w:val="fr-FR"/>
        </w:rPr>
        <w:t>ne donner aucune indication</w:t>
      </w:r>
      <w:r w:rsidR="007000B0" w:rsidRPr="003620AE">
        <w:rPr>
          <w:rFonts w:cstheme="minorHAnsi"/>
          <w:lang w:val="fr-FR"/>
        </w:rPr>
        <w:t xml:space="preserve"> p</w:t>
      </w:r>
      <w:r w:rsidR="00C2548C" w:rsidRPr="003620AE">
        <w:rPr>
          <w:rFonts w:cstheme="minorHAnsi"/>
          <w:lang w:val="fr-FR"/>
        </w:rPr>
        <w:t>récise</w:t>
      </w:r>
      <w:r w:rsidR="007000B0" w:rsidRPr="003620AE">
        <w:rPr>
          <w:rFonts w:cstheme="minorHAnsi"/>
          <w:lang w:val="fr-FR"/>
        </w:rPr>
        <w:t xml:space="preserve"> </w:t>
      </w:r>
      <w:r w:rsidR="00686E08" w:rsidRPr="003620AE">
        <w:rPr>
          <w:rFonts w:cstheme="minorHAnsi"/>
          <w:lang w:val="fr-FR"/>
        </w:rPr>
        <w:t xml:space="preserve">permettant de situer ces derniers dans les contextes d’actions spécifiques dont les observations sont tirées. </w:t>
      </w:r>
    </w:p>
  </w:footnote>
  <w:footnote w:id="16">
    <w:p w14:paraId="3844C218" w14:textId="788C75DC" w:rsidR="009362E7" w:rsidRPr="003620AE" w:rsidRDefault="009362E7" w:rsidP="00DF197A">
      <w:pPr>
        <w:pStyle w:val="Notedebasdepage"/>
        <w:jc w:val="both"/>
        <w:rPr>
          <w:rFonts w:cstheme="minorHAnsi"/>
          <w:lang w:val="fr-FR"/>
        </w:rPr>
      </w:pPr>
      <w:r w:rsidRPr="003620AE">
        <w:rPr>
          <w:rStyle w:val="Appelnotedebasdep"/>
          <w:rFonts w:cstheme="minorHAnsi"/>
          <w:lang w:val="fr-FR"/>
        </w:rPr>
        <w:footnoteRef/>
      </w:r>
      <w:r w:rsidRPr="003620AE">
        <w:rPr>
          <w:rFonts w:cstheme="minorHAnsi"/>
          <w:lang w:val="fr-FR"/>
        </w:rPr>
        <w:t xml:space="preserve"> Comme le précise Florence Weber, « [q]</w:t>
      </w:r>
      <w:proofErr w:type="spellStart"/>
      <w:r w:rsidRPr="003620AE">
        <w:rPr>
          <w:rFonts w:cstheme="minorHAnsi"/>
          <w:lang w:val="fr-FR"/>
        </w:rPr>
        <w:t>uelles</w:t>
      </w:r>
      <w:proofErr w:type="spellEnd"/>
      <w:r w:rsidRPr="003620AE">
        <w:rPr>
          <w:rFonts w:cstheme="minorHAnsi"/>
          <w:lang w:val="fr-FR"/>
        </w:rPr>
        <w:t xml:space="preserve"> que soient les tentatives d’intimidation dont une publication sociologique peut être la cible, la construction de l’objet, le choix des hypothèses, la réflexion méthodologique restent l’apanage du sociologue en tant que tel. Ses décisions en la matière comportent des risques scientifiques qu’il assume en s’adressant aux spécialistes de son domaine de recherche</w:t>
      </w:r>
      <w:r w:rsidR="003620AE">
        <w:rPr>
          <w:rFonts w:cstheme="minorHAnsi"/>
          <w:lang w:val="fr-FR"/>
        </w:rPr>
        <w:t xml:space="preserve"> </w:t>
      </w:r>
      <w:r w:rsidRPr="003620AE">
        <w:rPr>
          <w:rFonts w:cstheme="minorHAnsi"/>
          <w:lang w:val="fr-FR"/>
        </w:rPr>
        <w:t>: ce sont ses lecteurs de prédilection, et ils ont de multiples occasions de le sanctionner scientifiquement. Se soumettre à la sanction de ses pairs, quitte à se battre pour en améliorer la qualité, reste la seule solution pour préserver une autonomie scientifique qui ne peut être que collective, et pour éviter la censure sélective exercée par certains enquêtés ou par certaines institutions. »</w:t>
      </w:r>
      <w:r w:rsidR="00B942F2" w:rsidRPr="003620AE">
        <w:rPr>
          <w:rFonts w:cstheme="minorHAnsi"/>
          <w:lang w:val="fr-FR"/>
        </w:rPr>
        <w:t xml:space="preserve">, « Publier des cas ethnographiques : analyse sociologique, réputation et image de soi des enquêtés », </w:t>
      </w:r>
      <w:r w:rsidR="00B942F2" w:rsidRPr="003620AE">
        <w:rPr>
          <w:rFonts w:cstheme="minorHAnsi"/>
          <w:i/>
          <w:iCs/>
          <w:lang w:val="fr-FR"/>
        </w:rPr>
        <w:t>Genèse</w:t>
      </w:r>
      <w:r w:rsidR="00B942F2" w:rsidRPr="003620AE">
        <w:rPr>
          <w:rFonts w:cstheme="minorHAnsi"/>
          <w:lang w:val="fr-FR"/>
        </w:rPr>
        <w:t xml:space="preserve">, 70, 2008, </w:t>
      </w:r>
      <w:r w:rsidR="003620AE">
        <w:rPr>
          <w:rFonts w:cstheme="minorHAnsi"/>
          <w:lang w:val="fr-FR"/>
        </w:rPr>
        <w:t xml:space="preserve">p. </w:t>
      </w:r>
      <w:r w:rsidR="00B942F2" w:rsidRPr="003620AE">
        <w:rPr>
          <w:rFonts w:cstheme="minorHAnsi"/>
          <w:lang w:val="fr-FR"/>
        </w:rPr>
        <w:t>144.</w:t>
      </w:r>
      <w:r w:rsidRPr="003620AE">
        <w:rPr>
          <w:rFonts w:cstheme="minorHAnsi"/>
          <w:lang w:val="fr-FR"/>
        </w:rPr>
        <w:t xml:space="preserve"> </w:t>
      </w:r>
    </w:p>
  </w:footnote>
  <w:footnote w:id="17">
    <w:p w14:paraId="71863259" w14:textId="0F6E8ABB" w:rsidR="00433AB0" w:rsidRPr="003620AE" w:rsidRDefault="00433AB0" w:rsidP="00DF197A">
      <w:pPr>
        <w:pStyle w:val="Notedebasdepage"/>
        <w:jc w:val="both"/>
        <w:rPr>
          <w:rFonts w:cstheme="minorHAnsi"/>
          <w:lang w:val="fr-FR"/>
        </w:rPr>
      </w:pPr>
      <w:r w:rsidRPr="003620AE">
        <w:rPr>
          <w:rStyle w:val="Appelnotedebasdep"/>
          <w:rFonts w:cstheme="minorHAnsi"/>
          <w:lang w:val="fr-FR"/>
        </w:rPr>
        <w:footnoteRef/>
      </w:r>
      <w:r w:rsidRPr="003620AE">
        <w:rPr>
          <w:rFonts w:cstheme="minorHAnsi"/>
          <w:lang w:val="fr-FR"/>
        </w:rPr>
        <w:t xml:space="preserve"> </w:t>
      </w:r>
      <w:r w:rsidRPr="003620AE">
        <w:rPr>
          <w:rFonts w:cstheme="minorHAnsi"/>
          <w:lang w:val="fr-FR"/>
        </w:rPr>
        <w:fldChar w:fldCharType="begin"/>
      </w:r>
      <w:r w:rsidR="00D02703" w:rsidRPr="003620AE">
        <w:rPr>
          <w:rFonts w:cstheme="minorHAnsi"/>
          <w:lang w:val="fr-FR"/>
        </w:rPr>
        <w:instrText xml:space="preserve"> ADDIN ZOTERO_ITEM CSL_CITATION {"citationID":"g1lJN8uc","properties":{"formattedCitation":"Erving Goffman, {\\i{}Les cadres de l\\uc0\\u8217{}exp\\uc0\\u233{}rience} (Paris: Ed. de Minuit, 2009).","plainCitation":"Erving Goffman, Les cadres de l’expérience (Paris: Ed. de Minuit, 2009).","noteIndex":8},"citationItems":[{"id":524,"uris":["http://zotero.org/users/local/c0m081EH/items/KW9GU972"],"itemData":{"id":524,"type":"book","event-place":"Paris","ISBN":"978-2-7073-1372-0","language":"fre","number-of-pages":"573","publisher":"Ed. de Minuit","publisher-place":"Paris","source":"K10plus ISBN","title":"Les cadres de l'expérience","author":[{"family":"Goffman","given":"Erving"}],"issued":{"date-parts":[["2009"]]}}}],"schema":"https://github.com/citation-style-language/schema/raw/master/csl-citation.json"} </w:instrText>
      </w:r>
      <w:r w:rsidRPr="003620AE">
        <w:rPr>
          <w:rFonts w:cstheme="minorHAnsi"/>
          <w:lang w:val="fr-FR"/>
        </w:rPr>
        <w:fldChar w:fldCharType="separate"/>
      </w:r>
      <w:proofErr w:type="spellStart"/>
      <w:r w:rsidRPr="003620AE">
        <w:rPr>
          <w:rFonts w:cstheme="minorHAnsi"/>
          <w:lang w:val="fr-FR"/>
        </w:rPr>
        <w:t>Erving</w:t>
      </w:r>
      <w:proofErr w:type="spellEnd"/>
      <w:r w:rsidRPr="003620AE">
        <w:rPr>
          <w:rFonts w:cstheme="minorHAnsi"/>
          <w:lang w:val="fr-FR"/>
        </w:rPr>
        <w:t xml:space="preserve"> Goffman, </w:t>
      </w:r>
      <w:r w:rsidRPr="003620AE">
        <w:rPr>
          <w:rFonts w:cstheme="minorHAnsi"/>
          <w:i/>
          <w:iCs/>
          <w:lang w:val="fr-FR"/>
        </w:rPr>
        <w:t>Les cadres de l’expérience</w:t>
      </w:r>
      <w:r w:rsidR="000C5091" w:rsidRPr="003620AE">
        <w:rPr>
          <w:rFonts w:cstheme="minorHAnsi"/>
          <w:lang w:val="fr-FR"/>
        </w:rPr>
        <w:t xml:space="preserve">, </w:t>
      </w:r>
      <w:r w:rsidRPr="003620AE">
        <w:rPr>
          <w:rFonts w:cstheme="minorHAnsi"/>
          <w:lang w:val="fr-FR"/>
        </w:rPr>
        <w:t>Paris</w:t>
      </w:r>
      <w:r w:rsidR="003620AE">
        <w:rPr>
          <w:rFonts w:cstheme="minorHAnsi"/>
          <w:lang w:val="fr-FR"/>
        </w:rPr>
        <w:t xml:space="preserve">, </w:t>
      </w:r>
      <w:r w:rsidRPr="003620AE">
        <w:rPr>
          <w:rFonts w:cstheme="minorHAnsi"/>
          <w:lang w:val="fr-FR"/>
        </w:rPr>
        <w:t xml:space="preserve">Ed. </w:t>
      </w:r>
      <w:proofErr w:type="gramStart"/>
      <w:r w:rsidRPr="003620AE">
        <w:rPr>
          <w:rFonts w:cstheme="minorHAnsi"/>
          <w:lang w:val="fr-FR"/>
        </w:rPr>
        <w:t>de</w:t>
      </w:r>
      <w:proofErr w:type="gramEnd"/>
      <w:r w:rsidRPr="003620AE">
        <w:rPr>
          <w:rFonts w:cstheme="minorHAnsi"/>
          <w:lang w:val="fr-FR"/>
        </w:rPr>
        <w:t xml:space="preserve"> Minuit, 2009.</w:t>
      </w:r>
      <w:r w:rsidRPr="003620AE">
        <w:rPr>
          <w:rFonts w:cstheme="minorHAnsi"/>
          <w:lang w:val="fr-FR"/>
        </w:rPr>
        <w:fldChar w:fldCharType="end"/>
      </w:r>
    </w:p>
  </w:footnote>
  <w:footnote w:id="18">
    <w:p w14:paraId="183409BA" w14:textId="478ACE15" w:rsidR="00D02703" w:rsidRPr="003620AE" w:rsidRDefault="00D02703" w:rsidP="00DF197A">
      <w:pPr>
        <w:pStyle w:val="Notedebasdepage"/>
        <w:jc w:val="both"/>
        <w:rPr>
          <w:rFonts w:cstheme="minorHAnsi"/>
          <w:lang w:val="fr-FR"/>
        </w:rPr>
      </w:pPr>
      <w:r w:rsidRPr="003620AE">
        <w:rPr>
          <w:rStyle w:val="Appelnotedebasdep"/>
          <w:rFonts w:cstheme="minorHAnsi"/>
          <w:lang w:val="fr-FR"/>
        </w:rPr>
        <w:footnoteRef/>
      </w:r>
      <w:r w:rsidRPr="003620AE">
        <w:rPr>
          <w:rFonts w:cstheme="minorHAnsi"/>
          <w:lang w:val="fr-FR"/>
        </w:rPr>
        <w:t xml:space="preserve"> </w:t>
      </w:r>
      <w:r w:rsidRPr="003620AE">
        <w:rPr>
          <w:rFonts w:cstheme="minorHAnsi"/>
          <w:lang w:val="fr-FR"/>
        </w:rPr>
        <w:fldChar w:fldCharType="begin"/>
      </w:r>
      <w:r w:rsidRPr="003620AE">
        <w:rPr>
          <w:rFonts w:cstheme="minorHAnsi"/>
          <w:lang w:val="fr-FR"/>
        </w:rPr>
        <w:instrText xml:space="preserve"> ADDIN ZOTERO_ITEM CSL_CITATION {"citationID":"okijbTBk","properties":{"formattedCitation":"Nachi, \\uc0\\u171{}\\uc0\\u160{}Un r\\uc0\\u233{}gime pragmatique de l\\uc0\\u8217{}arrangement. L\\uc0\\u8217{}en-de\\uc0\\u231{}\\uc0\\u224{} du public, l\\uc0\\u8217{}au-del\\uc0\\u224{} du familier\\uc0\\u160{}\\uc0\\u187{}; Nachi, \\uc0\\u171{}\\uc0\\u160{}Arrangement\\uc0\\u160{}\\uc0\\u187{}.","plainCitation":"Nachi, « Un régime pragmatique de l’arrangement. L’en-deçà du public, l’au-delà du familier »; Nachi, « Arrangement ».","noteIndex":9},"citationItems":[{"id":468,"uris":["http://zotero.org/users/local/c0m081EH/items/W9W7FYC3"],"itemData":{"id":468,"type":"article-journal","abstract":"In this paper, I propose to define the properties of a new pragmatic regime of action, which I have appointed as the « regime of the arrangement ». After a review of some work on regime of action developed from the perspective of pragmatic sociology, I underlined the importance of faces of arrangement in different areas of social life. By pointing out the semantic ambiguity of the arrangement, I have been able to identify the provisions, resources and practical modalities that allow me to consider it as a hybrid regime that is positioned beyond the familiar, but below the public.","container-title":"SocietàMutamentoPolitica","issue":"23","language":"fr","page":"63-79","source":"Zotero","title":"Un régime pragmatique de l’arrangement. L’en-deçà du public, l’au-delà du familier","volume":"12","author":[{"family":"Nachi","given":"Mohamed"}],"issued":{"date-parts":[["2021"]]}}},{"id":470,"uris":["http://zotero.org/users/local/c0m081EH/items/XZJN6ZIA"],"itemData":{"id":470,"type":"article-journal","abstract":"Il s'agit d'explorer les différents ressorts de l’arrangement ainsi que son usage dans plusieurs champs des sciences humaines et sociales.","container-title":"Anthropen","DOI":"10.47854/anthropen.v1i1.51550","ISSN":"2561-5807","journalAbbreviation":"anthropen","language":"fr","source":"DOI.org (Crossref)","title":"Arrangement","URL":"https://revues.ulaval.ca/ojs/index.php/anthropen/article/view/51550","author":[{"family":"Nachi","given":"Mohamed"}],"accessed":{"date-parts":[["2022",10,17]]},"issued":{"date-parts":[["2022",9,16]]}}}],"schema":"https://github.com/citation-style-language/schema/raw/master/csl-citation.json"} </w:instrText>
      </w:r>
      <w:r w:rsidRPr="003620AE">
        <w:rPr>
          <w:rFonts w:cstheme="minorHAnsi"/>
          <w:lang w:val="fr-FR"/>
        </w:rPr>
        <w:fldChar w:fldCharType="separate"/>
      </w:r>
      <w:proofErr w:type="spellStart"/>
      <w:r w:rsidRPr="003620AE">
        <w:rPr>
          <w:rFonts w:cstheme="minorHAnsi"/>
          <w:lang w:val="fr-FR"/>
        </w:rPr>
        <w:t>Nachi</w:t>
      </w:r>
      <w:proofErr w:type="spellEnd"/>
      <w:r w:rsidRPr="003620AE">
        <w:rPr>
          <w:rFonts w:cstheme="minorHAnsi"/>
          <w:lang w:val="fr-FR"/>
        </w:rPr>
        <w:t>, « Un régime pragmatique de l’arrangement. L’en-deçà du public, l’au-delà du familier </w:t>
      </w:r>
      <w:proofErr w:type="gramStart"/>
      <w:r w:rsidRPr="003620AE">
        <w:rPr>
          <w:rFonts w:cstheme="minorHAnsi"/>
          <w:lang w:val="fr-FR"/>
        </w:rPr>
        <w:t>»;</w:t>
      </w:r>
      <w:proofErr w:type="gramEnd"/>
      <w:r w:rsidRPr="003620AE">
        <w:rPr>
          <w:rFonts w:cstheme="minorHAnsi"/>
          <w:lang w:val="fr-FR"/>
        </w:rPr>
        <w:t xml:space="preserve"> </w:t>
      </w:r>
      <w:proofErr w:type="spellStart"/>
      <w:r w:rsidRPr="003620AE">
        <w:rPr>
          <w:rFonts w:cstheme="minorHAnsi"/>
          <w:lang w:val="fr-FR"/>
        </w:rPr>
        <w:t>Nachi</w:t>
      </w:r>
      <w:proofErr w:type="spellEnd"/>
      <w:r w:rsidRPr="003620AE">
        <w:rPr>
          <w:rFonts w:cstheme="minorHAnsi"/>
          <w:lang w:val="fr-FR"/>
        </w:rPr>
        <w:t>, « Arrangement ».</w:t>
      </w:r>
      <w:r w:rsidRPr="003620AE">
        <w:rPr>
          <w:rFonts w:cstheme="minorHAnsi"/>
          <w:lang w:val="fr-FR"/>
        </w:rPr>
        <w:fldChar w:fldCharType="end"/>
      </w:r>
    </w:p>
  </w:footnote>
  <w:footnote w:id="19">
    <w:p w14:paraId="76FFD1C6" w14:textId="49C86CEB" w:rsidR="009F344D" w:rsidRPr="003620AE" w:rsidRDefault="009F344D" w:rsidP="00DF197A">
      <w:pPr>
        <w:pStyle w:val="Notedebasdepage"/>
        <w:jc w:val="both"/>
        <w:rPr>
          <w:rFonts w:cstheme="minorHAnsi"/>
          <w:color w:val="000000" w:themeColor="text1"/>
          <w:lang w:val="fr-FR"/>
        </w:rPr>
      </w:pPr>
      <w:r w:rsidRPr="003620AE">
        <w:rPr>
          <w:rStyle w:val="Appelnotedebasdep"/>
          <w:rFonts w:cstheme="minorHAnsi"/>
          <w:lang w:val="fr-FR"/>
        </w:rPr>
        <w:footnoteRef/>
      </w:r>
      <w:r w:rsidRPr="003620AE">
        <w:rPr>
          <w:rFonts w:cstheme="minorHAnsi"/>
          <w:color w:val="000000" w:themeColor="text1"/>
          <w:lang w:val="fr-FR"/>
        </w:rPr>
        <w:t xml:space="preserve"> Lors des réunions</w:t>
      </w:r>
      <w:r w:rsidR="00D812FB" w:rsidRPr="003620AE">
        <w:rPr>
          <w:rFonts w:cstheme="minorHAnsi"/>
          <w:color w:val="000000" w:themeColor="text1"/>
          <w:lang w:val="fr-FR"/>
        </w:rPr>
        <w:t xml:space="preserve"> suivantes</w:t>
      </w:r>
      <w:r w:rsidRPr="003620AE">
        <w:rPr>
          <w:rFonts w:cstheme="minorHAnsi"/>
          <w:color w:val="000000" w:themeColor="text1"/>
          <w:lang w:val="fr-FR"/>
        </w:rPr>
        <w:t xml:space="preserve">, </w:t>
      </w:r>
      <w:r w:rsidR="00E51478" w:rsidRPr="003620AE">
        <w:rPr>
          <w:rFonts w:cstheme="minorHAnsi"/>
          <w:color w:val="000000" w:themeColor="text1"/>
          <w:lang w:val="fr-FR"/>
        </w:rPr>
        <w:t>la plupart des protagonistes se sont</w:t>
      </w:r>
      <w:r w:rsidRPr="003620AE">
        <w:rPr>
          <w:rFonts w:cstheme="minorHAnsi"/>
          <w:color w:val="000000" w:themeColor="text1"/>
          <w:lang w:val="fr-FR"/>
        </w:rPr>
        <w:t xml:space="preserve"> alignés</w:t>
      </w:r>
      <w:r w:rsidR="00E51478" w:rsidRPr="003620AE">
        <w:rPr>
          <w:rFonts w:cstheme="minorHAnsi"/>
          <w:color w:val="000000" w:themeColor="text1"/>
          <w:lang w:val="fr-FR"/>
        </w:rPr>
        <w:t xml:space="preserve"> sur cette terminologie. </w:t>
      </w:r>
      <w:r w:rsidRPr="003620AE">
        <w:rPr>
          <w:rFonts w:cstheme="minorHAnsi"/>
          <w:color w:val="000000" w:themeColor="text1"/>
          <w:lang w:val="fr-FR"/>
        </w:rPr>
        <w:t xml:space="preserve"> </w:t>
      </w:r>
    </w:p>
  </w:footnote>
  <w:footnote w:id="20">
    <w:p w14:paraId="37F64F9A" w14:textId="24FDCC13" w:rsidR="00433AB0" w:rsidRPr="003620AE" w:rsidRDefault="00433AB0" w:rsidP="00DF197A">
      <w:pPr>
        <w:pStyle w:val="Notedebasdepage"/>
        <w:jc w:val="both"/>
        <w:rPr>
          <w:rFonts w:cstheme="minorHAnsi"/>
          <w:lang w:val="fr-FR"/>
        </w:rPr>
      </w:pPr>
      <w:r w:rsidRPr="003620AE">
        <w:rPr>
          <w:rStyle w:val="Appelnotedebasdep"/>
          <w:rFonts w:cstheme="minorHAnsi"/>
          <w:lang w:val="fr-FR"/>
        </w:rPr>
        <w:footnoteRef/>
      </w:r>
      <w:r w:rsidRPr="003620AE">
        <w:rPr>
          <w:rFonts w:cstheme="minorHAnsi"/>
          <w:lang w:val="fr-FR"/>
        </w:rPr>
        <w:t xml:space="preserve"> </w:t>
      </w:r>
      <w:r w:rsidRPr="003620AE">
        <w:rPr>
          <w:rFonts w:cstheme="minorHAnsi"/>
          <w:lang w:val="fr-FR"/>
        </w:rPr>
        <w:fldChar w:fldCharType="begin"/>
      </w:r>
      <w:r w:rsidR="00794C27" w:rsidRPr="003620AE">
        <w:rPr>
          <w:rFonts w:cstheme="minorHAnsi"/>
          <w:lang w:val="fr-FR"/>
        </w:rPr>
        <w:instrText xml:space="preserve"> ADDIN ZOTERO_ITEM CSL_CITATION {"citationID":"iCojGAQ0","properties":{"formattedCitation":"Guillaume Escali\\uc0\\u233{}, {\\i{}Accompagner l\\uc0\\u8217{}entr\\uc0\\u233{}e dans le m\\uc0\\u233{}tier des enseignants: contribution d\\uc0\\u8217{}un programme de recherche en anthropologie culturaliste}, M\\uc0\\u233{}tiers et pratiques de formation (Villeneuve-d\\uc0\\u8217{}Ascq: Presses universitaires du Septentrion, 2019).","plainCitation":"Guillaume Escalié, Accompagner l’entrée dans le métier des enseignants: contribution d’un programme de recherche en anthropologie culturaliste, Métiers et pratiques de formation (Villeneuve-d’Ascq: Presses universitaires du Septentrion, 2019).","noteIndex":7},"citationItems":[{"id":5,"uris":["http://zotero.org/users/local/c0m081EH/items/2HIXD5XM"],"itemData":{"id":5,"type":"book","call-number":"LB1723 .E83 2019","collection-title":"Métiers et pratiques de formation","event-place":"Villeneuve-d'Ascq","ISBN":"978-2-7574-2447-6","number-of-pages":"215","publisher":"Presses universitaires du Septentrion","publisher-place":"Villeneuve-d'Ascq","source":"Library of Congress ISBN","title":"Accompagner l'entrée dans le métier des enseignants: contribution d'un programme de recherche en anthropologie culturaliste","title-short":"Accompagner l'entrée dans le métier des enseignants","author":[{"family":"Escalié","given":"Guillaume"}],"issued":{"date-parts":[["2019"]]}}}],"schema":"https://github.com/citation-style-language/schema/raw/master/csl-citation.json"} </w:instrText>
      </w:r>
      <w:r w:rsidRPr="003620AE">
        <w:rPr>
          <w:rFonts w:cstheme="minorHAnsi"/>
          <w:lang w:val="fr-FR"/>
        </w:rPr>
        <w:fldChar w:fldCharType="separate"/>
      </w:r>
      <w:r w:rsidRPr="003620AE">
        <w:rPr>
          <w:rFonts w:cstheme="minorHAnsi"/>
          <w:lang w:val="fr-FR"/>
        </w:rPr>
        <w:t xml:space="preserve">Guillaume </w:t>
      </w:r>
      <w:proofErr w:type="spellStart"/>
      <w:r w:rsidRPr="003620AE">
        <w:rPr>
          <w:rFonts w:cstheme="minorHAnsi"/>
          <w:lang w:val="fr-FR"/>
        </w:rPr>
        <w:t>Escalié</w:t>
      </w:r>
      <w:proofErr w:type="spellEnd"/>
      <w:r w:rsidRPr="003620AE">
        <w:rPr>
          <w:rFonts w:cstheme="minorHAnsi"/>
          <w:lang w:val="fr-FR"/>
        </w:rPr>
        <w:t xml:space="preserve">, </w:t>
      </w:r>
      <w:r w:rsidRPr="003620AE">
        <w:rPr>
          <w:rFonts w:cstheme="minorHAnsi"/>
          <w:i/>
          <w:iCs/>
          <w:lang w:val="fr-FR"/>
        </w:rPr>
        <w:t>Accompagner l’entrée dans le métier des enseignants</w:t>
      </w:r>
      <w:r w:rsidR="00D02703" w:rsidRPr="003620AE">
        <w:rPr>
          <w:rFonts w:cstheme="minorHAnsi"/>
          <w:i/>
          <w:iCs/>
          <w:lang w:val="fr-FR"/>
        </w:rPr>
        <w:t xml:space="preserve"> </w:t>
      </w:r>
      <w:r w:rsidRPr="003620AE">
        <w:rPr>
          <w:rFonts w:cstheme="minorHAnsi"/>
          <w:i/>
          <w:iCs/>
          <w:lang w:val="fr-FR"/>
        </w:rPr>
        <w:t>: contribution d’un programme de recherche en anthropologie culturaliste</w:t>
      </w:r>
      <w:r w:rsidRPr="003620AE">
        <w:rPr>
          <w:rFonts w:cstheme="minorHAnsi"/>
          <w:lang w:val="fr-FR"/>
        </w:rPr>
        <w:t>, Métiers et pratiques de formation</w:t>
      </w:r>
      <w:r w:rsidR="000C5091" w:rsidRPr="003620AE">
        <w:rPr>
          <w:rFonts w:cstheme="minorHAnsi"/>
          <w:lang w:val="fr-FR"/>
        </w:rPr>
        <w:t xml:space="preserve">, </w:t>
      </w:r>
      <w:r w:rsidRPr="003620AE">
        <w:rPr>
          <w:rFonts w:cstheme="minorHAnsi"/>
          <w:lang w:val="fr-FR"/>
        </w:rPr>
        <w:t>Villeneuve-d’Ascq</w:t>
      </w:r>
      <w:r w:rsidR="003620AE">
        <w:rPr>
          <w:rFonts w:cstheme="minorHAnsi"/>
          <w:lang w:val="fr-FR"/>
        </w:rPr>
        <w:t xml:space="preserve">, </w:t>
      </w:r>
      <w:r w:rsidRPr="003620AE">
        <w:rPr>
          <w:rFonts w:cstheme="minorHAnsi"/>
          <w:lang w:val="fr-FR"/>
        </w:rPr>
        <w:t>Presses universitaires du Septentrion, 2019.</w:t>
      </w:r>
      <w:r w:rsidRPr="003620AE">
        <w:rPr>
          <w:rFonts w:cstheme="minorHAnsi"/>
          <w:lang w:val="fr-FR"/>
        </w:rPr>
        <w:fldChar w:fldCharType="end"/>
      </w:r>
    </w:p>
  </w:footnote>
  <w:footnote w:id="21">
    <w:p w14:paraId="0E53F405" w14:textId="38F2B2FF" w:rsidR="00433823" w:rsidRPr="003620AE" w:rsidRDefault="00433823" w:rsidP="00DF197A">
      <w:pPr>
        <w:pStyle w:val="Notedebasdepage"/>
        <w:jc w:val="both"/>
        <w:rPr>
          <w:rFonts w:cstheme="minorHAnsi"/>
          <w:lang w:val="en-US"/>
        </w:rPr>
      </w:pPr>
      <w:r w:rsidRPr="003620AE">
        <w:rPr>
          <w:rStyle w:val="Appelnotedebasdep"/>
          <w:rFonts w:cstheme="minorHAnsi"/>
          <w:lang w:val="fr-FR"/>
        </w:rPr>
        <w:footnoteRef/>
      </w:r>
      <w:r w:rsidRPr="003620AE">
        <w:rPr>
          <w:rFonts w:cstheme="minorHAnsi"/>
          <w:lang w:val="en-US"/>
        </w:rPr>
        <w:t xml:space="preserve"> </w:t>
      </w:r>
      <w:r w:rsidRPr="003620AE">
        <w:rPr>
          <w:rFonts w:cstheme="minorHAnsi"/>
          <w:lang w:val="fr-FR"/>
        </w:rPr>
        <w:fldChar w:fldCharType="begin"/>
      </w:r>
      <w:r w:rsidRPr="003620AE">
        <w:rPr>
          <w:rFonts w:cstheme="minorHAnsi"/>
          <w:lang w:val="en-US"/>
        </w:rPr>
        <w:instrText xml:space="preserve"> ADDIN ZOTERO_ITEM CSL_CITATION {"citationID":"BwwE5X22","properties":{"formattedCitation":"Farah Dubois-Shaik, \\uc0\\u171{}\\uc0\\u160{}Teacher Training Reform in French-Speaking Belgium: A Controversial Translation Process\\uc0\\u160{}\\uc0\\u187{}, \\uc0\\u224{} paraitre, 20.","plainCitation":"Farah Dubois-Shaik, « Teacher Training Reform in French-Speaking Belgium: A Controversial Translation Process », à paraitre, 20.","noteIndex":14},"citationItems":[{"id":26,"uris":["http://zotero.org/users/local/c0m081EH/items/CHQYTX63"],"itemData":{"id":26,"type":"article-journal","abstract":"A major reform of teacher training has been underway for the past three decades in Frenchspeaking Belgium, in response to the low quality of teacher training and the consequences for school teaching and learning deemed to be in deep crises (Dufrasne et al., 2013). Using a number of eclectic methods (metaphors, typologies, timelines, network maps), we are interested in mapping the controversies (Latour and Venturini, 2009) that arise and are generated during four steps of the policy translation process– problematization, interessement, enrolment and mobilization (Callon, 1986) - by various types of actors (people, policy-, pressand scientific texts, working groups, organizational entities, institutions, technical tools etc.). What this study can illuminate is a translation process, in which scientific and pedagogical problematizations framed by two interest groups of field level policy actors can produce objects and devices that are transformed and negotiated by political and administrative actors, although retaining some of their original core issues. However, the translation process is rendered controversial and complex as political decision-making is also flavored with backdoor political interests that are negotiated. We discover that administrative policy actors in stakeholder institutions are trying to barter their institutional “share” in the reform implementation, adding to the original core problems, some operational problems on the level of organizing the reform, and thus again reframing some of the original objectives.","language":"en","page":"20","source":"Zotero","title":"Teacher Training Reform in French-speaking Belgium: A Controversial Translation Process","author":[{"family":"Dubois-Shaik","given":"Farah"}],"issued":{"literal":"à paraitre"}}}],"schema":"https://github.com/citation-style-language/schema/raw/master/csl-citation.json"} </w:instrText>
      </w:r>
      <w:r w:rsidRPr="003620AE">
        <w:rPr>
          <w:rFonts w:cstheme="minorHAnsi"/>
          <w:lang w:val="fr-FR"/>
        </w:rPr>
        <w:fldChar w:fldCharType="separate"/>
      </w:r>
      <w:r w:rsidRPr="003620AE">
        <w:rPr>
          <w:rFonts w:cstheme="minorHAnsi"/>
          <w:lang w:val="en-US"/>
        </w:rPr>
        <w:t xml:space="preserve">Dubois-Shaik, « Teacher Training Reform in French-Speaking Belgium: A Controversial Translation Process », </w:t>
      </w:r>
      <w:r w:rsidRPr="003620AE">
        <w:rPr>
          <w:rFonts w:cstheme="minorHAnsi"/>
          <w:i/>
          <w:iCs/>
          <w:lang w:val="en-US"/>
        </w:rPr>
        <w:t>The European Educational Research Journal</w:t>
      </w:r>
      <w:r w:rsidRPr="003620AE">
        <w:rPr>
          <w:rFonts w:cstheme="minorHAnsi"/>
          <w:lang w:val="en-US"/>
        </w:rPr>
        <w:t>,</w:t>
      </w:r>
      <w:r w:rsidR="00871BE3" w:rsidRPr="003620AE">
        <w:rPr>
          <w:rFonts w:cstheme="minorHAnsi"/>
          <w:lang w:val="en-US"/>
        </w:rPr>
        <w:t xml:space="preserve"> 2023</w:t>
      </w:r>
      <w:r w:rsidR="003620AE">
        <w:rPr>
          <w:rFonts w:cstheme="minorHAnsi"/>
          <w:lang w:val="en-US"/>
        </w:rPr>
        <w:t xml:space="preserve">, </w:t>
      </w:r>
      <w:r w:rsidR="003620AE" w:rsidRPr="003620AE">
        <w:rPr>
          <w:rFonts w:cstheme="minorHAnsi"/>
          <w:lang w:val="en-US"/>
        </w:rPr>
        <w:t>23</w:t>
      </w:r>
      <w:r w:rsidR="003620AE">
        <w:rPr>
          <w:rFonts w:cstheme="minorHAnsi"/>
          <w:lang w:val="en-US"/>
        </w:rPr>
        <w:t>[</w:t>
      </w:r>
      <w:r w:rsidR="003620AE" w:rsidRPr="003620AE">
        <w:rPr>
          <w:rFonts w:cstheme="minorHAnsi"/>
          <w:lang w:val="en-US"/>
        </w:rPr>
        <w:t>3</w:t>
      </w:r>
      <w:r w:rsidR="003620AE">
        <w:rPr>
          <w:rFonts w:cstheme="minorHAnsi"/>
          <w:lang w:val="en-US"/>
        </w:rPr>
        <w:t>]</w:t>
      </w:r>
      <w:r w:rsidR="003620AE" w:rsidRPr="003620AE">
        <w:rPr>
          <w:rFonts w:cstheme="minorHAnsi"/>
          <w:lang w:val="en-US"/>
        </w:rPr>
        <w:t xml:space="preserve">, </w:t>
      </w:r>
      <w:r w:rsidR="003620AE">
        <w:rPr>
          <w:rFonts w:cstheme="minorHAnsi"/>
          <w:lang w:val="en-US"/>
        </w:rPr>
        <w:t>p. 1</w:t>
      </w:r>
      <w:r w:rsidRPr="003620AE">
        <w:rPr>
          <w:rFonts w:cstheme="minorHAnsi"/>
          <w:lang w:val="en-US"/>
        </w:rPr>
        <w:t>.</w:t>
      </w:r>
      <w:r w:rsidRPr="003620AE">
        <w:rPr>
          <w:rFonts w:cstheme="minorHAnsi"/>
          <w:lang w:val="fr-FR"/>
        </w:rPr>
        <w:fldChar w:fldCharType="end"/>
      </w:r>
    </w:p>
  </w:footnote>
  <w:footnote w:id="22">
    <w:p w14:paraId="37484420" w14:textId="4FE8E96E" w:rsidR="00433AB0" w:rsidRPr="003620AE" w:rsidRDefault="00433AB0" w:rsidP="00DF197A">
      <w:pPr>
        <w:pStyle w:val="Notedebasdepage"/>
        <w:jc w:val="both"/>
        <w:rPr>
          <w:rFonts w:cstheme="minorHAnsi"/>
          <w:lang w:val="fr-FR"/>
        </w:rPr>
      </w:pPr>
      <w:r w:rsidRPr="003620AE">
        <w:rPr>
          <w:rStyle w:val="Appelnotedebasdep"/>
          <w:rFonts w:cstheme="minorHAnsi"/>
          <w:lang w:val="fr-FR"/>
        </w:rPr>
        <w:footnoteRef/>
      </w:r>
      <w:r w:rsidRPr="003620AE">
        <w:rPr>
          <w:rFonts w:cstheme="minorHAnsi"/>
          <w:lang w:val="fr-FR"/>
        </w:rPr>
        <w:t xml:space="preserve"> </w:t>
      </w:r>
      <w:r w:rsidRPr="003620AE">
        <w:rPr>
          <w:rFonts w:cstheme="minorHAnsi"/>
          <w:lang w:val="fr-FR"/>
        </w:rPr>
        <w:fldChar w:fldCharType="begin"/>
      </w:r>
      <w:r w:rsidR="00794C27" w:rsidRPr="003620AE">
        <w:rPr>
          <w:rFonts w:cstheme="minorHAnsi"/>
          <w:lang w:val="fr-FR"/>
        </w:rPr>
        <w:instrText xml:space="preserve"> ADDIN ZOTERO_ITEM CSL_CITATION {"citationID":"gz6WOyiN","properties":{"formattedCitation":"D\\uc0\\u233{}claration de Bologne, \\uc0\\u171{}\\uc0\\u160{}L\\uc0\\u8217{}espace europ\\uc0\\u233{}en de l\\uc0\\u8217{}enseignement sup\\uc0\\u233{}rieur. La D\\uc0\\u233{}claration de Bologne du 19 juin 1999. D\\uc0\\u233{}claration commune des ministres europ\\uc0\\u233{}ens de l\\uc0\\u8217{}\\uc0\\u233{}ducation\\uc0\\u160{}\\uc0\\u187{}, 1999.","plainCitation":"Déclaration de Bologne, « L’espace européen de l’enseignement supérieur. La Déclaration de Bologne du 19 juin 1999. Déclaration commune des ministres européens de l’éducation », 1999.","noteIndex":8},"citationItems":[{"id":646,"uris":["http://zotero.org/users/local/c0m081EH/items/LIIH9YC5"],"itemData":{"id":646,"type":"document","title":"L’espace européen de l’enseignement supérieur. La Déclaration de Bologne du 19 juin 1999. Déclaration commune des ministres européens de l'éducation","author":[{"family":"Déclaration de Bologne","given":""}],"issued":{"date-parts":[["1999"]]}}}],"schema":"https://github.com/citation-style-language/schema/raw/master/csl-citation.json"} </w:instrText>
      </w:r>
      <w:r w:rsidRPr="003620AE">
        <w:rPr>
          <w:rFonts w:cstheme="minorHAnsi"/>
          <w:lang w:val="fr-FR"/>
        </w:rPr>
        <w:fldChar w:fldCharType="separate"/>
      </w:r>
      <w:r w:rsidRPr="003620AE">
        <w:rPr>
          <w:rFonts w:cstheme="minorHAnsi"/>
          <w:lang w:val="fr-FR"/>
        </w:rPr>
        <w:t>Déclaration de Bologne, « L’espace européen de l’enseignement supérieur. La Déclaration de Bologne du 19 juin 1999. Déclaration commune des ministres européens de l’éducation », 1999.</w:t>
      </w:r>
      <w:r w:rsidRPr="003620AE">
        <w:rPr>
          <w:rFonts w:cstheme="minorHAnsi"/>
          <w:lang w:val="fr-FR"/>
        </w:rPr>
        <w:fldChar w:fldCharType="end"/>
      </w:r>
    </w:p>
  </w:footnote>
  <w:footnote w:id="23">
    <w:p w14:paraId="65812F4B" w14:textId="5FD9A882" w:rsidR="00433AB0" w:rsidRPr="003620AE" w:rsidRDefault="00433AB0" w:rsidP="00DF197A">
      <w:pPr>
        <w:pStyle w:val="Notedebasdepage"/>
        <w:jc w:val="both"/>
        <w:rPr>
          <w:rFonts w:cstheme="minorHAnsi"/>
          <w:lang w:val="fr-FR"/>
        </w:rPr>
      </w:pPr>
      <w:r w:rsidRPr="003620AE">
        <w:rPr>
          <w:rStyle w:val="Appelnotedebasdep"/>
          <w:rFonts w:cstheme="minorHAnsi"/>
          <w:lang w:val="fr-FR"/>
        </w:rPr>
        <w:footnoteRef/>
      </w:r>
      <w:r w:rsidRPr="003620AE">
        <w:rPr>
          <w:rFonts w:cstheme="minorHAnsi"/>
          <w:lang w:val="fr-FR"/>
        </w:rPr>
        <w:t xml:space="preserve"> </w:t>
      </w:r>
      <w:r w:rsidRPr="003620AE">
        <w:rPr>
          <w:rFonts w:cstheme="minorHAnsi"/>
          <w:lang w:val="fr-FR"/>
        </w:rPr>
        <w:fldChar w:fldCharType="begin"/>
      </w:r>
      <w:r w:rsidR="00794C27" w:rsidRPr="003620AE">
        <w:rPr>
          <w:rFonts w:cstheme="minorHAnsi"/>
          <w:lang w:val="fr-FR"/>
        </w:rPr>
        <w:instrText xml:space="preserve"> ADDIN ZOTERO_ITEM CSL_CITATION {"citationID":"396yPYAL","properties":{"formattedCitation":"Fran\\uc0\\u231{}oise Cros, \\uc0\\u171{}\\uc0\\u160{}\\uc0\\u201{}clairage th\\uc0\\u233{}orique sur le sens et la signification de l\\uc0\\u8217{}innovation en \\uc0\\u233{}ducation dans les syst\\uc0\\u232{}mes de formation\\uc0\\u8239{}: diachronie et synchronie\\uc0\\u160{}\\uc0\\u187{}, {\\i{}Revue internationale de p\\uc0\\u233{}dagogie de l\\uc0\\u8217{}enseignement sup\\uc0\\u233{}rieur} 35, n\\super o\\nosupersub{} 2 (31 d\\uc0\\u233{}cembre 2019), https://doi.org/10.4000/ripes.2204.","plainCitation":"Françoise Cros, « Éclairage théorique sur le sens et la signification de l’innovation en éducation dans les systèmes de formation : diachronie et synchronie », Revue internationale de pédagogie de l’enseignement supérieur 35, no 2 (31 décembre 2019), https://doi.org/10.4000/ripes.2204.","noteIndex":9},"citationItems":[{"id":642,"uris":["http://zotero.org/users/local/c0m081EH/items/AYHV7IXX"],"itemData":{"id":642,"type":"article-journal","container-title":"Revue internationale de pédagogie de l’enseignement supérieur","DOI":"10.4000/ripes.2204","ISSN":"0383-0802, 2076-8427","issue":"2","journalAbbreviation":"ripes","language":"fr","source":"DOI.org (Crossref)","title":"Éclairage théorique sur le sens et la signification de l’innovation en éducation dans les systèmes de formation : diachronie et synchronie","title-short":"Éclairage théorique sur le sens et la signification de l’innovation en éducation dans les systèmes de formation","URL":"http://journals.openedition.org/ripes/2204","volume":"35","author":[{"family":"Cros","given":"Françoise"}],"accessed":{"date-parts":[["2022",11,22]]},"issued":{"date-parts":[["2019",12,31]]}}}],"schema":"https://github.com/citation-style-language/schema/raw/master/csl-citation.json"} </w:instrText>
      </w:r>
      <w:r w:rsidRPr="003620AE">
        <w:rPr>
          <w:rFonts w:cstheme="minorHAnsi"/>
          <w:lang w:val="fr-FR"/>
        </w:rPr>
        <w:fldChar w:fldCharType="separate"/>
      </w:r>
      <w:r w:rsidRPr="003620AE">
        <w:rPr>
          <w:rFonts w:cstheme="minorHAnsi"/>
          <w:lang w:val="fr-FR"/>
        </w:rPr>
        <w:t xml:space="preserve">Françoise Cros, « Éclairage théorique sur le sens et la signification de l’innovation en éducation dans les systèmes de formation : diachronie et synchronie », </w:t>
      </w:r>
      <w:r w:rsidRPr="003620AE">
        <w:rPr>
          <w:rFonts w:cstheme="minorHAnsi"/>
          <w:i/>
          <w:iCs/>
          <w:lang w:val="fr-FR"/>
        </w:rPr>
        <w:t>Revue internationale de pédagogie de l’enseignement supérieur</w:t>
      </w:r>
      <w:r w:rsidRPr="003620AE">
        <w:rPr>
          <w:rFonts w:cstheme="minorHAnsi"/>
          <w:lang w:val="fr-FR"/>
        </w:rPr>
        <w:t xml:space="preserve"> 35</w:t>
      </w:r>
      <w:r w:rsidR="003620AE">
        <w:rPr>
          <w:rFonts w:cstheme="minorHAnsi"/>
          <w:lang w:val="fr-FR"/>
        </w:rPr>
        <w:t>[</w:t>
      </w:r>
      <w:r w:rsidRPr="003620AE">
        <w:rPr>
          <w:rFonts w:cstheme="minorHAnsi"/>
          <w:lang w:val="fr-FR"/>
        </w:rPr>
        <w:t>2</w:t>
      </w:r>
      <w:r w:rsidR="003620AE">
        <w:rPr>
          <w:rFonts w:cstheme="minorHAnsi"/>
          <w:lang w:val="fr-FR"/>
        </w:rPr>
        <w:t>]</w:t>
      </w:r>
      <w:r w:rsidR="000C5091" w:rsidRPr="003620AE">
        <w:rPr>
          <w:rFonts w:cstheme="minorHAnsi"/>
          <w:lang w:val="fr-FR"/>
        </w:rPr>
        <w:t xml:space="preserve">, </w:t>
      </w:r>
      <w:r w:rsidRPr="003620AE">
        <w:rPr>
          <w:rFonts w:cstheme="minorHAnsi"/>
          <w:lang w:val="fr-FR"/>
        </w:rPr>
        <w:t>2019.</w:t>
      </w:r>
      <w:r w:rsidRPr="003620AE">
        <w:rPr>
          <w:rFonts w:cstheme="minorHAnsi"/>
          <w:lang w:val="fr-FR"/>
        </w:rPr>
        <w:fldChar w:fldCharType="end"/>
      </w:r>
    </w:p>
  </w:footnote>
  <w:footnote w:id="24">
    <w:p w14:paraId="44AD1CAC" w14:textId="4B97E538" w:rsidR="00433823" w:rsidRPr="005B7CB3" w:rsidRDefault="00433823" w:rsidP="00DF197A">
      <w:pPr>
        <w:pStyle w:val="Notedebasdepage"/>
        <w:jc w:val="both"/>
        <w:rPr>
          <w:rFonts w:cstheme="minorHAnsi"/>
          <w:lang w:val="en-US"/>
        </w:rPr>
      </w:pPr>
      <w:r w:rsidRPr="003620AE">
        <w:rPr>
          <w:rStyle w:val="Appelnotedebasdep"/>
          <w:rFonts w:cstheme="minorHAnsi"/>
          <w:lang w:val="fr-FR"/>
        </w:rPr>
        <w:footnoteRef/>
      </w:r>
      <w:r w:rsidRPr="005B7CB3">
        <w:rPr>
          <w:rFonts w:cstheme="minorHAnsi"/>
          <w:lang w:val="en-US"/>
        </w:rPr>
        <w:t xml:space="preserve"> </w:t>
      </w:r>
      <w:r w:rsidRPr="003620AE">
        <w:rPr>
          <w:rFonts w:cstheme="minorHAnsi"/>
          <w:lang w:val="fr-FR"/>
        </w:rPr>
        <w:fldChar w:fldCharType="begin"/>
      </w:r>
      <w:r w:rsidRPr="005B7CB3">
        <w:rPr>
          <w:rFonts w:cstheme="minorHAnsi"/>
          <w:lang w:val="en-US"/>
        </w:rPr>
        <w:instrText xml:space="preserve"> ADDIN ZOTERO_ITEM CSL_CITATION {"citationID":"BwwE5X22","properties":{"formattedCitation":"Farah Dubois-Shaik, \\uc0\\u171{}\\uc0\\u160{}Teacher Training Reform in French-Speaking Belgium: A Controversial Translation Process\\uc0\\u160{}\\uc0\\u187{}, \\uc0\\u224{} paraitre, 20.","plainCitation":"Farah Dubois-Shaik, « Teacher Training Reform in French-Speaking Belgium: A Controversial Translation Process », à paraitre, 20.","noteIndex":14},"citationItems":[{"id":26,"uris":["http://zotero.org/users/local/c0m081EH/items/CHQYTX63"],"itemData":{"id":26,"type":"article-journal","abstract":"A major reform of teacher training has been underway for the past three decades in Frenchspeaking Belgium, in response to the low quality of teacher training and the consequences for school teaching and learning deemed to be in deep crises (Dufrasne et al., 2013). Using a number of eclectic methods (metaphors, typologies, timelines, network maps), we are interested in mapping the controversies (Latour and Venturini, 2009) that arise and are generated during four steps of the policy translation process– problematization, interessement, enrolment and mobilization (Callon, 1986) - by various types of actors (people, policy-, pressand scientific texts, working groups, organizational entities, institutions, technical tools etc.). What this study can illuminate is a translation process, in which scientific and pedagogical problematizations framed by two interest groups of field level policy actors can produce objects and devices that are transformed and negotiated by political and administrative actors, although retaining some of their original core issues. However, the translation process is rendered controversial and complex as political decision-making is also flavored with backdoor political interests that are negotiated. We discover that administrative policy actors in stakeholder institutions are trying to barter their institutional “share” in the reform implementation, adding to the original core problems, some operational problems on the level of organizing the reform, and thus again reframing some of the original objectives.","language":"en","page":"20","source":"Zotero","title":"Teacher Training Reform in French-speaking Belgium: A Controversial Translation Process","author":[{"family":"Dubois-Shaik","given":"Farah"}],"issued":{"literal":"à paraitre"}}}],"schema":"https://github.com/citation-style-language/schema/raw/master/csl-citation.json"} </w:instrText>
      </w:r>
      <w:r w:rsidRPr="003620AE">
        <w:rPr>
          <w:rFonts w:cstheme="minorHAnsi"/>
          <w:lang w:val="fr-FR"/>
        </w:rPr>
        <w:fldChar w:fldCharType="separate"/>
      </w:r>
      <w:r w:rsidRPr="005B7CB3">
        <w:rPr>
          <w:rFonts w:cstheme="minorHAnsi"/>
          <w:lang w:val="en-US"/>
        </w:rPr>
        <w:t>Dubois-Shaik, « Teacher Training Reform in French-Speaking Belgium: A Controversial Translation Process »</w:t>
      </w:r>
      <w:r w:rsidR="005B7CB3">
        <w:rPr>
          <w:rFonts w:cstheme="minorHAnsi"/>
          <w:lang w:val="en-US"/>
        </w:rPr>
        <w:t xml:space="preserve">, </w:t>
      </w:r>
      <w:r w:rsidR="005B7CB3">
        <w:rPr>
          <w:rFonts w:cstheme="minorHAnsi"/>
          <w:lang w:val="en-US"/>
        </w:rPr>
        <w:t>p.1</w:t>
      </w:r>
      <w:r w:rsidR="00871BE3" w:rsidRPr="005B7CB3">
        <w:rPr>
          <w:rFonts w:cstheme="minorHAnsi"/>
          <w:lang w:val="en-US"/>
        </w:rPr>
        <w:t>.</w:t>
      </w:r>
      <w:r w:rsidRPr="003620AE">
        <w:rPr>
          <w:rFonts w:cstheme="minorHAnsi"/>
          <w:lang w:val="fr-FR"/>
        </w:rPr>
        <w:fldChar w:fldCharType="end"/>
      </w:r>
    </w:p>
  </w:footnote>
  <w:footnote w:id="25">
    <w:p w14:paraId="06B3ECC7" w14:textId="5FB79899" w:rsidR="00433AB0" w:rsidRPr="003620AE" w:rsidRDefault="00433AB0" w:rsidP="00DF197A">
      <w:pPr>
        <w:pStyle w:val="Notedebasdepage"/>
        <w:jc w:val="both"/>
        <w:rPr>
          <w:rFonts w:cstheme="minorHAnsi"/>
          <w:lang w:val="en-US"/>
        </w:rPr>
      </w:pPr>
      <w:r w:rsidRPr="003620AE">
        <w:rPr>
          <w:rStyle w:val="Appelnotedebasdep"/>
          <w:rFonts w:cstheme="minorHAnsi"/>
          <w:lang w:val="fr-FR"/>
        </w:rPr>
        <w:footnoteRef/>
      </w:r>
      <w:r w:rsidRPr="003620AE">
        <w:rPr>
          <w:rFonts w:cstheme="minorHAnsi"/>
          <w:lang w:val="en-US"/>
        </w:rPr>
        <w:t xml:space="preserve"> </w:t>
      </w:r>
      <w:r w:rsidRPr="003620AE">
        <w:rPr>
          <w:rFonts w:cstheme="minorHAnsi"/>
          <w:lang w:val="fr-FR"/>
        </w:rPr>
        <w:fldChar w:fldCharType="begin"/>
      </w:r>
      <w:r w:rsidR="00794C27" w:rsidRPr="003620AE">
        <w:rPr>
          <w:rFonts w:cstheme="minorHAnsi"/>
          <w:lang w:val="en-US"/>
        </w:rPr>
        <w:instrText xml:space="preserve"> ADDIN ZOTERO_ITEM CSL_CITATION {"citationID":"Wob5hizB","properties":{"formattedCitation":"Johanna Witte, Marijk van der\\uc0\\u160{}Wende, et Jeroen Huisman, \\uc0\\u171{}\\uc0\\u160{}Blurring Boundaries: How the Bologna Process Changes the Relationship between University and Non\\uc0\\u8208{}university Higher Education in Germany, the Netherlands and France\\uc0\\u160{}\\uc0\\u187{}, {\\i{}Studies in Higher Education} 33, n\\super o\\nosupersub{} 3 (juin 2008): 217\\uc0\\u8209{}31, https://doi.org/10.1080/03075070802049129.","plainCitation":"Johanna Witte, Marijk van der Wende, et Jeroen Huisman, « Blurring Boundaries: How the Bologna Process Changes the Relationship between University and Non‐university Higher Education in Germany, the Netherlands and France », Studies in Higher Education 33, no 3 (juin 2008): 217</w:instrText>
      </w:r>
      <w:r w:rsidR="00794C27" w:rsidRPr="003620AE">
        <w:rPr>
          <w:rFonts w:ascii="Cambria Math" w:hAnsi="Cambria Math" w:cs="Cambria Math"/>
          <w:lang w:val="en-US"/>
        </w:rPr>
        <w:instrText>‑</w:instrText>
      </w:r>
      <w:r w:rsidR="00794C27" w:rsidRPr="003620AE">
        <w:rPr>
          <w:rFonts w:cstheme="minorHAnsi"/>
          <w:lang w:val="en-US"/>
        </w:rPr>
        <w:instrText xml:space="preserve">31, https://doi.org/10.1080/03075070802049129.","noteIndex":10},"citationItems":[{"id":644,"uris":["http://zotero.org/users/local/c0m081EH/items/KPP678F2"],"itemData":{"id":644,"type":"article-journal","container-title":"Studies in Higher Education","DOI":"10.1080/03075070802049129","ISSN":"0307-5079, 1470-174X","issue":"3","journalAbbreviation":"Studies in Higher Education","language":"en","page":"217-231","source":"DOI.org (Crossref)","title":"Blurring boundaries: how the Bologna process changes the relationship between university and non‐university higher education in Germany, the Netherlands and France","title-short":"Blurring boundaries","volume":"33","author":[{"family":"Witte","given":"Johanna"},{"family":"Wende","given":"Marijk","non-dropping-particle":"van der"},{"family":"Huisman","given":"Jeroen"}],"issued":{"date-parts":[["2008",6]]}}}],"schema":"https://github.com/citation-style-language/schema/raw/master/csl-citation.json"} </w:instrText>
      </w:r>
      <w:r w:rsidRPr="003620AE">
        <w:rPr>
          <w:rFonts w:cstheme="minorHAnsi"/>
          <w:lang w:val="fr-FR"/>
        </w:rPr>
        <w:fldChar w:fldCharType="separate"/>
      </w:r>
      <w:r w:rsidRPr="003620AE">
        <w:rPr>
          <w:rFonts w:cstheme="minorHAnsi"/>
          <w:lang w:val="en-US"/>
        </w:rPr>
        <w:t xml:space="preserve">Johanna Witte, </w:t>
      </w:r>
      <w:proofErr w:type="spellStart"/>
      <w:r w:rsidRPr="003620AE">
        <w:rPr>
          <w:rFonts w:cstheme="minorHAnsi"/>
          <w:lang w:val="en-US"/>
        </w:rPr>
        <w:t>Marijk</w:t>
      </w:r>
      <w:proofErr w:type="spellEnd"/>
      <w:r w:rsidRPr="003620AE">
        <w:rPr>
          <w:rFonts w:cstheme="minorHAnsi"/>
          <w:lang w:val="en-US"/>
        </w:rPr>
        <w:t xml:space="preserve"> van der Wende, et Jeroen Huisman, « Blurring Boundaries: How the Bologna Process Changes the Relationship between University and Non‐university Higher Education in Germany, the Netherlands and France », </w:t>
      </w:r>
      <w:r w:rsidRPr="003620AE">
        <w:rPr>
          <w:rFonts w:cstheme="minorHAnsi"/>
          <w:i/>
          <w:iCs/>
          <w:lang w:val="en-US"/>
        </w:rPr>
        <w:t>Studies in Higher Education</w:t>
      </w:r>
      <w:r w:rsidR="003620AE">
        <w:rPr>
          <w:rFonts w:cstheme="minorHAnsi"/>
          <w:lang w:val="en-US"/>
        </w:rPr>
        <w:t>,</w:t>
      </w:r>
      <w:r w:rsidRPr="003620AE">
        <w:rPr>
          <w:rFonts w:cstheme="minorHAnsi"/>
          <w:lang w:val="en-US"/>
        </w:rPr>
        <w:t xml:space="preserve"> 33</w:t>
      </w:r>
      <w:r w:rsidR="003620AE">
        <w:rPr>
          <w:rFonts w:cstheme="minorHAnsi"/>
          <w:lang w:val="en-US"/>
        </w:rPr>
        <w:t>[3]</w:t>
      </w:r>
      <w:r w:rsidR="000C5091" w:rsidRPr="003620AE">
        <w:rPr>
          <w:rFonts w:cstheme="minorHAnsi"/>
          <w:lang w:val="en-US"/>
        </w:rPr>
        <w:t xml:space="preserve">, </w:t>
      </w:r>
      <w:r w:rsidRPr="003620AE">
        <w:rPr>
          <w:rFonts w:cstheme="minorHAnsi"/>
          <w:lang w:val="en-US"/>
        </w:rPr>
        <w:t>2008</w:t>
      </w:r>
      <w:r w:rsidR="000C5091" w:rsidRPr="003620AE">
        <w:rPr>
          <w:rFonts w:cstheme="minorHAnsi"/>
          <w:lang w:val="en-US"/>
        </w:rPr>
        <w:t>.</w:t>
      </w:r>
      <w:r w:rsidRPr="003620AE">
        <w:rPr>
          <w:rFonts w:cstheme="minorHAnsi"/>
          <w:lang w:val="fr-FR"/>
        </w:rPr>
        <w:fldChar w:fldCharType="end"/>
      </w:r>
    </w:p>
  </w:footnote>
  <w:footnote w:id="26">
    <w:p w14:paraId="5685666F" w14:textId="3AD43D56" w:rsidR="00EE7D80" w:rsidRPr="003620AE" w:rsidRDefault="00EE7D80" w:rsidP="00DF197A">
      <w:pPr>
        <w:pStyle w:val="Notedebasdepage"/>
        <w:jc w:val="both"/>
        <w:rPr>
          <w:rFonts w:cstheme="minorHAnsi"/>
          <w:lang w:val="en-US"/>
        </w:rPr>
      </w:pPr>
      <w:r w:rsidRPr="003620AE">
        <w:rPr>
          <w:rStyle w:val="Appelnotedebasdep"/>
          <w:rFonts w:cstheme="minorHAnsi"/>
          <w:lang w:val="fr-FR"/>
        </w:rPr>
        <w:footnoteRef/>
      </w:r>
      <w:r w:rsidRPr="003620AE">
        <w:rPr>
          <w:rFonts w:cstheme="minorHAnsi"/>
          <w:lang w:val="en-US"/>
        </w:rPr>
        <w:t xml:space="preserve"> </w:t>
      </w:r>
      <w:r w:rsidRPr="003620AE">
        <w:rPr>
          <w:rFonts w:cstheme="minorHAnsi"/>
          <w:lang w:val="fr-FR"/>
        </w:rPr>
        <w:fldChar w:fldCharType="begin"/>
      </w:r>
      <w:r w:rsidRPr="003620AE">
        <w:rPr>
          <w:rFonts w:cstheme="minorHAnsi"/>
          <w:lang w:val="en-US"/>
        </w:rPr>
        <w:instrText xml:space="preserve"> ADDIN ZOTERO_ITEM CSL_CITATION {"citationID":"OaohodUa","properties":{"formattedCitation":"Dubois-Shaik, \\uc0\\u171{}\\uc0\\u160{}Teacher Training Reform in French-Speaking Belgium: A Controversial Translation Process\\uc0\\u160{}\\uc0\\u187{}; Amanda Datnow, Lea Hubbard, et Hugh Mehan, \\uc0\\u171{}\\uc0\\u160{}Educational Reform Implementation: A Co-Constructed Process\\uc0\\u160{}\\uc0\\u187{}, 1998, 25.","plainCitation":"Dubois-Shaik, « Teacher Training Reform in French-Speaking Belgium: A Controversial Translation Process »; Amanda Datnow, Lea Hubbard, et Hugh Mehan, « Educational Reform Implementation: A Co-Constructed Process », 1998, 25.","noteIndex":16},"citationItems":[{"id":26,"uris":["http://zotero.org/users/local/c0m081EH/items/CHQYTX63"],"itemData":{"id":26,"type":"article-journal","abstract":"A major reform of teacher training has been underway for the past three decades in Frenchspeaking Belgium, in response to the low quality of teacher training and the consequences for school teaching and learning deemed to be in deep crises (Dufrasne et al., 2013). Using a number of eclectic methods (metaphors, typologies, timelines, network maps), we are interested in mapping the controversies (Latour and Venturini, 2009) that arise and are generated during four steps of the policy translation process– problematization, interessement, enrolment and mobilization (Callon, 1986) - by various types of actors (people, policy-, pressand scientific texts, working groups, organizational entities, institutions, technical tools etc.). What this study can illuminate is a translation process, in which scientific and pedagogical problematizations framed by two interest groups of field level policy actors can produce objects and devices that are transformed and negotiated by political and administrative actors, although retaining some of their original core issues. However, the translation process is rendered controversial and complex as political decision-making is also flavored with backdoor political interests that are negotiated. We discover that administrative policy actors in stakeholder institutions are trying to barter their institutional “share” in the reform implementation, adding to the original core problems, some operational problems on the level of organizing the reform, and thus again reframing some of the original objectives.","language":"en","page":"20","source":"Zotero","title":"Teacher Training Reform in French-speaking Belgium: A Controversial Translation Process","author":[{"family":"Dubois-Shaik","given":"Farah"}],"issued":{"literal":"à paraitre"}}},{"id":448,"uris":["http://zotero.org/users/local/c0m081EH/items/K8NC2VHA"],"itemData":{"id":448,"type":"article-journal","language":"en","page":"25","source":"Zotero","title":"Educational reform implementation: a co-constructed process","author":[{"family":"Datnow","given":"Amanda"},{"family":"Hubbard","given":"Lea"},{"family":"Mehan","given":"Hugh"}],"issued":{"date-parts":[["1998"]]}}}],"schema":"https://github.com/citation-style-language/schema/raw/master/csl-citation.json"} </w:instrText>
      </w:r>
      <w:r w:rsidRPr="003620AE">
        <w:rPr>
          <w:rFonts w:cstheme="minorHAnsi"/>
          <w:lang w:val="fr-FR"/>
        </w:rPr>
        <w:fldChar w:fldCharType="separate"/>
      </w:r>
      <w:r w:rsidRPr="003620AE">
        <w:rPr>
          <w:rFonts w:cstheme="minorHAnsi"/>
          <w:lang w:val="en-US"/>
        </w:rPr>
        <w:t xml:space="preserve">Dubois-Shaik, « Teacher Training Reform in French-Speaking Belgium: A Controversial Translation Process »; Amanda </w:t>
      </w:r>
      <w:proofErr w:type="spellStart"/>
      <w:r w:rsidRPr="003620AE">
        <w:rPr>
          <w:rFonts w:cstheme="minorHAnsi"/>
          <w:lang w:val="en-US"/>
        </w:rPr>
        <w:t>Datnow</w:t>
      </w:r>
      <w:proofErr w:type="spellEnd"/>
      <w:r w:rsidRPr="003620AE">
        <w:rPr>
          <w:rFonts w:cstheme="minorHAnsi"/>
          <w:lang w:val="en-US"/>
        </w:rPr>
        <w:t xml:space="preserve">, Lea Hubbard, et Hugh Mehan, « Educational Reform Implementation: A Co-Constructed Process », 1998, </w:t>
      </w:r>
      <w:r w:rsidR="003620AE" w:rsidRPr="003620AE">
        <w:rPr>
          <w:rFonts w:cstheme="minorHAnsi"/>
          <w:lang w:val="en-US"/>
        </w:rPr>
        <w:t xml:space="preserve">p. </w:t>
      </w:r>
      <w:r w:rsidRPr="003620AE">
        <w:rPr>
          <w:rFonts w:cstheme="minorHAnsi"/>
          <w:lang w:val="en-US"/>
        </w:rPr>
        <w:t>25.</w:t>
      </w:r>
      <w:r w:rsidRPr="003620AE">
        <w:rPr>
          <w:rFonts w:cstheme="minorHAnsi"/>
          <w:lang w:val="fr-FR"/>
        </w:rPr>
        <w:fldChar w:fldCharType="end"/>
      </w:r>
    </w:p>
  </w:footnote>
  <w:footnote w:id="27">
    <w:p w14:paraId="11733972" w14:textId="6BA212AC" w:rsidR="00433AB0" w:rsidRPr="003620AE" w:rsidRDefault="00433AB0" w:rsidP="00DF197A">
      <w:pPr>
        <w:pStyle w:val="Notedebasdepage"/>
        <w:jc w:val="both"/>
        <w:rPr>
          <w:rFonts w:cstheme="minorHAnsi"/>
          <w:lang w:val="fr-FR"/>
        </w:rPr>
      </w:pPr>
      <w:r w:rsidRPr="003620AE">
        <w:rPr>
          <w:rStyle w:val="Appelnotedebasdep"/>
          <w:rFonts w:cstheme="minorHAnsi"/>
          <w:lang w:val="fr-FR"/>
        </w:rPr>
        <w:footnoteRef/>
      </w:r>
      <w:r w:rsidRPr="003620AE">
        <w:rPr>
          <w:rFonts w:cstheme="minorHAnsi"/>
          <w:lang w:val="fr-FR"/>
        </w:rPr>
        <w:t xml:space="preserve"> </w:t>
      </w:r>
      <w:r w:rsidRPr="003620AE">
        <w:rPr>
          <w:rFonts w:cstheme="minorHAnsi"/>
          <w:lang w:val="fr-FR"/>
        </w:rPr>
        <w:fldChar w:fldCharType="begin"/>
      </w:r>
      <w:r w:rsidR="00794C27" w:rsidRPr="003620AE">
        <w:rPr>
          <w:rFonts w:cstheme="minorHAnsi"/>
          <w:lang w:val="fr-FR"/>
        </w:rPr>
        <w:instrText xml:space="preserve"> ADDIN ZOTERO_ITEM CSL_CITATION {"citationID":"MAMBVYVo","properties":{"formattedCitation":"Laforgue, \\uc0\\u171{}\\uc0\\u160{}Ce que l\\uc0\\u8217{}ethnographie fait \\uc0\\u224{} la th\\uc0\\u233{}orie des institutions\\uc0\\u160{}\\uc0\\u187{}; Fr\\uc0\\u233{}d\\uc0\\u233{}rique Giuliani, \\uc0\\u171{}\\uc0\\u160{}\\uc0\\u8220{}Ce que vous voyez l\\uc0\\u224{}, je ne le dis pas \\uc0\\u224{} ma hi\\uc0\\u233{}rarchie\\uc0\\u8221{}.  Ethnographier la mise en oeuvre des politiques publiques\\uc0\\u160{}\\uc0\\u187{}, in {\\i{}Ethnographie de l\\uc0\\u8217{}\\uc0\\u233{}cole: les coulisses des institutions scolaires et socio-\\uc0\\u233{}ducatives}, par Jean-Paul Payet, Didact (Rennes: Presses universitaires de Rennes, 2016).","plainCitation":"Laforgue, « Ce que l’ethnographie fait à la théorie des institutions »; Frédérique Giuliani, « “Ce que vous voyez là, je ne le dis pas à ma hiérarchie”.  Ethnographier la mise en oeuvre des politiques publiques », in Ethnographie de l’école: les coulisses des institutions scolaires et socio-éducatives, par Jean-Paul Payet, Didact (Rennes: Presses universitaires de Rennes, 2016).","noteIndex":13},"citationItems":[{"id":388,"uris":["http://zotero.org/users/local/c0m081EH/items/HZLEMG82"],"itemData":{"id":388,"type":"chapter","call-number":"306.43","collection-title":"Didact","container-title":"Ethnographie de l'école: les coulisses des institutions scolaires et socio-éducatives","event-place":"Rennes","ISBN":"978-2-7535-4885-5","language":"fre","publisher":"Presses universitaires de Rennes","publisher-place":"Rennes","source":"BnF ISBN","title":"Ce que l'ethnographie fait à la théorie des institutions","container-author":[{"family":"Payet","given":"Jean-Paul"}],"author":[{"family":"Laforgue","given":"Denis"}],"issued":{"date-parts":[["2016"]]}}},{"id":389,"uris":["http://zotero.org/users/local/c0m081EH/items/6STPZTPD"],"itemData":{"id":389,"type":"chapter","call-number":"306.43","collection-title":"Didact","container-title":"Ethnographie de l'école: les coulisses des institutions scolaires et socio-éducatives","event-place":"Rennes","ISBN":"978-2-7535-4885-5","language":"fre","publisher":"Presses universitaires de Rennes","publisher-place":"Rennes","source":"BnF ISBN","title":"\"Ce que vous voyez là, je ne le dis pas à ma hiérarchie\".  Ethnographier la mise en oeuvre des politiques publiques","container-author":[{"family":"Payet","given":"Jean-Paul"}],"author":[{"family":"Giuliani","given":"Frédérique"}],"issued":{"date-parts":[["2016"]]}}}],"schema":"https://github.com/citation-style-language/schema/raw/master/csl-citation.json"} </w:instrText>
      </w:r>
      <w:r w:rsidRPr="003620AE">
        <w:rPr>
          <w:rFonts w:cstheme="minorHAnsi"/>
          <w:lang w:val="fr-FR"/>
        </w:rPr>
        <w:fldChar w:fldCharType="separate"/>
      </w:r>
      <w:r w:rsidR="00794C27" w:rsidRPr="003620AE">
        <w:rPr>
          <w:rFonts w:cstheme="minorHAnsi"/>
          <w:lang w:val="fr-FR"/>
        </w:rPr>
        <w:t>Laforgue, « Ce que l’ethnographie fait à la théorie des institutions </w:t>
      </w:r>
      <w:proofErr w:type="gramStart"/>
      <w:r w:rsidR="00794C27" w:rsidRPr="003620AE">
        <w:rPr>
          <w:rFonts w:cstheme="minorHAnsi"/>
          <w:lang w:val="fr-FR"/>
        </w:rPr>
        <w:t>»;</w:t>
      </w:r>
      <w:proofErr w:type="gramEnd"/>
      <w:r w:rsidR="00794C27" w:rsidRPr="003620AE">
        <w:rPr>
          <w:rFonts w:cstheme="minorHAnsi"/>
          <w:lang w:val="fr-FR"/>
        </w:rPr>
        <w:t xml:space="preserve"> Frédérique Giuliani, « “Ce que vous voyez là, je ne le dis pas à ma hiérarchie”.  Ethnographier la mise en </w:t>
      </w:r>
      <w:r w:rsidR="00EE7D80" w:rsidRPr="003620AE">
        <w:rPr>
          <w:rFonts w:cstheme="minorHAnsi"/>
          <w:lang w:val="fr-FR"/>
        </w:rPr>
        <w:t>œuvre</w:t>
      </w:r>
      <w:r w:rsidR="00794C27" w:rsidRPr="003620AE">
        <w:rPr>
          <w:rFonts w:cstheme="minorHAnsi"/>
          <w:lang w:val="fr-FR"/>
        </w:rPr>
        <w:t xml:space="preserve"> des politiques publiques », in </w:t>
      </w:r>
      <w:r w:rsidR="00794C27" w:rsidRPr="003620AE">
        <w:rPr>
          <w:rFonts w:cstheme="minorHAnsi"/>
          <w:i/>
          <w:iCs/>
          <w:lang w:val="fr-FR"/>
        </w:rPr>
        <w:t>Ethnographie de l’école</w:t>
      </w:r>
      <w:r w:rsidR="000C5091" w:rsidRPr="003620AE">
        <w:rPr>
          <w:rFonts w:cstheme="minorHAnsi"/>
          <w:i/>
          <w:iCs/>
          <w:lang w:val="fr-FR"/>
        </w:rPr>
        <w:t xml:space="preserve"> </w:t>
      </w:r>
      <w:r w:rsidR="00794C27" w:rsidRPr="003620AE">
        <w:rPr>
          <w:rFonts w:cstheme="minorHAnsi"/>
          <w:i/>
          <w:iCs/>
          <w:lang w:val="fr-FR"/>
        </w:rPr>
        <w:t>: les coulisses des institutions scolaires et socio-éducatives</w:t>
      </w:r>
      <w:r w:rsidR="00794C27" w:rsidRPr="003620AE">
        <w:rPr>
          <w:rFonts w:cstheme="minorHAnsi"/>
          <w:lang w:val="fr-FR"/>
        </w:rPr>
        <w:t xml:space="preserve">, par Jean-Paul </w:t>
      </w:r>
      <w:proofErr w:type="spellStart"/>
      <w:r w:rsidR="00794C27" w:rsidRPr="003620AE">
        <w:rPr>
          <w:rFonts w:cstheme="minorHAnsi"/>
          <w:lang w:val="fr-FR"/>
        </w:rPr>
        <w:t>Payet</w:t>
      </w:r>
      <w:proofErr w:type="spellEnd"/>
      <w:r w:rsidR="000C5091" w:rsidRPr="003620AE">
        <w:rPr>
          <w:rFonts w:cstheme="minorHAnsi"/>
          <w:lang w:val="fr-FR"/>
        </w:rPr>
        <w:t xml:space="preserve">, </w:t>
      </w:r>
      <w:r w:rsidR="00794C27" w:rsidRPr="003620AE">
        <w:rPr>
          <w:rFonts w:cstheme="minorHAnsi"/>
          <w:lang w:val="fr-FR"/>
        </w:rPr>
        <w:t>Rennes</w:t>
      </w:r>
      <w:r w:rsidR="003620AE">
        <w:rPr>
          <w:rFonts w:cstheme="minorHAnsi"/>
          <w:lang w:val="fr-FR"/>
        </w:rPr>
        <w:t>,</w:t>
      </w:r>
      <w:r w:rsidR="00794C27" w:rsidRPr="003620AE">
        <w:rPr>
          <w:rFonts w:cstheme="minorHAnsi"/>
          <w:lang w:val="fr-FR"/>
        </w:rPr>
        <w:t xml:space="preserve"> Presses universitaires de Rennes, 2016.</w:t>
      </w:r>
      <w:r w:rsidRPr="003620AE">
        <w:rPr>
          <w:rFonts w:cstheme="minorHAnsi"/>
          <w:lang w:val="fr-FR"/>
        </w:rPr>
        <w:fldChar w:fldCharType="end"/>
      </w:r>
    </w:p>
  </w:footnote>
  <w:footnote w:id="28">
    <w:p w14:paraId="669EDAC2" w14:textId="5A94879B" w:rsidR="00433AB0" w:rsidRPr="003620AE" w:rsidRDefault="00433AB0" w:rsidP="00DF197A">
      <w:pPr>
        <w:pStyle w:val="Notedebasdepage"/>
        <w:jc w:val="both"/>
        <w:rPr>
          <w:rFonts w:cstheme="minorHAnsi"/>
          <w:lang w:val="en-US"/>
        </w:rPr>
      </w:pPr>
      <w:r w:rsidRPr="003620AE">
        <w:rPr>
          <w:rStyle w:val="Appelnotedebasdep"/>
          <w:rFonts w:cstheme="minorHAnsi"/>
          <w:lang w:val="fr-FR"/>
        </w:rPr>
        <w:footnoteRef/>
      </w:r>
      <w:r w:rsidRPr="003620AE">
        <w:rPr>
          <w:rFonts w:cstheme="minorHAnsi"/>
          <w:lang w:val="en-US"/>
        </w:rPr>
        <w:t xml:space="preserve"> </w:t>
      </w:r>
      <w:r w:rsidRPr="003620AE">
        <w:rPr>
          <w:rFonts w:cstheme="minorHAnsi"/>
          <w:lang w:val="fr-FR"/>
        </w:rPr>
        <w:fldChar w:fldCharType="begin"/>
      </w:r>
      <w:r w:rsidR="00794C27" w:rsidRPr="003620AE">
        <w:rPr>
          <w:rFonts w:cstheme="minorHAnsi"/>
          <w:lang w:val="en-US"/>
        </w:rPr>
        <w:instrText xml:space="preserve"> ADDIN ZOTERO_ITEM CSL_CITATION {"citationID":"UkZphC4j","properties":{"formattedCitation":"Hugh Mehan, \\uc0\\u171{}\\uc0\\u160{}Structuring School Structure\\uc0\\u160{}\\uc0\\u187{}, {\\i{}Harvard Educational Review} 48, n\\super o\\nosupersub{} 1 (1 avril 1978): 32\\uc0\\u8209{}64, https://doi.org/10.17763/haer.48.1.208101354lw53713.","plainCitation":"Hugh Mehan, « Structuring School Structure », Harvard Educational Review 48, no 1 (1 avril 1978): 32</w:instrText>
      </w:r>
      <w:r w:rsidR="00794C27" w:rsidRPr="003620AE">
        <w:rPr>
          <w:rFonts w:ascii="Cambria Math" w:hAnsi="Cambria Math" w:cs="Cambria Math"/>
          <w:lang w:val="en-US"/>
        </w:rPr>
        <w:instrText>‑</w:instrText>
      </w:r>
      <w:r w:rsidR="00794C27" w:rsidRPr="003620AE">
        <w:rPr>
          <w:rFonts w:cstheme="minorHAnsi"/>
          <w:lang w:val="en-US"/>
        </w:rPr>
        <w:instrText xml:space="preserve">64, https://doi.org/10.17763/haer.48.1.208101354lw53713.","noteIndex":13},"citationItems":[{"id":147,"uris":["http://zotero.org/users/local/c0m081EH/items/Y9ZLG9CU"],"itemData":{"id":147,"type":"article-journal","abstract":"In this article Hugh Mehan calls for a new approach to the study of schooling. He notes that the research methods that dominated the study of school effects in the last two decades—large-scale surveys and field observation—have failed to examine the processes by which school participants create school structures. The approach Mehan advocates, \"constitutive ethnography,\" would give equal attention to the processes as well as the outcomes of structuring activities. He outlines the method of constitutive ethnography and illustrates its application in studies of classroom organization, testing encounters, and counseling sessions. Mehan concludes by calling for \"constitutive career studies\" of individuals as they participate in a range of school events.","container-title":"Harvard Educational Review","DOI":"10.17763/haer.48.1.208101354lw53713","ISSN":"0017-8055, 1943-5045","issue":"1","language":"en","page":"32-64","source":"DOI.org (Crossref)","title":"Structuring School Structure","volume":"48","author":[{"family":"Mehan","given":"Hugh"}],"issued":{"date-parts":[["1978",4,1]]}}}],"schema":"https://github.com/citation-style-language/schema/raw/master/csl-citation.json"} </w:instrText>
      </w:r>
      <w:r w:rsidRPr="003620AE">
        <w:rPr>
          <w:rFonts w:cstheme="minorHAnsi"/>
          <w:lang w:val="fr-FR"/>
        </w:rPr>
        <w:fldChar w:fldCharType="separate"/>
      </w:r>
      <w:r w:rsidRPr="003620AE">
        <w:rPr>
          <w:rFonts w:cstheme="minorHAnsi"/>
          <w:lang w:val="en-US"/>
        </w:rPr>
        <w:t xml:space="preserve">Hugh Mehan, « Structuring School Structure », </w:t>
      </w:r>
      <w:r w:rsidRPr="003620AE">
        <w:rPr>
          <w:rFonts w:cstheme="minorHAnsi"/>
          <w:i/>
          <w:iCs/>
          <w:lang w:val="en-US"/>
        </w:rPr>
        <w:t>Harvard Educational Review</w:t>
      </w:r>
      <w:r w:rsidRPr="003620AE">
        <w:rPr>
          <w:rFonts w:cstheme="minorHAnsi"/>
          <w:lang w:val="en-US"/>
        </w:rPr>
        <w:t xml:space="preserve"> 48</w:t>
      </w:r>
      <w:r w:rsidR="003620AE" w:rsidRPr="003620AE">
        <w:rPr>
          <w:rFonts w:cstheme="minorHAnsi"/>
          <w:lang w:val="en-US"/>
        </w:rPr>
        <w:t>[</w:t>
      </w:r>
      <w:r w:rsidRPr="003620AE">
        <w:rPr>
          <w:rFonts w:cstheme="minorHAnsi"/>
          <w:lang w:val="en-US"/>
        </w:rPr>
        <w:t>1</w:t>
      </w:r>
      <w:r w:rsidR="003620AE">
        <w:rPr>
          <w:rFonts w:cstheme="minorHAnsi"/>
          <w:lang w:val="en-US"/>
        </w:rPr>
        <w:t>]</w:t>
      </w:r>
      <w:r w:rsidR="000C5091" w:rsidRPr="003620AE">
        <w:rPr>
          <w:rFonts w:cstheme="minorHAnsi"/>
          <w:lang w:val="en-US"/>
        </w:rPr>
        <w:t xml:space="preserve">, </w:t>
      </w:r>
      <w:r w:rsidRPr="003620AE">
        <w:rPr>
          <w:rFonts w:cstheme="minorHAnsi"/>
          <w:lang w:val="en-US"/>
        </w:rPr>
        <w:t>1978</w:t>
      </w:r>
      <w:r w:rsidR="000C5091" w:rsidRPr="003620AE">
        <w:rPr>
          <w:rFonts w:cstheme="minorHAnsi"/>
          <w:lang w:val="en-US"/>
        </w:rPr>
        <w:t>.</w:t>
      </w:r>
      <w:r w:rsidRPr="003620AE">
        <w:rPr>
          <w:rFonts w:cstheme="minorHAnsi"/>
          <w:lang w:val="fr-FR"/>
        </w:rPr>
        <w:fldChar w:fldCharType="end"/>
      </w:r>
    </w:p>
  </w:footnote>
  <w:footnote w:id="29">
    <w:p w14:paraId="170F3F03" w14:textId="794F809A" w:rsidR="00380E3F" w:rsidRPr="003620AE" w:rsidRDefault="00380E3F" w:rsidP="00DF197A">
      <w:pPr>
        <w:pStyle w:val="Notedebasdepage"/>
        <w:jc w:val="both"/>
        <w:rPr>
          <w:rFonts w:cstheme="minorHAnsi"/>
          <w:lang w:val="fr-FR"/>
        </w:rPr>
      </w:pPr>
      <w:r w:rsidRPr="003620AE">
        <w:rPr>
          <w:rStyle w:val="Appelnotedebasdep"/>
          <w:rFonts w:cstheme="minorHAnsi"/>
          <w:lang w:val="fr-FR"/>
        </w:rPr>
        <w:footnoteRef/>
      </w:r>
      <w:r w:rsidRPr="003620AE">
        <w:rPr>
          <w:rFonts w:cstheme="minorHAnsi"/>
          <w:lang w:val="fr-FR"/>
        </w:rPr>
        <w:t xml:space="preserve"> Michel Barthélémy et Louis </w:t>
      </w:r>
      <w:proofErr w:type="spellStart"/>
      <w:r w:rsidRPr="003620AE">
        <w:rPr>
          <w:rFonts w:cstheme="minorHAnsi"/>
          <w:lang w:val="fr-FR"/>
        </w:rPr>
        <w:t>Quéré</w:t>
      </w:r>
      <w:proofErr w:type="spellEnd"/>
      <w:r w:rsidRPr="003620AE">
        <w:rPr>
          <w:rFonts w:cstheme="minorHAnsi"/>
          <w:lang w:val="fr-FR"/>
        </w:rPr>
        <w:t xml:space="preserve"> dans leur présentation des </w:t>
      </w:r>
      <w:r w:rsidRPr="003620AE">
        <w:rPr>
          <w:rFonts w:cstheme="minorHAnsi"/>
          <w:i/>
          <w:iCs/>
          <w:lang w:val="fr-FR"/>
        </w:rPr>
        <w:t>Recherches en ethnométhodologie</w:t>
      </w:r>
      <w:r w:rsidRPr="003620AE">
        <w:rPr>
          <w:rFonts w:cstheme="minorHAnsi"/>
          <w:lang w:val="fr-FR"/>
        </w:rPr>
        <w:t xml:space="preserve"> de Harold Garfinkel,</w:t>
      </w:r>
      <w:r w:rsidR="00661365" w:rsidRPr="003620AE">
        <w:rPr>
          <w:rFonts w:cstheme="minorHAnsi"/>
          <w:lang w:val="fr-FR"/>
        </w:rPr>
        <w:t xml:space="preserve"> dé</w:t>
      </w:r>
      <w:r w:rsidR="00D812FB" w:rsidRPr="003620AE">
        <w:rPr>
          <w:rFonts w:cstheme="minorHAnsi"/>
          <w:lang w:val="fr-FR"/>
        </w:rPr>
        <w:t>c</w:t>
      </w:r>
      <w:r w:rsidR="00661365" w:rsidRPr="003620AE">
        <w:rPr>
          <w:rFonts w:cstheme="minorHAnsi"/>
          <w:lang w:val="fr-FR"/>
        </w:rPr>
        <w:t>larent</w:t>
      </w:r>
      <w:r w:rsidR="00D812FB" w:rsidRPr="003620AE">
        <w:rPr>
          <w:rFonts w:cstheme="minorHAnsi"/>
          <w:lang w:val="fr-FR"/>
        </w:rPr>
        <w:t xml:space="preserve"> : </w:t>
      </w:r>
      <w:r w:rsidRPr="003620AE">
        <w:rPr>
          <w:rFonts w:cstheme="minorHAnsi"/>
          <w:lang w:val="fr-FR"/>
        </w:rPr>
        <w:t>« l’activité la plus routinière, anodine, familière qui soit, n’est jamais “donnée” à l’avance, n’est jamais une copie conforme, ni une reproduction mécanique, d’un modèle plus ou moins formalisé [...]. Elle est toujours une production réalisée à nouveaux frais, dans des circonstances toujours singulières [...]</w:t>
      </w:r>
      <w:r w:rsidR="000C5091" w:rsidRPr="003620AE">
        <w:rPr>
          <w:rFonts w:cstheme="minorHAnsi"/>
          <w:lang w:val="fr-FR"/>
        </w:rPr>
        <w:t>.</w:t>
      </w:r>
      <w:r w:rsidRPr="003620AE">
        <w:rPr>
          <w:rFonts w:cstheme="minorHAnsi"/>
          <w:lang w:val="fr-FR"/>
        </w:rPr>
        <w:t xml:space="preserve"> » </w:t>
      </w:r>
      <w:r w:rsidR="000C5091" w:rsidRPr="003620AE">
        <w:rPr>
          <w:rFonts w:cstheme="minorHAnsi"/>
          <w:lang w:val="fr-FR"/>
        </w:rPr>
        <w:t>C</w:t>
      </w:r>
      <w:r w:rsidRPr="003620AE">
        <w:rPr>
          <w:rFonts w:cstheme="minorHAnsi"/>
          <w:lang w:val="fr-FR"/>
        </w:rPr>
        <w:t xml:space="preserve">ité dans </w:t>
      </w:r>
      <w:r w:rsidR="000C5091" w:rsidRPr="003620AE">
        <w:rPr>
          <w:rFonts w:cstheme="minorHAnsi"/>
          <w:lang w:val="fr-FR"/>
        </w:rPr>
        <w:t xml:space="preserve">Harold </w:t>
      </w:r>
      <w:r w:rsidR="00EE7D80" w:rsidRPr="003620AE">
        <w:rPr>
          <w:rFonts w:cstheme="minorHAnsi"/>
          <w:lang w:val="fr-FR"/>
        </w:rPr>
        <w:t xml:space="preserve">Garfinkel </w:t>
      </w:r>
      <w:r w:rsidR="000C5091" w:rsidRPr="003620AE">
        <w:rPr>
          <w:rFonts w:cstheme="minorHAnsi"/>
          <w:i/>
          <w:iCs/>
          <w:lang w:val="fr-FR"/>
        </w:rPr>
        <w:t>Recherches en ethnométhodologie</w:t>
      </w:r>
      <w:r w:rsidR="000C5091" w:rsidRPr="003620AE">
        <w:rPr>
          <w:rFonts w:cstheme="minorHAnsi"/>
          <w:lang w:val="fr-FR"/>
        </w:rPr>
        <w:t>, Paris</w:t>
      </w:r>
      <w:r w:rsidR="003620AE">
        <w:rPr>
          <w:rFonts w:cstheme="minorHAnsi"/>
          <w:lang w:val="fr-FR"/>
        </w:rPr>
        <w:t xml:space="preserve">, </w:t>
      </w:r>
      <w:r w:rsidR="000C5091" w:rsidRPr="003620AE">
        <w:rPr>
          <w:rFonts w:cstheme="minorHAnsi"/>
          <w:lang w:val="fr-FR"/>
        </w:rPr>
        <w:t xml:space="preserve">Presses universitaires de France, 2007, </w:t>
      </w:r>
      <w:r w:rsidR="003620AE">
        <w:rPr>
          <w:rFonts w:cstheme="minorHAnsi"/>
          <w:lang w:val="fr-FR"/>
        </w:rPr>
        <w:t xml:space="preserve">p. </w:t>
      </w:r>
      <w:r w:rsidR="00EE7D80" w:rsidRPr="003620AE">
        <w:rPr>
          <w:rFonts w:cstheme="minorHAnsi"/>
          <w:lang w:val="fr-FR"/>
        </w:rPr>
        <w:t>27.</w:t>
      </w:r>
    </w:p>
  </w:footnote>
  <w:footnote w:id="30">
    <w:p w14:paraId="20688EDE" w14:textId="30E2D7E4" w:rsidR="009F344D" w:rsidRPr="003620AE" w:rsidRDefault="009F344D" w:rsidP="00DF197A">
      <w:pPr>
        <w:pStyle w:val="Notedebasdepage"/>
        <w:jc w:val="both"/>
        <w:rPr>
          <w:rFonts w:cstheme="minorHAnsi"/>
          <w:lang w:val="fr-FR"/>
        </w:rPr>
      </w:pPr>
      <w:r w:rsidRPr="003620AE">
        <w:rPr>
          <w:rStyle w:val="Appelnotedebasdep"/>
          <w:rFonts w:cstheme="minorHAnsi"/>
          <w:lang w:val="fr-FR"/>
        </w:rPr>
        <w:footnoteRef/>
      </w:r>
      <w:r w:rsidRPr="003620AE">
        <w:rPr>
          <w:rFonts w:cstheme="minorHAnsi"/>
          <w:lang w:val="fr-FR"/>
        </w:rPr>
        <w:t xml:space="preserve"> </w:t>
      </w:r>
      <w:r w:rsidR="00661365" w:rsidRPr="003620AE">
        <w:rPr>
          <w:rFonts w:cstheme="minorHAnsi"/>
          <w:lang w:val="fr-FR"/>
        </w:rPr>
        <w:t>Pour le détail de</w:t>
      </w:r>
      <w:r w:rsidRPr="003620AE">
        <w:rPr>
          <w:rFonts w:cstheme="minorHAnsi"/>
          <w:lang w:val="fr-FR"/>
        </w:rPr>
        <w:t xml:space="preserve"> la métaphore </w:t>
      </w:r>
      <w:r w:rsidR="00661365" w:rsidRPr="003620AE">
        <w:rPr>
          <w:rFonts w:cstheme="minorHAnsi"/>
          <w:lang w:val="fr-FR"/>
        </w:rPr>
        <w:t>théâtrale employé</w:t>
      </w:r>
      <w:r w:rsidR="008553AC" w:rsidRPr="003620AE">
        <w:rPr>
          <w:rFonts w:cstheme="minorHAnsi"/>
          <w:lang w:val="fr-FR"/>
        </w:rPr>
        <w:t>e</w:t>
      </w:r>
      <w:r w:rsidR="00661365" w:rsidRPr="003620AE">
        <w:rPr>
          <w:rFonts w:cstheme="minorHAnsi"/>
          <w:lang w:val="fr-FR"/>
        </w:rPr>
        <w:t xml:space="preserve"> ici, voir </w:t>
      </w:r>
      <w:proofErr w:type="spellStart"/>
      <w:r w:rsidR="000C5091" w:rsidRPr="003620AE">
        <w:rPr>
          <w:rFonts w:cstheme="minorHAnsi"/>
          <w:lang w:val="fr-FR"/>
        </w:rPr>
        <w:t>Erving</w:t>
      </w:r>
      <w:proofErr w:type="spellEnd"/>
      <w:r w:rsidR="000C5091" w:rsidRPr="003620AE">
        <w:rPr>
          <w:rFonts w:cstheme="minorHAnsi"/>
          <w:lang w:val="fr-FR"/>
        </w:rPr>
        <w:t xml:space="preserve"> Goffman, </w:t>
      </w:r>
      <w:r w:rsidR="000C5091" w:rsidRPr="003620AE">
        <w:rPr>
          <w:rFonts w:cstheme="minorHAnsi"/>
          <w:i/>
          <w:iCs/>
          <w:lang w:val="fr-FR"/>
        </w:rPr>
        <w:t>La mise en scène de la vie quotidienne. La présentation de soi</w:t>
      </w:r>
      <w:r w:rsidR="000C5091" w:rsidRPr="003620AE">
        <w:rPr>
          <w:rFonts w:cstheme="minorHAnsi"/>
          <w:lang w:val="fr-FR"/>
        </w:rPr>
        <w:t xml:space="preserve">, </w:t>
      </w:r>
      <w:r w:rsidR="000C5091" w:rsidRPr="003620AE">
        <w:rPr>
          <w:rFonts w:cstheme="minorHAnsi"/>
          <w:i/>
          <w:iCs/>
          <w:lang w:val="fr-FR"/>
        </w:rPr>
        <w:t>1</w:t>
      </w:r>
      <w:r w:rsidR="000C5091" w:rsidRPr="003620AE">
        <w:rPr>
          <w:rFonts w:cstheme="minorHAnsi"/>
          <w:lang w:val="fr-FR"/>
        </w:rPr>
        <w:t>, Paris</w:t>
      </w:r>
      <w:r w:rsidR="003620AE">
        <w:rPr>
          <w:rFonts w:cstheme="minorHAnsi"/>
          <w:lang w:val="fr-FR"/>
        </w:rPr>
        <w:t xml:space="preserve">, </w:t>
      </w:r>
      <w:r w:rsidR="000C5091" w:rsidRPr="003620AE">
        <w:rPr>
          <w:rFonts w:cstheme="minorHAnsi"/>
          <w:lang w:val="fr-FR"/>
        </w:rPr>
        <w:t xml:space="preserve">Ed. </w:t>
      </w:r>
      <w:proofErr w:type="gramStart"/>
      <w:r w:rsidR="000C5091" w:rsidRPr="003620AE">
        <w:rPr>
          <w:rFonts w:cstheme="minorHAnsi"/>
          <w:lang w:val="fr-FR"/>
        </w:rPr>
        <w:t>de</w:t>
      </w:r>
      <w:proofErr w:type="gramEnd"/>
      <w:r w:rsidR="000C5091" w:rsidRPr="003620AE">
        <w:rPr>
          <w:rFonts w:cstheme="minorHAnsi"/>
          <w:lang w:val="fr-FR"/>
        </w:rPr>
        <w:t xml:space="preserve"> Minuit, 1996</w:t>
      </w:r>
      <w:r w:rsidR="003B6824" w:rsidRPr="003620AE">
        <w:rPr>
          <w:rFonts w:cstheme="minorHAnsi"/>
          <w:lang w:val="fr-FR"/>
        </w:rPr>
        <w:t>.</w:t>
      </w:r>
    </w:p>
  </w:footnote>
  <w:footnote w:id="31">
    <w:p w14:paraId="2D77EBC9" w14:textId="0ADFDC27" w:rsidR="00814F95" w:rsidRPr="003620AE" w:rsidRDefault="00814F95" w:rsidP="00DF197A">
      <w:pPr>
        <w:pStyle w:val="Notedebasdepage"/>
        <w:jc w:val="both"/>
        <w:rPr>
          <w:rFonts w:cstheme="minorHAnsi"/>
          <w:lang w:val="fr-FR"/>
        </w:rPr>
      </w:pPr>
      <w:r w:rsidRPr="003620AE">
        <w:rPr>
          <w:rStyle w:val="Appelnotedebasdep"/>
          <w:rFonts w:cstheme="minorHAnsi"/>
          <w:lang w:val="fr-FR"/>
        </w:rPr>
        <w:footnoteRef/>
      </w:r>
      <w:r w:rsidRPr="003620AE">
        <w:rPr>
          <w:rFonts w:cstheme="minorHAnsi"/>
          <w:lang w:val="fr-FR"/>
        </w:rPr>
        <w:t xml:space="preserve"> Goffman</w:t>
      </w:r>
      <w:r w:rsidR="008803FD" w:rsidRPr="003620AE">
        <w:rPr>
          <w:rFonts w:cstheme="minorHAnsi"/>
          <w:lang w:val="fr-FR"/>
        </w:rPr>
        <w:t xml:space="preserve">, </w:t>
      </w:r>
      <w:r w:rsidR="008803FD" w:rsidRPr="003620AE">
        <w:rPr>
          <w:rFonts w:cstheme="minorHAnsi"/>
          <w:i/>
          <w:iCs/>
          <w:lang w:val="fr-FR"/>
        </w:rPr>
        <w:t>La mise en scène la vie quotidienne. La présentation de soi, 1</w:t>
      </w:r>
      <w:r w:rsidR="008803FD" w:rsidRPr="003620AE">
        <w:rPr>
          <w:rFonts w:cstheme="minorHAnsi"/>
          <w:lang w:val="fr-FR"/>
        </w:rPr>
        <w:t>.</w:t>
      </w:r>
    </w:p>
  </w:footnote>
  <w:footnote w:id="32">
    <w:p w14:paraId="1DE8CF2E" w14:textId="6C2F9310" w:rsidR="00EE7D80" w:rsidRPr="003620AE" w:rsidRDefault="00EE7D80" w:rsidP="00DF197A">
      <w:pPr>
        <w:pStyle w:val="Notedebasdepage"/>
        <w:jc w:val="both"/>
        <w:rPr>
          <w:rFonts w:cstheme="minorHAnsi"/>
          <w:lang w:val="fr-FR"/>
        </w:rPr>
      </w:pPr>
      <w:r w:rsidRPr="003620AE">
        <w:rPr>
          <w:rStyle w:val="Appelnotedebasdep"/>
          <w:rFonts w:cstheme="minorHAnsi"/>
          <w:lang w:val="fr-FR"/>
        </w:rPr>
        <w:footnoteRef/>
      </w:r>
      <w:r w:rsidRPr="003620AE">
        <w:rPr>
          <w:rFonts w:cstheme="minorHAnsi"/>
          <w:lang w:val="fr-FR"/>
        </w:rPr>
        <w:t xml:space="preserve"> </w:t>
      </w:r>
      <w:r w:rsidRPr="003620AE">
        <w:rPr>
          <w:rFonts w:cstheme="minorHAnsi"/>
          <w:lang w:val="fr-FR"/>
        </w:rPr>
        <w:fldChar w:fldCharType="begin"/>
      </w:r>
      <w:r w:rsidRPr="003620AE">
        <w:rPr>
          <w:rFonts w:cstheme="minorHAnsi"/>
          <w:lang w:val="fr-FR"/>
        </w:rPr>
        <w:instrText xml:space="preserve"> ADDIN ZOTERO_ITEM CSL_CITATION {"citationID":"wY2pTNdo","properties":{"formattedCitation":"Nachi, \\uc0\\u171{}\\uc0\\u160{}Un r\\uc0\\u233{}gime pragmatique de l\\uc0\\u8217{}arrangement. L\\uc0\\u8217{}en-de\\uc0\\u231{}\\uc0\\u224{} du public, l\\uc0\\u8217{}au-del\\uc0\\u224{} du familier\\uc0\\u160{}\\uc0\\u187{}.","plainCitation":"Nachi, « Un régime pragmatique de l’arrangement. L’en-deçà du public, l’au-delà du familier ».","noteIndex":21},"citationItems":[{"id":468,"uris":["http://zotero.org/users/local/c0m081EH/items/W9W7FYC3"],"itemData":{"id":468,"type":"article-journal","abstract":"In this paper, I propose to define the properties of a new pragmatic regime of action, which I have appointed as the « regime of the arrangement ». After a review of some work on regime of action developed from the perspective of pragmatic sociology, I underlined the importance of faces of arrangement in different areas of social life. By pointing out the semantic ambiguity of the arrangement, I have been able to identify the provisions, resources and practical modalities that allow me to consider it as a hybrid regime that is positioned beyond the familiar, but below the public.","container-title":"SocietàMutamentoPolitica","issue":"23","language":"fr","page":"63-79","source":"Zotero","title":"Un régime pragmatique de l’arrangement. L’en-deçà du public, l’au-delà du familier","volume":"12","author":[{"family":"Nachi","given":"Mohamed"}],"issued":{"date-parts":[["2021"]]}}}],"schema":"https://github.com/citation-style-language/schema/raw/master/csl-citation.json"} </w:instrText>
      </w:r>
      <w:r w:rsidRPr="003620AE">
        <w:rPr>
          <w:rFonts w:cstheme="minorHAnsi"/>
          <w:lang w:val="fr-FR"/>
        </w:rPr>
        <w:fldChar w:fldCharType="separate"/>
      </w:r>
      <w:proofErr w:type="spellStart"/>
      <w:r w:rsidRPr="003620AE">
        <w:rPr>
          <w:rFonts w:cstheme="minorHAnsi"/>
          <w:lang w:val="fr-FR"/>
        </w:rPr>
        <w:t>Nachi</w:t>
      </w:r>
      <w:proofErr w:type="spellEnd"/>
      <w:r w:rsidRPr="003620AE">
        <w:rPr>
          <w:rFonts w:cstheme="minorHAnsi"/>
          <w:lang w:val="fr-FR"/>
        </w:rPr>
        <w:t>, « Un régime pragmatique de l’arrangement. L’en-deçà du public, l’au-delà du familier ».</w:t>
      </w:r>
      <w:r w:rsidRPr="003620AE">
        <w:rPr>
          <w:rFonts w:cstheme="minorHAnsi"/>
          <w:lang w:val="fr-FR"/>
        </w:rPr>
        <w:fldChar w:fldCharType="end"/>
      </w:r>
    </w:p>
  </w:footnote>
  <w:footnote w:id="33">
    <w:p w14:paraId="153137B9" w14:textId="55FFAC47" w:rsidR="00433AB0" w:rsidRPr="003620AE" w:rsidRDefault="00433AB0" w:rsidP="00DF197A">
      <w:pPr>
        <w:pStyle w:val="Notedebasdepage"/>
        <w:jc w:val="both"/>
        <w:rPr>
          <w:rFonts w:cstheme="minorHAnsi"/>
          <w:lang w:val="fr-FR"/>
        </w:rPr>
      </w:pPr>
      <w:r w:rsidRPr="003620AE">
        <w:rPr>
          <w:rStyle w:val="Appelnotedebasdep"/>
          <w:rFonts w:cstheme="minorHAnsi"/>
          <w:lang w:val="fr-FR"/>
        </w:rPr>
        <w:footnoteRef/>
      </w:r>
      <w:r w:rsidRPr="003620AE">
        <w:rPr>
          <w:rFonts w:cstheme="minorHAnsi"/>
          <w:lang w:val="fr-FR"/>
        </w:rPr>
        <w:t xml:space="preserve"> </w:t>
      </w:r>
      <w:r w:rsidRPr="003620AE">
        <w:rPr>
          <w:rFonts w:cstheme="minorHAnsi"/>
          <w:lang w:val="fr-FR"/>
        </w:rPr>
        <w:fldChar w:fldCharType="begin"/>
      </w:r>
      <w:r w:rsidR="00794C27" w:rsidRPr="003620AE">
        <w:rPr>
          <w:rFonts w:cstheme="minorHAnsi"/>
          <w:lang w:val="fr-FR"/>
        </w:rPr>
        <w:instrText xml:space="preserve"> ADDIN ZOTERO_ITEM CSL_CITATION {"citationID":"KfvbUsqH","properties":{"formattedCitation":"Erving Goffman, {\\i{}Les rites d\\uc0\\u8217{}interaction} (Paris: Ed. de Minuit, 1998).","plainCitation":"Erving Goffman, Les rites d’interaction (Paris: Ed. de Minuit, 1998).","noteIndex":16},"citationItems":[{"id":525,"uris":["http://zotero.org/users/local/c0m081EH/items/3IF8UQMJ"],"itemData":{"id":525,"type":"book","event-place":"Paris","ISBN":"978-2-7073-0022-5","language":"fre","number-of-pages":"230","publisher":"Ed. de Minuit","publisher-place":"Paris","source":"K10plus ISBN","title":"Les rites d'interaction","author":[{"family":"Goffman","given":"Erving"}],"issued":{"date-parts":[["1998"]]}}}],"schema":"https://github.com/citation-style-language/schema/raw/master/csl-citation.json"} </w:instrText>
      </w:r>
      <w:r w:rsidRPr="003620AE">
        <w:rPr>
          <w:rFonts w:cstheme="minorHAnsi"/>
          <w:lang w:val="fr-FR"/>
        </w:rPr>
        <w:fldChar w:fldCharType="separate"/>
      </w:r>
      <w:proofErr w:type="spellStart"/>
      <w:r w:rsidRPr="003620AE">
        <w:rPr>
          <w:rFonts w:cstheme="minorHAnsi"/>
          <w:lang w:val="fr-FR"/>
        </w:rPr>
        <w:t>Erving</w:t>
      </w:r>
      <w:proofErr w:type="spellEnd"/>
      <w:r w:rsidRPr="003620AE">
        <w:rPr>
          <w:rFonts w:cstheme="minorHAnsi"/>
          <w:lang w:val="fr-FR"/>
        </w:rPr>
        <w:t xml:space="preserve"> Goffman, </w:t>
      </w:r>
      <w:r w:rsidRPr="003620AE">
        <w:rPr>
          <w:rFonts w:cstheme="minorHAnsi"/>
          <w:i/>
          <w:iCs/>
          <w:lang w:val="fr-FR"/>
        </w:rPr>
        <w:t>Les rites d’interaction</w:t>
      </w:r>
      <w:r w:rsidR="000C5091" w:rsidRPr="003620AE">
        <w:rPr>
          <w:rFonts w:cstheme="minorHAnsi"/>
          <w:lang w:val="fr-FR"/>
        </w:rPr>
        <w:t xml:space="preserve">, </w:t>
      </w:r>
      <w:r w:rsidRPr="003620AE">
        <w:rPr>
          <w:rFonts w:cstheme="minorHAnsi"/>
          <w:lang w:val="fr-FR"/>
        </w:rPr>
        <w:t>Paris</w:t>
      </w:r>
      <w:r w:rsidR="003620AE">
        <w:rPr>
          <w:rFonts w:cstheme="minorHAnsi"/>
          <w:lang w:val="fr-FR"/>
        </w:rPr>
        <w:t xml:space="preserve">, </w:t>
      </w:r>
      <w:r w:rsidRPr="003620AE">
        <w:rPr>
          <w:rFonts w:cstheme="minorHAnsi"/>
          <w:lang w:val="fr-FR"/>
        </w:rPr>
        <w:t xml:space="preserve">Ed. </w:t>
      </w:r>
      <w:proofErr w:type="gramStart"/>
      <w:r w:rsidRPr="003620AE">
        <w:rPr>
          <w:rFonts w:cstheme="minorHAnsi"/>
          <w:lang w:val="fr-FR"/>
        </w:rPr>
        <w:t>de</w:t>
      </w:r>
      <w:proofErr w:type="gramEnd"/>
      <w:r w:rsidRPr="003620AE">
        <w:rPr>
          <w:rFonts w:cstheme="minorHAnsi"/>
          <w:lang w:val="fr-FR"/>
        </w:rPr>
        <w:t xml:space="preserve"> Minuit, 1998.</w:t>
      </w:r>
      <w:r w:rsidRPr="003620AE">
        <w:rPr>
          <w:rFonts w:cstheme="minorHAnsi"/>
          <w:lang w:val="fr-FR"/>
        </w:rPr>
        <w:fldChar w:fldCharType="end"/>
      </w:r>
    </w:p>
  </w:footnote>
  <w:footnote w:id="34">
    <w:p w14:paraId="663D958A" w14:textId="3A068FBC" w:rsidR="009F344D" w:rsidRPr="003620AE" w:rsidRDefault="009F344D" w:rsidP="00DF197A">
      <w:pPr>
        <w:pStyle w:val="Notedebasdepage"/>
        <w:jc w:val="both"/>
        <w:rPr>
          <w:rFonts w:cstheme="minorHAnsi"/>
          <w:lang w:val="fr-FR"/>
        </w:rPr>
      </w:pPr>
      <w:r w:rsidRPr="003620AE">
        <w:rPr>
          <w:rStyle w:val="Appelnotedebasdep"/>
          <w:rFonts w:cstheme="minorHAnsi"/>
          <w:lang w:val="fr-FR"/>
        </w:rPr>
        <w:footnoteRef/>
      </w:r>
      <w:r w:rsidRPr="003620AE">
        <w:rPr>
          <w:rFonts w:cstheme="minorHAnsi"/>
          <w:lang w:val="fr-FR"/>
        </w:rPr>
        <w:t xml:space="preserve"> « [D]ans nombre de cas, la représentation sert à exprimer les caractéristiques de la tâche exécutée plutôt que celles de l’acteur » </w:t>
      </w:r>
      <w:r w:rsidRPr="003620AE">
        <w:rPr>
          <w:rFonts w:cstheme="minorHAnsi"/>
          <w:lang w:val="fr-FR"/>
        </w:rPr>
        <w:fldChar w:fldCharType="begin"/>
      </w:r>
      <w:r w:rsidR="00EE7D80" w:rsidRPr="003620AE">
        <w:rPr>
          <w:rFonts w:cstheme="minorHAnsi"/>
          <w:lang w:val="fr-FR"/>
        </w:rPr>
        <w:instrText xml:space="preserve"> ADDIN ZOTERO_ITEM CSL_CITATION {"citationID":"xI09iItE","properties":{"formattedCitation":"Erving Goffman, {\\i{}La mise en sc\\uc0\\u232{}ne de la vie quotidienne. La pr\\uc0\\u233{}sentation de soi}, 1 (Paris: Ed. de Minuit, 1996), 79.","plainCitation":"Erving Goffman, La mise en scène de la vie quotidienne. La présentation de soi, 1 (Paris: Ed. de Minuit, 1996), 79.","noteIndex":23},"citationItems":[{"id":523,"uris":["http://zotero.org/users/local/c0m081EH/items/PZ8GGRES"],"itemData":{"id":523,"type":"book","collection-number":"1","event-place":"Paris","ISBN":"978-2-7073-0014-0","language":"fre","number-of-pages":"251","publisher":"Ed. de Minuit","publisher-place":"Paris","source":"K10plus ISBN","title":"La mise en scène de la vie quotidienne. La présentation de soi","author":[{"family":"Goffman","given":"Erving"}],"issued":{"date-parts":[["1996"]]}},"locator":"79","label":"page"}],"schema":"https://github.com/citation-style-language/schema/raw/master/csl-citation.json"} </w:instrText>
      </w:r>
      <w:r w:rsidRPr="003620AE">
        <w:rPr>
          <w:rFonts w:cstheme="minorHAnsi"/>
          <w:lang w:val="fr-FR"/>
        </w:rPr>
        <w:fldChar w:fldCharType="separate"/>
      </w:r>
      <w:proofErr w:type="spellStart"/>
      <w:r w:rsidR="00433AB0" w:rsidRPr="003620AE">
        <w:rPr>
          <w:rFonts w:cstheme="minorHAnsi"/>
          <w:lang w:val="fr-FR"/>
        </w:rPr>
        <w:t>Erving</w:t>
      </w:r>
      <w:proofErr w:type="spellEnd"/>
      <w:r w:rsidR="00433AB0" w:rsidRPr="003620AE">
        <w:rPr>
          <w:rFonts w:cstheme="minorHAnsi"/>
          <w:lang w:val="fr-FR"/>
        </w:rPr>
        <w:t xml:space="preserve"> Goffman, </w:t>
      </w:r>
      <w:r w:rsidR="00433AB0" w:rsidRPr="003620AE">
        <w:rPr>
          <w:rFonts w:cstheme="minorHAnsi"/>
          <w:i/>
          <w:iCs/>
          <w:lang w:val="fr-FR"/>
        </w:rPr>
        <w:t>La mise en scène de la vie quotidienne. La présentation de soi</w:t>
      </w:r>
      <w:r w:rsidR="00433AB0" w:rsidRPr="003620AE">
        <w:rPr>
          <w:rFonts w:cstheme="minorHAnsi"/>
          <w:lang w:val="fr-FR"/>
        </w:rPr>
        <w:t xml:space="preserve">, </w:t>
      </w:r>
      <w:r w:rsidR="00433AB0" w:rsidRPr="003620AE">
        <w:rPr>
          <w:rFonts w:cstheme="minorHAnsi"/>
          <w:i/>
          <w:iCs/>
          <w:lang w:val="fr-FR"/>
        </w:rPr>
        <w:t>1</w:t>
      </w:r>
      <w:r w:rsidR="00433AB0" w:rsidRPr="003620AE">
        <w:rPr>
          <w:rFonts w:cstheme="minorHAnsi"/>
          <w:lang w:val="fr-FR"/>
        </w:rPr>
        <w:t xml:space="preserve">, </w:t>
      </w:r>
      <w:r w:rsidR="003620AE">
        <w:rPr>
          <w:rFonts w:cstheme="minorHAnsi"/>
          <w:lang w:val="fr-FR"/>
        </w:rPr>
        <w:t xml:space="preserve">p. </w:t>
      </w:r>
      <w:r w:rsidR="00433AB0" w:rsidRPr="003620AE">
        <w:rPr>
          <w:rFonts w:cstheme="minorHAnsi"/>
          <w:lang w:val="fr-FR"/>
        </w:rPr>
        <w:t>79.</w:t>
      </w:r>
      <w:r w:rsidRPr="003620AE">
        <w:rPr>
          <w:rFonts w:cstheme="minorHAnsi"/>
          <w:lang w:val="fr-FR"/>
        </w:rPr>
        <w:fldChar w:fldCharType="end"/>
      </w:r>
    </w:p>
  </w:footnote>
  <w:footnote w:id="35">
    <w:p w14:paraId="2DCF2734" w14:textId="6C070C13" w:rsidR="00EE7D80" w:rsidRPr="003620AE" w:rsidRDefault="00EE7D80" w:rsidP="00DF197A">
      <w:pPr>
        <w:pStyle w:val="Notedebasdepage"/>
        <w:jc w:val="both"/>
        <w:rPr>
          <w:rFonts w:cstheme="minorHAnsi"/>
          <w:lang w:val="fr-FR"/>
        </w:rPr>
      </w:pPr>
      <w:r w:rsidRPr="003620AE">
        <w:rPr>
          <w:rStyle w:val="Appelnotedebasdep"/>
          <w:rFonts w:cstheme="minorHAnsi"/>
          <w:lang w:val="fr-FR"/>
        </w:rPr>
        <w:footnoteRef/>
      </w:r>
      <w:r w:rsidRPr="003620AE">
        <w:rPr>
          <w:rFonts w:cstheme="minorHAnsi"/>
          <w:lang w:val="fr-FR"/>
        </w:rPr>
        <w:t xml:space="preserve"> </w:t>
      </w:r>
      <w:r w:rsidRPr="003620AE">
        <w:rPr>
          <w:rFonts w:cstheme="minorHAnsi"/>
          <w:lang w:val="fr-FR"/>
        </w:rPr>
        <w:fldChar w:fldCharType="begin"/>
      </w:r>
      <w:r w:rsidRPr="003620AE">
        <w:rPr>
          <w:rFonts w:cstheme="minorHAnsi"/>
          <w:lang w:val="fr-FR"/>
        </w:rPr>
        <w:instrText xml:space="preserve"> ADDIN ZOTERO_ITEM CSL_CITATION {"citationID":"UJ86xdmh","properties":{"formattedCitation":"Goffman, 103.","plainCitation":"Goffman, 103.","noteIndex":24},"citationItems":[{"id":523,"uris":["http://zotero.org/users/local/c0m081EH/items/PZ8GGRES"],"itemData":{"id":523,"type":"book","collection-number":"1","event-place":"Paris","ISBN":"978-2-7073-0014-0","language":"fre","number-of-pages":"251","publisher":"Ed. de Minuit","publisher-place":"Paris","source":"K10plus ISBN","title":"La mise en scène de la vie quotidienne. La présentation de soi","author":[{"family":"Goffman","given":"Erving"}],"issued":{"date-parts":[["1996"]]}},"locator":"103","label":"page"}],"schema":"https://github.com/citation-style-language/schema/raw/master/csl-citation.json"} </w:instrText>
      </w:r>
      <w:r w:rsidRPr="003620AE">
        <w:rPr>
          <w:rFonts w:cstheme="minorHAnsi"/>
          <w:lang w:val="fr-FR"/>
        </w:rPr>
        <w:fldChar w:fldCharType="separate"/>
      </w:r>
      <w:r w:rsidRPr="003620AE">
        <w:rPr>
          <w:rFonts w:cstheme="minorHAnsi"/>
          <w:noProof/>
          <w:lang w:val="fr-FR"/>
        </w:rPr>
        <w:t xml:space="preserve">Goffman, </w:t>
      </w:r>
      <w:r w:rsidR="007734D2">
        <w:rPr>
          <w:rFonts w:cstheme="minorHAnsi"/>
          <w:noProof/>
          <w:lang w:val="fr-FR"/>
        </w:rPr>
        <w:t xml:space="preserve">p. </w:t>
      </w:r>
      <w:r w:rsidRPr="003620AE">
        <w:rPr>
          <w:rFonts w:cstheme="minorHAnsi"/>
          <w:noProof/>
          <w:lang w:val="fr-FR"/>
        </w:rPr>
        <w:t>1</w:t>
      </w:r>
      <w:r w:rsidR="000C5091" w:rsidRPr="003620AE">
        <w:rPr>
          <w:rFonts w:cstheme="minorHAnsi"/>
          <w:noProof/>
          <w:lang w:val="fr-FR"/>
        </w:rPr>
        <w:t>01</w:t>
      </w:r>
      <w:r w:rsidRPr="003620AE">
        <w:rPr>
          <w:rFonts w:cstheme="minorHAnsi"/>
          <w:noProof/>
          <w:lang w:val="fr-FR"/>
        </w:rPr>
        <w:t>.</w:t>
      </w:r>
      <w:r w:rsidRPr="003620AE">
        <w:rPr>
          <w:rFonts w:cstheme="minorHAnsi"/>
          <w:lang w:val="fr-FR"/>
        </w:rPr>
        <w:fldChar w:fldCharType="end"/>
      </w:r>
    </w:p>
  </w:footnote>
  <w:footnote w:id="36">
    <w:p w14:paraId="47848FF3" w14:textId="2ED6055E" w:rsidR="00EE7D80" w:rsidRPr="003620AE" w:rsidRDefault="00EE7D80" w:rsidP="00DF197A">
      <w:pPr>
        <w:pStyle w:val="Notedebasdepage"/>
        <w:jc w:val="both"/>
        <w:rPr>
          <w:rFonts w:cstheme="minorHAnsi"/>
          <w:lang w:val="fr-FR"/>
        </w:rPr>
      </w:pPr>
      <w:r w:rsidRPr="003620AE">
        <w:rPr>
          <w:rStyle w:val="Appelnotedebasdep"/>
          <w:rFonts w:cstheme="minorHAnsi"/>
          <w:lang w:val="fr-FR"/>
        </w:rPr>
        <w:footnoteRef/>
      </w:r>
      <w:r w:rsidRPr="003620AE">
        <w:rPr>
          <w:rFonts w:cstheme="minorHAnsi"/>
          <w:lang w:val="fr-FR"/>
        </w:rPr>
        <w:t xml:space="preserve"> </w:t>
      </w:r>
      <w:r w:rsidRPr="003620AE">
        <w:rPr>
          <w:rFonts w:cstheme="minorHAnsi"/>
          <w:lang w:val="fr-FR"/>
        </w:rPr>
        <w:fldChar w:fldCharType="begin"/>
      </w:r>
      <w:r w:rsidRPr="003620AE">
        <w:rPr>
          <w:rFonts w:cstheme="minorHAnsi"/>
          <w:lang w:val="fr-FR"/>
        </w:rPr>
        <w:instrText xml:space="preserve"> ADDIN ZOTERO_ITEM CSL_CITATION {"citationID":"N4bYdVjk","properties":{"formattedCitation":"Goffman, 103.","plainCitation":"Goffman, 103.","noteIndex":25},"citationItems":[{"id":523,"uris":["http://zotero.org/users/local/c0m081EH/items/PZ8GGRES"],"itemData":{"id":523,"type":"book","collection-number":"1","event-place":"Paris","ISBN":"978-2-7073-0014-0","language":"fre","number-of-pages":"251","publisher":"Ed. de Minuit","publisher-place":"Paris","source":"K10plus ISBN","title":"La mise en scène de la vie quotidienne. La présentation de soi","author":[{"family":"Goffman","given":"Erving"}],"issued":{"date-parts":[["1996"]]}},"locator":"103","label":"page"}],"schema":"https://github.com/citation-style-language/schema/raw/master/csl-citation.json"} </w:instrText>
      </w:r>
      <w:r w:rsidRPr="003620AE">
        <w:rPr>
          <w:rFonts w:cstheme="minorHAnsi"/>
          <w:lang w:val="fr-FR"/>
        </w:rPr>
        <w:fldChar w:fldCharType="separate"/>
      </w:r>
      <w:r w:rsidRPr="003620AE">
        <w:rPr>
          <w:rFonts w:cstheme="minorHAnsi"/>
          <w:noProof/>
          <w:lang w:val="fr-FR"/>
        </w:rPr>
        <w:t xml:space="preserve">Goffman, </w:t>
      </w:r>
      <w:r w:rsidR="007734D2">
        <w:rPr>
          <w:rFonts w:cstheme="minorHAnsi"/>
          <w:noProof/>
          <w:lang w:val="fr-FR"/>
        </w:rPr>
        <w:t xml:space="preserve">p. </w:t>
      </w:r>
      <w:r w:rsidRPr="003620AE">
        <w:rPr>
          <w:rFonts w:cstheme="minorHAnsi"/>
          <w:noProof/>
          <w:lang w:val="fr-FR"/>
        </w:rPr>
        <w:t>103.</w:t>
      </w:r>
      <w:r w:rsidRPr="003620AE">
        <w:rPr>
          <w:rFonts w:cstheme="minorHAnsi"/>
          <w:lang w:val="fr-FR"/>
        </w:rPr>
        <w:fldChar w:fldCharType="end"/>
      </w:r>
    </w:p>
  </w:footnote>
  <w:footnote w:id="37">
    <w:p w14:paraId="1ECC808A" w14:textId="724DBBF3" w:rsidR="009F344D" w:rsidRPr="003620AE" w:rsidRDefault="009F344D" w:rsidP="00DF197A">
      <w:pPr>
        <w:pStyle w:val="Notedebasdepage"/>
        <w:jc w:val="both"/>
        <w:rPr>
          <w:rFonts w:cstheme="minorHAnsi"/>
          <w:lang w:val="fr-FR"/>
        </w:rPr>
      </w:pPr>
      <w:r w:rsidRPr="003620AE">
        <w:rPr>
          <w:rStyle w:val="Appelnotedebasdep"/>
          <w:rFonts w:cstheme="minorHAnsi"/>
          <w:lang w:val="fr-FR"/>
        </w:rPr>
        <w:footnoteRef/>
      </w:r>
      <w:r w:rsidRPr="003620AE">
        <w:rPr>
          <w:rFonts w:cstheme="minorHAnsi"/>
          <w:lang w:val="fr-FR"/>
        </w:rPr>
        <w:t xml:space="preserve"> « </w:t>
      </w:r>
      <w:r w:rsidR="00A10593" w:rsidRPr="003620AE">
        <w:rPr>
          <w:rFonts w:cstheme="minorHAnsi"/>
          <w:lang w:val="fr-FR"/>
        </w:rPr>
        <w:t>L</w:t>
      </w:r>
      <w:r w:rsidRPr="003620AE">
        <w:rPr>
          <w:rFonts w:cstheme="minorHAnsi"/>
          <w:lang w:val="fr-FR"/>
        </w:rPr>
        <w:t>es activités par lesquelles les membres organisent et gèrent les situations de leur vie courante sont identiques aux procédures utilisées pour rendre ces situations “descriptibles” (</w:t>
      </w:r>
      <w:proofErr w:type="spellStart"/>
      <w:r w:rsidRPr="003620AE">
        <w:rPr>
          <w:rFonts w:cstheme="minorHAnsi"/>
          <w:i/>
          <w:iCs/>
          <w:lang w:val="fr-FR"/>
        </w:rPr>
        <w:t>accoutable</w:t>
      </w:r>
      <w:proofErr w:type="spellEnd"/>
      <w:r w:rsidRPr="003620AE">
        <w:rPr>
          <w:rFonts w:cstheme="minorHAnsi"/>
          <w:lang w:val="fr-FR"/>
        </w:rPr>
        <w:t xml:space="preserve">) » </w:t>
      </w:r>
      <w:r w:rsidR="0036138D" w:rsidRPr="003620AE">
        <w:rPr>
          <w:rFonts w:cstheme="minorHAnsi"/>
          <w:lang w:val="fr-FR"/>
        </w:rPr>
        <w:fldChar w:fldCharType="begin"/>
      </w:r>
      <w:r w:rsidR="00EE7D80" w:rsidRPr="003620AE">
        <w:rPr>
          <w:rFonts w:cstheme="minorHAnsi"/>
          <w:lang w:val="fr-FR"/>
        </w:rPr>
        <w:instrText xml:space="preserve"> ADDIN ZOTERO_ITEM CSL_CITATION {"citationID":"sdRZEkLr","properties":{"formattedCitation":"Harold Garfinkel, {\\i{}Recherches en ethnom\\uc0\\u233{}thodologie} (Paris: Presses universitaires de France, 2007), 51.","plainCitation":"Harold Garfinkel, Recherches en ethnométhodologie (Paris: Presses universitaires de France, 2007), 51.","noteIndex":26},"citationItems":[{"id":511,"uris":["http://zotero.org/users/local/c0m081EH/items/KSK2L96Q"],"itemData":{"id":511,"type":"book","call-number":"301","event-place":"Paris","ISBN":"978-2-13-056150-7","language":"fre","publisher":"Presses universitaires de France","publisher-place":"Paris","source":"BnF ISBN","title":"Recherches en ethnométhodologie","author":[{"family":"Garfinkel","given":"Harold"}],"issued":{"date-parts":[["2007"]]}},"locator":"51","label":"page"}],"schema":"https://github.com/citation-style-language/schema/raw/master/csl-citation.json"} </w:instrText>
      </w:r>
      <w:r w:rsidR="0036138D" w:rsidRPr="003620AE">
        <w:rPr>
          <w:rFonts w:cstheme="minorHAnsi"/>
          <w:lang w:val="fr-FR"/>
        </w:rPr>
        <w:fldChar w:fldCharType="separate"/>
      </w:r>
      <w:r w:rsidR="00433AB0" w:rsidRPr="003620AE">
        <w:rPr>
          <w:rFonts w:cstheme="minorHAnsi"/>
          <w:lang w:val="fr-FR"/>
        </w:rPr>
        <w:t xml:space="preserve">Harold Garfinkel, </w:t>
      </w:r>
      <w:r w:rsidR="00433AB0" w:rsidRPr="003620AE">
        <w:rPr>
          <w:rFonts w:cstheme="minorHAnsi"/>
          <w:i/>
          <w:iCs/>
          <w:lang w:val="fr-FR"/>
        </w:rPr>
        <w:t>Recherches en ethnométhodologie</w:t>
      </w:r>
      <w:r w:rsidR="00433AB0" w:rsidRPr="003620AE">
        <w:rPr>
          <w:rFonts w:cstheme="minorHAnsi"/>
          <w:lang w:val="fr-FR"/>
        </w:rPr>
        <w:t xml:space="preserve">, </w:t>
      </w:r>
      <w:r w:rsidR="007734D2">
        <w:rPr>
          <w:rFonts w:cstheme="minorHAnsi"/>
          <w:lang w:val="fr-FR"/>
        </w:rPr>
        <w:t xml:space="preserve">p. </w:t>
      </w:r>
      <w:r w:rsidR="00433AB0" w:rsidRPr="003620AE">
        <w:rPr>
          <w:rFonts w:cstheme="minorHAnsi"/>
          <w:lang w:val="fr-FR"/>
        </w:rPr>
        <w:t>51.</w:t>
      </w:r>
      <w:r w:rsidR="0036138D" w:rsidRPr="003620AE">
        <w:rPr>
          <w:rFonts w:cstheme="minorHAnsi"/>
          <w:lang w:val="fr-FR"/>
        </w:rPr>
        <w:fldChar w:fldCharType="end"/>
      </w:r>
    </w:p>
  </w:footnote>
  <w:footnote w:id="38">
    <w:p w14:paraId="266BEE6C" w14:textId="5B95EF59" w:rsidR="009F344D" w:rsidRPr="003620AE" w:rsidRDefault="009F344D" w:rsidP="00DF197A">
      <w:pPr>
        <w:pStyle w:val="Notedebasdepage"/>
        <w:jc w:val="both"/>
        <w:rPr>
          <w:rFonts w:cstheme="minorHAnsi"/>
          <w:lang w:val="fr-FR"/>
        </w:rPr>
      </w:pPr>
      <w:r w:rsidRPr="003620AE">
        <w:rPr>
          <w:rStyle w:val="Appelnotedebasdep"/>
          <w:rFonts w:cstheme="minorHAnsi"/>
          <w:lang w:val="fr-FR"/>
        </w:rPr>
        <w:footnoteRef/>
      </w:r>
      <w:r w:rsidRPr="003620AE">
        <w:rPr>
          <w:rFonts w:cstheme="minorHAnsi"/>
          <w:lang w:val="fr-FR"/>
        </w:rPr>
        <w:t xml:space="preserve"> « A partir du moment où nous comprenons ce qui se passe, nous y conformons nos actions et nous pouvons constater en général que le cours des choses confirme cette conformité. </w:t>
      </w:r>
      <w:r w:rsidR="00A10593" w:rsidRPr="003620AE">
        <w:rPr>
          <w:rFonts w:cstheme="minorHAnsi"/>
          <w:lang w:val="fr-FR"/>
        </w:rPr>
        <w:t>C</w:t>
      </w:r>
      <w:r w:rsidRPr="003620AE">
        <w:rPr>
          <w:rFonts w:cstheme="minorHAnsi"/>
          <w:lang w:val="fr-FR"/>
        </w:rPr>
        <w:t xml:space="preserve">e sont ces prémices organisationnelles </w:t>
      </w:r>
      <w:r w:rsidRPr="003620AE">
        <w:rPr>
          <w:rFonts w:cstheme="minorHAnsi"/>
          <w:lang w:val="fr-FR"/>
        </w:rPr>
        <w:softHyphen/>
        <w:t xml:space="preserve">— que nous confirmons en même temps mentalement et par notre activité — que j'appelle le cadre de l'activité » </w:t>
      </w:r>
      <w:r w:rsidRPr="003620AE">
        <w:rPr>
          <w:rFonts w:cstheme="minorHAnsi"/>
          <w:lang w:val="fr-FR"/>
        </w:rPr>
        <w:fldChar w:fldCharType="begin"/>
      </w:r>
      <w:r w:rsidR="00D02703" w:rsidRPr="003620AE">
        <w:rPr>
          <w:rFonts w:cstheme="minorHAnsi"/>
          <w:lang w:val="fr-FR"/>
        </w:rPr>
        <w:instrText xml:space="preserve"> ADDIN ZOTERO_ITEM CSL_CITATION {"citationID":"o0xLMnKp","properties":{"formattedCitation":"Goffman, {\\i{}Les cadres de l\\uc0\\u8217{}exp\\uc0\\u233{}rience}, 242.","plainCitation":"Goffman, Les cadres de l’expérience, 242.","noteIndex":22},"citationItems":[{"id":524,"uris":["http://zotero.org/users/local/c0m081EH/items/KW9GU972"],"itemData":{"id":524,"type":"book","event-place":"Paris","ISBN":"978-2-7073-1372-0","language":"fre","number-of-pages":"573","publisher":"Ed. de Minuit","publisher-place":"Paris","source":"K10plus ISBN","title":"Les cadres de l'expérience","author":[{"family":"Goffman","given":"Erving"}],"issued":{"date-parts":[["2009"]]}},"locator":"242","label":"page"}],"schema":"https://github.com/citation-style-language/schema/raw/master/csl-citation.json"} </w:instrText>
      </w:r>
      <w:r w:rsidRPr="003620AE">
        <w:rPr>
          <w:rFonts w:cstheme="minorHAnsi"/>
          <w:lang w:val="fr-FR"/>
        </w:rPr>
        <w:fldChar w:fldCharType="separate"/>
      </w:r>
      <w:r w:rsidR="00433AB0" w:rsidRPr="003620AE">
        <w:rPr>
          <w:rFonts w:cstheme="minorHAnsi"/>
          <w:lang w:val="fr-FR"/>
        </w:rPr>
        <w:t xml:space="preserve">Goffman, </w:t>
      </w:r>
      <w:r w:rsidR="00433AB0" w:rsidRPr="003620AE">
        <w:rPr>
          <w:rFonts w:cstheme="minorHAnsi"/>
          <w:i/>
          <w:iCs/>
          <w:lang w:val="fr-FR"/>
        </w:rPr>
        <w:t>Les cadres de l’expérience</w:t>
      </w:r>
      <w:r w:rsidR="00433AB0" w:rsidRPr="003620AE">
        <w:rPr>
          <w:rFonts w:cstheme="minorHAnsi"/>
          <w:lang w:val="fr-FR"/>
        </w:rPr>
        <w:t xml:space="preserve">, </w:t>
      </w:r>
      <w:r w:rsidR="007734D2">
        <w:rPr>
          <w:rFonts w:cstheme="minorHAnsi"/>
          <w:lang w:val="fr-FR"/>
        </w:rPr>
        <w:t xml:space="preserve">p. </w:t>
      </w:r>
      <w:r w:rsidR="00433AB0" w:rsidRPr="003620AE">
        <w:rPr>
          <w:rFonts w:cstheme="minorHAnsi"/>
          <w:lang w:val="fr-FR"/>
        </w:rPr>
        <w:t>242.</w:t>
      </w:r>
      <w:r w:rsidRPr="003620AE">
        <w:rPr>
          <w:rFonts w:cstheme="minorHAnsi"/>
          <w:lang w:val="fr-FR"/>
        </w:rPr>
        <w:fldChar w:fldCharType="end"/>
      </w:r>
    </w:p>
  </w:footnote>
  <w:footnote w:id="39">
    <w:p w14:paraId="79F855CE" w14:textId="03336245" w:rsidR="00B87759" w:rsidRPr="003620AE" w:rsidRDefault="00B87759">
      <w:pPr>
        <w:pStyle w:val="Notedebasdepage"/>
        <w:rPr>
          <w:lang w:val="fr-FR"/>
        </w:rPr>
      </w:pPr>
      <w:r w:rsidRPr="003620AE">
        <w:rPr>
          <w:rStyle w:val="Appelnotedebasdep"/>
          <w:lang w:val="fr-FR"/>
        </w:rPr>
        <w:footnoteRef/>
      </w:r>
      <w:r w:rsidRPr="003620AE">
        <w:rPr>
          <w:lang w:val="fr-FR"/>
        </w:rPr>
        <w:t xml:space="preserve"> </w:t>
      </w:r>
      <w:r w:rsidRPr="003620AE">
        <w:rPr>
          <w:rFonts w:cstheme="minorHAnsi"/>
          <w:lang w:val="fr-FR"/>
        </w:rPr>
        <w:fldChar w:fldCharType="begin"/>
      </w:r>
      <w:r w:rsidRPr="003620AE">
        <w:rPr>
          <w:rFonts w:cstheme="minorHAnsi"/>
          <w:lang w:val="fr-FR"/>
        </w:rPr>
        <w:instrText xml:space="preserve"> ADDIN ZOTERO_ITEM CSL_CITATION {"citationID":"HmeFaPzn","properties":{"formattedCitation":"Ludwig Wittgenstein, {\\i{}Recherches philosophiques} (Paris: Gallimard, 2014).","plainCitation":"Ludwig Wittgenstein, Recherches philosophiques (Paris: Gallimard, 2014).","noteIndex":42},"citationItems":[{"id":518,"uris":["http://zotero.org/users/local/c0m081EH/items/JFJMYVVJ"],"itemData":{"id":518,"type":"book","call-number":"193","event-place":"Paris","ISBN":"978-2-07-014147-0","language":"fre","publisher":"Gallimard","publisher-place":"Paris","source":"BnF ISBN","title":"Recherches philosophiques","author":[{"family":"Wittgenstein","given":"Ludwig"}],"issued":{"date-parts":[["2014"]]}}}],"schema":"https://github.com/citation-style-language/schema/raw/master/csl-citation.json"} </w:instrText>
      </w:r>
      <w:r w:rsidRPr="003620AE">
        <w:rPr>
          <w:rFonts w:cstheme="minorHAnsi"/>
          <w:lang w:val="fr-FR"/>
        </w:rPr>
        <w:fldChar w:fldCharType="separate"/>
      </w:r>
      <w:r w:rsidRPr="003620AE">
        <w:rPr>
          <w:rFonts w:cstheme="minorHAnsi"/>
          <w:lang w:val="fr-FR"/>
        </w:rPr>
        <w:t xml:space="preserve">Ludwig Wittgenstein, </w:t>
      </w:r>
      <w:r w:rsidRPr="003620AE">
        <w:rPr>
          <w:rFonts w:cstheme="minorHAnsi"/>
          <w:i/>
          <w:iCs/>
          <w:lang w:val="fr-FR"/>
        </w:rPr>
        <w:t>Recherches philosophiques</w:t>
      </w:r>
      <w:r w:rsidRPr="003620AE">
        <w:rPr>
          <w:rFonts w:cstheme="minorHAnsi"/>
          <w:lang w:val="fr-FR"/>
        </w:rPr>
        <w:t>, Paris</w:t>
      </w:r>
      <w:r w:rsidR="007734D2">
        <w:rPr>
          <w:rFonts w:cstheme="minorHAnsi"/>
          <w:lang w:val="fr-FR"/>
        </w:rPr>
        <w:t xml:space="preserve">, </w:t>
      </w:r>
      <w:r w:rsidRPr="003620AE">
        <w:rPr>
          <w:rFonts w:cstheme="minorHAnsi"/>
          <w:lang w:val="fr-FR"/>
        </w:rPr>
        <w:t>Gallimard, 2014.</w:t>
      </w:r>
      <w:r w:rsidRPr="003620AE">
        <w:rPr>
          <w:rFonts w:cstheme="minorHAnsi"/>
          <w:lang w:val="fr-FR"/>
        </w:rPr>
        <w:fldChar w:fldCharType="end"/>
      </w:r>
    </w:p>
  </w:footnote>
  <w:footnote w:id="40">
    <w:p w14:paraId="5F4452BF" w14:textId="4DCC2205" w:rsidR="00EE7D80" w:rsidRPr="003620AE" w:rsidRDefault="00EE7D80" w:rsidP="00DF197A">
      <w:pPr>
        <w:pStyle w:val="Notedebasdepage"/>
        <w:jc w:val="both"/>
        <w:rPr>
          <w:rFonts w:cstheme="minorHAnsi"/>
          <w:lang w:val="fr-FR"/>
        </w:rPr>
      </w:pPr>
      <w:r w:rsidRPr="003620AE">
        <w:rPr>
          <w:rStyle w:val="Appelnotedebasdep"/>
          <w:rFonts w:cstheme="minorHAnsi"/>
          <w:lang w:val="fr-FR"/>
        </w:rPr>
        <w:footnoteRef/>
      </w:r>
      <w:r w:rsidRPr="003620AE">
        <w:rPr>
          <w:rFonts w:cstheme="minorHAnsi"/>
          <w:lang w:val="fr-FR"/>
        </w:rPr>
        <w:t xml:space="preserve"> </w:t>
      </w:r>
      <w:r w:rsidRPr="003620AE">
        <w:rPr>
          <w:rFonts w:cstheme="minorHAnsi"/>
          <w:lang w:val="fr-FR"/>
        </w:rPr>
        <w:fldChar w:fldCharType="begin"/>
      </w:r>
      <w:r w:rsidRPr="003620AE">
        <w:rPr>
          <w:rFonts w:cstheme="minorHAnsi"/>
          <w:lang w:val="fr-FR"/>
        </w:rPr>
        <w:instrText xml:space="preserve"> ADDIN ZOTERO_ITEM CSL_CITATION {"citationID":"Ngh7YuDb","properties":{"formattedCitation":"Garfinkel, {\\i{}Recherches en ethnom\\uc0\\u233{}thodologie}.","plainCitation":"Garfinkel, Recherches en ethnométhodologie.","noteIndex":29},"citationItems":[{"id":511,"uris":["http://zotero.org/users/local/c0m081EH/items/KSK2L96Q"],"itemData":{"id":511,"type":"book","call-number":"301","event-place":"Paris","ISBN":"978-2-13-056150-7","language":"fre","publisher":"Presses universitaires de France","publisher-place":"Paris","source":"BnF ISBN","title":"Recherches en ethnométhodologie","author":[{"family":"Garfinkel","given":"Harold"}],"issued":{"date-parts":[["2007"]]}}}],"schema":"https://github.com/citation-style-language/schema/raw/master/csl-citation.json"} </w:instrText>
      </w:r>
      <w:r w:rsidRPr="003620AE">
        <w:rPr>
          <w:rFonts w:cstheme="minorHAnsi"/>
          <w:lang w:val="fr-FR"/>
        </w:rPr>
        <w:fldChar w:fldCharType="separate"/>
      </w:r>
      <w:r w:rsidRPr="003620AE">
        <w:rPr>
          <w:rFonts w:cstheme="minorHAnsi"/>
          <w:lang w:val="fr-FR"/>
        </w:rPr>
        <w:t xml:space="preserve">Garfinkel, </w:t>
      </w:r>
      <w:r w:rsidRPr="003620AE">
        <w:rPr>
          <w:rFonts w:cstheme="minorHAnsi"/>
          <w:i/>
          <w:iCs/>
          <w:lang w:val="fr-FR"/>
        </w:rPr>
        <w:t>Recherches en ethnométhodologie</w:t>
      </w:r>
      <w:r w:rsidRPr="003620AE">
        <w:rPr>
          <w:rFonts w:cstheme="minorHAnsi"/>
          <w:lang w:val="fr-FR"/>
        </w:rPr>
        <w:t>.</w:t>
      </w:r>
      <w:r w:rsidRPr="003620AE">
        <w:rPr>
          <w:rFonts w:cstheme="minorHAnsi"/>
          <w:lang w:val="fr-FR"/>
        </w:rPr>
        <w:fldChar w:fldCharType="end"/>
      </w:r>
    </w:p>
  </w:footnote>
  <w:footnote w:id="41">
    <w:p w14:paraId="1334A155" w14:textId="4C05B51E" w:rsidR="00433AB0" w:rsidRPr="003620AE" w:rsidRDefault="00433AB0" w:rsidP="00DF197A">
      <w:pPr>
        <w:pStyle w:val="Notedebasdepage"/>
        <w:jc w:val="both"/>
        <w:rPr>
          <w:rFonts w:cstheme="minorHAnsi"/>
          <w:lang w:val="fr-FR"/>
        </w:rPr>
      </w:pPr>
      <w:r w:rsidRPr="003620AE">
        <w:rPr>
          <w:rStyle w:val="Appelnotedebasdep"/>
          <w:rFonts w:cstheme="minorHAnsi"/>
          <w:lang w:val="fr-FR"/>
        </w:rPr>
        <w:footnoteRef/>
      </w:r>
      <w:r w:rsidRPr="003620AE">
        <w:rPr>
          <w:rFonts w:cstheme="minorHAnsi"/>
          <w:lang w:val="fr-FR"/>
        </w:rPr>
        <w:t xml:space="preserve"> </w:t>
      </w:r>
      <w:r w:rsidRPr="003620AE">
        <w:rPr>
          <w:rFonts w:cstheme="minorHAnsi"/>
          <w:lang w:val="fr-FR"/>
        </w:rPr>
        <w:fldChar w:fldCharType="begin"/>
      </w:r>
      <w:r w:rsidR="00794C27" w:rsidRPr="003620AE">
        <w:rPr>
          <w:rFonts w:cstheme="minorHAnsi"/>
          <w:lang w:val="fr-FR"/>
        </w:rPr>
        <w:instrText xml:space="preserve"> ADDIN ZOTERO_ITEM CSL_CITATION {"citationID":"Hhm8Ussn","properties":{"formattedCitation":"Philippe Amiel, {\\i{}Ethnom\\uc0\\u233{}thodologie appliqu\\uc0\\u233{}e \\uc0\\u201{}l\\uc0\\u233{}ments de sociologie prax\\uc0\\u233{}ologique} (Paris: Les presses du Lema, 2010), 44.","plainCitation":"Philippe Amiel, Ethnométhodologie appliquée Éléments de sociologie praxéologique (Paris: Les presses du Lema, 2010), 44.","noteIndex":21},"citationItems":[{"id":466,"uris":["http://zotero.org/users/local/c0m081EH/items/3JY98785"],"itemData":{"id":466,"type":"book","event-place":"Paris","ISBN":"978-2-9534622-0-3","language":"fre","note":"OCLC: 949185344","publisher":"Les presses du Lema","publisher-place":"Paris","source":"Open WorldCat","title":"Ethnométhodologie appliquée Éléments de sociologie praxéologique","author":[{"family":"Amiel","given":"Philippe"}],"issued":{"date-parts":[["2010"]]}},"locator":"44","label":"page"}],"schema":"https://github.com/citation-style-language/schema/raw/master/csl-citation.json"} </w:instrText>
      </w:r>
      <w:r w:rsidRPr="003620AE">
        <w:rPr>
          <w:rFonts w:cstheme="minorHAnsi"/>
          <w:lang w:val="fr-FR"/>
        </w:rPr>
        <w:fldChar w:fldCharType="separate"/>
      </w:r>
      <w:r w:rsidRPr="003620AE">
        <w:rPr>
          <w:rFonts w:cstheme="minorHAnsi"/>
          <w:lang w:val="fr-FR"/>
        </w:rPr>
        <w:t xml:space="preserve">Philippe Amiel, </w:t>
      </w:r>
      <w:r w:rsidRPr="003620AE">
        <w:rPr>
          <w:rFonts w:cstheme="minorHAnsi"/>
          <w:i/>
          <w:iCs/>
          <w:lang w:val="fr-FR"/>
        </w:rPr>
        <w:t>Ethnométhodologie appliquée Éléments de sociologie praxéologique</w:t>
      </w:r>
      <w:r w:rsidR="0081515A" w:rsidRPr="003620AE">
        <w:rPr>
          <w:rFonts w:cstheme="minorHAnsi"/>
          <w:lang w:val="fr-FR"/>
        </w:rPr>
        <w:t xml:space="preserve">, </w:t>
      </w:r>
      <w:r w:rsidRPr="003620AE">
        <w:rPr>
          <w:rFonts w:cstheme="minorHAnsi"/>
          <w:lang w:val="fr-FR"/>
        </w:rPr>
        <w:t>Paris</w:t>
      </w:r>
      <w:r w:rsidR="007734D2">
        <w:rPr>
          <w:rFonts w:cstheme="minorHAnsi"/>
          <w:lang w:val="fr-FR"/>
        </w:rPr>
        <w:t xml:space="preserve">, </w:t>
      </w:r>
      <w:r w:rsidRPr="003620AE">
        <w:rPr>
          <w:rFonts w:cstheme="minorHAnsi"/>
          <w:lang w:val="fr-FR"/>
        </w:rPr>
        <w:t xml:space="preserve">Les presses du </w:t>
      </w:r>
      <w:proofErr w:type="spellStart"/>
      <w:r w:rsidRPr="003620AE">
        <w:rPr>
          <w:rFonts w:cstheme="minorHAnsi"/>
          <w:lang w:val="fr-FR"/>
        </w:rPr>
        <w:t>Lema</w:t>
      </w:r>
      <w:proofErr w:type="spellEnd"/>
      <w:r w:rsidRPr="003620AE">
        <w:rPr>
          <w:rFonts w:cstheme="minorHAnsi"/>
          <w:lang w:val="fr-FR"/>
        </w:rPr>
        <w:t xml:space="preserve">, 2010, </w:t>
      </w:r>
      <w:r w:rsidR="007734D2">
        <w:rPr>
          <w:rFonts w:cstheme="minorHAnsi"/>
          <w:lang w:val="fr-FR"/>
        </w:rPr>
        <w:t xml:space="preserve">p. </w:t>
      </w:r>
      <w:r w:rsidRPr="003620AE">
        <w:rPr>
          <w:rFonts w:cstheme="minorHAnsi"/>
          <w:lang w:val="fr-FR"/>
        </w:rPr>
        <w:t>44.</w:t>
      </w:r>
      <w:r w:rsidRPr="003620AE">
        <w:rPr>
          <w:rFonts w:cstheme="minorHAnsi"/>
          <w:lang w:val="fr-FR"/>
        </w:rPr>
        <w:fldChar w:fldCharType="end"/>
      </w:r>
    </w:p>
  </w:footnote>
  <w:footnote w:id="42">
    <w:p w14:paraId="078332FC" w14:textId="05F7EC8B" w:rsidR="00433AB0" w:rsidRPr="003620AE" w:rsidRDefault="00433AB0" w:rsidP="00DF197A">
      <w:pPr>
        <w:pStyle w:val="Notedebasdepage"/>
        <w:jc w:val="both"/>
        <w:rPr>
          <w:rFonts w:cstheme="minorHAnsi"/>
          <w:lang w:val="fr-FR"/>
        </w:rPr>
      </w:pPr>
      <w:r w:rsidRPr="003620AE">
        <w:rPr>
          <w:rStyle w:val="Appelnotedebasdep"/>
          <w:rFonts w:cstheme="minorHAnsi"/>
          <w:lang w:val="fr-FR"/>
        </w:rPr>
        <w:footnoteRef/>
      </w:r>
      <w:r w:rsidRPr="003620AE">
        <w:rPr>
          <w:rFonts w:cstheme="minorHAnsi"/>
          <w:lang w:val="fr-FR"/>
        </w:rPr>
        <w:t xml:space="preserve"> </w:t>
      </w:r>
      <w:r w:rsidRPr="003620AE">
        <w:rPr>
          <w:rFonts w:cstheme="minorHAnsi"/>
          <w:lang w:val="fr-FR"/>
        </w:rPr>
        <w:fldChar w:fldCharType="begin"/>
      </w:r>
      <w:r w:rsidR="00794C27" w:rsidRPr="003620AE">
        <w:rPr>
          <w:rFonts w:cstheme="minorHAnsi"/>
          <w:lang w:val="fr-FR"/>
        </w:rPr>
        <w:instrText xml:space="preserve"> ADDIN ZOTERO_ITEM CSL_CITATION {"citationID":"HeRRBaP6","properties":{"formattedCitation":"John C. Heritage, \\uc0\\u171{}\\uc0\\u160{}L\\uc0\\u8217{}ethnom\\uc0\\u233{}thodologie\\uc0\\u8239{}: une approche proc\\uc0\\u233{}durale de l\\uc0\\u8217{}action et de la communication\\uc0\\u160{}\\uc0\\u187{}, trad. par Mich\\uc0\\u232{}le Albaret et Louis Qu\\uc0\\u233{}r\\uc0\\u233{}, {\\i{}R\\uc0\\u233{}seaux} 9, n\\super o\\nosupersub{} 50 (1991): 89\\uc0\\u8209{}130, https://doi.org/10.3406/reso.1991.1900.","plainCitation":"John C. Heritage, « L’ethnométhodologie : une approche procédurale de l’action et de la communication », trad. par Michèle Albaret et Louis Quéré, Réseaux 9, no 50 (1991): 89</w:instrText>
      </w:r>
      <w:r w:rsidR="00794C27" w:rsidRPr="003620AE">
        <w:rPr>
          <w:rFonts w:ascii="Cambria Math" w:hAnsi="Cambria Math" w:cs="Cambria Math"/>
          <w:lang w:val="fr-FR"/>
        </w:rPr>
        <w:instrText>‑</w:instrText>
      </w:r>
      <w:r w:rsidR="00794C27" w:rsidRPr="003620AE">
        <w:rPr>
          <w:rFonts w:cstheme="minorHAnsi"/>
          <w:lang w:val="fr-FR"/>
        </w:rPr>
        <w:instrText xml:space="preserve">130, https://doi.org/10.3406/reso.1991.1900.","noteIndex":22},"citationItems":[{"id":500,"uris":["http://zotero.org/users/local/c0m081EH/items/N38XT625"],"itemData":{"id":500,"type":"article-journal","abstract":"In presenting Garfinkel' s work never translated into French, John Heritage, presents the reception of this new approach of sociological analyses in the heart of the community of specialits in the seventies. It then attaches to the double description of the genesis and the content of Garfinkels work.","container-title":"Réseaux","DOI":"10.3406/reso.1991.1900","ISSN":"0751-7971","issue":"50","journalAbbreviation":"reso","language":"fr","page":"89-130","source":"DOI.org (Crossref)","title":"L'ethnométhodologie : une approche procédurale de l'action et de la communication","title-short":"L'ethnométhodologie","volume":"9","author":[{"family":"Heritage","given":"John C."}],"translator":[{"family":"Albaret","given":"Michèle"},{"family":"Quéré","given":"Louis"}],"issued":{"date-parts":[["1991"]]}}}],"schema":"https://github.com/citation-style-language/schema/raw/master/csl-citation.json"} </w:instrText>
      </w:r>
      <w:r w:rsidRPr="003620AE">
        <w:rPr>
          <w:rFonts w:cstheme="minorHAnsi"/>
          <w:lang w:val="fr-FR"/>
        </w:rPr>
        <w:fldChar w:fldCharType="separate"/>
      </w:r>
      <w:r w:rsidRPr="003620AE">
        <w:rPr>
          <w:rFonts w:cstheme="minorHAnsi"/>
          <w:lang w:val="fr-FR"/>
        </w:rPr>
        <w:t xml:space="preserve">John C. </w:t>
      </w:r>
      <w:proofErr w:type="spellStart"/>
      <w:r w:rsidRPr="003620AE">
        <w:rPr>
          <w:rFonts w:cstheme="minorHAnsi"/>
          <w:lang w:val="fr-FR"/>
        </w:rPr>
        <w:t>Heritage</w:t>
      </w:r>
      <w:proofErr w:type="spellEnd"/>
      <w:r w:rsidRPr="003620AE">
        <w:rPr>
          <w:rFonts w:cstheme="minorHAnsi"/>
          <w:lang w:val="fr-FR"/>
        </w:rPr>
        <w:t xml:space="preserve">, « L’ethnométhodologie : une approche procédurale de l’action et de la communication », trad. par Michèle </w:t>
      </w:r>
      <w:proofErr w:type="spellStart"/>
      <w:r w:rsidRPr="003620AE">
        <w:rPr>
          <w:rFonts w:cstheme="minorHAnsi"/>
          <w:lang w:val="fr-FR"/>
        </w:rPr>
        <w:t>Albaret</w:t>
      </w:r>
      <w:proofErr w:type="spellEnd"/>
      <w:r w:rsidRPr="003620AE">
        <w:rPr>
          <w:rFonts w:cstheme="minorHAnsi"/>
          <w:lang w:val="fr-FR"/>
        </w:rPr>
        <w:t xml:space="preserve"> et Louis </w:t>
      </w:r>
      <w:proofErr w:type="spellStart"/>
      <w:r w:rsidRPr="003620AE">
        <w:rPr>
          <w:rFonts w:cstheme="minorHAnsi"/>
          <w:lang w:val="fr-FR"/>
        </w:rPr>
        <w:t>Quéré</w:t>
      </w:r>
      <w:proofErr w:type="spellEnd"/>
      <w:r w:rsidRPr="003620AE">
        <w:rPr>
          <w:rFonts w:cstheme="minorHAnsi"/>
          <w:lang w:val="fr-FR"/>
        </w:rPr>
        <w:t xml:space="preserve">, </w:t>
      </w:r>
      <w:r w:rsidRPr="003620AE">
        <w:rPr>
          <w:rFonts w:cstheme="minorHAnsi"/>
          <w:i/>
          <w:iCs/>
          <w:lang w:val="fr-FR"/>
        </w:rPr>
        <w:t>Réseaux</w:t>
      </w:r>
      <w:r w:rsidRPr="003620AE">
        <w:rPr>
          <w:rFonts w:cstheme="minorHAnsi"/>
          <w:lang w:val="fr-FR"/>
        </w:rPr>
        <w:t xml:space="preserve"> 9</w:t>
      </w:r>
      <w:r w:rsidR="007734D2">
        <w:rPr>
          <w:rFonts w:cstheme="minorHAnsi"/>
          <w:lang w:val="fr-FR"/>
        </w:rPr>
        <w:t>[</w:t>
      </w:r>
      <w:r w:rsidRPr="003620AE">
        <w:rPr>
          <w:rFonts w:cstheme="minorHAnsi"/>
          <w:lang w:val="fr-FR"/>
        </w:rPr>
        <w:t>50</w:t>
      </w:r>
      <w:r w:rsidR="007734D2">
        <w:rPr>
          <w:rFonts w:cstheme="minorHAnsi"/>
          <w:lang w:val="fr-FR"/>
        </w:rPr>
        <w:t>]</w:t>
      </w:r>
      <w:r w:rsidR="0081515A" w:rsidRPr="003620AE">
        <w:rPr>
          <w:rFonts w:cstheme="minorHAnsi"/>
          <w:lang w:val="fr-FR"/>
        </w:rPr>
        <w:t xml:space="preserve">, </w:t>
      </w:r>
      <w:r w:rsidRPr="003620AE">
        <w:rPr>
          <w:rFonts w:cstheme="minorHAnsi"/>
          <w:lang w:val="fr-FR"/>
        </w:rPr>
        <w:t>1991.</w:t>
      </w:r>
      <w:r w:rsidRPr="003620AE">
        <w:rPr>
          <w:rFonts w:cstheme="minorHAnsi"/>
          <w:lang w:val="fr-FR"/>
        </w:rPr>
        <w:fldChar w:fldCharType="end"/>
      </w:r>
    </w:p>
  </w:footnote>
  <w:footnote w:id="43">
    <w:p w14:paraId="4FC2CD44" w14:textId="7AE22DC7" w:rsidR="00433AB0" w:rsidRPr="003620AE" w:rsidRDefault="00433AB0" w:rsidP="00DF197A">
      <w:pPr>
        <w:pStyle w:val="Notedebasdepage"/>
        <w:jc w:val="both"/>
        <w:rPr>
          <w:rFonts w:cstheme="minorHAnsi"/>
          <w:lang w:val="fr-FR"/>
        </w:rPr>
      </w:pPr>
      <w:r w:rsidRPr="003620AE">
        <w:rPr>
          <w:rStyle w:val="Appelnotedebasdep"/>
          <w:rFonts w:cstheme="minorHAnsi"/>
          <w:lang w:val="fr-FR"/>
        </w:rPr>
        <w:footnoteRef/>
      </w:r>
      <w:r w:rsidRPr="003620AE">
        <w:rPr>
          <w:rFonts w:cstheme="minorHAnsi"/>
          <w:lang w:val="fr-FR"/>
        </w:rPr>
        <w:t xml:space="preserve"> </w:t>
      </w:r>
      <w:r w:rsidRPr="003620AE">
        <w:rPr>
          <w:rFonts w:cstheme="minorHAnsi"/>
          <w:lang w:val="fr-FR"/>
        </w:rPr>
        <w:fldChar w:fldCharType="begin"/>
      </w:r>
      <w:r w:rsidR="00794C27" w:rsidRPr="003620AE">
        <w:rPr>
          <w:rFonts w:cstheme="minorHAnsi"/>
          <w:lang w:val="fr-FR"/>
        </w:rPr>
        <w:instrText xml:space="preserve"> ADDIN ZOTERO_ITEM CSL_CITATION {"citationID":"vHkLEzvo","properties":{"formattedCitation":"Coulon, {\\i{}Ethnom\\uc0\\u233{}thodologie et \\uc0\\u233{}ducation}, 17.","plainCitation":"Coulon, Ethnométhodologie et éducation, 17.","noteIndex":25},"citationItems":[{"id":266,"uris":["http://zotero.org/users/local/c0m081EH/items/9LFHCFMQ"],"itemData":{"id":266,"type":"book","event-place":"Paris","language":"fr","publisher":"Presses universitaires de France","publisher-place":"Paris","source":"Zotero","title":"Ethnométhodologie et éducation","author":[{"family":"Coulon","given":"Alain"}],"issued":{"date-parts":[["1993"]]}},"locator":"17","label":"page"}],"schema":"https://github.com/citation-style-language/schema/raw/master/csl-citation.json"} </w:instrText>
      </w:r>
      <w:r w:rsidRPr="003620AE">
        <w:rPr>
          <w:rFonts w:cstheme="minorHAnsi"/>
          <w:lang w:val="fr-FR"/>
        </w:rPr>
        <w:fldChar w:fldCharType="separate"/>
      </w:r>
      <w:r w:rsidRPr="003620AE">
        <w:rPr>
          <w:rFonts w:cstheme="minorHAnsi"/>
          <w:lang w:val="fr-FR"/>
        </w:rPr>
        <w:t xml:space="preserve">Coulon, </w:t>
      </w:r>
      <w:r w:rsidRPr="003620AE">
        <w:rPr>
          <w:rFonts w:cstheme="minorHAnsi"/>
          <w:i/>
          <w:iCs/>
          <w:lang w:val="fr-FR"/>
        </w:rPr>
        <w:t>Ethnométhodologie et éducation</w:t>
      </w:r>
      <w:r w:rsidRPr="003620AE">
        <w:rPr>
          <w:rFonts w:cstheme="minorHAnsi"/>
          <w:lang w:val="fr-FR"/>
        </w:rPr>
        <w:t xml:space="preserve">, </w:t>
      </w:r>
      <w:r w:rsidR="007734D2">
        <w:rPr>
          <w:rFonts w:cstheme="minorHAnsi"/>
          <w:lang w:val="fr-FR"/>
        </w:rPr>
        <w:t xml:space="preserve">p. </w:t>
      </w:r>
      <w:r w:rsidRPr="003620AE">
        <w:rPr>
          <w:rFonts w:cstheme="minorHAnsi"/>
          <w:lang w:val="fr-FR"/>
        </w:rPr>
        <w:t>17.</w:t>
      </w:r>
      <w:r w:rsidRPr="003620AE">
        <w:rPr>
          <w:rFonts w:cstheme="minorHAnsi"/>
          <w:lang w:val="fr-FR"/>
        </w:rPr>
        <w:fldChar w:fldCharType="end"/>
      </w:r>
    </w:p>
  </w:footnote>
  <w:footnote w:id="44">
    <w:p w14:paraId="566A23CD" w14:textId="0E1B4493" w:rsidR="00EE7D80" w:rsidRPr="003620AE" w:rsidRDefault="00EE7D80" w:rsidP="00DF197A">
      <w:pPr>
        <w:pStyle w:val="Notedebasdepage"/>
        <w:jc w:val="both"/>
        <w:rPr>
          <w:rFonts w:cstheme="minorHAnsi"/>
          <w:lang w:val="fr-FR"/>
        </w:rPr>
      </w:pPr>
      <w:r w:rsidRPr="003620AE">
        <w:rPr>
          <w:rStyle w:val="Appelnotedebasdep"/>
          <w:rFonts w:cstheme="minorHAnsi"/>
          <w:lang w:val="fr-FR"/>
        </w:rPr>
        <w:footnoteRef/>
      </w:r>
      <w:r w:rsidRPr="003620AE">
        <w:rPr>
          <w:rFonts w:cstheme="minorHAnsi"/>
          <w:lang w:val="fr-FR"/>
        </w:rPr>
        <w:t xml:space="preserve"> </w:t>
      </w:r>
      <w:r w:rsidRPr="003620AE">
        <w:rPr>
          <w:rFonts w:cstheme="minorHAnsi"/>
          <w:lang w:val="fr-FR"/>
        </w:rPr>
        <w:fldChar w:fldCharType="begin"/>
      </w:r>
      <w:r w:rsidRPr="003620AE">
        <w:rPr>
          <w:rFonts w:cstheme="minorHAnsi"/>
          <w:lang w:val="fr-FR"/>
        </w:rPr>
        <w:instrText xml:space="preserve"> ADDIN ZOTERO_ITEM CSL_CITATION {"citationID":"367NMNgJ","properties":{"formattedCitation":"Garfinkel, {\\i{}Recherches en ethnom\\uc0\\u233{}thodologie}, 97.","plainCitation":"Garfinkel, Recherches en ethnométhodologie, 97.","noteIndex":33},"citationItems":[{"id":511,"uris":["http://zotero.org/users/local/c0m081EH/items/KSK2L96Q"],"itemData":{"id":511,"type":"book","call-number":"301","event-place":"Paris","ISBN":"978-2-13-056150-7","language":"fre","publisher":"Presses universitaires de France","publisher-place":"Paris","source":"BnF ISBN","title":"Recherches en ethnométhodologie","author":[{"family":"Garfinkel","given":"Harold"}],"issued":{"date-parts":[["2007"]]}},"locator":"97","label":"page"}],"schema":"https://github.com/citation-style-language/schema/raw/master/csl-citation.json"} </w:instrText>
      </w:r>
      <w:r w:rsidRPr="003620AE">
        <w:rPr>
          <w:rFonts w:cstheme="minorHAnsi"/>
          <w:lang w:val="fr-FR"/>
        </w:rPr>
        <w:fldChar w:fldCharType="separate"/>
      </w:r>
      <w:r w:rsidRPr="003620AE">
        <w:rPr>
          <w:rFonts w:cstheme="minorHAnsi"/>
          <w:lang w:val="fr-FR"/>
        </w:rPr>
        <w:t xml:space="preserve">Garfinkel, </w:t>
      </w:r>
      <w:r w:rsidRPr="003620AE">
        <w:rPr>
          <w:rFonts w:cstheme="minorHAnsi"/>
          <w:i/>
          <w:iCs/>
          <w:lang w:val="fr-FR"/>
        </w:rPr>
        <w:t>Recherches en ethnométhodologie</w:t>
      </w:r>
      <w:r w:rsidRPr="003620AE">
        <w:rPr>
          <w:rFonts w:cstheme="minorHAnsi"/>
          <w:lang w:val="fr-FR"/>
        </w:rPr>
        <w:t xml:space="preserve">, </w:t>
      </w:r>
      <w:r w:rsidR="007734D2">
        <w:rPr>
          <w:rFonts w:cstheme="minorHAnsi"/>
          <w:lang w:val="fr-FR"/>
        </w:rPr>
        <w:t xml:space="preserve">p. </w:t>
      </w:r>
      <w:r w:rsidRPr="003620AE">
        <w:rPr>
          <w:rFonts w:cstheme="minorHAnsi"/>
          <w:lang w:val="fr-FR"/>
        </w:rPr>
        <w:t>97.</w:t>
      </w:r>
      <w:r w:rsidRPr="003620AE">
        <w:rPr>
          <w:rFonts w:cstheme="minorHAnsi"/>
          <w:lang w:val="fr-FR"/>
        </w:rPr>
        <w:fldChar w:fldCharType="end"/>
      </w:r>
    </w:p>
  </w:footnote>
  <w:footnote w:id="45">
    <w:p w14:paraId="0FC85ADE" w14:textId="26888ADB" w:rsidR="00433AB0" w:rsidRPr="003620AE" w:rsidRDefault="00433AB0" w:rsidP="00DF197A">
      <w:pPr>
        <w:pStyle w:val="Notedebasdepage"/>
        <w:jc w:val="both"/>
        <w:rPr>
          <w:rFonts w:cstheme="minorHAnsi"/>
          <w:lang w:val="fr-FR"/>
        </w:rPr>
      </w:pPr>
      <w:r w:rsidRPr="003620AE">
        <w:rPr>
          <w:rStyle w:val="Appelnotedebasdep"/>
          <w:rFonts w:cstheme="minorHAnsi"/>
          <w:lang w:val="fr-FR"/>
        </w:rPr>
        <w:footnoteRef/>
      </w:r>
      <w:r w:rsidRPr="003620AE">
        <w:rPr>
          <w:rFonts w:cstheme="minorHAnsi"/>
          <w:lang w:val="fr-FR"/>
        </w:rPr>
        <w:t xml:space="preserve"> </w:t>
      </w:r>
      <w:r w:rsidRPr="003620AE">
        <w:rPr>
          <w:rFonts w:cstheme="minorHAnsi"/>
          <w:lang w:val="fr-FR"/>
        </w:rPr>
        <w:fldChar w:fldCharType="begin"/>
      </w:r>
      <w:r w:rsidR="00794C27" w:rsidRPr="003620AE">
        <w:rPr>
          <w:rFonts w:cstheme="minorHAnsi"/>
          <w:lang w:val="fr-FR"/>
        </w:rPr>
        <w:instrText xml:space="preserve"> ADDIN ZOTERO_ITEM CSL_CITATION {"citationID":"Li04sMLN","properties":{"formattedCitation":"Wes Sharrock et Jeff Coulter, \\uc0\\u171{}\\uc0\\u160{}R\\uc0\\u233{}flexions sur le raisonnement. Wittgenstein et Garfinkel contre la th\\uc0\\u233{}orie et la m\\uc0\\u233{}thode.\\uc0\\u160{}\\uc0\\u187{}, in {\\i{}L\\uc0\\u8217{}ethnom\\uc0\\u233{}thodologie: une sociologie radicale: Colloque de Cerisy}, \\uc0\\u233{}d. par Michel de\\uc0\\u160{}Fornel, Albert Ogien, et Louis Qu\\uc0\\u233{}r\\uc0\\u233{}, Collection \\uc0\\u171{}\\uc0\\u160{}Recherches\\uc0\\u160{}\\uc0\\u187{} (Paris: D\\uc0\\u233{}couverte, 2000), 92\\uc0\\u8209{}95.","plainCitation":"Wes Sharrock et Jeff Coulter, « Réflexions sur le raisonnement. Wittgenstein et Garfinkel contre la théorie et la méthode. », in L’ethnométhodologie: une sociologie radicale: Colloque de Cerisy, éd. par Michel de Fornel, Albert Ogien, et Louis Quéré, Collection « Recherches » (Paris: Découverte, 2000), 92</w:instrText>
      </w:r>
      <w:r w:rsidR="00794C27" w:rsidRPr="003620AE">
        <w:rPr>
          <w:rFonts w:ascii="Cambria Math" w:hAnsi="Cambria Math" w:cs="Cambria Math"/>
          <w:lang w:val="fr-FR"/>
        </w:rPr>
        <w:instrText>‑</w:instrText>
      </w:r>
      <w:r w:rsidR="00794C27" w:rsidRPr="003620AE">
        <w:rPr>
          <w:rFonts w:cstheme="minorHAnsi"/>
          <w:lang w:val="fr-FR"/>
        </w:rPr>
        <w:instrText xml:space="preserve">95.","noteIndex":24},"citationItems":[{"id":526,"uris":["http://zotero.org/users/local/c0m081EH/items/PFHYHZXN"],"itemData":{"id":526,"type":"chapter","call-number":"HM481 .L48 2000","collection-title":"Collection \"Recherches\"","container-title":"L'ethnométhodologie: une sociologie radicale: Colloque de Cerisy","event-place":"Paris","ISBN":"978-2-7071-3373-1","publisher":"Découverte","publisher-place":"Paris","source":"Library of Congress ISBN","title":"Réflexions sur le raisonnement. Wittgenstein et Garfinkel contre la théorie et la méthode.","editor":[{"family":"Fornel","given":"Michel","dropping-particle":"de"},{"family":"Ogien","given":"Albert"},{"family":"Quéré","given":"Louis"}],"author":[{"family":"Sharrock","given":"Wes"},{"family":"Coulter","given":"Jeff"}],"issued":{"date-parts":[["2000"]]}},"locator":"92-95","label":"page"}],"schema":"https://github.com/citation-style-language/schema/raw/master/csl-citation.json"} </w:instrText>
      </w:r>
      <w:r w:rsidRPr="003620AE">
        <w:rPr>
          <w:rFonts w:cstheme="minorHAnsi"/>
          <w:lang w:val="fr-FR"/>
        </w:rPr>
        <w:fldChar w:fldCharType="separate"/>
      </w:r>
      <w:proofErr w:type="spellStart"/>
      <w:r w:rsidRPr="003620AE">
        <w:rPr>
          <w:rFonts w:cstheme="minorHAnsi"/>
          <w:lang w:val="fr-FR"/>
        </w:rPr>
        <w:t>Wes</w:t>
      </w:r>
      <w:proofErr w:type="spellEnd"/>
      <w:r w:rsidRPr="003620AE">
        <w:rPr>
          <w:rFonts w:cstheme="minorHAnsi"/>
          <w:lang w:val="fr-FR"/>
        </w:rPr>
        <w:t xml:space="preserve"> </w:t>
      </w:r>
      <w:proofErr w:type="spellStart"/>
      <w:r w:rsidRPr="003620AE">
        <w:rPr>
          <w:rFonts w:cstheme="minorHAnsi"/>
          <w:lang w:val="fr-FR"/>
        </w:rPr>
        <w:t>Sharrock</w:t>
      </w:r>
      <w:proofErr w:type="spellEnd"/>
      <w:r w:rsidRPr="003620AE">
        <w:rPr>
          <w:rFonts w:cstheme="minorHAnsi"/>
          <w:lang w:val="fr-FR"/>
        </w:rPr>
        <w:t xml:space="preserve"> et Jeff Coulter, « Réflexions sur le raisonnement. Wittgenstein et Garfinkel contre la théorie et la méthode. », in </w:t>
      </w:r>
      <w:r w:rsidRPr="003620AE">
        <w:rPr>
          <w:rFonts w:cstheme="minorHAnsi"/>
          <w:i/>
          <w:iCs/>
          <w:lang w:val="fr-FR"/>
        </w:rPr>
        <w:t>L’ethnométhodologie</w:t>
      </w:r>
      <w:r w:rsidR="003B6824" w:rsidRPr="003620AE">
        <w:rPr>
          <w:rFonts w:cstheme="minorHAnsi"/>
          <w:i/>
          <w:iCs/>
          <w:lang w:val="fr-FR"/>
        </w:rPr>
        <w:t xml:space="preserve"> </w:t>
      </w:r>
      <w:r w:rsidRPr="003620AE">
        <w:rPr>
          <w:rFonts w:cstheme="minorHAnsi"/>
          <w:i/>
          <w:iCs/>
          <w:lang w:val="fr-FR"/>
        </w:rPr>
        <w:t>: une sociologie radicale</w:t>
      </w:r>
      <w:r w:rsidR="003B6824" w:rsidRPr="003620AE">
        <w:rPr>
          <w:rFonts w:cstheme="minorHAnsi"/>
          <w:i/>
          <w:iCs/>
          <w:lang w:val="fr-FR"/>
        </w:rPr>
        <w:t xml:space="preserve"> </w:t>
      </w:r>
      <w:r w:rsidRPr="003620AE">
        <w:rPr>
          <w:rFonts w:cstheme="minorHAnsi"/>
          <w:i/>
          <w:iCs/>
          <w:lang w:val="fr-FR"/>
        </w:rPr>
        <w:t>: Colloque de Cerisy</w:t>
      </w:r>
      <w:r w:rsidRPr="003620AE">
        <w:rPr>
          <w:rFonts w:cstheme="minorHAnsi"/>
          <w:lang w:val="fr-FR"/>
        </w:rPr>
        <w:t xml:space="preserve">, éd. </w:t>
      </w:r>
      <w:proofErr w:type="gramStart"/>
      <w:r w:rsidRPr="003620AE">
        <w:rPr>
          <w:rFonts w:cstheme="minorHAnsi"/>
          <w:lang w:val="fr-FR"/>
        </w:rPr>
        <w:t>par</w:t>
      </w:r>
      <w:proofErr w:type="gramEnd"/>
      <w:r w:rsidRPr="003620AE">
        <w:rPr>
          <w:rFonts w:cstheme="minorHAnsi"/>
          <w:lang w:val="fr-FR"/>
        </w:rPr>
        <w:t xml:space="preserve"> Michel de </w:t>
      </w:r>
      <w:proofErr w:type="spellStart"/>
      <w:r w:rsidRPr="003620AE">
        <w:rPr>
          <w:rFonts w:cstheme="minorHAnsi"/>
          <w:lang w:val="fr-FR"/>
        </w:rPr>
        <w:t>Fornel</w:t>
      </w:r>
      <w:proofErr w:type="spellEnd"/>
      <w:r w:rsidRPr="003620AE">
        <w:rPr>
          <w:rFonts w:cstheme="minorHAnsi"/>
          <w:lang w:val="fr-FR"/>
        </w:rPr>
        <w:t xml:space="preserve">, Albert Ogien, et Louis </w:t>
      </w:r>
      <w:proofErr w:type="spellStart"/>
      <w:r w:rsidRPr="003620AE">
        <w:rPr>
          <w:rFonts w:cstheme="minorHAnsi"/>
          <w:lang w:val="fr-FR"/>
        </w:rPr>
        <w:t>Quéré</w:t>
      </w:r>
      <w:proofErr w:type="spellEnd"/>
      <w:r w:rsidR="0081515A" w:rsidRPr="003620AE">
        <w:rPr>
          <w:rFonts w:cstheme="minorHAnsi"/>
          <w:lang w:val="fr-FR"/>
        </w:rPr>
        <w:t xml:space="preserve">, </w:t>
      </w:r>
      <w:r w:rsidRPr="003620AE">
        <w:rPr>
          <w:rFonts w:cstheme="minorHAnsi"/>
          <w:lang w:val="fr-FR"/>
        </w:rPr>
        <w:t>Paris</w:t>
      </w:r>
      <w:r w:rsidR="007734D2">
        <w:rPr>
          <w:rFonts w:cstheme="minorHAnsi"/>
          <w:lang w:val="fr-FR"/>
        </w:rPr>
        <w:t xml:space="preserve">, </w:t>
      </w:r>
      <w:r w:rsidRPr="003620AE">
        <w:rPr>
          <w:rFonts w:cstheme="minorHAnsi"/>
          <w:lang w:val="fr-FR"/>
        </w:rPr>
        <w:t xml:space="preserve">Découverte, 2000, </w:t>
      </w:r>
      <w:r w:rsidR="007734D2">
        <w:rPr>
          <w:rFonts w:cstheme="minorHAnsi"/>
          <w:lang w:val="fr-FR"/>
        </w:rPr>
        <w:t xml:space="preserve">p. </w:t>
      </w:r>
      <w:r w:rsidRPr="003620AE">
        <w:rPr>
          <w:rFonts w:cstheme="minorHAnsi"/>
          <w:lang w:val="fr-FR"/>
        </w:rPr>
        <w:t>92</w:t>
      </w:r>
      <w:r w:rsidRPr="003620AE">
        <w:rPr>
          <w:rFonts w:ascii="Cambria Math" w:hAnsi="Cambria Math" w:cs="Cambria Math"/>
          <w:lang w:val="fr-FR"/>
        </w:rPr>
        <w:t>‑</w:t>
      </w:r>
      <w:r w:rsidR="0081515A" w:rsidRPr="003620AE">
        <w:rPr>
          <w:rFonts w:cstheme="minorHAnsi"/>
          <w:lang w:val="fr-FR"/>
        </w:rPr>
        <w:t>95</w:t>
      </w:r>
      <w:r w:rsidRPr="003620AE">
        <w:rPr>
          <w:rFonts w:cstheme="minorHAnsi"/>
          <w:lang w:val="fr-FR"/>
        </w:rPr>
        <w:t>.</w:t>
      </w:r>
      <w:r w:rsidRPr="003620AE">
        <w:rPr>
          <w:rFonts w:cstheme="minorHAnsi"/>
          <w:lang w:val="fr-FR"/>
        </w:rPr>
        <w:fldChar w:fldCharType="end"/>
      </w:r>
    </w:p>
  </w:footnote>
  <w:footnote w:id="46">
    <w:p w14:paraId="361B6763" w14:textId="4A597C5A" w:rsidR="003B6824" w:rsidRPr="003620AE" w:rsidRDefault="003B6824" w:rsidP="00DF197A">
      <w:pPr>
        <w:pStyle w:val="Notedebasdepage"/>
        <w:jc w:val="both"/>
        <w:rPr>
          <w:rFonts w:cstheme="minorHAnsi"/>
          <w:lang w:val="fr-FR"/>
        </w:rPr>
      </w:pPr>
      <w:r w:rsidRPr="003620AE">
        <w:rPr>
          <w:rStyle w:val="Appelnotedebasdep"/>
          <w:rFonts w:cstheme="minorHAnsi"/>
          <w:lang w:val="fr-FR"/>
        </w:rPr>
        <w:footnoteRef/>
      </w:r>
      <w:r w:rsidRPr="003620AE">
        <w:rPr>
          <w:rFonts w:cstheme="minorHAnsi"/>
          <w:lang w:val="fr-FR"/>
        </w:rPr>
        <w:t xml:space="preserve"> </w:t>
      </w:r>
      <w:r w:rsidRPr="003620AE">
        <w:rPr>
          <w:rFonts w:cstheme="minorHAnsi"/>
          <w:lang w:val="fr-FR"/>
        </w:rPr>
        <w:fldChar w:fldCharType="begin"/>
      </w:r>
      <w:r w:rsidRPr="003620AE">
        <w:rPr>
          <w:rFonts w:cstheme="minorHAnsi"/>
          <w:lang w:val="fr-FR"/>
        </w:rPr>
        <w:instrText xml:space="preserve"> ADDIN ZOTERO_ITEM CSL_CITATION {"citationID":"9wFBDt7k","properties":{"formattedCitation":"Elliot Mishler, \\uc0\\u171{}\\uc0\\u160{}Meaning in Context: Is There Any Other Kind?\\uc0\\u160{}\\uc0\\u187{}, {\\i{}Harvard Educational Review} 49, n\\super o\\nosupersub{} 1 (1 avril 1979): 1\\uc0\\u8209{}19, https://doi.org/10.17763/haer.49.1.b748n4133677245p.","plainCitation":"Elliot Mishler, « Meaning in Context: Is There Any Other Kind? », Harvard Educational Review 49, no 1 (1 avril 1979): 1</w:instrText>
      </w:r>
      <w:r w:rsidRPr="003620AE">
        <w:rPr>
          <w:rFonts w:ascii="Cambria Math" w:hAnsi="Cambria Math" w:cs="Cambria Math"/>
          <w:lang w:val="fr-FR"/>
        </w:rPr>
        <w:instrText>‑</w:instrText>
      </w:r>
      <w:r w:rsidRPr="003620AE">
        <w:rPr>
          <w:rFonts w:cstheme="minorHAnsi"/>
          <w:lang w:val="fr-FR"/>
        </w:rPr>
        <w:instrText xml:space="preserve">19, https://doi.org/10.17763/haer.49.1.b748n4133677245p.","noteIndex":26},"citationItems":[{"id":504,"uris":["http://zotero.org/users/local/c0m081EH/items/RU6YJ8QV"],"itemData":{"id":504,"type":"article-journal","abstract":"While the contextual grounding of the meanings of human action and language is vital to our everyday understanding of our own and others' behavior, the importance of context has been largely ignored by traditional research approaches in the social and behavioral sciences and in their application to the field of education. The positivist model, which has dominated these disciplines, has led to a search for universal context-free laws and to the use of context-stripping methods. Investigators in developmental and social psychology and in educational research have increasingly begun to note the inadequacies of this approach. Drawing examples from phenomenology, sociolinguistics, and ethnomethodology, Elliot Mishler proposes alternative approaches which are more appropriate to the study of meaning in context.","container-title":"Harvard Educational Review","DOI":"10.17763/haer.49.1.b748n4133677245p","ISSN":"0017-8055, 1943-5045","issue":"1","language":"en","page":"1-19","source":"DOI.org (Crossref)","title":"Meaning in Context: Is There Any Other Kind?","title-short":"Meaning in Context","volume":"49","author":[{"family":"Mishler","given":"Elliot"}],"issued":{"date-parts":[["1979",4,1]]}}}],"schema":"https://github.com/citation-style-language/schema/raw/master/csl-citation.json"} </w:instrText>
      </w:r>
      <w:r w:rsidRPr="003620AE">
        <w:rPr>
          <w:rFonts w:cstheme="minorHAnsi"/>
          <w:lang w:val="fr-FR"/>
        </w:rPr>
        <w:fldChar w:fldCharType="separate"/>
      </w:r>
      <w:r w:rsidRPr="003620AE">
        <w:rPr>
          <w:rFonts w:cstheme="minorHAnsi"/>
          <w:lang w:val="fr-FR"/>
        </w:rPr>
        <w:t xml:space="preserve">Elliot </w:t>
      </w:r>
      <w:proofErr w:type="spellStart"/>
      <w:r w:rsidRPr="003620AE">
        <w:rPr>
          <w:rFonts w:cstheme="minorHAnsi"/>
          <w:lang w:val="fr-FR"/>
        </w:rPr>
        <w:t>Mishler</w:t>
      </w:r>
      <w:proofErr w:type="spellEnd"/>
      <w:r w:rsidRPr="003620AE">
        <w:rPr>
          <w:rFonts w:cstheme="minorHAnsi"/>
          <w:lang w:val="fr-FR"/>
        </w:rPr>
        <w:t>, « </w:t>
      </w:r>
      <w:proofErr w:type="spellStart"/>
      <w:r w:rsidRPr="003620AE">
        <w:rPr>
          <w:rFonts w:cstheme="minorHAnsi"/>
          <w:lang w:val="fr-FR"/>
        </w:rPr>
        <w:t>Meaning</w:t>
      </w:r>
      <w:proofErr w:type="spellEnd"/>
      <w:r w:rsidRPr="003620AE">
        <w:rPr>
          <w:rFonts w:cstheme="minorHAnsi"/>
          <w:lang w:val="fr-FR"/>
        </w:rPr>
        <w:t xml:space="preserve"> in </w:t>
      </w:r>
      <w:proofErr w:type="spellStart"/>
      <w:proofErr w:type="gramStart"/>
      <w:r w:rsidRPr="003620AE">
        <w:rPr>
          <w:rFonts w:cstheme="minorHAnsi"/>
          <w:lang w:val="fr-FR"/>
        </w:rPr>
        <w:t>Context</w:t>
      </w:r>
      <w:proofErr w:type="spellEnd"/>
      <w:r w:rsidRPr="003620AE">
        <w:rPr>
          <w:rFonts w:cstheme="minorHAnsi"/>
          <w:lang w:val="fr-FR"/>
        </w:rPr>
        <w:t>:</w:t>
      </w:r>
      <w:proofErr w:type="gramEnd"/>
      <w:r w:rsidRPr="003620AE">
        <w:rPr>
          <w:rFonts w:cstheme="minorHAnsi"/>
          <w:lang w:val="fr-FR"/>
        </w:rPr>
        <w:t xml:space="preserve"> Is There </w:t>
      </w:r>
      <w:proofErr w:type="spellStart"/>
      <w:r w:rsidRPr="003620AE">
        <w:rPr>
          <w:rFonts w:cstheme="minorHAnsi"/>
          <w:lang w:val="fr-FR"/>
        </w:rPr>
        <w:t>Any</w:t>
      </w:r>
      <w:proofErr w:type="spellEnd"/>
      <w:r w:rsidRPr="003620AE">
        <w:rPr>
          <w:rFonts w:cstheme="minorHAnsi"/>
          <w:lang w:val="fr-FR"/>
        </w:rPr>
        <w:t xml:space="preserve"> </w:t>
      </w:r>
      <w:proofErr w:type="spellStart"/>
      <w:r w:rsidRPr="003620AE">
        <w:rPr>
          <w:rFonts w:cstheme="minorHAnsi"/>
          <w:lang w:val="fr-FR"/>
        </w:rPr>
        <w:t>Other</w:t>
      </w:r>
      <w:proofErr w:type="spellEnd"/>
      <w:r w:rsidRPr="003620AE">
        <w:rPr>
          <w:rFonts w:cstheme="minorHAnsi"/>
          <w:lang w:val="fr-FR"/>
        </w:rPr>
        <w:t xml:space="preserve"> Kind? », </w:t>
      </w:r>
      <w:r w:rsidRPr="003620AE">
        <w:rPr>
          <w:rFonts w:cstheme="minorHAnsi"/>
          <w:i/>
          <w:iCs/>
          <w:lang w:val="fr-FR"/>
        </w:rPr>
        <w:t xml:space="preserve">Harvard </w:t>
      </w:r>
      <w:proofErr w:type="spellStart"/>
      <w:r w:rsidRPr="003620AE">
        <w:rPr>
          <w:rFonts w:cstheme="minorHAnsi"/>
          <w:i/>
          <w:iCs/>
          <w:lang w:val="fr-FR"/>
        </w:rPr>
        <w:t>Educational</w:t>
      </w:r>
      <w:proofErr w:type="spellEnd"/>
      <w:r w:rsidRPr="003620AE">
        <w:rPr>
          <w:rFonts w:cstheme="minorHAnsi"/>
          <w:i/>
          <w:iCs/>
          <w:lang w:val="fr-FR"/>
        </w:rPr>
        <w:t xml:space="preserve"> </w:t>
      </w:r>
      <w:proofErr w:type="spellStart"/>
      <w:r w:rsidRPr="003620AE">
        <w:rPr>
          <w:rFonts w:cstheme="minorHAnsi"/>
          <w:i/>
          <w:iCs/>
          <w:lang w:val="fr-FR"/>
        </w:rPr>
        <w:t>Review</w:t>
      </w:r>
      <w:proofErr w:type="spellEnd"/>
      <w:r w:rsidR="007734D2">
        <w:rPr>
          <w:rFonts w:cstheme="minorHAnsi"/>
          <w:lang w:val="fr-FR"/>
        </w:rPr>
        <w:t xml:space="preserve">, </w:t>
      </w:r>
      <w:r w:rsidRPr="003620AE">
        <w:rPr>
          <w:rFonts w:cstheme="minorHAnsi"/>
          <w:lang w:val="fr-FR"/>
        </w:rPr>
        <w:t>49</w:t>
      </w:r>
      <w:r w:rsidR="007734D2">
        <w:rPr>
          <w:rFonts w:cstheme="minorHAnsi"/>
          <w:lang w:val="fr-FR"/>
        </w:rPr>
        <w:t>[</w:t>
      </w:r>
      <w:r w:rsidRPr="003620AE">
        <w:rPr>
          <w:rFonts w:cstheme="minorHAnsi"/>
          <w:lang w:val="fr-FR"/>
        </w:rPr>
        <w:t>1</w:t>
      </w:r>
      <w:r w:rsidR="007734D2">
        <w:rPr>
          <w:rFonts w:cstheme="minorHAnsi"/>
          <w:lang w:val="fr-FR"/>
        </w:rPr>
        <w:t>]</w:t>
      </w:r>
      <w:r w:rsidR="0081515A" w:rsidRPr="003620AE">
        <w:rPr>
          <w:rFonts w:cstheme="minorHAnsi"/>
          <w:lang w:val="fr-FR"/>
        </w:rPr>
        <w:t xml:space="preserve">, </w:t>
      </w:r>
      <w:r w:rsidRPr="003620AE">
        <w:rPr>
          <w:rFonts w:cstheme="minorHAnsi"/>
          <w:lang w:val="fr-FR"/>
        </w:rPr>
        <w:t>1979.</w:t>
      </w:r>
      <w:r w:rsidRPr="003620AE">
        <w:rPr>
          <w:rFonts w:cstheme="minorHAnsi"/>
          <w:lang w:val="fr-FR"/>
        </w:rPr>
        <w:fldChar w:fldCharType="end"/>
      </w:r>
    </w:p>
  </w:footnote>
  <w:footnote w:id="47">
    <w:p w14:paraId="5255132F" w14:textId="3B143723" w:rsidR="00433AB0" w:rsidRPr="003620AE" w:rsidRDefault="00433AB0" w:rsidP="00DF197A">
      <w:pPr>
        <w:pStyle w:val="Notedebasdepage"/>
        <w:jc w:val="both"/>
        <w:rPr>
          <w:rFonts w:cstheme="minorHAnsi"/>
          <w:lang w:val="fr-FR"/>
        </w:rPr>
      </w:pPr>
      <w:r w:rsidRPr="003620AE">
        <w:rPr>
          <w:rStyle w:val="Appelnotedebasdep"/>
          <w:rFonts w:cstheme="minorHAnsi"/>
          <w:lang w:val="fr-FR"/>
        </w:rPr>
        <w:footnoteRef/>
      </w:r>
      <w:r w:rsidRPr="003620AE">
        <w:rPr>
          <w:rFonts w:cstheme="minorHAnsi"/>
          <w:lang w:val="fr-FR"/>
        </w:rPr>
        <w:t xml:space="preserve"> </w:t>
      </w:r>
      <w:r w:rsidRPr="003620AE">
        <w:rPr>
          <w:rFonts w:cstheme="minorHAnsi"/>
          <w:lang w:val="fr-FR"/>
        </w:rPr>
        <w:fldChar w:fldCharType="begin"/>
      </w:r>
      <w:r w:rsidR="00EE7D80" w:rsidRPr="003620AE">
        <w:rPr>
          <w:rFonts w:cstheme="minorHAnsi"/>
          <w:lang w:val="fr-FR"/>
        </w:rPr>
        <w:instrText xml:space="preserve"> ADDIN ZOTERO_ITEM CSL_CITATION {"citationID":"L13SjPkY","properties":{"formattedCitation":"Goffman, {\\i{}La mise en sc\\uc0\\u232{}ne de la vie quotidienne. La pr\\uc0\\u233{}sentation de soi}.","plainCitation":"Goffman, La mise en scène de la vie quotidienne. La présentation de soi.","noteIndex":31},"citationItems":[{"id":523,"uris":["http://zotero.org/users/local/c0m081EH/items/PZ8GGRES"],"itemData":{"id":523,"type":"book","collection-number":"1","event-place":"Paris","ISBN":"978-2-7073-0014-0","language":"fre","number-of-pages":"251","publisher":"Ed. de Minuit","publisher-place":"Paris","source":"K10plus ISBN","title":"La mise en scène de la vie quotidienne. La présentation de soi","author":[{"family":"Goffman","given":"Erving"}],"issued":{"date-parts":[["1996"]]}}}],"schema":"https://github.com/citation-style-language/schema/raw/master/csl-citation.json"} </w:instrText>
      </w:r>
      <w:r w:rsidRPr="003620AE">
        <w:rPr>
          <w:rFonts w:cstheme="minorHAnsi"/>
          <w:lang w:val="fr-FR"/>
        </w:rPr>
        <w:fldChar w:fldCharType="separate"/>
      </w:r>
      <w:r w:rsidRPr="003620AE">
        <w:rPr>
          <w:rFonts w:cstheme="minorHAnsi"/>
          <w:lang w:val="fr-FR"/>
        </w:rPr>
        <w:t xml:space="preserve">Goffman, </w:t>
      </w:r>
      <w:r w:rsidRPr="003620AE">
        <w:rPr>
          <w:rFonts w:cstheme="minorHAnsi"/>
          <w:i/>
          <w:iCs/>
          <w:lang w:val="fr-FR"/>
        </w:rPr>
        <w:t>La mise en scène de la vie quotidienne. La présentation de soi</w:t>
      </w:r>
      <w:r w:rsidRPr="003620AE">
        <w:rPr>
          <w:rFonts w:cstheme="minorHAnsi"/>
          <w:lang w:val="fr-FR"/>
        </w:rPr>
        <w:t>.</w:t>
      </w:r>
      <w:r w:rsidRPr="003620AE">
        <w:rPr>
          <w:rFonts w:cstheme="minorHAnsi"/>
          <w:lang w:val="fr-FR"/>
        </w:rPr>
        <w:fldChar w:fldCharType="end"/>
      </w:r>
    </w:p>
  </w:footnote>
  <w:footnote w:id="48">
    <w:p w14:paraId="4AA5A9CE" w14:textId="098EF11E" w:rsidR="00EE7D80" w:rsidRPr="003620AE" w:rsidRDefault="00EE7D80" w:rsidP="00DF197A">
      <w:pPr>
        <w:pStyle w:val="Notedebasdepage"/>
        <w:jc w:val="both"/>
        <w:rPr>
          <w:rFonts w:cstheme="minorHAnsi"/>
          <w:lang w:val="fr-FR"/>
        </w:rPr>
      </w:pPr>
      <w:r w:rsidRPr="003620AE">
        <w:rPr>
          <w:rStyle w:val="Appelnotedebasdep"/>
          <w:rFonts w:cstheme="minorHAnsi"/>
          <w:lang w:val="fr-FR"/>
        </w:rPr>
        <w:footnoteRef/>
      </w:r>
      <w:r w:rsidRPr="003620AE">
        <w:rPr>
          <w:rFonts w:cstheme="minorHAnsi"/>
          <w:lang w:val="fr-FR"/>
        </w:rPr>
        <w:t xml:space="preserve"> </w:t>
      </w:r>
      <w:r w:rsidRPr="003620AE">
        <w:rPr>
          <w:rFonts w:cstheme="minorHAnsi"/>
          <w:lang w:val="fr-FR"/>
        </w:rPr>
        <w:fldChar w:fldCharType="begin"/>
      </w:r>
      <w:r w:rsidRPr="003620AE">
        <w:rPr>
          <w:rFonts w:cstheme="minorHAnsi"/>
          <w:lang w:val="fr-FR"/>
        </w:rPr>
        <w:instrText xml:space="preserve"> ADDIN ZOTERO_ITEM CSL_CITATION {"citationID":"IFhUcXzs","properties":{"formattedCitation":"Garfinkel, {\\i{}Recherches en ethnom\\uc0\\u233{}thodologie}.","plainCitation":"Garfinkel, Recherches en ethnométhodologie.","noteIndex":36},"citationItems":[{"id":511,"uris":["http://zotero.org/users/local/c0m081EH/items/KSK2L96Q"],"itemData":{"id":511,"type":"book","call-number":"301","event-place":"Paris","ISBN":"978-2-13-056150-7","language":"fre","publisher":"Presses universitaires de France","publisher-place":"Paris","source":"BnF ISBN","title":"Recherches en ethnométhodologie","author":[{"family":"Garfinkel","given":"Harold"}],"issued":{"date-parts":[["2007"]]}}}],"schema":"https://github.com/citation-style-language/schema/raw/master/csl-citation.json"} </w:instrText>
      </w:r>
      <w:r w:rsidRPr="003620AE">
        <w:rPr>
          <w:rFonts w:cstheme="minorHAnsi"/>
          <w:lang w:val="fr-FR"/>
        </w:rPr>
        <w:fldChar w:fldCharType="separate"/>
      </w:r>
      <w:r w:rsidRPr="003620AE">
        <w:rPr>
          <w:rFonts w:cstheme="minorHAnsi"/>
          <w:lang w:val="fr-FR"/>
        </w:rPr>
        <w:t xml:space="preserve">Garfinkel, </w:t>
      </w:r>
      <w:r w:rsidRPr="003620AE">
        <w:rPr>
          <w:rFonts w:cstheme="minorHAnsi"/>
          <w:i/>
          <w:iCs/>
          <w:lang w:val="fr-FR"/>
        </w:rPr>
        <w:t>Recherches en ethnométhodologie</w:t>
      </w:r>
      <w:r w:rsidRPr="003620AE">
        <w:rPr>
          <w:rFonts w:cstheme="minorHAnsi"/>
          <w:lang w:val="fr-FR"/>
        </w:rPr>
        <w:t>.</w:t>
      </w:r>
      <w:r w:rsidRPr="003620AE">
        <w:rPr>
          <w:rFonts w:cstheme="minorHAnsi"/>
          <w:lang w:val="fr-FR"/>
        </w:rPr>
        <w:fldChar w:fldCharType="end"/>
      </w:r>
    </w:p>
  </w:footnote>
  <w:footnote w:id="49">
    <w:p w14:paraId="65569484" w14:textId="337BEDCF" w:rsidR="00433AB0" w:rsidRPr="003620AE" w:rsidRDefault="00433AB0" w:rsidP="00DF197A">
      <w:pPr>
        <w:pStyle w:val="Notedebasdepage"/>
        <w:jc w:val="both"/>
        <w:rPr>
          <w:rFonts w:cstheme="minorHAnsi"/>
          <w:lang w:val="fr-FR"/>
        </w:rPr>
      </w:pPr>
      <w:r w:rsidRPr="003620AE">
        <w:rPr>
          <w:rStyle w:val="Appelnotedebasdep"/>
          <w:rFonts w:cstheme="minorHAnsi"/>
          <w:lang w:val="fr-FR"/>
        </w:rPr>
        <w:footnoteRef/>
      </w:r>
      <w:r w:rsidRPr="003620AE">
        <w:rPr>
          <w:rFonts w:cstheme="minorHAnsi"/>
          <w:lang w:val="fr-FR"/>
        </w:rPr>
        <w:t xml:space="preserve"> </w:t>
      </w:r>
      <w:r w:rsidRPr="003620AE">
        <w:rPr>
          <w:rFonts w:cstheme="minorHAnsi"/>
          <w:lang w:val="fr-FR"/>
        </w:rPr>
        <w:fldChar w:fldCharType="begin"/>
      </w:r>
      <w:r w:rsidR="00794C27" w:rsidRPr="003620AE">
        <w:rPr>
          <w:rFonts w:cstheme="minorHAnsi"/>
          <w:lang w:val="fr-FR"/>
        </w:rPr>
        <w:instrText xml:space="preserve"> ADDIN ZOTERO_ITEM CSL_CITATION {"citationID":"fuCMtb2j","properties":{"formattedCitation":"Laurence Kaufmann et Louis Qu\\uc0\\u233{}r\\uc0\\u233{}, \\uc0\\u171{}\\uc0\\u160{}Comment analyser les collectifs et les institutions?\\uc0\\u160{}\\uc0\\u187{}, in {\\i{}L\\uc0\\u8217{}ethnom\\uc0\\u233{}thodologie: une sociologie radicale: Colloque de Cerisy}, \\uc0\\u233{}d. par Michel de\\uc0\\u160{}Fornel, Albert Ogien, et Louis Qu\\uc0\\u233{}r\\uc0\\u233{}, Collection \\uc0\\u171{}\\uc0\\u160{}Recherches\\uc0\\u160{}\\uc0\\u187{} (Paris: D\\uc0\\u233{}couverte, 2000), 361\\uc0\\u8209{}90.","plainCitation":"Laurence Kaufmann et Louis Quéré, « Comment analyser les collectifs et les institutions? », in L’ethnométhodologie: une sociologie radicale: Colloque de Cerisy, éd. par Michel de Fornel, Albert Ogien, et Louis Quéré, Collection « Recherches » (Paris: Découverte, 2000), 361</w:instrText>
      </w:r>
      <w:r w:rsidR="00794C27" w:rsidRPr="003620AE">
        <w:rPr>
          <w:rFonts w:ascii="Cambria Math" w:hAnsi="Cambria Math" w:cs="Cambria Math"/>
          <w:lang w:val="fr-FR"/>
        </w:rPr>
        <w:instrText>‑</w:instrText>
      </w:r>
      <w:r w:rsidR="00794C27" w:rsidRPr="003620AE">
        <w:rPr>
          <w:rFonts w:cstheme="minorHAnsi"/>
          <w:lang w:val="fr-FR"/>
        </w:rPr>
        <w:instrText xml:space="preserve">90.","noteIndex":27},"citationItems":[{"id":522,"uris":["http://zotero.org/users/local/c0m081EH/items/WVY2WQ6R"],"itemData":{"id":522,"type":"chapter","call-number":"HM481 .L48 2000","collection-title":"Collection \"Recherches\"","container-title":"L'ethnométhodologie: une sociologie radicale: Colloque de Cerisy","event-place":"Paris","ISBN":"978-2-7071-3373-1","page":"361-390","publisher":"Découverte","publisher-place":"Paris","source":"Library of Congress ISBN","title":"Comment analyser les collectifs et les institutions?","editor":[{"family":"Fornel","given":"Michel","dropping-particle":"de"},{"family":"Ogien","given":"Albert"},{"family":"Quéré","given":"Louis"}],"author":[{"family":"Kaufmann","given":"Laurence"},{"family":"Quéré","given":"Louis"}],"issued":{"date-parts":[["2000"]]}}}],"schema":"https://github.com/citation-style-language/schema/raw/master/csl-citation.json"} </w:instrText>
      </w:r>
      <w:r w:rsidRPr="003620AE">
        <w:rPr>
          <w:rFonts w:cstheme="minorHAnsi"/>
          <w:lang w:val="fr-FR"/>
        </w:rPr>
        <w:fldChar w:fldCharType="separate"/>
      </w:r>
      <w:r w:rsidRPr="003620AE">
        <w:rPr>
          <w:rFonts w:cstheme="minorHAnsi"/>
          <w:lang w:val="fr-FR"/>
        </w:rPr>
        <w:t xml:space="preserve">Laurence Kaufmann et Louis </w:t>
      </w:r>
      <w:proofErr w:type="spellStart"/>
      <w:r w:rsidRPr="003620AE">
        <w:rPr>
          <w:rFonts w:cstheme="minorHAnsi"/>
          <w:lang w:val="fr-FR"/>
        </w:rPr>
        <w:t>Quéré</w:t>
      </w:r>
      <w:proofErr w:type="spellEnd"/>
      <w:r w:rsidRPr="003620AE">
        <w:rPr>
          <w:rFonts w:cstheme="minorHAnsi"/>
          <w:lang w:val="fr-FR"/>
        </w:rPr>
        <w:t>, « Comment analyser les collectifs et les institutions</w:t>
      </w:r>
      <w:r w:rsidR="00AE3C81" w:rsidRPr="003620AE">
        <w:rPr>
          <w:rFonts w:cstheme="minorHAnsi"/>
          <w:lang w:val="fr-FR"/>
        </w:rPr>
        <w:t xml:space="preserve"> </w:t>
      </w:r>
      <w:r w:rsidRPr="003620AE">
        <w:rPr>
          <w:rFonts w:cstheme="minorHAnsi"/>
          <w:lang w:val="fr-FR"/>
        </w:rPr>
        <w:t xml:space="preserve">? », in </w:t>
      </w:r>
      <w:r w:rsidRPr="003620AE">
        <w:rPr>
          <w:rFonts w:cstheme="minorHAnsi"/>
          <w:i/>
          <w:iCs/>
          <w:lang w:val="fr-FR"/>
        </w:rPr>
        <w:t>L’ethnométhodologie</w:t>
      </w:r>
      <w:r w:rsidR="002E56AC" w:rsidRPr="003620AE">
        <w:rPr>
          <w:rFonts w:cstheme="minorHAnsi"/>
          <w:i/>
          <w:iCs/>
          <w:lang w:val="fr-FR"/>
        </w:rPr>
        <w:t xml:space="preserve"> </w:t>
      </w:r>
      <w:r w:rsidRPr="003620AE">
        <w:rPr>
          <w:rFonts w:cstheme="minorHAnsi"/>
          <w:i/>
          <w:iCs/>
          <w:lang w:val="fr-FR"/>
        </w:rPr>
        <w:t>: une sociologie radicale</w:t>
      </w:r>
      <w:r w:rsidR="002E56AC" w:rsidRPr="003620AE">
        <w:rPr>
          <w:rFonts w:cstheme="minorHAnsi"/>
          <w:i/>
          <w:iCs/>
          <w:lang w:val="fr-FR"/>
        </w:rPr>
        <w:t xml:space="preserve"> </w:t>
      </w:r>
      <w:r w:rsidRPr="003620AE">
        <w:rPr>
          <w:rFonts w:cstheme="minorHAnsi"/>
          <w:i/>
          <w:iCs/>
          <w:lang w:val="fr-FR"/>
        </w:rPr>
        <w:t>: Colloque de Cerisy</w:t>
      </w:r>
      <w:r w:rsidRPr="003620AE">
        <w:rPr>
          <w:rFonts w:cstheme="minorHAnsi"/>
          <w:lang w:val="fr-FR"/>
        </w:rPr>
        <w:t xml:space="preserve">, éd. </w:t>
      </w:r>
      <w:proofErr w:type="gramStart"/>
      <w:r w:rsidRPr="003620AE">
        <w:rPr>
          <w:rFonts w:cstheme="minorHAnsi"/>
          <w:lang w:val="fr-FR"/>
        </w:rPr>
        <w:t>par</w:t>
      </w:r>
      <w:proofErr w:type="gramEnd"/>
      <w:r w:rsidRPr="003620AE">
        <w:rPr>
          <w:rFonts w:cstheme="minorHAnsi"/>
          <w:lang w:val="fr-FR"/>
        </w:rPr>
        <w:t xml:space="preserve"> Michel de </w:t>
      </w:r>
      <w:proofErr w:type="spellStart"/>
      <w:r w:rsidRPr="003620AE">
        <w:rPr>
          <w:rFonts w:cstheme="minorHAnsi"/>
          <w:lang w:val="fr-FR"/>
        </w:rPr>
        <w:t>Fornel</w:t>
      </w:r>
      <w:proofErr w:type="spellEnd"/>
      <w:r w:rsidRPr="003620AE">
        <w:rPr>
          <w:rFonts w:cstheme="minorHAnsi"/>
          <w:lang w:val="fr-FR"/>
        </w:rPr>
        <w:t xml:space="preserve">, Albert Ogien, et Louis </w:t>
      </w:r>
      <w:proofErr w:type="spellStart"/>
      <w:r w:rsidRPr="003620AE">
        <w:rPr>
          <w:rFonts w:cstheme="minorHAnsi"/>
          <w:lang w:val="fr-FR"/>
        </w:rPr>
        <w:t>Quéré</w:t>
      </w:r>
      <w:proofErr w:type="spellEnd"/>
      <w:r w:rsidR="0081515A" w:rsidRPr="003620AE">
        <w:rPr>
          <w:rFonts w:cstheme="minorHAnsi"/>
          <w:lang w:val="fr-FR"/>
        </w:rPr>
        <w:t xml:space="preserve">, </w:t>
      </w:r>
      <w:r w:rsidRPr="003620AE">
        <w:rPr>
          <w:rFonts w:cstheme="minorHAnsi"/>
          <w:lang w:val="fr-FR"/>
        </w:rPr>
        <w:t>Paris</w:t>
      </w:r>
      <w:r w:rsidR="007734D2">
        <w:rPr>
          <w:rFonts w:cstheme="minorHAnsi"/>
          <w:lang w:val="fr-FR"/>
        </w:rPr>
        <w:t xml:space="preserve">, </w:t>
      </w:r>
      <w:r w:rsidRPr="003620AE">
        <w:rPr>
          <w:rFonts w:cstheme="minorHAnsi"/>
          <w:lang w:val="fr-FR"/>
        </w:rPr>
        <w:t>Découverte, 2000.</w:t>
      </w:r>
      <w:r w:rsidRPr="003620AE">
        <w:rPr>
          <w:rFonts w:cstheme="minorHAnsi"/>
          <w:lang w:val="fr-FR"/>
        </w:rPr>
        <w:fldChar w:fldCharType="end"/>
      </w:r>
    </w:p>
  </w:footnote>
  <w:footnote w:id="50">
    <w:p w14:paraId="2C57424D" w14:textId="746D6784" w:rsidR="00EE7D80" w:rsidRPr="003620AE" w:rsidRDefault="00EE7D80" w:rsidP="00DF197A">
      <w:pPr>
        <w:pStyle w:val="Notedebasdepage"/>
        <w:jc w:val="both"/>
        <w:rPr>
          <w:rFonts w:cstheme="minorHAnsi"/>
          <w:lang w:val="fr-FR"/>
        </w:rPr>
      </w:pPr>
      <w:r w:rsidRPr="003620AE">
        <w:rPr>
          <w:rStyle w:val="Appelnotedebasdep"/>
          <w:rFonts w:cstheme="minorHAnsi"/>
          <w:lang w:val="fr-FR"/>
        </w:rPr>
        <w:footnoteRef/>
      </w:r>
      <w:r w:rsidRPr="003620AE">
        <w:rPr>
          <w:rFonts w:cstheme="minorHAnsi"/>
          <w:lang w:val="fr-FR"/>
        </w:rPr>
        <w:t xml:space="preserve"> </w:t>
      </w:r>
      <w:r w:rsidRPr="003620AE">
        <w:rPr>
          <w:rFonts w:cstheme="minorHAnsi"/>
          <w:lang w:val="fr-FR"/>
        </w:rPr>
        <w:fldChar w:fldCharType="begin"/>
      </w:r>
      <w:r w:rsidR="00AE3C81" w:rsidRPr="003620AE">
        <w:rPr>
          <w:rFonts w:cstheme="minorHAnsi"/>
          <w:lang w:val="fr-FR"/>
        </w:rPr>
        <w:instrText xml:space="preserve"> ADDIN ZOTERO_ITEM CSL_CITATION {"citationID":"J5nIfxWZ","properties":{"formattedCitation":"Nachi, \\uc0\\u171{}\\uc0\\u160{}Un r\\uc0\\u233{}gime pragmatique de l\\uc0\\u8217{}arrangement. L\\uc0\\u8217{}en-de\\uc0\\u231{}\\uc0\\u224{} du public, l\\uc0\\u8217{}au-del\\uc0\\u224{} du familier\\uc0\\u160{}\\uc0\\u187{}; Nachi, \\uc0\\u171{}\\uc0\\u160{}Arrangement\\uc0\\u160{}\\uc0\\u187{}.","plainCitation":"Nachi, « Un régime pragmatique de l’arrangement. L’en-deçà du public, l’au-delà du familier »; Nachi, « Arrangement ».","noteIndex":39},"citationItems":[{"id":468,"uris":["http://zotero.org/users/local/c0m081EH/items/W9W7FYC3"],"itemData":{"id":468,"type":"article-journal","abstract":"In this paper, I propose to define the properties of a new pragmatic regime of action, which I have appointed as the « regime of the arrangement ». After a review of some work on regime of action developed from the perspective of pragmatic sociology, I underlined the importance of faces of arrangement in different areas of social life. By pointing out the semantic ambiguity of the arrangement, I have been able to identify the provisions, resources and practical modalities that allow me to consider it as a hybrid regime that is positioned beyond the familiar, but below the public.","container-title":"SocietàMutamentoPolitica","issue":"23","language":"fr","page":"63-79","source":"Zotero","title":"Un régime pragmatique de l’arrangement. L’en-deçà du public, l’au-delà du familier","volume":"12","author":[{"family":"Nachi","given":"Mohamed"}],"issued":{"date-parts":[["2021"]]}}},{"id":470,"uris":["http://zotero.org/users/local/c0m081EH/items/XZJN6ZIA"],"itemData":{"id":470,"type":"article-journal","abstract":"Il s'agit d'explorer les différents ressorts de l’arrangement ainsi que son usage dans plusieurs champs des sciences humaines et sociales.","container-title":"Anthropen","DOI":"10.47854/anthropen.v1i1.51550","ISSN":"2561-5807","journalAbbreviation":"anthropen","language":"fr","source":"DOI.org (Crossref)","title":"Arrangement","URL":"https://revues.ulaval.ca/ojs/index.php/anthropen/article/view/51550","author":[{"family":"Nachi","given":"Mohamed"}],"accessed":{"date-parts":[["2022",10,17]]},"issued":{"date-parts":[["2022",9,16]]}}}],"schema":"https://github.com/citation-style-language/schema/raw/master/csl-citation.json"} </w:instrText>
      </w:r>
      <w:r w:rsidRPr="003620AE">
        <w:rPr>
          <w:rFonts w:cstheme="minorHAnsi"/>
          <w:lang w:val="fr-FR"/>
        </w:rPr>
        <w:fldChar w:fldCharType="separate"/>
      </w:r>
      <w:proofErr w:type="spellStart"/>
      <w:r w:rsidR="00AE3C81" w:rsidRPr="003620AE">
        <w:rPr>
          <w:rFonts w:cstheme="minorHAnsi"/>
          <w:lang w:val="fr-FR"/>
        </w:rPr>
        <w:t>Nachi</w:t>
      </w:r>
      <w:proofErr w:type="spellEnd"/>
      <w:r w:rsidR="00AE3C81" w:rsidRPr="003620AE">
        <w:rPr>
          <w:rFonts w:cstheme="minorHAnsi"/>
          <w:lang w:val="fr-FR"/>
        </w:rPr>
        <w:t>, « Un régime pragmatique de l’arrangement. L’en-deçà du public, l’au-delà du familier </w:t>
      </w:r>
      <w:proofErr w:type="gramStart"/>
      <w:r w:rsidR="00AE3C81" w:rsidRPr="003620AE">
        <w:rPr>
          <w:rFonts w:cstheme="minorHAnsi"/>
          <w:lang w:val="fr-FR"/>
        </w:rPr>
        <w:t>»;</w:t>
      </w:r>
      <w:proofErr w:type="gramEnd"/>
      <w:r w:rsidR="00AE3C81" w:rsidRPr="003620AE">
        <w:rPr>
          <w:rFonts w:cstheme="minorHAnsi"/>
          <w:lang w:val="fr-FR"/>
        </w:rPr>
        <w:t xml:space="preserve"> </w:t>
      </w:r>
      <w:proofErr w:type="spellStart"/>
      <w:r w:rsidR="00AE3C81" w:rsidRPr="003620AE">
        <w:rPr>
          <w:rFonts w:cstheme="minorHAnsi"/>
          <w:lang w:val="fr-FR"/>
        </w:rPr>
        <w:t>Nachi</w:t>
      </w:r>
      <w:proofErr w:type="spellEnd"/>
      <w:r w:rsidR="00AE3C81" w:rsidRPr="003620AE">
        <w:rPr>
          <w:rFonts w:cstheme="minorHAnsi"/>
          <w:lang w:val="fr-FR"/>
        </w:rPr>
        <w:t>, « Arrangement ».</w:t>
      </w:r>
      <w:r w:rsidRPr="003620AE">
        <w:rPr>
          <w:rFonts w:cstheme="minorHAnsi"/>
          <w:lang w:val="fr-FR"/>
        </w:rPr>
        <w:fldChar w:fldCharType="end"/>
      </w:r>
    </w:p>
  </w:footnote>
  <w:footnote w:id="51">
    <w:p w14:paraId="5C7F6D23" w14:textId="53B55D5E" w:rsidR="00AE3C81" w:rsidRPr="003620AE" w:rsidRDefault="00AE3C81" w:rsidP="00DF197A">
      <w:pPr>
        <w:pStyle w:val="Notedebasdepage"/>
        <w:jc w:val="both"/>
        <w:rPr>
          <w:rFonts w:cstheme="minorHAnsi"/>
          <w:lang w:val="fr-FR"/>
        </w:rPr>
      </w:pPr>
      <w:r w:rsidRPr="003620AE">
        <w:rPr>
          <w:rStyle w:val="Appelnotedebasdep"/>
          <w:rFonts w:cstheme="minorHAnsi"/>
          <w:lang w:val="fr-FR"/>
        </w:rPr>
        <w:footnoteRef/>
      </w:r>
      <w:r w:rsidRPr="003620AE">
        <w:rPr>
          <w:rFonts w:cstheme="minorHAnsi"/>
          <w:lang w:val="fr-FR"/>
        </w:rPr>
        <w:t xml:space="preserve"> </w:t>
      </w:r>
      <w:r w:rsidRPr="003620AE">
        <w:rPr>
          <w:rFonts w:cstheme="minorHAnsi"/>
          <w:lang w:val="fr-FR"/>
        </w:rPr>
        <w:fldChar w:fldCharType="begin"/>
      </w:r>
      <w:r w:rsidRPr="003620AE">
        <w:rPr>
          <w:rFonts w:cstheme="minorHAnsi"/>
          <w:lang w:val="fr-FR"/>
        </w:rPr>
        <w:instrText xml:space="preserve"> ADDIN ZOTERO_ITEM CSL_CITATION {"citationID":"BxFu004O","properties":{"formattedCitation":"Nachi, \\uc0\\u171{}\\uc0\\u160{}Un r\\uc0\\u233{}gime pragmatique de l\\uc0\\u8217{}arrangement. L\\uc0\\u8217{}en-de\\uc0\\u231{}\\uc0\\u224{} du public, l\\uc0\\u8217{}au-del\\uc0\\u224{} du familier\\uc0\\u160{}\\uc0\\u187{}, 73.","plainCitation":"Nachi, « Un régime pragmatique de l’arrangement. L’en-deçà du public, l’au-delà du familier », 73.","noteIndex":40},"citationItems":[{"id":468,"uris":["http://zotero.org/users/local/c0m081EH/items/W9W7FYC3"],"itemData":{"id":468,"type":"article-journal","abstract":"In this paper, I propose to define the properties of a new pragmatic regime of action, which I have appointed as the « regime of the arrangement ». After a review of some work on regime of action developed from the perspective of pragmatic sociology, I underlined the importance of faces of arrangement in different areas of social life. By pointing out the semantic ambiguity of the arrangement, I have been able to identify the provisions, resources and practical modalities that allow me to consider it as a hybrid regime that is positioned beyond the familiar, but below the public.","container-title":"SocietàMutamentoPolitica","issue":"23","language":"fr","page":"63-79","source":"Zotero","title":"Un régime pragmatique de l’arrangement. L’en-deçà du public, l’au-delà du familier","volume":"12","author":[{"family":"Nachi","given":"Mohamed"}],"issued":{"date-parts":[["2021"]]}},"locator":"73","label":"page"}],"schema":"https://github.com/citation-style-language/schema/raw/master/csl-citation.json"} </w:instrText>
      </w:r>
      <w:r w:rsidRPr="003620AE">
        <w:rPr>
          <w:rFonts w:cstheme="minorHAnsi"/>
          <w:lang w:val="fr-FR"/>
        </w:rPr>
        <w:fldChar w:fldCharType="separate"/>
      </w:r>
      <w:proofErr w:type="spellStart"/>
      <w:r w:rsidRPr="003620AE">
        <w:rPr>
          <w:rFonts w:cstheme="minorHAnsi"/>
          <w:lang w:val="fr-FR"/>
        </w:rPr>
        <w:t>Nachi</w:t>
      </w:r>
      <w:proofErr w:type="spellEnd"/>
      <w:r w:rsidRPr="003620AE">
        <w:rPr>
          <w:rFonts w:cstheme="minorHAnsi"/>
          <w:lang w:val="fr-FR"/>
        </w:rPr>
        <w:t xml:space="preserve">, « Un régime pragmatique de l’arrangement. L’en-deçà du public, l’au-delà du familier », </w:t>
      </w:r>
      <w:r w:rsidR="007734D2">
        <w:rPr>
          <w:rFonts w:cstheme="minorHAnsi"/>
          <w:lang w:val="fr-FR"/>
        </w:rPr>
        <w:t xml:space="preserve">p. </w:t>
      </w:r>
      <w:r w:rsidRPr="003620AE">
        <w:rPr>
          <w:rFonts w:cstheme="minorHAnsi"/>
          <w:lang w:val="fr-FR"/>
        </w:rPr>
        <w:t>73.</w:t>
      </w:r>
      <w:r w:rsidRPr="003620AE">
        <w:rPr>
          <w:rFonts w:cstheme="minorHAnsi"/>
          <w:lang w:val="fr-FR"/>
        </w:rPr>
        <w:fldChar w:fldCharType="end"/>
      </w:r>
    </w:p>
  </w:footnote>
  <w:footnote w:id="52">
    <w:p w14:paraId="0028DB2A" w14:textId="6C7100D3" w:rsidR="00AE3C81" w:rsidRPr="003620AE" w:rsidRDefault="00AE3C81" w:rsidP="00DF197A">
      <w:pPr>
        <w:pStyle w:val="Notedebasdepage"/>
        <w:jc w:val="both"/>
        <w:rPr>
          <w:rFonts w:cstheme="minorHAnsi"/>
          <w:lang w:val="fr-FR"/>
        </w:rPr>
      </w:pPr>
      <w:r w:rsidRPr="003620AE">
        <w:rPr>
          <w:rStyle w:val="Appelnotedebasdep"/>
          <w:rFonts w:cstheme="minorHAnsi"/>
          <w:lang w:val="fr-FR"/>
        </w:rPr>
        <w:footnoteRef/>
      </w:r>
      <w:r w:rsidRPr="003620AE">
        <w:rPr>
          <w:rFonts w:cstheme="minorHAnsi"/>
          <w:lang w:val="fr-FR"/>
        </w:rPr>
        <w:t xml:space="preserve"> </w:t>
      </w:r>
      <w:r w:rsidRPr="003620AE">
        <w:rPr>
          <w:rFonts w:cstheme="minorHAnsi"/>
          <w:lang w:val="fr-FR"/>
        </w:rPr>
        <w:fldChar w:fldCharType="begin"/>
      </w:r>
      <w:r w:rsidRPr="003620AE">
        <w:rPr>
          <w:rFonts w:cstheme="minorHAnsi"/>
          <w:lang w:val="fr-FR"/>
        </w:rPr>
        <w:instrText xml:space="preserve"> ADDIN ZOTERO_ITEM CSL_CITATION {"citationID":"9orJ1peL","properties":{"formattedCitation":"Nachi, 68.","plainCitation":"Nachi, 68.","noteIndex":41},"citationItems":[{"id":468,"uris":["http://zotero.org/users/local/c0m081EH/items/W9W7FYC3"],"itemData":{"id":468,"type":"article-journal","abstract":"In this paper, I propose to define the properties of a new pragmatic regime of action, which I have appointed as the « regime of the arrangement ». After a review of some work on regime of action developed from the perspective of pragmatic sociology, I underlined the importance of faces of arrangement in different areas of social life. By pointing out the semantic ambiguity of the arrangement, I have been able to identify the provisions, resources and practical modalities that allow me to consider it as a hybrid regime that is positioned beyond the familiar, but below the public.","container-title":"SocietàMutamentoPolitica","issue":"23","language":"fr","page":"63-79","source":"Zotero","title":"Un régime pragmatique de l’arrangement. L’en-deçà du public, l’au-delà du familier","volume":"12","author":[{"family":"Nachi","given":"Mohamed"}],"issued":{"date-parts":[["2021"]]}},"locator":"68","label":"page"}],"schema":"https://github.com/citation-style-language/schema/raw/master/csl-citation.json"} </w:instrText>
      </w:r>
      <w:r w:rsidRPr="003620AE">
        <w:rPr>
          <w:rFonts w:cstheme="minorHAnsi"/>
          <w:lang w:val="fr-FR"/>
        </w:rPr>
        <w:fldChar w:fldCharType="separate"/>
      </w:r>
      <w:r w:rsidRPr="003620AE">
        <w:rPr>
          <w:rFonts w:cstheme="minorHAnsi"/>
          <w:noProof/>
          <w:lang w:val="fr-FR"/>
        </w:rPr>
        <w:t xml:space="preserve">Nachi, </w:t>
      </w:r>
      <w:r w:rsidR="007734D2">
        <w:rPr>
          <w:rFonts w:cstheme="minorHAnsi"/>
          <w:noProof/>
          <w:lang w:val="fr-FR"/>
        </w:rPr>
        <w:t xml:space="preserve">p. </w:t>
      </w:r>
      <w:r w:rsidRPr="003620AE">
        <w:rPr>
          <w:rFonts w:cstheme="minorHAnsi"/>
          <w:noProof/>
          <w:lang w:val="fr-FR"/>
        </w:rPr>
        <w:t>68.</w:t>
      </w:r>
      <w:r w:rsidRPr="003620AE">
        <w:rPr>
          <w:rFonts w:cstheme="minorHAnsi"/>
          <w:lang w:val="fr-FR"/>
        </w:rPr>
        <w:fldChar w:fldCharType="end"/>
      </w:r>
    </w:p>
  </w:footnote>
  <w:footnote w:id="53">
    <w:p w14:paraId="1724F891" w14:textId="00301D29" w:rsidR="00AE3C81" w:rsidRPr="003620AE" w:rsidRDefault="00AE3C81" w:rsidP="00DF197A">
      <w:pPr>
        <w:pStyle w:val="Notedebasdepage"/>
        <w:jc w:val="both"/>
        <w:rPr>
          <w:rFonts w:cstheme="minorHAnsi"/>
          <w:lang w:val="fr-FR"/>
        </w:rPr>
      </w:pPr>
      <w:r w:rsidRPr="003620AE">
        <w:rPr>
          <w:rStyle w:val="Appelnotedebasdep"/>
          <w:rFonts w:cstheme="minorHAnsi"/>
          <w:lang w:val="fr-FR"/>
        </w:rPr>
        <w:footnoteRef/>
      </w:r>
      <w:r w:rsidRPr="003620AE">
        <w:rPr>
          <w:rFonts w:cstheme="minorHAnsi"/>
          <w:lang w:val="fr-FR"/>
        </w:rPr>
        <w:t xml:space="preserve"> </w:t>
      </w:r>
      <w:r w:rsidRPr="003620AE">
        <w:rPr>
          <w:rFonts w:cstheme="minorHAnsi"/>
          <w:lang w:val="fr-FR"/>
        </w:rPr>
        <w:fldChar w:fldCharType="begin"/>
      </w:r>
      <w:r w:rsidRPr="003620AE">
        <w:rPr>
          <w:rFonts w:cstheme="minorHAnsi"/>
          <w:lang w:val="fr-FR"/>
        </w:rPr>
        <w:instrText xml:space="preserve"> ADDIN ZOTERO_ITEM CSL_CITATION {"citationID":"HmeFaPzn","properties":{"formattedCitation":"Ludwig Wittgenstein, {\\i{}Recherches philosophiques} (Paris: Gallimard, 2014).","plainCitation":"Ludwig Wittgenstein, Recherches philosophiques (Paris: Gallimard, 2014).","noteIndex":42},"citationItems":[{"id":518,"uris":["http://zotero.org/users/local/c0m081EH/items/JFJMYVVJ"],"itemData":{"id":518,"type":"book","call-number":"193","event-place":"Paris","ISBN":"978-2-07-014147-0","language":"fre","publisher":"Gallimard","publisher-place":"Paris","source":"BnF ISBN","title":"Recherches philosophiques","author":[{"family":"Wittgenstein","given":"Ludwig"}],"issued":{"date-parts":[["2014"]]}}}],"schema":"https://github.com/citation-style-language/schema/raw/master/csl-citation.json"} </w:instrText>
      </w:r>
      <w:r w:rsidRPr="003620AE">
        <w:rPr>
          <w:rFonts w:cstheme="minorHAnsi"/>
          <w:lang w:val="fr-FR"/>
        </w:rPr>
        <w:fldChar w:fldCharType="separate"/>
      </w:r>
      <w:r w:rsidRPr="003620AE">
        <w:rPr>
          <w:rFonts w:cstheme="minorHAnsi"/>
          <w:lang w:val="fr-FR"/>
        </w:rPr>
        <w:t xml:space="preserve">Wittgenstein, </w:t>
      </w:r>
      <w:r w:rsidRPr="003620AE">
        <w:rPr>
          <w:rFonts w:cstheme="minorHAnsi"/>
          <w:i/>
          <w:iCs/>
          <w:lang w:val="fr-FR"/>
        </w:rPr>
        <w:t>Recherches philosophiques</w:t>
      </w:r>
      <w:r w:rsidR="00B87759" w:rsidRPr="003620AE">
        <w:rPr>
          <w:rFonts w:cstheme="minorHAnsi"/>
          <w:lang w:val="fr-FR"/>
        </w:rPr>
        <w:t>.</w:t>
      </w:r>
      <w:r w:rsidRPr="003620AE">
        <w:rPr>
          <w:rFonts w:cstheme="minorHAnsi"/>
          <w:lang w:val="fr-FR"/>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0C731" w14:textId="77777777" w:rsidR="008B78E9" w:rsidRDefault="008B78E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79373" w14:textId="77777777" w:rsidR="008B78E9" w:rsidRDefault="008B78E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8775B" w14:textId="77777777" w:rsidR="008B78E9" w:rsidRDefault="008B78E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2B20D6"/>
    <w:multiLevelType w:val="hybridMultilevel"/>
    <w:tmpl w:val="4DB6A202"/>
    <w:lvl w:ilvl="0" w:tplc="CD027546">
      <w:start w:val="1"/>
      <w:numFmt w:val="lowerLetter"/>
      <w:lvlText w:val="(%1)"/>
      <w:lvlJc w:val="left"/>
      <w:pPr>
        <w:ind w:left="720" w:hanging="360"/>
      </w:pPr>
      <w:rPr>
        <w:rFonts w:asciiTheme="minorHAnsi" w:eastAsiaTheme="minorHAnsi" w:hAnsiTheme="minorHAnsi"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17A4451"/>
    <w:multiLevelType w:val="hybridMultilevel"/>
    <w:tmpl w:val="A5C29E94"/>
    <w:lvl w:ilvl="0" w:tplc="176022A6">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27368845">
    <w:abstractNumId w:val="0"/>
  </w:num>
  <w:num w:numId="2" w16cid:durableId="937635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4A"/>
    <w:rsid w:val="00044638"/>
    <w:rsid w:val="00044E98"/>
    <w:rsid w:val="000762FA"/>
    <w:rsid w:val="000862C1"/>
    <w:rsid w:val="00086D67"/>
    <w:rsid w:val="0009304D"/>
    <w:rsid w:val="00094B66"/>
    <w:rsid w:val="00094CD8"/>
    <w:rsid w:val="000B38DE"/>
    <w:rsid w:val="000C22CF"/>
    <w:rsid w:val="000C337C"/>
    <w:rsid w:val="000C5091"/>
    <w:rsid w:val="00100B3B"/>
    <w:rsid w:val="00110EBB"/>
    <w:rsid w:val="0011350E"/>
    <w:rsid w:val="001241D0"/>
    <w:rsid w:val="00131490"/>
    <w:rsid w:val="0014272D"/>
    <w:rsid w:val="00150150"/>
    <w:rsid w:val="00165A2F"/>
    <w:rsid w:val="00167060"/>
    <w:rsid w:val="00173201"/>
    <w:rsid w:val="00175FDE"/>
    <w:rsid w:val="00181332"/>
    <w:rsid w:val="001932DF"/>
    <w:rsid w:val="001A5B6A"/>
    <w:rsid w:val="001D4926"/>
    <w:rsid w:val="001E287F"/>
    <w:rsid w:val="001E5300"/>
    <w:rsid w:val="002136AF"/>
    <w:rsid w:val="00214155"/>
    <w:rsid w:val="002236A3"/>
    <w:rsid w:val="00224202"/>
    <w:rsid w:val="00250671"/>
    <w:rsid w:val="00252375"/>
    <w:rsid w:val="002B0668"/>
    <w:rsid w:val="002B264A"/>
    <w:rsid w:val="002C0970"/>
    <w:rsid w:val="002E56AC"/>
    <w:rsid w:val="002F2FED"/>
    <w:rsid w:val="00307910"/>
    <w:rsid w:val="003572F2"/>
    <w:rsid w:val="0036138D"/>
    <w:rsid w:val="003620AE"/>
    <w:rsid w:val="00380E3F"/>
    <w:rsid w:val="00383ABB"/>
    <w:rsid w:val="00391BDC"/>
    <w:rsid w:val="003A02AE"/>
    <w:rsid w:val="003B2B55"/>
    <w:rsid w:val="003B5D2D"/>
    <w:rsid w:val="003B6824"/>
    <w:rsid w:val="003E6AD8"/>
    <w:rsid w:val="003F08AD"/>
    <w:rsid w:val="003F591A"/>
    <w:rsid w:val="003F67CF"/>
    <w:rsid w:val="003F6EF6"/>
    <w:rsid w:val="0040094F"/>
    <w:rsid w:val="00424CB3"/>
    <w:rsid w:val="00433823"/>
    <w:rsid w:val="00433AB0"/>
    <w:rsid w:val="00435690"/>
    <w:rsid w:val="0043662F"/>
    <w:rsid w:val="0047662E"/>
    <w:rsid w:val="004776D4"/>
    <w:rsid w:val="00481C8A"/>
    <w:rsid w:val="00487B16"/>
    <w:rsid w:val="00490296"/>
    <w:rsid w:val="004972BC"/>
    <w:rsid w:val="004A2880"/>
    <w:rsid w:val="004B7F8A"/>
    <w:rsid w:val="0050034B"/>
    <w:rsid w:val="00507556"/>
    <w:rsid w:val="00513C49"/>
    <w:rsid w:val="0051785E"/>
    <w:rsid w:val="005209B6"/>
    <w:rsid w:val="00531AE3"/>
    <w:rsid w:val="00536065"/>
    <w:rsid w:val="00550671"/>
    <w:rsid w:val="00553BC4"/>
    <w:rsid w:val="00563196"/>
    <w:rsid w:val="005B468D"/>
    <w:rsid w:val="005B7CB3"/>
    <w:rsid w:val="005E55EC"/>
    <w:rsid w:val="005F0BF2"/>
    <w:rsid w:val="00613DDE"/>
    <w:rsid w:val="00616340"/>
    <w:rsid w:val="006256EB"/>
    <w:rsid w:val="00637B8B"/>
    <w:rsid w:val="00643DBC"/>
    <w:rsid w:val="00650F8C"/>
    <w:rsid w:val="00652C1D"/>
    <w:rsid w:val="00661365"/>
    <w:rsid w:val="0066209E"/>
    <w:rsid w:val="00670F6C"/>
    <w:rsid w:val="00676997"/>
    <w:rsid w:val="006775C5"/>
    <w:rsid w:val="00683D38"/>
    <w:rsid w:val="00686E08"/>
    <w:rsid w:val="006A3F5D"/>
    <w:rsid w:val="006D6DCC"/>
    <w:rsid w:val="006E6B29"/>
    <w:rsid w:val="006F3FC5"/>
    <w:rsid w:val="006F698E"/>
    <w:rsid w:val="007000B0"/>
    <w:rsid w:val="00703331"/>
    <w:rsid w:val="00707F5C"/>
    <w:rsid w:val="00720059"/>
    <w:rsid w:val="007246BB"/>
    <w:rsid w:val="00727A49"/>
    <w:rsid w:val="00734E06"/>
    <w:rsid w:val="007372A0"/>
    <w:rsid w:val="00742C1D"/>
    <w:rsid w:val="00744BA0"/>
    <w:rsid w:val="00757116"/>
    <w:rsid w:val="007647E7"/>
    <w:rsid w:val="007734D2"/>
    <w:rsid w:val="00786A04"/>
    <w:rsid w:val="00794C27"/>
    <w:rsid w:val="007960CC"/>
    <w:rsid w:val="00796435"/>
    <w:rsid w:val="007A2A73"/>
    <w:rsid w:val="007C2FCB"/>
    <w:rsid w:val="007C6388"/>
    <w:rsid w:val="007C65C8"/>
    <w:rsid w:val="007C6691"/>
    <w:rsid w:val="007D6276"/>
    <w:rsid w:val="007F2E84"/>
    <w:rsid w:val="007F6F8C"/>
    <w:rsid w:val="00814F95"/>
    <w:rsid w:val="0081515A"/>
    <w:rsid w:val="00820661"/>
    <w:rsid w:val="008553AC"/>
    <w:rsid w:val="008574B5"/>
    <w:rsid w:val="00867A84"/>
    <w:rsid w:val="00871BE3"/>
    <w:rsid w:val="008803FD"/>
    <w:rsid w:val="008A2BAB"/>
    <w:rsid w:val="008B358C"/>
    <w:rsid w:val="008B78E9"/>
    <w:rsid w:val="008F2494"/>
    <w:rsid w:val="008F64FB"/>
    <w:rsid w:val="00901341"/>
    <w:rsid w:val="00931C4B"/>
    <w:rsid w:val="009362E7"/>
    <w:rsid w:val="00936E4B"/>
    <w:rsid w:val="009572C1"/>
    <w:rsid w:val="00972E27"/>
    <w:rsid w:val="009752A7"/>
    <w:rsid w:val="00975AF6"/>
    <w:rsid w:val="00983C65"/>
    <w:rsid w:val="00987A4C"/>
    <w:rsid w:val="009927C7"/>
    <w:rsid w:val="009B4CD6"/>
    <w:rsid w:val="009D3D36"/>
    <w:rsid w:val="009D6C84"/>
    <w:rsid w:val="009E2A18"/>
    <w:rsid w:val="009E36E8"/>
    <w:rsid w:val="009F344D"/>
    <w:rsid w:val="009F6A1A"/>
    <w:rsid w:val="00A0658E"/>
    <w:rsid w:val="00A10593"/>
    <w:rsid w:val="00A12FF6"/>
    <w:rsid w:val="00A414F0"/>
    <w:rsid w:val="00A75A96"/>
    <w:rsid w:val="00A91223"/>
    <w:rsid w:val="00AA7C63"/>
    <w:rsid w:val="00AC066E"/>
    <w:rsid w:val="00AC0F3C"/>
    <w:rsid w:val="00AC38A2"/>
    <w:rsid w:val="00AD7304"/>
    <w:rsid w:val="00AE3C81"/>
    <w:rsid w:val="00AE42AD"/>
    <w:rsid w:val="00AF2705"/>
    <w:rsid w:val="00B35171"/>
    <w:rsid w:val="00B62993"/>
    <w:rsid w:val="00B62AA6"/>
    <w:rsid w:val="00B647A0"/>
    <w:rsid w:val="00B6496D"/>
    <w:rsid w:val="00B71C53"/>
    <w:rsid w:val="00B778EA"/>
    <w:rsid w:val="00B87759"/>
    <w:rsid w:val="00B91381"/>
    <w:rsid w:val="00B942F2"/>
    <w:rsid w:val="00BC1AF7"/>
    <w:rsid w:val="00BD0F4D"/>
    <w:rsid w:val="00BD1D0A"/>
    <w:rsid w:val="00BD5B73"/>
    <w:rsid w:val="00BE2EC0"/>
    <w:rsid w:val="00BE7E5B"/>
    <w:rsid w:val="00BF1D63"/>
    <w:rsid w:val="00C03905"/>
    <w:rsid w:val="00C2096F"/>
    <w:rsid w:val="00C215EB"/>
    <w:rsid w:val="00C2548C"/>
    <w:rsid w:val="00C342C6"/>
    <w:rsid w:val="00C47EFC"/>
    <w:rsid w:val="00C821A0"/>
    <w:rsid w:val="00CC38F8"/>
    <w:rsid w:val="00CC605D"/>
    <w:rsid w:val="00CC7289"/>
    <w:rsid w:val="00CD6013"/>
    <w:rsid w:val="00D02703"/>
    <w:rsid w:val="00D0507C"/>
    <w:rsid w:val="00D243AD"/>
    <w:rsid w:val="00D40984"/>
    <w:rsid w:val="00D4467E"/>
    <w:rsid w:val="00D50082"/>
    <w:rsid w:val="00D63EA3"/>
    <w:rsid w:val="00D67CE7"/>
    <w:rsid w:val="00D812FB"/>
    <w:rsid w:val="00D8400E"/>
    <w:rsid w:val="00DA5E4C"/>
    <w:rsid w:val="00DC4A8E"/>
    <w:rsid w:val="00DC5C5A"/>
    <w:rsid w:val="00DD238C"/>
    <w:rsid w:val="00DD350A"/>
    <w:rsid w:val="00DF197A"/>
    <w:rsid w:val="00E1336A"/>
    <w:rsid w:val="00E14F0D"/>
    <w:rsid w:val="00E510F8"/>
    <w:rsid w:val="00E51478"/>
    <w:rsid w:val="00E54094"/>
    <w:rsid w:val="00E73517"/>
    <w:rsid w:val="00E740E3"/>
    <w:rsid w:val="00E75489"/>
    <w:rsid w:val="00E91D90"/>
    <w:rsid w:val="00EB33D3"/>
    <w:rsid w:val="00EC18A4"/>
    <w:rsid w:val="00ED0F59"/>
    <w:rsid w:val="00ED4EB2"/>
    <w:rsid w:val="00EE7D80"/>
    <w:rsid w:val="00F14813"/>
    <w:rsid w:val="00F479C5"/>
    <w:rsid w:val="00F55FE6"/>
    <w:rsid w:val="00F64BF3"/>
    <w:rsid w:val="00F85E63"/>
    <w:rsid w:val="00FA7BAD"/>
    <w:rsid w:val="00FB699E"/>
    <w:rsid w:val="00FB7915"/>
    <w:rsid w:val="00FC2E36"/>
    <w:rsid w:val="00FC6968"/>
    <w:rsid w:val="00FD28A3"/>
    <w:rsid w:val="00FD42D9"/>
    <w:rsid w:val="00FE4639"/>
    <w:rsid w:val="00FE676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FCC8"/>
  <w15:chartTrackingRefBased/>
  <w15:docId w15:val="{BD1ACF9E-8767-8347-A146-217195D0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B264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F34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9F344D"/>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B264A"/>
    <w:rPr>
      <w:sz w:val="20"/>
      <w:szCs w:val="20"/>
    </w:rPr>
  </w:style>
  <w:style w:type="character" w:customStyle="1" w:styleId="NotedebasdepageCar">
    <w:name w:val="Note de bas de page Car"/>
    <w:basedOn w:val="Policepardfaut"/>
    <w:link w:val="Notedebasdepage"/>
    <w:uiPriority w:val="99"/>
    <w:semiHidden/>
    <w:rsid w:val="002B264A"/>
    <w:rPr>
      <w:sz w:val="20"/>
      <w:szCs w:val="20"/>
    </w:rPr>
  </w:style>
  <w:style w:type="character" w:styleId="Appelnotedebasdep">
    <w:name w:val="footnote reference"/>
    <w:basedOn w:val="Policepardfaut"/>
    <w:uiPriority w:val="99"/>
    <w:semiHidden/>
    <w:unhideWhenUsed/>
    <w:rsid w:val="002B264A"/>
    <w:rPr>
      <w:vertAlign w:val="superscript"/>
    </w:rPr>
  </w:style>
  <w:style w:type="character" w:customStyle="1" w:styleId="Titre1Car">
    <w:name w:val="Titre 1 Car"/>
    <w:basedOn w:val="Policepardfaut"/>
    <w:link w:val="Titre1"/>
    <w:uiPriority w:val="9"/>
    <w:rsid w:val="002B264A"/>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9F344D"/>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9F344D"/>
    <w:rPr>
      <w:rFonts w:asciiTheme="majorHAnsi" w:eastAsiaTheme="majorEastAsia" w:hAnsiTheme="majorHAnsi" w:cstheme="majorBidi"/>
      <w:color w:val="1F3763" w:themeColor="accent1" w:themeShade="7F"/>
    </w:rPr>
  </w:style>
  <w:style w:type="paragraph" w:styleId="Paragraphedeliste">
    <w:name w:val="List Paragraph"/>
    <w:basedOn w:val="Normal"/>
    <w:uiPriority w:val="34"/>
    <w:qFormat/>
    <w:rsid w:val="009F344D"/>
    <w:pPr>
      <w:ind w:left="720"/>
      <w:contextualSpacing/>
    </w:pPr>
  </w:style>
  <w:style w:type="paragraph" w:customStyle="1" w:styleId="Bibliographie1">
    <w:name w:val="Bibliographie1"/>
    <w:basedOn w:val="Normal"/>
    <w:link w:val="BibliographyCar"/>
    <w:rsid w:val="00613DDE"/>
    <w:pPr>
      <w:ind w:left="720" w:hanging="720"/>
      <w:jc w:val="both"/>
    </w:pPr>
  </w:style>
  <w:style w:type="character" w:customStyle="1" w:styleId="BibliographyCar">
    <w:name w:val="Bibliography Car"/>
    <w:basedOn w:val="Policepardfaut"/>
    <w:link w:val="Bibliographie1"/>
    <w:rsid w:val="00613DDE"/>
  </w:style>
  <w:style w:type="paragraph" w:styleId="En-tte">
    <w:name w:val="header"/>
    <w:basedOn w:val="Normal"/>
    <w:link w:val="En-tteCar"/>
    <w:uiPriority w:val="99"/>
    <w:unhideWhenUsed/>
    <w:rsid w:val="00683D38"/>
    <w:pPr>
      <w:tabs>
        <w:tab w:val="center" w:pos="4536"/>
        <w:tab w:val="right" w:pos="9072"/>
      </w:tabs>
    </w:pPr>
  </w:style>
  <w:style w:type="character" w:customStyle="1" w:styleId="En-tteCar">
    <w:name w:val="En-tête Car"/>
    <w:basedOn w:val="Policepardfaut"/>
    <w:link w:val="En-tte"/>
    <w:uiPriority w:val="99"/>
    <w:rsid w:val="00683D38"/>
  </w:style>
  <w:style w:type="paragraph" w:styleId="Pieddepage">
    <w:name w:val="footer"/>
    <w:basedOn w:val="Normal"/>
    <w:link w:val="PieddepageCar"/>
    <w:uiPriority w:val="99"/>
    <w:unhideWhenUsed/>
    <w:rsid w:val="00683D38"/>
    <w:pPr>
      <w:tabs>
        <w:tab w:val="center" w:pos="4536"/>
        <w:tab w:val="right" w:pos="9072"/>
      </w:tabs>
    </w:pPr>
  </w:style>
  <w:style w:type="character" w:customStyle="1" w:styleId="PieddepageCar">
    <w:name w:val="Pied de page Car"/>
    <w:basedOn w:val="Policepardfaut"/>
    <w:link w:val="Pieddepage"/>
    <w:uiPriority w:val="99"/>
    <w:rsid w:val="00683D38"/>
  </w:style>
  <w:style w:type="character" w:styleId="Numrodepage">
    <w:name w:val="page number"/>
    <w:basedOn w:val="Policepardfaut"/>
    <w:uiPriority w:val="99"/>
    <w:semiHidden/>
    <w:unhideWhenUsed/>
    <w:rsid w:val="00683D38"/>
  </w:style>
  <w:style w:type="paragraph" w:styleId="En-ttedetabledesmatires">
    <w:name w:val="TOC Heading"/>
    <w:basedOn w:val="Titre1"/>
    <w:next w:val="Normal"/>
    <w:uiPriority w:val="39"/>
    <w:unhideWhenUsed/>
    <w:qFormat/>
    <w:rsid w:val="00383ABB"/>
    <w:pPr>
      <w:spacing w:before="480" w:line="276" w:lineRule="auto"/>
      <w:outlineLvl w:val="9"/>
    </w:pPr>
    <w:rPr>
      <w:b/>
      <w:bCs/>
      <w:sz w:val="28"/>
      <w:szCs w:val="28"/>
      <w:lang w:eastAsia="fr-FR"/>
    </w:rPr>
  </w:style>
  <w:style w:type="paragraph" w:styleId="TM1">
    <w:name w:val="toc 1"/>
    <w:basedOn w:val="Normal"/>
    <w:next w:val="Normal"/>
    <w:autoRedefine/>
    <w:uiPriority w:val="39"/>
    <w:unhideWhenUsed/>
    <w:rsid w:val="00383ABB"/>
    <w:pPr>
      <w:spacing w:before="120"/>
    </w:pPr>
    <w:rPr>
      <w:rFonts w:cstheme="minorHAnsi"/>
      <w:b/>
      <w:bCs/>
      <w:i/>
      <w:iCs/>
    </w:rPr>
  </w:style>
  <w:style w:type="paragraph" w:styleId="TM2">
    <w:name w:val="toc 2"/>
    <w:basedOn w:val="Normal"/>
    <w:next w:val="Normal"/>
    <w:autoRedefine/>
    <w:uiPriority w:val="39"/>
    <w:unhideWhenUsed/>
    <w:rsid w:val="00383ABB"/>
    <w:pPr>
      <w:spacing w:before="120"/>
      <w:ind w:left="240"/>
    </w:pPr>
    <w:rPr>
      <w:rFonts w:cstheme="minorHAnsi"/>
      <w:b/>
      <w:bCs/>
      <w:sz w:val="22"/>
      <w:szCs w:val="22"/>
    </w:rPr>
  </w:style>
  <w:style w:type="paragraph" w:styleId="TM3">
    <w:name w:val="toc 3"/>
    <w:basedOn w:val="Normal"/>
    <w:next w:val="Normal"/>
    <w:autoRedefine/>
    <w:uiPriority w:val="39"/>
    <w:unhideWhenUsed/>
    <w:rsid w:val="00383ABB"/>
    <w:pPr>
      <w:ind w:left="480"/>
    </w:pPr>
    <w:rPr>
      <w:rFonts w:cstheme="minorHAnsi"/>
      <w:sz w:val="20"/>
      <w:szCs w:val="20"/>
    </w:rPr>
  </w:style>
  <w:style w:type="character" w:styleId="Lienhypertexte">
    <w:name w:val="Hyperlink"/>
    <w:basedOn w:val="Policepardfaut"/>
    <w:uiPriority w:val="99"/>
    <w:unhideWhenUsed/>
    <w:rsid w:val="00383ABB"/>
    <w:rPr>
      <w:color w:val="0563C1" w:themeColor="hyperlink"/>
      <w:u w:val="single"/>
    </w:rPr>
  </w:style>
  <w:style w:type="paragraph" w:styleId="TM4">
    <w:name w:val="toc 4"/>
    <w:basedOn w:val="Normal"/>
    <w:next w:val="Normal"/>
    <w:autoRedefine/>
    <w:uiPriority w:val="39"/>
    <w:semiHidden/>
    <w:unhideWhenUsed/>
    <w:rsid w:val="00383ABB"/>
    <w:pPr>
      <w:ind w:left="720"/>
    </w:pPr>
    <w:rPr>
      <w:rFonts w:cstheme="minorHAnsi"/>
      <w:sz w:val="20"/>
      <w:szCs w:val="20"/>
    </w:rPr>
  </w:style>
  <w:style w:type="paragraph" w:styleId="TM5">
    <w:name w:val="toc 5"/>
    <w:basedOn w:val="Normal"/>
    <w:next w:val="Normal"/>
    <w:autoRedefine/>
    <w:uiPriority w:val="39"/>
    <w:semiHidden/>
    <w:unhideWhenUsed/>
    <w:rsid w:val="00383ABB"/>
    <w:pPr>
      <w:ind w:left="960"/>
    </w:pPr>
    <w:rPr>
      <w:rFonts w:cstheme="minorHAnsi"/>
      <w:sz w:val="20"/>
      <w:szCs w:val="20"/>
    </w:rPr>
  </w:style>
  <w:style w:type="paragraph" w:styleId="TM6">
    <w:name w:val="toc 6"/>
    <w:basedOn w:val="Normal"/>
    <w:next w:val="Normal"/>
    <w:autoRedefine/>
    <w:uiPriority w:val="39"/>
    <w:semiHidden/>
    <w:unhideWhenUsed/>
    <w:rsid w:val="00383ABB"/>
    <w:pPr>
      <w:ind w:left="1200"/>
    </w:pPr>
    <w:rPr>
      <w:rFonts w:cstheme="minorHAnsi"/>
      <w:sz w:val="20"/>
      <w:szCs w:val="20"/>
    </w:rPr>
  </w:style>
  <w:style w:type="paragraph" w:styleId="TM7">
    <w:name w:val="toc 7"/>
    <w:basedOn w:val="Normal"/>
    <w:next w:val="Normal"/>
    <w:autoRedefine/>
    <w:uiPriority w:val="39"/>
    <w:semiHidden/>
    <w:unhideWhenUsed/>
    <w:rsid w:val="00383ABB"/>
    <w:pPr>
      <w:ind w:left="1440"/>
    </w:pPr>
    <w:rPr>
      <w:rFonts w:cstheme="minorHAnsi"/>
      <w:sz w:val="20"/>
      <w:szCs w:val="20"/>
    </w:rPr>
  </w:style>
  <w:style w:type="paragraph" w:styleId="TM8">
    <w:name w:val="toc 8"/>
    <w:basedOn w:val="Normal"/>
    <w:next w:val="Normal"/>
    <w:autoRedefine/>
    <w:uiPriority w:val="39"/>
    <w:semiHidden/>
    <w:unhideWhenUsed/>
    <w:rsid w:val="00383ABB"/>
    <w:pPr>
      <w:ind w:left="1680"/>
    </w:pPr>
    <w:rPr>
      <w:rFonts w:cstheme="minorHAnsi"/>
      <w:sz w:val="20"/>
      <w:szCs w:val="20"/>
    </w:rPr>
  </w:style>
  <w:style w:type="paragraph" w:styleId="TM9">
    <w:name w:val="toc 9"/>
    <w:basedOn w:val="Normal"/>
    <w:next w:val="Normal"/>
    <w:autoRedefine/>
    <w:uiPriority w:val="39"/>
    <w:semiHidden/>
    <w:unhideWhenUsed/>
    <w:rsid w:val="00383ABB"/>
    <w:pPr>
      <w:ind w:left="1920"/>
    </w:pPr>
    <w:rPr>
      <w:rFonts w:cstheme="minorHAnsi"/>
      <w:sz w:val="20"/>
      <w:szCs w:val="20"/>
    </w:rPr>
  </w:style>
  <w:style w:type="paragraph" w:styleId="Rvision">
    <w:name w:val="Revision"/>
    <w:hidden/>
    <w:uiPriority w:val="99"/>
    <w:semiHidden/>
    <w:rsid w:val="009E36E8"/>
  </w:style>
  <w:style w:type="character" w:styleId="Marquedecommentaire">
    <w:name w:val="annotation reference"/>
    <w:basedOn w:val="Policepardfaut"/>
    <w:uiPriority w:val="99"/>
    <w:semiHidden/>
    <w:unhideWhenUsed/>
    <w:rsid w:val="00FC2E36"/>
    <w:rPr>
      <w:sz w:val="16"/>
      <w:szCs w:val="16"/>
    </w:rPr>
  </w:style>
  <w:style w:type="paragraph" w:styleId="Commentaire">
    <w:name w:val="annotation text"/>
    <w:basedOn w:val="Normal"/>
    <w:link w:val="CommentaireCar"/>
    <w:uiPriority w:val="99"/>
    <w:semiHidden/>
    <w:unhideWhenUsed/>
    <w:rsid w:val="00FC2E36"/>
    <w:rPr>
      <w:sz w:val="20"/>
      <w:szCs w:val="20"/>
    </w:rPr>
  </w:style>
  <w:style w:type="character" w:customStyle="1" w:styleId="CommentaireCar">
    <w:name w:val="Commentaire Car"/>
    <w:basedOn w:val="Policepardfaut"/>
    <w:link w:val="Commentaire"/>
    <w:uiPriority w:val="99"/>
    <w:semiHidden/>
    <w:rsid w:val="00FC2E36"/>
    <w:rPr>
      <w:sz w:val="20"/>
      <w:szCs w:val="20"/>
    </w:rPr>
  </w:style>
  <w:style w:type="paragraph" w:styleId="Objetducommentaire">
    <w:name w:val="annotation subject"/>
    <w:basedOn w:val="Commentaire"/>
    <w:next w:val="Commentaire"/>
    <w:link w:val="ObjetducommentaireCar"/>
    <w:uiPriority w:val="99"/>
    <w:semiHidden/>
    <w:unhideWhenUsed/>
    <w:rsid w:val="00FC2E36"/>
    <w:rPr>
      <w:b/>
      <w:bCs/>
    </w:rPr>
  </w:style>
  <w:style w:type="character" w:customStyle="1" w:styleId="ObjetducommentaireCar">
    <w:name w:val="Objet du commentaire Car"/>
    <w:basedOn w:val="CommentaireCar"/>
    <w:link w:val="Objetducommentaire"/>
    <w:uiPriority w:val="99"/>
    <w:semiHidden/>
    <w:rsid w:val="00FC2E36"/>
    <w:rPr>
      <w:b/>
      <w:bCs/>
      <w:sz w:val="20"/>
      <w:szCs w:val="20"/>
    </w:rPr>
  </w:style>
  <w:style w:type="character" w:styleId="Appeldenotedefin">
    <w:name w:val="endnote reference"/>
    <w:basedOn w:val="Policepardfaut"/>
    <w:uiPriority w:val="99"/>
    <w:semiHidden/>
    <w:unhideWhenUsed/>
    <w:rsid w:val="00FD42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1493">
      <w:bodyDiv w:val="1"/>
      <w:marLeft w:val="0"/>
      <w:marRight w:val="0"/>
      <w:marTop w:val="0"/>
      <w:marBottom w:val="0"/>
      <w:divBdr>
        <w:top w:val="none" w:sz="0" w:space="0" w:color="auto"/>
        <w:left w:val="none" w:sz="0" w:space="0" w:color="auto"/>
        <w:bottom w:val="none" w:sz="0" w:space="0" w:color="auto"/>
        <w:right w:val="none" w:sz="0" w:space="0" w:color="auto"/>
      </w:divBdr>
      <w:divsChild>
        <w:div w:id="1431779609">
          <w:marLeft w:val="0"/>
          <w:marRight w:val="0"/>
          <w:marTop w:val="0"/>
          <w:marBottom w:val="0"/>
          <w:divBdr>
            <w:top w:val="none" w:sz="0" w:space="0" w:color="auto"/>
            <w:left w:val="none" w:sz="0" w:space="0" w:color="auto"/>
            <w:bottom w:val="none" w:sz="0" w:space="0" w:color="auto"/>
            <w:right w:val="none" w:sz="0" w:space="0" w:color="auto"/>
          </w:divBdr>
          <w:divsChild>
            <w:div w:id="1377968062">
              <w:marLeft w:val="0"/>
              <w:marRight w:val="0"/>
              <w:marTop w:val="0"/>
              <w:marBottom w:val="0"/>
              <w:divBdr>
                <w:top w:val="none" w:sz="0" w:space="0" w:color="auto"/>
                <w:left w:val="none" w:sz="0" w:space="0" w:color="auto"/>
                <w:bottom w:val="none" w:sz="0" w:space="0" w:color="auto"/>
                <w:right w:val="none" w:sz="0" w:space="0" w:color="auto"/>
              </w:divBdr>
              <w:divsChild>
                <w:div w:id="1985354549">
                  <w:marLeft w:val="0"/>
                  <w:marRight w:val="0"/>
                  <w:marTop w:val="0"/>
                  <w:marBottom w:val="0"/>
                  <w:divBdr>
                    <w:top w:val="none" w:sz="0" w:space="0" w:color="auto"/>
                    <w:left w:val="none" w:sz="0" w:space="0" w:color="auto"/>
                    <w:bottom w:val="none" w:sz="0" w:space="0" w:color="auto"/>
                    <w:right w:val="none" w:sz="0" w:space="0" w:color="auto"/>
                  </w:divBdr>
                  <w:divsChild>
                    <w:div w:id="12314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6444">
      <w:bodyDiv w:val="1"/>
      <w:marLeft w:val="0"/>
      <w:marRight w:val="0"/>
      <w:marTop w:val="0"/>
      <w:marBottom w:val="0"/>
      <w:divBdr>
        <w:top w:val="none" w:sz="0" w:space="0" w:color="auto"/>
        <w:left w:val="none" w:sz="0" w:space="0" w:color="auto"/>
        <w:bottom w:val="none" w:sz="0" w:space="0" w:color="auto"/>
        <w:right w:val="none" w:sz="0" w:space="0" w:color="auto"/>
      </w:divBdr>
      <w:divsChild>
        <w:div w:id="1727794757">
          <w:marLeft w:val="0"/>
          <w:marRight w:val="0"/>
          <w:marTop w:val="0"/>
          <w:marBottom w:val="0"/>
          <w:divBdr>
            <w:top w:val="none" w:sz="0" w:space="0" w:color="auto"/>
            <w:left w:val="none" w:sz="0" w:space="0" w:color="auto"/>
            <w:bottom w:val="none" w:sz="0" w:space="0" w:color="auto"/>
            <w:right w:val="none" w:sz="0" w:space="0" w:color="auto"/>
          </w:divBdr>
          <w:divsChild>
            <w:div w:id="525487546">
              <w:marLeft w:val="0"/>
              <w:marRight w:val="0"/>
              <w:marTop w:val="0"/>
              <w:marBottom w:val="0"/>
              <w:divBdr>
                <w:top w:val="none" w:sz="0" w:space="0" w:color="auto"/>
                <w:left w:val="none" w:sz="0" w:space="0" w:color="auto"/>
                <w:bottom w:val="none" w:sz="0" w:space="0" w:color="auto"/>
                <w:right w:val="none" w:sz="0" w:space="0" w:color="auto"/>
              </w:divBdr>
              <w:divsChild>
                <w:div w:id="18638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555653">
      <w:bodyDiv w:val="1"/>
      <w:marLeft w:val="0"/>
      <w:marRight w:val="0"/>
      <w:marTop w:val="0"/>
      <w:marBottom w:val="0"/>
      <w:divBdr>
        <w:top w:val="none" w:sz="0" w:space="0" w:color="auto"/>
        <w:left w:val="none" w:sz="0" w:space="0" w:color="auto"/>
        <w:bottom w:val="none" w:sz="0" w:space="0" w:color="auto"/>
        <w:right w:val="none" w:sz="0" w:space="0" w:color="auto"/>
      </w:divBdr>
      <w:divsChild>
        <w:div w:id="778839523">
          <w:marLeft w:val="0"/>
          <w:marRight w:val="0"/>
          <w:marTop w:val="0"/>
          <w:marBottom w:val="0"/>
          <w:divBdr>
            <w:top w:val="none" w:sz="0" w:space="0" w:color="auto"/>
            <w:left w:val="none" w:sz="0" w:space="0" w:color="auto"/>
            <w:bottom w:val="none" w:sz="0" w:space="0" w:color="auto"/>
            <w:right w:val="none" w:sz="0" w:space="0" w:color="auto"/>
          </w:divBdr>
          <w:divsChild>
            <w:div w:id="484517178">
              <w:marLeft w:val="0"/>
              <w:marRight w:val="0"/>
              <w:marTop w:val="0"/>
              <w:marBottom w:val="0"/>
              <w:divBdr>
                <w:top w:val="none" w:sz="0" w:space="0" w:color="auto"/>
                <w:left w:val="none" w:sz="0" w:space="0" w:color="auto"/>
                <w:bottom w:val="none" w:sz="0" w:space="0" w:color="auto"/>
                <w:right w:val="none" w:sz="0" w:space="0" w:color="auto"/>
              </w:divBdr>
              <w:divsChild>
                <w:div w:id="373585182">
                  <w:marLeft w:val="0"/>
                  <w:marRight w:val="0"/>
                  <w:marTop w:val="0"/>
                  <w:marBottom w:val="0"/>
                  <w:divBdr>
                    <w:top w:val="none" w:sz="0" w:space="0" w:color="auto"/>
                    <w:left w:val="none" w:sz="0" w:space="0" w:color="auto"/>
                    <w:bottom w:val="none" w:sz="0" w:space="0" w:color="auto"/>
                    <w:right w:val="none" w:sz="0" w:space="0" w:color="auto"/>
                  </w:divBdr>
                  <w:divsChild>
                    <w:div w:id="5173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960738">
      <w:bodyDiv w:val="1"/>
      <w:marLeft w:val="0"/>
      <w:marRight w:val="0"/>
      <w:marTop w:val="0"/>
      <w:marBottom w:val="0"/>
      <w:divBdr>
        <w:top w:val="none" w:sz="0" w:space="0" w:color="auto"/>
        <w:left w:val="none" w:sz="0" w:space="0" w:color="auto"/>
        <w:bottom w:val="none" w:sz="0" w:space="0" w:color="auto"/>
        <w:right w:val="none" w:sz="0" w:space="0" w:color="auto"/>
      </w:divBdr>
      <w:divsChild>
        <w:div w:id="914248030">
          <w:marLeft w:val="0"/>
          <w:marRight w:val="0"/>
          <w:marTop w:val="0"/>
          <w:marBottom w:val="0"/>
          <w:divBdr>
            <w:top w:val="none" w:sz="0" w:space="0" w:color="auto"/>
            <w:left w:val="none" w:sz="0" w:space="0" w:color="auto"/>
            <w:bottom w:val="none" w:sz="0" w:space="0" w:color="auto"/>
            <w:right w:val="none" w:sz="0" w:space="0" w:color="auto"/>
          </w:divBdr>
          <w:divsChild>
            <w:div w:id="241910633">
              <w:marLeft w:val="0"/>
              <w:marRight w:val="0"/>
              <w:marTop w:val="0"/>
              <w:marBottom w:val="0"/>
              <w:divBdr>
                <w:top w:val="none" w:sz="0" w:space="0" w:color="auto"/>
                <w:left w:val="none" w:sz="0" w:space="0" w:color="auto"/>
                <w:bottom w:val="none" w:sz="0" w:space="0" w:color="auto"/>
                <w:right w:val="none" w:sz="0" w:space="0" w:color="auto"/>
              </w:divBdr>
              <w:divsChild>
                <w:div w:id="85133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02917">
      <w:bodyDiv w:val="1"/>
      <w:marLeft w:val="0"/>
      <w:marRight w:val="0"/>
      <w:marTop w:val="0"/>
      <w:marBottom w:val="0"/>
      <w:divBdr>
        <w:top w:val="none" w:sz="0" w:space="0" w:color="auto"/>
        <w:left w:val="none" w:sz="0" w:space="0" w:color="auto"/>
        <w:bottom w:val="none" w:sz="0" w:space="0" w:color="auto"/>
        <w:right w:val="none" w:sz="0" w:space="0" w:color="auto"/>
      </w:divBdr>
      <w:divsChild>
        <w:div w:id="439762125">
          <w:marLeft w:val="0"/>
          <w:marRight w:val="0"/>
          <w:marTop w:val="0"/>
          <w:marBottom w:val="0"/>
          <w:divBdr>
            <w:top w:val="none" w:sz="0" w:space="0" w:color="auto"/>
            <w:left w:val="none" w:sz="0" w:space="0" w:color="auto"/>
            <w:bottom w:val="none" w:sz="0" w:space="0" w:color="auto"/>
            <w:right w:val="none" w:sz="0" w:space="0" w:color="auto"/>
          </w:divBdr>
          <w:divsChild>
            <w:div w:id="1903831317">
              <w:marLeft w:val="0"/>
              <w:marRight w:val="0"/>
              <w:marTop w:val="0"/>
              <w:marBottom w:val="0"/>
              <w:divBdr>
                <w:top w:val="none" w:sz="0" w:space="0" w:color="auto"/>
                <w:left w:val="none" w:sz="0" w:space="0" w:color="auto"/>
                <w:bottom w:val="none" w:sz="0" w:space="0" w:color="auto"/>
                <w:right w:val="none" w:sz="0" w:space="0" w:color="auto"/>
              </w:divBdr>
              <w:divsChild>
                <w:div w:id="4069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54330">
      <w:bodyDiv w:val="1"/>
      <w:marLeft w:val="0"/>
      <w:marRight w:val="0"/>
      <w:marTop w:val="0"/>
      <w:marBottom w:val="0"/>
      <w:divBdr>
        <w:top w:val="none" w:sz="0" w:space="0" w:color="auto"/>
        <w:left w:val="none" w:sz="0" w:space="0" w:color="auto"/>
        <w:bottom w:val="none" w:sz="0" w:space="0" w:color="auto"/>
        <w:right w:val="none" w:sz="0" w:space="0" w:color="auto"/>
      </w:divBdr>
      <w:divsChild>
        <w:div w:id="943877038">
          <w:marLeft w:val="0"/>
          <w:marRight w:val="0"/>
          <w:marTop w:val="0"/>
          <w:marBottom w:val="0"/>
          <w:divBdr>
            <w:top w:val="none" w:sz="0" w:space="0" w:color="auto"/>
            <w:left w:val="none" w:sz="0" w:space="0" w:color="auto"/>
            <w:bottom w:val="none" w:sz="0" w:space="0" w:color="auto"/>
            <w:right w:val="none" w:sz="0" w:space="0" w:color="auto"/>
          </w:divBdr>
          <w:divsChild>
            <w:div w:id="80223872">
              <w:marLeft w:val="0"/>
              <w:marRight w:val="0"/>
              <w:marTop w:val="0"/>
              <w:marBottom w:val="0"/>
              <w:divBdr>
                <w:top w:val="none" w:sz="0" w:space="0" w:color="auto"/>
                <w:left w:val="none" w:sz="0" w:space="0" w:color="auto"/>
                <w:bottom w:val="none" w:sz="0" w:space="0" w:color="auto"/>
                <w:right w:val="none" w:sz="0" w:space="0" w:color="auto"/>
              </w:divBdr>
              <w:divsChild>
                <w:div w:id="616445135">
                  <w:marLeft w:val="0"/>
                  <w:marRight w:val="0"/>
                  <w:marTop w:val="0"/>
                  <w:marBottom w:val="0"/>
                  <w:divBdr>
                    <w:top w:val="none" w:sz="0" w:space="0" w:color="auto"/>
                    <w:left w:val="none" w:sz="0" w:space="0" w:color="auto"/>
                    <w:bottom w:val="none" w:sz="0" w:space="0" w:color="auto"/>
                    <w:right w:val="none" w:sz="0" w:space="0" w:color="auto"/>
                  </w:divBdr>
                  <w:divsChild>
                    <w:div w:id="3246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618365">
      <w:bodyDiv w:val="1"/>
      <w:marLeft w:val="0"/>
      <w:marRight w:val="0"/>
      <w:marTop w:val="0"/>
      <w:marBottom w:val="0"/>
      <w:divBdr>
        <w:top w:val="none" w:sz="0" w:space="0" w:color="auto"/>
        <w:left w:val="none" w:sz="0" w:space="0" w:color="auto"/>
        <w:bottom w:val="none" w:sz="0" w:space="0" w:color="auto"/>
        <w:right w:val="none" w:sz="0" w:space="0" w:color="auto"/>
      </w:divBdr>
      <w:divsChild>
        <w:div w:id="571164238">
          <w:marLeft w:val="0"/>
          <w:marRight w:val="0"/>
          <w:marTop w:val="0"/>
          <w:marBottom w:val="0"/>
          <w:divBdr>
            <w:top w:val="none" w:sz="0" w:space="0" w:color="auto"/>
            <w:left w:val="none" w:sz="0" w:space="0" w:color="auto"/>
            <w:bottom w:val="none" w:sz="0" w:space="0" w:color="auto"/>
            <w:right w:val="none" w:sz="0" w:space="0" w:color="auto"/>
          </w:divBdr>
          <w:divsChild>
            <w:div w:id="1073352696">
              <w:marLeft w:val="0"/>
              <w:marRight w:val="0"/>
              <w:marTop w:val="0"/>
              <w:marBottom w:val="0"/>
              <w:divBdr>
                <w:top w:val="none" w:sz="0" w:space="0" w:color="auto"/>
                <w:left w:val="none" w:sz="0" w:space="0" w:color="auto"/>
                <w:bottom w:val="none" w:sz="0" w:space="0" w:color="auto"/>
                <w:right w:val="none" w:sz="0" w:space="0" w:color="auto"/>
              </w:divBdr>
              <w:divsChild>
                <w:div w:id="100382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164348">
      <w:bodyDiv w:val="1"/>
      <w:marLeft w:val="0"/>
      <w:marRight w:val="0"/>
      <w:marTop w:val="0"/>
      <w:marBottom w:val="0"/>
      <w:divBdr>
        <w:top w:val="none" w:sz="0" w:space="0" w:color="auto"/>
        <w:left w:val="none" w:sz="0" w:space="0" w:color="auto"/>
        <w:bottom w:val="none" w:sz="0" w:space="0" w:color="auto"/>
        <w:right w:val="none" w:sz="0" w:space="0" w:color="auto"/>
      </w:divBdr>
      <w:divsChild>
        <w:div w:id="1053386033">
          <w:marLeft w:val="0"/>
          <w:marRight w:val="0"/>
          <w:marTop w:val="0"/>
          <w:marBottom w:val="0"/>
          <w:divBdr>
            <w:top w:val="none" w:sz="0" w:space="0" w:color="auto"/>
            <w:left w:val="none" w:sz="0" w:space="0" w:color="auto"/>
            <w:bottom w:val="none" w:sz="0" w:space="0" w:color="auto"/>
            <w:right w:val="none" w:sz="0" w:space="0" w:color="auto"/>
          </w:divBdr>
          <w:divsChild>
            <w:div w:id="1247416656">
              <w:marLeft w:val="0"/>
              <w:marRight w:val="0"/>
              <w:marTop w:val="0"/>
              <w:marBottom w:val="0"/>
              <w:divBdr>
                <w:top w:val="none" w:sz="0" w:space="0" w:color="auto"/>
                <w:left w:val="none" w:sz="0" w:space="0" w:color="auto"/>
                <w:bottom w:val="none" w:sz="0" w:space="0" w:color="auto"/>
                <w:right w:val="none" w:sz="0" w:space="0" w:color="auto"/>
              </w:divBdr>
              <w:divsChild>
                <w:div w:id="14171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49800">
      <w:bodyDiv w:val="1"/>
      <w:marLeft w:val="0"/>
      <w:marRight w:val="0"/>
      <w:marTop w:val="0"/>
      <w:marBottom w:val="0"/>
      <w:divBdr>
        <w:top w:val="none" w:sz="0" w:space="0" w:color="auto"/>
        <w:left w:val="none" w:sz="0" w:space="0" w:color="auto"/>
        <w:bottom w:val="none" w:sz="0" w:space="0" w:color="auto"/>
        <w:right w:val="none" w:sz="0" w:space="0" w:color="auto"/>
      </w:divBdr>
      <w:divsChild>
        <w:div w:id="184488404">
          <w:marLeft w:val="0"/>
          <w:marRight w:val="0"/>
          <w:marTop w:val="0"/>
          <w:marBottom w:val="0"/>
          <w:divBdr>
            <w:top w:val="none" w:sz="0" w:space="0" w:color="auto"/>
            <w:left w:val="none" w:sz="0" w:space="0" w:color="auto"/>
            <w:bottom w:val="none" w:sz="0" w:space="0" w:color="auto"/>
            <w:right w:val="none" w:sz="0" w:space="0" w:color="auto"/>
          </w:divBdr>
          <w:divsChild>
            <w:div w:id="1428580339">
              <w:marLeft w:val="0"/>
              <w:marRight w:val="0"/>
              <w:marTop w:val="0"/>
              <w:marBottom w:val="0"/>
              <w:divBdr>
                <w:top w:val="none" w:sz="0" w:space="0" w:color="auto"/>
                <w:left w:val="none" w:sz="0" w:space="0" w:color="auto"/>
                <w:bottom w:val="none" w:sz="0" w:space="0" w:color="auto"/>
                <w:right w:val="none" w:sz="0" w:space="0" w:color="auto"/>
              </w:divBdr>
              <w:divsChild>
                <w:div w:id="1227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06069-8E24-634F-BDA4-F460F257C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15</Pages>
  <Words>5955</Words>
  <Characters>32753</Characters>
  <Application>Microsoft Office Word</Application>
  <DocSecurity>0</DocSecurity>
  <Lines>272</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Tasia Edgar</dc:creator>
  <cp:keywords/>
  <dc:description/>
  <cp:lastModifiedBy>Tasia Edgar</cp:lastModifiedBy>
  <cp:revision>6</cp:revision>
  <cp:lastPrinted>2022-12-13T11:00:00Z</cp:lastPrinted>
  <dcterms:created xsi:type="dcterms:W3CDTF">2023-07-10T08:22:00Z</dcterms:created>
  <dcterms:modified xsi:type="dcterms:W3CDTF">2024-11-14T16:15:00Z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id="Ef1NtQtu"/&gt;&lt;style id="http://www.zotero.org/styles/chicago-fullnote-bibliography" locale="fr-FR" hasBibliography="1" bibliographyStyleHasBeenSet="0"/&gt;&lt;prefs&gt;&lt;pref name="fieldType" value="Field"/&gt;</vt:lpwstr>
  </property>
  <property fmtid="{D5CDD505-2E9C-101B-9397-08002B2CF9AE}" pid="3" name="ZOTERO_PREF_2">
    <vt:lpwstr>&lt;pref name="noteType" value="1"/&gt;&lt;/prefs&gt;&lt;/data&gt;</vt:lpwstr>
  </property>
</Properties>
</file>