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B7563" w14:textId="77777777" w:rsidR="00B83D8D" w:rsidRDefault="00B83D8D" w:rsidP="00B83D8D">
      <w:pPr>
        <w:pStyle w:val="NormalWeb"/>
        <w:shd w:val="clear" w:color="auto" w:fill="FFFFFF"/>
        <w:spacing w:before="0" w:beforeAutospacing="0" w:after="0" w:afterAutospacing="0"/>
        <w:jc w:val="center"/>
        <w:rPr>
          <w:rStyle w:val="lev"/>
          <w:rFonts w:ascii="inherit" w:hAnsi="inherit" w:cs="Arial"/>
          <w:color w:val="22313F"/>
          <w:sz w:val="29"/>
          <w:szCs w:val="29"/>
          <w:bdr w:val="none" w:sz="0" w:space="0" w:color="auto" w:frame="1"/>
          <w:lang w:val="fr-BE"/>
        </w:rPr>
      </w:pPr>
      <w:r w:rsidRPr="00B83D8D">
        <w:rPr>
          <w:rFonts w:ascii="Calibri-Light" w:hAnsi="Calibri-Light" w:cs="Calibri-Light"/>
          <w:color w:val="2F5497"/>
          <w:sz w:val="34"/>
          <w:szCs w:val="34"/>
          <w:lang w:val="fr-BE"/>
        </w:rPr>
        <w:t>Communication individuelle</w:t>
      </w:r>
    </w:p>
    <w:p w14:paraId="62E32B1C" w14:textId="77777777" w:rsidR="00B83D8D" w:rsidRPr="00161CDB" w:rsidRDefault="00B83D8D" w:rsidP="00B83D8D">
      <w:pPr>
        <w:autoSpaceDE w:val="0"/>
        <w:autoSpaceDN w:val="0"/>
        <w:adjustRightInd w:val="0"/>
        <w:spacing w:after="0" w:line="240" w:lineRule="auto"/>
        <w:jc w:val="center"/>
        <w:rPr>
          <w:rFonts w:cstheme="minorHAnsi"/>
          <w:b/>
          <w:bCs/>
          <w:i/>
          <w:iCs/>
          <w:color w:val="000000"/>
          <w:kern w:val="0"/>
          <w:sz w:val="20"/>
          <w:szCs w:val="20"/>
          <w:lang w:val="fr-BE"/>
        </w:rPr>
      </w:pPr>
      <w:r w:rsidRPr="00161CDB">
        <w:rPr>
          <w:rFonts w:cstheme="minorHAnsi"/>
          <w:b/>
          <w:bCs/>
          <w:i/>
          <w:iCs/>
          <w:color w:val="000000"/>
          <w:kern w:val="0"/>
          <w:sz w:val="20"/>
          <w:szCs w:val="20"/>
          <w:lang w:val="fr-BE"/>
        </w:rPr>
        <w:t>Merci de pas inscrire les noms et prénoms des auteurs et intervenants dans ce document pour</w:t>
      </w:r>
    </w:p>
    <w:p w14:paraId="3FF9AA56" w14:textId="77777777" w:rsidR="00B83D8D" w:rsidRPr="00161CDB" w:rsidRDefault="00B83D8D" w:rsidP="00B83D8D">
      <w:pPr>
        <w:autoSpaceDE w:val="0"/>
        <w:autoSpaceDN w:val="0"/>
        <w:adjustRightInd w:val="0"/>
        <w:spacing w:after="0" w:line="240" w:lineRule="auto"/>
        <w:jc w:val="center"/>
        <w:rPr>
          <w:rFonts w:cstheme="minorHAnsi"/>
          <w:b/>
          <w:bCs/>
          <w:i/>
          <w:iCs/>
          <w:color w:val="000000"/>
          <w:kern w:val="0"/>
          <w:sz w:val="20"/>
          <w:szCs w:val="20"/>
          <w:lang w:val="fr-BE"/>
        </w:rPr>
      </w:pPr>
      <w:r w:rsidRPr="00161CDB">
        <w:rPr>
          <w:rFonts w:cstheme="minorHAnsi"/>
          <w:b/>
          <w:bCs/>
          <w:i/>
          <w:iCs/>
          <w:color w:val="000000"/>
          <w:kern w:val="0"/>
          <w:sz w:val="20"/>
          <w:szCs w:val="20"/>
          <w:lang w:val="fr-BE"/>
        </w:rPr>
        <w:t>l’anonymat de l’évaluation.</w:t>
      </w:r>
    </w:p>
    <w:p w14:paraId="680884EC" w14:textId="77777777" w:rsidR="00B83D8D" w:rsidRPr="00161CDB" w:rsidRDefault="00B83D8D" w:rsidP="000F026E">
      <w:pPr>
        <w:autoSpaceDE w:val="0"/>
        <w:autoSpaceDN w:val="0"/>
        <w:adjustRightInd w:val="0"/>
        <w:spacing w:after="0" w:line="240" w:lineRule="auto"/>
        <w:jc w:val="both"/>
        <w:rPr>
          <w:rFonts w:cstheme="minorHAnsi"/>
          <w:b/>
          <w:bCs/>
          <w:i/>
          <w:iCs/>
          <w:color w:val="000000"/>
          <w:kern w:val="0"/>
          <w:sz w:val="20"/>
          <w:szCs w:val="20"/>
          <w:lang w:val="fr-BE"/>
        </w:rPr>
      </w:pPr>
    </w:p>
    <w:p w14:paraId="29E05037" w14:textId="77777777" w:rsidR="00B83D8D" w:rsidRPr="00161CDB" w:rsidRDefault="00B83D8D" w:rsidP="000F026E">
      <w:pPr>
        <w:autoSpaceDE w:val="0"/>
        <w:autoSpaceDN w:val="0"/>
        <w:adjustRightInd w:val="0"/>
        <w:spacing w:after="0" w:line="240" w:lineRule="auto"/>
        <w:jc w:val="both"/>
        <w:rPr>
          <w:rFonts w:cstheme="minorHAnsi"/>
          <w:b/>
          <w:bCs/>
          <w:i/>
          <w:iCs/>
          <w:color w:val="000000"/>
          <w:kern w:val="0"/>
          <w:sz w:val="20"/>
          <w:szCs w:val="20"/>
          <w:lang w:val="fr-BE"/>
        </w:rPr>
      </w:pPr>
    </w:p>
    <w:p w14:paraId="416F4221" w14:textId="77777777" w:rsidR="003F1E42" w:rsidRPr="00161CDB" w:rsidRDefault="003F1E42" w:rsidP="000F026E">
      <w:pPr>
        <w:autoSpaceDE w:val="0"/>
        <w:autoSpaceDN w:val="0"/>
        <w:adjustRightInd w:val="0"/>
        <w:spacing w:after="0" w:line="240" w:lineRule="auto"/>
        <w:jc w:val="both"/>
        <w:rPr>
          <w:rFonts w:cstheme="minorHAnsi"/>
          <w:b/>
          <w:bCs/>
          <w:i/>
          <w:iCs/>
          <w:color w:val="000000"/>
          <w:kern w:val="0"/>
          <w:sz w:val="20"/>
          <w:szCs w:val="20"/>
          <w:lang w:val="fr-BE"/>
        </w:rPr>
      </w:pPr>
    </w:p>
    <w:p w14:paraId="1D7218D6" w14:textId="77777777" w:rsidR="00B83D8D" w:rsidRPr="00161CDB" w:rsidRDefault="00B83D8D" w:rsidP="000F026E">
      <w:pPr>
        <w:autoSpaceDE w:val="0"/>
        <w:autoSpaceDN w:val="0"/>
        <w:adjustRightInd w:val="0"/>
        <w:spacing w:after="0" w:line="240" w:lineRule="auto"/>
        <w:jc w:val="both"/>
        <w:rPr>
          <w:rFonts w:cstheme="minorHAnsi"/>
          <w:b/>
          <w:bCs/>
          <w:i/>
          <w:iCs/>
          <w:color w:val="000000"/>
          <w:kern w:val="0"/>
          <w:sz w:val="20"/>
          <w:szCs w:val="20"/>
          <w:lang w:val="fr-BE"/>
        </w:rPr>
      </w:pPr>
    </w:p>
    <w:p w14:paraId="3D2F8ED4" w14:textId="77777777" w:rsidR="00B83D8D" w:rsidRPr="00161CDB" w:rsidRDefault="00B83D8D" w:rsidP="000F026E">
      <w:pPr>
        <w:autoSpaceDE w:val="0"/>
        <w:autoSpaceDN w:val="0"/>
        <w:adjustRightInd w:val="0"/>
        <w:spacing w:after="0" w:line="240" w:lineRule="auto"/>
        <w:jc w:val="both"/>
        <w:rPr>
          <w:rFonts w:cstheme="minorHAnsi"/>
          <w:b/>
          <w:bCs/>
          <w:i/>
          <w:iCs/>
          <w:color w:val="000000"/>
          <w:kern w:val="0"/>
          <w:sz w:val="20"/>
          <w:szCs w:val="20"/>
          <w:lang w:val="fr-BE"/>
        </w:rPr>
      </w:pPr>
    </w:p>
    <w:p w14:paraId="6487209F" w14:textId="77777777" w:rsidR="00B83D8D" w:rsidRPr="00161CDB" w:rsidRDefault="00B83D8D" w:rsidP="000F026E">
      <w:pPr>
        <w:pStyle w:val="Paragraphedeliste"/>
        <w:numPr>
          <w:ilvl w:val="0"/>
          <w:numId w:val="1"/>
        </w:numPr>
        <w:autoSpaceDE w:val="0"/>
        <w:autoSpaceDN w:val="0"/>
        <w:adjustRightInd w:val="0"/>
        <w:spacing w:after="0" w:line="240" w:lineRule="auto"/>
        <w:jc w:val="both"/>
        <w:rPr>
          <w:rFonts w:cstheme="minorHAnsi"/>
          <w:b/>
          <w:bCs/>
          <w:color w:val="000000"/>
          <w:kern w:val="0"/>
          <w:sz w:val="20"/>
          <w:szCs w:val="20"/>
          <w:lang w:val="fr-BE"/>
        </w:rPr>
      </w:pPr>
      <w:r w:rsidRPr="00161CDB">
        <w:rPr>
          <w:rFonts w:cstheme="minorHAnsi"/>
          <w:b/>
          <w:bCs/>
          <w:color w:val="000000"/>
          <w:kern w:val="0"/>
          <w:sz w:val="20"/>
          <w:szCs w:val="20"/>
          <w:lang w:val="fr-BE"/>
        </w:rPr>
        <w:t>Titre de la communication</w:t>
      </w:r>
    </w:p>
    <w:p w14:paraId="38A657B4" w14:textId="77777777" w:rsidR="001340C3" w:rsidRDefault="001340C3" w:rsidP="001340C3">
      <w:r>
        <w:t>L’intention de participer à une activité de remédiation en langue française à travers le prisme de la théorie du comportement planifié</w:t>
      </w:r>
    </w:p>
    <w:p w14:paraId="7E240D57" w14:textId="77777777" w:rsidR="00B83D8D" w:rsidRPr="00161CDB" w:rsidRDefault="00B83D8D" w:rsidP="000F026E">
      <w:pPr>
        <w:autoSpaceDE w:val="0"/>
        <w:autoSpaceDN w:val="0"/>
        <w:adjustRightInd w:val="0"/>
        <w:spacing w:after="0" w:line="240" w:lineRule="auto"/>
        <w:jc w:val="both"/>
        <w:rPr>
          <w:rFonts w:cstheme="minorHAnsi"/>
          <w:color w:val="000000"/>
          <w:kern w:val="0"/>
          <w:sz w:val="20"/>
          <w:szCs w:val="20"/>
          <w:lang w:val="fr-BE"/>
        </w:rPr>
      </w:pPr>
    </w:p>
    <w:p w14:paraId="2C376D03" w14:textId="77777777" w:rsidR="00B83D8D" w:rsidRPr="00161CDB" w:rsidRDefault="00B83D8D" w:rsidP="000F026E">
      <w:pPr>
        <w:pStyle w:val="Paragraphedeliste"/>
        <w:numPr>
          <w:ilvl w:val="0"/>
          <w:numId w:val="1"/>
        </w:numPr>
        <w:autoSpaceDE w:val="0"/>
        <w:autoSpaceDN w:val="0"/>
        <w:adjustRightInd w:val="0"/>
        <w:spacing w:after="0" w:line="240" w:lineRule="auto"/>
        <w:jc w:val="both"/>
        <w:rPr>
          <w:rFonts w:cstheme="minorHAnsi"/>
          <w:b/>
          <w:bCs/>
          <w:color w:val="000000"/>
          <w:kern w:val="0"/>
          <w:sz w:val="20"/>
          <w:szCs w:val="20"/>
          <w:lang w:val="fr-BE"/>
        </w:rPr>
      </w:pPr>
      <w:r w:rsidRPr="00161CDB">
        <w:rPr>
          <w:rFonts w:cstheme="minorHAnsi"/>
          <w:b/>
          <w:bCs/>
          <w:color w:val="000000"/>
          <w:kern w:val="0"/>
          <w:sz w:val="20"/>
          <w:szCs w:val="20"/>
          <w:lang w:val="fr-BE"/>
        </w:rPr>
        <w:t xml:space="preserve">Axe ou réseau thématique </w:t>
      </w:r>
      <w:r w:rsidRPr="003B27C5">
        <w:rPr>
          <w:rFonts w:cstheme="minorHAnsi"/>
          <w:b/>
          <w:bCs/>
          <w:i/>
          <w:iCs/>
          <w:color w:val="000000"/>
          <w:kern w:val="0"/>
          <w:sz w:val="20"/>
          <w:szCs w:val="20"/>
          <w:lang w:val="fr-BE"/>
        </w:rPr>
        <w:t xml:space="preserve">(cochez </w:t>
      </w:r>
      <w:r w:rsidRPr="003B27C5">
        <w:rPr>
          <w:rFonts w:cstheme="minorHAnsi"/>
          <w:b/>
          <w:bCs/>
          <w:i/>
          <w:iCs/>
          <w:color w:val="000000"/>
          <w:kern w:val="0"/>
          <w:sz w:val="20"/>
          <w:szCs w:val="20"/>
          <w:u w:val="single"/>
          <w:lang w:val="fr-BE"/>
        </w:rPr>
        <w:t>la</w:t>
      </w:r>
      <w:r w:rsidRPr="003B27C5">
        <w:rPr>
          <w:rFonts w:cstheme="minorHAnsi"/>
          <w:b/>
          <w:bCs/>
          <w:i/>
          <w:iCs/>
          <w:color w:val="000000"/>
          <w:kern w:val="0"/>
          <w:sz w:val="20"/>
          <w:szCs w:val="20"/>
          <w:lang w:val="fr-BE"/>
        </w:rPr>
        <w:t xml:space="preserve"> case correspondante)</w:t>
      </w:r>
    </w:p>
    <w:p w14:paraId="655DE6C0" w14:textId="6C23F236" w:rsidR="00B83D8D" w:rsidRPr="00161CDB" w:rsidRDefault="00000000" w:rsidP="000F026E">
      <w:pPr>
        <w:autoSpaceDE w:val="0"/>
        <w:autoSpaceDN w:val="0"/>
        <w:adjustRightInd w:val="0"/>
        <w:spacing w:after="0" w:line="240" w:lineRule="auto"/>
        <w:jc w:val="both"/>
        <w:rPr>
          <w:rFonts w:cstheme="minorHAnsi"/>
          <w:kern w:val="0"/>
          <w:sz w:val="20"/>
          <w:szCs w:val="20"/>
          <w:lang w:val="fr-BE"/>
        </w:rPr>
      </w:pPr>
      <w:sdt>
        <w:sdtPr>
          <w:rPr>
            <w:rFonts w:cstheme="minorHAnsi"/>
            <w:kern w:val="0"/>
            <w:sz w:val="20"/>
            <w:szCs w:val="20"/>
            <w:lang w:val="fr-BE"/>
          </w:rPr>
          <w:id w:val="1967080201"/>
          <w14:checkbox>
            <w14:checked w14:val="0"/>
            <w14:checkedState w14:val="2612" w14:font="MS Gothic"/>
            <w14:uncheckedState w14:val="2610" w14:font="MS Gothic"/>
          </w14:checkbox>
        </w:sdtPr>
        <w:sdtContent>
          <w:r w:rsidR="00FA7D38">
            <w:rPr>
              <w:rFonts w:ascii="MS Gothic" w:eastAsia="MS Gothic" w:hAnsi="MS Gothic" w:cstheme="minorHAnsi" w:hint="eastAsia"/>
              <w:kern w:val="0"/>
              <w:sz w:val="20"/>
              <w:szCs w:val="20"/>
              <w:lang w:val="fr-BE"/>
            </w:rPr>
            <w:t>☐</w:t>
          </w:r>
        </w:sdtContent>
      </w:sdt>
      <w:r w:rsidR="00B83D8D" w:rsidRPr="00161CDB">
        <w:rPr>
          <w:rFonts w:cstheme="minorHAnsi"/>
          <w:kern w:val="0"/>
          <w:sz w:val="20"/>
          <w:szCs w:val="20"/>
          <w:lang w:val="fr-BE"/>
        </w:rPr>
        <w:t>Axe 1 - Les technologies au service de l'évaluation</w:t>
      </w:r>
    </w:p>
    <w:p w14:paraId="5E6A4BB5" w14:textId="5DAB95F1" w:rsidR="00B83D8D" w:rsidRPr="00161CDB" w:rsidRDefault="00000000" w:rsidP="000F026E">
      <w:pPr>
        <w:autoSpaceDE w:val="0"/>
        <w:autoSpaceDN w:val="0"/>
        <w:adjustRightInd w:val="0"/>
        <w:spacing w:after="0" w:line="240" w:lineRule="auto"/>
        <w:jc w:val="both"/>
        <w:rPr>
          <w:rFonts w:cstheme="minorHAnsi"/>
          <w:kern w:val="0"/>
          <w:sz w:val="20"/>
          <w:szCs w:val="20"/>
          <w:lang w:val="fr-BE"/>
        </w:rPr>
      </w:pPr>
      <w:sdt>
        <w:sdtPr>
          <w:rPr>
            <w:rFonts w:cstheme="minorHAnsi"/>
            <w:kern w:val="0"/>
            <w:sz w:val="20"/>
            <w:szCs w:val="20"/>
            <w:lang w:val="fr-BE"/>
          </w:rPr>
          <w:id w:val="285556806"/>
          <w14:checkbox>
            <w14:checked w14:val="0"/>
            <w14:checkedState w14:val="2612" w14:font="MS Gothic"/>
            <w14:uncheckedState w14:val="2610" w14:font="MS Gothic"/>
          </w14:checkbox>
        </w:sdtPr>
        <w:sdtContent>
          <w:r w:rsidR="003F1E42" w:rsidRPr="00161CDB">
            <w:rPr>
              <w:rFonts w:ascii="Segoe UI Symbol" w:eastAsia="MS Gothic" w:hAnsi="Segoe UI Symbol" w:cs="Segoe UI Symbol"/>
              <w:kern w:val="0"/>
              <w:sz w:val="20"/>
              <w:szCs w:val="20"/>
              <w:lang w:val="fr-BE"/>
            </w:rPr>
            <w:t>☐</w:t>
          </w:r>
        </w:sdtContent>
      </w:sdt>
      <w:r w:rsidR="00B83D8D" w:rsidRPr="00161CDB">
        <w:rPr>
          <w:rFonts w:cstheme="minorHAnsi"/>
          <w:kern w:val="0"/>
          <w:sz w:val="20"/>
          <w:szCs w:val="20"/>
          <w:lang w:val="fr-BE"/>
        </w:rPr>
        <w:t>Axe 2 - Les innovations en matière d'évaluation dans l'enseignement supérieur</w:t>
      </w:r>
    </w:p>
    <w:p w14:paraId="2EE7578A" w14:textId="77777777" w:rsidR="00B83D8D" w:rsidRPr="00161CDB" w:rsidRDefault="00000000" w:rsidP="000F026E">
      <w:pPr>
        <w:autoSpaceDE w:val="0"/>
        <w:autoSpaceDN w:val="0"/>
        <w:adjustRightInd w:val="0"/>
        <w:spacing w:after="0" w:line="240" w:lineRule="auto"/>
        <w:jc w:val="both"/>
        <w:rPr>
          <w:rFonts w:cstheme="minorHAnsi"/>
          <w:kern w:val="0"/>
          <w:sz w:val="20"/>
          <w:szCs w:val="20"/>
          <w:lang w:val="fr-BE"/>
        </w:rPr>
      </w:pPr>
      <w:sdt>
        <w:sdtPr>
          <w:rPr>
            <w:rFonts w:cstheme="minorHAnsi"/>
            <w:kern w:val="0"/>
            <w:sz w:val="20"/>
            <w:szCs w:val="20"/>
            <w:lang w:val="fr-BE"/>
          </w:rPr>
          <w:id w:val="426769758"/>
          <w14:checkbox>
            <w14:checked w14:val="0"/>
            <w14:checkedState w14:val="2612" w14:font="MS Gothic"/>
            <w14:uncheckedState w14:val="2610" w14:font="MS Gothic"/>
          </w14:checkbox>
        </w:sdtPr>
        <w:sdtContent>
          <w:r w:rsidR="00B83D8D" w:rsidRPr="00161CDB">
            <w:rPr>
              <w:rFonts w:ascii="Segoe UI Symbol" w:eastAsia="MS Gothic" w:hAnsi="Segoe UI Symbol" w:cs="Segoe UI Symbol"/>
              <w:kern w:val="0"/>
              <w:sz w:val="20"/>
              <w:szCs w:val="20"/>
              <w:lang w:val="fr-BE"/>
            </w:rPr>
            <w:t>☐</w:t>
          </w:r>
        </w:sdtContent>
      </w:sdt>
      <w:r w:rsidR="00B83D8D" w:rsidRPr="00161CDB">
        <w:rPr>
          <w:rFonts w:cstheme="minorHAnsi"/>
          <w:kern w:val="0"/>
          <w:sz w:val="20"/>
          <w:szCs w:val="20"/>
          <w:lang w:val="fr-BE"/>
        </w:rPr>
        <w:t>Axe 3 - Les innovations en évaluation dans l’orientation, la sélection, la formation et l’insertion professionnelle</w:t>
      </w:r>
    </w:p>
    <w:p w14:paraId="7C161B7A" w14:textId="4E76CA17" w:rsidR="00B83D8D" w:rsidRPr="00161CDB" w:rsidRDefault="00000000" w:rsidP="000F026E">
      <w:pPr>
        <w:autoSpaceDE w:val="0"/>
        <w:autoSpaceDN w:val="0"/>
        <w:adjustRightInd w:val="0"/>
        <w:spacing w:after="0" w:line="240" w:lineRule="auto"/>
        <w:jc w:val="both"/>
        <w:rPr>
          <w:rFonts w:cstheme="minorHAnsi"/>
          <w:kern w:val="0"/>
          <w:sz w:val="20"/>
          <w:szCs w:val="20"/>
          <w:lang w:val="fr-BE"/>
        </w:rPr>
      </w:pPr>
      <w:sdt>
        <w:sdtPr>
          <w:rPr>
            <w:rFonts w:cstheme="minorHAnsi"/>
            <w:kern w:val="0"/>
            <w:sz w:val="20"/>
            <w:szCs w:val="20"/>
            <w:lang w:val="fr-BE"/>
          </w:rPr>
          <w:id w:val="1650166900"/>
          <w14:checkbox>
            <w14:checked w14:val="1"/>
            <w14:checkedState w14:val="2612" w14:font="MS Gothic"/>
            <w14:uncheckedState w14:val="2610" w14:font="MS Gothic"/>
          </w14:checkbox>
        </w:sdtPr>
        <w:sdtContent>
          <w:r w:rsidR="00834E89">
            <w:rPr>
              <w:rFonts w:ascii="MS Gothic" w:eastAsia="MS Gothic" w:hAnsi="MS Gothic" w:cstheme="minorHAnsi" w:hint="eastAsia"/>
              <w:kern w:val="0"/>
              <w:sz w:val="20"/>
              <w:szCs w:val="20"/>
              <w:lang w:val="fr-BE"/>
            </w:rPr>
            <w:t>☒</w:t>
          </w:r>
        </w:sdtContent>
      </w:sdt>
      <w:r w:rsidR="00B83D8D" w:rsidRPr="00161CDB">
        <w:rPr>
          <w:rFonts w:cstheme="minorHAnsi"/>
          <w:kern w:val="0"/>
          <w:sz w:val="20"/>
          <w:szCs w:val="20"/>
          <w:lang w:val="fr-BE"/>
        </w:rPr>
        <w:t>Axe 4 - La conciliation de la qualité et de l’équité dans la gestion des publics hétérogènes</w:t>
      </w:r>
    </w:p>
    <w:p w14:paraId="7729090F" w14:textId="1715F5AC" w:rsidR="00B83D8D" w:rsidRPr="00161CDB" w:rsidRDefault="00000000" w:rsidP="000F026E">
      <w:pPr>
        <w:autoSpaceDE w:val="0"/>
        <w:autoSpaceDN w:val="0"/>
        <w:adjustRightInd w:val="0"/>
        <w:spacing w:after="0" w:line="240" w:lineRule="auto"/>
        <w:jc w:val="both"/>
        <w:rPr>
          <w:rFonts w:cstheme="minorHAnsi"/>
          <w:kern w:val="0"/>
          <w:sz w:val="20"/>
          <w:szCs w:val="20"/>
          <w:lang w:val="fr-BE"/>
        </w:rPr>
      </w:pPr>
      <w:sdt>
        <w:sdtPr>
          <w:rPr>
            <w:rFonts w:cstheme="minorHAnsi"/>
            <w:kern w:val="0"/>
            <w:sz w:val="20"/>
            <w:szCs w:val="20"/>
            <w:lang w:val="fr-BE"/>
          </w:rPr>
          <w:id w:val="1741283407"/>
          <w14:checkbox>
            <w14:checked w14:val="0"/>
            <w14:checkedState w14:val="2612" w14:font="MS Gothic"/>
            <w14:uncheckedState w14:val="2610" w14:font="MS Gothic"/>
          </w14:checkbox>
        </w:sdtPr>
        <w:sdtContent>
          <w:r w:rsidR="00834E89">
            <w:rPr>
              <w:rFonts w:ascii="MS Gothic" w:eastAsia="MS Gothic" w:hAnsi="MS Gothic" w:cstheme="minorHAnsi" w:hint="eastAsia"/>
              <w:kern w:val="0"/>
              <w:sz w:val="20"/>
              <w:szCs w:val="20"/>
              <w:lang w:val="fr-BE"/>
            </w:rPr>
            <w:t>☐</w:t>
          </w:r>
        </w:sdtContent>
      </w:sdt>
      <w:r w:rsidR="00B83D8D" w:rsidRPr="00161CDB">
        <w:rPr>
          <w:rFonts w:cstheme="minorHAnsi"/>
          <w:kern w:val="0"/>
          <w:sz w:val="20"/>
          <w:szCs w:val="20"/>
          <w:lang w:val="fr-BE"/>
        </w:rPr>
        <w:t>Axe 5 - La régulation des systèmes éducatifs et scientifiques</w:t>
      </w:r>
    </w:p>
    <w:p w14:paraId="7C4D7A75" w14:textId="77777777" w:rsidR="00B83D8D" w:rsidRPr="00161CDB" w:rsidRDefault="00B83D8D" w:rsidP="000F026E">
      <w:pPr>
        <w:autoSpaceDE w:val="0"/>
        <w:autoSpaceDN w:val="0"/>
        <w:adjustRightInd w:val="0"/>
        <w:spacing w:after="0" w:line="240" w:lineRule="auto"/>
        <w:jc w:val="both"/>
        <w:rPr>
          <w:rFonts w:cstheme="minorHAnsi"/>
          <w:kern w:val="0"/>
          <w:sz w:val="20"/>
          <w:szCs w:val="20"/>
          <w:lang w:val="fr-BE"/>
        </w:rPr>
      </w:pPr>
    </w:p>
    <w:p w14:paraId="435FDE01" w14:textId="77777777" w:rsidR="00B83D8D" w:rsidRPr="00161CDB" w:rsidRDefault="00000000" w:rsidP="000F026E">
      <w:pPr>
        <w:autoSpaceDE w:val="0"/>
        <w:autoSpaceDN w:val="0"/>
        <w:adjustRightInd w:val="0"/>
        <w:spacing w:after="0" w:line="240" w:lineRule="auto"/>
        <w:jc w:val="both"/>
        <w:rPr>
          <w:rFonts w:cstheme="minorHAnsi"/>
          <w:kern w:val="0"/>
          <w:sz w:val="20"/>
          <w:szCs w:val="20"/>
          <w:lang w:val="fr-BE"/>
        </w:rPr>
      </w:pPr>
      <w:sdt>
        <w:sdtPr>
          <w:rPr>
            <w:rFonts w:cstheme="minorHAnsi"/>
            <w:kern w:val="0"/>
            <w:sz w:val="20"/>
            <w:szCs w:val="20"/>
            <w:lang w:val="fr-BE"/>
          </w:rPr>
          <w:id w:val="-1326115577"/>
          <w14:checkbox>
            <w14:checked w14:val="0"/>
            <w14:checkedState w14:val="2612" w14:font="MS Gothic"/>
            <w14:uncheckedState w14:val="2610" w14:font="MS Gothic"/>
          </w14:checkbox>
        </w:sdtPr>
        <w:sdtContent>
          <w:r w:rsidR="00B83D8D" w:rsidRPr="00161CDB">
            <w:rPr>
              <w:rFonts w:ascii="Segoe UI Symbol" w:eastAsia="MS Gothic" w:hAnsi="Segoe UI Symbol" w:cs="Segoe UI Symbol"/>
              <w:kern w:val="0"/>
              <w:sz w:val="20"/>
              <w:szCs w:val="20"/>
              <w:lang w:val="fr-BE"/>
            </w:rPr>
            <w:t>☐</w:t>
          </w:r>
        </w:sdtContent>
      </w:sdt>
      <w:r w:rsidR="00B83D8D" w:rsidRPr="00161CDB">
        <w:rPr>
          <w:rFonts w:cstheme="minorHAnsi"/>
          <w:kern w:val="0"/>
          <w:sz w:val="20"/>
          <w:szCs w:val="20"/>
          <w:lang w:val="fr-BE"/>
        </w:rPr>
        <w:t>Réseau 1 - Apprentissages scolaires et évaluations externes (ASEE)</w:t>
      </w:r>
    </w:p>
    <w:p w14:paraId="4FD49DCF" w14:textId="77777777" w:rsidR="00B83D8D" w:rsidRPr="00161CDB" w:rsidRDefault="00000000" w:rsidP="000F026E">
      <w:pPr>
        <w:autoSpaceDE w:val="0"/>
        <w:autoSpaceDN w:val="0"/>
        <w:adjustRightInd w:val="0"/>
        <w:spacing w:after="0" w:line="240" w:lineRule="auto"/>
        <w:jc w:val="both"/>
        <w:rPr>
          <w:rFonts w:cstheme="minorHAnsi"/>
          <w:kern w:val="0"/>
          <w:sz w:val="20"/>
          <w:szCs w:val="20"/>
          <w:lang w:val="fr-BE"/>
        </w:rPr>
      </w:pPr>
      <w:sdt>
        <w:sdtPr>
          <w:rPr>
            <w:rFonts w:cstheme="minorHAnsi"/>
            <w:kern w:val="0"/>
            <w:sz w:val="20"/>
            <w:szCs w:val="20"/>
            <w:lang w:val="fr-BE"/>
          </w:rPr>
          <w:id w:val="-286894023"/>
          <w14:checkbox>
            <w14:checked w14:val="0"/>
            <w14:checkedState w14:val="2612" w14:font="MS Gothic"/>
            <w14:uncheckedState w14:val="2610" w14:font="MS Gothic"/>
          </w14:checkbox>
        </w:sdtPr>
        <w:sdtContent>
          <w:r w:rsidR="00B83D8D" w:rsidRPr="00161CDB">
            <w:rPr>
              <w:rFonts w:ascii="Segoe UI Symbol" w:eastAsia="MS Gothic" w:hAnsi="Segoe UI Symbol" w:cs="Segoe UI Symbol"/>
              <w:kern w:val="0"/>
              <w:sz w:val="20"/>
              <w:szCs w:val="20"/>
              <w:lang w:val="fr-BE"/>
            </w:rPr>
            <w:t>☐</w:t>
          </w:r>
        </w:sdtContent>
      </w:sdt>
      <w:r w:rsidR="00B83D8D" w:rsidRPr="00161CDB">
        <w:rPr>
          <w:rFonts w:cstheme="minorHAnsi"/>
          <w:kern w:val="0"/>
          <w:sz w:val="20"/>
          <w:szCs w:val="20"/>
          <w:lang w:val="fr-BE"/>
        </w:rPr>
        <w:t>Réseau 2 - Évaluations et didactiques (EVADIDA)</w:t>
      </w:r>
    </w:p>
    <w:p w14:paraId="2AB6F90C" w14:textId="714AA468" w:rsidR="00B83D8D" w:rsidRPr="00161CDB" w:rsidRDefault="00000000" w:rsidP="000F026E">
      <w:pPr>
        <w:autoSpaceDE w:val="0"/>
        <w:autoSpaceDN w:val="0"/>
        <w:adjustRightInd w:val="0"/>
        <w:spacing w:after="0" w:line="240" w:lineRule="auto"/>
        <w:jc w:val="both"/>
        <w:rPr>
          <w:rFonts w:cstheme="minorHAnsi"/>
          <w:kern w:val="0"/>
          <w:sz w:val="20"/>
          <w:szCs w:val="20"/>
          <w:lang w:val="fr-BE"/>
        </w:rPr>
      </w:pPr>
      <w:sdt>
        <w:sdtPr>
          <w:rPr>
            <w:rFonts w:cstheme="minorHAnsi"/>
            <w:kern w:val="0"/>
            <w:sz w:val="20"/>
            <w:szCs w:val="20"/>
            <w:lang w:val="fr-BE"/>
          </w:rPr>
          <w:id w:val="-860899745"/>
          <w14:checkbox>
            <w14:checked w14:val="1"/>
            <w14:checkedState w14:val="2612" w14:font="MS Gothic"/>
            <w14:uncheckedState w14:val="2610" w14:font="MS Gothic"/>
          </w14:checkbox>
        </w:sdtPr>
        <w:sdtContent>
          <w:r w:rsidR="00091A31">
            <w:rPr>
              <w:rFonts w:ascii="MS Gothic" w:eastAsia="MS Gothic" w:hAnsi="MS Gothic" w:cstheme="minorHAnsi" w:hint="eastAsia"/>
              <w:kern w:val="0"/>
              <w:sz w:val="20"/>
              <w:szCs w:val="20"/>
              <w:lang w:val="fr-BE"/>
            </w:rPr>
            <w:t>☒</w:t>
          </w:r>
        </w:sdtContent>
      </w:sdt>
      <w:r w:rsidR="00B83D8D" w:rsidRPr="00161CDB">
        <w:rPr>
          <w:rFonts w:cstheme="minorHAnsi"/>
          <w:kern w:val="0"/>
          <w:sz w:val="20"/>
          <w:szCs w:val="20"/>
          <w:lang w:val="fr-BE"/>
        </w:rPr>
        <w:t>Réseau 3 - Évaluation et enseignement supérieur (EES)</w:t>
      </w:r>
    </w:p>
    <w:p w14:paraId="487D1BF3" w14:textId="77777777" w:rsidR="00B83D8D" w:rsidRPr="00161CDB" w:rsidRDefault="00000000" w:rsidP="000F026E">
      <w:pPr>
        <w:autoSpaceDE w:val="0"/>
        <w:autoSpaceDN w:val="0"/>
        <w:adjustRightInd w:val="0"/>
        <w:spacing w:after="0" w:line="240" w:lineRule="auto"/>
        <w:jc w:val="both"/>
        <w:rPr>
          <w:rFonts w:cstheme="minorHAnsi"/>
          <w:kern w:val="0"/>
          <w:sz w:val="20"/>
          <w:szCs w:val="20"/>
          <w:lang w:val="fr-BE"/>
        </w:rPr>
      </w:pPr>
      <w:sdt>
        <w:sdtPr>
          <w:rPr>
            <w:rFonts w:cstheme="minorHAnsi"/>
            <w:kern w:val="0"/>
            <w:sz w:val="20"/>
            <w:szCs w:val="20"/>
            <w:lang w:val="fr-BE"/>
          </w:rPr>
          <w:id w:val="-1263448233"/>
          <w14:checkbox>
            <w14:checked w14:val="0"/>
            <w14:checkedState w14:val="2612" w14:font="MS Gothic"/>
            <w14:uncheckedState w14:val="2610" w14:font="MS Gothic"/>
          </w14:checkbox>
        </w:sdtPr>
        <w:sdtContent>
          <w:r w:rsidR="00B83D8D" w:rsidRPr="00161CDB">
            <w:rPr>
              <w:rFonts w:ascii="Segoe UI Symbol" w:eastAsia="MS Gothic" w:hAnsi="Segoe UI Symbol" w:cs="Segoe UI Symbol"/>
              <w:kern w:val="0"/>
              <w:sz w:val="20"/>
              <w:szCs w:val="20"/>
              <w:lang w:val="fr-BE"/>
            </w:rPr>
            <w:t>☐</w:t>
          </w:r>
        </w:sdtContent>
      </w:sdt>
      <w:r w:rsidR="00B83D8D" w:rsidRPr="00161CDB">
        <w:rPr>
          <w:rFonts w:cstheme="minorHAnsi"/>
          <w:kern w:val="0"/>
          <w:sz w:val="20"/>
          <w:szCs w:val="20"/>
          <w:lang w:val="fr-BE"/>
        </w:rPr>
        <w:t>Réseau 4 - Recherches collaboratives sur les pratiques évaluatives (RCPE)</w:t>
      </w:r>
    </w:p>
    <w:p w14:paraId="02A603E9" w14:textId="77777777" w:rsidR="00B83D8D" w:rsidRPr="00161CDB" w:rsidRDefault="00000000" w:rsidP="000F026E">
      <w:pPr>
        <w:autoSpaceDE w:val="0"/>
        <w:autoSpaceDN w:val="0"/>
        <w:adjustRightInd w:val="0"/>
        <w:spacing w:after="0" w:line="240" w:lineRule="auto"/>
        <w:jc w:val="both"/>
        <w:rPr>
          <w:rFonts w:cstheme="minorHAnsi"/>
          <w:kern w:val="0"/>
          <w:sz w:val="20"/>
          <w:szCs w:val="20"/>
          <w:lang w:val="fr-BE"/>
        </w:rPr>
      </w:pPr>
      <w:sdt>
        <w:sdtPr>
          <w:rPr>
            <w:rFonts w:cstheme="minorHAnsi"/>
            <w:kern w:val="0"/>
            <w:sz w:val="20"/>
            <w:szCs w:val="20"/>
            <w:lang w:val="fr-BE"/>
          </w:rPr>
          <w:id w:val="305513596"/>
          <w14:checkbox>
            <w14:checked w14:val="0"/>
            <w14:checkedState w14:val="2612" w14:font="MS Gothic"/>
            <w14:uncheckedState w14:val="2610" w14:font="MS Gothic"/>
          </w14:checkbox>
        </w:sdtPr>
        <w:sdtContent>
          <w:r w:rsidR="00B83D8D" w:rsidRPr="00161CDB">
            <w:rPr>
              <w:rFonts w:ascii="Segoe UI Symbol" w:eastAsia="MS Gothic" w:hAnsi="Segoe UI Symbol" w:cs="Segoe UI Symbol"/>
              <w:kern w:val="0"/>
              <w:sz w:val="20"/>
              <w:szCs w:val="20"/>
              <w:lang w:val="fr-BE"/>
            </w:rPr>
            <w:t>☐</w:t>
          </w:r>
        </w:sdtContent>
      </w:sdt>
      <w:r w:rsidR="00B83D8D" w:rsidRPr="00161CDB">
        <w:rPr>
          <w:rFonts w:cstheme="minorHAnsi"/>
          <w:kern w:val="0"/>
          <w:sz w:val="20"/>
          <w:szCs w:val="20"/>
          <w:lang w:val="fr-BE"/>
        </w:rPr>
        <w:t>Réseau 5 - Reconnaissance, valorisation et validation des acquis de l’expérience (RVVAE)</w:t>
      </w:r>
    </w:p>
    <w:p w14:paraId="35F0B1D3" w14:textId="77777777" w:rsidR="00B83D8D" w:rsidRPr="00161CDB" w:rsidRDefault="00B83D8D" w:rsidP="000F026E">
      <w:pPr>
        <w:autoSpaceDE w:val="0"/>
        <w:autoSpaceDN w:val="0"/>
        <w:adjustRightInd w:val="0"/>
        <w:spacing w:after="0" w:line="240" w:lineRule="auto"/>
        <w:jc w:val="both"/>
        <w:rPr>
          <w:rFonts w:cstheme="minorHAnsi"/>
          <w:color w:val="808080"/>
          <w:kern w:val="0"/>
          <w:sz w:val="20"/>
          <w:szCs w:val="20"/>
          <w:lang w:val="fr-BE"/>
        </w:rPr>
      </w:pPr>
    </w:p>
    <w:p w14:paraId="6DE2BDA0" w14:textId="77777777" w:rsidR="00B83D8D" w:rsidRPr="00161CDB" w:rsidRDefault="00B83D8D" w:rsidP="000F026E">
      <w:pPr>
        <w:pStyle w:val="Paragraphedeliste"/>
        <w:numPr>
          <w:ilvl w:val="0"/>
          <w:numId w:val="1"/>
        </w:numPr>
        <w:autoSpaceDE w:val="0"/>
        <w:autoSpaceDN w:val="0"/>
        <w:adjustRightInd w:val="0"/>
        <w:spacing w:after="0" w:line="240" w:lineRule="auto"/>
        <w:jc w:val="both"/>
        <w:rPr>
          <w:rFonts w:cstheme="minorHAnsi"/>
          <w:b/>
          <w:bCs/>
          <w:color w:val="000000"/>
          <w:kern w:val="0"/>
          <w:sz w:val="20"/>
          <w:szCs w:val="20"/>
          <w:lang w:val="fr-BE"/>
        </w:rPr>
      </w:pPr>
      <w:r w:rsidRPr="00161CDB">
        <w:rPr>
          <w:rFonts w:cstheme="minorHAnsi"/>
          <w:b/>
          <w:bCs/>
          <w:color w:val="000000"/>
          <w:kern w:val="0"/>
          <w:sz w:val="20"/>
          <w:szCs w:val="20"/>
          <w:lang w:val="fr-BE"/>
        </w:rPr>
        <w:t>Type de contribution</w:t>
      </w:r>
      <w:r w:rsidR="000F026E" w:rsidRPr="00161CDB">
        <w:rPr>
          <w:rFonts w:cstheme="minorHAnsi"/>
          <w:b/>
          <w:bCs/>
          <w:color w:val="000000"/>
          <w:kern w:val="0"/>
          <w:sz w:val="20"/>
          <w:szCs w:val="20"/>
          <w:lang w:val="fr-BE"/>
        </w:rPr>
        <w:t xml:space="preserve"> </w:t>
      </w:r>
      <w:r w:rsidR="000F026E" w:rsidRPr="003B27C5">
        <w:rPr>
          <w:rFonts w:cstheme="minorHAnsi"/>
          <w:b/>
          <w:bCs/>
          <w:i/>
          <w:iCs/>
          <w:color w:val="000000"/>
          <w:kern w:val="0"/>
          <w:sz w:val="20"/>
          <w:szCs w:val="20"/>
          <w:lang w:val="fr-BE"/>
        </w:rPr>
        <w:t>(cochez la ou les case(s) correspondante(s))</w:t>
      </w:r>
    </w:p>
    <w:p w14:paraId="2E918907" w14:textId="1967E814" w:rsidR="000F026E" w:rsidRPr="00161CDB" w:rsidRDefault="00000000" w:rsidP="000F026E">
      <w:pPr>
        <w:autoSpaceDE w:val="0"/>
        <w:autoSpaceDN w:val="0"/>
        <w:adjustRightInd w:val="0"/>
        <w:spacing w:after="0" w:line="240" w:lineRule="auto"/>
        <w:jc w:val="both"/>
        <w:rPr>
          <w:rFonts w:cstheme="minorHAnsi"/>
          <w:kern w:val="0"/>
          <w:sz w:val="20"/>
          <w:szCs w:val="20"/>
          <w:lang w:val="fr-BE"/>
        </w:rPr>
      </w:pPr>
      <w:sdt>
        <w:sdtPr>
          <w:rPr>
            <w:rFonts w:cstheme="minorHAnsi"/>
            <w:kern w:val="0"/>
            <w:sz w:val="20"/>
            <w:szCs w:val="20"/>
            <w:lang w:val="fr-BE"/>
          </w:rPr>
          <w:id w:val="1690792592"/>
          <w14:checkbox>
            <w14:checked w14:val="1"/>
            <w14:checkedState w14:val="2612" w14:font="MS Gothic"/>
            <w14:uncheckedState w14:val="2610" w14:font="MS Gothic"/>
          </w14:checkbox>
        </w:sdtPr>
        <w:sdtContent>
          <w:r w:rsidR="00091A31">
            <w:rPr>
              <w:rFonts w:ascii="MS Gothic" w:eastAsia="MS Gothic" w:hAnsi="MS Gothic" w:cstheme="minorHAnsi" w:hint="eastAsia"/>
              <w:kern w:val="0"/>
              <w:sz w:val="20"/>
              <w:szCs w:val="20"/>
              <w:lang w:val="fr-BE"/>
            </w:rPr>
            <w:t>☒</w:t>
          </w:r>
        </w:sdtContent>
      </w:sdt>
      <w:r w:rsidR="000F026E" w:rsidRPr="00161CDB">
        <w:rPr>
          <w:rFonts w:cstheme="minorHAnsi"/>
          <w:kern w:val="0"/>
          <w:sz w:val="20"/>
          <w:szCs w:val="20"/>
          <w:lang w:val="fr-BE"/>
        </w:rPr>
        <w:t>Trava</w:t>
      </w:r>
      <w:r w:rsidR="003F1E42" w:rsidRPr="00161CDB">
        <w:rPr>
          <w:rFonts w:cstheme="minorHAnsi"/>
          <w:kern w:val="0"/>
          <w:sz w:val="20"/>
          <w:szCs w:val="20"/>
          <w:lang w:val="fr-BE"/>
        </w:rPr>
        <w:t>il</w:t>
      </w:r>
      <w:r w:rsidR="000F026E" w:rsidRPr="00161CDB">
        <w:rPr>
          <w:rFonts w:cstheme="minorHAnsi"/>
          <w:kern w:val="0"/>
          <w:sz w:val="20"/>
          <w:szCs w:val="20"/>
          <w:lang w:val="fr-BE"/>
        </w:rPr>
        <w:t xml:space="preserve"> de recherche</w:t>
      </w:r>
    </w:p>
    <w:p w14:paraId="2042AC95" w14:textId="77777777" w:rsidR="000F026E" w:rsidRPr="00161CDB" w:rsidRDefault="00000000" w:rsidP="000F026E">
      <w:pPr>
        <w:autoSpaceDE w:val="0"/>
        <w:autoSpaceDN w:val="0"/>
        <w:adjustRightInd w:val="0"/>
        <w:spacing w:after="0" w:line="240" w:lineRule="auto"/>
        <w:jc w:val="both"/>
        <w:rPr>
          <w:rFonts w:cstheme="minorHAnsi"/>
          <w:kern w:val="0"/>
          <w:sz w:val="20"/>
          <w:szCs w:val="20"/>
          <w:lang w:val="fr-BE"/>
        </w:rPr>
      </w:pPr>
      <w:sdt>
        <w:sdtPr>
          <w:rPr>
            <w:rFonts w:cstheme="minorHAnsi"/>
            <w:kern w:val="0"/>
            <w:sz w:val="20"/>
            <w:szCs w:val="20"/>
            <w:lang w:val="fr-BE"/>
          </w:rPr>
          <w:id w:val="1708995705"/>
          <w14:checkbox>
            <w14:checked w14:val="0"/>
            <w14:checkedState w14:val="2612" w14:font="MS Gothic"/>
            <w14:uncheckedState w14:val="2610" w14:font="MS Gothic"/>
          </w14:checkbox>
        </w:sdtPr>
        <w:sdtContent>
          <w:r w:rsidR="000F026E" w:rsidRPr="00161CDB">
            <w:rPr>
              <w:rFonts w:ascii="Segoe UI Symbol" w:eastAsia="MS Gothic" w:hAnsi="Segoe UI Symbol" w:cs="Segoe UI Symbol"/>
              <w:kern w:val="0"/>
              <w:sz w:val="20"/>
              <w:szCs w:val="20"/>
              <w:lang w:val="fr-BE"/>
            </w:rPr>
            <w:t>☐</w:t>
          </w:r>
        </w:sdtContent>
      </w:sdt>
      <w:r w:rsidR="000F026E" w:rsidRPr="00161CDB">
        <w:rPr>
          <w:rFonts w:cstheme="minorHAnsi"/>
          <w:kern w:val="0"/>
          <w:sz w:val="20"/>
          <w:szCs w:val="20"/>
          <w:lang w:val="fr-BE"/>
        </w:rPr>
        <w:t>Développements d’outils</w:t>
      </w:r>
    </w:p>
    <w:p w14:paraId="38E39E34" w14:textId="5CC203A0" w:rsidR="000F026E" w:rsidRPr="00161CDB" w:rsidRDefault="00000000" w:rsidP="000F026E">
      <w:pPr>
        <w:autoSpaceDE w:val="0"/>
        <w:autoSpaceDN w:val="0"/>
        <w:adjustRightInd w:val="0"/>
        <w:spacing w:after="0" w:line="240" w:lineRule="auto"/>
        <w:jc w:val="both"/>
        <w:rPr>
          <w:rFonts w:cstheme="minorHAnsi"/>
          <w:kern w:val="0"/>
          <w:sz w:val="20"/>
          <w:szCs w:val="20"/>
          <w:lang w:val="fr-BE"/>
        </w:rPr>
      </w:pPr>
      <w:sdt>
        <w:sdtPr>
          <w:rPr>
            <w:rFonts w:cstheme="minorHAnsi"/>
            <w:kern w:val="0"/>
            <w:sz w:val="20"/>
            <w:szCs w:val="20"/>
            <w:lang w:val="fr-BE"/>
          </w:rPr>
          <w:id w:val="1157339047"/>
          <w14:checkbox>
            <w14:checked w14:val="0"/>
            <w14:checkedState w14:val="2612" w14:font="MS Gothic"/>
            <w14:uncheckedState w14:val="2610" w14:font="MS Gothic"/>
          </w14:checkbox>
        </w:sdtPr>
        <w:sdtContent>
          <w:r w:rsidR="000F026E" w:rsidRPr="00161CDB">
            <w:rPr>
              <w:rFonts w:ascii="Segoe UI Symbol" w:eastAsia="MS Gothic" w:hAnsi="Segoe UI Symbol" w:cs="Segoe UI Symbol"/>
              <w:kern w:val="0"/>
              <w:sz w:val="20"/>
              <w:szCs w:val="20"/>
              <w:lang w:val="fr-BE"/>
            </w:rPr>
            <w:t>☐</w:t>
          </w:r>
        </w:sdtContent>
      </w:sdt>
      <w:r w:rsidR="000F026E" w:rsidRPr="00161CDB">
        <w:rPr>
          <w:rFonts w:cstheme="minorHAnsi"/>
          <w:kern w:val="0"/>
          <w:sz w:val="20"/>
          <w:szCs w:val="20"/>
          <w:lang w:val="fr-BE"/>
        </w:rPr>
        <w:t>Analyse de pratique</w:t>
      </w:r>
    </w:p>
    <w:p w14:paraId="0F391513" w14:textId="1A11F2D6" w:rsidR="000F026E" w:rsidRPr="00161CDB" w:rsidRDefault="00000000" w:rsidP="000F026E">
      <w:pPr>
        <w:autoSpaceDE w:val="0"/>
        <w:autoSpaceDN w:val="0"/>
        <w:adjustRightInd w:val="0"/>
        <w:spacing w:after="0" w:line="240" w:lineRule="auto"/>
        <w:jc w:val="both"/>
        <w:rPr>
          <w:rFonts w:cstheme="minorHAnsi"/>
          <w:kern w:val="0"/>
          <w:sz w:val="20"/>
          <w:szCs w:val="20"/>
          <w:lang w:val="fr-BE"/>
        </w:rPr>
      </w:pPr>
      <w:sdt>
        <w:sdtPr>
          <w:rPr>
            <w:rFonts w:cstheme="minorHAnsi"/>
            <w:kern w:val="0"/>
            <w:sz w:val="20"/>
            <w:szCs w:val="20"/>
            <w:lang w:val="fr-BE"/>
          </w:rPr>
          <w:id w:val="1245690432"/>
          <w14:checkbox>
            <w14:checked w14:val="0"/>
            <w14:checkedState w14:val="2612" w14:font="MS Gothic"/>
            <w14:uncheckedState w14:val="2610" w14:font="MS Gothic"/>
          </w14:checkbox>
        </w:sdtPr>
        <w:sdtContent>
          <w:r w:rsidR="000F026E" w:rsidRPr="00161CDB">
            <w:rPr>
              <w:rFonts w:ascii="Segoe UI Symbol" w:eastAsia="MS Gothic" w:hAnsi="Segoe UI Symbol" w:cs="Segoe UI Symbol"/>
              <w:kern w:val="0"/>
              <w:sz w:val="20"/>
              <w:szCs w:val="20"/>
              <w:lang w:val="fr-BE"/>
            </w:rPr>
            <w:t>☐</w:t>
          </w:r>
        </w:sdtContent>
      </w:sdt>
      <w:r w:rsidR="000F026E" w:rsidRPr="00161CDB">
        <w:rPr>
          <w:rFonts w:cstheme="minorHAnsi"/>
          <w:kern w:val="0"/>
          <w:sz w:val="20"/>
          <w:szCs w:val="20"/>
          <w:lang w:val="fr-BE"/>
        </w:rPr>
        <w:t>Synthèse de recherches</w:t>
      </w:r>
    </w:p>
    <w:p w14:paraId="1BEA27C3" w14:textId="77777777" w:rsidR="00B83D8D" w:rsidRPr="00161CDB" w:rsidRDefault="00B83D8D" w:rsidP="000F026E">
      <w:pPr>
        <w:autoSpaceDE w:val="0"/>
        <w:autoSpaceDN w:val="0"/>
        <w:adjustRightInd w:val="0"/>
        <w:spacing w:after="0" w:line="240" w:lineRule="auto"/>
        <w:jc w:val="both"/>
        <w:rPr>
          <w:rFonts w:cstheme="minorHAnsi"/>
          <w:color w:val="808080"/>
          <w:kern w:val="0"/>
          <w:sz w:val="20"/>
          <w:szCs w:val="20"/>
          <w:lang w:val="fr-BE"/>
        </w:rPr>
      </w:pPr>
    </w:p>
    <w:p w14:paraId="01041D9D" w14:textId="7D889FB9" w:rsidR="00B83D8D" w:rsidRPr="00161CDB" w:rsidRDefault="00B83D8D" w:rsidP="000F026E">
      <w:pPr>
        <w:pStyle w:val="Paragraphedeliste"/>
        <w:numPr>
          <w:ilvl w:val="0"/>
          <w:numId w:val="1"/>
        </w:numPr>
        <w:autoSpaceDE w:val="0"/>
        <w:autoSpaceDN w:val="0"/>
        <w:adjustRightInd w:val="0"/>
        <w:spacing w:after="0" w:line="240" w:lineRule="auto"/>
        <w:jc w:val="both"/>
        <w:rPr>
          <w:rFonts w:cstheme="minorHAnsi"/>
          <w:b/>
          <w:bCs/>
          <w:color w:val="000000"/>
          <w:kern w:val="0"/>
          <w:sz w:val="20"/>
          <w:szCs w:val="20"/>
          <w:lang w:val="fr-BE"/>
        </w:rPr>
      </w:pPr>
      <w:r w:rsidRPr="00161CDB">
        <w:rPr>
          <w:rFonts w:cstheme="minorHAnsi"/>
          <w:b/>
          <w:bCs/>
          <w:color w:val="000000"/>
          <w:kern w:val="0"/>
          <w:sz w:val="20"/>
          <w:szCs w:val="20"/>
          <w:lang w:val="fr-BE"/>
        </w:rPr>
        <w:t xml:space="preserve">Résumé court de la communication </w:t>
      </w:r>
      <w:r w:rsidR="000F026E" w:rsidRPr="00DE5379">
        <w:rPr>
          <w:rFonts w:cstheme="minorHAnsi"/>
          <w:b/>
          <w:bCs/>
          <w:i/>
          <w:iCs/>
          <w:color w:val="000000"/>
          <w:kern w:val="0"/>
          <w:sz w:val="20"/>
          <w:szCs w:val="20"/>
          <w:lang w:val="fr-BE"/>
        </w:rPr>
        <w:t>(</w:t>
      </w:r>
      <w:r w:rsidRPr="00DE5379">
        <w:rPr>
          <w:rFonts w:cstheme="minorHAnsi"/>
          <w:b/>
          <w:bCs/>
          <w:i/>
          <w:iCs/>
          <w:color w:val="000000"/>
          <w:kern w:val="0"/>
          <w:sz w:val="20"/>
          <w:szCs w:val="20"/>
          <w:lang w:val="fr-BE"/>
        </w:rPr>
        <w:t>300 mots maximum</w:t>
      </w:r>
      <w:r w:rsidR="003E1F95" w:rsidRPr="00DE5379">
        <w:rPr>
          <w:rFonts w:cstheme="minorHAnsi"/>
          <w:b/>
          <w:bCs/>
          <w:i/>
          <w:iCs/>
          <w:color w:val="000000"/>
          <w:kern w:val="0"/>
          <w:sz w:val="20"/>
          <w:szCs w:val="20"/>
          <w:lang w:val="fr-BE"/>
        </w:rPr>
        <w:t xml:space="preserve"> à recopier dans la plateforme de soumission</w:t>
      </w:r>
      <w:r w:rsidR="000F026E" w:rsidRPr="00DE5379">
        <w:rPr>
          <w:rFonts w:cstheme="minorHAnsi"/>
          <w:b/>
          <w:bCs/>
          <w:i/>
          <w:iCs/>
          <w:color w:val="000000"/>
          <w:kern w:val="0"/>
          <w:sz w:val="20"/>
          <w:szCs w:val="20"/>
          <w:lang w:val="fr-BE"/>
        </w:rPr>
        <w:t>)</w:t>
      </w:r>
    </w:p>
    <w:p w14:paraId="131DBA17" w14:textId="6B9DA3E4" w:rsidR="00EC2CE4" w:rsidRPr="00A0214F" w:rsidRDefault="00F23686" w:rsidP="000F026E">
      <w:pPr>
        <w:autoSpaceDE w:val="0"/>
        <w:autoSpaceDN w:val="0"/>
        <w:adjustRightInd w:val="0"/>
        <w:spacing w:after="0" w:line="240" w:lineRule="auto"/>
        <w:jc w:val="both"/>
        <w:rPr>
          <w:lang w:val="fr-FR"/>
        </w:rPr>
      </w:pPr>
      <w:r w:rsidRPr="00A0214F">
        <w:rPr>
          <w:lang w:val="fr-FR"/>
        </w:rPr>
        <w:t xml:space="preserve">La transition dans l'enseignement supérieur est un processus complexe, dont la réussite est un défi (Kift, 2015). Pour </w:t>
      </w:r>
      <w:r w:rsidR="004E4796" w:rsidRPr="00A0214F">
        <w:rPr>
          <w:lang w:val="fr-FR"/>
        </w:rPr>
        <w:t>faciliter cette transition d</w:t>
      </w:r>
      <w:r w:rsidR="00732370" w:rsidRPr="00A0214F">
        <w:rPr>
          <w:lang w:val="fr-FR"/>
        </w:rPr>
        <w:t>ans un context</w:t>
      </w:r>
      <w:r w:rsidRPr="00A0214F">
        <w:rPr>
          <w:lang w:val="fr-FR"/>
        </w:rPr>
        <w:t>e</w:t>
      </w:r>
      <w:r w:rsidR="00732370" w:rsidRPr="00A0214F">
        <w:rPr>
          <w:lang w:val="fr-FR"/>
        </w:rPr>
        <w:t xml:space="preserve"> de massification</w:t>
      </w:r>
      <w:r w:rsidR="00F82E4D" w:rsidRPr="00A0214F">
        <w:rPr>
          <w:lang w:val="fr-FR"/>
        </w:rPr>
        <w:t xml:space="preserve"> et d</w:t>
      </w:r>
      <w:r w:rsidR="00FD7E35">
        <w:rPr>
          <w:lang w:val="fr-FR"/>
        </w:rPr>
        <w:t xml:space="preserve">’hétérogénéisation </w:t>
      </w:r>
      <w:r w:rsidR="00F82E4D" w:rsidRPr="00A0214F">
        <w:rPr>
          <w:lang w:val="fr-FR"/>
        </w:rPr>
        <w:t>d</w:t>
      </w:r>
      <w:r w:rsidR="00FD51F3" w:rsidRPr="00A0214F">
        <w:rPr>
          <w:lang w:val="fr-FR"/>
        </w:rPr>
        <w:t>e la</w:t>
      </w:r>
      <w:r w:rsidR="0084465D" w:rsidRPr="00A0214F">
        <w:rPr>
          <w:lang w:val="fr-FR"/>
        </w:rPr>
        <w:t xml:space="preserve"> p</w:t>
      </w:r>
      <w:r w:rsidR="00FD51F3" w:rsidRPr="00A0214F">
        <w:rPr>
          <w:lang w:val="fr-FR"/>
        </w:rPr>
        <w:t>opulation</w:t>
      </w:r>
      <w:r w:rsidR="0084465D" w:rsidRPr="00A0214F">
        <w:rPr>
          <w:lang w:val="fr-FR"/>
        </w:rPr>
        <w:t xml:space="preserve"> étudiant</w:t>
      </w:r>
      <w:r w:rsidR="00FD51F3" w:rsidRPr="00A0214F">
        <w:rPr>
          <w:lang w:val="fr-FR"/>
        </w:rPr>
        <w:t>e</w:t>
      </w:r>
      <w:r w:rsidR="00F82E4D" w:rsidRPr="00A0214F">
        <w:rPr>
          <w:lang w:val="fr-FR"/>
        </w:rPr>
        <w:t xml:space="preserve">, les institutions d’enseignement supérieur </w:t>
      </w:r>
      <w:r w:rsidR="00B26215" w:rsidRPr="00A0214F">
        <w:rPr>
          <w:lang w:val="fr-FR"/>
        </w:rPr>
        <w:t xml:space="preserve">développent des actions de soutien à la réussite variées, dont il arrive </w:t>
      </w:r>
      <w:r w:rsidR="006558A7" w:rsidRPr="00A0214F">
        <w:rPr>
          <w:lang w:val="fr-FR"/>
        </w:rPr>
        <w:t xml:space="preserve">cependant </w:t>
      </w:r>
      <w:r w:rsidR="00B26215" w:rsidRPr="00A0214F">
        <w:rPr>
          <w:lang w:val="fr-FR"/>
        </w:rPr>
        <w:t>qu’elles soient sous-investies par les étudiants auxquels elles sont destinées</w:t>
      </w:r>
      <w:r w:rsidR="004511A2" w:rsidRPr="00A0214F">
        <w:rPr>
          <w:lang w:val="fr-FR"/>
        </w:rPr>
        <w:t xml:space="preserve"> (Bornschlegl et al., 2020)</w:t>
      </w:r>
      <w:r w:rsidR="00B26215" w:rsidRPr="00A0214F">
        <w:rPr>
          <w:lang w:val="fr-FR"/>
        </w:rPr>
        <w:t>.</w:t>
      </w:r>
      <w:r w:rsidR="004E4796" w:rsidRPr="00A0214F">
        <w:rPr>
          <w:lang w:val="fr-FR"/>
        </w:rPr>
        <w:t xml:space="preserve"> </w:t>
      </w:r>
      <w:r w:rsidR="0029461B" w:rsidRPr="00A0214F">
        <w:rPr>
          <w:lang w:val="fr-FR"/>
        </w:rPr>
        <w:t>En Fédération Wallonie-Bruxelles de Belgique</w:t>
      </w:r>
      <w:r w:rsidR="00CA5E3E" w:rsidRPr="00A0214F">
        <w:rPr>
          <w:lang w:val="fr-FR"/>
        </w:rPr>
        <w:t xml:space="preserve">, </w:t>
      </w:r>
      <w:r w:rsidR="0029461B" w:rsidRPr="00A0214F">
        <w:rPr>
          <w:lang w:val="fr-FR"/>
        </w:rPr>
        <w:t xml:space="preserve">de nombreux professeurs et auteurs s’accordent de longue date à considérer les enjeux de </w:t>
      </w:r>
      <w:r w:rsidR="00042325" w:rsidRPr="00A0214F">
        <w:rPr>
          <w:lang w:val="fr-FR"/>
        </w:rPr>
        <w:t>la</w:t>
      </w:r>
      <w:r w:rsidR="0029461B" w:rsidRPr="00A0214F">
        <w:rPr>
          <w:lang w:val="fr-FR"/>
        </w:rPr>
        <w:t xml:space="preserve"> maîtrise de la langue maternelle comme « primordiaux lors de la transition de l’enseignement secondaire à l’enseignement supérieur » (Defays et al., 2000). Afin d’aider ses étudiants </w:t>
      </w:r>
      <w:r w:rsidR="0052606D">
        <w:rPr>
          <w:lang w:val="fr-FR"/>
        </w:rPr>
        <w:t>ayant</w:t>
      </w:r>
      <w:r w:rsidR="0029461B" w:rsidRPr="00A0214F">
        <w:rPr>
          <w:lang w:val="fr-FR"/>
        </w:rPr>
        <w:t xml:space="preserve"> </w:t>
      </w:r>
      <w:r w:rsidR="00F941EE" w:rsidRPr="00A0214F">
        <w:rPr>
          <w:lang w:val="fr-FR"/>
        </w:rPr>
        <w:t>un</w:t>
      </w:r>
      <w:r w:rsidR="007D1662" w:rsidRPr="00A0214F">
        <w:rPr>
          <w:lang w:val="fr-FR"/>
        </w:rPr>
        <w:t xml:space="preserve">e </w:t>
      </w:r>
      <w:r w:rsidR="00F941EE" w:rsidRPr="00A0214F">
        <w:rPr>
          <w:lang w:val="fr-FR"/>
        </w:rPr>
        <w:t xml:space="preserve">maîtrise </w:t>
      </w:r>
      <w:r w:rsidR="00A62CCC" w:rsidRPr="00A0214F">
        <w:rPr>
          <w:lang w:val="fr-FR"/>
        </w:rPr>
        <w:t xml:space="preserve">insuffisante </w:t>
      </w:r>
      <w:r w:rsidR="00F941EE" w:rsidRPr="00A0214F">
        <w:rPr>
          <w:lang w:val="fr-FR"/>
        </w:rPr>
        <w:t>de la langue française</w:t>
      </w:r>
      <w:r w:rsidR="0029461B" w:rsidRPr="00A0214F">
        <w:rPr>
          <w:lang w:val="fr-FR"/>
        </w:rPr>
        <w:t xml:space="preserve">, la Faculté de Philosophie et Lettres (FPhL) de l’Université de Liège (ULiège) a développé une activité de renforcement des compétences langagières. </w:t>
      </w:r>
      <w:r w:rsidR="004B3AFC" w:rsidRPr="00A0214F">
        <w:rPr>
          <w:lang w:val="fr-FR"/>
        </w:rPr>
        <w:t>La présente</w:t>
      </w:r>
      <w:r w:rsidR="0029461B" w:rsidRPr="00A0214F">
        <w:rPr>
          <w:lang w:val="fr-FR"/>
        </w:rPr>
        <w:t xml:space="preserve"> étude porte sur les freins et les leviers à l’intention qu’ont les primants d’y participer.</w:t>
      </w:r>
      <w:r w:rsidR="00F47CFA" w:rsidRPr="00A0214F">
        <w:rPr>
          <w:lang w:val="fr-FR"/>
        </w:rPr>
        <w:t xml:space="preserve"> </w:t>
      </w:r>
      <w:r w:rsidR="00EC2CE4" w:rsidRPr="00A0214F">
        <w:rPr>
          <w:lang w:val="fr-FR"/>
        </w:rPr>
        <w:t xml:space="preserve">A travers le prisme de la théorie du comportement planifié (Ajzen, 1991, 2021), </w:t>
      </w:r>
      <w:r w:rsidR="00F85147" w:rsidRPr="00A0214F">
        <w:rPr>
          <w:lang w:val="fr-FR"/>
        </w:rPr>
        <w:t>elle</w:t>
      </w:r>
      <w:r w:rsidR="00EC2CE4" w:rsidRPr="00A0214F">
        <w:rPr>
          <w:lang w:val="fr-FR"/>
        </w:rPr>
        <w:t xml:space="preserve"> montre que </w:t>
      </w:r>
      <w:r w:rsidR="00F45B44" w:rsidRPr="00A0214F">
        <w:rPr>
          <w:lang w:val="fr-FR"/>
        </w:rPr>
        <w:t xml:space="preserve">cette intention </w:t>
      </w:r>
      <w:r w:rsidR="00EC2CE4" w:rsidRPr="00A0214F">
        <w:rPr>
          <w:lang w:val="fr-FR"/>
        </w:rPr>
        <w:t>dépend de</w:t>
      </w:r>
      <w:r w:rsidR="007C218D" w:rsidRPr="00A0214F">
        <w:rPr>
          <w:lang w:val="fr-FR"/>
        </w:rPr>
        <w:t>s</w:t>
      </w:r>
      <w:r w:rsidR="00EC2CE4" w:rsidRPr="00A0214F">
        <w:rPr>
          <w:lang w:val="fr-FR"/>
        </w:rPr>
        <w:t xml:space="preserve"> attentes </w:t>
      </w:r>
      <w:r w:rsidR="007C218D" w:rsidRPr="00A0214F">
        <w:rPr>
          <w:lang w:val="fr-FR"/>
        </w:rPr>
        <w:t>des primants quant</w:t>
      </w:r>
      <w:r w:rsidR="00EC2CE4" w:rsidRPr="00A0214F">
        <w:rPr>
          <w:lang w:val="fr-FR"/>
        </w:rPr>
        <w:t xml:space="preserve"> aux conséquences de leur participation et du contrôle qu’ils pensent avoir en termes de capacité. En cohérence avec Lobo et Gurney (2014), les résultats </w:t>
      </w:r>
      <w:r w:rsidR="00BE10F7" w:rsidRPr="00A0214F">
        <w:rPr>
          <w:lang w:val="fr-FR"/>
        </w:rPr>
        <w:t>indiquent</w:t>
      </w:r>
      <w:r w:rsidR="00EC2CE4" w:rsidRPr="00A0214F">
        <w:rPr>
          <w:lang w:val="fr-FR"/>
        </w:rPr>
        <w:t xml:space="preserve"> qu’il importe que le contenu</w:t>
      </w:r>
      <w:r w:rsidR="00A30389" w:rsidRPr="00A0214F">
        <w:rPr>
          <w:lang w:val="fr-FR"/>
        </w:rPr>
        <w:t xml:space="preserve"> d’une telle activité</w:t>
      </w:r>
      <w:r w:rsidR="00EC2CE4" w:rsidRPr="00A0214F">
        <w:rPr>
          <w:lang w:val="fr-FR"/>
        </w:rPr>
        <w:t xml:space="preserve"> soit utile, en lien avec le cursus et aborde des méthodes à acquérir, et que </w:t>
      </w:r>
      <w:r w:rsidR="000A012D" w:rsidRPr="00A0214F">
        <w:rPr>
          <w:lang w:val="fr-FR"/>
        </w:rPr>
        <w:t>s</w:t>
      </w:r>
      <w:r w:rsidR="00EC2CE4" w:rsidRPr="00A0214F">
        <w:rPr>
          <w:lang w:val="fr-FR"/>
        </w:rPr>
        <w:t xml:space="preserve">a forme soit amusante. </w:t>
      </w:r>
      <w:r w:rsidR="0079714D" w:rsidRPr="00A0214F">
        <w:rPr>
          <w:lang w:val="fr-FR"/>
        </w:rPr>
        <w:t>Ils</w:t>
      </w:r>
      <w:r w:rsidR="00EC2CE4" w:rsidRPr="00A0214F">
        <w:rPr>
          <w:lang w:val="fr-FR"/>
        </w:rPr>
        <w:t xml:space="preserve"> </w:t>
      </w:r>
      <w:r w:rsidR="00547CC8" w:rsidRPr="00A0214F">
        <w:rPr>
          <w:lang w:val="fr-FR"/>
        </w:rPr>
        <w:t>mettent</w:t>
      </w:r>
      <w:r w:rsidR="0079714D" w:rsidRPr="00A0214F">
        <w:rPr>
          <w:lang w:val="fr-FR"/>
        </w:rPr>
        <w:t xml:space="preserve"> de surcroit</w:t>
      </w:r>
      <w:r w:rsidR="00547CC8" w:rsidRPr="00A0214F">
        <w:rPr>
          <w:lang w:val="fr-FR"/>
        </w:rPr>
        <w:t xml:space="preserve"> en évidence</w:t>
      </w:r>
      <w:r w:rsidR="00EC2CE4" w:rsidRPr="00A0214F">
        <w:rPr>
          <w:lang w:val="fr-FR"/>
        </w:rPr>
        <w:t xml:space="preserve"> que participer à une telle activité pourrait susciter un sentiment de </w:t>
      </w:r>
      <w:r w:rsidR="00EC2CE4" w:rsidRPr="00A0214F">
        <w:rPr>
          <w:lang w:val="fr-FR"/>
        </w:rPr>
        <w:lastRenderedPageBreak/>
        <w:t>honte, non en raison d’une stigmatisation (Plumat et al., 2012) mais par l’élicitation d’un sentiment personnel d’infériorité. Ces résultats invitent à veiller au contenu et à la forme non seulement des activités de soutien développées à destination des primants, mais aussi de l’information communiquée à leur sujet.</w:t>
      </w:r>
    </w:p>
    <w:p w14:paraId="5C3CBD5F" w14:textId="77777777" w:rsidR="0029461B" w:rsidRPr="00161CDB" w:rsidRDefault="0029461B" w:rsidP="000F026E">
      <w:pPr>
        <w:autoSpaceDE w:val="0"/>
        <w:autoSpaceDN w:val="0"/>
        <w:adjustRightInd w:val="0"/>
        <w:spacing w:after="0" w:line="240" w:lineRule="auto"/>
        <w:jc w:val="both"/>
        <w:rPr>
          <w:rFonts w:cstheme="minorHAnsi"/>
          <w:color w:val="808080"/>
          <w:kern w:val="0"/>
          <w:sz w:val="20"/>
          <w:szCs w:val="20"/>
          <w:lang w:val="fr-BE"/>
        </w:rPr>
      </w:pPr>
    </w:p>
    <w:p w14:paraId="50CB674A" w14:textId="77777777" w:rsidR="00B83D8D" w:rsidRPr="00161CDB" w:rsidRDefault="00B83D8D" w:rsidP="000F026E">
      <w:pPr>
        <w:autoSpaceDE w:val="0"/>
        <w:autoSpaceDN w:val="0"/>
        <w:adjustRightInd w:val="0"/>
        <w:spacing w:after="0" w:line="240" w:lineRule="auto"/>
        <w:jc w:val="both"/>
        <w:rPr>
          <w:rFonts w:cstheme="minorHAnsi"/>
          <w:color w:val="808080"/>
          <w:kern w:val="0"/>
          <w:sz w:val="20"/>
          <w:szCs w:val="20"/>
          <w:lang w:val="fr-BE"/>
        </w:rPr>
      </w:pPr>
    </w:p>
    <w:p w14:paraId="264654B8" w14:textId="77777777" w:rsidR="00B83D8D" w:rsidRPr="00161CDB" w:rsidRDefault="00B83D8D" w:rsidP="000F026E">
      <w:pPr>
        <w:pStyle w:val="Paragraphedeliste"/>
        <w:numPr>
          <w:ilvl w:val="0"/>
          <w:numId w:val="1"/>
        </w:numPr>
        <w:autoSpaceDE w:val="0"/>
        <w:autoSpaceDN w:val="0"/>
        <w:adjustRightInd w:val="0"/>
        <w:spacing w:after="0" w:line="240" w:lineRule="auto"/>
        <w:jc w:val="both"/>
        <w:rPr>
          <w:rFonts w:cstheme="minorHAnsi"/>
          <w:b/>
          <w:bCs/>
          <w:color w:val="000000"/>
          <w:kern w:val="0"/>
          <w:sz w:val="20"/>
          <w:szCs w:val="20"/>
          <w:lang w:val="fr-BE"/>
        </w:rPr>
      </w:pPr>
      <w:r w:rsidRPr="00161CDB">
        <w:rPr>
          <w:rFonts w:cstheme="minorHAnsi"/>
          <w:b/>
          <w:bCs/>
          <w:color w:val="000000"/>
          <w:kern w:val="0"/>
          <w:sz w:val="20"/>
          <w:szCs w:val="20"/>
          <w:lang w:val="fr-BE"/>
        </w:rPr>
        <w:t xml:space="preserve">Résumé long de la communication </w:t>
      </w:r>
      <w:r w:rsidR="000F026E" w:rsidRPr="00DE5379">
        <w:rPr>
          <w:rFonts w:cstheme="minorHAnsi"/>
          <w:b/>
          <w:bCs/>
          <w:i/>
          <w:iCs/>
          <w:color w:val="000000"/>
          <w:kern w:val="0"/>
          <w:sz w:val="20"/>
          <w:szCs w:val="20"/>
          <w:lang w:val="fr-BE"/>
        </w:rPr>
        <w:t>(</w:t>
      </w:r>
      <w:r w:rsidRPr="00DE5379">
        <w:rPr>
          <w:rFonts w:cstheme="minorHAnsi"/>
          <w:b/>
          <w:bCs/>
          <w:i/>
          <w:iCs/>
          <w:color w:val="000000"/>
          <w:kern w:val="0"/>
          <w:sz w:val="20"/>
          <w:szCs w:val="20"/>
          <w:lang w:val="fr-BE"/>
        </w:rPr>
        <w:t>1000 mots maximum</w:t>
      </w:r>
      <w:r w:rsidR="000F026E" w:rsidRPr="00DE5379">
        <w:rPr>
          <w:rFonts w:cstheme="minorHAnsi"/>
          <w:b/>
          <w:bCs/>
          <w:i/>
          <w:iCs/>
          <w:color w:val="000000"/>
          <w:kern w:val="0"/>
          <w:sz w:val="20"/>
          <w:szCs w:val="20"/>
          <w:lang w:val="fr-BE"/>
        </w:rPr>
        <w:t>)</w:t>
      </w:r>
    </w:p>
    <w:p w14:paraId="105C79ED" w14:textId="4787AF10" w:rsidR="00360F4B" w:rsidRPr="00B91E0F" w:rsidRDefault="00360F4B" w:rsidP="00534D9F">
      <w:pPr>
        <w:jc w:val="both"/>
        <w:rPr>
          <w:lang w:val="fr-FR"/>
        </w:rPr>
      </w:pPr>
      <w:r w:rsidRPr="00B91E0F">
        <w:rPr>
          <w:lang w:val="fr-FR"/>
        </w:rPr>
        <w:t>La transition dans l'enseignement supérieur est un processus complexe, dont la réussite est un défi (Kift, 2015). Confrontées à une massification d’étudiants aux degrés de préparation variés, les institutions d’enseignement supérieur développent des programmes de soutien à la réussite diversifiés (Pariat et Lafont, 2018), dans lesquels les étudiants ne s'engagent pourtant pas nécessairement (Bornschlegl et al., 2020). L'identification des leviers ou des barrières à l'engagement des étudiants de première année dans ces activités est dès lors un enjeu pour soutenir la transition.</w:t>
      </w:r>
    </w:p>
    <w:p w14:paraId="07B2A13C" w14:textId="6469E4C3" w:rsidR="00360F4B" w:rsidRPr="00B91E0F" w:rsidRDefault="00360F4B" w:rsidP="004279D2">
      <w:pPr>
        <w:jc w:val="both"/>
        <w:rPr>
          <w:lang w:val="fr-FR"/>
        </w:rPr>
      </w:pPr>
      <w:r w:rsidRPr="00B91E0F">
        <w:rPr>
          <w:lang w:val="fr-FR"/>
        </w:rPr>
        <w:t>En Fédération Wallonie-Bruxelles de Belgique, la ma</w:t>
      </w:r>
      <w:r w:rsidR="001D68AE" w:rsidRPr="00B91E0F">
        <w:rPr>
          <w:lang w:val="fr-FR"/>
        </w:rPr>
        <w:t>î</w:t>
      </w:r>
      <w:r w:rsidRPr="00B91E0F">
        <w:rPr>
          <w:lang w:val="fr-FR"/>
        </w:rPr>
        <w:t>trise de la langue française n’est pas sans poser de difficultés</w:t>
      </w:r>
      <w:r w:rsidR="001D68AE" w:rsidRPr="00B91E0F">
        <w:rPr>
          <w:lang w:val="fr-FR"/>
        </w:rPr>
        <w:t xml:space="preserve"> </w:t>
      </w:r>
      <w:r w:rsidR="00D26BF0" w:rsidRPr="00B91E0F">
        <w:rPr>
          <w:lang w:val="fr-FR"/>
        </w:rPr>
        <w:t>or,</w:t>
      </w:r>
      <w:r w:rsidR="001D68AE" w:rsidRPr="00B91E0F">
        <w:rPr>
          <w:lang w:val="fr-FR"/>
        </w:rPr>
        <w:t xml:space="preserve"> d</w:t>
      </w:r>
      <w:r w:rsidRPr="00B91E0F">
        <w:rPr>
          <w:lang w:val="fr-FR"/>
        </w:rPr>
        <w:t>e nombreux professeurs et auteurs s’accord</w:t>
      </w:r>
      <w:r w:rsidR="00A77577" w:rsidRPr="00B91E0F">
        <w:rPr>
          <w:lang w:val="fr-FR"/>
        </w:rPr>
        <w:t>e</w:t>
      </w:r>
      <w:r w:rsidRPr="00B91E0F">
        <w:rPr>
          <w:lang w:val="fr-FR"/>
        </w:rPr>
        <w:t xml:space="preserve">nt </w:t>
      </w:r>
      <w:r w:rsidR="003E45F5" w:rsidRPr="00B91E0F">
        <w:rPr>
          <w:lang w:val="fr-FR"/>
        </w:rPr>
        <w:t xml:space="preserve">de longue date </w:t>
      </w:r>
      <w:r w:rsidRPr="00B91E0F">
        <w:rPr>
          <w:lang w:val="fr-FR"/>
        </w:rPr>
        <w:t xml:space="preserve">à considérer les enjeux de cette maîtrise de la langue maternelle comme « primordiaux lors de la transition de l’enseignement secondaire à l’enseignement supérieur » (Defays et al., 2000). Afin d’aider ses étudiants à remédier à leurs difficultés, la Faculté de Philosophie et Lettres (FPhL) de l’Université de Liège (ULiège) a développé une activité de renforcement des compétences langagières. Cette étude porte sur les freins et les leviers à l’intention qu’ont les </w:t>
      </w:r>
      <w:r w:rsidR="007648FC" w:rsidRPr="00B91E0F">
        <w:rPr>
          <w:lang w:val="fr-FR"/>
        </w:rPr>
        <w:t>primants</w:t>
      </w:r>
      <w:r w:rsidRPr="00B91E0F">
        <w:rPr>
          <w:lang w:val="fr-FR"/>
        </w:rPr>
        <w:t xml:space="preserve"> d’y participer.</w:t>
      </w:r>
    </w:p>
    <w:p w14:paraId="35DA7F6A" w14:textId="79FEE65F" w:rsidR="00360F4B" w:rsidRPr="00B91E0F" w:rsidRDefault="00360F4B" w:rsidP="004279D2">
      <w:pPr>
        <w:jc w:val="both"/>
        <w:rPr>
          <w:lang w:val="fr-FR"/>
        </w:rPr>
      </w:pPr>
      <w:r w:rsidRPr="00B91E0F">
        <w:rPr>
          <w:lang w:val="fr-FR"/>
        </w:rPr>
        <w:t>La littérature met en avant différents facteurs pouvant impacter la participation des étudiants aux activités de soutien qui leurs sont proposées, tels qu’une représentation erronée de l’enseignement supérieur et de ses propres compétences, l’horaire, l’appellation des dispositifs, la crainte d’une stigmatisation, l’existence de bénéfices proximaux (Plumat et al., 2012), l’influence des pairs (Weuffen et al., 2021), les normes sociales, les attitudes (Bornschlegl et al., 2020), le sentiment de capacité, les croyances (Huart et al., 2023), le contexte (Bornschlegl et al., 2020)… Dans le cas d’activités de remise à niveau dans la langue d’enseignement en particulier, le rôle des attentes des étudiants quant au contenu et à la forme de l’activité a également été démontré (Lobo et Gurney, 2014).</w:t>
      </w:r>
    </w:p>
    <w:p w14:paraId="0D8A5BA2" w14:textId="77777777" w:rsidR="00360F4B" w:rsidRPr="00B91E0F" w:rsidRDefault="00360F4B" w:rsidP="004279D2">
      <w:pPr>
        <w:jc w:val="both"/>
        <w:rPr>
          <w:lang w:val="fr-FR"/>
        </w:rPr>
      </w:pPr>
      <w:r w:rsidRPr="00B91E0F">
        <w:rPr>
          <w:lang w:val="fr-FR"/>
        </w:rPr>
        <w:t>Afin de considérer un maximum des éléments précités, cette étude a eu recours à la théorie du comportement planifié (TCP ; Ajzen, 1991, 2020). Selon cette théorie, la participation à l’activité serait prédite par les attentes des étudiants quant aux conséquences et au vécu qu’induirait leur participation à l’activité – ou « attitudes cognitive et expérientielle », par leurs représentations des étudiants qui participent à l’activité et des attentes d’autrui – ou « normes sociales descriptive et injonctive », ainsi que par le degré de contrôle qu’ils pensent avoir sur leur participation à l’activité ou « contrôle comportemental perçu en termes de capacité et d’autonomie ».  Ces prédicteurs seraient eux-mêmes le fruit de croyances variant selon les individus et les contextes, dont l’identification permet de cibler des régulations susceptibles de favoriser la participation étudiante.</w:t>
      </w:r>
    </w:p>
    <w:p w14:paraId="22A2541A" w14:textId="65D53AC2" w:rsidR="00360F4B" w:rsidRPr="00B91E0F" w:rsidRDefault="00360F4B" w:rsidP="004279D2">
      <w:pPr>
        <w:jc w:val="both"/>
        <w:rPr>
          <w:lang w:val="fr-FR"/>
        </w:rPr>
      </w:pPr>
      <w:r w:rsidRPr="00B91E0F">
        <w:rPr>
          <w:lang w:val="fr-FR"/>
        </w:rPr>
        <w:t xml:space="preserve">Suivant la méthodologie préconisée par Ajzen (2006), une enquête pilote recueillant les croyances les plus accessibles concernant l’activité a d’abord été menée auprès de 13 </w:t>
      </w:r>
      <w:r w:rsidR="00DE6666" w:rsidRPr="00B91E0F">
        <w:rPr>
          <w:lang w:val="fr-FR"/>
        </w:rPr>
        <w:t>primants</w:t>
      </w:r>
      <w:r w:rsidRPr="00B91E0F">
        <w:rPr>
          <w:lang w:val="fr-FR"/>
        </w:rPr>
        <w:t xml:space="preserve"> de la FPhL. Les résultats ont permis de construire le questionnaire servant à l’étude, lequel a été complété en ligne par 143 étudiants volontaires (100 femmes, 40 hommes et 3 « autres ») âgés en moyenne de 19.1 ans.</w:t>
      </w:r>
    </w:p>
    <w:p w14:paraId="1D19D194" w14:textId="1113C9BF" w:rsidR="00360F4B" w:rsidRPr="00B91E0F" w:rsidRDefault="00360F4B" w:rsidP="004279D2">
      <w:pPr>
        <w:jc w:val="both"/>
        <w:rPr>
          <w:lang w:val="fr-FR"/>
        </w:rPr>
      </w:pPr>
      <w:r w:rsidRPr="00B91E0F">
        <w:rPr>
          <w:lang w:val="fr-FR"/>
        </w:rPr>
        <w:t xml:space="preserve">L’analyse de régression montre que les prédicteurs de la TCP expliquent 67% de la variance de l’intention qu’ont les étudiants de première année de participer à l’activité de renforcement des compétences </w:t>
      </w:r>
      <w:r w:rsidRPr="00B91E0F">
        <w:rPr>
          <w:lang w:val="fr-FR"/>
        </w:rPr>
        <w:lastRenderedPageBreak/>
        <w:t>langagières (</w:t>
      </w:r>
      <w:r w:rsidRPr="00B91E0F">
        <w:rPr>
          <w:i/>
          <w:iCs/>
          <w:lang w:val="fr-FR"/>
        </w:rPr>
        <w:t>F</w:t>
      </w:r>
      <w:r w:rsidRPr="00B91E0F">
        <w:rPr>
          <w:lang w:val="fr-FR"/>
        </w:rPr>
        <w:t xml:space="preserve">(7,111) = 36.31, </w:t>
      </w:r>
      <w:r w:rsidRPr="00B91E0F">
        <w:rPr>
          <w:i/>
          <w:iCs/>
          <w:lang w:val="fr-FR"/>
        </w:rPr>
        <w:t>p</w:t>
      </w:r>
      <w:r w:rsidRPr="00B91E0F">
        <w:rPr>
          <w:lang w:val="fr-FR"/>
        </w:rPr>
        <w:t xml:space="preserve"> &lt; .001). Parmi ces prédicteurs, l’attitude cognitive (</w:t>
      </w:r>
      <w:r w:rsidRPr="00B91E0F">
        <w:rPr>
          <w:i/>
          <w:iCs/>
          <w:lang w:val="fr-FR"/>
        </w:rPr>
        <w:t>b</w:t>
      </w:r>
      <w:r w:rsidRPr="00B91E0F">
        <w:rPr>
          <w:lang w:val="fr-FR"/>
        </w:rPr>
        <w:t xml:space="preserve"> = 0.57, </w:t>
      </w:r>
      <w:r w:rsidRPr="00B91E0F">
        <w:rPr>
          <w:i/>
          <w:iCs/>
          <w:lang w:val="fr-FR"/>
        </w:rPr>
        <w:t>SE</w:t>
      </w:r>
      <w:r w:rsidRPr="00B91E0F">
        <w:rPr>
          <w:lang w:val="fr-FR"/>
        </w:rPr>
        <w:t xml:space="preserve"> = 0.08, [0.42 ; 0.72], </w:t>
      </w:r>
      <w:r w:rsidRPr="00B91E0F">
        <w:rPr>
          <w:i/>
          <w:iCs/>
          <w:lang w:val="fr-FR"/>
        </w:rPr>
        <w:t>t</w:t>
      </w:r>
      <w:r w:rsidRPr="00B91E0F">
        <w:rPr>
          <w:lang w:val="fr-FR"/>
        </w:rPr>
        <w:t xml:space="preserve">(111) = 7.42, </w:t>
      </w:r>
      <w:r w:rsidRPr="00B91E0F">
        <w:rPr>
          <w:i/>
          <w:iCs/>
          <w:lang w:val="fr-FR"/>
        </w:rPr>
        <w:t>p</w:t>
      </w:r>
      <w:r w:rsidRPr="00B91E0F">
        <w:rPr>
          <w:lang w:val="fr-FR"/>
        </w:rPr>
        <w:t xml:space="preserve"> &lt;.001) et le contrôle perçu en termes de capacité (</w:t>
      </w:r>
      <w:r w:rsidRPr="00B91E0F">
        <w:rPr>
          <w:i/>
          <w:iCs/>
          <w:lang w:val="fr-FR"/>
        </w:rPr>
        <w:t>b</w:t>
      </w:r>
      <w:r w:rsidRPr="00B91E0F">
        <w:rPr>
          <w:lang w:val="fr-FR"/>
        </w:rPr>
        <w:t xml:space="preserve"> = 0.41, </w:t>
      </w:r>
      <w:r w:rsidRPr="00B91E0F">
        <w:rPr>
          <w:i/>
          <w:iCs/>
          <w:lang w:val="fr-FR"/>
        </w:rPr>
        <w:t xml:space="preserve">SE = </w:t>
      </w:r>
      <w:r w:rsidRPr="00B91E0F">
        <w:rPr>
          <w:lang w:val="fr-FR"/>
        </w:rPr>
        <w:t xml:space="preserve">0.73, [0.27 ; 0.56], </w:t>
      </w:r>
      <w:r w:rsidRPr="00B91E0F">
        <w:rPr>
          <w:i/>
          <w:iCs/>
          <w:lang w:val="fr-FR"/>
        </w:rPr>
        <w:t>t</w:t>
      </w:r>
      <w:r w:rsidRPr="00B91E0F">
        <w:rPr>
          <w:lang w:val="fr-FR"/>
        </w:rPr>
        <w:t xml:space="preserve">(111) = 5.61, </w:t>
      </w:r>
      <w:r w:rsidRPr="00B91E0F">
        <w:rPr>
          <w:i/>
          <w:iCs/>
          <w:lang w:val="fr-FR"/>
        </w:rPr>
        <w:t>p</w:t>
      </w:r>
      <w:r w:rsidRPr="00B91E0F">
        <w:rPr>
          <w:lang w:val="fr-FR"/>
        </w:rPr>
        <w:t xml:space="preserve"> &lt;.001) apportent chacun une contribution indépendante.</w:t>
      </w:r>
    </w:p>
    <w:p w14:paraId="6F9FCF6A" w14:textId="3F2F5F48" w:rsidR="00360F4B" w:rsidRPr="00B91E0F" w:rsidRDefault="00360F4B" w:rsidP="004279D2">
      <w:pPr>
        <w:jc w:val="both"/>
        <w:rPr>
          <w:lang w:val="fr-FR"/>
        </w:rPr>
      </w:pPr>
      <w:r w:rsidRPr="00B91E0F">
        <w:rPr>
          <w:lang w:val="fr-FR"/>
        </w:rPr>
        <w:t>Des analyses de régression de ces deux facteurs, respectivement, sur les croyances attitudinales (</w:t>
      </w:r>
      <w:r w:rsidRPr="00B91E0F">
        <w:rPr>
          <w:i/>
          <w:iCs/>
          <w:lang w:val="fr-FR"/>
        </w:rPr>
        <w:t>F</w:t>
      </w:r>
      <w:r w:rsidRPr="00B91E0F">
        <w:rPr>
          <w:lang w:val="fr-FR"/>
        </w:rPr>
        <w:t xml:space="preserve">(17,94) = 2.48, </w:t>
      </w:r>
      <w:r w:rsidRPr="00B91E0F">
        <w:rPr>
          <w:i/>
          <w:iCs/>
          <w:lang w:val="fr-FR"/>
        </w:rPr>
        <w:t>p</w:t>
      </w:r>
      <w:r w:rsidRPr="00B91E0F">
        <w:rPr>
          <w:lang w:val="fr-FR"/>
        </w:rPr>
        <w:t xml:space="preserve"> = .003) et sur les croyances de contrôle (</w:t>
      </w:r>
      <w:r w:rsidRPr="00B91E0F">
        <w:rPr>
          <w:i/>
          <w:iCs/>
          <w:lang w:val="fr-FR"/>
        </w:rPr>
        <w:t>F</w:t>
      </w:r>
      <w:r w:rsidRPr="00B91E0F">
        <w:rPr>
          <w:lang w:val="fr-FR"/>
        </w:rPr>
        <w:t xml:space="preserve">(15,95) = 2.35, </w:t>
      </w:r>
      <w:r w:rsidRPr="00B91E0F">
        <w:rPr>
          <w:i/>
          <w:iCs/>
          <w:lang w:val="fr-FR"/>
        </w:rPr>
        <w:t>p</w:t>
      </w:r>
      <w:r w:rsidRPr="00B91E0F">
        <w:rPr>
          <w:lang w:val="fr-FR"/>
        </w:rPr>
        <w:t xml:space="preserve"> = .006) montrent que la prédiction de ces facteurs par leurs croyances respectives est significative. Parmi ces croyances, plusieurs s’avèrent déterminantes. La croyance selon laquelle participer à l’activité permet d’acquérir des méthodes plus efficaces prédit significativement l’attitude cognitive (</w:t>
      </w:r>
      <w:r w:rsidRPr="00B91E0F">
        <w:rPr>
          <w:i/>
          <w:iCs/>
          <w:lang w:val="fr-FR"/>
        </w:rPr>
        <w:t>b</w:t>
      </w:r>
      <w:r w:rsidRPr="00B91E0F">
        <w:rPr>
          <w:lang w:val="fr-FR"/>
        </w:rPr>
        <w:t xml:space="preserve"> = 0.04, </w:t>
      </w:r>
      <w:r w:rsidRPr="00B91E0F">
        <w:rPr>
          <w:i/>
          <w:iCs/>
          <w:lang w:val="fr-FR"/>
        </w:rPr>
        <w:t>SE</w:t>
      </w:r>
      <w:r w:rsidRPr="00B91E0F">
        <w:rPr>
          <w:lang w:val="fr-FR"/>
        </w:rPr>
        <w:t xml:space="preserve"> = 0.02, [0.01 ; 0.08], </w:t>
      </w:r>
      <w:r w:rsidRPr="00B91E0F">
        <w:rPr>
          <w:i/>
          <w:iCs/>
          <w:lang w:val="fr-FR"/>
        </w:rPr>
        <w:t>t</w:t>
      </w:r>
      <w:r w:rsidRPr="00B91E0F">
        <w:rPr>
          <w:lang w:val="fr-FR"/>
        </w:rPr>
        <w:t xml:space="preserve">(94) = 2.26 </w:t>
      </w:r>
      <w:r w:rsidRPr="00B91E0F">
        <w:rPr>
          <w:i/>
          <w:iCs/>
          <w:lang w:val="fr-FR"/>
        </w:rPr>
        <w:t>p</w:t>
      </w:r>
      <w:r w:rsidRPr="00B91E0F">
        <w:rPr>
          <w:lang w:val="fr-FR"/>
        </w:rPr>
        <w:t xml:space="preserve"> =.026). Les croyances relatives à l’utilité de l’activité (</w:t>
      </w:r>
      <w:r w:rsidRPr="00B91E0F">
        <w:rPr>
          <w:i/>
          <w:iCs/>
          <w:lang w:val="fr-FR"/>
        </w:rPr>
        <w:t>b</w:t>
      </w:r>
      <w:r w:rsidRPr="00B91E0F">
        <w:rPr>
          <w:b/>
          <w:bCs/>
          <w:vertAlign w:val="superscript"/>
          <w:lang w:val="fr-FR"/>
        </w:rPr>
        <w:t xml:space="preserve"> </w:t>
      </w:r>
      <w:r w:rsidRPr="00B91E0F">
        <w:rPr>
          <w:lang w:val="fr-FR"/>
        </w:rPr>
        <w:t xml:space="preserve">= 0.06, </w:t>
      </w:r>
      <w:r w:rsidRPr="00B91E0F">
        <w:rPr>
          <w:i/>
          <w:iCs/>
          <w:lang w:val="fr-FR"/>
        </w:rPr>
        <w:t>SE</w:t>
      </w:r>
      <w:r w:rsidRPr="00B91E0F">
        <w:rPr>
          <w:lang w:val="fr-FR"/>
        </w:rPr>
        <w:t xml:space="preserve"> = 0.03, [0.01 ; 0.12], </w:t>
      </w:r>
      <w:r w:rsidRPr="00B91E0F">
        <w:rPr>
          <w:i/>
          <w:iCs/>
          <w:lang w:val="fr-FR"/>
        </w:rPr>
        <w:t>t</w:t>
      </w:r>
      <w:r w:rsidRPr="00B91E0F">
        <w:rPr>
          <w:lang w:val="fr-FR"/>
        </w:rPr>
        <w:t xml:space="preserve">(95) = 1.98, </w:t>
      </w:r>
      <w:r w:rsidRPr="00B91E0F">
        <w:rPr>
          <w:i/>
          <w:iCs/>
          <w:lang w:val="fr-FR"/>
        </w:rPr>
        <w:t>p</w:t>
      </w:r>
      <w:r w:rsidRPr="00B91E0F">
        <w:rPr>
          <w:lang w:val="fr-FR"/>
        </w:rPr>
        <w:t xml:space="preserve"> =.05), à son lien avec le cursus (</w:t>
      </w:r>
      <w:r w:rsidRPr="00B91E0F">
        <w:rPr>
          <w:i/>
          <w:iCs/>
          <w:lang w:val="fr-FR"/>
        </w:rPr>
        <w:t>b = 0.04</w:t>
      </w:r>
      <w:r w:rsidRPr="00B91E0F">
        <w:rPr>
          <w:lang w:val="fr-FR"/>
        </w:rPr>
        <w:t xml:space="preserve">, </w:t>
      </w:r>
      <w:r w:rsidRPr="00B91E0F">
        <w:rPr>
          <w:i/>
          <w:iCs/>
          <w:lang w:val="fr-FR"/>
        </w:rPr>
        <w:t>SE</w:t>
      </w:r>
      <w:r w:rsidRPr="00B91E0F">
        <w:rPr>
          <w:lang w:val="fr-FR"/>
        </w:rPr>
        <w:t xml:space="preserve"> = 0.02, [0.01 ; 0.08]</w:t>
      </w:r>
      <w:r w:rsidRPr="00B91E0F">
        <w:rPr>
          <w:i/>
          <w:iCs/>
          <w:lang w:val="fr-FR"/>
        </w:rPr>
        <w:t xml:space="preserve">, t(95) = 2.11, p =.04) </w:t>
      </w:r>
      <w:r w:rsidRPr="00B91E0F">
        <w:rPr>
          <w:lang w:val="fr-FR"/>
        </w:rPr>
        <w:t>et au fait qu’elle soit amusante (</w:t>
      </w:r>
      <w:r w:rsidRPr="00B91E0F">
        <w:rPr>
          <w:i/>
          <w:iCs/>
          <w:lang w:val="fr-FR"/>
        </w:rPr>
        <w:t>b = 0.03</w:t>
      </w:r>
      <w:r w:rsidRPr="00B91E0F">
        <w:rPr>
          <w:lang w:val="fr-FR"/>
        </w:rPr>
        <w:t xml:space="preserve">, </w:t>
      </w:r>
      <w:r w:rsidRPr="00B91E0F">
        <w:rPr>
          <w:i/>
          <w:iCs/>
          <w:lang w:val="fr-FR"/>
        </w:rPr>
        <w:t>SE</w:t>
      </w:r>
      <w:r w:rsidRPr="00B91E0F">
        <w:rPr>
          <w:lang w:val="fr-FR"/>
        </w:rPr>
        <w:t xml:space="preserve"> = 0.01, [0.01 ; 0.06]</w:t>
      </w:r>
      <w:r w:rsidRPr="00B91E0F">
        <w:rPr>
          <w:i/>
          <w:iCs/>
          <w:lang w:val="fr-FR"/>
        </w:rPr>
        <w:t>, t(95) = 1.98, p =.05</w:t>
      </w:r>
      <w:r w:rsidRPr="00B91E0F">
        <w:rPr>
          <w:lang w:val="fr-FR"/>
        </w:rPr>
        <w:t>) contribuent de façon indépendante à la prédiction du contrôle perçu en termes de capacité. Des régressions complémentaires de l’intention de participer à l’activité sur les mêmes croyances montrent de surcroit que la croyance concernant le fait que l’activité soit amusante contribue directement à la prédiction de l’intention de participer à l’activité (</w:t>
      </w:r>
      <w:r w:rsidRPr="00B91E0F">
        <w:rPr>
          <w:i/>
          <w:iCs/>
          <w:lang w:val="fr-FR"/>
        </w:rPr>
        <w:t>b</w:t>
      </w:r>
      <w:r w:rsidRPr="00B91E0F">
        <w:rPr>
          <w:lang w:val="fr-FR"/>
        </w:rPr>
        <w:t xml:space="preserve"> = 0.05, </w:t>
      </w:r>
      <w:r w:rsidRPr="00B91E0F">
        <w:rPr>
          <w:i/>
          <w:iCs/>
          <w:lang w:val="fr-FR"/>
        </w:rPr>
        <w:t>SE</w:t>
      </w:r>
      <w:r w:rsidRPr="00B91E0F">
        <w:rPr>
          <w:lang w:val="fr-FR"/>
        </w:rPr>
        <w:t xml:space="preserve"> = 0.02, [0.02 ; 0.09], </w:t>
      </w:r>
      <w:r w:rsidRPr="00B91E0F">
        <w:rPr>
          <w:i/>
          <w:iCs/>
          <w:lang w:val="fr-FR"/>
        </w:rPr>
        <w:t>t</w:t>
      </w:r>
      <w:r w:rsidRPr="00B91E0F">
        <w:rPr>
          <w:lang w:val="fr-FR"/>
        </w:rPr>
        <w:t xml:space="preserve">(95) = 2.99, </w:t>
      </w:r>
      <w:r w:rsidRPr="00B91E0F">
        <w:rPr>
          <w:i/>
          <w:iCs/>
          <w:lang w:val="fr-FR"/>
        </w:rPr>
        <w:t>p</w:t>
      </w:r>
      <w:r w:rsidRPr="00B91E0F">
        <w:rPr>
          <w:lang w:val="fr-FR"/>
        </w:rPr>
        <w:t xml:space="preserve"> =.004), de même que la croyance selon laquelle participer va conduire à se sentir inférieur aux autres (</w:t>
      </w:r>
      <w:r w:rsidRPr="00B91E0F">
        <w:rPr>
          <w:i/>
          <w:iCs/>
          <w:lang w:val="fr-FR"/>
        </w:rPr>
        <w:t>b</w:t>
      </w:r>
      <w:r w:rsidRPr="00B91E0F">
        <w:rPr>
          <w:lang w:val="fr-FR"/>
        </w:rPr>
        <w:t xml:space="preserve"> = -0.11, </w:t>
      </w:r>
      <w:r w:rsidRPr="00B91E0F">
        <w:rPr>
          <w:i/>
          <w:iCs/>
          <w:lang w:val="fr-FR"/>
        </w:rPr>
        <w:t>SE</w:t>
      </w:r>
      <w:r w:rsidRPr="00B91E0F">
        <w:rPr>
          <w:lang w:val="fr-FR"/>
        </w:rPr>
        <w:t xml:space="preserve"> = 0.05, [-0.01 ; 0.29], </w:t>
      </w:r>
      <w:r w:rsidRPr="00B91E0F">
        <w:rPr>
          <w:i/>
          <w:iCs/>
          <w:lang w:val="fr-FR"/>
        </w:rPr>
        <w:t>t</w:t>
      </w:r>
      <w:r w:rsidRPr="00B91E0F">
        <w:rPr>
          <w:lang w:val="fr-FR"/>
        </w:rPr>
        <w:t xml:space="preserve">(94) = -1.98, </w:t>
      </w:r>
      <w:r w:rsidRPr="00B91E0F">
        <w:rPr>
          <w:i/>
          <w:iCs/>
          <w:lang w:val="fr-FR"/>
        </w:rPr>
        <w:t>p</w:t>
      </w:r>
      <w:r w:rsidRPr="00B91E0F">
        <w:rPr>
          <w:lang w:val="fr-FR"/>
        </w:rPr>
        <w:t xml:space="preserve"> =.05).</w:t>
      </w:r>
    </w:p>
    <w:p w14:paraId="60E4FF60" w14:textId="513E00FE" w:rsidR="00360F4B" w:rsidRPr="00B91E0F" w:rsidRDefault="00FC4D0E" w:rsidP="004279D2">
      <w:pPr>
        <w:jc w:val="both"/>
        <w:rPr>
          <w:lang w:val="fr-FR"/>
        </w:rPr>
      </w:pPr>
      <w:r w:rsidRPr="00B91E0F">
        <w:rPr>
          <w:lang w:val="fr-FR"/>
        </w:rPr>
        <w:t>Ainsi, à</w:t>
      </w:r>
      <w:r w:rsidR="00360F4B" w:rsidRPr="00B91E0F">
        <w:rPr>
          <w:lang w:val="fr-FR"/>
        </w:rPr>
        <w:t xml:space="preserve"> travers le prisme de la théorie du comportement planifié (Ajzen, 1991, 2021), cette étude montre que l’intention </w:t>
      </w:r>
      <w:r w:rsidR="00E02D64" w:rsidRPr="00B91E0F">
        <w:rPr>
          <w:lang w:val="fr-FR"/>
        </w:rPr>
        <w:t>d</w:t>
      </w:r>
      <w:r w:rsidR="00360F4B" w:rsidRPr="00B91E0F">
        <w:rPr>
          <w:lang w:val="fr-FR"/>
        </w:rPr>
        <w:t xml:space="preserve">es </w:t>
      </w:r>
      <w:r w:rsidR="00931E1D" w:rsidRPr="00B91E0F">
        <w:rPr>
          <w:lang w:val="fr-FR"/>
        </w:rPr>
        <w:t>primants</w:t>
      </w:r>
      <w:r w:rsidR="00360F4B" w:rsidRPr="00B91E0F">
        <w:rPr>
          <w:lang w:val="fr-FR"/>
        </w:rPr>
        <w:t xml:space="preserve"> de participer à une activité de renforcement des compétences langagières dépend de leurs attentes relatives aux conséquences de leur participation et du contrôle qu’ils pensent avoir en termes de capacité. Plusieurs croyances déterminantes ont été identifiées. En cohérence avec Lobo et Gurney (2014), les attentes relatives au contenu et à la forme des enseignements comptent. Les résultats précisent qu’il importe d’une part, que le contenu soit utile, en lien avec le cursus et aborde des méthodes à acquérir, et, d’autre part, que la forme soit amusante. Par ailleurs, les résultats confirment que participer à une telle activité pourrait susciter un sentiment de honte, ici non pas tant en raison d’une stigmatisation de la part d’autrui (Plumat et al., 2012) mais par l’élicitation d’un sentiment personnel d’infériorité. Ces résultats invitent ainsi à veiller au contenu et à la forme non seulement des activités de soutien développées à destination des </w:t>
      </w:r>
      <w:r w:rsidR="006C5CFB" w:rsidRPr="00B91E0F">
        <w:rPr>
          <w:lang w:val="fr-FR"/>
        </w:rPr>
        <w:t>primants</w:t>
      </w:r>
      <w:r w:rsidR="00360F4B" w:rsidRPr="00B91E0F">
        <w:rPr>
          <w:lang w:val="fr-FR"/>
        </w:rPr>
        <w:t>, mais aussi de l’information communiquée à leur sujet.</w:t>
      </w:r>
    </w:p>
    <w:p w14:paraId="1A18096B" w14:textId="77777777" w:rsidR="00B83D8D" w:rsidRPr="00161CDB" w:rsidRDefault="00B83D8D" w:rsidP="000F026E">
      <w:pPr>
        <w:autoSpaceDE w:val="0"/>
        <w:autoSpaceDN w:val="0"/>
        <w:adjustRightInd w:val="0"/>
        <w:spacing w:after="0" w:line="240" w:lineRule="auto"/>
        <w:jc w:val="both"/>
        <w:rPr>
          <w:rFonts w:cstheme="minorHAnsi"/>
          <w:color w:val="808080"/>
          <w:kern w:val="0"/>
          <w:sz w:val="20"/>
          <w:szCs w:val="20"/>
          <w:lang w:val="fr-BE"/>
        </w:rPr>
      </w:pPr>
    </w:p>
    <w:p w14:paraId="272E0E63" w14:textId="1F8268C0" w:rsidR="00B83D8D" w:rsidRPr="00161CDB" w:rsidRDefault="00B83D8D" w:rsidP="000F026E">
      <w:pPr>
        <w:pStyle w:val="Paragraphedeliste"/>
        <w:numPr>
          <w:ilvl w:val="0"/>
          <w:numId w:val="1"/>
        </w:numPr>
        <w:autoSpaceDE w:val="0"/>
        <w:autoSpaceDN w:val="0"/>
        <w:adjustRightInd w:val="0"/>
        <w:spacing w:after="0" w:line="240" w:lineRule="auto"/>
        <w:jc w:val="both"/>
        <w:rPr>
          <w:rFonts w:cstheme="minorHAnsi"/>
          <w:b/>
          <w:bCs/>
          <w:color w:val="000000"/>
          <w:kern w:val="0"/>
          <w:sz w:val="20"/>
          <w:szCs w:val="20"/>
          <w:lang w:val="fr-BE"/>
        </w:rPr>
      </w:pPr>
      <w:r w:rsidRPr="00161CDB">
        <w:rPr>
          <w:rFonts w:cstheme="minorHAnsi"/>
          <w:b/>
          <w:bCs/>
          <w:color w:val="000000"/>
          <w:kern w:val="0"/>
          <w:sz w:val="20"/>
          <w:szCs w:val="20"/>
          <w:lang w:val="fr-BE"/>
        </w:rPr>
        <w:t>Bibliographie</w:t>
      </w:r>
      <w:r w:rsidR="000F026E" w:rsidRPr="00161CDB">
        <w:rPr>
          <w:rFonts w:cstheme="minorHAnsi"/>
          <w:b/>
          <w:bCs/>
          <w:color w:val="000000"/>
          <w:kern w:val="0"/>
          <w:sz w:val="20"/>
          <w:szCs w:val="20"/>
          <w:lang w:val="fr-BE"/>
        </w:rPr>
        <w:t xml:space="preserve"> </w:t>
      </w:r>
      <w:r w:rsidR="000F026E" w:rsidRPr="00DE5379">
        <w:rPr>
          <w:rFonts w:cstheme="minorHAnsi"/>
          <w:b/>
          <w:bCs/>
          <w:i/>
          <w:iCs/>
          <w:color w:val="000000"/>
          <w:kern w:val="0"/>
          <w:sz w:val="20"/>
          <w:szCs w:val="20"/>
          <w:lang w:val="fr-BE"/>
        </w:rPr>
        <w:t>(</w:t>
      </w:r>
      <w:r w:rsidR="00DE5379" w:rsidRPr="00DE5379">
        <w:rPr>
          <w:rFonts w:cstheme="minorHAnsi"/>
          <w:b/>
          <w:bCs/>
          <w:i/>
          <w:iCs/>
          <w:color w:val="000000"/>
          <w:kern w:val="0"/>
          <w:sz w:val="20"/>
          <w:szCs w:val="20"/>
          <w:lang w:val="fr-BE"/>
        </w:rPr>
        <w:t>i</w:t>
      </w:r>
      <w:r w:rsidRPr="00DE5379">
        <w:rPr>
          <w:rFonts w:cstheme="minorHAnsi"/>
          <w:b/>
          <w:bCs/>
          <w:i/>
          <w:iCs/>
          <w:color w:val="000000"/>
          <w:kern w:val="0"/>
          <w:sz w:val="20"/>
          <w:szCs w:val="20"/>
          <w:lang w:val="fr-BE"/>
        </w:rPr>
        <w:t>ndique</w:t>
      </w:r>
      <w:r w:rsidR="00DE5379" w:rsidRPr="00DE5379">
        <w:rPr>
          <w:rFonts w:cstheme="minorHAnsi"/>
          <w:b/>
          <w:bCs/>
          <w:i/>
          <w:iCs/>
          <w:color w:val="000000"/>
          <w:kern w:val="0"/>
          <w:sz w:val="20"/>
          <w:szCs w:val="20"/>
          <w:lang w:val="fr-BE"/>
        </w:rPr>
        <w:t>z</w:t>
      </w:r>
      <w:r w:rsidRPr="00DE5379">
        <w:rPr>
          <w:rFonts w:cstheme="minorHAnsi"/>
          <w:b/>
          <w:bCs/>
          <w:i/>
          <w:iCs/>
          <w:color w:val="000000"/>
          <w:kern w:val="0"/>
          <w:sz w:val="20"/>
          <w:szCs w:val="20"/>
          <w:lang w:val="fr-BE"/>
        </w:rPr>
        <w:t xml:space="preserve"> les références utilisées dans les résumés en utilisant les normes APA</w:t>
      </w:r>
      <w:r w:rsidR="000F026E" w:rsidRPr="00DE5379">
        <w:rPr>
          <w:rFonts w:cstheme="minorHAnsi"/>
          <w:b/>
          <w:bCs/>
          <w:i/>
          <w:iCs/>
          <w:color w:val="000000"/>
          <w:kern w:val="0"/>
          <w:sz w:val="20"/>
          <w:szCs w:val="20"/>
          <w:lang w:val="fr-BE"/>
        </w:rPr>
        <w:t>)</w:t>
      </w:r>
    </w:p>
    <w:p w14:paraId="49272854" w14:textId="77777777" w:rsidR="00B95975" w:rsidRDefault="00B95975" w:rsidP="00F90523"/>
    <w:p w14:paraId="651DC47B" w14:textId="77777777" w:rsidR="00F1336E" w:rsidRDefault="00F90523" w:rsidP="00F90523">
      <w:pPr>
        <w:rPr>
          <w:rStyle w:val="Lienhypertexte"/>
        </w:rPr>
      </w:pPr>
      <w:r w:rsidRPr="00265822">
        <w:t xml:space="preserve">Ajzen, I. (1991). The theory of planned behavior. </w:t>
      </w:r>
      <w:r w:rsidRPr="00F90523">
        <w:rPr>
          <w:i/>
          <w:iCs/>
        </w:rPr>
        <w:t>Organizational Behavior, and Human Decision Process</w:t>
      </w:r>
      <w:r w:rsidRPr="00265822">
        <w:t>,</w:t>
      </w:r>
      <w:r>
        <w:t xml:space="preserve"> </w:t>
      </w:r>
      <w:r w:rsidRPr="00F90523">
        <w:rPr>
          <w:i/>
          <w:iCs/>
        </w:rPr>
        <w:t>50</w:t>
      </w:r>
      <w:r w:rsidRPr="00265822">
        <w:t xml:space="preserve">, 179–211. </w:t>
      </w:r>
      <w:hyperlink r:id="rId5" w:history="1">
        <w:r w:rsidRPr="007E4988">
          <w:rPr>
            <w:rStyle w:val="Lienhypertexte"/>
          </w:rPr>
          <w:t>https://doi.org/10.1016/0749-5978(91)90020-T</w:t>
        </w:r>
      </w:hyperlink>
    </w:p>
    <w:p w14:paraId="7919719E" w14:textId="31715D87" w:rsidR="00F90523" w:rsidRDefault="00F90523" w:rsidP="00F90523">
      <w:r w:rsidRPr="00E65F48">
        <w:t xml:space="preserve">Ajzen, I. (2006). </w:t>
      </w:r>
      <w:r w:rsidRPr="00F90523">
        <w:rPr>
          <w:i/>
          <w:iCs/>
        </w:rPr>
        <w:t>Constructing a TPB Questionnaire: Conceptual and Methodological Considerations</w:t>
      </w:r>
      <w:r w:rsidRPr="00E65F48">
        <w:t xml:space="preserve">. </w:t>
      </w:r>
      <w:hyperlink r:id="rId6" w:history="1">
        <w:r w:rsidR="00E31E3E" w:rsidRPr="007E4988">
          <w:rPr>
            <w:rStyle w:val="Lienhypertexte"/>
          </w:rPr>
          <w:t>https://people.umass.edu/aizen/pdf/tpb.measurement.pdf</w:t>
        </w:r>
      </w:hyperlink>
    </w:p>
    <w:p w14:paraId="16185148" w14:textId="77777777" w:rsidR="00F90523" w:rsidRDefault="00F90523" w:rsidP="00F90523">
      <w:r w:rsidRPr="00C8160B">
        <w:t xml:space="preserve">Ajzen, I. (2020). The theory of planned behavior: frequently asked questions. </w:t>
      </w:r>
      <w:r w:rsidRPr="00F90523">
        <w:rPr>
          <w:i/>
          <w:iCs/>
        </w:rPr>
        <w:t>Human Behavior and Emerging Technologies, 2</w:t>
      </w:r>
      <w:r>
        <w:t>(4)</w:t>
      </w:r>
      <w:r w:rsidRPr="00C8160B">
        <w:t xml:space="preserve">, 314–324. </w:t>
      </w:r>
      <w:hyperlink r:id="rId7" w:history="1">
        <w:r w:rsidRPr="007E4988">
          <w:rPr>
            <w:rStyle w:val="Lienhypertexte"/>
          </w:rPr>
          <w:t>https://doi.org/10.1002/hbe2.195</w:t>
        </w:r>
      </w:hyperlink>
    </w:p>
    <w:p w14:paraId="2F4A8A8B" w14:textId="3C9B7FDB" w:rsidR="00F90523" w:rsidRDefault="00F90523" w:rsidP="0072005B">
      <w:r w:rsidRPr="00D053B6">
        <w:t xml:space="preserve">Bornschlegl, M., Meldrum, K., &amp; Caltabiano, N. J. (2020). Variables related to academic help-seeking behaviour in higher education: findings from a multidisciplinary perspective. </w:t>
      </w:r>
      <w:r w:rsidRPr="0072005B">
        <w:rPr>
          <w:i/>
          <w:iCs/>
        </w:rPr>
        <w:t>Review of Education</w:t>
      </w:r>
      <w:r w:rsidRPr="00D053B6">
        <w:t>,</w:t>
      </w:r>
      <w:r w:rsidR="0072005B">
        <w:t xml:space="preserve"> </w:t>
      </w:r>
      <w:r w:rsidR="0072005B" w:rsidRPr="0072005B">
        <w:rPr>
          <w:i/>
          <w:iCs/>
        </w:rPr>
        <w:t>8</w:t>
      </w:r>
      <w:r w:rsidR="0072005B">
        <w:t>(2)</w:t>
      </w:r>
      <w:r w:rsidRPr="00D053B6">
        <w:t xml:space="preserve">, 486–522. </w:t>
      </w:r>
      <w:hyperlink r:id="rId8" w:history="1">
        <w:r w:rsidRPr="007E4988">
          <w:rPr>
            <w:rStyle w:val="Lienhypertexte"/>
          </w:rPr>
          <w:t>https://doi.org/10.1002/rev3.3196</w:t>
        </w:r>
      </w:hyperlink>
    </w:p>
    <w:p w14:paraId="16589BFE" w14:textId="77777777" w:rsidR="00F90523" w:rsidRPr="00B02C83" w:rsidRDefault="00F90523" w:rsidP="00E31E3E">
      <w:r w:rsidRPr="00B02C83">
        <w:lastRenderedPageBreak/>
        <w:t xml:space="preserve">Defays, J. M., Maréchal, M., &amp; Mélon, S. (2000). </w:t>
      </w:r>
      <w:r w:rsidRPr="00E31E3E">
        <w:rPr>
          <w:i/>
          <w:iCs/>
        </w:rPr>
        <w:t>La maîtrise du français: du niveau secondaire au niveau supérieur</w:t>
      </w:r>
      <w:r w:rsidRPr="00B02C83">
        <w:t>. De Boeck Supérieur.</w:t>
      </w:r>
    </w:p>
    <w:p w14:paraId="1C9E63E0" w14:textId="2497DCB4" w:rsidR="002435F0" w:rsidRDefault="002435F0" w:rsidP="00E31E3E">
      <w:r w:rsidRPr="002435F0">
        <w:t xml:space="preserve">Huart, J., Leduc, L., Laurent, N., Martynow, N., Malengrez, D., Compère, F., … Verpoorten, D. (2023). Freshmen’s intention to engage in faculty mentoring: applying the theory of planned behavior. </w:t>
      </w:r>
      <w:r w:rsidRPr="002435F0">
        <w:rPr>
          <w:i/>
          <w:iCs/>
        </w:rPr>
        <w:t>Mentoring &amp; Tutoring: Partnership in Learning</w:t>
      </w:r>
      <w:r w:rsidRPr="002435F0">
        <w:t xml:space="preserve">, </w:t>
      </w:r>
      <w:r w:rsidRPr="002435F0">
        <w:rPr>
          <w:i/>
          <w:iCs/>
        </w:rPr>
        <w:t>31</w:t>
      </w:r>
      <w:r w:rsidRPr="002435F0">
        <w:t xml:space="preserve">(5), 574–596. </w:t>
      </w:r>
      <w:hyperlink r:id="rId9" w:history="1">
        <w:r w:rsidR="006829A8" w:rsidRPr="007E4988">
          <w:rPr>
            <w:rStyle w:val="Lienhypertexte"/>
          </w:rPr>
          <w:t>https://doi.org/10.1080/13611267.2023.2265860</w:t>
        </w:r>
      </w:hyperlink>
    </w:p>
    <w:p w14:paraId="746C0B5E" w14:textId="7DED8899" w:rsidR="00F90523" w:rsidRDefault="00F90523" w:rsidP="00E31E3E">
      <w:r w:rsidRPr="00696874">
        <w:t xml:space="preserve">Kift, S. (2015). A decade of transition pedagogy: a quantum leap in conceptualising the first year experience. </w:t>
      </w:r>
      <w:r w:rsidRPr="00E31E3E">
        <w:rPr>
          <w:i/>
          <w:iCs/>
        </w:rPr>
        <w:t>HERDSA Review of Higher Education</w:t>
      </w:r>
      <w:r w:rsidRPr="00696874">
        <w:t xml:space="preserve">, 2(1), 51–86. </w:t>
      </w:r>
      <w:hyperlink r:id="rId10" w:history="1">
        <w:r w:rsidRPr="007E4988">
          <w:rPr>
            <w:rStyle w:val="Lienhypertexte"/>
          </w:rPr>
          <w:t>https://www.herdsa.org.au/herdsa-review-higher-education-vol-2/51-86</w:t>
        </w:r>
      </w:hyperlink>
    </w:p>
    <w:p w14:paraId="58BC0B60" w14:textId="77777777" w:rsidR="00F90523" w:rsidRDefault="00F90523" w:rsidP="00E31E3E">
      <w:r w:rsidRPr="00DB6C1F">
        <w:t xml:space="preserve">Lobo, A., &amp; Gurney, L. (2014). </w:t>
      </w:r>
      <w:r w:rsidRPr="003A3EB1">
        <w:t xml:space="preserve">What did they expect? Exploring a link between students’ expectations, attendance and attrition on English language enhancement courses. </w:t>
      </w:r>
      <w:r w:rsidRPr="00E31E3E">
        <w:rPr>
          <w:i/>
          <w:iCs/>
        </w:rPr>
        <w:t>Journal of Further and Higher Education</w:t>
      </w:r>
      <w:r w:rsidRPr="00DB6C1F">
        <w:t xml:space="preserve">, </w:t>
      </w:r>
      <w:r w:rsidRPr="00E31E3E">
        <w:rPr>
          <w:i/>
          <w:iCs/>
        </w:rPr>
        <w:t>38</w:t>
      </w:r>
      <w:r w:rsidRPr="00DB6C1F">
        <w:t>(5), 730-754.</w:t>
      </w:r>
      <w:r w:rsidRPr="00413B53">
        <w:t xml:space="preserve"> </w:t>
      </w:r>
      <w:hyperlink r:id="rId11" w:history="1">
        <w:r w:rsidRPr="007E4988">
          <w:rPr>
            <w:rStyle w:val="Lienhypertexte"/>
          </w:rPr>
          <w:t>https://doi.org/10.1080/0309877X.2013.817002</w:t>
        </w:r>
      </w:hyperlink>
    </w:p>
    <w:p w14:paraId="2CEAAE81" w14:textId="0E7FB771" w:rsidR="000F026E" w:rsidRPr="00E31E3E" w:rsidRDefault="00F90523" w:rsidP="00E31E3E">
      <w:r w:rsidRPr="009F605A">
        <w:t>Plumat, J., Baillet, D., Pollet, M.-C., Slosse, P., Cobut, B., Vanden Eynde, C., &amp; Houart, M. (2012). Comment favoriser la présence et la participation active des étudiants aux dispositifs d’aide à la réussite? Proceedings of the 27th meeting of the Association Internationale de Pédagogie Universitaire. Trois rivières: AIPU.</w:t>
      </w:r>
    </w:p>
    <w:p w14:paraId="423549BA" w14:textId="77777777" w:rsidR="00B83D8D" w:rsidRPr="00161CDB" w:rsidRDefault="00B83D8D" w:rsidP="000F026E">
      <w:pPr>
        <w:pStyle w:val="NormalWeb"/>
        <w:shd w:val="clear" w:color="auto" w:fill="FFFFFF"/>
        <w:spacing w:before="0" w:beforeAutospacing="0" w:after="0" w:afterAutospacing="0"/>
        <w:jc w:val="both"/>
        <w:rPr>
          <w:rStyle w:val="lev"/>
          <w:rFonts w:asciiTheme="minorHAnsi" w:hAnsiTheme="minorHAnsi" w:cstheme="minorHAnsi"/>
          <w:color w:val="22313F"/>
          <w:sz w:val="20"/>
          <w:szCs w:val="20"/>
          <w:bdr w:val="none" w:sz="0" w:space="0" w:color="auto" w:frame="1"/>
          <w:lang w:val="fr-BE"/>
        </w:rPr>
      </w:pPr>
    </w:p>
    <w:sectPr w:rsidR="00B83D8D" w:rsidRPr="00161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4A3A46"/>
    <w:multiLevelType w:val="hybridMultilevel"/>
    <w:tmpl w:val="A10027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74F3E43"/>
    <w:multiLevelType w:val="hybridMultilevel"/>
    <w:tmpl w:val="93582E3C"/>
    <w:lvl w:ilvl="0" w:tplc="660A08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851892">
    <w:abstractNumId w:val="1"/>
  </w:num>
  <w:num w:numId="2" w16cid:durableId="1309476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D8D"/>
    <w:rsid w:val="000135FE"/>
    <w:rsid w:val="00042325"/>
    <w:rsid w:val="00055051"/>
    <w:rsid w:val="00091A31"/>
    <w:rsid w:val="000A012D"/>
    <w:rsid w:val="000F026E"/>
    <w:rsid w:val="001001DB"/>
    <w:rsid w:val="001340C3"/>
    <w:rsid w:val="00161CDB"/>
    <w:rsid w:val="001A2D32"/>
    <w:rsid w:val="001D68AE"/>
    <w:rsid w:val="00235883"/>
    <w:rsid w:val="002435F0"/>
    <w:rsid w:val="00272027"/>
    <w:rsid w:val="0029461B"/>
    <w:rsid w:val="00303BA0"/>
    <w:rsid w:val="00353C02"/>
    <w:rsid w:val="00360F4B"/>
    <w:rsid w:val="00397106"/>
    <w:rsid w:val="003B27C5"/>
    <w:rsid w:val="003E1F95"/>
    <w:rsid w:val="003E3B25"/>
    <w:rsid w:val="003E45F5"/>
    <w:rsid w:val="003F1E42"/>
    <w:rsid w:val="004279D2"/>
    <w:rsid w:val="004511A2"/>
    <w:rsid w:val="004B3AFC"/>
    <w:rsid w:val="004E4796"/>
    <w:rsid w:val="0052606D"/>
    <w:rsid w:val="00534D9F"/>
    <w:rsid w:val="00547CC8"/>
    <w:rsid w:val="006160BC"/>
    <w:rsid w:val="006437BC"/>
    <w:rsid w:val="006558A7"/>
    <w:rsid w:val="006829A8"/>
    <w:rsid w:val="00694B01"/>
    <w:rsid w:val="006C320D"/>
    <w:rsid w:val="006C5CFB"/>
    <w:rsid w:val="006D143B"/>
    <w:rsid w:val="006D4516"/>
    <w:rsid w:val="006E2590"/>
    <w:rsid w:val="0072005B"/>
    <w:rsid w:val="00732370"/>
    <w:rsid w:val="007648FC"/>
    <w:rsid w:val="007803F0"/>
    <w:rsid w:val="0079714D"/>
    <w:rsid w:val="007C218D"/>
    <w:rsid w:val="007D1662"/>
    <w:rsid w:val="007F2B9F"/>
    <w:rsid w:val="00834E89"/>
    <w:rsid w:val="0084465D"/>
    <w:rsid w:val="00864938"/>
    <w:rsid w:val="00864A5A"/>
    <w:rsid w:val="00931E1D"/>
    <w:rsid w:val="009712B1"/>
    <w:rsid w:val="00A0214F"/>
    <w:rsid w:val="00A30389"/>
    <w:rsid w:val="00A62CCC"/>
    <w:rsid w:val="00A77577"/>
    <w:rsid w:val="00AC5193"/>
    <w:rsid w:val="00AF3480"/>
    <w:rsid w:val="00B26215"/>
    <w:rsid w:val="00B83D8D"/>
    <w:rsid w:val="00B91E0F"/>
    <w:rsid w:val="00B95975"/>
    <w:rsid w:val="00BA752A"/>
    <w:rsid w:val="00BE10F7"/>
    <w:rsid w:val="00C80F5D"/>
    <w:rsid w:val="00CA5E3E"/>
    <w:rsid w:val="00D26BF0"/>
    <w:rsid w:val="00DE086B"/>
    <w:rsid w:val="00DE5379"/>
    <w:rsid w:val="00DE6666"/>
    <w:rsid w:val="00DF1376"/>
    <w:rsid w:val="00E02D64"/>
    <w:rsid w:val="00E30969"/>
    <w:rsid w:val="00E31E3E"/>
    <w:rsid w:val="00EB4742"/>
    <w:rsid w:val="00EC2CE4"/>
    <w:rsid w:val="00EC5C70"/>
    <w:rsid w:val="00EF6567"/>
    <w:rsid w:val="00F1336E"/>
    <w:rsid w:val="00F200DE"/>
    <w:rsid w:val="00F23686"/>
    <w:rsid w:val="00F45B44"/>
    <w:rsid w:val="00F462A0"/>
    <w:rsid w:val="00F47CFA"/>
    <w:rsid w:val="00F53E21"/>
    <w:rsid w:val="00F82E4D"/>
    <w:rsid w:val="00F85147"/>
    <w:rsid w:val="00F90523"/>
    <w:rsid w:val="00F941EE"/>
    <w:rsid w:val="00FA7D38"/>
    <w:rsid w:val="00FB5692"/>
    <w:rsid w:val="00FC4D0E"/>
    <w:rsid w:val="00FD51F3"/>
    <w:rsid w:val="00FD7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99DD8"/>
  <w15:chartTrackingRefBased/>
  <w15:docId w15:val="{1D9CB01A-28FF-44EE-9DA9-CCD19B41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83D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lev">
    <w:name w:val="Strong"/>
    <w:basedOn w:val="Policepardfaut"/>
    <w:uiPriority w:val="22"/>
    <w:qFormat/>
    <w:rsid w:val="00B83D8D"/>
    <w:rPr>
      <w:b/>
      <w:bCs/>
    </w:rPr>
  </w:style>
  <w:style w:type="paragraph" w:styleId="Paragraphedeliste">
    <w:name w:val="List Paragraph"/>
    <w:basedOn w:val="Normal"/>
    <w:uiPriority w:val="34"/>
    <w:qFormat/>
    <w:rsid w:val="00B83D8D"/>
    <w:pPr>
      <w:ind w:left="720"/>
      <w:contextualSpacing/>
    </w:pPr>
  </w:style>
  <w:style w:type="character" w:styleId="Lienhypertexte">
    <w:name w:val="Hyperlink"/>
    <w:basedOn w:val="Policepardfaut"/>
    <w:uiPriority w:val="99"/>
    <w:unhideWhenUsed/>
    <w:rsid w:val="00F90523"/>
    <w:rPr>
      <w:color w:val="0563C1" w:themeColor="hyperlink"/>
      <w:u w:val="single"/>
    </w:rPr>
  </w:style>
  <w:style w:type="character" w:styleId="Mentionnonrsolue">
    <w:name w:val="Unresolved Mention"/>
    <w:basedOn w:val="Policepardfaut"/>
    <w:uiPriority w:val="99"/>
    <w:semiHidden/>
    <w:unhideWhenUsed/>
    <w:rsid w:val="00E31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92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rev3.31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02/hbe2.1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ople.umass.edu/aizen/pdf/tpb.measurement.pdf" TargetMode="External"/><Relationship Id="rId11" Type="http://schemas.openxmlformats.org/officeDocument/2006/relationships/hyperlink" Target="https://doi.org/10.1080/0309877X.2013.817002" TargetMode="External"/><Relationship Id="rId5" Type="http://schemas.openxmlformats.org/officeDocument/2006/relationships/hyperlink" Target="https://doi.org/10.1016/0749-5978(91)90020-T" TargetMode="External"/><Relationship Id="rId10" Type="http://schemas.openxmlformats.org/officeDocument/2006/relationships/hyperlink" Target="https://www.herdsa.org.au/herdsa-review-higher-education-vol-2/51-86" TargetMode="External"/><Relationship Id="rId4" Type="http://schemas.openxmlformats.org/officeDocument/2006/relationships/webSettings" Target="webSettings.xml"/><Relationship Id="rId9" Type="http://schemas.openxmlformats.org/officeDocument/2006/relationships/hyperlink" Target="https://doi.org/10.1080/13611267.2023.22658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1904</Words>
  <Characters>10477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Reginald BURTON</dc:creator>
  <cp:keywords/>
  <dc:description/>
  <cp:lastModifiedBy>Huart Johanne</cp:lastModifiedBy>
  <cp:revision>7</cp:revision>
  <dcterms:created xsi:type="dcterms:W3CDTF">2024-10-19T12:31:00Z</dcterms:created>
  <dcterms:modified xsi:type="dcterms:W3CDTF">2024-10-19T12:43:00Z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f722601ad38e19af4740c23c0e8634d22199c6492ccd7aa046f7f75cd96eed20</vt:lpwstr>
  </property>
</Properties>
</file>