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B15F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E91">
        <w:rPr>
          <w:rFonts w:ascii="Times New Roman" w:hAnsi="Times New Roman" w:cs="Times New Roman"/>
          <w:sz w:val="32"/>
          <w:szCs w:val="32"/>
        </w:rPr>
        <w:t xml:space="preserve">Supplemental </w:t>
      </w:r>
    </w:p>
    <w:p w14:paraId="74776825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E91">
        <w:rPr>
          <w:rFonts w:ascii="Times New Roman" w:hAnsi="Times New Roman" w:cs="Times New Roman"/>
          <w:sz w:val="32"/>
          <w:szCs w:val="32"/>
        </w:rPr>
        <w:t>Table 1: summary of available clinical trials for not yet approved anti-CD38 mAb for treating MM and for Daratumumab and Isatuximab employment in other hematological malignancies.</w:t>
      </w:r>
    </w:p>
    <w:tbl>
      <w:tblPr>
        <w:tblStyle w:val="TableGrid"/>
        <w:tblpPr w:leftFromText="141" w:rightFromText="141" w:vertAnchor="text" w:horzAnchor="margin" w:tblpXSpec="center" w:tblpY="65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383"/>
        <w:gridCol w:w="1329"/>
        <w:gridCol w:w="2190"/>
        <w:gridCol w:w="5073"/>
        <w:gridCol w:w="12"/>
        <w:gridCol w:w="1978"/>
      </w:tblGrid>
      <w:tr w:rsidR="00F653AF" w:rsidRPr="00BA5E91" w14:paraId="5FAB79B0" w14:textId="77777777" w:rsidTr="00104E75">
        <w:trPr>
          <w:trHeight w:val="197"/>
        </w:trPr>
        <w:tc>
          <w:tcPr>
            <w:tcW w:w="0" w:type="auto"/>
            <w:gridSpan w:val="7"/>
            <w:shd w:val="clear" w:color="auto" w:fill="D0CECE" w:themeFill="background2" w:themeFillShade="E6"/>
          </w:tcPr>
          <w:p w14:paraId="23E33D18" w14:textId="77777777" w:rsidR="00F653AF" w:rsidRPr="00BA5E91" w:rsidRDefault="00F653AF" w:rsidP="00104E75">
            <w:pPr>
              <w:shd w:val="clear" w:color="auto" w:fill="D0CECE" w:themeFill="background2" w:themeFillShade="E6"/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Multiple </w:t>
            </w: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myeloma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53AF" w:rsidRPr="00BA5E91" w14:paraId="2B1BDAAF" w14:textId="77777777" w:rsidTr="00104E75">
        <w:trPr>
          <w:trHeight w:val="197"/>
        </w:trPr>
        <w:tc>
          <w:tcPr>
            <w:tcW w:w="0" w:type="auto"/>
            <w:gridSpan w:val="2"/>
          </w:tcPr>
          <w:p w14:paraId="50684913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0" w:type="auto"/>
            <w:gridSpan w:val="2"/>
          </w:tcPr>
          <w:p w14:paraId="4BC84C9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Drug</w:t>
            </w:r>
          </w:p>
        </w:tc>
        <w:tc>
          <w:tcPr>
            <w:tcW w:w="0" w:type="auto"/>
            <w:gridSpan w:val="2"/>
          </w:tcPr>
          <w:p w14:paraId="5E2E61B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0" w:type="auto"/>
          </w:tcPr>
          <w:p w14:paraId="346894A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Results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53AF" w:rsidRPr="00BA5E91" w14:paraId="0254689E" w14:textId="77777777" w:rsidTr="00104E75">
        <w:trPr>
          <w:trHeight w:val="197"/>
        </w:trPr>
        <w:tc>
          <w:tcPr>
            <w:tcW w:w="0" w:type="auto"/>
            <w:gridSpan w:val="2"/>
          </w:tcPr>
          <w:p w14:paraId="66A12365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hyperlink r:id="rId4" w:tgtFrame="_blank" w:history="1">
              <w:r w:rsidRPr="00BA5E91">
                <w:rPr>
                  <w:rStyle w:val="Hyperlink"/>
                  <w:rFonts w:ascii="Times New Roman" w:hAnsi="Times New Roman" w:cs="Times New Roman"/>
                  <w:sz w:val="32"/>
                  <w:szCs w:val="32"/>
                </w:rPr>
                <w:t>NCT01421186</w:t>
              </w:r>
            </w:hyperlink>
          </w:p>
        </w:tc>
        <w:tc>
          <w:tcPr>
            <w:tcW w:w="0" w:type="auto"/>
            <w:gridSpan w:val="2"/>
          </w:tcPr>
          <w:p w14:paraId="4ED7BFE5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MOR202 (MOR03087) or</w:t>
            </w:r>
          </w:p>
          <w:p w14:paraId="45E984BD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MOR202 (MOR03087) + standard therapy</w:t>
            </w:r>
          </w:p>
        </w:tc>
        <w:tc>
          <w:tcPr>
            <w:tcW w:w="0" w:type="auto"/>
            <w:gridSpan w:val="2"/>
          </w:tcPr>
          <w:p w14:paraId="2A962A9E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Phase 1/2a, Open-Label, Multicenter, Dose-Escalation Study to Evaluate the Safety and Preliminary Efficacy of the Human Anti-CD 38 Antibody MOR03087 as Monotherapy and in Combination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with Standard Therapy in Subjects with Relapsed/Refractory Multiple Myeloma</w:t>
            </w:r>
          </w:p>
        </w:tc>
        <w:tc>
          <w:tcPr>
            <w:tcW w:w="0" w:type="auto"/>
          </w:tcPr>
          <w:p w14:paraId="5DEDAEB6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It is well tolerated, and its safety profile is similar to other mAb.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32% of patients have infusion-related reactions (the lowest level for a mAb)</w:t>
            </w:r>
          </w:p>
        </w:tc>
      </w:tr>
      <w:tr w:rsidR="00F653AF" w:rsidRPr="00BA5E91" w14:paraId="2E43EEDA" w14:textId="77777777" w:rsidTr="00104E75">
        <w:trPr>
          <w:trHeight w:val="197"/>
        </w:trPr>
        <w:tc>
          <w:tcPr>
            <w:tcW w:w="0" w:type="auto"/>
            <w:gridSpan w:val="2"/>
          </w:tcPr>
          <w:p w14:paraId="7B3E2978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NCT03860038</w:t>
            </w:r>
          </w:p>
        </w:tc>
        <w:tc>
          <w:tcPr>
            <w:tcW w:w="0" w:type="auto"/>
            <w:gridSpan w:val="2"/>
          </w:tcPr>
          <w:p w14:paraId="1AC9EA0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MOR202 (TJ202) 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Dexamethasone</w:t>
            </w:r>
            <w:proofErr w:type="spellEnd"/>
          </w:p>
        </w:tc>
        <w:tc>
          <w:tcPr>
            <w:tcW w:w="0" w:type="auto"/>
            <w:gridSpan w:val="2"/>
          </w:tcPr>
          <w:p w14:paraId="4F236AF4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Phase 2, Multi-center, Single-arm Study of TJ202 Combined with Dexamethasone in Subjects with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Relapsed or Refractory Multiple Myeloma </w:t>
            </w:r>
          </w:p>
        </w:tc>
        <w:tc>
          <w:tcPr>
            <w:tcW w:w="0" w:type="auto"/>
          </w:tcPr>
          <w:p w14:paraId="1CCAE1C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Ongoing</w:t>
            </w:r>
            <w:proofErr w:type="spellEnd"/>
          </w:p>
        </w:tc>
      </w:tr>
      <w:tr w:rsidR="00F653AF" w:rsidRPr="00BA5E91" w14:paraId="695E240F" w14:textId="77777777" w:rsidTr="00104E75">
        <w:trPr>
          <w:trHeight w:val="197"/>
        </w:trPr>
        <w:tc>
          <w:tcPr>
            <w:tcW w:w="0" w:type="auto"/>
            <w:gridSpan w:val="2"/>
          </w:tcPr>
          <w:p w14:paraId="7F2EE21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NCT03952091</w:t>
            </w:r>
          </w:p>
        </w:tc>
        <w:tc>
          <w:tcPr>
            <w:tcW w:w="0" w:type="auto"/>
            <w:gridSpan w:val="2"/>
          </w:tcPr>
          <w:p w14:paraId="44A4250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MOR202 (TJ202) 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Dexamethasone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Lenalidomide</w:t>
            </w:r>
            <w:proofErr w:type="spellEnd"/>
          </w:p>
        </w:tc>
        <w:tc>
          <w:tcPr>
            <w:tcW w:w="0" w:type="auto"/>
            <w:gridSpan w:val="2"/>
          </w:tcPr>
          <w:p w14:paraId="682C8E6C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Phase 3, Randomized, Open-label, Parallel-controlled, Multi-center Study Comparing TJ202, Lenalidomide and Dexamethasone vs. Lenalidomide and Dexamethasone in Subjects with Relapsed or Refractory Multiple Myeloma </w:t>
            </w:r>
          </w:p>
        </w:tc>
        <w:tc>
          <w:tcPr>
            <w:tcW w:w="0" w:type="auto"/>
          </w:tcPr>
          <w:p w14:paraId="1060B72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Ongoing</w:t>
            </w:r>
            <w:proofErr w:type="spellEnd"/>
          </w:p>
        </w:tc>
      </w:tr>
      <w:tr w:rsidR="00F653AF" w:rsidRPr="00BA5E91" w14:paraId="361BEB48" w14:textId="77777777" w:rsidTr="00104E75">
        <w:trPr>
          <w:trHeight w:val="197"/>
        </w:trPr>
        <w:tc>
          <w:tcPr>
            <w:tcW w:w="0" w:type="auto"/>
            <w:gridSpan w:val="2"/>
          </w:tcPr>
          <w:p w14:paraId="5B9A40B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NCT03439280</w:t>
            </w:r>
          </w:p>
        </w:tc>
        <w:tc>
          <w:tcPr>
            <w:tcW w:w="0" w:type="auto"/>
            <w:gridSpan w:val="2"/>
          </w:tcPr>
          <w:p w14:paraId="47B0C00F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TAK079 or TAK079 + Dexamethasone + Pomalidomide</w:t>
            </w:r>
          </w:p>
        </w:tc>
        <w:tc>
          <w:tcPr>
            <w:tcW w:w="0" w:type="auto"/>
            <w:gridSpan w:val="2"/>
          </w:tcPr>
          <w:p w14:paraId="62C4DFA8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Phase 1/2a Open-label, Dose-Escalation Study to Investigate the Safety and Tolerability, Efficacy, Pharmacokinetics, and Immunogenicity of TAK-079 Administered Subcutaneously as a Single Agent in Patients with Relapsed/Refractory Multiple Myeloma</w:t>
            </w:r>
          </w:p>
        </w:tc>
        <w:tc>
          <w:tcPr>
            <w:tcW w:w="0" w:type="auto"/>
          </w:tcPr>
          <w:p w14:paraId="35C51290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demonstrated an ORR of 33%. Good safety profile, tolerability, and early durable response in patients with RRM</w:t>
            </w:r>
          </w:p>
          <w:p w14:paraId="6465F2AE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</w:p>
        </w:tc>
      </w:tr>
      <w:tr w:rsidR="00F653AF" w:rsidRPr="00BA5E91" w14:paraId="3AC028DB" w14:textId="77777777" w:rsidTr="00104E75">
        <w:trPr>
          <w:trHeight w:val="197"/>
        </w:trPr>
        <w:tc>
          <w:tcPr>
            <w:tcW w:w="0" w:type="auto"/>
            <w:gridSpan w:val="2"/>
          </w:tcPr>
          <w:p w14:paraId="681DFC7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NCT03984097</w:t>
            </w:r>
          </w:p>
        </w:tc>
        <w:tc>
          <w:tcPr>
            <w:tcW w:w="0" w:type="auto"/>
            <w:gridSpan w:val="2"/>
          </w:tcPr>
          <w:p w14:paraId="616BAD8F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TAK079 + Dexamethasone + Lenalidomide or TAK079 + Bortezomib + Dexamethasone + Lenalidomide</w:t>
            </w:r>
          </w:p>
        </w:tc>
        <w:tc>
          <w:tcPr>
            <w:tcW w:w="0" w:type="auto"/>
            <w:gridSpan w:val="2"/>
          </w:tcPr>
          <w:p w14:paraId="7AEE2D99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Open-Label, Multicenter Phase 1b Study Investigating the Safety of TAK-079 in Combination with Backbone Regimens for the Treatment of Patients with Newly Diagnosed Multiple Myeloma and for Whom Stem Cell Transplantation Is Not Planned as Initial Therapy</w:t>
            </w:r>
          </w:p>
        </w:tc>
        <w:tc>
          <w:tcPr>
            <w:tcW w:w="0" w:type="auto"/>
          </w:tcPr>
          <w:p w14:paraId="1E5840F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Ongoing</w:t>
            </w:r>
            <w:proofErr w:type="spellEnd"/>
          </w:p>
        </w:tc>
      </w:tr>
      <w:tr w:rsidR="00F653AF" w:rsidRPr="00BA5E91" w14:paraId="04BC62C7" w14:textId="77777777" w:rsidTr="00104E75">
        <w:trPr>
          <w:trHeight w:val="197"/>
        </w:trPr>
        <w:tc>
          <w:tcPr>
            <w:tcW w:w="0" w:type="auto"/>
            <w:gridSpan w:val="2"/>
          </w:tcPr>
          <w:p w14:paraId="78EC2216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NCT04000282</w:t>
            </w:r>
          </w:p>
        </w:tc>
        <w:tc>
          <w:tcPr>
            <w:tcW w:w="0" w:type="auto"/>
            <w:gridSpan w:val="2"/>
          </w:tcPr>
          <w:p w14:paraId="15E49F9B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SAR442085</w:t>
            </w:r>
          </w:p>
        </w:tc>
        <w:tc>
          <w:tcPr>
            <w:tcW w:w="0" w:type="auto"/>
            <w:gridSpan w:val="2"/>
          </w:tcPr>
          <w:p w14:paraId="7ECBA94A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An Open-label, First-in-human, Single Agent, Dose-escalation and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Expansion Study for the Evaluation of Safety, Pharmacokinetics, Pharmacodynamics and Anti-tumor Activity of SAR442085 in Patients with Relapsed or Refractory Multiple Myeloma (RRMM)</w:t>
            </w:r>
          </w:p>
        </w:tc>
        <w:tc>
          <w:tcPr>
            <w:tcW w:w="0" w:type="auto"/>
          </w:tcPr>
          <w:p w14:paraId="662A6D9F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Terminated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53AF" w:rsidRPr="00BA5E91" w14:paraId="341934AE" w14:textId="77777777" w:rsidTr="00104E75">
        <w:trPr>
          <w:trHeight w:val="197"/>
        </w:trPr>
        <w:tc>
          <w:tcPr>
            <w:tcW w:w="0" w:type="auto"/>
            <w:gridSpan w:val="7"/>
            <w:shd w:val="clear" w:color="auto" w:fill="D0CECE" w:themeFill="background2" w:themeFillShade="E6"/>
          </w:tcPr>
          <w:p w14:paraId="4A2622F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Hematological </w:t>
            </w: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malignancies</w:t>
            </w:r>
            <w:proofErr w:type="spellEnd"/>
          </w:p>
        </w:tc>
      </w:tr>
      <w:tr w:rsidR="00F653AF" w:rsidRPr="00BA5E91" w14:paraId="3E037F21" w14:textId="77777777" w:rsidTr="00104E75">
        <w:trPr>
          <w:trHeight w:val="197"/>
        </w:trPr>
        <w:tc>
          <w:tcPr>
            <w:tcW w:w="0" w:type="auto"/>
          </w:tcPr>
          <w:p w14:paraId="4606B8D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0" w:type="auto"/>
            <w:gridSpan w:val="2"/>
          </w:tcPr>
          <w:p w14:paraId="0AEE3B2C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Tumor </w:t>
            </w: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type</w:t>
            </w:r>
            <w:proofErr w:type="spellEnd"/>
          </w:p>
        </w:tc>
        <w:tc>
          <w:tcPr>
            <w:tcW w:w="0" w:type="auto"/>
          </w:tcPr>
          <w:p w14:paraId="7060AE65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Drug</w:t>
            </w:r>
          </w:p>
        </w:tc>
        <w:tc>
          <w:tcPr>
            <w:tcW w:w="0" w:type="auto"/>
          </w:tcPr>
          <w:p w14:paraId="480F475C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0" w:type="auto"/>
            <w:gridSpan w:val="2"/>
          </w:tcPr>
          <w:p w14:paraId="0D31793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Results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53AF" w:rsidRPr="00BA5E91" w14:paraId="463A508B" w14:textId="77777777" w:rsidTr="00104E75">
        <w:trPr>
          <w:trHeight w:val="1025"/>
        </w:trPr>
        <w:tc>
          <w:tcPr>
            <w:tcW w:w="0" w:type="auto"/>
          </w:tcPr>
          <w:p w14:paraId="2730FA85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NCT02841033</w:t>
            </w:r>
          </w:p>
          <w:p w14:paraId="1D07788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2A71C45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gridSpan w:val="2"/>
          </w:tcPr>
          <w:p w14:paraId="1FF46560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AL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amyloidosis</w:t>
            </w:r>
            <w:proofErr w:type="spellEnd"/>
          </w:p>
        </w:tc>
        <w:tc>
          <w:tcPr>
            <w:tcW w:w="0" w:type="auto"/>
          </w:tcPr>
          <w:p w14:paraId="7DE1D356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</w:p>
        </w:tc>
        <w:tc>
          <w:tcPr>
            <w:tcW w:w="0" w:type="auto"/>
          </w:tcPr>
          <w:p w14:paraId="5B7584AC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Phase I-II Trial of Daratumumab for the Treatment of Patients with AL Amyloidosis</w:t>
            </w:r>
          </w:p>
        </w:tc>
        <w:tc>
          <w:tcPr>
            <w:tcW w:w="0" w:type="auto"/>
            <w:gridSpan w:val="2"/>
          </w:tcPr>
          <w:p w14:paraId="466FB332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Tolerated in patients with relapsed and leads to rapid and deep hematologic and organ responses</w:t>
            </w:r>
          </w:p>
        </w:tc>
      </w:tr>
      <w:tr w:rsidR="00F653AF" w:rsidRPr="00BA5E91" w14:paraId="0F8266D6" w14:textId="77777777" w:rsidTr="00104E75">
        <w:trPr>
          <w:trHeight w:val="1538"/>
        </w:trPr>
        <w:tc>
          <w:tcPr>
            <w:tcW w:w="0" w:type="auto"/>
          </w:tcPr>
          <w:p w14:paraId="4630B3FF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NCT03187262</w:t>
            </w:r>
          </w:p>
          <w:p w14:paraId="55760CC3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NCT03679624</w:t>
            </w:r>
          </w:p>
        </w:tc>
        <w:tc>
          <w:tcPr>
            <w:tcW w:w="0" w:type="auto"/>
            <w:gridSpan w:val="2"/>
          </w:tcPr>
          <w:p w14:paraId="2CD4677D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Waldenström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Macroglobulinemia</w:t>
            </w:r>
            <w:proofErr w:type="spellEnd"/>
          </w:p>
        </w:tc>
        <w:tc>
          <w:tcPr>
            <w:tcW w:w="0" w:type="auto"/>
          </w:tcPr>
          <w:p w14:paraId="6B92E74C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or</w:t>
            </w:r>
          </w:p>
          <w:p w14:paraId="7DC033FC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Daratumumab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 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Ibrutinib</w:t>
            </w:r>
            <w:proofErr w:type="spellEnd"/>
          </w:p>
        </w:tc>
        <w:tc>
          <w:tcPr>
            <w:tcW w:w="0" w:type="auto"/>
          </w:tcPr>
          <w:p w14:paraId="5197419B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 Phase 2 Study of Daratumumab in Patients with Relapsed or Refractory Waldenström Macroglobulinemia</w:t>
            </w:r>
          </w:p>
        </w:tc>
        <w:tc>
          <w:tcPr>
            <w:tcW w:w="0" w:type="auto"/>
            <w:gridSpan w:val="2"/>
          </w:tcPr>
          <w:p w14:paraId="32BCC947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Ongoing</w:t>
            </w:r>
            <w:proofErr w:type="spellEnd"/>
          </w:p>
        </w:tc>
      </w:tr>
      <w:tr w:rsidR="00F653AF" w:rsidRPr="00BA5E91" w14:paraId="50CCF0C3" w14:textId="77777777" w:rsidTr="00104E75">
        <w:trPr>
          <w:trHeight w:val="1288"/>
        </w:trPr>
        <w:tc>
          <w:tcPr>
            <w:tcW w:w="0" w:type="auto"/>
          </w:tcPr>
          <w:p w14:paraId="18AFE28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NCT04230304</w:t>
            </w:r>
          </w:p>
        </w:tc>
        <w:tc>
          <w:tcPr>
            <w:tcW w:w="0" w:type="auto"/>
            <w:gridSpan w:val="2"/>
          </w:tcPr>
          <w:p w14:paraId="2E9142A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Chronic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Lymphocytic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Leukemia</w:t>
            </w:r>
          </w:p>
        </w:tc>
        <w:tc>
          <w:tcPr>
            <w:tcW w:w="0" w:type="auto"/>
          </w:tcPr>
          <w:p w14:paraId="15B61D8A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 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Ibrutinib</w:t>
            </w:r>
            <w:proofErr w:type="spellEnd"/>
          </w:p>
        </w:tc>
        <w:tc>
          <w:tcPr>
            <w:tcW w:w="0" w:type="auto"/>
          </w:tcPr>
          <w:p w14:paraId="06980510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Phase II Study of Daratumumab and Ibrutinib for Relapsed / Refractory Chronic Lymphocytic Leukemia Treatment (DIRECT</w:t>
            </w:r>
          </w:p>
        </w:tc>
        <w:tc>
          <w:tcPr>
            <w:tcW w:w="0" w:type="auto"/>
            <w:gridSpan w:val="2"/>
          </w:tcPr>
          <w:p w14:paraId="1106E6B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Ongoing</w:t>
            </w:r>
            <w:proofErr w:type="spellEnd"/>
          </w:p>
        </w:tc>
      </w:tr>
      <w:tr w:rsidR="00F653AF" w:rsidRPr="00BA5E91" w14:paraId="29AAF465" w14:textId="77777777" w:rsidTr="00104E75">
        <w:trPr>
          <w:trHeight w:val="1525"/>
        </w:trPr>
        <w:tc>
          <w:tcPr>
            <w:tcW w:w="0" w:type="auto"/>
            <w:shd w:val="clear" w:color="auto" w:fill="auto"/>
          </w:tcPr>
          <w:p w14:paraId="613D483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NCT02413489</w:t>
            </w:r>
          </w:p>
          <w:p w14:paraId="0708955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NCT04251065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F54F966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Lymphomas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9F0A80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06A0236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Phase 2 Study to Evaluate Efficacy and Safety of Daratumumab in Relapsed or Refractory Lymphoma.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4DE38EE8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 is not effective as monotherapy in NHL. ORR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was not evaluable in MCL patients, 6.7% in DLBCL patients, and 12.5% in</w:t>
            </w:r>
          </w:p>
          <w:p w14:paraId="2DEE4A73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FL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patient</w:t>
            </w:r>
            <w:proofErr w:type="spellEnd"/>
          </w:p>
        </w:tc>
      </w:tr>
      <w:tr w:rsidR="00F653AF" w:rsidRPr="00BA5E91" w14:paraId="08BE33AD" w14:textId="77777777" w:rsidTr="00104E75">
        <w:trPr>
          <w:trHeight w:val="1525"/>
        </w:trPr>
        <w:tc>
          <w:tcPr>
            <w:tcW w:w="0" w:type="auto"/>
          </w:tcPr>
          <w:p w14:paraId="1E6E9FA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NCT02927925</w:t>
            </w:r>
          </w:p>
        </w:tc>
        <w:tc>
          <w:tcPr>
            <w:tcW w:w="0" w:type="auto"/>
            <w:gridSpan w:val="2"/>
          </w:tcPr>
          <w:p w14:paraId="14EED4A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Natural killer/T-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cell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lymphomas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(NKTCL)</w:t>
            </w:r>
          </w:p>
        </w:tc>
        <w:tc>
          <w:tcPr>
            <w:tcW w:w="0" w:type="auto"/>
          </w:tcPr>
          <w:p w14:paraId="296008F8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</w:p>
        </w:tc>
        <w:tc>
          <w:tcPr>
            <w:tcW w:w="0" w:type="auto"/>
          </w:tcPr>
          <w:p w14:paraId="6444DBD2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 Open Label, Phase 2 Study to Assess the Clinical Efficacy and Safety of Daratumumab in Patients with Relapsed or Refractory Natural Killer/T-Cell Lymphoma, Nasal Type</w:t>
            </w:r>
          </w:p>
        </w:tc>
        <w:tc>
          <w:tcPr>
            <w:tcW w:w="0" w:type="auto"/>
            <w:gridSpan w:val="2"/>
          </w:tcPr>
          <w:p w14:paraId="40B1FD4D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 demonstrated an ORR of 35.7% </w:t>
            </w:r>
          </w:p>
          <w:p w14:paraId="074F500A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</w:tr>
      <w:tr w:rsidR="00F653AF" w:rsidRPr="00BA5E91" w14:paraId="3FC7B62A" w14:textId="77777777" w:rsidTr="00104E75">
        <w:trPr>
          <w:trHeight w:val="1525"/>
        </w:trPr>
        <w:tc>
          <w:tcPr>
            <w:tcW w:w="0" w:type="auto"/>
          </w:tcPr>
          <w:p w14:paraId="03D1357D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NCT02999633</w:t>
            </w:r>
          </w:p>
        </w:tc>
        <w:tc>
          <w:tcPr>
            <w:tcW w:w="0" w:type="auto"/>
            <w:gridSpan w:val="2"/>
          </w:tcPr>
          <w:p w14:paraId="0BFDB463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Relapsed or Refractory T-acute Lymphoblastic Leukemia (T-ALL) or T-lymphoblastic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Lymphoma (T-LBL)</w:t>
            </w:r>
          </w:p>
        </w:tc>
        <w:tc>
          <w:tcPr>
            <w:tcW w:w="0" w:type="auto"/>
          </w:tcPr>
          <w:p w14:paraId="1EFDE16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Isatuximab </w:t>
            </w:r>
          </w:p>
        </w:tc>
        <w:tc>
          <w:tcPr>
            <w:tcW w:w="0" w:type="auto"/>
          </w:tcPr>
          <w:p w14:paraId="0CBC0E8C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Phase 2, Safety and Efficacy Study of Isatuximab, an Anti-CD38 Monoclonal Antibody, Administered by Intravenous (IV) Infusion in Patients with Relapsed or Refractory T-acute Lymphoblastic Leukemia (T-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ALL) or T-lymphoblastic Lymphoma (T-LBL)</w:t>
            </w:r>
          </w:p>
        </w:tc>
        <w:tc>
          <w:tcPr>
            <w:tcW w:w="0" w:type="auto"/>
            <w:gridSpan w:val="2"/>
          </w:tcPr>
          <w:p w14:paraId="2586CF3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Unsatisfactory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benefit-risk ratio</w:t>
            </w:r>
          </w:p>
        </w:tc>
      </w:tr>
      <w:tr w:rsidR="00F653AF" w:rsidRPr="00BA5E91" w14:paraId="7CC22B83" w14:textId="77777777" w:rsidTr="00104E75">
        <w:trPr>
          <w:trHeight w:val="1525"/>
        </w:trPr>
        <w:tc>
          <w:tcPr>
            <w:tcW w:w="0" w:type="auto"/>
          </w:tcPr>
          <w:p w14:paraId="6BA42C8B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NCT03860844</w:t>
            </w:r>
          </w:p>
        </w:tc>
        <w:tc>
          <w:tcPr>
            <w:tcW w:w="0" w:type="auto"/>
            <w:gridSpan w:val="2"/>
          </w:tcPr>
          <w:p w14:paraId="144DAEAF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Relapsed/Refractory Acute Lymphoblastic Leukemia (ALL) or Acute Myeloid Leukemia (AML)</w:t>
            </w:r>
          </w:p>
        </w:tc>
        <w:tc>
          <w:tcPr>
            <w:tcW w:w="0" w:type="auto"/>
          </w:tcPr>
          <w:p w14:paraId="03332F7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Isatuximab</w:t>
            </w:r>
          </w:p>
        </w:tc>
        <w:tc>
          <w:tcPr>
            <w:tcW w:w="0" w:type="auto"/>
          </w:tcPr>
          <w:p w14:paraId="5DB1A5ED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Open-label, Single-arm Trial to Evaluate Antitumor Activity, Safety, and Pharmacokinetics of Isatuximab Used in Combination with Chemotherapy in Pediatric Patients with Relapsed/Refractory B or T Acute Lymphoblastic Leukemia or Acute Myeloid Leukemia in First or Second Relapse</w:t>
            </w:r>
          </w:p>
        </w:tc>
        <w:tc>
          <w:tcPr>
            <w:tcW w:w="0" w:type="auto"/>
            <w:gridSpan w:val="2"/>
          </w:tcPr>
          <w:p w14:paraId="033754F0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Ongoing</w:t>
            </w:r>
            <w:proofErr w:type="spellEnd"/>
          </w:p>
        </w:tc>
      </w:tr>
    </w:tbl>
    <w:p w14:paraId="400C46DD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2076A06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17B2492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C36DE50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FFB84C4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F214E03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BBA97D7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05FE946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5E91">
        <w:rPr>
          <w:rFonts w:ascii="Times New Roman" w:hAnsi="Times New Roman" w:cs="Times New Roman"/>
          <w:sz w:val="32"/>
          <w:szCs w:val="32"/>
        </w:rPr>
        <w:t>Table 2 Summary of available clinical trials for daratumumab and Isatuximab treatments of other diseases</w:t>
      </w:r>
    </w:p>
    <w:tbl>
      <w:tblPr>
        <w:tblStyle w:val="TableGrid"/>
        <w:tblpPr w:leftFromText="141" w:rightFromText="141" w:vertAnchor="text" w:horzAnchor="margin" w:tblpXSpec="center" w:tblpY="65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3104"/>
        <w:gridCol w:w="2251"/>
        <w:gridCol w:w="4548"/>
        <w:gridCol w:w="1953"/>
      </w:tblGrid>
      <w:tr w:rsidR="00F653AF" w:rsidRPr="00BA5E91" w14:paraId="7A27FC3C" w14:textId="77777777" w:rsidTr="00104E75">
        <w:trPr>
          <w:trHeight w:val="197"/>
        </w:trPr>
        <w:tc>
          <w:tcPr>
            <w:tcW w:w="0" w:type="auto"/>
            <w:gridSpan w:val="5"/>
            <w:shd w:val="clear" w:color="auto" w:fill="D0CECE" w:themeFill="background2" w:themeFillShade="E6"/>
          </w:tcPr>
          <w:p w14:paraId="1A84F7ED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Other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malignancies</w:t>
            </w:r>
            <w:proofErr w:type="spellEnd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653AF" w:rsidRPr="00BA5E91" w14:paraId="4897E3D7" w14:textId="77777777" w:rsidTr="00104E75">
        <w:trPr>
          <w:trHeight w:val="197"/>
        </w:trPr>
        <w:tc>
          <w:tcPr>
            <w:tcW w:w="0" w:type="auto"/>
          </w:tcPr>
          <w:p w14:paraId="6B04926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Reference</w:t>
            </w:r>
          </w:p>
        </w:tc>
        <w:tc>
          <w:tcPr>
            <w:tcW w:w="0" w:type="auto"/>
          </w:tcPr>
          <w:p w14:paraId="2970E54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Tumor </w:t>
            </w: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type</w:t>
            </w:r>
            <w:proofErr w:type="spellEnd"/>
          </w:p>
        </w:tc>
        <w:tc>
          <w:tcPr>
            <w:tcW w:w="0" w:type="auto"/>
          </w:tcPr>
          <w:p w14:paraId="6B181A92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Drug</w:t>
            </w:r>
          </w:p>
        </w:tc>
        <w:tc>
          <w:tcPr>
            <w:tcW w:w="0" w:type="auto"/>
          </w:tcPr>
          <w:p w14:paraId="16C04E13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0" w:type="auto"/>
          </w:tcPr>
          <w:p w14:paraId="6A7FEC44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Results</w:t>
            </w:r>
            <w:proofErr w:type="spellEnd"/>
          </w:p>
        </w:tc>
      </w:tr>
      <w:tr w:rsidR="00F653AF" w:rsidRPr="00BA5E91" w14:paraId="7ADED836" w14:textId="77777777" w:rsidTr="00104E75">
        <w:trPr>
          <w:trHeight w:val="1025"/>
        </w:trPr>
        <w:tc>
          <w:tcPr>
            <w:tcW w:w="0" w:type="auto"/>
          </w:tcPr>
          <w:p w14:paraId="060C819B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NCT03098550</w:t>
            </w:r>
          </w:p>
        </w:tc>
        <w:tc>
          <w:tcPr>
            <w:tcW w:w="0" w:type="auto"/>
          </w:tcPr>
          <w:p w14:paraId="28D4CA43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Pancreatic, Non-Small Cell Lung or Triple Negative Breast Cancers</w:t>
            </w:r>
          </w:p>
        </w:tc>
        <w:tc>
          <w:tcPr>
            <w:tcW w:w="0" w:type="auto"/>
          </w:tcPr>
          <w:p w14:paraId="0660339A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Nivolumab</w:t>
            </w:r>
            <w:proofErr w:type="spellEnd"/>
          </w:p>
        </w:tc>
        <w:tc>
          <w:tcPr>
            <w:tcW w:w="0" w:type="auto"/>
          </w:tcPr>
          <w:p w14:paraId="33A84475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Phase 1/2 Study to Evaluate the Safety and Preliminary Efficacy of Nivolumab Combined with Daratumumab in Participants with Advanced or Metastatic Solid Tumors</w:t>
            </w:r>
          </w:p>
        </w:tc>
        <w:tc>
          <w:tcPr>
            <w:tcW w:w="0" w:type="auto"/>
          </w:tcPr>
          <w:p w14:paraId="5957081B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Not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completed</w:t>
            </w:r>
            <w:proofErr w:type="spellEnd"/>
          </w:p>
        </w:tc>
      </w:tr>
      <w:tr w:rsidR="00F653AF" w:rsidRPr="00BA5E91" w14:paraId="22F8AA9B" w14:textId="77777777" w:rsidTr="00104E75">
        <w:trPr>
          <w:trHeight w:val="1538"/>
        </w:trPr>
        <w:tc>
          <w:tcPr>
            <w:tcW w:w="0" w:type="auto"/>
          </w:tcPr>
          <w:p w14:paraId="521978B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NCT03023423</w:t>
            </w:r>
          </w:p>
        </w:tc>
        <w:tc>
          <w:tcPr>
            <w:tcW w:w="0" w:type="auto"/>
          </w:tcPr>
          <w:p w14:paraId="3639E4DE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Treated Advanced and Metastatic Non-Small Cell Lung Cancer</w:t>
            </w:r>
          </w:p>
        </w:tc>
        <w:tc>
          <w:tcPr>
            <w:tcW w:w="0" w:type="auto"/>
          </w:tcPr>
          <w:p w14:paraId="660DFC4D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Atezolizumab</w:t>
            </w:r>
            <w:proofErr w:type="spellEnd"/>
          </w:p>
        </w:tc>
        <w:tc>
          <w:tcPr>
            <w:tcW w:w="0" w:type="auto"/>
          </w:tcPr>
          <w:p w14:paraId="41950624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Phase 1b/2, Open-Label, Randomized Study of Daratumumab Administered in Combination with Atezolizumab Compared with Atezolizumab Alone in Subjects with Previously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Treated Advanced or Metastatic Non-Small Cell Lung Cancer</w:t>
            </w:r>
          </w:p>
        </w:tc>
        <w:tc>
          <w:tcPr>
            <w:tcW w:w="0" w:type="auto"/>
          </w:tcPr>
          <w:p w14:paraId="0D1969B3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Not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completed</w:t>
            </w:r>
            <w:proofErr w:type="spellEnd"/>
          </w:p>
        </w:tc>
      </w:tr>
      <w:tr w:rsidR="00F653AF" w:rsidRPr="00BA5E91" w14:paraId="428095FD" w14:textId="77777777" w:rsidTr="00104E75">
        <w:trPr>
          <w:trHeight w:val="1288"/>
        </w:trPr>
        <w:tc>
          <w:tcPr>
            <w:tcW w:w="0" w:type="auto"/>
          </w:tcPr>
          <w:p w14:paraId="38B5C716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NCT03177460</w:t>
            </w:r>
          </w:p>
        </w:tc>
        <w:tc>
          <w:tcPr>
            <w:tcW w:w="0" w:type="auto"/>
          </w:tcPr>
          <w:p w14:paraId="30A37B7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Prostate Cancer</w:t>
            </w:r>
          </w:p>
        </w:tc>
        <w:tc>
          <w:tcPr>
            <w:tcW w:w="0" w:type="auto"/>
          </w:tcPr>
          <w:p w14:paraId="0AC49AB1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Daratumumab</w:t>
            </w:r>
            <w:proofErr w:type="spellEnd"/>
          </w:p>
        </w:tc>
        <w:tc>
          <w:tcPr>
            <w:tcW w:w="0" w:type="auto"/>
          </w:tcPr>
          <w:p w14:paraId="336F2196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Pilot Presurgical Study of Daratumumab (CD38 Antagonist) or JNJ-40346527 in Men with High-Risk Localized Prostate Cancer Followed by Radical Prostatectomy</w:t>
            </w:r>
          </w:p>
        </w:tc>
        <w:tc>
          <w:tcPr>
            <w:tcW w:w="0" w:type="auto"/>
          </w:tcPr>
          <w:p w14:paraId="4968548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Ongoing</w:t>
            </w:r>
            <w:proofErr w:type="spellEnd"/>
          </w:p>
        </w:tc>
      </w:tr>
      <w:tr w:rsidR="00F653AF" w:rsidRPr="00BA5E91" w14:paraId="34B685F3" w14:textId="77777777" w:rsidTr="00104E75">
        <w:trPr>
          <w:trHeight w:val="1525"/>
        </w:trPr>
        <w:tc>
          <w:tcPr>
            <w:tcW w:w="0" w:type="auto"/>
          </w:tcPr>
          <w:p w14:paraId="5A06F2E9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NCT03367819</w:t>
            </w:r>
          </w:p>
        </w:tc>
        <w:tc>
          <w:tcPr>
            <w:tcW w:w="0" w:type="auto"/>
          </w:tcPr>
          <w:p w14:paraId="57A1B2FA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metastatic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castration-resistant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prostate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cancer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mCRPC</w:t>
            </w:r>
            <w:proofErr w:type="spellEnd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0" w:type="auto"/>
          </w:tcPr>
          <w:p w14:paraId="715C14F5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t xml:space="preserve">Isatuximab 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cemiplimab</w:t>
            </w:r>
            <w:proofErr w:type="spellEnd"/>
          </w:p>
        </w:tc>
        <w:tc>
          <w:tcPr>
            <w:tcW w:w="0" w:type="auto"/>
          </w:tcPr>
          <w:p w14:paraId="749CE9AC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 Phase 1/2 Open-label, Multi-center, Safety, Preliminary Efficacy and Pharmacokinetic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(PK) Study of Isatuximab (SAR650984) in Combination with REGN2810, or Isatuximab Alone, in Patients with Advanced Malignancies</w:t>
            </w:r>
          </w:p>
        </w:tc>
        <w:tc>
          <w:tcPr>
            <w:tcW w:w="0" w:type="auto"/>
          </w:tcPr>
          <w:p w14:paraId="42BD5043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manageable safety profile</w:t>
            </w:r>
          </w:p>
          <w:p w14:paraId="73BD0004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CD38 inhibition was not associated with significant antitumor activity. </w:t>
            </w:r>
          </w:p>
        </w:tc>
      </w:tr>
      <w:tr w:rsidR="00F653AF" w:rsidRPr="00BA5E91" w14:paraId="70772107" w14:textId="77777777" w:rsidTr="00104E75">
        <w:trPr>
          <w:trHeight w:val="3394"/>
        </w:trPr>
        <w:tc>
          <w:tcPr>
            <w:tcW w:w="0" w:type="auto"/>
          </w:tcPr>
          <w:p w14:paraId="593D95B7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NCT03637764</w:t>
            </w:r>
          </w:p>
        </w:tc>
        <w:tc>
          <w:tcPr>
            <w:tcW w:w="0" w:type="auto"/>
          </w:tcPr>
          <w:p w14:paraId="2AA5708A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hepatocellular carcinoma (HCC), platinum-refractory recurrent/metastatic squamous cell carcinoma of the head and neck (SCCHN), platinum-resistant/refractory epithelial ovarian cancer (EOC), or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recurrent glioblastoma multiforme (GBM)</w:t>
            </w:r>
          </w:p>
        </w:tc>
        <w:tc>
          <w:tcPr>
            <w:tcW w:w="0" w:type="auto"/>
          </w:tcPr>
          <w:p w14:paraId="27DB168E" w14:textId="77777777" w:rsidR="00F653AF" w:rsidRPr="00BA5E91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BA5E9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Isatuximab+ </w:t>
            </w:r>
            <w:proofErr w:type="spellStart"/>
            <w:r w:rsidRPr="00BA5E91">
              <w:rPr>
                <w:rFonts w:ascii="Times New Roman" w:hAnsi="Times New Roman" w:cs="Times New Roman"/>
                <w:sz w:val="32"/>
                <w:szCs w:val="32"/>
              </w:rPr>
              <w:t>Atezolizumab</w:t>
            </w:r>
            <w:proofErr w:type="spellEnd"/>
          </w:p>
        </w:tc>
        <w:tc>
          <w:tcPr>
            <w:tcW w:w="0" w:type="auto"/>
          </w:tcPr>
          <w:p w14:paraId="1AFD16D0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 Phase 1/2 Open-label, Multi-center, Safety, Preliminary Efficacy and Pharmacokinetic (PK) Study of Isatuximab (SAR650984) in Combination with Atezolizumab or Isatuximab Alone in Patients with Advanced Malignancies</w:t>
            </w:r>
          </w:p>
        </w:tc>
        <w:tc>
          <w:tcPr>
            <w:tcW w:w="0" w:type="auto"/>
          </w:tcPr>
          <w:p w14:paraId="7A60D924" w14:textId="77777777" w:rsidR="00F653AF" w:rsidRPr="007058F3" w:rsidRDefault="00F653AF" w:rsidP="00104E75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efficacy results observed in each cohort did not fulfil the pre-planned interim analysis criteria allowing the study to </w:t>
            </w:r>
            <w:r w:rsidRPr="007058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>move to Phase 2 Stage 2 </w:t>
            </w:r>
          </w:p>
        </w:tc>
      </w:tr>
    </w:tbl>
    <w:p w14:paraId="253AF990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284D211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C7BBE54" w14:textId="77777777" w:rsidR="00F653AF" w:rsidRPr="00BA5E91" w:rsidRDefault="00F653AF" w:rsidP="00F653AF">
      <w:pPr>
        <w:spacing w:line="48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241626C" w14:textId="77777777" w:rsidR="000146A0" w:rsidRDefault="000146A0"/>
    <w:sectPr w:rsidR="000146A0" w:rsidSect="00FC1FA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AF"/>
    <w:rsid w:val="00002718"/>
    <w:rsid w:val="0000575B"/>
    <w:rsid w:val="00007D08"/>
    <w:rsid w:val="00010294"/>
    <w:rsid w:val="000146A0"/>
    <w:rsid w:val="000148CA"/>
    <w:rsid w:val="0001525C"/>
    <w:rsid w:val="000160A5"/>
    <w:rsid w:val="000176BD"/>
    <w:rsid w:val="00036554"/>
    <w:rsid w:val="00041307"/>
    <w:rsid w:val="000443C4"/>
    <w:rsid w:val="00051FB1"/>
    <w:rsid w:val="00060FD9"/>
    <w:rsid w:val="0006482C"/>
    <w:rsid w:val="00066864"/>
    <w:rsid w:val="000743FC"/>
    <w:rsid w:val="000768E8"/>
    <w:rsid w:val="000936E9"/>
    <w:rsid w:val="000A11CC"/>
    <w:rsid w:val="000A23CE"/>
    <w:rsid w:val="000A32AE"/>
    <w:rsid w:val="000B0319"/>
    <w:rsid w:val="000B1D92"/>
    <w:rsid w:val="000C01FC"/>
    <w:rsid w:val="000C12AE"/>
    <w:rsid w:val="000C1939"/>
    <w:rsid w:val="000C1F73"/>
    <w:rsid w:val="000C4531"/>
    <w:rsid w:val="000C54AD"/>
    <w:rsid w:val="000C6FD6"/>
    <w:rsid w:val="000D11A9"/>
    <w:rsid w:val="000D2192"/>
    <w:rsid w:val="000E2AFE"/>
    <w:rsid w:val="000E4198"/>
    <w:rsid w:val="000E5B70"/>
    <w:rsid w:val="000E6B77"/>
    <w:rsid w:val="000E750A"/>
    <w:rsid w:val="000F2F48"/>
    <w:rsid w:val="000F6419"/>
    <w:rsid w:val="0010114C"/>
    <w:rsid w:val="00103ADB"/>
    <w:rsid w:val="00104E8C"/>
    <w:rsid w:val="00117202"/>
    <w:rsid w:val="001219B8"/>
    <w:rsid w:val="00123B0D"/>
    <w:rsid w:val="00125B46"/>
    <w:rsid w:val="001276B3"/>
    <w:rsid w:val="001302C7"/>
    <w:rsid w:val="001308A9"/>
    <w:rsid w:val="00132826"/>
    <w:rsid w:val="0013465A"/>
    <w:rsid w:val="0013748E"/>
    <w:rsid w:val="001428E5"/>
    <w:rsid w:val="0014337F"/>
    <w:rsid w:val="00144B5C"/>
    <w:rsid w:val="00145BB1"/>
    <w:rsid w:val="00151DD5"/>
    <w:rsid w:val="0015490A"/>
    <w:rsid w:val="001569F3"/>
    <w:rsid w:val="001621D9"/>
    <w:rsid w:val="001668E3"/>
    <w:rsid w:val="00190FD2"/>
    <w:rsid w:val="00194B73"/>
    <w:rsid w:val="00196482"/>
    <w:rsid w:val="001979E3"/>
    <w:rsid w:val="001A0F93"/>
    <w:rsid w:val="001A3712"/>
    <w:rsid w:val="001A55EA"/>
    <w:rsid w:val="001A5C25"/>
    <w:rsid w:val="001B1DEE"/>
    <w:rsid w:val="001B4C3A"/>
    <w:rsid w:val="001C45A8"/>
    <w:rsid w:val="001D5884"/>
    <w:rsid w:val="001E1283"/>
    <w:rsid w:val="001E6C0A"/>
    <w:rsid w:val="001E6F16"/>
    <w:rsid w:val="002032ED"/>
    <w:rsid w:val="002033DA"/>
    <w:rsid w:val="0020471B"/>
    <w:rsid w:val="002055A9"/>
    <w:rsid w:val="002067D9"/>
    <w:rsid w:val="00216159"/>
    <w:rsid w:val="00220318"/>
    <w:rsid w:val="002234A2"/>
    <w:rsid w:val="002278CF"/>
    <w:rsid w:val="00227F83"/>
    <w:rsid w:val="0023556A"/>
    <w:rsid w:val="00243919"/>
    <w:rsid w:val="00243B2B"/>
    <w:rsid w:val="002448A7"/>
    <w:rsid w:val="002605EC"/>
    <w:rsid w:val="002627D9"/>
    <w:rsid w:val="002628D4"/>
    <w:rsid w:val="002654DD"/>
    <w:rsid w:val="00273A46"/>
    <w:rsid w:val="00274055"/>
    <w:rsid w:val="0027582F"/>
    <w:rsid w:val="002759A6"/>
    <w:rsid w:val="00285A5A"/>
    <w:rsid w:val="002952AB"/>
    <w:rsid w:val="00296798"/>
    <w:rsid w:val="002968E2"/>
    <w:rsid w:val="00296CC9"/>
    <w:rsid w:val="00297387"/>
    <w:rsid w:val="002A1168"/>
    <w:rsid w:val="002A1DAD"/>
    <w:rsid w:val="002A2A96"/>
    <w:rsid w:val="002A4D33"/>
    <w:rsid w:val="002B0921"/>
    <w:rsid w:val="002B1B73"/>
    <w:rsid w:val="002B241E"/>
    <w:rsid w:val="002B3E6F"/>
    <w:rsid w:val="002C55AF"/>
    <w:rsid w:val="002D2A3D"/>
    <w:rsid w:val="002D7561"/>
    <w:rsid w:val="002E2F2E"/>
    <w:rsid w:val="002E69C4"/>
    <w:rsid w:val="002F304A"/>
    <w:rsid w:val="002F704C"/>
    <w:rsid w:val="00304077"/>
    <w:rsid w:val="003114FC"/>
    <w:rsid w:val="00311576"/>
    <w:rsid w:val="00315504"/>
    <w:rsid w:val="00323699"/>
    <w:rsid w:val="003315A5"/>
    <w:rsid w:val="00343ACB"/>
    <w:rsid w:val="00344B83"/>
    <w:rsid w:val="00351399"/>
    <w:rsid w:val="003528AE"/>
    <w:rsid w:val="00352C14"/>
    <w:rsid w:val="00356ACF"/>
    <w:rsid w:val="00366D11"/>
    <w:rsid w:val="003738BA"/>
    <w:rsid w:val="00376E5A"/>
    <w:rsid w:val="00393639"/>
    <w:rsid w:val="00394FFC"/>
    <w:rsid w:val="003A5927"/>
    <w:rsid w:val="003A7488"/>
    <w:rsid w:val="003B7AB0"/>
    <w:rsid w:val="003C25AA"/>
    <w:rsid w:val="003D1EC1"/>
    <w:rsid w:val="003D4326"/>
    <w:rsid w:val="003D5B23"/>
    <w:rsid w:val="003E1BAC"/>
    <w:rsid w:val="00404CC8"/>
    <w:rsid w:val="00420B52"/>
    <w:rsid w:val="00431707"/>
    <w:rsid w:val="00437F39"/>
    <w:rsid w:val="00440080"/>
    <w:rsid w:val="00440700"/>
    <w:rsid w:val="00450CC4"/>
    <w:rsid w:val="00451993"/>
    <w:rsid w:val="00452556"/>
    <w:rsid w:val="004572AB"/>
    <w:rsid w:val="00461580"/>
    <w:rsid w:val="004623FE"/>
    <w:rsid w:val="00462424"/>
    <w:rsid w:val="00462C08"/>
    <w:rsid w:val="00467786"/>
    <w:rsid w:val="00467E48"/>
    <w:rsid w:val="00473551"/>
    <w:rsid w:val="004758B2"/>
    <w:rsid w:val="00486AC8"/>
    <w:rsid w:val="00487C76"/>
    <w:rsid w:val="004931C1"/>
    <w:rsid w:val="00497D0C"/>
    <w:rsid w:val="004A156A"/>
    <w:rsid w:val="004A2721"/>
    <w:rsid w:val="004A514A"/>
    <w:rsid w:val="004A7EC3"/>
    <w:rsid w:val="004B4550"/>
    <w:rsid w:val="004C09FC"/>
    <w:rsid w:val="004C0A6A"/>
    <w:rsid w:val="004C2632"/>
    <w:rsid w:val="004C32D0"/>
    <w:rsid w:val="004C3528"/>
    <w:rsid w:val="004C4416"/>
    <w:rsid w:val="004D4DD2"/>
    <w:rsid w:val="004D6528"/>
    <w:rsid w:val="004E539F"/>
    <w:rsid w:val="004F1094"/>
    <w:rsid w:val="004F4628"/>
    <w:rsid w:val="00506E4B"/>
    <w:rsid w:val="005155A4"/>
    <w:rsid w:val="005171A0"/>
    <w:rsid w:val="005175C2"/>
    <w:rsid w:val="005216D7"/>
    <w:rsid w:val="005226CE"/>
    <w:rsid w:val="005265BA"/>
    <w:rsid w:val="00526DD5"/>
    <w:rsid w:val="005318D7"/>
    <w:rsid w:val="0053632B"/>
    <w:rsid w:val="005440C0"/>
    <w:rsid w:val="00553B54"/>
    <w:rsid w:val="00553B71"/>
    <w:rsid w:val="00560580"/>
    <w:rsid w:val="00561E1F"/>
    <w:rsid w:val="0056229E"/>
    <w:rsid w:val="005806F9"/>
    <w:rsid w:val="0058135B"/>
    <w:rsid w:val="0059050F"/>
    <w:rsid w:val="00591135"/>
    <w:rsid w:val="00593C05"/>
    <w:rsid w:val="00593CE1"/>
    <w:rsid w:val="00596337"/>
    <w:rsid w:val="005B0B06"/>
    <w:rsid w:val="005B2929"/>
    <w:rsid w:val="005B3075"/>
    <w:rsid w:val="005B4360"/>
    <w:rsid w:val="005B7D7F"/>
    <w:rsid w:val="005D6770"/>
    <w:rsid w:val="005E080F"/>
    <w:rsid w:val="005E12E3"/>
    <w:rsid w:val="005E4505"/>
    <w:rsid w:val="005E5C12"/>
    <w:rsid w:val="005F4F8B"/>
    <w:rsid w:val="005F7DAC"/>
    <w:rsid w:val="00611EDD"/>
    <w:rsid w:val="006136CC"/>
    <w:rsid w:val="00616A20"/>
    <w:rsid w:val="0062313D"/>
    <w:rsid w:val="006304E3"/>
    <w:rsid w:val="00633748"/>
    <w:rsid w:val="00635A33"/>
    <w:rsid w:val="00641B9C"/>
    <w:rsid w:val="00643D21"/>
    <w:rsid w:val="00652AB8"/>
    <w:rsid w:val="00662909"/>
    <w:rsid w:val="00666176"/>
    <w:rsid w:val="00670107"/>
    <w:rsid w:val="00672945"/>
    <w:rsid w:val="006808F7"/>
    <w:rsid w:val="00692974"/>
    <w:rsid w:val="00693D88"/>
    <w:rsid w:val="006A1971"/>
    <w:rsid w:val="006A2202"/>
    <w:rsid w:val="006A4D28"/>
    <w:rsid w:val="006B3523"/>
    <w:rsid w:val="006B3E1C"/>
    <w:rsid w:val="006C0CBB"/>
    <w:rsid w:val="006C49FC"/>
    <w:rsid w:val="006C4BAB"/>
    <w:rsid w:val="006C73B8"/>
    <w:rsid w:val="006D02F6"/>
    <w:rsid w:val="006D149B"/>
    <w:rsid w:val="006D4027"/>
    <w:rsid w:val="006D66EA"/>
    <w:rsid w:val="006E7D14"/>
    <w:rsid w:val="006E7E7E"/>
    <w:rsid w:val="006F02ED"/>
    <w:rsid w:val="006F225F"/>
    <w:rsid w:val="006F4C57"/>
    <w:rsid w:val="006F6A64"/>
    <w:rsid w:val="006F6F87"/>
    <w:rsid w:val="007058F3"/>
    <w:rsid w:val="0071108E"/>
    <w:rsid w:val="007126F6"/>
    <w:rsid w:val="00713AB9"/>
    <w:rsid w:val="00721499"/>
    <w:rsid w:val="0072416C"/>
    <w:rsid w:val="00725AA6"/>
    <w:rsid w:val="0073084B"/>
    <w:rsid w:val="007320EF"/>
    <w:rsid w:val="0074399E"/>
    <w:rsid w:val="00750039"/>
    <w:rsid w:val="007542AA"/>
    <w:rsid w:val="00756D5E"/>
    <w:rsid w:val="00764D3E"/>
    <w:rsid w:val="007654CA"/>
    <w:rsid w:val="00770FBF"/>
    <w:rsid w:val="00775137"/>
    <w:rsid w:val="00775634"/>
    <w:rsid w:val="00776A0C"/>
    <w:rsid w:val="00782ED5"/>
    <w:rsid w:val="00787906"/>
    <w:rsid w:val="007A26FB"/>
    <w:rsid w:val="007A3D96"/>
    <w:rsid w:val="007B3286"/>
    <w:rsid w:val="007C028F"/>
    <w:rsid w:val="007D0C56"/>
    <w:rsid w:val="007D6B07"/>
    <w:rsid w:val="007E0B1E"/>
    <w:rsid w:val="007E4660"/>
    <w:rsid w:val="007E72DE"/>
    <w:rsid w:val="007F003C"/>
    <w:rsid w:val="007F164A"/>
    <w:rsid w:val="008008D3"/>
    <w:rsid w:val="00805CE3"/>
    <w:rsid w:val="008068EA"/>
    <w:rsid w:val="008103B9"/>
    <w:rsid w:val="00812046"/>
    <w:rsid w:val="00815204"/>
    <w:rsid w:val="008177AC"/>
    <w:rsid w:val="008321F8"/>
    <w:rsid w:val="00836E4F"/>
    <w:rsid w:val="00840D0F"/>
    <w:rsid w:val="00843141"/>
    <w:rsid w:val="00847620"/>
    <w:rsid w:val="00850CB2"/>
    <w:rsid w:val="00854A90"/>
    <w:rsid w:val="00862BF6"/>
    <w:rsid w:val="00865DF1"/>
    <w:rsid w:val="00875781"/>
    <w:rsid w:val="00882513"/>
    <w:rsid w:val="00885D69"/>
    <w:rsid w:val="00891B04"/>
    <w:rsid w:val="00896DBF"/>
    <w:rsid w:val="008A278C"/>
    <w:rsid w:val="008A3D63"/>
    <w:rsid w:val="008A50A8"/>
    <w:rsid w:val="008B4B19"/>
    <w:rsid w:val="008C29C2"/>
    <w:rsid w:val="008C2B7E"/>
    <w:rsid w:val="008C4AF8"/>
    <w:rsid w:val="008C6BB3"/>
    <w:rsid w:val="008D25FD"/>
    <w:rsid w:val="008D354C"/>
    <w:rsid w:val="008E48E0"/>
    <w:rsid w:val="008F55D7"/>
    <w:rsid w:val="008F58BA"/>
    <w:rsid w:val="009016EA"/>
    <w:rsid w:val="00902DFD"/>
    <w:rsid w:val="00911127"/>
    <w:rsid w:val="00913701"/>
    <w:rsid w:val="009146DE"/>
    <w:rsid w:val="0091746B"/>
    <w:rsid w:val="009249BE"/>
    <w:rsid w:val="00925631"/>
    <w:rsid w:val="009256EC"/>
    <w:rsid w:val="00931304"/>
    <w:rsid w:val="00931756"/>
    <w:rsid w:val="00935CCC"/>
    <w:rsid w:val="00937219"/>
    <w:rsid w:val="00942963"/>
    <w:rsid w:val="0094545E"/>
    <w:rsid w:val="00945533"/>
    <w:rsid w:val="00946D5B"/>
    <w:rsid w:val="00950C34"/>
    <w:rsid w:val="009512C6"/>
    <w:rsid w:val="00953353"/>
    <w:rsid w:val="0095393F"/>
    <w:rsid w:val="00956DAE"/>
    <w:rsid w:val="0097225D"/>
    <w:rsid w:val="009753FE"/>
    <w:rsid w:val="009833C5"/>
    <w:rsid w:val="00987C34"/>
    <w:rsid w:val="0099577A"/>
    <w:rsid w:val="00995F4A"/>
    <w:rsid w:val="009971AF"/>
    <w:rsid w:val="009A0B6F"/>
    <w:rsid w:val="009A1139"/>
    <w:rsid w:val="009A1174"/>
    <w:rsid w:val="009A190C"/>
    <w:rsid w:val="009A6EB0"/>
    <w:rsid w:val="009C2BF3"/>
    <w:rsid w:val="009C3078"/>
    <w:rsid w:val="009C3BD7"/>
    <w:rsid w:val="009C4B41"/>
    <w:rsid w:val="009C4BFC"/>
    <w:rsid w:val="009C53DD"/>
    <w:rsid w:val="009C67EE"/>
    <w:rsid w:val="009E1900"/>
    <w:rsid w:val="009E2533"/>
    <w:rsid w:val="009E6F03"/>
    <w:rsid w:val="009F1190"/>
    <w:rsid w:val="009F4912"/>
    <w:rsid w:val="009F4ABA"/>
    <w:rsid w:val="009F4D3C"/>
    <w:rsid w:val="009F6218"/>
    <w:rsid w:val="009F74BC"/>
    <w:rsid w:val="00A02F04"/>
    <w:rsid w:val="00A06410"/>
    <w:rsid w:val="00A064F3"/>
    <w:rsid w:val="00A21877"/>
    <w:rsid w:val="00A218D9"/>
    <w:rsid w:val="00A21F26"/>
    <w:rsid w:val="00A26818"/>
    <w:rsid w:val="00A35B6C"/>
    <w:rsid w:val="00A4254B"/>
    <w:rsid w:val="00A4646A"/>
    <w:rsid w:val="00A5153D"/>
    <w:rsid w:val="00A52756"/>
    <w:rsid w:val="00A56976"/>
    <w:rsid w:val="00A60191"/>
    <w:rsid w:val="00A62609"/>
    <w:rsid w:val="00A62DC8"/>
    <w:rsid w:val="00A73013"/>
    <w:rsid w:val="00A736E3"/>
    <w:rsid w:val="00A75C8E"/>
    <w:rsid w:val="00A84277"/>
    <w:rsid w:val="00A855A0"/>
    <w:rsid w:val="00A87F9C"/>
    <w:rsid w:val="00A924C8"/>
    <w:rsid w:val="00AA0397"/>
    <w:rsid w:val="00AA1FBE"/>
    <w:rsid w:val="00AA3192"/>
    <w:rsid w:val="00AA5CCC"/>
    <w:rsid w:val="00AC2131"/>
    <w:rsid w:val="00AC6077"/>
    <w:rsid w:val="00AD36DF"/>
    <w:rsid w:val="00AD7D3D"/>
    <w:rsid w:val="00AD7E21"/>
    <w:rsid w:val="00AD7E7D"/>
    <w:rsid w:val="00AE1722"/>
    <w:rsid w:val="00AE4A7F"/>
    <w:rsid w:val="00AE5C64"/>
    <w:rsid w:val="00AE601B"/>
    <w:rsid w:val="00AE6C7C"/>
    <w:rsid w:val="00AE785D"/>
    <w:rsid w:val="00AF3662"/>
    <w:rsid w:val="00AF7C6A"/>
    <w:rsid w:val="00B06622"/>
    <w:rsid w:val="00B12926"/>
    <w:rsid w:val="00B1372E"/>
    <w:rsid w:val="00B20284"/>
    <w:rsid w:val="00B23C23"/>
    <w:rsid w:val="00B24BBC"/>
    <w:rsid w:val="00B327B7"/>
    <w:rsid w:val="00B4573C"/>
    <w:rsid w:val="00B45EF8"/>
    <w:rsid w:val="00B539D8"/>
    <w:rsid w:val="00B57CEF"/>
    <w:rsid w:val="00B61D6D"/>
    <w:rsid w:val="00B61D71"/>
    <w:rsid w:val="00B646DE"/>
    <w:rsid w:val="00B83564"/>
    <w:rsid w:val="00B877CA"/>
    <w:rsid w:val="00B903E9"/>
    <w:rsid w:val="00B90BA6"/>
    <w:rsid w:val="00B94083"/>
    <w:rsid w:val="00B953D0"/>
    <w:rsid w:val="00B96334"/>
    <w:rsid w:val="00B97F15"/>
    <w:rsid w:val="00BA73B4"/>
    <w:rsid w:val="00BD18B8"/>
    <w:rsid w:val="00BD3970"/>
    <w:rsid w:val="00BD3E31"/>
    <w:rsid w:val="00BD5CFD"/>
    <w:rsid w:val="00BE05E7"/>
    <w:rsid w:val="00BE54AD"/>
    <w:rsid w:val="00BE5F77"/>
    <w:rsid w:val="00BF5D05"/>
    <w:rsid w:val="00BF7FA8"/>
    <w:rsid w:val="00C00BF4"/>
    <w:rsid w:val="00C01F88"/>
    <w:rsid w:val="00C023EA"/>
    <w:rsid w:val="00C040A8"/>
    <w:rsid w:val="00C05206"/>
    <w:rsid w:val="00C134DB"/>
    <w:rsid w:val="00C15353"/>
    <w:rsid w:val="00C1705F"/>
    <w:rsid w:val="00C23145"/>
    <w:rsid w:val="00C23532"/>
    <w:rsid w:val="00C32D5D"/>
    <w:rsid w:val="00C33810"/>
    <w:rsid w:val="00C33E87"/>
    <w:rsid w:val="00C357E0"/>
    <w:rsid w:val="00C36BBF"/>
    <w:rsid w:val="00C37349"/>
    <w:rsid w:val="00C41B07"/>
    <w:rsid w:val="00C46393"/>
    <w:rsid w:val="00C57EA6"/>
    <w:rsid w:val="00C60653"/>
    <w:rsid w:val="00C647D1"/>
    <w:rsid w:val="00C708A3"/>
    <w:rsid w:val="00C7192F"/>
    <w:rsid w:val="00C74E70"/>
    <w:rsid w:val="00C76E0C"/>
    <w:rsid w:val="00C773A9"/>
    <w:rsid w:val="00C81A04"/>
    <w:rsid w:val="00C842A7"/>
    <w:rsid w:val="00CA023B"/>
    <w:rsid w:val="00CA1D47"/>
    <w:rsid w:val="00CA2322"/>
    <w:rsid w:val="00CA6F83"/>
    <w:rsid w:val="00CB1660"/>
    <w:rsid w:val="00CB2C02"/>
    <w:rsid w:val="00CC4101"/>
    <w:rsid w:val="00CD2F22"/>
    <w:rsid w:val="00CF23A5"/>
    <w:rsid w:val="00D05CAF"/>
    <w:rsid w:val="00D112EA"/>
    <w:rsid w:val="00D16053"/>
    <w:rsid w:val="00D1605D"/>
    <w:rsid w:val="00D174D9"/>
    <w:rsid w:val="00D25414"/>
    <w:rsid w:val="00D44A83"/>
    <w:rsid w:val="00D456D6"/>
    <w:rsid w:val="00D471CD"/>
    <w:rsid w:val="00D472BE"/>
    <w:rsid w:val="00D52F9B"/>
    <w:rsid w:val="00D62000"/>
    <w:rsid w:val="00D65EAE"/>
    <w:rsid w:val="00D94D42"/>
    <w:rsid w:val="00D971E0"/>
    <w:rsid w:val="00DA3AD5"/>
    <w:rsid w:val="00DA47FF"/>
    <w:rsid w:val="00DA487A"/>
    <w:rsid w:val="00DA5588"/>
    <w:rsid w:val="00DB06C1"/>
    <w:rsid w:val="00DB3D50"/>
    <w:rsid w:val="00DB60E4"/>
    <w:rsid w:val="00DB61E4"/>
    <w:rsid w:val="00DC29C8"/>
    <w:rsid w:val="00DC376C"/>
    <w:rsid w:val="00DC7735"/>
    <w:rsid w:val="00DD3EF9"/>
    <w:rsid w:val="00DE299D"/>
    <w:rsid w:val="00DE5811"/>
    <w:rsid w:val="00DE7BB0"/>
    <w:rsid w:val="00DF4BA1"/>
    <w:rsid w:val="00DF7EF6"/>
    <w:rsid w:val="00E03351"/>
    <w:rsid w:val="00E03898"/>
    <w:rsid w:val="00E12355"/>
    <w:rsid w:val="00E1345D"/>
    <w:rsid w:val="00E16BDF"/>
    <w:rsid w:val="00E17BB1"/>
    <w:rsid w:val="00E21DA3"/>
    <w:rsid w:val="00E232C5"/>
    <w:rsid w:val="00E23DE3"/>
    <w:rsid w:val="00E25A40"/>
    <w:rsid w:val="00E25CB1"/>
    <w:rsid w:val="00E33836"/>
    <w:rsid w:val="00E347ED"/>
    <w:rsid w:val="00E43808"/>
    <w:rsid w:val="00E453DB"/>
    <w:rsid w:val="00E461D7"/>
    <w:rsid w:val="00E46259"/>
    <w:rsid w:val="00E471DF"/>
    <w:rsid w:val="00E50E6C"/>
    <w:rsid w:val="00E6112E"/>
    <w:rsid w:val="00E6736C"/>
    <w:rsid w:val="00E72C3C"/>
    <w:rsid w:val="00E738A7"/>
    <w:rsid w:val="00E744BC"/>
    <w:rsid w:val="00E755D3"/>
    <w:rsid w:val="00E802CB"/>
    <w:rsid w:val="00E80AB0"/>
    <w:rsid w:val="00E91860"/>
    <w:rsid w:val="00E93EC4"/>
    <w:rsid w:val="00EA1E4B"/>
    <w:rsid w:val="00EC15E5"/>
    <w:rsid w:val="00EC2429"/>
    <w:rsid w:val="00EC2768"/>
    <w:rsid w:val="00EC2FBE"/>
    <w:rsid w:val="00EC5FAB"/>
    <w:rsid w:val="00ED30A5"/>
    <w:rsid w:val="00ED4CBC"/>
    <w:rsid w:val="00EE078A"/>
    <w:rsid w:val="00EE3B58"/>
    <w:rsid w:val="00EE5249"/>
    <w:rsid w:val="00EF005D"/>
    <w:rsid w:val="00EF279A"/>
    <w:rsid w:val="00EF435A"/>
    <w:rsid w:val="00F031F1"/>
    <w:rsid w:val="00F03CCA"/>
    <w:rsid w:val="00F202A0"/>
    <w:rsid w:val="00F21D55"/>
    <w:rsid w:val="00F23890"/>
    <w:rsid w:val="00F26528"/>
    <w:rsid w:val="00F27C9C"/>
    <w:rsid w:val="00F30670"/>
    <w:rsid w:val="00F31D24"/>
    <w:rsid w:val="00F35847"/>
    <w:rsid w:val="00F376B0"/>
    <w:rsid w:val="00F40BEA"/>
    <w:rsid w:val="00F40DDC"/>
    <w:rsid w:val="00F52D7B"/>
    <w:rsid w:val="00F610CA"/>
    <w:rsid w:val="00F653AF"/>
    <w:rsid w:val="00F66458"/>
    <w:rsid w:val="00F66FB1"/>
    <w:rsid w:val="00F71892"/>
    <w:rsid w:val="00F71E8B"/>
    <w:rsid w:val="00F72787"/>
    <w:rsid w:val="00F77376"/>
    <w:rsid w:val="00F81399"/>
    <w:rsid w:val="00F820E6"/>
    <w:rsid w:val="00F958B1"/>
    <w:rsid w:val="00F969C5"/>
    <w:rsid w:val="00F96E67"/>
    <w:rsid w:val="00F9760F"/>
    <w:rsid w:val="00FA1220"/>
    <w:rsid w:val="00FA285E"/>
    <w:rsid w:val="00FA658B"/>
    <w:rsid w:val="00FA68B6"/>
    <w:rsid w:val="00FB54ED"/>
    <w:rsid w:val="00FB71A0"/>
    <w:rsid w:val="00FC4C1D"/>
    <w:rsid w:val="00FC5644"/>
    <w:rsid w:val="00FD152F"/>
    <w:rsid w:val="00FD4107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4D70"/>
  <w15:chartTrackingRefBased/>
  <w15:docId w15:val="{AB006A3E-FEEA-437E-B725-74B69C5F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53AF"/>
    <w:pPr>
      <w:spacing w:after="0" w:line="240" w:lineRule="auto"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5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inicaltrials.gov/ct2/show/NCT01421186?term=MOR202&amp;ra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Victor,Maria Flora</dc:creator>
  <cp:keywords/>
  <dc:description/>
  <cp:lastModifiedBy>Bocuzzi Valentina</cp:lastModifiedBy>
  <cp:revision>2</cp:revision>
  <dcterms:created xsi:type="dcterms:W3CDTF">2025-01-06T14:11:00Z</dcterms:created>
  <dcterms:modified xsi:type="dcterms:W3CDTF">2025-01-06T14:11:00Z</dcterms:modified>
</cp:coreProperties>
</file>