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BF5FE" w14:textId="77777777" w:rsidR="00844FA1" w:rsidRPr="000A4A0F" w:rsidRDefault="00844FA1" w:rsidP="00960B46">
      <w:pPr>
        <w:spacing w:after="0" w:line="360" w:lineRule="auto"/>
        <w:jc w:val="center"/>
        <w:rPr>
          <w:rFonts w:ascii="Times New Roman" w:hAnsi="Times New Roman" w:cs="Times New Roman"/>
          <w:b/>
          <w:sz w:val="24"/>
          <w:szCs w:val="24"/>
        </w:rPr>
      </w:pPr>
      <w:r w:rsidRPr="000A4A0F">
        <w:rPr>
          <w:rFonts w:ascii="Times New Roman" w:hAnsi="Times New Roman" w:cs="Times New Roman"/>
          <w:b/>
          <w:sz w:val="24"/>
          <w:szCs w:val="24"/>
        </w:rPr>
        <w:t>REPUBLIQUE DEMOCRATIQUE DU CONGO</w:t>
      </w:r>
    </w:p>
    <w:p w14:paraId="5C48D0A9" w14:textId="77777777" w:rsidR="00844FA1" w:rsidRPr="000A4A0F" w:rsidRDefault="00844FA1" w:rsidP="00960B46">
      <w:pPr>
        <w:spacing w:after="0" w:line="360" w:lineRule="auto"/>
        <w:jc w:val="center"/>
        <w:rPr>
          <w:rFonts w:ascii="Times New Roman" w:hAnsi="Times New Roman" w:cs="Times New Roman"/>
          <w:b/>
          <w:sz w:val="24"/>
          <w:szCs w:val="24"/>
        </w:rPr>
      </w:pPr>
    </w:p>
    <w:p w14:paraId="7079D6DB" w14:textId="77777777" w:rsidR="00844FA1" w:rsidRPr="000A4A0F" w:rsidRDefault="00844FA1" w:rsidP="00960B46">
      <w:pPr>
        <w:spacing w:after="0" w:line="360" w:lineRule="auto"/>
        <w:jc w:val="center"/>
        <w:rPr>
          <w:rFonts w:ascii="Times New Roman" w:hAnsi="Times New Roman" w:cs="Times New Roman"/>
          <w:b/>
          <w:sz w:val="24"/>
          <w:szCs w:val="24"/>
        </w:rPr>
      </w:pPr>
      <w:r w:rsidRPr="000A4A0F">
        <w:rPr>
          <w:rFonts w:ascii="Times New Roman" w:hAnsi="Times New Roman" w:cs="Times New Roman"/>
          <w:b/>
          <w:sz w:val="24"/>
          <w:szCs w:val="24"/>
        </w:rPr>
        <w:t>UNIVERSITE CATHOLIQUE DE BUKAVU</w:t>
      </w:r>
    </w:p>
    <w:p w14:paraId="0D348C3E" w14:textId="77777777" w:rsidR="00844FA1" w:rsidRPr="000A4A0F" w:rsidRDefault="00844FA1" w:rsidP="00960B46">
      <w:pPr>
        <w:spacing w:after="0" w:line="360" w:lineRule="auto"/>
        <w:jc w:val="center"/>
        <w:rPr>
          <w:rFonts w:ascii="Times New Roman" w:hAnsi="Times New Roman" w:cs="Times New Roman"/>
          <w:b/>
          <w:sz w:val="24"/>
          <w:szCs w:val="24"/>
        </w:rPr>
      </w:pPr>
      <w:r w:rsidRPr="000A4A0F">
        <w:rPr>
          <w:rFonts w:ascii="Times New Roman" w:hAnsi="Times New Roman" w:cs="Times New Roman"/>
          <w:b/>
          <w:sz w:val="24"/>
          <w:szCs w:val="24"/>
        </w:rPr>
        <w:t>(UCB)</w:t>
      </w:r>
    </w:p>
    <w:p w14:paraId="33F4E397" w14:textId="77777777" w:rsidR="00844FA1" w:rsidRPr="000A4A0F" w:rsidRDefault="00844FA1" w:rsidP="00960B46">
      <w:pPr>
        <w:spacing w:after="0" w:line="360" w:lineRule="auto"/>
        <w:jc w:val="center"/>
        <w:rPr>
          <w:rFonts w:ascii="Times New Roman" w:hAnsi="Times New Roman" w:cs="Times New Roman"/>
          <w:b/>
          <w:sz w:val="24"/>
          <w:szCs w:val="24"/>
        </w:rPr>
      </w:pPr>
      <w:r w:rsidRPr="000A4A0F">
        <w:rPr>
          <w:rFonts w:ascii="Times New Roman" w:hAnsi="Times New Roman" w:cs="Times New Roman"/>
          <w:b/>
          <w:sz w:val="24"/>
          <w:szCs w:val="24"/>
        </w:rPr>
        <w:t>Faculté de Médecine</w:t>
      </w:r>
    </w:p>
    <w:p w14:paraId="54CBF31E" w14:textId="77777777" w:rsidR="00844FA1" w:rsidRPr="000A4A0F" w:rsidRDefault="00844FA1" w:rsidP="00960B46">
      <w:pPr>
        <w:spacing w:after="0" w:line="360" w:lineRule="auto"/>
        <w:jc w:val="center"/>
        <w:rPr>
          <w:rFonts w:ascii="Times New Roman" w:hAnsi="Times New Roman" w:cs="Times New Roman"/>
          <w:b/>
          <w:sz w:val="24"/>
          <w:szCs w:val="24"/>
        </w:rPr>
      </w:pPr>
      <w:r w:rsidRPr="000A4A0F">
        <w:rPr>
          <w:rFonts w:ascii="Times New Roman" w:hAnsi="Times New Roman" w:cs="Times New Roman"/>
          <w:b/>
          <w:sz w:val="24"/>
          <w:szCs w:val="24"/>
        </w:rPr>
        <w:t>B.P. 285 / BUKAVU</w:t>
      </w:r>
    </w:p>
    <w:p w14:paraId="2F3AA8E1" w14:textId="77777777" w:rsidR="00844FA1" w:rsidRPr="000A4A0F" w:rsidRDefault="00844FA1" w:rsidP="00960B46">
      <w:pPr>
        <w:spacing w:after="0" w:line="360" w:lineRule="auto"/>
        <w:jc w:val="center"/>
        <w:rPr>
          <w:rFonts w:ascii="Times New Roman" w:hAnsi="Times New Roman" w:cs="Times New Roman"/>
          <w:b/>
          <w:sz w:val="24"/>
          <w:szCs w:val="24"/>
        </w:rPr>
      </w:pPr>
      <w:r w:rsidRPr="000A4A0F">
        <w:rPr>
          <w:rFonts w:ascii="Times New Roman" w:hAnsi="Times New Roman" w:cs="Times New Roman"/>
          <w:noProof/>
          <w:sz w:val="24"/>
          <w:szCs w:val="24"/>
          <w:lang w:eastAsia="fr-FR"/>
        </w:rPr>
        <w:drawing>
          <wp:anchor distT="0" distB="0" distL="114300" distR="114300" simplePos="0" relativeHeight="251674112" behindDoc="1" locked="0" layoutInCell="1" allowOverlap="1" wp14:anchorId="2268EF75" wp14:editId="2EB714D3">
            <wp:simplePos x="0" y="0"/>
            <wp:positionH relativeFrom="margin">
              <wp:posOffset>2062480</wp:posOffset>
            </wp:positionH>
            <wp:positionV relativeFrom="paragraph">
              <wp:posOffset>124460</wp:posOffset>
            </wp:positionV>
            <wp:extent cx="1744980" cy="1552575"/>
            <wp:effectExtent l="0" t="0" r="0" b="0"/>
            <wp:wrapTight wrapText="bothSides">
              <wp:wrapPolygon edited="0">
                <wp:start x="0" y="0"/>
                <wp:lineTo x="0" y="21467"/>
                <wp:lineTo x="21459" y="21467"/>
                <wp:lineTo x="21459" y="0"/>
                <wp:lineTo x="0" y="0"/>
              </wp:wrapPolygon>
            </wp:wrapTight>
            <wp:docPr id="6" name="Image 3" descr="D:\KESHO KONGO\KESHO KONGO  files\ASK Photos\ALBUM ACTION SOCIALE KESHO KONGO\logo U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KESHO KONGO\KESHO KONGO  files\ASK Photos\ALBUM ACTION SOCIALE KESHO KONGO\logo UC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498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D978D" w14:textId="77777777" w:rsidR="00844FA1" w:rsidRPr="000A4A0F" w:rsidRDefault="00844FA1" w:rsidP="00960B46">
      <w:pPr>
        <w:spacing w:line="360" w:lineRule="auto"/>
        <w:jc w:val="center"/>
        <w:rPr>
          <w:rFonts w:ascii="Times New Roman" w:hAnsi="Times New Roman" w:cs="Times New Roman"/>
          <w:b/>
          <w:sz w:val="24"/>
          <w:szCs w:val="24"/>
        </w:rPr>
      </w:pPr>
    </w:p>
    <w:p w14:paraId="1F5BF7EE" w14:textId="77777777" w:rsidR="00844FA1" w:rsidRPr="000A4A0F" w:rsidRDefault="00844FA1" w:rsidP="00960B46">
      <w:pPr>
        <w:spacing w:line="360" w:lineRule="auto"/>
        <w:jc w:val="center"/>
        <w:rPr>
          <w:rFonts w:ascii="Times New Roman" w:hAnsi="Times New Roman" w:cs="Times New Roman"/>
          <w:b/>
          <w:sz w:val="24"/>
          <w:szCs w:val="24"/>
        </w:rPr>
      </w:pPr>
    </w:p>
    <w:p w14:paraId="26433B1B" w14:textId="77777777" w:rsidR="00844FA1" w:rsidRPr="000A4A0F" w:rsidRDefault="00844FA1" w:rsidP="00960B46">
      <w:pPr>
        <w:spacing w:line="360" w:lineRule="auto"/>
        <w:jc w:val="center"/>
        <w:rPr>
          <w:rFonts w:ascii="Times New Roman" w:hAnsi="Times New Roman" w:cs="Times New Roman"/>
          <w:b/>
          <w:sz w:val="24"/>
          <w:szCs w:val="24"/>
        </w:rPr>
      </w:pPr>
    </w:p>
    <w:p w14:paraId="7C3F45E2" w14:textId="77777777" w:rsidR="00844FA1" w:rsidRPr="000A4A0F" w:rsidRDefault="00844FA1" w:rsidP="00960B46">
      <w:pPr>
        <w:spacing w:line="360" w:lineRule="auto"/>
        <w:jc w:val="center"/>
        <w:rPr>
          <w:rFonts w:ascii="Times New Roman" w:hAnsi="Times New Roman" w:cs="Times New Roman"/>
          <w:sz w:val="24"/>
          <w:szCs w:val="24"/>
        </w:rPr>
      </w:pPr>
    </w:p>
    <w:p w14:paraId="121B0BBA" w14:textId="2DF825E1" w:rsidR="006B055B" w:rsidRPr="000A4A0F" w:rsidRDefault="006B055B" w:rsidP="00960B46">
      <w:pPr>
        <w:tabs>
          <w:tab w:val="left" w:pos="4632"/>
        </w:tabs>
        <w:spacing w:line="360" w:lineRule="auto"/>
        <w:jc w:val="center"/>
        <w:rPr>
          <w:rFonts w:ascii="Times New Roman" w:hAnsi="Times New Roman" w:cs="Times New Roman"/>
          <w:b/>
          <w:sz w:val="24"/>
          <w:szCs w:val="24"/>
        </w:rPr>
      </w:pPr>
    </w:p>
    <w:p w14:paraId="40A6BAC5" w14:textId="77777777" w:rsidR="00844FA1" w:rsidRPr="000A4A0F" w:rsidRDefault="00844FA1" w:rsidP="00960B46">
      <w:pPr>
        <w:spacing w:line="360" w:lineRule="auto"/>
        <w:jc w:val="center"/>
        <w:rPr>
          <w:rFonts w:ascii="Times New Roman" w:eastAsia="Arial Unicode MS" w:hAnsi="Times New Roman" w:cs="Times New Roman"/>
          <w:b/>
          <w:sz w:val="24"/>
          <w:szCs w:val="24"/>
        </w:rPr>
      </w:pPr>
    </w:p>
    <w:p w14:paraId="5757E26B" w14:textId="77777777" w:rsidR="00844FA1" w:rsidRPr="000A4A0F" w:rsidRDefault="00844FA1" w:rsidP="00960B46">
      <w:pPr>
        <w:spacing w:line="360" w:lineRule="auto"/>
        <w:jc w:val="center"/>
        <w:rPr>
          <w:rFonts w:ascii="Times New Roman" w:eastAsia="Arial Unicode MS" w:hAnsi="Times New Roman" w:cs="Times New Roman"/>
          <w:b/>
          <w:sz w:val="24"/>
          <w:szCs w:val="24"/>
        </w:rPr>
      </w:pPr>
    </w:p>
    <w:p w14:paraId="329D9CC3" w14:textId="709B8865" w:rsidR="006B055B" w:rsidRPr="000A4A0F" w:rsidRDefault="00D0441A" w:rsidP="00960B46">
      <w:pPr>
        <w:spacing w:line="360" w:lineRule="auto"/>
        <w:jc w:val="center"/>
        <w:rPr>
          <w:rFonts w:ascii="Times New Roman" w:eastAsia="Arial Unicode MS" w:hAnsi="Times New Roman" w:cs="Times New Roman"/>
          <w:b/>
          <w:sz w:val="24"/>
          <w:szCs w:val="24"/>
        </w:rPr>
      </w:pPr>
      <w:r w:rsidRPr="000A4A0F">
        <w:rPr>
          <w:rFonts w:ascii="Times New Roman" w:eastAsia="Arial Unicode MS" w:hAnsi="Times New Roman" w:cs="Times New Roman"/>
          <w:b/>
          <w:sz w:val="24"/>
          <w:szCs w:val="24"/>
        </w:rPr>
        <w:t>« </w:t>
      </w:r>
      <w:r w:rsidR="00057BD8" w:rsidRPr="000A4A0F">
        <w:rPr>
          <w:rFonts w:ascii="Times New Roman" w:hAnsi="Times New Roman" w:cs="Times New Roman"/>
          <w:b/>
          <w:color w:val="000000" w:themeColor="text1"/>
          <w:sz w:val="24"/>
          <w:szCs w:val="24"/>
        </w:rPr>
        <w:t>ANALYSE</w:t>
      </w:r>
      <w:r w:rsidRPr="000A4A0F">
        <w:rPr>
          <w:rFonts w:ascii="Times New Roman" w:hAnsi="Times New Roman" w:cs="Times New Roman"/>
          <w:b/>
          <w:color w:val="000000" w:themeColor="text1"/>
          <w:sz w:val="24"/>
          <w:szCs w:val="24"/>
        </w:rPr>
        <w:t xml:space="preserve"> </w:t>
      </w:r>
      <w:r w:rsidR="001B4DDC" w:rsidRPr="000A4A0F">
        <w:rPr>
          <w:rFonts w:ascii="Times New Roman" w:hAnsi="Times New Roman" w:cs="Times New Roman"/>
          <w:b/>
          <w:sz w:val="24"/>
          <w:szCs w:val="24"/>
        </w:rPr>
        <w:t>EPIDEMIOLOGIQUE</w:t>
      </w:r>
      <w:r w:rsidR="00354B1D" w:rsidRPr="000A4A0F">
        <w:rPr>
          <w:rFonts w:ascii="Times New Roman" w:hAnsi="Times New Roman" w:cs="Times New Roman"/>
          <w:b/>
          <w:sz w:val="24"/>
          <w:szCs w:val="24"/>
        </w:rPr>
        <w:t xml:space="preserve"> ET</w:t>
      </w:r>
      <w:r w:rsidR="001B4DDC" w:rsidRPr="000A4A0F">
        <w:rPr>
          <w:rFonts w:ascii="Times New Roman" w:hAnsi="Times New Roman" w:cs="Times New Roman"/>
          <w:b/>
          <w:sz w:val="24"/>
          <w:szCs w:val="24"/>
        </w:rPr>
        <w:t xml:space="preserve"> </w:t>
      </w:r>
      <w:r w:rsidR="00354B1D" w:rsidRPr="000A4A0F">
        <w:rPr>
          <w:rFonts w:ascii="Times New Roman" w:hAnsi="Times New Roman" w:cs="Times New Roman"/>
          <w:b/>
          <w:sz w:val="24"/>
          <w:szCs w:val="24"/>
        </w:rPr>
        <w:t>ETIOLOGIQUE DE l’ICTERE NEONATAL </w:t>
      </w:r>
      <w:r w:rsidR="00490296" w:rsidRPr="000A4A0F">
        <w:rPr>
          <w:rFonts w:ascii="Times New Roman" w:hAnsi="Times New Roman" w:cs="Times New Roman"/>
          <w:b/>
          <w:sz w:val="24"/>
          <w:szCs w:val="24"/>
        </w:rPr>
        <w:t xml:space="preserve">: </w:t>
      </w:r>
      <w:r w:rsidR="00BD6EB1" w:rsidRPr="000A4A0F">
        <w:rPr>
          <w:rFonts w:ascii="Times New Roman" w:hAnsi="Times New Roman" w:cs="Times New Roman"/>
          <w:b/>
          <w:color w:val="000000" w:themeColor="text1"/>
          <w:sz w:val="24"/>
          <w:szCs w:val="24"/>
        </w:rPr>
        <w:t>A</w:t>
      </w:r>
      <w:r w:rsidR="00E979B2" w:rsidRPr="000A4A0F">
        <w:rPr>
          <w:rFonts w:ascii="Times New Roman" w:hAnsi="Times New Roman" w:cs="Times New Roman"/>
          <w:b/>
          <w:color w:val="000000" w:themeColor="text1"/>
          <w:sz w:val="24"/>
          <w:szCs w:val="24"/>
        </w:rPr>
        <w:t xml:space="preserve"> PROPOS DE 136 CAS COLLIGES A L’</w:t>
      </w:r>
      <w:r w:rsidR="00490296" w:rsidRPr="000A4A0F">
        <w:rPr>
          <w:rFonts w:ascii="Times New Roman" w:hAnsi="Times New Roman" w:cs="Times New Roman"/>
          <w:b/>
          <w:sz w:val="24"/>
          <w:szCs w:val="24"/>
        </w:rPr>
        <w:t>HPGRB</w:t>
      </w:r>
      <w:r w:rsidRPr="000A4A0F">
        <w:rPr>
          <w:rFonts w:ascii="Times New Roman" w:hAnsi="Times New Roman" w:cs="Times New Roman"/>
          <w:b/>
          <w:sz w:val="24"/>
          <w:szCs w:val="24"/>
        </w:rPr>
        <w:t>/RD CONGO</w:t>
      </w:r>
      <w:r w:rsidRPr="000A4A0F">
        <w:rPr>
          <w:rFonts w:ascii="Times New Roman" w:eastAsia="Arial Unicode MS" w:hAnsi="Times New Roman" w:cs="Times New Roman"/>
          <w:b/>
          <w:sz w:val="24"/>
          <w:szCs w:val="24"/>
        </w:rPr>
        <w:t> »</w:t>
      </w:r>
    </w:p>
    <w:p w14:paraId="6393B589" w14:textId="77777777" w:rsidR="001D4C2E" w:rsidRPr="000A4A0F" w:rsidRDefault="001D4C2E" w:rsidP="00960B46">
      <w:pPr>
        <w:spacing w:line="360" w:lineRule="auto"/>
        <w:jc w:val="center"/>
        <w:rPr>
          <w:rFonts w:ascii="Times New Roman" w:eastAsia="Arial Unicode MS" w:hAnsi="Times New Roman" w:cs="Times New Roman"/>
          <w:b/>
          <w:sz w:val="24"/>
          <w:szCs w:val="24"/>
        </w:rPr>
      </w:pPr>
    </w:p>
    <w:p w14:paraId="2EA3F77A" w14:textId="23D1ED73" w:rsidR="00844FA1" w:rsidRPr="000A4A0F" w:rsidRDefault="00844FA1" w:rsidP="00960B46">
      <w:pPr>
        <w:spacing w:after="0" w:line="360" w:lineRule="auto"/>
        <w:jc w:val="center"/>
        <w:rPr>
          <w:rFonts w:ascii="Times New Roman" w:hAnsi="Times New Roman" w:cs="Times New Roman"/>
          <w:sz w:val="24"/>
          <w:szCs w:val="24"/>
        </w:rPr>
      </w:pPr>
      <w:r w:rsidRPr="000A4A0F">
        <w:rPr>
          <w:rFonts w:ascii="Times New Roman" w:hAnsi="Times New Roman" w:cs="Times New Roman"/>
          <w:sz w:val="24"/>
          <w:szCs w:val="24"/>
        </w:rPr>
        <w:t xml:space="preserve">Présenté par : </w:t>
      </w:r>
      <w:r w:rsidRPr="000A4A0F">
        <w:rPr>
          <w:rFonts w:ascii="Times New Roman" w:hAnsi="Times New Roman" w:cs="Times New Roman"/>
          <w:b/>
          <w:sz w:val="24"/>
          <w:szCs w:val="24"/>
        </w:rPr>
        <w:t xml:space="preserve">Benjamin NTALIGEZA </w:t>
      </w:r>
      <w:proofErr w:type="spellStart"/>
      <w:r w:rsidRPr="000A4A0F">
        <w:rPr>
          <w:rFonts w:ascii="Times New Roman" w:hAnsi="Times New Roman" w:cs="Times New Roman"/>
          <w:b/>
          <w:sz w:val="24"/>
          <w:szCs w:val="24"/>
        </w:rPr>
        <w:t>Mashukano</w:t>
      </w:r>
      <w:proofErr w:type="spellEnd"/>
      <w:r w:rsidRPr="000A4A0F">
        <w:rPr>
          <w:rFonts w:ascii="Times New Roman" w:hAnsi="Times New Roman" w:cs="Times New Roman"/>
          <w:b/>
          <w:sz w:val="24"/>
          <w:szCs w:val="24"/>
        </w:rPr>
        <w:t>.</w:t>
      </w:r>
    </w:p>
    <w:p w14:paraId="6359E21A" w14:textId="77777777" w:rsidR="00844FA1" w:rsidRPr="000A4A0F" w:rsidRDefault="00844FA1" w:rsidP="00960B46">
      <w:pPr>
        <w:spacing w:after="0" w:line="360" w:lineRule="auto"/>
        <w:jc w:val="center"/>
        <w:rPr>
          <w:rFonts w:ascii="Times New Roman" w:hAnsi="Times New Roman" w:cs="Times New Roman"/>
          <w:sz w:val="24"/>
          <w:szCs w:val="24"/>
        </w:rPr>
      </w:pPr>
    </w:p>
    <w:p w14:paraId="0A43F709" w14:textId="77777777" w:rsidR="00844FA1" w:rsidRPr="000A4A0F" w:rsidRDefault="00844FA1" w:rsidP="00960B46">
      <w:pPr>
        <w:spacing w:after="0" w:line="360" w:lineRule="auto"/>
        <w:jc w:val="center"/>
        <w:rPr>
          <w:rFonts w:ascii="Times New Roman" w:hAnsi="Times New Roman" w:cs="Times New Roman"/>
          <w:sz w:val="24"/>
          <w:szCs w:val="24"/>
        </w:rPr>
      </w:pPr>
    </w:p>
    <w:p w14:paraId="6C68C3D9" w14:textId="478F1DE8" w:rsidR="00844FA1" w:rsidRPr="000A4A0F" w:rsidRDefault="00844FA1" w:rsidP="00960B46">
      <w:pPr>
        <w:spacing w:after="0" w:line="360" w:lineRule="auto"/>
        <w:ind w:firstLine="708"/>
        <w:jc w:val="center"/>
        <w:rPr>
          <w:rFonts w:ascii="Times New Roman" w:hAnsi="Times New Roman" w:cs="Times New Roman"/>
          <w:b/>
          <w:sz w:val="24"/>
          <w:szCs w:val="24"/>
        </w:rPr>
      </w:pPr>
      <w:r w:rsidRPr="000A4A0F">
        <w:rPr>
          <w:rFonts w:ascii="Times New Roman" w:hAnsi="Times New Roman" w:cs="Times New Roman"/>
          <w:sz w:val="24"/>
          <w:szCs w:val="24"/>
        </w:rPr>
        <w:t>En vue de l’obtention du Titre de</w:t>
      </w:r>
      <w:r w:rsidRPr="000A4A0F">
        <w:rPr>
          <w:rFonts w:ascii="Times New Roman" w:hAnsi="Times New Roman" w:cs="Times New Roman"/>
          <w:b/>
          <w:sz w:val="24"/>
          <w:szCs w:val="24"/>
        </w:rPr>
        <w:t xml:space="preserve"> Médecin Spécialiste en Pédiatrie</w:t>
      </w:r>
    </w:p>
    <w:p w14:paraId="0A2E42CA" w14:textId="77777777" w:rsidR="00844FA1" w:rsidRPr="000A4A0F" w:rsidRDefault="00844FA1" w:rsidP="00960B46">
      <w:pPr>
        <w:spacing w:after="0" w:line="360" w:lineRule="auto"/>
        <w:jc w:val="center"/>
        <w:rPr>
          <w:rFonts w:ascii="Times New Roman" w:hAnsi="Times New Roman" w:cs="Times New Roman"/>
          <w:sz w:val="24"/>
          <w:szCs w:val="24"/>
        </w:rPr>
      </w:pPr>
    </w:p>
    <w:p w14:paraId="2BC4E2AD" w14:textId="77777777" w:rsidR="00844FA1" w:rsidRPr="000A4A0F" w:rsidRDefault="00844FA1" w:rsidP="00960B46">
      <w:pPr>
        <w:spacing w:after="0" w:line="360" w:lineRule="auto"/>
        <w:ind w:firstLine="708"/>
        <w:jc w:val="center"/>
        <w:rPr>
          <w:rFonts w:ascii="Times New Roman" w:hAnsi="Times New Roman" w:cs="Times New Roman"/>
          <w:sz w:val="24"/>
          <w:szCs w:val="24"/>
        </w:rPr>
      </w:pPr>
    </w:p>
    <w:p w14:paraId="3B38CF87" w14:textId="18594DEF" w:rsidR="00844FA1" w:rsidRPr="000A4A0F" w:rsidRDefault="002B3A4D" w:rsidP="002B3A4D">
      <w:pPr>
        <w:spacing w:after="0" w:line="360" w:lineRule="auto"/>
        <w:ind w:left="708" w:firstLine="708"/>
        <w:rPr>
          <w:rFonts w:ascii="Times New Roman" w:hAnsi="Times New Roman" w:cs="Times New Roman"/>
          <w:b/>
          <w:sz w:val="24"/>
          <w:szCs w:val="24"/>
        </w:rPr>
      </w:pPr>
      <w:r>
        <w:rPr>
          <w:rFonts w:ascii="Times New Roman" w:hAnsi="Times New Roman" w:cs="Times New Roman"/>
          <w:sz w:val="24"/>
          <w:szCs w:val="24"/>
        </w:rPr>
        <w:t xml:space="preserve">               </w:t>
      </w:r>
      <w:r w:rsidR="00844FA1" w:rsidRPr="000A4A0F">
        <w:rPr>
          <w:rFonts w:ascii="Times New Roman" w:hAnsi="Times New Roman" w:cs="Times New Roman"/>
          <w:sz w:val="24"/>
          <w:szCs w:val="24"/>
        </w:rPr>
        <w:t xml:space="preserve">Promoteur : </w:t>
      </w:r>
      <w:r w:rsidR="00844FA1" w:rsidRPr="000A4A0F">
        <w:rPr>
          <w:rFonts w:ascii="Times New Roman" w:hAnsi="Times New Roman" w:cs="Times New Roman"/>
          <w:b/>
          <w:sz w:val="24"/>
          <w:szCs w:val="24"/>
        </w:rPr>
        <w:t>Professeur Dr. Oreste BATTISTI</w:t>
      </w:r>
    </w:p>
    <w:p w14:paraId="0D7E4F3A" w14:textId="3562CF46" w:rsidR="00844FA1" w:rsidRPr="001F4FA1" w:rsidRDefault="00844FA1" w:rsidP="00960B46">
      <w:pPr>
        <w:spacing w:after="0" w:line="360" w:lineRule="auto"/>
        <w:jc w:val="center"/>
        <w:rPr>
          <w:rFonts w:ascii="Times New Roman" w:hAnsi="Times New Roman" w:cs="Times New Roman"/>
          <w:sz w:val="24"/>
          <w:szCs w:val="24"/>
        </w:rPr>
      </w:pPr>
      <w:r w:rsidRPr="001F4FA1">
        <w:rPr>
          <w:rFonts w:ascii="Times New Roman" w:hAnsi="Times New Roman" w:cs="Times New Roman"/>
          <w:sz w:val="24"/>
          <w:szCs w:val="24"/>
          <w:lang w:val="en-US"/>
        </w:rPr>
        <w:t>Co-</w:t>
      </w:r>
      <w:proofErr w:type="spellStart"/>
      <w:proofErr w:type="gramStart"/>
      <w:r w:rsidRPr="001F4FA1">
        <w:rPr>
          <w:rFonts w:ascii="Times New Roman" w:hAnsi="Times New Roman" w:cs="Times New Roman"/>
          <w:sz w:val="24"/>
          <w:szCs w:val="24"/>
          <w:lang w:val="en-US"/>
        </w:rPr>
        <w:t>Promoteur</w:t>
      </w:r>
      <w:proofErr w:type="spellEnd"/>
      <w:r w:rsidRPr="001F4FA1">
        <w:rPr>
          <w:rFonts w:ascii="Times New Roman" w:hAnsi="Times New Roman" w:cs="Times New Roman"/>
          <w:sz w:val="24"/>
          <w:szCs w:val="24"/>
          <w:lang w:val="en-US"/>
        </w:rPr>
        <w:t> :</w:t>
      </w:r>
      <w:proofErr w:type="gramEnd"/>
      <w:r w:rsidRPr="001F4FA1">
        <w:rPr>
          <w:rFonts w:ascii="Times New Roman" w:hAnsi="Times New Roman" w:cs="Times New Roman"/>
          <w:sz w:val="24"/>
          <w:szCs w:val="24"/>
          <w:lang w:val="en-US"/>
        </w:rPr>
        <w:t xml:space="preserve"> </w:t>
      </w:r>
      <w:r w:rsidR="001F4FA1" w:rsidRPr="001F4FA1">
        <w:rPr>
          <w:rFonts w:ascii="Times New Roman" w:hAnsi="Times New Roman" w:cs="Times New Roman"/>
          <w:b/>
          <w:sz w:val="24"/>
          <w:szCs w:val="24"/>
          <w:lang w:val="en-US"/>
        </w:rPr>
        <w:t xml:space="preserve">Dr </w:t>
      </w:r>
      <w:r w:rsidRPr="001F4FA1">
        <w:rPr>
          <w:rFonts w:ascii="Times New Roman" w:hAnsi="Times New Roman" w:cs="Times New Roman"/>
          <w:b/>
          <w:sz w:val="24"/>
          <w:szCs w:val="24"/>
          <w:lang w:val="en-US"/>
        </w:rPr>
        <w:t>LUFUNGULO</w:t>
      </w:r>
      <w:r w:rsidR="001F4FA1">
        <w:rPr>
          <w:rFonts w:ascii="Times New Roman" w:hAnsi="Times New Roman" w:cs="Times New Roman"/>
          <w:b/>
          <w:sz w:val="24"/>
          <w:szCs w:val="24"/>
        </w:rPr>
        <w:t xml:space="preserve"> BAHATI Yvette</w:t>
      </w:r>
    </w:p>
    <w:p w14:paraId="41B22E1A" w14:textId="77777777" w:rsidR="00844FA1" w:rsidRPr="001F4FA1" w:rsidRDefault="00844FA1" w:rsidP="00960B46">
      <w:pPr>
        <w:spacing w:after="0" w:line="360" w:lineRule="auto"/>
        <w:jc w:val="center"/>
        <w:rPr>
          <w:rFonts w:ascii="Times New Roman" w:hAnsi="Times New Roman" w:cs="Times New Roman"/>
          <w:b/>
          <w:sz w:val="24"/>
          <w:szCs w:val="24"/>
          <w:lang w:val="en-US"/>
        </w:rPr>
      </w:pPr>
    </w:p>
    <w:p w14:paraId="6B9F609A" w14:textId="77777777" w:rsidR="00844FA1" w:rsidRPr="001F4FA1" w:rsidRDefault="00844FA1" w:rsidP="00960B46">
      <w:pPr>
        <w:spacing w:after="0" w:line="360" w:lineRule="auto"/>
        <w:jc w:val="center"/>
        <w:rPr>
          <w:rFonts w:ascii="Times New Roman" w:hAnsi="Times New Roman" w:cs="Times New Roman"/>
          <w:b/>
          <w:sz w:val="24"/>
          <w:szCs w:val="24"/>
          <w:lang w:val="en-US"/>
        </w:rPr>
      </w:pPr>
    </w:p>
    <w:p w14:paraId="5C49E6E2" w14:textId="77777777" w:rsidR="00844FA1" w:rsidRPr="001F4FA1" w:rsidRDefault="00844FA1" w:rsidP="00960B46">
      <w:pPr>
        <w:spacing w:after="0" w:line="360" w:lineRule="auto"/>
        <w:jc w:val="center"/>
        <w:rPr>
          <w:rFonts w:ascii="Times New Roman" w:hAnsi="Times New Roman" w:cs="Times New Roman"/>
          <w:b/>
          <w:sz w:val="24"/>
          <w:szCs w:val="24"/>
          <w:lang w:val="en-US"/>
        </w:rPr>
      </w:pPr>
    </w:p>
    <w:p w14:paraId="07D60E90" w14:textId="77777777" w:rsidR="00DD60CC" w:rsidRPr="001F4FA1" w:rsidRDefault="00DD60CC" w:rsidP="00960B46">
      <w:pPr>
        <w:spacing w:line="360" w:lineRule="auto"/>
        <w:jc w:val="center"/>
        <w:rPr>
          <w:rFonts w:ascii="Times New Roman" w:hAnsi="Times New Roman" w:cs="Times New Roman"/>
          <w:b/>
          <w:bCs/>
          <w:sz w:val="24"/>
          <w:szCs w:val="24"/>
          <w:lang w:val="en-US"/>
        </w:rPr>
      </w:pPr>
    </w:p>
    <w:p w14:paraId="27342E85" w14:textId="6A674F47" w:rsidR="001F522B" w:rsidRPr="000A4A0F" w:rsidRDefault="00C47E8E" w:rsidP="000A4A0F">
      <w:pPr>
        <w:spacing w:line="360" w:lineRule="auto"/>
        <w:jc w:val="both"/>
        <w:rPr>
          <w:rFonts w:ascii="Times New Roman" w:hAnsi="Times New Roman" w:cs="Times New Roman"/>
          <w:b/>
          <w:bCs/>
          <w:sz w:val="24"/>
          <w:szCs w:val="24"/>
        </w:rPr>
      </w:pPr>
      <w:r>
        <w:rPr>
          <w:noProof/>
        </w:rPr>
        <w:pict w14:anchorId="5C76E995">
          <v:rect id="Rectangle 14" o:spid="_x0000_s1027" style="position:absolute;left:0;text-align:left;margin-left:-.35pt;margin-top:36.85pt;width:510pt;height:31.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" fillcolor="#f2f2f2 [3052]" stroked="f" strokeweight="1pt">
            <v:path arrowok="t"/>
          </v:rect>
        </w:pict>
      </w:r>
      <w:r w:rsidR="002B3A4D" w:rsidRPr="001F4FA1">
        <w:rPr>
          <w:rFonts w:ascii="Times New Roman" w:hAnsi="Times New Roman" w:cs="Times New Roman"/>
          <w:b/>
          <w:bCs/>
          <w:sz w:val="24"/>
          <w:szCs w:val="24"/>
          <w:lang w:val="en-US"/>
        </w:rPr>
        <w:t xml:space="preserve">                                       </w:t>
      </w:r>
      <w:r w:rsidR="00844FA1" w:rsidRPr="000A4A0F">
        <w:rPr>
          <w:rFonts w:ascii="Times New Roman" w:hAnsi="Times New Roman" w:cs="Times New Roman"/>
          <w:b/>
          <w:bCs/>
          <w:sz w:val="24"/>
          <w:szCs w:val="24"/>
        </w:rPr>
        <w:t>Décembre 202</w:t>
      </w:r>
      <w:r>
        <w:rPr>
          <w:noProof/>
        </w:rPr>
        <w:pict w14:anchorId="204B7BAE">
          <v:rect id="Rectangle 17" o:spid="_x0000_s1026" style="position:absolute;left:0;text-align:left;margin-left:-.35pt;margin-top:36.85pt;width:510pt;height:31.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" fillcolor="#f2f2f2 [3052]" stroked="f" strokeweight="1pt">
            <v:path arrowok="t"/>
          </v:rect>
        </w:pict>
      </w:r>
      <w:r w:rsidR="00844FA1" w:rsidRPr="000A4A0F">
        <w:rPr>
          <w:rFonts w:ascii="Times New Roman" w:hAnsi="Times New Roman" w:cs="Times New Roman"/>
          <w:b/>
          <w:bCs/>
          <w:sz w:val="24"/>
          <w:szCs w:val="24"/>
        </w:rPr>
        <w:t>1</w:t>
      </w:r>
      <w:r w:rsidR="001D4C2E" w:rsidRPr="000A4A0F">
        <w:rPr>
          <w:rFonts w:ascii="Times New Roman" w:hAnsi="Times New Roman" w:cs="Times New Roman"/>
          <w:bCs/>
          <w:sz w:val="24"/>
          <w:szCs w:val="24"/>
        </w:rPr>
        <w:t>.</w:t>
      </w:r>
    </w:p>
    <w:p w14:paraId="4BBD2014" w14:textId="77777777" w:rsidR="00581BA6" w:rsidRPr="000A4A0F" w:rsidRDefault="00581BA6" w:rsidP="000A4A0F">
      <w:pPr>
        <w:pStyle w:val="Titre1"/>
        <w:spacing w:line="360" w:lineRule="auto"/>
        <w:jc w:val="both"/>
        <w:rPr>
          <w:sz w:val="24"/>
          <w:szCs w:val="24"/>
        </w:rPr>
      </w:pPr>
      <w:bookmarkStart w:id="0" w:name="_Toc87049035"/>
      <w:r w:rsidRPr="000A4A0F">
        <w:rPr>
          <w:sz w:val="24"/>
          <w:szCs w:val="24"/>
        </w:rPr>
        <w:lastRenderedPageBreak/>
        <w:t>REMERCIEMENTS</w:t>
      </w:r>
      <w:bookmarkEnd w:id="0"/>
    </w:p>
    <w:p w14:paraId="31847CB4" w14:textId="77777777" w:rsidR="00581BA6" w:rsidRPr="000A4A0F" w:rsidRDefault="00581BA6" w:rsidP="000A4A0F">
      <w:pPr>
        <w:spacing w:after="0" w:line="360" w:lineRule="auto"/>
        <w:jc w:val="both"/>
        <w:rPr>
          <w:rFonts w:ascii="Times New Roman" w:hAnsi="Times New Roman" w:cs="Times New Roman"/>
          <w:b/>
          <w:sz w:val="24"/>
          <w:szCs w:val="24"/>
        </w:rPr>
      </w:pPr>
    </w:p>
    <w:p w14:paraId="42B0CC46" w14:textId="77777777" w:rsidR="00581BA6" w:rsidRPr="000A4A0F" w:rsidRDefault="00581BA6" w:rsidP="000A4A0F">
      <w:pPr>
        <w:widowControl w:val="0"/>
        <w:autoSpaceDE w:val="0"/>
        <w:autoSpaceDN w:val="0"/>
        <w:adjustRightInd w:val="0"/>
        <w:spacing w:line="360" w:lineRule="auto"/>
        <w:ind w:right="-1"/>
        <w:jc w:val="both"/>
        <w:rPr>
          <w:rFonts w:ascii="Times New Roman" w:hAnsi="Times New Roman" w:cs="Times New Roman"/>
          <w:sz w:val="24"/>
          <w:szCs w:val="24"/>
        </w:rPr>
      </w:pPr>
      <w:r w:rsidRPr="000A4A0F">
        <w:rPr>
          <w:rFonts w:ascii="Times New Roman" w:hAnsi="Times New Roman" w:cs="Times New Roman"/>
          <w:sz w:val="24"/>
          <w:szCs w:val="24"/>
        </w:rPr>
        <w:t>Au terme de notre spécialisation en pédiatrie, nous voudrions remercier :</w:t>
      </w:r>
    </w:p>
    <w:p w14:paraId="13996CD4" w14:textId="40C2B556" w:rsidR="00581BA6" w:rsidRPr="000A4A0F" w:rsidRDefault="00581BA6" w:rsidP="000A4A0F">
      <w:pPr>
        <w:widowControl w:val="0"/>
        <w:suppressAutoHyphens w:val="0"/>
        <w:autoSpaceDE w:val="0"/>
        <w:autoSpaceDN w:val="0"/>
        <w:adjustRightInd w:val="0"/>
        <w:spacing w:before="200" w:after="200" w:line="360" w:lineRule="auto"/>
        <w:ind w:right="-1"/>
        <w:jc w:val="both"/>
        <w:rPr>
          <w:rFonts w:ascii="Times New Roman" w:hAnsi="Times New Roman" w:cs="Times New Roman"/>
          <w:sz w:val="24"/>
          <w:szCs w:val="24"/>
        </w:rPr>
      </w:pPr>
      <w:r w:rsidRPr="000A4A0F">
        <w:rPr>
          <w:rFonts w:ascii="Times New Roman" w:hAnsi="Times New Roman" w:cs="Times New Roman"/>
          <w:sz w:val="24"/>
          <w:szCs w:val="24"/>
        </w:rPr>
        <w:t>L’Eternel Tout Puissant</w:t>
      </w:r>
      <w:r w:rsidR="00A76C0E" w:rsidRPr="000A4A0F">
        <w:rPr>
          <w:rFonts w:ascii="Times New Roman" w:hAnsi="Times New Roman" w:cs="Times New Roman"/>
          <w:sz w:val="24"/>
          <w:szCs w:val="24"/>
        </w:rPr>
        <w:t xml:space="preserve"> pour </w:t>
      </w:r>
      <w:r w:rsidRPr="000A4A0F">
        <w:rPr>
          <w:rFonts w:ascii="Times New Roman" w:hAnsi="Times New Roman" w:cs="Times New Roman"/>
          <w:sz w:val="24"/>
          <w:szCs w:val="24"/>
        </w:rPr>
        <w:t xml:space="preserve">  sa  protection Divine  qu’il nous a </w:t>
      </w:r>
      <w:r w:rsidR="00775510" w:rsidRPr="000A4A0F">
        <w:rPr>
          <w:rFonts w:ascii="Times New Roman" w:hAnsi="Times New Roman" w:cs="Times New Roman"/>
          <w:sz w:val="24"/>
          <w:szCs w:val="24"/>
        </w:rPr>
        <w:t>accordée</w:t>
      </w:r>
      <w:r w:rsidRPr="000A4A0F">
        <w:rPr>
          <w:rFonts w:ascii="Times New Roman" w:hAnsi="Times New Roman" w:cs="Times New Roman"/>
          <w:sz w:val="24"/>
          <w:szCs w:val="24"/>
        </w:rPr>
        <w:t xml:space="preserve"> durant notre </w:t>
      </w:r>
      <w:r w:rsidR="00A76C0E" w:rsidRPr="000A4A0F">
        <w:rPr>
          <w:rFonts w:ascii="Times New Roman" w:hAnsi="Times New Roman" w:cs="Times New Roman"/>
          <w:sz w:val="24"/>
          <w:szCs w:val="24"/>
        </w:rPr>
        <w:t>cursus</w:t>
      </w:r>
      <w:r w:rsidRPr="000A4A0F">
        <w:rPr>
          <w:rFonts w:ascii="Times New Roman" w:hAnsi="Times New Roman" w:cs="Times New Roman"/>
          <w:sz w:val="24"/>
          <w:szCs w:val="24"/>
        </w:rPr>
        <w:t xml:space="preserve"> d’assista</w:t>
      </w:r>
      <w:r w:rsidR="00A76C0E" w:rsidRPr="000A4A0F">
        <w:rPr>
          <w:rFonts w:ascii="Times New Roman" w:hAnsi="Times New Roman" w:cs="Times New Roman"/>
          <w:sz w:val="24"/>
          <w:szCs w:val="24"/>
        </w:rPr>
        <w:t>na</w:t>
      </w:r>
      <w:r w:rsidRPr="000A4A0F">
        <w:rPr>
          <w:rFonts w:ascii="Times New Roman" w:hAnsi="Times New Roman" w:cs="Times New Roman"/>
          <w:sz w:val="24"/>
          <w:szCs w:val="24"/>
        </w:rPr>
        <w:t>t.</w:t>
      </w:r>
    </w:p>
    <w:p w14:paraId="7FF0BADB" w14:textId="333DB381" w:rsidR="00581BA6" w:rsidRPr="000A4A0F" w:rsidRDefault="00581BA6" w:rsidP="000A4A0F">
      <w:pPr>
        <w:widowControl w:val="0"/>
        <w:suppressAutoHyphens w:val="0"/>
        <w:autoSpaceDE w:val="0"/>
        <w:autoSpaceDN w:val="0"/>
        <w:adjustRightInd w:val="0"/>
        <w:spacing w:before="200" w:after="200" w:line="360" w:lineRule="auto"/>
        <w:ind w:right="-1"/>
        <w:jc w:val="both"/>
        <w:rPr>
          <w:rFonts w:ascii="Times New Roman" w:hAnsi="Times New Roman" w:cs="Times New Roman"/>
          <w:sz w:val="24"/>
          <w:szCs w:val="24"/>
        </w:rPr>
      </w:pPr>
      <w:r w:rsidRPr="000A4A0F">
        <w:rPr>
          <w:rFonts w:ascii="Times New Roman" w:hAnsi="Times New Roman" w:cs="Times New Roman"/>
          <w:sz w:val="24"/>
          <w:szCs w:val="24"/>
        </w:rPr>
        <w:t>Le Professeur Oreste BATTISTI</w:t>
      </w:r>
      <w:r w:rsidR="00A76C0E" w:rsidRPr="000A4A0F">
        <w:rPr>
          <w:rFonts w:ascii="Times New Roman" w:hAnsi="Times New Roman" w:cs="Times New Roman"/>
          <w:sz w:val="24"/>
          <w:szCs w:val="24"/>
        </w:rPr>
        <w:t xml:space="preserve"> qui </w:t>
      </w:r>
      <w:r w:rsidRPr="000A4A0F">
        <w:rPr>
          <w:rFonts w:ascii="Times New Roman" w:hAnsi="Times New Roman" w:cs="Times New Roman"/>
          <w:sz w:val="24"/>
          <w:szCs w:val="24"/>
        </w:rPr>
        <w:t xml:space="preserve"> a accepté de diriger ce travail du </w:t>
      </w:r>
      <w:r w:rsidR="00386111" w:rsidRPr="000A4A0F">
        <w:rPr>
          <w:rFonts w:ascii="Times New Roman" w:hAnsi="Times New Roman" w:cs="Times New Roman"/>
          <w:sz w:val="24"/>
          <w:szCs w:val="24"/>
        </w:rPr>
        <w:t>début</w:t>
      </w:r>
      <w:r w:rsidRPr="000A4A0F">
        <w:rPr>
          <w:rFonts w:ascii="Times New Roman" w:hAnsi="Times New Roman" w:cs="Times New Roman"/>
          <w:sz w:val="24"/>
          <w:szCs w:val="24"/>
        </w:rPr>
        <w:t xml:space="preserve"> jusqu’à la fin</w:t>
      </w:r>
      <w:r w:rsidR="00A76C0E" w:rsidRPr="000A4A0F">
        <w:rPr>
          <w:rFonts w:ascii="Times New Roman" w:hAnsi="Times New Roman" w:cs="Times New Roman"/>
          <w:sz w:val="24"/>
          <w:szCs w:val="24"/>
        </w:rPr>
        <w:t xml:space="preserve"> </w:t>
      </w:r>
      <w:r w:rsidR="00386111" w:rsidRPr="000A4A0F">
        <w:rPr>
          <w:rFonts w:ascii="Times New Roman" w:hAnsi="Times New Roman" w:cs="Times New Roman"/>
          <w:sz w:val="24"/>
          <w:szCs w:val="24"/>
        </w:rPr>
        <w:t xml:space="preserve"> qu’il</w:t>
      </w:r>
      <w:r w:rsidR="00A76C0E" w:rsidRPr="000A4A0F">
        <w:rPr>
          <w:rFonts w:ascii="Times New Roman" w:hAnsi="Times New Roman" w:cs="Times New Roman"/>
          <w:sz w:val="24"/>
          <w:szCs w:val="24"/>
        </w:rPr>
        <w:t xml:space="preserve"> trouve témoignage de notre </w:t>
      </w:r>
      <w:r w:rsidR="00DD60CC" w:rsidRPr="000A4A0F">
        <w:rPr>
          <w:rFonts w:ascii="Times New Roman" w:hAnsi="Times New Roman" w:cs="Times New Roman"/>
          <w:sz w:val="24"/>
          <w:szCs w:val="24"/>
        </w:rPr>
        <w:t>gratitude</w:t>
      </w:r>
      <w:r w:rsidRPr="000A4A0F">
        <w:rPr>
          <w:rFonts w:ascii="Times New Roman" w:hAnsi="Times New Roman" w:cs="Times New Roman"/>
          <w:sz w:val="24"/>
          <w:szCs w:val="24"/>
        </w:rPr>
        <w:t>.</w:t>
      </w:r>
    </w:p>
    <w:p w14:paraId="513D6C74" w14:textId="1DE4B1B9" w:rsidR="00581BA6" w:rsidRPr="000A4A0F" w:rsidRDefault="00B56D6C" w:rsidP="000A4A0F">
      <w:pPr>
        <w:widowControl w:val="0"/>
        <w:suppressAutoHyphens w:val="0"/>
        <w:autoSpaceDE w:val="0"/>
        <w:autoSpaceDN w:val="0"/>
        <w:adjustRightInd w:val="0"/>
        <w:spacing w:before="200" w:after="200" w:line="360" w:lineRule="auto"/>
        <w:ind w:right="-1"/>
        <w:jc w:val="both"/>
        <w:rPr>
          <w:rFonts w:ascii="Times New Roman" w:hAnsi="Times New Roman" w:cs="Times New Roman"/>
          <w:sz w:val="24"/>
          <w:szCs w:val="24"/>
        </w:rPr>
      </w:pPr>
      <w:r w:rsidRPr="000A4A0F">
        <w:rPr>
          <w:rFonts w:ascii="Times New Roman" w:hAnsi="Times New Roman" w:cs="Times New Roman"/>
          <w:sz w:val="24"/>
          <w:szCs w:val="24"/>
        </w:rPr>
        <w:t xml:space="preserve">Au </w:t>
      </w:r>
      <w:r w:rsidR="00386111" w:rsidRPr="000A4A0F">
        <w:rPr>
          <w:rFonts w:ascii="Times New Roman" w:hAnsi="Times New Roman" w:cs="Times New Roman"/>
          <w:sz w:val="24"/>
          <w:szCs w:val="24"/>
        </w:rPr>
        <w:t>Dr LUFUNGULO BAHATI</w:t>
      </w:r>
      <w:r w:rsidR="00581BA6" w:rsidRPr="000A4A0F">
        <w:rPr>
          <w:rFonts w:ascii="Times New Roman" w:hAnsi="Times New Roman" w:cs="Times New Roman"/>
          <w:sz w:val="24"/>
          <w:szCs w:val="24"/>
        </w:rPr>
        <w:t>, pour son accompagnement tout au long de la réalisation de ce travail.</w:t>
      </w:r>
    </w:p>
    <w:p w14:paraId="3C767296" w14:textId="34BEFD18" w:rsidR="00581BA6" w:rsidRPr="000A4A0F" w:rsidRDefault="00386111" w:rsidP="000A4A0F">
      <w:pPr>
        <w:widowControl w:val="0"/>
        <w:suppressAutoHyphens w:val="0"/>
        <w:autoSpaceDE w:val="0"/>
        <w:autoSpaceDN w:val="0"/>
        <w:adjustRightInd w:val="0"/>
        <w:spacing w:before="200" w:after="200" w:line="360" w:lineRule="auto"/>
        <w:ind w:right="-1"/>
        <w:jc w:val="both"/>
        <w:rPr>
          <w:rFonts w:ascii="Times New Roman" w:hAnsi="Times New Roman" w:cs="Times New Roman"/>
          <w:sz w:val="24"/>
          <w:szCs w:val="24"/>
        </w:rPr>
      </w:pPr>
      <w:r w:rsidRPr="000A4A0F">
        <w:rPr>
          <w:rFonts w:ascii="Times New Roman" w:hAnsi="Times New Roman" w:cs="Times New Roman"/>
          <w:sz w:val="24"/>
          <w:szCs w:val="24"/>
        </w:rPr>
        <w:t xml:space="preserve">Mes encadreurs et </w:t>
      </w:r>
      <w:r w:rsidR="00DD60CC" w:rsidRPr="000A4A0F">
        <w:rPr>
          <w:rFonts w:ascii="Times New Roman" w:hAnsi="Times New Roman" w:cs="Times New Roman"/>
          <w:sz w:val="24"/>
          <w:szCs w:val="24"/>
        </w:rPr>
        <w:t xml:space="preserve"> </w:t>
      </w:r>
      <w:r w:rsidR="00581BA6" w:rsidRPr="000A4A0F">
        <w:rPr>
          <w:rFonts w:ascii="Times New Roman" w:hAnsi="Times New Roman" w:cs="Times New Roman"/>
          <w:sz w:val="24"/>
          <w:szCs w:val="24"/>
        </w:rPr>
        <w:t>collègues du Département de pédi</w:t>
      </w:r>
      <w:r w:rsidRPr="000A4A0F">
        <w:rPr>
          <w:rFonts w:ascii="Times New Roman" w:hAnsi="Times New Roman" w:cs="Times New Roman"/>
          <w:sz w:val="24"/>
          <w:szCs w:val="24"/>
        </w:rPr>
        <w:t xml:space="preserve">atrie de l’Hôpital Provincial </w:t>
      </w:r>
      <w:r w:rsidR="00DD60CC" w:rsidRPr="000A4A0F">
        <w:rPr>
          <w:rFonts w:ascii="Times New Roman" w:hAnsi="Times New Roman" w:cs="Times New Roman"/>
          <w:sz w:val="24"/>
          <w:szCs w:val="24"/>
        </w:rPr>
        <w:t xml:space="preserve"> de Reference de Bukavu, </w:t>
      </w:r>
      <w:r w:rsidR="00581BA6" w:rsidRPr="000A4A0F">
        <w:rPr>
          <w:rFonts w:ascii="Times New Roman" w:hAnsi="Times New Roman" w:cs="Times New Roman"/>
          <w:sz w:val="24"/>
          <w:szCs w:val="24"/>
        </w:rPr>
        <w:t>aux Cliniques universitaires Saint Luc-UC</w:t>
      </w:r>
      <w:r w:rsidR="00A76C0E" w:rsidRPr="000A4A0F">
        <w:rPr>
          <w:rFonts w:ascii="Times New Roman" w:hAnsi="Times New Roman" w:cs="Times New Roman"/>
          <w:sz w:val="24"/>
          <w:szCs w:val="24"/>
        </w:rPr>
        <w:t>L/Bruxelles unité</w:t>
      </w:r>
      <w:r w:rsidRPr="000A4A0F">
        <w:rPr>
          <w:rFonts w:ascii="Times New Roman" w:hAnsi="Times New Roman" w:cs="Times New Roman"/>
          <w:sz w:val="24"/>
          <w:szCs w:val="24"/>
        </w:rPr>
        <w:t xml:space="preserve"> d’infectiologie </w:t>
      </w:r>
      <w:r w:rsidR="00581BA6" w:rsidRPr="000A4A0F">
        <w:rPr>
          <w:rFonts w:ascii="Times New Roman" w:hAnsi="Times New Roman" w:cs="Times New Roman"/>
          <w:sz w:val="24"/>
          <w:szCs w:val="24"/>
        </w:rPr>
        <w:t xml:space="preserve"> </w:t>
      </w:r>
      <w:r w:rsidR="00A76C0E" w:rsidRPr="000A4A0F">
        <w:rPr>
          <w:rFonts w:ascii="Times New Roman" w:hAnsi="Times New Roman" w:cs="Times New Roman"/>
          <w:sz w:val="24"/>
          <w:szCs w:val="24"/>
        </w:rPr>
        <w:t>pédiatrique</w:t>
      </w:r>
      <w:r w:rsidRPr="000A4A0F">
        <w:rPr>
          <w:rFonts w:ascii="Times New Roman" w:hAnsi="Times New Roman" w:cs="Times New Roman"/>
          <w:sz w:val="24"/>
          <w:szCs w:val="24"/>
        </w:rPr>
        <w:t xml:space="preserve"> et service de </w:t>
      </w:r>
      <w:r w:rsidR="00A76C0E" w:rsidRPr="000A4A0F">
        <w:rPr>
          <w:rFonts w:ascii="Times New Roman" w:hAnsi="Times New Roman" w:cs="Times New Roman"/>
          <w:sz w:val="24"/>
          <w:szCs w:val="24"/>
        </w:rPr>
        <w:t>néonatologie</w:t>
      </w:r>
    </w:p>
    <w:p w14:paraId="2716B32B" w14:textId="0B75A133" w:rsidR="00581BA6" w:rsidRPr="000A4A0F" w:rsidRDefault="00386111" w:rsidP="000A4A0F">
      <w:pPr>
        <w:widowControl w:val="0"/>
        <w:suppressAutoHyphens w:val="0"/>
        <w:autoSpaceDE w:val="0"/>
        <w:autoSpaceDN w:val="0"/>
        <w:adjustRightInd w:val="0"/>
        <w:spacing w:before="200" w:after="200" w:line="360" w:lineRule="auto"/>
        <w:ind w:right="-1"/>
        <w:jc w:val="both"/>
        <w:rPr>
          <w:rFonts w:ascii="Times New Roman" w:hAnsi="Times New Roman" w:cs="Times New Roman"/>
          <w:sz w:val="24"/>
          <w:szCs w:val="24"/>
        </w:rPr>
      </w:pPr>
      <w:r w:rsidRPr="000A4A0F">
        <w:rPr>
          <w:rFonts w:ascii="Times New Roman" w:hAnsi="Times New Roman" w:cs="Times New Roman"/>
          <w:sz w:val="24"/>
          <w:szCs w:val="24"/>
        </w:rPr>
        <w:t xml:space="preserve">Ma </w:t>
      </w:r>
      <w:r w:rsidR="006961D9" w:rsidRPr="000A4A0F">
        <w:rPr>
          <w:rFonts w:ascii="Times New Roman" w:hAnsi="Times New Roman" w:cs="Times New Roman"/>
          <w:sz w:val="24"/>
          <w:szCs w:val="24"/>
        </w:rPr>
        <w:t>chère</w:t>
      </w:r>
      <w:r w:rsidRPr="000A4A0F">
        <w:rPr>
          <w:rFonts w:ascii="Times New Roman" w:hAnsi="Times New Roman" w:cs="Times New Roman"/>
          <w:sz w:val="24"/>
          <w:szCs w:val="24"/>
        </w:rPr>
        <w:t xml:space="preserve"> épouse BASEDEKE </w:t>
      </w:r>
      <w:proofErr w:type="spellStart"/>
      <w:r w:rsidRPr="000A4A0F">
        <w:rPr>
          <w:rFonts w:ascii="Times New Roman" w:hAnsi="Times New Roman" w:cs="Times New Roman"/>
          <w:sz w:val="24"/>
          <w:szCs w:val="24"/>
        </w:rPr>
        <w:t>Naweza</w:t>
      </w:r>
      <w:proofErr w:type="spellEnd"/>
      <w:r w:rsidRPr="000A4A0F">
        <w:rPr>
          <w:rFonts w:ascii="Times New Roman" w:hAnsi="Times New Roman" w:cs="Times New Roman"/>
          <w:sz w:val="24"/>
          <w:szCs w:val="24"/>
        </w:rPr>
        <w:t xml:space="preserve"> Marie</w:t>
      </w:r>
      <w:r w:rsidR="00A76C0E" w:rsidRPr="000A4A0F">
        <w:rPr>
          <w:rFonts w:ascii="Times New Roman" w:hAnsi="Times New Roman" w:cs="Times New Roman"/>
          <w:sz w:val="24"/>
          <w:szCs w:val="24"/>
        </w:rPr>
        <w:t>-Jeanne</w:t>
      </w:r>
      <w:r w:rsidRPr="000A4A0F">
        <w:rPr>
          <w:rFonts w:ascii="Times New Roman" w:hAnsi="Times New Roman" w:cs="Times New Roman"/>
          <w:sz w:val="24"/>
          <w:szCs w:val="24"/>
        </w:rPr>
        <w:t xml:space="preserve"> et nos enfants Charles-Joseph IRAGI,</w:t>
      </w:r>
      <w:r w:rsidR="00915B7C" w:rsidRPr="000A4A0F">
        <w:rPr>
          <w:rFonts w:ascii="Times New Roman" w:hAnsi="Times New Roman" w:cs="Times New Roman"/>
          <w:sz w:val="24"/>
          <w:szCs w:val="24"/>
        </w:rPr>
        <w:t xml:space="preserve"> Jean-Constantin MUNGU-AKONKWA, </w:t>
      </w:r>
      <w:r w:rsidRPr="000A4A0F">
        <w:rPr>
          <w:rFonts w:ascii="Times New Roman" w:hAnsi="Times New Roman" w:cs="Times New Roman"/>
          <w:sz w:val="24"/>
          <w:szCs w:val="24"/>
        </w:rPr>
        <w:t xml:space="preserve">Marie-Madeleine </w:t>
      </w:r>
      <w:r w:rsidR="00581BA6" w:rsidRPr="000A4A0F">
        <w:rPr>
          <w:rFonts w:ascii="Times New Roman" w:hAnsi="Times New Roman" w:cs="Times New Roman"/>
          <w:sz w:val="24"/>
          <w:szCs w:val="24"/>
        </w:rPr>
        <w:t>NABINTU</w:t>
      </w:r>
      <w:r w:rsidRPr="000A4A0F">
        <w:rPr>
          <w:rFonts w:ascii="Times New Roman" w:hAnsi="Times New Roman" w:cs="Times New Roman"/>
          <w:sz w:val="24"/>
          <w:szCs w:val="24"/>
        </w:rPr>
        <w:t xml:space="preserve"> et Marie-Ange NYANVURA </w:t>
      </w:r>
      <w:r w:rsidR="00581BA6" w:rsidRPr="000A4A0F">
        <w:rPr>
          <w:rFonts w:ascii="Times New Roman" w:hAnsi="Times New Roman" w:cs="Times New Roman"/>
          <w:sz w:val="24"/>
          <w:szCs w:val="24"/>
        </w:rPr>
        <w:t xml:space="preserve"> pour leur amour et leur soutien infaillible au cours de ce long cursus de formatio</w:t>
      </w:r>
      <w:r w:rsidRPr="000A4A0F">
        <w:rPr>
          <w:rFonts w:ascii="Times New Roman" w:hAnsi="Times New Roman" w:cs="Times New Roman"/>
          <w:sz w:val="24"/>
          <w:szCs w:val="24"/>
        </w:rPr>
        <w:t>n universitaire</w:t>
      </w:r>
      <w:r w:rsidR="00581BA6" w:rsidRPr="000A4A0F">
        <w:rPr>
          <w:rFonts w:ascii="Times New Roman" w:hAnsi="Times New Roman" w:cs="Times New Roman"/>
          <w:sz w:val="24"/>
          <w:szCs w:val="24"/>
        </w:rPr>
        <w:t>.</w:t>
      </w:r>
    </w:p>
    <w:p w14:paraId="2CE447D2" w14:textId="72BA3921" w:rsidR="00581BA6" w:rsidRPr="000A4A0F" w:rsidRDefault="00581BA6" w:rsidP="000A4A0F">
      <w:pPr>
        <w:widowControl w:val="0"/>
        <w:suppressAutoHyphens w:val="0"/>
        <w:autoSpaceDE w:val="0"/>
        <w:autoSpaceDN w:val="0"/>
        <w:adjustRightInd w:val="0"/>
        <w:spacing w:before="200" w:after="200" w:line="360" w:lineRule="auto"/>
        <w:ind w:right="-1"/>
        <w:jc w:val="both"/>
        <w:rPr>
          <w:rFonts w:ascii="Times New Roman" w:hAnsi="Times New Roman" w:cs="Times New Roman"/>
          <w:sz w:val="24"/>
          <w:szCs w:val="24"/>
        </w:rPr>
      </w:pPr>
      <w:r w:rsidRPr="000A4A0F">
        <w:rPr>
          <w:rFonts w:ascii="Times New Roman" w:hAnsi="Times New Roman" w:cs="Times New Roman"/>
          <w:sz w:val="24"/>
          <w:szCs w:val="24"/>
        </w:rPr>
        <w:t>Mes parents, mes frères et sœurs pour leur soutien moral et leurs prières en not</w:t>
      </w:r>
      <w:r w:rsidR="00386111" w:rsidRPr="000A4A0F">
        <w:rPr>
          <w:rFonts w:ascii="Times New Roman" w:hAnsi="Times New Roman" w:cs="Times New Roman"/>
          <w:sz w:val="24"/>
          <w:szCs w:val="24"/>
        </w:rPr>
        <w:t>re faveur.</w:t>
      </w:r>
    </w:p>
    <w:p w14:paraId="4CA41CE7" w14:textId="6D2E8E16" w:rsidR="00581BA6" w:rsidRPr="000A4A0F" w:rsidRDefault="00581BA6" w:rsidP="000A4A0F">
      <w:pPr>
        <w:widowControl w:val="0"/>
        <w:suppressAutoHyphens w:val="0"/>
        <w:autoSpaceDE w:val="0"/>
        <w:autoSpaceDN w:val="0"/>
        <w:adjustRightInd w:val="0"/>
        <w:spacing w:before="200" w:after="200" w:line="360" w:lineRule="auto"/>
        <w:ind w:right="-1"/>
        <w:jc w:val="both"/>
        <w:rPr>
          <w:rFonts w:ascii="Times New Roman" w:hAnsi="Times New Roman" w:cs="Times New Roman"/>
          <w:sz w:val="24"/>
          <w:szCs w:val="24"/>
        </w:rPr>
      </w:pPr>
      <w:r w:rsidRPr="000A4A0F">
        <w:rPr>
          <w:rFonts w:ascii="Times New Roman" w:hAnsi="Times New Roman" w:cs="Times New Roman"/>
          <w:sz w:val="24"/>
          <w:szCs w:val="24"/>
        </w:rPr>
        <w:t xml:space="preserve"> Mes amis ainsi que nombreux autres amis d’ici et d’ailleurs qui me pardonneront de ne pas pouvoir les citer nommément.</w:t>
      </w:r>
    </w:p>
    <w:p w14:paraId="5CC68F2F" w14:textId="77777777" w:rsidR="00C15A7B" w:rsidRPr="000A4A0F" w:rsidRDefault="00C15A7B" w:rsidP="000A4A0F">
      <w:pPr>
        <w:widowControl w:val="0"/>
        <w:suppressAutoHyphens w:val="0"/>
        <w:autoSpaceDE w:val="0"/>
        <w:autoSpaceDN w:val="0"/>
        <w:adjustRightInd w:val="0"/>
        <w:spacing w:after="0" w:line="360" w:lineRule="auto"/>
        <w:ind w:right="-766"/>
        <w:jc w:val="both"/>
        <w:rPr>
          <w:rFonts w:ascii="Times New Roman" w:hAnsi="Times New Roman" w:cs="Times New Roman"/>
          <w:sz w:val="24"/>
          <w:szCs w:val="24"/>
        </w:rPr>
      </w:pPr>
    </w:p>
    <w:p w14:paraId="4D6B8A25" w14:textId="77777777" w:rsidR="00DD60CC" w:rsidRPr="000A4A0F" w:rsidRDefault="00DD60CC" w:rsidP="000A4A0F">
      <w:pPr>
        <w:suppressAutoHyphens w:val="0"/>
        <w:spacing w:line="360" w:lineRule="auto"/>
        <w:jc w:val="both"/>
        <w:rPr>
          <w:rFonts w:ascii="Times New Roman" w:hAnsi="Times New Roman" w:cs="Times New Roman"/>
          <w:b/>
          <w:sz w:val="24"/>
          <w:szCs w:val="24"/>
        </w:rPr>
      </w:pPr>
      <w:r w:rsidRPr="000A4A0F">
        <w:rPr>
          <w:rFonts w:ascii="Times New Roman" w:hAnsi="Times New Roman" w:cs="Times New Roman"/>
          <w:b/>
          <w:sz w:val="24"/>
          <w:szCs w:val="24"/>
        </w:rPr>
        <w:br w:type="page"/>
      </w:r>
    </w:p>
    <w:p w14:paraId="3BD939DA" w14:textId="7B81B3B4" w:rsidR="00C15A7B" w:rsidRPr="000A4A0F" w:rsidRDefault="00C15A7B" w:rsidP="000A4A0F">
      <w:pPr>
        <w:pStyle w:val="Titre1"/>
        <w:spacing w:line="360" w:lineRule="auto"/>
        <w:jc w:val="both"/>
        <w:rPr>
          <w:sz w:val="24"/>
          <w:szCs w:val="24"/>
        </w:rPr>
      </w:pPr>
      <w:bookmarkStart w:id="1" w:name="_Toc87049036"/>
      <w:r w:rsidRPr="000A4A0F">
        <w:rPr>
          <w:sz w:val="24"/>
          <w:szCs w:val="24"/>
        </w:rPr>
        <w:lastRenderedPageBreak/>
        <w:t>DEDICACE</w:t>
      </w:r>
      <w:bookmarkEnd w:id="1"/>
    </w:p>
    <w:p w14:paraId="75236FE6" w14:textId="77777777" w:rsidR="00DD60CC" w:rsidRPr="000A4A0F" w:rsidRDefault="00DD60CC" w:rsidP="000A4A0F">
      <w:pPr>
        <w:pStyle w:val="Titre1"/>
        <w:spacing w:line="360" w:lineRule="auto"/>
        <w:jc w:val="both"/>
        <w:rPr>
          <w:sz w:val="24"/>
          <w:szCs w:val="24"/>
        </w:rPr>
      </w:pPr>
    </w:p>
    <w:p w14:paraId="178D443A" w14:textId="0B5E6A51" w:rsidR="00C15A7B" w:rsidRPr="000A4A0F" w:rsidRDefault="006C703E" w:rsidP="000A4A0F">
      <w:pPr>
        <w:spacing w:after="0" w:line="360" w:lineRule="auto"/>
        <w:jc w:val="both"/>
        <w:rPr>
          <w:rFonts w:ascii="Times New Roman" w:hAnsi="Times New Roman" w:cs="Times New Roman"/>
          <w:sz w:val="24"/>
          <w:szCs w:val="24"/>
        </w:rPr>
      </w:pPr>
      <w:r w:rsidRPr="000A4A0F">
        <w:rPr>
          <w:rFonts w:ascii="Times New Roman" w:hAnsi="Times New Roman" w:cs="Times New Roman"/>
          <w:sz w:val="24"/>
          <w:szCs w:val="24"/>
        </w:rPr>
        <w:t>Au Pr</w:t>
      </w:r>
      <w:r w:rsidR="00DD60CC" w:rsidRPr="000A4A0F">
        <w:rPr>
          <w:rFonts w:ascii="Times New Roman" w:hAnsi="Times New Roman" w:cs="Times New Roman"/>
          <w:sz w:val="24"/>
          <w:szCs w:val="24"/>
        </w:rPr>
        <w:t xml:space="preserve"> </w:t>
      </w:r>
      <w:proofErr w:type="spellStart"/>
      <w:r w:rsidR="00DD60CC" w:rsidRPr="000A4A0F">
        <w:rPr>
          <w:rFonts w:ascii="Times New Roman" w:hAnsi="Times New Roman" w:cs="Times New Roman"/>
          <w:sz w:val="24"/>
          <w:szCs w:val="24"/>
        </w:rPr>
        <w:t>D.</w:t>
      </w:r>
      <w:r w:rsidR="00D12F3A" w:rsidRPr="000A4A0F">
        <w:rPr>
          <w:rFonts w:ascii="Times New Roman" w:hAnsi="Times New Roman" w:cs="Times New Roman"/>
          <w:sz w:val="24"/>
          <w:szCs w:val="24"/>
        </w:rPr>
        <w:t>Van</w:t>
      </w:r>
      <w:proofErr w:type="spellEnd"/>
      <w:r w:rsidR="00D12F3A" w:rsidRPr="000A4A0F">
        <w:rPr>
          <w:rFonts w:ascii="Times New Roman" w:hAnsi="Times New Roman" w:cs="Times New Roman"/>
          <w:sz w:val="24"/>
          <w:szCs w:val="24"/>
        </w:rPr>
        <w:t xml:space="preserve"> der L</w:t>
      </w:r>
      <w:r w:rsidR="00D8239D" w:rsidRPr="000A4A0F">
        <w:rPr>
          <w:rFonts w:ascii="Times New Roman" w:hAnsi="Times New Roman" w:cs="Times New Roman"/>
          <w:sz w:val="24"/>
          <w:szCs w:val="24"/>
        </w:rPr>
        <w:t>inden,</w:t>
      </w:r>
      <w:r w:rsidR="00DD60CC" w:rsidRPr="000A4A0F">
        <w:rPr>
          <w:rFonts w:ascii="Times New Roman" w:hAnsi="Times New Roman" w:cs="Times New Roman"/>
          <w:sz w:val="24"/>
          <w:szCs w:val="24"/>
        </w:rPr>
        <w:t xml:space="preserve"> </w:t>
      </w:r>
      <w:r w:rsidR="00F871FB" w:rsidRPr="000A4A0F">
        <w:rPr>
          <w:rFonts w:ascii="Times New Roman" w:hAnsi="Times New Roman" w:cs="Times New Roman"/>
          <w:sz w:val="24"/>
          <w:szCs w:val="24"/>
        </w:rPr>
        <w:t>Pr. S.MONIOTTE</w:t>
      </w:r>
      <w:r w:rsidR="00D8239D" w:rsidRPr="000A4A0F">
        <w:rPr>
          <w:rFonts w:ascii="Times New Roman" w:hAnsi="Times New Roman" w:cs="Times New Roman"/>
          <w:sz w:val="24"/>
          <w:szCs w:val="24"/>
        </w:rPr>
        <w:t>,</w:t>
      </w:r>
      <w:r w:rsidRPr="000A4A0F">
        <w:rPr>
          <w:rFonts w:ascii="Times New Roman" w:hAnsi="Times New Roman" w:cs="Times New Roman"/>
          <w:sz w:val="24"/>
          <w:szCs w:val="24"/>
        </w:rPr>
        <w:t xml:space="preserve"> </w:t>
      </w:r>
      <w:r w:rsidR="00B72867" w:rsidRPr="000A4A0F">
        <w:rPr>
          <w:rFonts w:ascii="Times New Roman" w:hAnsi="Times New Roman" w:cs="Times New Roman"/>
          <w:sz w:val="24"/>
          <w:szCs w:val="24"/>
        </w:rPr>
        <w:t>Pr O.DANHA</w:t>
      </w:r>
      <w:r w:rsidR="00E36A23">
        <w:rPr>
          <w:rFonts w:ascii="Times New Roman" w:hAnsi="Times New Roman" w:cs="Times New Roman"/>
          <w:sz w:val="24"/>
          <w:szCs w:val="24"/>
        </w:rPr>
        <w:t>I</w:t>
      </w:r>
      <w:r w:rsidR="00B72867" w:rsidRPr="000A4A0F">
        <w:rPr>
          <w:rFonts w:ascii="Times New Roman" w:hAnsi="Times New Roman" w:cs="Times New Roman"/>
          <w:sz w:val="24"/>
          <w:szCs w:val="24"/>
        </w:rPr>
        <w:t>VE</w:t>
      </w:r>
      <w:r w:rsidR="00D8239D" w:rsidRPr="000A4A0F">
        <w:rPr>
          <w:rFonts w:ascii="Times New Roman" w:hAnsi="Times New Roman" w:cs="Times New Roman"/>
          <w:sz w:val="24"/>
          <w:szCs w:val="24"/>
        </w:rPr>
        <w:t>,</w:t>
      </w:r>
      <w:r w:rsidR="00F871FB" w:rsidRPr="000A4A0F">
        <w:rPr>
          <w:rFonts w:ascii="Times New Roman" w:hAnsi="Times New Roman" w:cs="Times New Roman"/>
          <w:sz w:val="24"/>
          <w:szCs w:val="24"/>
        </w:rPr>
        <w:t xml:space="preserve"> </w:t>
      </w:r>
      <w:r w:rsidR="00D8239D" w:rsidRPr="000A4A0F">
        <w:rPr>
          <w:rFonts w:ascii="Times New Roman" w:hAnsi="Times New Roman" w:cs="Times New Roman"/>
          <w:sz w:val="24"/>
          <w:szCs w:val="24"/>
        </w:rPr>
        <w:t>Pr.</w:t>
      </w:r>
      <w:r w:rsidR="00F871FB" w:rsidRPr="000A4A0F">
        <w:rPr>
          <w:rFonts w:ascii="Times New Roman" w:hAnsi="Times New Roman" w:cs="Times New Roman"/>
          <w:sz w:val="24"/>
          <w:szCs w:val="24"/>
        </w:rPr>
        <w:t xml:space="preserve"> </w:t>
      </w:r>
      <w:r w:rsidR="00D8239D" w:rsidRPr="000A4A0F">
        <w:rPr>
          <w:rFonts w:ascii="Times New Roman" w:hAnsi="Times New Roman" w:cs="Times New Roman"/>
          <w:sz w:val="24"/>
          <w:szCs w:val="24"/>
        </w:rPr>
        <w:t>F</w:t>
      </w:r>
      <w:r w:rsidR="00F871FB" w:rsidRPr="000A4A0F">
        <w:rPr>
          <w:rFonts w:ascii="Times New Roman" w:hAnsi="Times New Roman" w:cs="Times New Roman"/>
          <w:sz w:val="24"/>
          <w:szCs w:val="24"/>
        </w:rPr>
        <w:t xml:space="preserve">. </w:t>
      </w:r>
      <w:r w:rsidR="00B72867" w:rsidRPr="000A4A0F">
        <w:rPr>
          <w:rFonts w:ascii="Times New Roman" w:hAnsi="Times New Roman" w:cs="Times New Roman"/>
          <w:sz w:val="24"/>
          <w:szCs w:val="24"/>
        </w:rPr>
        <w:t>PIERSIGILLI et</w:t>
      </w:r>
      <w:r w:rsidRPr="000A4A0F">
        <w:rPr>
          <w:rFonts w:ascii="Times New Roman" w:hAnsi="Times New Roman" w:cs="Times New Roman"/>
          <w:sz w:val="24"/>
          <w:szCs w:val="24"/>
        </w:rPr>
        <w:t xml:space="preserve"> </w:t>
      </w:r>
      <w:r w:rsidR="00B72867" w:rsidRPr="000A4A0F">
        <w:rPr>
          <w:rFonts w:ascii="Times New Roman" w:hAnsi="Times New Roman" w:cs="Times New Roman"/>
          <w:sz w:val="24"/>
          <w:szCs w:val="24"/>
        </w:rPr>
        <w:t>Dr O.CHATZIS</w:t>
      </w:r>
    </w:p>
    <w:p w14:paraId="5CA2524E" w14:textId="77777777" w:rsidR="00D8239D" w:rsidRPr="000A4A0F" w:rsidRDefault="00D8239D" w:rsidP="000A4A0F">
      <w:pPr>
        <w:spacing w:after="0" w:line="360" w:lineRule="auto"/>
        <w:jc w:val="both"/>
        <w:rPr>
          <w:rFonts w:ascii="Times New Roman" w:hAnsi="Times New Roman" w:cs="Times New Roman"/>
          <w:sz w:val="24"/>
          <w:szCs w:val="24"/>
        </w:rPr>
      </w:pPr>
    </w:p>
    <w:p w14:paraId="5A3C542C" w14:textId="4BA6ACBA" w:rsidR="00D8239D" w:rsidRPr="000A4A0F" w:rsidRDefault="00D8239D" w:rsidP="000A4A0F">
      <w:pPr>
        <w:spacing w:after="0" w:line="360" w:lineRule="auto"/>
        <w:jc w:val="both"/>
        <w:rPr>
          <w:rFonts w:ascii="Times New Roman" w:hAnsi="Times New Roman" w:cs="Times New Roman"/>
          <w:sz w:val="24"/>
          <w:szCs w:val="24"/>
        </w:rPr>
      </w:pPr>
      <w:r w:rsidRPr="000A4A0F">
        <w:rPr>
          <w:rFonts w:ascii="Times New Roman" w:hAnsi="Times New Roman" w:cs="Times New Roman"/>
          <w:sz w:val="24"/>
          <w:szCs w:val="24"/>
        </w:rPr>
        <w:t>Je suis fier d’avoir été votre assistant.</w:t>
      </w:r>
    </w:p>
    <w:p w14:paraId="2A5CF819" w14:textId="77777777" w:rsidR="00D8239D" w:rsidRPr="000A4A0F" w:rsidRDefault="00D8239D" w:rsidP="000A4A0F">
      <w:pPr>
        <w:spacing w:after="0" w:line="360" w:lineRule="auto"/>
        <w:jc w:val="both"/>
        <w:rPr>
          <w:rFonts w:ascii="Times New Roman" w:hAnsi="Times New Roman" w:cs="Times New Roman"/>
          <w:sz w:val="24"/>
          <w:szCs w:val="24"/>
        </w:rPr>
      </w:pPr>
    </w:p>
    <w:p w14:paraId="543D26A6" w14:textId="27CF2D7B" w:rsidR="00D8239D" w:rsidRPr="000A4A0F" w:rsidRDefault="00D8239D" w:rsidP="000A4A0F">
      <w:pPr>
        <w:spacing w:after="0"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A la direction </w:t>
      </w:r>
      <w:r w:rsidR="00B72867" w:rsidRPr="000A4A0F">
        <w:rPr>
          <w:rFonts w:ascii="Times New Roman" w:hAnsi="Times New Roman" w:cs="Times New Roman"/>
          <w:sz w:val="24"/>
          <w:szCs w:val="24"/>
        </w:rPr>
        <w:t>de l’HPGRB</w:t>
      </w:r>
      <w:r w:rsidR="000C2781" w:rsidRPr="000A4A0F">
        <w:rPr>
          <w:rFonts w:ascii="Times New Roman" w:hAnsi="Times New Roman" w:cs="Times New Roman"/>
          <w:sz w:val="24"/>
          <w:szCs w:val="24"/>
        </w:rPr>
        <w:t xml:space="preserve"> et </w:t>
      </w:r>
      <w:r w:rsidR="000C2781" w:rsidRPr="002B265C">
        <w:rPr>
          <w:rFonts w:ascii="Times New Roman" w:hAnsi="Times New Roman" w:cs="Times New Roman"/>
          <w:color w:val="FF0000"/>
          <w:sz w:val="24"/>
          <w:szCs w:val="24"/>
        </w:rPr>
        <w:t>le</w:t>
      </w:r>
      <w:r w:rsidR="000C2781" w:rsidRPr="000A4A0F">
        <w:rPr>
          <w:rFonts w:ascii="Times New Roman" w:hAnsi="Times New Roman" w:cs="Times New Roman"/>
          <w:sz w:val="24"/>
          <w:szCs w:val="24"/>
        </w:rPr>
        <w:t xml:space="preserve"> L</w:t>
      </w:r>
      <w:r w:rsidR="009D2CA4" w:rsidRPr="000A4A0F">
        <w:rPr>
          <w:rFonts w:ascii="Times New Roman" w:hAnsi="Times New Roman" w:cs="Times New Roman"/>
          <w:sz w:val="24"/>
          <w:szCs w:val="24"/>
        </w:rPr>
        <w:t>aboratoire de Génétique de L</w:t>
      </w:r>
      <w:r w:rsidRPr="000A4A0F">
        <w:rPr>
          <w:rFonts w:ascii="Times New Roman" w:hAnsi="Times New Roman" w:cs="Times New Roman"/>
          <w:sz w:val="24"/>
          <w:szCs w:val="24"/>
        </w:rPr>
        <w:t xml:space="preserve">iège en </w:t>
      </w:r>
      <w:r w:rsidR="00A76C0E" w:rsidRPr="000A4A0F">
        <w:rPr>
          <w:rFonts w:ascii="Times New Roman" w:hAnsi="Times New Roman" w:cs="Times New Roman"/>
          <w:sz w:val="24"/>
          <w:szCs w:val="24"/>
        </w:rPr>
        <w:t>Belgique, trouve</w:t>
      </w:r>
      <w:r w:rsidR="000C2781" w:rsidRPr="000A4A0F">
        <w:rPr>
          <w:rFonts w:ascii="Times New Roman" w:hAnsi="Times New Roman" w:cs="Times New Roman"/>
          <w:sz w:val="24"/>
          <w:szCs w:val="24"/>
        </w:rPr>
        <w:t>z</w:t>
      </w:r>
      <w:r w:rsidRPr="000A4A0F">
        <w:rPr>
          <w:rFonts w:ascii="Times New Roman" w:hAnsi="Times New Roman" w:cs="Times New Roman"/>
          <w:sz w:val="24"/>
          <w:szCs w:val="24"/>
        </w:rPr>
        <w:t xml:space="preserve"> ici l’expression de nos sentiments.</w:t>
      </w:r>
    </w:p>
    <w:p w14:paraId="4B7404E1" w14:textId="77777777" w:rsidR="00A76C0E" w:rsidRPr="000A4A0F" w:rsidRDefault="00A76C0E" w:rsidP="000A4A0F">
      <w:pPr>
        <w:spacing w:after="0" w:line="360" w:lineRule="auto"/>
        <w:jc w:val="both"/>
        <w:rPr>
          <w:rFonts w:ascii="Times New Roman" w:hAnsi="Times New Roman" w:cs="Times New Roman"/>
          <w:sz w:val="24"/>
          <w:szCs w:val="24"/>
        </w:rPr>
      </w:pPr>
    </w:p>
    <w:p w14:paraId="3CEC0ECB" w14:textId="77777777" w:rsidR="00A76C0E" w:rsidRPr="000A4A0F" w:rsidRDefault="00A76C0E" w:rsidP="000A4A0F">
      <w:pPr>
        <w:spacing w:after="0" w:line="360" w:lineRule="auto"/>
        <w:jc w:val="both"/>
        <w:rPr>
          <w:rFonts w:ascii="Times New Roman" w:hAnsi="Times New Roman" w:cs="Times New Roman"/>
          <w:sz w:val="24"/>
          <w:szCs w:val="24"/>
        </w:rPr>
      </w:pPr>
    </w:p>
    <w:p w14:paraId="47006088" w14:textId="032B410D" w:rsidR="00A76C0E" w:rsidRPr="002B265C" w:rsidRDefault="00A76C0E" w:rsidP="000A4A0F">
      <w:pPr>
        <w:spacing w:after="0" w:line="360" w:lineRule="auto"/>
        <w:jc w:val="both"/>
        <w:rPr>
          <w:rFonts w:ascii="Times New Roman" w:hAnsi="Times New Roman" w:cs="Times New Roman"/>
          <w:color w:val="FF0000"/>
          <w:sz w:val="24"/>
          <w:szCs w:val="24"/>
        </w:rPr>
      </w:pPr>
      <w:r w:rsidRPr="002B265C">
        <w:rPr>
          <w:rFonts w:ascii="Times New Roman" w:hAnsi="Times New Roman" w:cs="Times New Roman"/>
          <w:color w:val="FF0000"/>
          <w:sz w:val="24"/>
          <w:szCs w:val="24"/>
        </w:rPr>
        <w:t xml:space="preserve">A la sœur </w:t>
      </w:r>
      <w:r w:rsidR="0038240F" w:rsidRPr="002B265C">
        <w:rPr>
          <w:rFonts w:ascii="Times New Roman" w:hAnsi="Times New Roman" w:cs="Times New Roman"/>
          <w:color w:val="FF0000"/>
          <w:sz w:val="24"/>
          <w:szCs w:val="24"/>
        </w:rPr>
        <w:t xml:space="preserve">OCTAVIA, Pr V. BOURS, Pr </w:t>
      </w:r>
      <w:r w:rsidR="00EA4D1C" w:rsidRPr="002B265C">
        <w:rPr>
          <w:rFonts w:ascii="Times New Roman" w:hAnsi="Times New Roman" w:cs="Times New Roman"/>
          <w:color w:val="FF0000"/>
          <w:sz w:val="24"/>
          <w:szCs w:val="24"/>
        </w:rPr>
        <w:t>F.BOMER,</w:t>
      </w:r>
      <w:r w:rsidR="0038240F" w:rsidRPr="002B265C">
        <w:rPr>
          <w:rFonts w:ascii="Times New Roman" w:hAnsi="Times New Roman" w:cs="Times New Roman"/>
          <w:color w:val="FF0000"/>
          <w:sz w:val="24"/>
          <w:szCs w:val="24"/>
        </w:rPr>
        <w:t xml:space="preserve"> </w:t>
      </w:r>
    </w:p>
    <w:p w14:paraId="217F2B5B" w14:textId="77777777" w:rsidR="00C15A7B" w:rsidRPr="000A4A0F" w:rsidRDefault="00C15A7B" w:rsidP="000A4A0F">
      <w:pPr>
        <w:spacing w:after="0" w:line="360" w:lineRule="auto"/>
        <w:jc w:val="both"/>
        <w:rPr>
          <w:rFonts w:ascii="Times New Roman" w:hAnsi="Times New Roman" w:cs="Times New Roman"/>
          <w:sz w:val="24"/>
          <w:szCs w:val="24"/>
        </w:rPr>
      </w:pPr>
    </w:p>
    <w:p w14:paraId="04729889" w14:textId="77777777" w:rsidR="000C2781" w:rsidRPr="000A4A0F" w:rsidRDefault="000C2781" w:rsidP="000A4A0F">
      <w:pPr>
        <w:widowControl w:val="0"/>
        <w:autoSpaceDE w:val="0"/>
        <w:autoSpaceDN w:val="0"/>
        <w:adjustRightInd w:val="0"/>
        <w:spacing w:line="360" w:lineRule="auto"/>
        <w:ind w:right="-766"/>
        <w:jc w:val="both"/>
        <w:rPr>
          <w:rFonts w:ascii="Times New Roman" w:hAnsi="Times New Roman" w:cs="Times New Roman"/>
          <w:sz w:val="24"/>
          <w:szCs w:val="24"/>
        </w:rPr>
      </w:pPr>
    </w:p>
    <w:p w14:paraId="40D9B44B" w14:textId="49DED3DD" w:rsidR="00A76C0E" w:rsidRPr="000A4A0F" w:rsidRDefault="00A76C0E" w:rsidP="000A4A0F">
      <w:pPr>
        <w:widowControl w:val="0"/>
        <w:autoSpaceDE w:val="0"/>
        <w:autoSpaceDN w:val="0"/>
        <w:adjustRightInd w:val="0"/>
        <w:spacing w:line="360" w:lineRule="auto"/>
        <w:ind w:right="-766"/>
        <w:jc w:val="both"/>
        <w:rPr>
          <w:rFonts w:ascii="Times New Roman" w:hAnsi="Times New Roman" w:cs="Times New Roman"/>
          <w:sz w:val="24"/>
          <w:szCs w:val="24"/>
        </w:rPr>
      </w:pPr>
      <w:r w:rsidRPr="000A4A0F">
        <w:rPr>
          <w:rFonts w:ascii="Times New Roman" w:hAnsi="Times New Roman" w:cs="Times New Roman"/>
          <w:sz w:val="24"/>
          <w:szCs w:val="24"/>
        </w:rPr>
        <w:t>Je dédie cet humble travail.</w:t>
      </w:r>
    </w:p>
    <w:p w14:paraId="23F5B392" w14:textId="7DE13FC3" w:rsidR="000915B8" w:rsidRPr="000A4A0F" w:rsidRDefault="000C2781" w:rsidP="000A4A0F">
      <w:pPr>
        <w:suppressAutoHyphens w:val="0"/>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br w:type="page"/>
      </w:r>
      <w:r w:rsidR="001C6F21" w:rsidRPr="000A4A0F">
        <w:rPr>
          <w:rFonts w:ascii="Times New Roman" w:hAnsi="Times New Roman" w:cs="Times New Roman"/>
          <w:sz w:val="24"/>
          <w:szCs w:val="24"/>
        </w:rPr>
        <w:lastRenderedPageBreak/>
        <w:t xml:space="preserve">                                </w:t>
      </w:r>
      <w:r w:rsidR="000915B8" w:rsidRPr="000A4A0F">
        <w:rPr>
          <w:rFonts w:ascii="Times New Roman" w:hAnsi="Times New Roman" w:cs="Times New Roman"/>
          <w:sz w:val="24"/>
          <w:szCs w:val="24"/>
        </w:rPr>
        <w:t xml:space="preserve">  </w:t>
      </w:r>
      <w:r w:rsidR="001C6F21" w:rsidRPr="000A4A0F">
        <w:rPr>
          <w:rFonts w:ascii="Times New Roman" w:hAnsi="Times New Roman" w:cs="Times New Roman"/>
          <w:sz w:val="24"/>
          <w:szCs w:val="24"/>
        </w:rPr>
        <w:t xml:space="preserve"> RESUME.</w:t>
      </w:r>
    </w:p>
    <w:p w14:paraId="5B1D5962" w14:textId="2FC77DE5" w:rsidR="000915B8" w:rsidRPr="001F4FA1" w:rsidRDefault="000915B8" w:rsidP="00895EFB">
      <w:pPr>
        <w:suppressAutoHyphens w:val="0"/>
        <w:spacing w:after="0" w:line="360" w:lineRule="auto"/>
        <w:jc w:val="both"/>
        <w:rPr>
          <w:rFonts w:ascii="Times New Roman" w:hAnsi="Times New Roman" w:cs="Times New Roman"/>
          <w:sz w:val="24"/>
          <w:szCs w:val="24"/>
          <w:bdr w:val="none" w:sz="0" w:space="0" w:color="auto" w:frame="1"/>
          <w:lang w:eastAsia="fr-FR"/>
        </w:rPr>
      </w:pPr>
      <w:r w:rsidRPr="000A4A0F">
        <w:rPr>
          <w:rFonts w:ascii="Times New Roman" w:hAnsi="Times New Roman" w:cs="Times New Roman"/>
          <w:sz w:val="24"/>
          <w:szCs w:val="24"/>
          <w:bdr w:val="none" w:sz="0" w:space="0" w:color="auto" w:frame="1"/>
          <w:lang w:eastAsia="fr-FR"/>
        </w:rPr>
        <w:t xml:space="preserve">L’ictère néonatal est un phénomène très courant, et il a sans aucun doute été remarqué et réfléchi par les soignants depuis </w:t>
      </w:r>
      <w:r w:rsidR="001F0CE3">
        <w:rPr>
          <w:rFonts w:ascii="Times New Roman" w:hAnsi="Times New Roman" w:cs="Times New Roman"/>
          <w:sz w:val="24"/>
          <w:szCs w:val="24"/>
          <w:bdr w:val="none" w:sz="0" w:space="0" w:color="auto" w:frame="1"/>
          <w:lang w:eastAsia="fr-FR"/>
        </w:rPr>
        <w:t>le</w:t>
      </w:r>
      <w:r w:rsidRPr="000A4A0F">
        <w:rPr>
          <w:rFonts w:ascii="Times New Roman" w:hAnsi="Times New Roman" w:cs="Times New Roman"/>
          <w:sz w:val="24"/>
          <w:szCs w:val="24"/>
          <w:bdr w:val="none" w:sz="0" w:space="0" w:color="auto" w:frame="1"/>
          <w:lang w:eastAsia="fr-FR"/>
        </w:rPr>
        <w:t xml:space="preserve"> 18e</w:t>
      </w:r>
      <w:r w:rsidR="005A522F">
        <w:rPr>
          <w:rFonts w:ascii="Times New Roman" w:hAnsi="Times New Roman" w:cs="Times New Roman"/>
          <w:sz w:val="24"/>
          <w:szCs w:val="24"/>
          <w:bdr w:val="none" w:sz="0" w:space="0" w:color="auto" w:frame="1"/>
          <w:lang w:eastAsia="fr-FR"/>
        </w:rPr>
        <w:t>me</w:t>
      </w:r>
      <w:r w:rsidRPr="000A4A0F">
        <w:rPr>
          <w:rFonts w:ascii="Times New Roman" w:hAnsi="Times New Roman" w:cs="Times New Roman"/>
          <w:sz w:val="24"/>
          <w:szCs w:val="24"/>
          <w:bdr w:val="none" w:sz="0" w:space="0" w:color="auto" w:frame="1"/>
          <w:lang w:eastAsia="fr-FR"/>
        </w:rPr>
        <w:t xml:space="preserve"> siècle</w:t>
      </w:r>
      <w:r w:rsidR="00104862">
        <w:rPr>
          <w:rFonts w:ascii="Times New Roman" w:hAnsi="Times New Roman" w:cs="Times New Roman"/>
          <w:sz w:val="24"/>
          <w:szCs w:val="24"/>
          <w:bdr w:val="none" w:sz="0" w:space="0" w:color="auto" w:frame="1"/>
          <w:lang w:eastAsia="fr-FR"/>
        </w:rPr>
        <w:t>.</w:t>
      </w:r>
      <w:r w:rsidR="001F4FA1">
        <w:rPr>
          <w:rFonts w:ascii="Times New Roman" w:hAnsi="Times New Roman" w:cs="Times New Roman"/>
          <w:sz w:val="24"/>
          <w:szCs w:val="24"/>
          <w:bdr w:val="none" w:sz="0" w:space="0" w:color="auto" w:frame="1"/>
          <w:lang w:eastAsia="fr-FR"/>
        </w:rPr>
        <w:t xml:space="preserve"> 60% de nouveau</w:t>
      </w:r>
      <w:r w:rsidR="005A522F">
        <w:rPr>
          <w:rFonts w:ascii="Times New Roman" w:hAnsi="Times New Roman" w:cs="Times New Roman"/>
          <w:sz w:val="24"/>
          <w:szCs w:val="24"/>
          <w:bdr w:val="none" w:sz="0" w:space="0" w:color="auto" w:frame="1"/>
          <w:lang w:eastAsia="fr-FR"/>
        </w:rPr>
        <w:t>-n</w:t>
      </w:r>
      <w:r w:rsidR="005A522F" w:rsidRPr="000A4A0F">
        <w:rPr>
          <w:rFonts w:ascii="Times New Roman" w:hAnsi="Times New Roman" w:cs="Times New Roman"/>
          <w:sz w:val="24"/>
          <w:szCs w:val="24"/>
          <w:bdr w:val="none" w:sz="0" w:space="0" w:color="auto" w:frame="1"/>
          <w:lang w:eastAsia="fr-FR"/>
        </w:rPr>
        <w:t>é</w:t>
      </w:r>
      <w:r w:rsidR="005A522F">
        <w:rPr>
          <w:rFonts w:ascii="Times New Roman" w:hAnsi="Times New Roman" w:cs="Times New Roman"/>
          <w:sz w:val="24"/>
          <w:szCs w:val="24"/>
          <w:bdr w:val="none" w:sz="0" w:space="0" w:color="auto" w:frame="1"/>
          <w:lang w:eastAsia="fr-FR"/>
        </w:rPr>
        <w:t xml:space="preserve">s </w:t>
      </w:r>
      <w:r w:rsidR="005A522F" w:rsidRPr="000A4A0F">
        <w:rPr>
          <w:rFonts w:ascii="Times New Roman" w:hAnsi="Times New Roman" w:cs="Times New Roman"/>
          <w:sz w:val="24"/>
          <w:szCs w:val="24"/>
        </w:rPr>
        <w:t>à</w:t>
      </w:r>
      <w:r w:rsidR="001F0CE3">
        <w:rPr>
          <w:rFonts w:ascii="Times New Roman" w:hAnsi="Times New Roman" w:cs="Times New Roman"/>
          <w:sz w:val="24"/>
          <w:szCs w:val="24"/>
          <w:bdr w:val="none" w:sz="0" w:space="0" w:color="auto" w:frame="1"/>
          <w:lang w:eastAsia="fr-FR"/>
        </w:rPr>
        <w:t xml:space="preserve"> terme et 90% de </w:t>
      </w:r>
      <w:proofErr w:type="spellStart"/>
      <w:r w:rsidR="001F0CE3">
        <w:rPr>
          <w:rFonts w:ascii="Times New Roman" w:hAnsi="Times New Roman" w:cs="Times New Roman"/>
          <w:sz w:val="24"/>
          <w:szCs w:val="24"/>
          <w:bdr w:val="none" w:sz="0" w:space="0" w:color="auto" w:frame="1"/>
          <w:lang w:eastAsia="fr-FR"/>
        </w:rPr>
        <w:t>prematur</w:t>
      </w:r>
      <w:r w:rsidR="001F0CE3" w:rsidRPr="000A4A0F">
        <w:rPr>
          <w:rFonts w:ascii="Times New Roman" w:hAnsi="Times New Roman" w:cs="Times New Roman"/>
          <w:sz w:val="24"/>
          <w:szCs w:val="24"/>
          <w:bdr w:val="none" w:sz="0" w:space="0" w:color="auto" w:frame="1"/>
          <w:lang w:eastAsia="fr-FR"/>
        </w:rPr>
        <w:t>é</w:t>
      </w:r>
      <w:r w:rsidR="001F0CE3">
        <w:rPr>
          <w:rFonts w:ascii="Times New Roman" w:hAnsi="Times New Roman" w:cs="Times New Roman"/>
          <w:sz w:val="24"/>
          <w:szCs w:val="24"/>
          <w:bdr w:val="none" w:sz="0" w:space="0" w:color="auto" w:frame="1"/>
          <w:lang w:eastAsia="fr-FR"/>
        </w:rPr>
        <w:t>s</w:t>
      </w:r>
      <w:proofErr w:type="spellEnd"/>
      <w:r w:rsidR="001F0CE3">
        <w:rPr>
          <w:rFonts w:ascii="Times New Roman" w:hAnsi="Times New Roman" w:cs="Times New Roman"/>
          <w:sz w:val="24"/>
          <w:szCs w:val="24"/>
          <w:bdr w:val="none" w:sz="0" w:space="0" w:color="auto" w:frame="1"/>
          <w:lang w:eastAsia="fr-FR"/>
        </w:rPr>
        <w:t xml:space="preserve"> exp</w:t>
      </w:r>
      <w:r w:rsidR="001F0CE3" w:rsidRPr="000A4A0F">
        <w:rPr>
          <w:rFonts w:ascii="Times New Roman" w:hAnsi="Times New Roman" w:cs="Times New Roman"/>
          <w:sz w:val="24"/>
          <w:szCs w:val="24"/>
          <w:bdr w:val="none" w:sz="0" w:space="0" w:color="auto" w:frame="1"/>
          <w:lang w:eastAsia="fr-FR"/>
        </w:rPr>
        <w:t>é</w:t>
      </w:r>
      <w:r w:rsidR="001F4FA1">
        <w:rPr>
          <w:rFonts w:ascii="Times New Roman" w:hAnsi="Times New Roman" w:cs="Times New Roman"/>
          <w:sz w:val="24"/>
          <w:szCs w:val="24"/>
          <w:bdr w:val="none" w:sz="0" w:space="0" w:color="auto" w:frame="1"/>
          <w:lang w:eastAsia="fr-FR"/>
        </w:rPr>
        <w:t>rime</w:t>
      </w:r>
      <w:r w:rsidR="005A522F">
        <w:rPr>
          <w:rFonts w:ascii="Times New Roman" w:hAnsi="Times New Roman" w:cs="Times New Roman"/>
          <w:sz w:val="24"/>
          <w:szCs w:val="24"/>
          <w:bdr w:val="none" w:sz="0" w:space="0" w:color="auto" w:frame="1"/>
          <w:lang w:eastAsia="fr-FR"/>
        </w:rPr>
        <w:t>n</w:t>
      </w:r>
      <w:r w:rsidR="001F0CE3">
        <w:rPr>
          <w:rFonts w:ascii="Times New Roman" w:hAnsi="Times New Roman" w:cs="Times New Roman"/>
          <w:sz w:val="24"/>
          <w:szCs w:val="24"/>
          <w:bdr w:val="none" w:sz="0" w:space="0" w:color="auto" w:frame="1"/>
          <w:lang w:eastAsia="fr-FR"/>
        </w:rPr>
        <w:t>te</w:t>
      </w:r>
      <w:r w:rsidR="001F4FA1">
        <w:rPr>
          <w:rFonts w:ascii="Times New Roman" w:hAnsi="Times New Roman" w:cs="Times New Roman"/>
          <w:sz w:val="24"/>
          <w:szCs w:val="24"/>
          <w:bdr w:val="none" w:sz="0" w:space="0" w:color="auto" w:frame="1"/>
          <w:lang w:eastAsia="fr-FR"/>
        </w:rPr>
        <w:t xml:space="preserve">nt ce </w:t>
      </w:r>
      <w:proofErr w:type="spellStart"/>
      <w:r w:rsidR="001F4FA1">
        <w:rPr>
          <w:rFonts w:ascii="Times New Roman" w:hAnsi="Times New Roman" w:cs="Times New Roman"/>
          <w:sz w:val="24"/>
          <w:szCs w:val="24"/>
          <w:bdr w:val="none" w:sz="0" w:space="0" w:color="auto" w:frame="1"/>
          <w:lang w:eastAsia="fr-FR"/>
        </w:rPr>
        <w:t>phenomene</w:t>
      </w:r>
      <w:proofErr w:type="spellEnd"/>
      <w:r w:rsidR="001F4FA1">
        <w:rPr>
          <w:rFonts w:ascii="Times New Roman" w:hAnsi="Times New Roman" w:cs="Times New Roman"/>
          <w:sz w:val="24"/>
          <w:szCs w:val="24"/>
          <w:bdr w:val="none" w:sz="0" w:space="0" w:color="auto" w:frame="1"/>
          <w:lang w:eastAsia="fr-FR"/>
        </w:rPr>
        <w:t xml:space="preserve"> physiologique durant la</w:t>
      </w:r>
      <w:r w:rsidR="001F0CE3">
        <w:rPr>
          <w:rFonts w:ascii="Times New Roman" w:hAnsi="Times New Roman" w:cs="Times New Roman"/>
          <w:sz w:val="24"/>
          <w:szCs w:val="24"/>
          <w:bdr w:val="none" w:sz="0" w:space="0" w:color="auto" w:frame="1"/>
          <w:lang w:eastAsia="fr-FR"/>
        </w:rPr>
        <w:t xml:space="preserve"> p</w:t>
      </w:r>
      <w:r w:rsidR="001F0CE3" w:rsidRPr="000A4A0F">
        <w:rPr>
          <w:rFonts w:ascii="Times New Roman" w:hAnsi="Times New Roman" w:cs="Times New Roman"/>
          <w:sz w:val="24"/>
          <w:szCs w:val="24"/>
          <w:bdr w:val="none" w:sz="0" w:space="0" w:color="auto" w:frame="1"/>
          <w:lang w:eastAsia="fr-FR"/>
        </w:rPr>
        <w:t>é</w:t>
      </w:r>
      <w:r w:rsidR="001F4FA1">
        <w:rPr>
          <w:rFonts w:ascii="Times New Roman" w:hAnsi="Times New Roman" w:cs="Times New Roman"/>
          <w:sz w:val="24"/>
          <w:szCs w:val="24"/>
          <w:bdr w:val="none" w:sz="0" w:space="0" w:color="auto" w:frame="1"/>
          <w:lang w:eastAsia="fr-FR"/>
        </w:rPr>
        <w:t>riode n</w:t>
      </w:r>
      <w:r w:rsidR="001F0CE3" w:rsidRPr="000A4A0F">
        <w:rPr>
          <w:rFonts w:ascii="Times New Roman" w:hAnsi="Times New Roman" w:cs="Times New Roman"/>
          <w:sz w:val="24"/>
          <w:szCs w:val="24"/>
          <w:bdr w:val="none" w:sz="0" w:space="0" w:color="auto" w:frame="1"/>
          <w:lang w:eastAsia="fr-FR"/>
        </w:rPr>
        <w:t>é</w:t>
      </w:r>
      <w:r w:rsidR="001F4FA1">
        <w:rPr>
          <w:rFonts w:ascii="Times New Roman" w:hAnsi="Times New Roman" w:cs="Times New Roman"/>
          <w:sz w:val="24"/>
          <w:szCs w:val="24"/>
          <w:bdr w:val="none" w:sz="0" w:space="0" w:color="auto" w:frame="1"/>
          <w:lang w:eastAsia="fr-FR"/>
        </w:rPr>
        <w:t xml:space="preserve">onatale. Certains </w:t>
      </w:r>
      <w:r w:rsidR="001F4FA1">
        <w:rPr>
          <w:rFonts w:ascii="Times New Roman" w:hAnsi="Times New Roman" w:cs="Times New Roman"/>
          <w:sz w:val="24"/>
          <w:szCs w:val="24"/>
        </w:rPr>
        <w:t>facteurs de risque</w:t>
      </w:r>
      <w:r w:rsidR="001F0CE3">
        <w:rPr>
          <w:rFonts w:ascii="Times New Roman" w:hAnsi="Times New Roman" w:cs="Times New Roman"/>
          <w:sz w:val="24"/>
          <w:szCs w:val="24"/>
        </w:rPr>
        <w:t xml:space="preserve"> (les infections, la pr</w:t>
      </w:r>
      <w:r w:rsidR="001F0CE3" w:rsidRPr="000A4A0F">
        <w:rPr>
          <w:rFonts w:ascii="Times New Roman" w:hAnsi="Times New Roman" w:cs="Times New Roman"/>
          <w:sz w:val="24"/>
          <w:szCs w:val="24"/>
          <w:bdr w:val="none" w:sz="0" w:space="0" w:color="auto" w:frame="1"/>
          <w:lang w:eastAsia="fr-FR"/>
        </w:rPr>
        <w:t>é</w:t>
      </w:r>
      <w:r w:rsidR="001F0CE3">
        <w:rPr>
          <w:rFonts w:ascii="Times New Roman" w:hAnsi="Times New Roman" w:cs="Times New Roman"/>
          <w:sz w:val="24"/>
          <w:szCs w:val="24"/>
        </w:rPr>
        <w:t>maturit</w:t>
      </w:r>
      <w:r w:rsidR="001F0CE3" w:rsidRPr="000A4A0F">
        <w:rPr>
          <w:rFonts w:ascii="Times New Roman" w:hAnsi="Times New Roman" w:cs="Times New Roman"/>
          <w:sz w:val="24"/>
          <w:szCs w:val="24"/>
          <w:bdr w:val="none" w:sz="0" w:space="0" w:color="auto" w:frame="1"/>
          <w:lang w:eastAsia="fr-FR"/>
        </w:rPr>
        <w:t>é</w:t>
      </w:r>
      <w:r w:rsidR="001F0CE3">
        <w:rPr>
          <w:rFonts w:ascii="Times New Roman" w:hAnsi="Times New Roman" w:cs="Times New Roman"/>
          <w:sz w:val="24"/>
          <w:szCs w:val="24"/>
        </w:rPr>
        <w:t>, les incompatibilit</w:t>
      </w:r>
      <w:r w:rsidR="001F0CE3" w:rsidRPr="000A4A0F">
        <w:rPr>
          <w:rFonts w:ascii="Times New Roman" w:hAnsi="Times New Roman" w:cs="Times New Roman"/>
          <w:sz w:val="24"/>
          <w:szCs w:val="24"/>
          <w:bdr w:val="none" w:sz="0" w:space="0" w:color="auto" w:frame="1"/>
          <w:lang w:eastAsia="fr-FR"/>
        </w:rPr>
        <w:t>é</w:t>
      </w:r>
      <w:r w:rsidR="001F0CE3">
        <w:rPr>
          <w:rFonts w:ascii="Times New Roman" w:hAnsi="Times New Roman" w:cs="Times New Roman"/>
          <w:sz w:val="24"/>
          <w:szCs w:val="24"/>
        </w:rPr>
        <w:t xml:space="preserve">s dans le </w:t>
      </w:r>
      <w:proofErr w:type="spellStart"/>
      <w:r w:rsidR="001F0CE3">
        <w:rPr>
          <w:rFonts w:ascii="Times New Roman" w:hAnsi="Times New Roman" w:cs="Times New Roman"/>
          <w:sz w:val="24"/>
          <w:szCs w:val="24"/>
        </w:rPr>
        <w:t>systeme</w:t>
      </w:r>
      <w:proofErr w:type="spellEnd"/>
      <w:r w:rsidR="001F0CE3">
        <w:rPr>
          <w:rFonts w:ascii="Times New Roman" w:hAnsi="Times New Roman" w:cs="Times New Roman"/>
          <w:sz w:val="24"/>
          <w:szCs w:val="24"/>
        </w:rPr>
        <w:t xml:space="preserve"> ABO et Rh</w:t>
      </w:r>
      <w:r w:rsidR="001F0CE3" w:rsidRPr="000A4A0F">
        <w:rPr>
          <w:rFonts w:ascii="Times New Roman" w:hAnsi="Times New Roman" w:cs="Times New Roman"/>
          <w:sz w:val="24"/>
          <w:szCs w:val="24"/>
          <w:bdr w:val="none" w:sz="0" w:space="0" w:color="auto" w:frame="1"/>
          <w:lang w:eastAsia="fr-FR"/>
        </w:rPr>
        <w:t>é</w:t>
      </w:r>
      <w:r w:rsidR="001F0CE3">
        <w:rPr>
          <w:rFonts w:ascii="Times New Roman" w:hAnsi="Times New Roman" w:cs="Times New Roman"/>
          <w:sz w:val="24"/>
          <w:szCs w:val="24"/>
        </w:rPr>
        <w:t xml:space="preserve">sus, </w:t>
      </w:r>
      <w:proofErr w:type="gramStart"/>
      <w:r w:rsidR="001F0CE3">
        <w:rPr>
          <w:rFonts w:ascii="Times New Roman" w:hAnsi="Times New Roman" w:cs="Times New Roman"/>
          <w:sz w:val="24"/>
          <w:szCs w:val="24"/>
        </w:rPr>
        <w:t>les d</w:t>
      </w:r>
      <w:r w:rsidR="001F0CE3" w:rsidRPr="000A4A0F">
        <w:rPr>
          <w:rFonts w:ascii="Times New Roman" w:hAnsi="Times New Roman" w:cs="Times New Roman"/>
          <w:sz w:val="24"/>
          <w:szCs w:val="24"/>
          <w:bdr w:val="none" w:sz="0" w:space="0" w:color="auto" w:frame="1"/>
          <w:lang w:eastAsia="fr-FR"/>
        </w:rPr>
        <w:t>é</w:t>
      </w:r>
      <w:r w:rsidR="001F4FA1">
        <w:rPr>
          <w:rFonts w:ascii="Times New Roman" w:hAnsi="Times New Roman" w:cs="Times New Roman"/>
          <w:sz w:val="24"/>
          <w:szCs w:val="24"/>
        </w:rPr>
        <w:t>ficit enzymatiques</w:t>
      </w:r>
      <w:proofErr w:type="gramEnd"/>
      <w:r w:rsidR="001F4FA1">
        <w:rPr>
          <w:rFonts w:ascii="Times New Roman" w:hAnsi="Times New Roman" w:cs="Times New Roman"/>
          <w:sz w:val="24"/>
          <w:szCs w:val="24"/>
        </w:rPr>
        <w:t xml:space="preserve"> et certains troubles endocriniens) peu</w:t>
      </w:r>
      <w:r w:rsidR="001F0CE3">
        <w:rPr>
          <w:rFonts w:ascii="Times New Roman" w:hAnsi="Times New Roman" w:cs="Times New Roman"/>
          <w:sz w:val="24"/>
          <w:szCs w:val="24"/>
        </w:rPr>
        <w:t>vent rendre ce ph</w:t>
      </w:r>
      <w:r w:rsidR="001F0CE3" w:rsidRPr="000A4A0F">
        <w:rPr>
          <w:rFonts w:ascii="Times New Roman" w:hAnsi="Times New Roman" w:cs="Times New Roman"/>
          <w:sz w:val="24"/>
          <w:szCs w:val="24"/>
          <w:bdr w:val="none" w:sz="0" w:space="0" w:color="auto" w:frame="1"/>
          <w:lang w:eastAsia="fr-FR"/>
        </w:rPr>
        <w:t>é</w:t>
      </w:r>
      <w:r w:rsidR="001F0CE3">
        <w:rPr>
          <w:rFonts w:ascii="Times New Roman" w:hAnsi="Times New Roman" w:cs="Times New Roman"/>
          <w:sz w:val="24"/>
          <w:szCs w:val="24"/>
        </w:rPr>
        <w:t>nom</w:t>
      </w:r>
      <w:r w:rsidR="001F0CE3" w:rsidRPr="000A4A0F">
        <w:rPr>
          <w:rFonts w:ascii="Times New Roman" w:hAnsi="Times New Roman" w:cs="Times New Roman"/>
          <w:sz w:val="24"/>
          <w:szCs w:val="24"/>
          <w:bdr w:val="none" w:sz="0" w:space="0" w:color="auto" w:frame="1"/>
          <w:lang w:eastAsia="fr-FR"/>
        </w:rPr>
        <w:t>è</w:t>
      </w:r>
      <w:r w:rsidR="001F4FA1">
        <w:rPr>
          <w:rFonts w:ascii="Times New Roman" w:hAnsi="Times New Roman" w:cs="Times New Roman"/>
          <w:sz w:val="24"/>
          <w:szCs w:val="24"/>
        </w:rPr>
        <w:t xml:space="preserve">ne physiologique grave </w:t>
      </w:r>
      <w:r w:rsidR="001F0CE3">
        <w:rPr>
          <w:rFonts w:ascii="Times New Roman" w:hAnsi="Times New Roman" w:cs="Times New Roman"/>
          <w:sz w:val="24"/>
          <w:szCs w:val="24"/>
        </w:rPr>
        <w:t xml:space="preserve">en </w:t>
      </w:r>
      <w:r w:rsidR="001F4FA1">
        <w:rPr>
          <w:rFonts w:ascii="Times New Roman" w:hAnsi="Times New Roman" w:cs="Times New Roman"/>
          <w:sz w:val="24"/>
          <w:szCs w:val="24"/>
        </w:rPr>
        <w:t xml:space="preserve">entrainant </w:t>
      </w:r>
      <w:r w:rsidRPr="000A4A0F">
        <w:rPr>
          <w:rFonts w:ascii="Times New Roman" w:hAnsi="Times New Roman" w:cs="Times New Roman"/>
          <w:sz w:val="24"/>
          <w:szCs w:val="24"/>
        </w:rPr>
        <w:t>une toxicité neurologique dont la forme la plus sévère est l’ictère nucléaire</w:t>
      </w:r>
      <w:r w:rsidR="001F0CE3">
        <w:rPr>
          <w:rFonts w:ascii="Times New Roman" w:hAnsi="Times New Roman" w:cs="Times New Roman"/>
          <w:sz w:val="24"/>
          <w:szCs w:val="24"/>
        </w:rPr>
        <w:t xml:space="preserve"> ainsi qu’une atteinte r</w:t>
      </w:r>
      <w:r w:rsidR="001F0CE3" w:rsidRPr="000A4A0F">
        <w:rPr>
          <w:rFonts w:ascii="Times New Roman" w:hAnsi="Times New Roman" w:cs="Times New Roman"/>
          <w:sz w:val="24"/>
          <w:szCs w:val="24"/>
          <w:bdr w:val="none" w:sz="0" w:space="0" w:color="auto" w:frame="1"/>
          <w:lang w:eastAsia="fr-FR"/>
        </w:rPr>
        <w:t>é</w:t>
      </w:r>
      <w:r w:rsidR="001F4FA1">
        <w:rPr>
          <w:rFonts w:ascii="Times New Roman" w:hAnsi="Times New Roman" w:cs="Times New Roman"/>
          <w:sz w:val="24"/>
          <w:szCs w:val="24"/>
        </w:rPr>
        <w:t>nale</w:t>
      </w:r>
      <w:r w:rsidRPr="000A4A0F">
        <w:rPr>
          <w:rFonts w:ascii="Times New Roman" w:hAnsi="Times New Roman" w:cs="Times New Roman"/>
          <w:sz w:val="24"/>
          <w:szCs w:val="24"/>
        </w:rPr>
        <w:t>.</w:t>
      </w:r>
    </w:p>
    <w:p w14:paraId="6ECE0FEE" w14:textId="4436617A" w:rsidR="00EE7250" w:rsidRPr="001F0CE3" w:rsidRDefault="001F0CE3" w:rsidP="00895EFB">
      <w:pPr>
        <w:pStyle w:val="Sansinterligne"/>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L’objectif de ce travail </w:t>
      </w:r>
      <w:r w:rsidR="005A522F" w:rsidRPr="000A4A0F">
        <w:rPr>
          <w:rFonts w:ascii="Times New Roman" w:hAnsi="Times New Roman" w:cs="Times New Roman"/>
          <w:sz w:val="24"/>
          <w:szCs w:val="24"/>
          <w:bdr w:val="none" w:sz="0" w:space="0" w:color="auto" w:frame="1"/>
          <w:lang w:eastAsia="fr-FR"/>
        </w:rPr>
        <w:t>é</w:t>
      </w:r>
      <w:r w:rsidR="001F4FA1">
        <w:rPr>
          <w:rFonts w:ascii="Times New Roman" w:hAnsi="Times New Roman" w:cs="Times New Roman"/>
          <w:sz w:val="24"/>
          <w:szCs w:val="24"/>
        </w:rPr>
        <w:t xml:space="preserve">tait </w:t>
      </w:r>
      <w:r w:rsidR="00EE7250">
        <w:rPr>
          <w:rFonts w:ascii="Times New Roman" w:hAnsi="Times New Roman" w:cs="Times New Roman"/>
          <w:sz w:val="24"/>
          <w:szCs w:val="24"/>
        </w:rPr>
        <w:t xml:space="preserve">d’analyser </w:t>
      </w:r>
      <w:r w:rsidR="00EE7250" w:rsidRPr="000A4A0F">
        <w:rPr>
          <w:rFonts w:ascii="Times New Roman" w:hAnsi="Times New Roman" w:cs="Times New Roman"/>
          <w:sz w:val="24"/>
          <w:szCs w:val="24"/>
        </w:rPr>
        <w:t xml:space="preserve">le profil épidémiologique et </w:t>
      </w:r>
      <w:proofErr w:type="spellStart"/>
      <w:r w:rsidR="00EE7250" w:rsidRPr="000A4A0F">
        <w:rPr>
          <w:rFonts w:ascii="Times New Roman" w:hAnsi="Times New Roman" w:cs="Times New Roman"/>
          <w:sz w:val="24"/>
          <w:szCs w:val="24"/>
        </w:rPr>
        <w:t>clinico</w:t>
      </w:r>
      <w:proofErr w:type="spellEnd"/>
      <w:r w:rsidR="00EE7250" w:rsidRPr="000A4A0F">
        <w:rPr>
          <w:rFonts w:ascii="Times New Roman" w:hAnsi="Times New Roman" w:cs="Times New Roman"/>
          <w:sz w:val="24"/>
          <w:szCs w:val="24"/>
        </w:rPr>
        <w:t>-biologique de nouveau-né ictérique à l’unité de soins intensif néonatal (SIN) de l’HPGRB</w:t>
      </w:r>
      <w:r w:rsidR="00EE7250">
        <w:rPr>
          <w:rFonts w:ascii="Times New Roman" w:hAnsi="Times New Roman" w:cs="Times New Roman"/>
          <w:sz w:val="24"/>
          <w:szCs w:val="24"/>
        </w:rPr>
        <w:t xml:space="preserve">, de </w:t>
      </w:r>
      <w:r>
        <w:rPr>
          <w:rFonts w:ascii="Times New Roman" w:hAnsi="Times New Roman" w:cs="Times New Roman"/>
          <w:sz w:val="24"/>
          <w:szCs w:val="24"/>
        </w:rPr>
        <w:t>déterminer</w:t>
      </w:r>
      <w:r w:rsidR="00EE7250">
        <w:rPr>
          <w:rFonts w:ascii="Times New Roman" w:hAnsi="Times New Roman" w:cs="Times New Roman"/>
          <w:sz w:val="24"/>
          <w:szCs w:val="24"/>
        </w:rPr>
        <w:t xml:space="preserve"> les facteurs de risque de la </w:t>
      </w:r>
      <w:r>
        <w:rPr>
          <w:rFonts w:ascii="Times New Roman" w:hAnsi="Times New Roman" w:cs="Times New Roman"/>
          <w:sz w:val="24"/>
          <w:szCs w:val="24"/>
        </w:rPr>
        <w:t>mortalité li</w:t>
      </w:r>
      <w:r w:rsidRPr="000A4A0F">
        <w:rPr>
          <w:rFonts w:ascii="Times New Roman" w:hAnsi="Times New Roman" w:cs="Times New Roman"/>
          <w:sz w:val="24"/>
          <w:szCs w:val="24"/>
          <w:bdr w:val="none" w:sz="0" w:space="0" w:color="auto" w:frame="1"/>
          <w:lang w:eastAsia="fr-FR"/>
        </w:rPr>
        <w:t>é</w:t>
      </w:r>
      <w:r>
        <w:rPr>
          <w:rFonts w:ascii="Times New Roman" w:hAnsi="Times New Roman" w:cs="Times New Roman"/>
          <w:sz w:val="24"/>
          <w:szCs w:val="24"/>
        </w:rPr>
        <w:t xml:space="preserve">s </w:t>
      </w:r>
      <w:r w:rsidRPr="000A4A0F">
        <w:rPr>
          <w:rFonts w:ascii="Times New Roman" w:hAnsi="Times New Roman" w:cs="Times New Roman"/>
          <w:sz w:val="24"/>
          <w:szCs w:val="24"/>
        </w:rPr>
        <w:t>à</w:t>
      </w:r>
      <w:r w:rsidR="00EE7250">
        <w:rPr>
          <w:rFonts w:ascii="Times New Roman" w:hAnsi="Times New Roman" w:cs="Times New Roman"/>
          <w:sz w:val="24"/>
          <w:szCs w:val="24"/>
        </w:rPr>
        <w:t xml:space="preserve"> cett</w:t>
      </w:r>
      <w:r>
        <w:rPr>
          <w:rFonts w:ascii="Times New Roman" w:hAnsi="Times New Roman" w:cs="Times New Roman"/>
          <w:sz w:val="24"/>
          <w:szCs w:val="24"/>
        </w:rPr>
        <w:t>e pathologie.</w:t>
      </w:r>
    </w:p>
    <w:p w14:paraId="0AFAE203" w14:textId="132447CC" w:rsidR="00EE7250" w:rsidRDefault="004D151A" w:rsidP="00895EFB">
      <w:pPr>
        <w:suppressAutoHyphens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Nous avons</w:t>
      </w:r>
      <w:r w:rsidRPr="004D151A">
        <w:rPr>
          <w:rFonts w:ascii="Times New Roman" w:hAnsi="Times New Roman" w:cs="Times New Roman"/>
          <w:sz w:val="24"/>
          <w:szCs w:val="24"/>
        </w:rPr>
        <w:t xml:space="preserve"> </w:t>
      </w:r>
      <w:r w:rsidRPr="00344791">
        <w:rPr>
          <w:rFonts w:ascii="Times New Roman" w:hAnsi="Times New Roman" w:cs="Times New Roman"/>
          <w:sz w:val="24"/>
          <w:szCs w:val="24"/>
        </w:rPr>
        <w:t>réalisé</w:t>
      </w:r>
      <w:r>
        <w:rPr>
          <w:rFonts w:ascii="Times New Roman" w:hAnsi="Times New Roman" w:cs="Times New Roman"/>
          <w:sz w:val="24"/>
          <w:szCs w:val="24"/>
        </w:rPr>
        <w:t xml:space="preserve"> </w:t>
      </w:r>
      <w:r w:rsidR="00344791" w:rsidRPr="00344791">
        <w:rPr>
          <w:rFonts w:ascii="Times New Roman" w:hAnsi="Times New Roman" w:cs="Times New Roman"/>
          <w:sz w:val="24"/>
          <w:szCs w:val="24"/>
        </w:rPr>
        <w:t>une étude transversale au cours de la période all</w:t>
      </w:r>
      <w:r w:rsidR="001F0CE3">
        <w:rPr>
          <w:rFonts w:ascii="Times New Roman" w:hAnsi="Times New Roman" w:cs="Times New Roman"/>
          <w:sz w:val="24"/>
          <w:szCs w:val="24"/>
        </w:rPr>
        <w:t xml:space="preserve">ant de Décembre 2019 </w:t>
      </w:r>
      <w:r w:rsidR="001F0CE3" w:rsidRPr="000A4A0F">
        <w:rPr>
          <w:rFonts w:ascii="Times New Roman" w:hAnsi="Times New Roman" w:cs="Times New Roman"/>
          <w:sz w:val="24"/>
          <w:szCs w:val="24"/>
        </w:rPr>
        <w:t>à</w:t>
      </w:r>
      <w:r w:rsidR="001F0CE3">
        <w:rPr>
          <w:rFonts w:ascii="Times New Roman" w:hAnsi="Times New Roman" w:cs="Times New Roman"/>
          <w:sz w:val="24"/>
          <w:szCs w:val="24"/>
        </w:rPr>
        <w:t xml:space="preserve"> </w:t>
      </w:r>
      <w:r w:rsidR="00344791">
        <w:rPr>
          <w:rFonts w:ascii="Times New Roman" w:hAnsi="Times New Roman" w:cs="Times New Roman"/>
          <w:sz w:val="24"/>
          <w:szCs w:val="24"/>
        </w:rPr>
        <w:t>Mai 2021.</w:t>
      </w:r>
      <w:r w:rsidR="00EE7250">
        <w:rPr>
          <w:rFonts w:ascii="Times New Roman" w:hAnsi="Times New Roman" w:cs="Times New Roman"/>
          <w:sz w:val="24"/>
          <w:szCs w:val="24"/>
        </w:rPr>
        <w:t xml:space="preserve"> L</w:t>
      </w:r>
      <w:r w:rsidR="001F0CE3">
        <w:rPr>
          <w:rFonts w:ascii="Times New Roman" w:hAnsi="Times New Roman" w:cs="Times New Roman"/>
          <w:sz w:val="24"/>
          <w:szCs w:val="24"/>
        </w:rPr>
        <w:t>es donn</w:t>
      </w:r>
      <w:r w:rsidR="001F0CE3" w:rsidRPr="00344791">
        <w:rPr>
          <w:rFonts w:ascii="Times New Roman" w:hAnsi="Times New Roman" w:cs="Times New Roman"/>
          <w:sz w:val="24"/>
          <w:szCs w:val="24"/>
        </w:rPr>
        <w:t>é</w:t>
      </w:r>
      <w:r w:rsidR="001F0CE3">
        <w:rPr>
          <w:rFonts w:ascii="Times New Roman" w:hAnsi="Times New Roman" w:cs="Times New Roman"/>
          <w:sz w:val="24"/>
          <w:szCs w:val="24"/>
        </w:rPr>
        <w:t xml:space="preserve">es ont </w:t>
      </w:r>
      <w:r w:rsidR="001F0CE3" w:rsidRPr="00344791">
        <w:rPr>
          <w:rFonts w:ascii="Times New Roman" w:hAnsi="Times New Roman" w:cs="Times New Roman"/>
          <w:sz w:val="24"/>
          <w:szCs w:val="24"/>
        </w:rPr>
        <w:t>é</w:t>
      </w:r>
      <w:r w:rsidR="001F0CE3">
        <w:rPr>
          <w:rFonts w:ascii="Times New Roman" w:hAnsi="Times New Roman" w:cs="Times New Roman"/>
          <w:sz w:val="24"/>
          <w:szCs w:val="24"/>
        </w:rPr>
        <w:t>t</w:t>
      </w:r>
      <w:r w:rsidR="001F0CE3" w:rsidRPr="00344791">
        <w:rPr>
          <w:rFonts w:ascii="Times New Roman" w:hAnsi="Times New Roman" w:cs="Times New Roman"/>
          <w:sz w:val="24"/>
          <w:szCs w:val="24"/>
        </w:rPr>
        <w:t>é</w:t>
      </w:r>
      <w:r w:rsidR="001F0CE3">
        <w:rPr>
          <w:rFonts w:ascii="Times New Roman" w:hAnsi="Times New Roman" w:cs="Times New Roman"/>
          <w:sz w:val="24"/>
          <w:szCs w:val="24"/>
        </w:rPr>
        <w:t xml:space="preserve"> analys</w:t>
      </w:r>
      <w:r w:rsidR="001F0CE3" w:rsidRPr="00344791">
        <w:rPr>
          <w:rFonts w:ascii="Times New Roman" w:hAnsi="Times New Roman" w:cs="Times New Roman"/>
          <w:sz w:val="24"/>
          <w:szCs w:val="24"/>
        </w:rPr>
        <w:t>é</w:t>
      </w:r>
      <w:r w:rsidR="00EE7250">
        <w:rPr>
          <w:rFonts w:ascii="Times New Roman" w:hAnsi="Times New Roman" w:cs="Times New Roman"/>
          <w:sz w:val="24"/>
          <w:szCs w:val="24"/>
        </w:rPr>
        <w:t xml:space="preserve">es </w:t>
      </w:r>
      <w:proofErr w:type="spellStart"/>
      <w:proofErr w:type="gramStart"/>
      <w:r w:rsidR="00EE7250">
        <w:rPr>
          <w:rFonts w:ascii="Times New Roman" w:hAnsi="Times New Roman" w:cs="Times New Roman"/>
          <w:sz w:val="24"/>
          <w:szCs w:val="24"/>
        </w:rPr>
        <w:t>a</w:t>
      </w:r>
      <w:proofErr w:type="spellEnd"/>
      <w:proofErr w:type="gramEnd"/>
      <w:r w:rsidR="00EE7250">
        <w:rPr>
          <w:rFonts w:ascii="Times New Roman" w:hAnsi="Times New Roman" w:cs="Times New Roman"/>
          <w:sz w:val="24"/>
          <w:szCs w:val="24"/>
        </w:rPr>
        <w:t xml:space="preserve"> l’aide du logiciel SPSS version 25. La valeur de p≤0,05 </w:t>
      </w:r>
      <w:r w:rsidR="001F0CE3">
        <w:rPr>
          <w:rFonts w:ascii="Times New Roman" w:hAnsi="Times New Roman" w:cs="Times New Roman"/>
          <w:sz w:val="24"/>
          <w:szCs w:val="24"/>
        </w:rPr>
        <w:t xml:space="preserve">a </w:t>
      </w:r>
      <w:r w:rsidR="001F0CE3" w:rsidRPr="00344791">
        <w:rPr>
          <w:rFonts w:ascii="Times New Roman" w:hAnsi="Times New Roman" w:cs="Times New Roman"/>
          <w:sz w:val="24"/>
          <w:szCs w:val="24"/>
        </w:rPr>
        <w:t>é</w:t>
      </w:r>
      <w:r w:rsidR="001F0CE3">
        <w:rPr>
          <w:rFonts w:ascii="Times New Roman" w:hAnsi="Times New Roman" w:cs="Times New Roman"/>
          <w:sz w:val="24"/>
          <w:szCs w:val="24"/>
        </w:rPr>
        <w:t>t</w:t>
      </w:r>
      <w:r w:rsidR="001F0CE3" w:rsidRPr="00344791">
        <w:rPr>
          <w:rFonts w:ascii="Times New Roman" w:hAnsi="Times New Roman" w:cs="Times New Roman"/>
          <w:sz w:val="24"/>
          <w:szCs w:val="24"/>
        </w:rPr>
        <w:t>é</w:t>
      </w:r>
      <w:r w:rsidR="001F0CE3">
        <w:rPr>
          <w:rFonts w:ascii="Times New Roman" w:hAnsi="Times New Roman" w:cs="Times New Roman"/>
          <w:sz w:val="24"/>
          <w:szCs w:val="24"/>
        </w:rPr>
        <w:t xml:space="preserve"> </w:t>
      </w:r>
      <w:proofErr w:type="spellStart"/>
      <w:r w:rsidR="001F0CE3">
        <w:rPr>
          <w:rFonts w:ascii="Times New Roman" w:hAnsi="Times New Roman" w:cs="Times New Roman"/>
          <w:sz w:val="24"/>
          <w:szCs w:val="24"/>
        </w:rPr>
        <w:t>consider</w:t>
      </w:r>
      <w:r w:rsidR="001F0CE3" w:rsidRPr="00344791">
        <w:rPr>
          <w:rFonts w:ascii="Times New Roman" w:hAnsi="Times New Roman" w:cs="Times New Roman"/>
          <w:sz w:val="24"/>
          <w:szCs w:val="24"/>
        </w:rPr>
        <w:t>é</w:t>
      </w:r>
      <w:r w:rsidR="00EE7250">
        <w:rPr>
          <w:rFonts w:ascii="Times New Roman" w:hAnsi="Times New Roman" w:cs="Times New Roman"/>
          <w:sz w:val="24"/>
          <w:szCs w:val="24"/>
        </w:rPr>
        <w:t>e</w:t>
      </w:r>
      <w:proofErr w:type="spellEnd"/>
      <w:r w:rsidR="00EE7250">
        <w:rPr>
          <w:rFonts w:ascii="Times New Roman" w:hAnsi="Times New Roman" w:cs="Times New Roman"/>
          <w:sz w:val="24"/>
          <w:szCs w:val="24"/>
        </w:rPr>
        <w:t xml:space="preserve"> significative. </w:t>
      </w:r>
    </w:p>
    <w:p w14:paraId="13DA7703" w14:textId="7EB003A1" w:rsidR="003F1209" w:rsidRDefault="00807250" w:rsidP="00895EFB">
      <w:pPr>
        <w:suppressAutoHyphens w:val="0"/>
        <w:spacing w:after="0" w:line="36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A</w:t>
      </w:r>
      <w:r w:rsidR="004D151A">
        <w:rPr>
          <w:rFonts w:ascii="Times New Roman" w:eastAsia="Times New Roman" w:hAnsi="Times New Roman" w:cs="Times New Roman"/>
          <w:color w:val="000000"/>
          <w:sz w:val="24"/>
          <w:szCs w:val="24"/>
          <w:lang w:eastAsia="fr-FR"/>
        </w:rPr>
        <w:t>u cours de cette période d’étude</w:t>
      </w:r>
      <w:r w:rsidRPr="000A4A0F">
        <w:rPr>
          <w:rFonts w:ascii="Times New Roman" w:eastAsia="Times New Roman" w:hAnsi="Times New Roman" w:cs="Times New Roman"/>
          <w:color w:val="000000"/>
          <w:sz w:val="24"/>
          <w:szCs w:val="24"/>
          <w:lang w:eastAsia="fr-FR"/>
        </w:rPr>
        <w:t xml:space="preserve">, </w:t>
      </w:r>
      <w:r w:rsidR="003F1209">
        <w:rPr>
          <w:rFonts w:ascii="Times New Roman" w:eastAsia="Times New Roman" w:hAnsi="Times New Roman" w:cs="Times New Roman"/>
          <w:color w:val="000000"/>
          <w:sz w:val="24"/>
          <w:szCs w:val="24"/>
          <w:lang w:eastAsia="fr-FR"/>
        </w:rPr>
        <w:t xml:space="preserve">136 </w:t>
      </w:r>
      <w:r w:rsidR="001F0CE3">
        <w:rPr>
          <w:rFonts w:ascii="Times New Roman" w:eastAsia="Times New Roman" w:hAnsi="Times New Roman" w:cs="Times New Roman"/>
          <w:color w:val="000000"/>
          <w:sz w:val="24"/>
          <w:szCs w:val="24"/>
          <w:lang w:eastAsia="fr-FR"/>
        </w:rPr>
        <w:t>nouveau-nés</w:t>
      </w:r>
      <w:r w:rsidRPr="000A4A0F">
        <w:rPr>
          <w:rFonts w:ascii="Times New Roman" w:eastAsia="Times New Roman" w:hAnsi="Times New Roman" w:cs="Times New Roman"/>
          <w:color w:val="000000"/>
          <w:sz w:val="24"/>
          <w:szCs w:val="24"/>
          <w:lang w:eastAsia="fr-FR"/>
        </w:rPr>
        <w:t xml:space="preserve"> ont développé u</w:t>
      </w:r>
      <w:r w:rsidR="00EE7250">
        <w:rPr>
          <w:rFonts w:ascii="Times New Roman" w:eastAsia="Times New Roman" w:hAnsi="Times New Roman" w:cs="Times New Roman"/>
          <w:color w:val="000000"/>
          <w:sz w:val="24"/>
          <w:szCs w:val="24"/>
          <w:lang w:eastAsia="fr-FR"/>
        </w:rPr>
        <w:t xml:space="preserve">n ictère à bilirubine non </w:t>
      </w:r>
      <w:r w:rsidR="001F0CE3">
        <w:rPr>
          <w:rFonts w:ascii="Times New Roman" w:eastAsia="Times New Roman" w:hAnsi="Times New Roman" w:cs="Times New Roman"/>
          <w:color w:val="000000"/>
          <w:sz w:val="24"/>
          <w:szCs w:val="24"/>
          <w:lang w:eastAsia="fr-FR"/>
        </w:rPr>
        <w:t>conjuguée</w:t>
      </w:r>
      <w:r w:rsidR="00EE7250">
        <w:rPr>
          <w:rFonts w:ascii="Times New Roman" w:eastAsia="Times New Roman" w:hAnsi="Times New Roman" w:cs="Times New Roman"/>
          <w:color w:val="000000"/>
          <w:sz w:val="24"/>
          <w:szCs w:val="24"/>
          <w:lang w:eastAsia="fr-FR"/>
        </w:rPr>
        <w:t xml:space="preserve"> et ayant </w:t>
      </w:r>
      <w:r w:rsidR="001F0CE3">
        <w:rPr>
          <w:rFonts w:ascii="Times New Roman" w:eastAsia="Times New Roman" w:hAnsi="Times New Roman" w:cs="Times New Roman"/>
          <w:color w:val="000000"/>
          <w:sz w:val="24"/>
          <w:szCs w:val="24"/>
          <w:lang w:eastAsia="fr-FR"/>
        </w:rPr>
        <w:t>bénéficiés</w:t>
      </w:r>
      <w:r w:rsidR="00EE7250">
        <w:rPr>
          <w:rFonts w:ascii="Times New Roman" w:eastAsia="Times New Roman" w:hAnsi="Times New Roman" w:cs="Times New Roman"/>
          <w:color w:val="000000"/>
          <w:sz w:val="24"/>
          <w:szCs w:val="24"/>
          <w:lang w:eastAsia="fr-FR"/>
        </w:rPr>
        <w:t xml:space="preserve"> d’une </w:t>
      </w:r>
      <w:proofErr w:type="spellStart"/>
      <w:r w:rsidR="00EE7250">
        <w:rPr>
          <w:rFonts w:ascii="Times New Roman" w:eastAsia="Times New Roman" w:hAnsi="Times New Roman" w:cs="Times New Roman"/>
          <w:color w:val="000000"/>
          <w:sz w:val="24"/>
          <w:szCs w:val="24"/>
          <w:lang w:eastAsia="fr-FR"/>
        </w:rPr>
        <w:t>phototherapie</w:t>
      </w:r>
      <w:proofErr w:type="spellEnd"/>
      <w:r w:rsidRPr="000A4A0F">
        <w:rPr>
          <w:rFonts w:ascii="Times New Roman" w:eastAsia="Times New Roman" w:hAnsi="Times New Roman" w:cs="Times New Roman"/>
          <w:color w:val="000000"/>
          <w:sz w:val="24"/>
          <w:szCs w:val="24"/>
          <w:lang w:eastAsia="fr-FR"/>
        </w:rPr>
        <w:t>, ce qui représente u</w:t>
      </w:r>
      <w:r w:rsidR="004D151A">
        <w:rPr>
          <w:rFonts w:ascii="Times New Roman" w:eastAsia="Times New Roman" w:hAnsi="Times New Roman" w:cs="Times New Roman"/>
          <w:color w:val="000000"/>
          <w:sz w:val="24"/>
          <w:szCs w:val="24"/>
          <w:lang w:eastAsia="fr-FR"/>
        </w:rPr>
        <w:t xml:space="preserve">ne </w:t>
      </w:r>
      <w:r w:rsidR="001F0CE3">
        <w:rPr>
          <w:rFonts w:ascii="Times New Roman" w:eastAsia="Times New Roman" w:hAnsi="Times New Roman" w:cs="Times New Roman"/>
          <w:color w:val="000000"/>
          <w:sz w:val="24"/>
          <w:szCs w:val="24"/>
          <w:lang w:eastAsia="fr-FR"/>
        </w:rPr>
        <w:t xml:space="preserve">prévalence </w:t>
      </w:r>
      <w:r w:rsidR="001F0CE3" w:rsidRPr="000A4A0F">
        <w:rPr>
          <w:rFonts w:ascii="Times New Roman" w:eastAsia="Times New Roman" w:hAnsi="Times New Roman" w:cs="Times New Roman"/>
          <w:color w:val="000000"/>
          <w:sz w:val="24"/>
          <w:szCs w:val="24"/>
          <w:lang w:eastAsia="fr-FR"/>
        </w:rPr>
        <w:t>de</w:t>
      </w:r>
      <w:r w:rsidRPr="000A4A0F">
        <w:rPr>
          <w:rFonts w:ascii="Times New Roman" w:eastAsia="Times New Roman" w:hAnsi="Times New Roman" w:cs="Times New Roman"/>
          <w:color w:val="000000"/>
          <w:sz w:val="24"/>
          <w:szCs w:val="24"/>
          <w:lang w:eastAsia="fr-FR"/>
        </w:rPr>
        <w:t xml:space="preserve"> 18.6%.</w:t>
      </w:r>
      <w:r w:rsidR="00EE7250">
        <w:rPr>
          <w:rFonts w:ascii="Times New Roman" w:eastAsia="Times New Roman" w:hAnsi="Times New Roman" w:cs="Times New Roman"/>
          <w:color w:val="000000"/>
          <w:sz w:val="24"/>
          <w:szCs w:val="24"/>
          <w:lang w:eastAsia="fr-FR"/>
        </w:rPr>
        <w:t xml:space="preserve"> Environ 41%</w:t>
      </w:r>
      <w:r w:rsidR="001F0CE3">
        <w:rPr>
          <w:rFonts w:ascii="Times New Roman" w:eastAsia="Times New Roman" w:hAnsi="Times New Roman" w:cs="Times New Roman"/>
          <w:color w:val="000000"/>
          <w:sz w:val="24"/>
          <w:szCs w:val="24"/>
          <w:lang w:eastAsia="fr-FR"/>
        </w:rPr>
        <w:t xml:space="preserve"> de nouveau-n</w:t>
      </w:r>
      <w:r w:rsidR="001F0CE3" w:rsidRPr="00344791">
        <w:rPr>
          <w:rFonts w:ascii="Times New Roman" w:hAnsi="Times New Roman" w:cs="Times New Roman"/>
          <w:sz w:val="24"/>
          <w:szCs w:val="24"/>
        </w:rPr>
        <w:t>é</w:t>
      </w:r>
      <w:r w:rsidR="001F0CE3">
        <w:rPr>
          <w:rFonts w:ascii="Times New Roman" w:eastAsia="Times New Roman" w:hAnsi="Times New Roman" w:cs="Times New Roman"/>
          <w:color w:val="000000"/>
          <w:sz w:val="24"/>
          <w:szCs w:val="24"/>
          <w:lang w:eastAsia="fr-FR"/>
        </w:rPr>
        <w:t xml:space="preserve">s </w:t>
      </w:r>
      <w:r w:rsidR="001F0CE3" w:rsidRPr="00344791">
        <w:rPr>
          <w:rFonts w:ascii="Times New Roman" w:hAnsi="Times New Roman" w:cs="Times New Roman"/>
          <w:sz w:val="24"/>
          <w:szCs w:val="24"/>
        </w:rPr>
        <w:t>é</w:t>
      </w:r>
      <w:r w:rsidR="001F0CE3">
        <w:rPr>
          <w:rFonts w:ascii="Times New Roman" w:eastAsia="Times New Roman" w:hAnsi="Times New Roman" w:cs="Times New Roman"/>
          <w:color w:val="000000"/>
          <w:sz w:val="24"/>
          <w:szCs w:val="24"/>
          <w:lang w:eastAsia="fr-FR"/>
        </w:rPr>
        <w:t>taient pr</w:t>
      </w:r>
      <w:r w:rsidR="001F0CE3" w:rsidRPr="00344791">
        <w:rPr>
          <w:rFonts w:ascii="Times New Roman" w:hAnsi="Times New Roman" w:cs="Times New Roman"/>
          <w:sz w:val="24"/>
          <w:szCs w:val="24"/>
        </w:rPr>
        <w:t>é</w:t>
      </w:r>
      <w:r w:rsidR="001F0CE3">
        <w:rPr>
          <w:rFonts w:ascii="Times New Roman" w:eastAsia="Times New Roman" w:hAnsi="Times New Roman" w:cs="Times New Roman"/>
          <w:color w:val="000000"/>
          <w:sz w:val="24"/>
          <w:szCs w:val="24"/>
          <w:lang w:eastAsia="fr-FR"/>
        </w:rPr>
        <w:t>matur</w:t>
      </w:r>
      <w:r w:rsidR="001F0CE3" w:rsidRPr="00344791">
        <w:rPr>
          <w:rFonts w:ascii="Times New Roman" w:hAnsi="Times New Roman" w:cs="Times New Roman"/>
          <w:sz w:val="24"/>
          <w:szCs w:val="24"/>
        </w:rPr>
        <w:t>é</w:t>
      </w:r>
      <w:r w:rsidR="001F0CE3">
        <w:rPr>
          <w:rFonts w:ascii="Times New Roman" w:hAnsi="Times New Roman" w:cs="Times New Roman"/>
          <w:sz w:val="24"/>
          <w:szCs w:val="24"/>
        </w:rPr>
        <w:t>s</w:t>
      </w:r>
      <w:r w:rsidR="00EE7250">
        <w:rPr>
          <w:rFonts w:ascii="Times New Roman" w:eastAsia="Times New Roman" w:hAnsi="Times New Roman" w:cs="Times New Roman"/>
          <w:color w:val="000000"/>
          <w:sz w:val="24"/>
          <w:szCs w:val="24"/>
          <w:lang w:eastAsia="fr-FR"/>
        </w:rPr>
        <w:t xml:space="preserve">, l’infection, le trait drépanocytaire ainsi que le déficit en G6PD </w:t>
      </w:r>
      <w:proofErr w:type="spellStart"/>
      <w:r w:rsidR="001F0CE3">
        <w:rPr>
          <w:rFonts w:ascii="Times New Roman" w:eastAsia="Times New Roman" w:hAnsi="Times New Roman" w:cs="Times New Roman"/>
          <w:color w:val="000000"/>
          <w:sz w:val="24"/>
          <w:szCs w:val="24"/>
          <w:lang w:eastAsia="fr-FR"/>
        </w:rPr>
        <w:t>etaient</w:t>
      </w:r>
      <w:proofErr w:type="spellEnd"/>
      <w:r w:rsidR="001F0CE3">
        <w:rPr>
          <w:rFonts w:ascii="Times New Roman" w:eastAsia="Times New Roman" w:hAnsi="Times New Roman" w:cs="Times New Roman"/>
          <w:color w:val="000000"/>
          <w:sz w:val="24"/>
          <w:szCs w:val="24"/>
          <w:lang w:eastAsia="fr-FR"/>
        </w:rPr>
        <w:t xml:space="preserve"> observ</w:t>
      </w:r>
      <w:r w:rsidR="001F0CE3" w:rsidRPr="00344791">
        <w:rPr>
          <w:rFonts w:ascii="Times New Roman" w:hAnsi="Times New Roman" w:cs="Times New Roman"/>
          <w:sz w:val="24"/>
          <w:szCs w:val="24"/>
        </w:rPr>
        <w:t>é</w:t>
      </w:r>
      <w:r w:rsidR="00EE7250">
        <w:rPr>
          <w:rFonts w:ascii="Times New Roman" w:eastAsia="Times New Roman" w:hAnsi="Times New Roman" w:cs="Times New Roman"/>
          <w:color w:val="000000"/>
          <w:sz w:val="24"/>
          <w:szCs w:val="24"/>
          <w:lang w:eastAsia="fr-FR"/>
        </w:rPr>
        <w:t xml:space="preserve">s respectivement chez  28,7%, 11,9% et 11,9%. </w:t>
      </w:r>
      <w:r w:rsidR="003F1209">
        <w:rPr>
          <w:rFonts w:ascii="Times New Roman" w:eastAsia="Times New Roman" w:hAnsi="Times New Roman" w:cs="Times New Roman"/>
          <w:color w:val="000000"/>
          <w:sz w:val="24"/>
          <w:szCs w:val="24"/>
          <w:lang w:eastAsia="fr-FR"/>
        </w:rPr>
        <w:t xml:space="preserve">Le taux de </w:t>
      </w:r>
      <w:proofErr w:type="spellStart"/>
      <w:r w:rsidR="003F1209">
        <w:rPr>
          <w:rFonts w:ascii="Times New Roman" w:eastAsia="Times New Roman" w:hAnsi="Times New Roman" w:cs="Times New Roman"/>
          <w:color w:val="000000"/>
          <w:sz w:val="24"/>
          <w:szCs w:val="24"/>
          <w:lang w:eastAsia="fr-FR"/>
        </w:rPr>
        <w:t>mortalite</w:t>
      </w:r>
      <w:proofErr w:type="spellEnd"/>
      <w:r w:rsidR="003F1209">
        <w:rPr>
          <w:rFonts w:ascii="Times New Roman" w:eastAsia="Times New Roman" w:hAnsi="Times New Roman" w:cs="Times New Roman"/>
          <w:color w:val="000000"/>
          <w:sz w:val="24"/>
          <w:szCs w:val="24"/>
          <w:lang w:eastAsia="fr-FR"/>
        </w:rPr>
        <w:t xml:space="preserve"> </w:t>
      </w:r>
      <w:proofErr w:type="spellStart"/>
      <w:r w:rsidR="003F1209">
        <w:rPr>
          <w:rFonts w:ascii="Times New Roman" w:eastAsia="Times New Roman" w:hAnsi="Times New Roman" w:cs="Times New Roman"/>
          <w:color w:val="000000"/>
          <w:sz w:val="24"/>
          <w:szCs w:val="24"/>
          <w:lang w:eastAsia="fr-FR"/>
        </w:rPr>
        <w:t>etait</w:t>
      </w:r>
      <w:proofErr w:type="spellEnd"/>
      <w:r w:rsidR="003F1209">
        <w:rPr>
          <w:rFonts w:ascii="Times New Roman" w:eastAsia="Times New Roman" w:hAnsi="Times New Roman" w:cs="Times New Roman"/>
          <w:color w:val="000000"/>
          <w:sz w:val="24"/>
          <w:szCs w:val="24"/>
          <w:lang w:eastAsia="fr-FR"/>
        </w:rPr>
        <w:t xml:space="preserve"> de 6,6%.  </w:t>
      </w:r>
      <w:r w:rsidR="00EE7250">
        <w:rPr>
          <w:rFonts w:ascii="Times New Roman" w:eastAsia="Times New Roman" w:hAnsi="Times New Roman" w:cs="Times New Roman"/>
          <w:color w:val="000000"/>
          <w:sz w:val="24"/>
          <w:szCs w:val="24"/>
          <w:lang w:eastAsia="fr-FR"/>
        </w:rPr>
        <w:t xml:space="preserve">Les facteurs </w:t>
      </w:r>
      <w:r w:rsidR="001F0CE3">
        <w:rPr>
          <w:rFonts w:ascii="Times New Roman" w:eastAsia="Times New Roman" w:hAnsi="Times New Roman" w:cs="Times New Roman"/>
          <w:color w:val="000000"/>
          <w:sz w:val="24"/>
          <w:szCs w:val="24"/>
          <w:lang w:eastAsia="fr-FR"/>
        </w:rPr>
        <w:t>associ</w:t>
      </w:r>
      <w:r w:rsidR="001F0CE3" w:rsidRPr="00344791">
        <w:rPr>
          <w:rFonts w:ascii="Times New Roman" w:hAnsi="Times New Roman" w:cs="Times New Roman"/>
          <w:sz w:val="24"/>
          <w:szCs w:val="24"/>
        </w:rPr>
        <w:t>é</w:t>
      </w:r>
      <w:r w:rsidR="005A522F">
        <w:rPr>
          <w:rFonts w:ascii="Times New Roman" w:eastAsia="Times New Roman" w:hAnsi="Times New Roman" w:cs="Times New Roman"/>
          <w:color w:val="000000"/>
          <w:sz w:val="24"/>
          <w:szCs w:val="24"/>
          <w:lang w:eastAsia="fr-FR"/>
        </w:rPr>
        <w:t xml:space="preserve">s </w:t>
      </w:r>
      <w:r w:rsidR="005A522F" w:rsidRPr="000A4A0F">
        <w:rPr>
          <w:rFonts w:ascii="Times New Roman" w:hAnsi="Times New Roman" w:cs="Times New Roman"/>
          <w:sz w:val="24"/>
          <w:szCs w:val="24"/>
        </w:rPr>
        <w:t>à</w:t>
      </w:r>
      <w:r w:rsidR="001F0CE3">
        <w:rPr>
          <w:rFonts w:ascii="Times New Roman" w:eastAsia="Times New Roman" w:hAnsi="Times New Roman" w:cs="Times New Roman"/>
          <w:color w:val="000000"/>
          <w:sz w:val="24"/>
          <w:szCs w:val="24"/>
          <w:lang w:eastAsia="fr-FR"/>
        </w:rPr>
        <w:t xml:space="preserve"> une </w:t>
      </w:r>
      <w:proofErr w:type="spellStart"/>
      <w:r w:rsidR="001F0CE3">
        <w:rPr>
          <w:rFonts w:ascii="Times New Roman" w:eastAsia="Times New Roman" w:hAnsi="Times New Roman" w:cs="Times New Roman"/>
          <w:color w:val="000000"/>
          <w:sz w:val="24"/>
          <w:szCs w:val="24"/>
          <w:lang w:eastAsia="fr-FR"/>
        </w:rPr>
        <w:t>hyperbilirubinemie</w:t>
      </w:r>
      <w:proofErr w:type="spellEnd"/>
      <w:r w:rsidR="001F0CE3">
        <w:rPr>
          <w:rFonts w:ascii="Times New Roman" w:eastAsia="Times New Roman" w:hAnsi="Times New Roman" w:cs="Times New Roman"/>
          <w:color w:val="000000"/>
          <w:sz w:val="24"/>
          <w:szCs w:val="24"/>
          <w:lang w:eastAsia="fr-FR"/>
        </w:rPr>
        <w:t xml:space="preserve"> </w:t>
      </w:r>
      <w:r w:rsidR="001F0CE3" w:rsidRPr="00344791">
        <w:rPr>
          <w:rFonts w:ascii="Times New Roman" w:hAnsi="Times New Roman" w:cs="Times New Roman"/>
          <w:sz w:val="24"/>
          <w:szCs w:val="24"/>
        </w:rPr>
        <w:t>é</w:t>
      </w:r>
      <w:r w:rsidR="001F0CE3">
        <w:rPr>
          <w:rFonts w:ascii="Times New Roman" w:eastAsia="Times New Roman" w:hAnsi="Times New Roman" w:cs="Times New Roman"/>
          <w:color w:val="000000"/>
          <w:sz w:val="24"/>
          <w:szCs w:val="24"/>
          <w:lang w:eastAsia="fr-FR"/>
        </w:rPr>
        <w:t>lev</w:t>
      </w:r>
      <w:r w:rsidR="001F0CE3" w:rsidRPr="00344791">
        <w:rPr>
          <w:rFonts w:ascii="Times New Roman" w:hAnsi="Times New Roman" w:cs="Times New Roman"/>
          <w:sz w:val="24"/>
          <w:szCs w:val="24"/>
        </w:rPr>
        <w:t>é</w:t>
      </w:r>
      <w:r w:rsidR="001F0CE3">
        <w:rPr>
          <w:rFonts w:ascii="Times New Roman" w:eastAsia="Times New Roman" w:hAnsi="Times New Roman" w:cs="Times New Roman"/>
          <w:color w:val="000000"/>
          <w:sz w:val="24"/>
          <w:szCs w:val="24"/>
          <w:lang w:eastAsia="fr-FR"/>
        </w:rPr>
        <w:t xml:space="preserve">e </w:t>
      </w:r>
      <w:proofErr w:type="spellStart"/>
      <w:r w:rsidR="001F0CE3">
        <w:rPr>
          <w:rFonts w:ascii="Times New Roman" w:eastAsia="Times New Roman" w:hAnsi="Times New Roman" w:cs="Times New Roman"/>
          <w:color w:val="000000"/>
          <w:sz w:val="24"/>
          <w:szCs w:val="24"/>
          <w:lang w:eastAsia="fr-FR"/>
        </w:rPr>
        <w:t>etaient</w:t>
      </w:r>
      <w:proofErr w:type="spellEnd"/>
      <w:r w:rsidR="001F0CE3">
        <w:rPr>
          <w:rFonts w:ascii="Times New Roman" w:eastAsia="Times New Roman" w:hAnsi="Times New Roman" w:cs="Times New Roman"/>
          <w:color w:val="000000"/>
          <w:sz w:val="24"/>
          <w:szCs w:val="24"/>
          <w:lang w:eastAsia="fr-FR"/>
        </w:rPr>
        <w:t xml:space="preserve"> la pr</w:t>
      </w:r>
      <w:r w:rsidR="001F0CE3" w:rsidRPr="00344791">
        <w:rPr>
          <w:rFonts w:ascii="Times New Roman" w:hAnsi="Times New Roman" w:cs="Times New Roman"/>
          <w:sz w:val="24"/>
          <w:szCs w:val="24"/>
        </w:rPr>
        <w:t>é</w:t>
      </w:r>
      <w:r w:rsidR="001F0CE3">
        <w:rPr>
          <w:rFonts w:ascii="Times New Roman" w:eastAsia="Times New Roman" w:hAnsi="Times New Roman" w:cs="Times New Roman"/>
          <w:color w:val="000000"/>
          <w:sz w:val="24"/>
          <w:szCs w:val="24"/>
          <w:lang w:eastAsia="fr-FR"/>
        </w:rPr>
        <w:t>maturit</w:t>
      </w:r>
      <w:r w:rsidR="001F0CE3" w:rsidRPr="00344791">
        <w:rPr>
          <w:rFonts w:ascii="Times New Roman" w:hAnsi="Times New Roman" w:cs="Times New Roman"/>
          <w:sz w:val="24"/>
          <w:szCs w:val="24"/>
        </w:rPr>
        <w:t>é</w:t>
      </w:r>
      <w:r w:rsidR="001F0CE3">
        <w:rPr>
          <w:rFonts w:ascii="Times New Roman" w:eastAsia="Times New Roman" w:hAnsi="Times New Roman" w:cs="Times New Roman"/>
          <w:color w:val="000000"/>
          <w:sz w:val="24"/>
          <w:szCs w:val="24"/>
          <w:lang w:eastAsia="fr-FR"/>
        </w:rPr>
        <w:t>, incompatibilit</w:t>
      </w:r>
      <w:r w:rsidR="001F0CE3" w:rsidRPr="00344791">
        <w:rPr>
          <w:rFonts w:ascii="Times New Roman" w:hAnsi="Times New Roman" w:cs="Times New Roman"/>
          <w:sz w:val="24"/>
          <w:szCs w:val="24"/>
        </w:rPr>
        <w:t>é</w:t>
      </w:r>
      <w:r w:rsidR="001F0CE3">
        <w:rPr>
          <w:rFonts w:ascii="Times New Roman" w:eastAsia="Times New Roman" w:hAnsi="Times New Roman" w:cs="Times New Roman"/>
          <w:color w:val="000000"/>
          <w:sz w:val="24"/>
          <w:szCs w:val="24"/>
          <w:lang w:eastAsia="fr-FR"/>
        </w:rPr>
        <w:t xml:space="preserve"> dans le </w:t>
      </w:r>
      <w:proofErr w:type="spellStart"/>
      <w:r w:rsidR="001F0CE3">
        <w:rPr>
          <w:rFonts w:ascii="Times New Roman" w:eastAsia="Times New Roman" w:hAnsi="Times New Roman" w:cs="Times New Roman"/>
          <w:color w:val="000000"/>
          <w:sz w:val="24"/>
          <w:szCs w:val="24"/>
          <w:lang w:eastAsia="fr-FR"/>
        </w:rPr>
        <w:t>syst</w:t>
      </w:r>
      <w:r w:rsidR="001F0CE3" w:rsidRPr="00344791">
        <w:rPr>
          <w:rFonts w:ascii="Times New Roman" w:hAnsi="Times New Roman" w:cs="Times New Roman"/>
          <w:sz w:val="24"/>
          <w:szCs w:val="24"/>
        </w:rPr>
        <w:t>é</w:t>
      </w:r>
      <w:r w:rsidR="001F0CE3">
        <w:rPr>
          <w:rFonts w:ascii="Times New Roman" w:eastAsia="Times New Roman" w:hAnsi="Times New Roman" w:cs="Times New Roman"/>
          <w:color w:val="000000"/>
          <w:sz w:val="24"/>
          <w:szCs w:val="24"/>
          <w:lang w:eastAsia="fr-FR"/>
        </w:rPr>
        <w:t>me</w:t>
      </w:r>
      <w:proofErr w:type="spellEnd"/>
      <w:r w:rsidR="001F0CE3">
        <w:rPr>
          <w:rFonts w:ascii="Times New Roman" w:eastAsia="Times New Roman" w:hAnsi="Times New Roman" w:cs="Times New Roman"/>
          <w:color w:val="000000"/>
          <w:sz w:val="24"/>
          <w:szCs w:val="24"/>
          <w:lang w:eastAsia="fr-FR"/>
        </w:rPr>
        <w:t xml:space="preserve"> rh</w:t>
      </w:r>
      <w:r w:rsidR="001F0CE3" w:rsidRPr="00344791">
        <w:rPr>
          <w:rFonts w:ascii="Times New Roman" w:hAnsi="Times New Roman" w:cs="Times New Roman"/>
          <w:sz w:val="24"/>
          <w:szCs w:val="24"/>
        </w:rPr>
        <w:t>é</w:t>
      </w:r>
      <w:r w:rsidR="003F1209">
        <w:rPr>
          <w:rFonts w:ascii="Times New Roman" w:eastAsia="Times New Roman" w:hAnsi="Times New Roman" w:cs="Times New Roman"/>
          <w:color w:val="000000"/>
          <w:sz w:val="24"/>
          <w:szCs w:val="24"/>
          <w:lang w:eastAsia="fr-FR"/>
        </w:rPr>
        <w:t>sus, l’</w:t>
      </w:r>
      <w:r w:rsidR="001F0CE3">
        <w:rPr>
          <w:rFonts w:ascii="Times New Roman" w:eastAsia="Times New Roman" w:hAnsi="Times New Roman" w:cs="Times New Roman"/>
          <w:color w:val="000000"/>
          <w:sz w:val="24"/>
          <w:szCs w:val="24"/>
          <w:lang w:eastAsia="fr-FR"/>
        </w:rPr>
        <w:t>incompatibilit</w:t>
      </w:r>
      <w:r w:rsidR="001F0CE3" w:rsidRPr="00344791">
        <w:rPr>
          <w:rFonts w:ascii="Times New Roman" w:hAnsi="Times New Roman" w:cs="Times New Roman"/>
          <w:sz w:val="24"/>
          <w:szCs w:val="24"/>
        </w:rPr>
        <w:t>é</w:t>
      </w:r>
      <w:r w:rsidR="003F1209">
        <w:rPr>
          <w:rFonts w:ascii="Times New Roman" w:eastAsia="Times New Roman" w:hAnsi="Times New Roman" w:cs="Times New Roman"/>
          <w:color w:val="000000"/>
          <w:sz w:val="24"/>
          <w:szCs w:val="24"/>
          <w:lang w:eastAsia="fr-FR"/>
        </w:rPr>
        <w:t xml:space="preserve"> ABO</w:t>
      </w:r>
      <w:r w:rsidR="005A522F">
        <w:rPr>
          <w:rFonts w:ascii="Times New Roman" w:eastAsia="Times New Roman" w:hAnsi="Times New Roman" w:cs="Times New Roman"/>
          <w:color w:val="000000"/>
          <w:sz w:val="24"/>
          <w:szCs w:val="24"/>
          <w:lang w:eastAsia="fr-FR"/>
        </w:rPr>
        <w:t xml:space="preserve"> </w:t>
      </w:r>
      <w:proofErr w:type="spellStart"/>
      <w:r w:rsidR="005A522F">
        <w:rPr>
          <w:rFonts w:ascii="Times New Roman" w:eastAsia="Times New Roman" w:hAnsi="Times New Roman" w:cs="Times New Roman"/>
          <w:color w:val="000000"/>
          <w:sz w:val="24"/>
          <w:szCs w:val="24"/>
          <w:lang w:eastAsia="fr-FR"/>
        </w:rPr>
        <w:t>associee</w:t>
      </w:r>
      <w:proofErr w:type="spellEnd"/>
      <w:r w:rsidR="005A522F">
        <w:rPr>
          <w:rFonts w:ascii="Times New Roman" w:eastAsia="Times New Roman" w:hAnsi="Times New Roman" w:cs="Times New Roman"/>
          <w:color w:val="000000"/>
          <w:sz w:val="24"/>
          <w:szCs w:val="24"/>
          <w:lang w:eastAsia="fr-FR"/>
        </w:rPr>
        <w:t xml:space="preserve"> </w:t>
      </w:r>
      <w:r w:rsidR="003F1209">
        <w:rPr>
          <w:rFonts w:ascii="Times New Roman" w:eastAsia="Times New Roman" w:hAnsi="Times New Roman" w:cs="Times New Roman"/>
          <w:color w:val="000000"/>
          <w:sz w:val="24"/>
          <w:szCs w:val="24"/>
          <w:lang w:eastAsia="fr-FR"/>
        </w:rPr>
        <w:t xml:space="preserve"> l’in</w:t>
      </w:r>
      <w:r w:rsidR="001F0CE3">
        <w:rPr>
          <w:rFonts w:ascii="Times New Roman" w:eastAsia="Times New Roman" w:hAnsi="Times New Roman" w:cs="Times New Roman"/>
          <w:color w:val="000000"/>
          <w:sz w:val="24"/>
          <w:szCs w:val="24"/>
          <w:lang w:eastAsia="fr-FR"/>
        </w:rPr>
        <w:t>f</w:t>
      </w:r>
      <w:r w:rsidR="003F1209">
        <w:rPr>
          <w:rFonts w:ascii="Times New Roman" w:eastAsia="Times New Roman" w:hAnsi="Times New Roman" w:cs="Times New Roman"/>
          <w:color w:val="000000"/>
          <w:sz w:val="24"/>
          <w:szCs w:val="24"/>
          <w:lang w:eastAsia="fr-FR"/>
        </w:rPr>
        <w:t>ection, ainsi que l</w:t>
      </w:r>
      <w:r w:rsidR="001F0CE3">
        <w:rPr>
          <w:rFonts w:ascii="Times New Roman" w:eastAsia="Times New Roman" w:hAnsi="Times New Roman" w:cs="Times New Roman"/>
          <w:color w:val="000000"/>
          <w:sz w:val="24"/>
          <w:szCs w:val="24"/>
          <w:lang w:eastAsia="fr-FR"/>
        </w:rPr>
        <w:t>e d</w:t>
      </w:r>
      <w:r w:rsidR="001F0CE3" w:rsidRPr="00344791">
        <w:rPr>
          <w:rFonts w:ascii="Times New Roman" w:hAnsi="Times New Roman" w:cs="Times New Roman"/>
          <w:sz w:val="24"/>
          <w:szCs w:val="24"/>
        </w:rPr>
        <w:t>é</w:t>
      </w:r>
      <w:r w:rsidR="003F1209">
        <w:rPr>
          <w:rFonts w:ascii="Times New Roman" w:eastAsia="Times New Roman" w:hAnsi="Times New Roman" w:cs="Times New Roman"/>
          <w:color w:val="000000"/>
          <w:sz w:val="24"/>
          <w:szCs w:val="24"/>
          <w:lang w:eastAsia="fr-FR"/>
        </w:rPr>
        <w:t>ficit en G6PD</w:t>
      </w:r>
      <w:r w:rsidR="001F0CE3">
        <w:rPr>
          <w:rFonts w:ascii="Times New Roman" w:eastAsia="Times New Roman" w:hAnsi="Times New Roman" w:cs="Times New Roman"/>
          <w:color w:val="000000"/>
          <w:sz w:val="24"/>
          <w:szCs w:val="24"/>
          <w:lang w:eastAsia="fr-FR"/>
        </w:rPr>
        <w:t xml:space="preserve"> associ</w:t>
      </w:r>
      <w:r w:rsidR="001F0CE3" w:rsidRPr="00344791">
        <w:rPr>
          <w:rFonts w:ascii="Times New Roman" w:hAnsi="Times New Roman" w:cs="Times New Roman"/>
          <w:sz w:val="24"/>
          <w:szCs w:val="24"/>
        </w:rPr>
        <w:t>é</w:t>
      </w:r>
      <w:r w:rsidR="005A522F">
        <w:rPr>
          <w:rFonts w:ascii="Times New Roman" w:eastAsia="Times New Roman" w:hAnsi="Times New Roman" w:cs="Times New Roman"/>
          <w:color w:val="000000"/>
          <w:sz w:val="24"/>
          <w:szCs w:val="24"/>
          <w:lang w:eastAsia="fr-FR"/>
        </w:rPr>
        <w:t xml:space="preserve">e </w:t>
      </w:r>
      <w:r w:rsidR="005A522F" w:rsidRPr="000A4A0F">
        <w:rPr>
          <w:rFonts w:ascii="Times New Roman" w:hAnsi="Times New Roman" w:cs="Times New Roman"/>
          <w:sz w:val="24"/>
          <w:szCs w:val="24"/>
        </w:rPr>
        <w:t>à</w:t>
      </w:r>
      <w:r w:rsidR="003F1209">
        <w:rPr>
          <w:rFonts w:ascii="Times New Roman" w:eastAsia="Times New Roman" w:hAnsi="Times New Roman" w:cs="Times New Roman"/>
          <w:color w:val="000000"/>
          <w:sz w:val="24"/>
          <w:szCs w:val="24"/>
          <w:lang w:eastAsia="fr-FR"/>
        </w:rPr>
        <w:t xml:space="preserve"> l’infection (p≤0,05).</w:t>
      </w:r>
    </w:p>
    <w:p w14:paraId="61CA59DA" w14:textId="690CB0C3" w:rsidR="001C6FB4" w:rsidRDefault="003F1209" w:rsidP="00895EFB">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L</w:t>
      </w:r>
      <w:r w:rsidR="001C6FB4">
        <w:rPr>
          <w:rFonts w:ascii="Times New Roman" w:eastAsia="Times New Roman" w:hAnsi="Times New Roman" w:cs="Times New Roman"/>
          <w:color w:val="000000"/>
          <w:sz w:val="24"/>
          <w:szCs w:val="24"/>
          <w:lang w:eastAsia="fr-FR"/>
        </w:rPr>
        <w:t xml:space="preserve">es facteurs </w:t>
      </w:r>
      <w:r w:rsidR="001F0CE3">
        <w:rPr>
          <w:rFonts w:ascii="Times New Roman" w:eastAsia="Times New Roman" w:hAnsi="Times New Roman" w:cs="Times New Roman"/>
          <w:color w:val="000000"/>
          <w:sz w:val="24"/>
          <w:szCs w:val="24"/>
          <w:lang w:eastAsia="fr-FR"/>
        </w:rPr>
        <w:t>de risque de la mortalit</w:t>
      </w:r>
      <w:r w:rsidR="001F0CE3" w:rsidRPr="00344791">
        <w:rPr>
          <w:rFonts w:ascii="Times New Roman" w:hAnsi="Times New Roman" w:cs="Times New Roman"/>
          <w:sz w:val="24"/>
          <w:szCs w:val="24"/>
        </w:rPr>
        <w:t>é</w:t>
      </w:r>
      <w:r w:rsidR="001F0CE3">
        <w:rPr>
          <w:rFonts w:ascii="Times New Roman" w:eastAsia="Times New Roman" w:hAnsi="Times New Roman" w:cs="Times New Roman"/>
          <w:color w:val="000000"/>
          <w:sz w:val="24"/>
          <w:szCs w:val="24"/>
          <w:lang w:eastAsia="fr-FR"/>
        </w:rPr>
        <w:t xml:space="preserve"> </w:t>
      </w:r>
      <w:r w:rsidR="001F0CE3" w:rsidRPr="00344791">
        <w:rPr>
          <w:rFonts w:ascii="Times New Roman" w:hAnsi="Times New Roman" w:cs="Times New Roman"/>
          <w:sz w:val="24"/>
          <w:szCs w:val="24"/>
        </w:rPr>
        <w:t>é</w:t>
      </w:r>
      <w:r>
        <w:rPr>
          <w:rFonts w:ascii="Times New Roman" w:eastAsia="Times New Roman" w:hAnsi="Times New Roman" w:cs="Times New Roman"/>
          <w:color w:val="000000"/>
          <w:sz w:val="24"/>
          <w:szCs w:val="24"/>
          <w:lang w:eastAsia="fr-FR"/>
        </w:rPr>
        <w:t xml:space="preserve">taient </w:t>
      </w:r>
      <w:r w:rsidR="001C6FB4">
        <w:rPr>
          <w:rFonts w:ascii="Times New Roman" w:eastAsia="Times New Roman" w:hAnsi="Times New Roman" w:cs="Times New Roman"/>
          <w:color w:val="000000"/>
          <w:sz w:val="24"/>
          <w:szCs w:val="24"/>
          <w:lang w:eastAsia="fr-FR"/>
        </w:rPr>
        <w:t>la prématurité et l’infection.</w:t>
      </w:r>
    </w:p>
    <w:p w14:paraId="0442F67A" w14:textId="5E1666FE" w:rsidR="0033724D" w:rsidRPr="003F1209" w:rsidRDefault="003F1209" w:rsidP="00895EFB">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L’</w:t>
      </w:r>
      <w:proofErr w:type="spellStart"/>
      <w:r>
        <w:rPr>
          <w:rFonts w:ascii="Times New Roman" w:eastAsia="Times New Roman" w:hAnsi="Times New Roman" w:cs="Times New Roman"/>
          <w:color w:val="000000"/>
          <w:sz w:val="24"/>
          <w:szCs w:val="24"/>
          <w:lang w:eastAsia="fr-FR"/>
        </w:rPr>
        <w:t>ictere</w:t>
      </w:r>
      <w:proofErr w:type="spellEnd"/>
      <w:r>
        <w:rPr>
          <w:rFonts w:ascii="Times New Roman" w:eastAsia="Times New Roman" w:hAnsi="Times New Roman" w:cs="Times New Roman"/>
          <w:color w:val="000000"/>
          <w:sz w:val="24"/>
          <w:szCs w:val="24"/>
          <w:lang w:eastAsia="fr-FR"/>
        </w:rPr>
        <w:t xml:space="preserve"> pathologique reste un</w:t>
      </w:r>
      <w:r w:rsidR="005A522F">
        <w:rPr>
          <w:rFonts w:ascii="Times New Roman" w:eastAsia="Times New Roman" w:hAnsi="Times New Roman" w:cs="Times New Roman"/>
          <w:color w:val="000000"/>
          <w:sz w:val="24"/>
          <w:szCs w:val="24"/>
          <w:lang w:eastAsia="fr-FR"/>
        </w:rPr>
        <w:t xml:space="preserve"> </w:t>
      </w:r>
      <w:proofErr w:type="spellStart"/>
      <w:r w:rsidR="005A522F">
        <w:rPr>
          <w:rFonts w:ascii="Times New Roman" w:eastAsia="Times New Roman" w:hAnsi="Times New Roman" w:cs="Times New Roman"/>
          <w:color w:val="000000"/>
          <w:sz w:val="24"/>
          <w:szCs w:val="24"/>
          <w:lang w:eastAsia="fr-FR"/>
        </w:rPr>
        <w:t>ph</w:t>
      </w:r>
      <w:r w:rsidR="005A522F" w:rsidRPr="000A4A0F">
        <w:rPr>
          <w:rFonts w:ascii="Times New Roman" w:hAnsi="Times New Roman" w:cs="Times New Roman"/>
          <w:sz w:val="24"/>
          <w:szCs w:val="24"/>
          <w:bdr w:val="none" w:sz="0" w:space="0" w:color="auto" w:frame="1"/>
          <w:lang w:eastAsia="fr-FR"/>
        </w:rPr>
        <w:t>é</w:t>
      </w:r>
      <w:r w:rsidR="001F0CE3">
        <w:rPr>
          <w:rFonts w:ascii="Times New Roman" w:eastAsia="Times New Roman" w:hAnsi="Times New Roman" w:cs="Times New Roman"/>
          <w:color w:val="000000"/>
          <w:sz w:val="24"/>
          <w:szCs w:val="24"/>
          <w:lang w:eastAsia="fr-FR"/>
        </w:rPr>
        <w:t>nomene</w:t>
      </w:r>
      <w:proofErr w:type="spellEnd"/>
      <w:r w:rsidR="001F0CE3">
        <w:rPr>
          <w:rFonts w:ascii="Times New Roman" w:eastAsia="Times New Roman" w:hAnsi="Times New Roman" w:cs="Times New Roman"/>
          <w:color w:val="000000"/>
          <w:sz w:val="24"/>
          <w:szCs w:val="24"/>
          <w:lang w:eastAsia="fr-FR"/>
        </w:rPr>
        <w:t xml:space="preserve"> </w:t>
      </w:r>
      <w:proofErr w:type="spellStart"/>
      <w:r w:rsidR="001F0CE3">
        <w:rPr>
          <w:rFonts w:ascii="Times New Roman" w:eastAsia="Times New Roman" w:hAnsi="Times New Roman" w:cs="Times New Roman"/>
          <w:color w:val="000000"/>
          <w:sz w:val="24"/>
          <w:szCs w:val="24"/>
          <w:lang w:eastAsia="fr-FR"/>
        </w:rPr>
        <w:t>frequent</w:t>
      </w:r>
      <w:proofErr w:type="spellEnd"/>
      <w:r w:rsidR="001F0CE3">
        <w:rPr>
          <w:rFonts w:ascii="Times New Roman" w:eastAsia="Times New Roman" w:hAnsi="Times New Roman" w:cs="Times New Roman"/>
          <w:color w:val="000000"/>
          <w:sz w:val="24"/>
          <w:szCs w:val="24"/>
          <w:lang w:eastAsia="fr-FR"/>
        </w:rPr>
        <w:t xml:space="preserve"> durant la p</w:t>
      </w:r>
      <w:r w:rsidR="001F0CE3" w:rsidRPr="00344791">
        <w:rPr>
          <w:rFonts w:ascii="Times New Roman" w:hAnsi="Times New Roman" w:cs="Times New Roman"/>
          <w:sz w:val="24"/>
          <w:szCs w:val="24"/>
        </w:rPr>
        <w:t>é</w:t>
      </w:r>
      <w:r w:rsidR="001F0CE3">
        <w:rPr>
          <w:rFonts w:ascii="Times New Roman" w:eastAsia="Times New Roman" w:hAnsi="Times New Roman" w:cs="Times New Roman"/>
          <w:color w:val="000000"/>
          <w:sz w:val="24"/>
          <w:szCs w:val="24"/>
          <w:lang w:eastAsia="fr-FR"/>
        </w:rPr>
        <w:t>riode n</w:t>
      </w:r>
      <w:r w:rsidR="001F0CE3" w:rsidRPr="00344791">
        <w:rPr>
          <w:rFonts w:ascii="Times New Roman" w:hAnsi="Times New Roman" w:cs="Times New Roman"/>
          <w:sz w:val="24"/>
          <w:szCs w:val="24"/>
        </w:rPr>
        <w:t>é</w:t>
      </w:r>
      <w:r w:rsidR="001F0CE3">
        <w:rPr>
          <w:rFonts w:ascii="Times New Roman" w:eastAsia="Times New Roman" w:hAnsi="Times New Roman" w:cs="Times New Roman"/>
          <w:color w:val="000000"/>
          <w:sz w:val="24"/>
          <w:szCs w:val="24"/>
          <w:lang w:eastAsia="fr-FR"/>
        </w:rPr>
        <w:t>onatale, la mortalit</w:t>
      </w:r>
      <w:r w:rsidR="001F0CE3" w:rsidRPr="00344791">
        <w:rPr>
          <w:rFonts w:ascii="Times New Roman" w:hAnsi="Times New Roman" w:cs="Times New Roman"/>
          <w:sz w:val="24"/>
          <w:szCs w:val="24"/>
        </w:rPr>
        <w:t>é</w:t>
      </w:r>
      <w:r w:rsidR="001F0CE3">
        <w:rPr>
          <w:rFonts w:ascii="Times New Roman" w:eastAsia="Times New Roman" w:hAnsi="Times New Roman" w:cs="Times New Roman"/>
          <w:color w:val="000000"/>
          <w:sz w:val="24"/>
          <w:szCs w:val="24"/>
          <w:lang w:eastAsia="fr-FR"/>
        </w:rPr>
        <w:t xml:space="preserve"> li</w:t>
      </w:r>
      <w:r w:rsidR="001F0CE3" w:rsidRPr="00344791">
        <w:rPr>
          <w:rFonts w:ascii="Times New Roman" w:hAnsi="Times New Roman" w:cs="Times New Roman"/>
          <w:sz w:val="24"/>
          <w:szCs w:val="24"/>
        </w:rPr>
        <w:t>é</w:t>
      </w:r>
      <w:r w:rsidR="005A522F">
        <w:rPr>
          <w:rFonts w:ascii="Times New Roman" w:eastAsia="Times New Roman" w:hAnsi="Times New Roman" w:cs="Times New Roman"/>
          <w:color w:val="000000"/>
          <w:sz w:val="24"/>
          <w:szCs w:val="24"/>
          <w:lang w:eastAsia="fr-FR"/>
        </w:rPr>
        <w:t xml:space="preserve">e </w:t>
      </w:r>
      <w:r w:rsidR="005A522F" w:rsidRPr="000A4A0F">
        <w:rPr>
          <w:rFonts w:ascii="Times New Roman" w:hAnsi="Times New Roman" w:cs="Times New Roman"/>
          <w:sz w:val="24"/>
          <w:szCs w:val="24"/>
        </w:rPr>
        <w:t>à</w:t>
      </w:r>
      <w:r>
        <w:rPr>
          <w:rFonts w:ascii="Times New Roman" w:eastAsia="Times New Roman" w:hAnsi="Times New Roman" w:cs="Times New Roman"/>
          <w:color w:val="000000"/>
          <w:sz w:val="24"/>
          <w:szCs w:val="24"/>
          <w:lang w:eastAsia="fr-FR"/>
        </w:rPr>
        <w:t xml:space="preserve"> cette pathologie lorsque cer</w:t>
      </w:r>
      <w:r w:rsidR="005A522F">
        <w:rPr>
          <w:rFonts w:ascii="Times New Roman" w:eastAsia="Times New Roman" w:hAnsi="Times New Roman" w:cs="Times New Roman"/>
          <w:color w:val="000000"/>
          <w:sz w:val="24"/>
          <w:szCs w:val="24"/>
          <w:lang w:eastAsia="fr-FR"/>
        </w:rPr>
        <w:t>t</w:t>
      </w:r>
      <w:r>
        <w:rPr>
          <w:rFonts w:ascii="Times New Roman" w:eastAsia="Times New Roman" w:hAnsi="Times New Roman" w:cs="Times New Roman"/>
          <w:color w:val="000000"/>
          <w:sz w:val="24"/>
          <w:szCs w:val="24"/>
          <w:lang w:eastAsia="fr-FR"/>
        </w:rPr>
        <w:t>ains fac</w:t>
      </w:r>
      <w:r w:rsidR="005A522F">
        <w:rPr>
          <w:rFonts w:ascii="Times New Roman" w:eastAsia="Times New Roman" w:hAnsi="Times New Roman" w:cs="Times New Roman"/>
          <w:color w:val="000000"/>
          <w:sz w:val="24"/>
          <w:szCs w:val="24"/>
          <w:lang w:eastAsia="fr-FR"/>
        </w:rPr>
        <w:t>teurs de risque lui sont associ</w:t>
      </w:r>
      <w:r w:rsidR="005A522F" w:rsidRPr="00344791">
        <w:rPr>
          <w:rFonts w:ascii="Times New Roman" w:hAnsi="Times New Roman" w:cs="Times New Roman"/>
          <w:sz w:val="24"/>
          <w:szCs w:val="24"/>
        </w:rPr>
        <w:t>é</w:t>
      </w:r>
      <w:r>
        <w:rPr>
          <w:rFonts w:ascii="Times New Roman" w:eastAsia="Times New Roman" w:hAnsi="Times New Roman" w:cs="Times New Roman"/>
          <w:color w:val="000000"/>
          <w:sz w:val="24"/>
          <w:szCs w:val="24"/>
          <w:lang w:eastAsia="fr-FR"/>
        </w:rPr>
        <w:t>s doit attirer l’atte</w:t>
      </w:r>
      <w:r w:rsidR="005A522F">
        <w:rPr>
          <w:rFonts w:ascii="Times New Roman" w:eastAsia="Times New Roman" w:hAnsi="Times New Roman" w:cs="Times New Roman"/>
          <w:color w:val="000000"/>
          <w:sz w:val="24"/>
          <w:szCs w:val="24"/>
          <w:lang w:eastAsia="fr-FR"/>
        </w:rPr>
        <w:t xml:space="preserve">ntion de soignant </w:t>
      </w:r>
      <w:proofErr w:type="spellStart"/>
      <w:r w:rsidR="005A522F">
        <w:rPr>
          <w:rFonts w:ascii="Times New Roman" w:eastAsia="Times New Roman" w:hAnsi="Times New Roman" w:cs="Times New Roman"/>
          <w:color w:val="000000"/>
          <w:sz w:val="24"/>
          <w:szCs w:val="24"/>
          <w:lang w:eastAsia="fr-FR"/>
        </w:rPr>
        <w:t>quand</w:t>
      </w:r>
      <w:proofErr w:type="spellEnd"/>
      <w:r w:rsidR="005A522F">
        <w:rPr>
          <w:rFonts w:ascii="Times New Roman" w:eastAsia="Times New Roman" w:hAnsi="Times New Roman" w:cs="Times New Roman"/>
          <w:color w:val="000000"/>
          <w:sz w:val="24"/>
          <w:szCs w:val="24"/>
          <w:lang w:eastAsia="fr-FR"/>
        </w:rPr>
        <w:t xml:space="preserve"> </w:t>
      </w:r>
      <w:r w:rsidR="005A522F" w:rsidRPr="000A4A0F">
        <w:rPr>
          <w:rFonts w:ascii="Times New Roman" w:hAnsi="Times New Roman" w:cs="Times New Roman"/>
          <w:sz w:val="24"/>
          <w:szCs w:val="24"/>
        </w:rPr>
        <w:t>à</w:t>
      </w:r>
      <w:r w:rsidR="005A522F">
        <w:rPr>
          <w:rFonts w:ascii="Times New Roman" w:eastAsia="Times New Roman" w:hAnsi="Times New Roman" w:cs="Times New Roman"/>
          <w:color w:val="000000"/>
          <w:sz w:val="24"/>
          <w:szCs w:val="24"/>
          <w:lang w:eastAsia="fr-FR"/>
        </w:rPr>
        <w:t xml:space="preserve"> la pr</w:t>
      </w:r>
      <w:r w:rsidR="005A522F" w:rsidRPr="00344791">
        <w:rPr>
          <w:rFonts w:ascii="Times New Roman" w:hAnsi="Times New Roman" w:cs="Times New Roman"/>
          <w:sz w:val="24"/>
          <w:szCs w:val="24"/>
        </w:rPr>
        <w:t>é</w:t>
      </w:r>
      <w:r w:rsidR="005A522F">
        <w:rPr>
          <w:rFonts w:ascii="Times New Roman" w:eastAsia="Times New Roman" w:hAnsi="Times New Roman" w:cs="Times New Roman"/>
          <w:color w:val="000000"/>
          <w:sz w:val="24"/>
          <w:szCs w:val="24"/>
          <w:lang w:eastAsia="fr-FR"/>
        </w:rPr>
        <w:t>vention de la pr</w:t>
      </w:r>
      <w:r w:rsidR="005A522F" w:rsidRPr="00344791">
        <w:rPr>
          <w:rFonts w:ascii="Times New Roman" w:hAnsi="Times New Roman" w:cs="Times New Roman"/>
          <w:sz w:val="24"/>
          <w:szCs w:val="24"/>
        </w:rPr>
        <w:t>é</w:t>
      </w:r>
      <w:r w:rsidR="005A522F">
        <w:rPr>
          <w:rFonts w:ascii="Times New Roman" w:eastAsia="Times New Roman" w:hAnsi="Times New Roman" w:cs="Times New Roman"/>
          <w:color w:val="000000"/>
          <w:sz w:val="24"/>
          <w:szCs w:val="24"/>
          <w:lang w:eastAsia="fr-FR"/>
        </w:rPr>
        <w:t>maturit</w:t>
      </w:r>
      <w:r w:rsidR="005A522F" w:rsidRPr="00344791">
        <w:rPr>
          <w:rFonts w:ascii="Times New Roman" w:hAnsi="Times New Roman" w:cs="Times New Roman"/>
          <w:sz w:val="24"/>
          <w:szCs w:val="24"/>
        </w:rPr>
        <w:t>é</w:t>
      </w:r>
      <w:r>
        <w:rPr>
          <w:rFonts w:ascii="Times New Roman" w:eastAsia="Times New Roman" w:hAnsi="Times New Roman" w:cs="Times New Roman"/>
          <w:color w:val="000000"/>
          <w:sz w:val="24"/>
          <w:szCs w:val="24"/>
          <w:lang w:eastAsia="fr-FR"/>
        </w:rPr>
        <w:t xml:space="preserve"> et une bonne prise en charge des infections durant la grossesse. </w:t>
      </w:r>
    </w:p>
    <w:p w14:paraId="3667C41B" w14:textId="77777777" w:rsidR="00D831D6" w:rsidRDefault="00D831D6" w:rsidP="004D151A">
      <w:pPr>
        <w:pStyle w:val="Titre1"/>
        <w:spacing w:line="360" w:lineRule="auto"/>
        <w:jc w:val="both"/>
        <w:rPr>
          <w:b w:val="0"/>
          <w:bCs w:val="0"/>
          <w:color w:val="000000"/>
          <w:kern w:val="0"/>
          <w:sz w:val="24"/>
          <w:szCs w:val="24"/>
        </w:rPr>
      </w:pPr>
      <w:bookmarkStart w:id="2" w:name="_Toc87049037"/>
    </w:p>
    <w:p w14:paraId="49809B9F" w14:textId="77777777" w:rsidR="00895EFB" w:rsidRDefault="00895EFB" w:rsidP="004D151A">
      <w:pPr>
        <w:pStyle w:val="Titre1"/>
        <w:spacing w:line="360" w:lineRule="auto"/>
        <w:jc w:val="both"/>
        <w:rPr>
          <w:b w:val="0"/>
          <w:bCs w:val="0"/>
          <w:color w:val="000000"/>
          <w:kern w:val="0"/>
          <w:sz w:val="24"/>
          <w:szCs w:val="24"/>
        </w:rPr>
      </w:pPr>
    </w:p>
    <w:p w14:paraId="04829D0D" w14:textId="77777777" w:rsidR="00895EFB" w:rsidRDefault="00895EFB" w:rsidP="004D151A">
      <w:pPr>
        <w:pStyle w:val="Titre1"/>
        <w:spacing w:line="360" w:lineRule="auto"/>
        <w:jc w:val="both"/>
        <w:rPr>
          <w:b w:val="0"/>
          <w:bCs w:val="0"/>
          <w:color w:val="000000"/>
          <w:kern w:val="0"/>
          <w:sz w:val="24"/>
          <w:szCs w:val="24"/>
        </w:rPr>
      </w:pPr>
    </w:p>
    <w:p w14:paraId="21CFA4C9" w14:textId="77777777" w:rsidR="00895EFB" w:rsidRDefault="00895EFB" w:rsidP="004D151A">
      <w:pPr>
        <w:pStyle w:val="Titre1"/>
        <w:spacing w:line="360" w:lineRule="auto"/>
        <w:jc w:val="both"/>
        <w:rPr>
          <w:b w:val="0"/>
          <w:bCs w:val="0"/>
          <w:color w:val="000000"/>
          <w:kern w:val="0"/>
          <w:sz w:val="24"/>
          <w:szCs w:val="24"/>
        </w:rPr>
      </w:pPr>
    </w:p>
    <w:p w14:paraId="35F17B2D" w14:textId="77777777" w:rsidR="00895EFB" w:rsidRDefault="00895EFB" w:rsidP="004D151A">
      <w:pPr>
        <w:pStyle w:val="Titre1"/>
        <w:spacing w:line="360" w:lineRule="auto"/>
        <w:jc w:val="both"/>
        <w:rPr>
          <w:b w:val="0"/>
          <w:bCs w:val="0"/>
          <w:color w:val="000000"/>
          <w:kern w:val="0"/>
          <w:sz w:val="24"/>
          <w:szCs w:val="24"/>
        </w:rPr>
      </w:pPr>
    </w:p>
    <w:p w14:paraId="2199C2F1" w14:textId="42A9C36E" w:rsidR="00A76C0E" w:rsidRPr="004D151A" w:rsidRDefault="00A76C0E" w:rsidP="00D831D6">
      <w:pPr>
        <w:pStyle w:val="Titre1"/>
        <w:spacing w:before="0" w:beforeAutospacing="0" w:after="0" w:afterAutospacing="0" w:line="360" w:lineRule="auto"/>
        <w:jc w:val="both"/>
        <w:rPr>
          <w:sz w:val="24"/>
          <w:szCs w:val="24"/>
        </w:rPr>
      </w:pPr>
      <w:r w:rsidRPr="000A4A0F">
        <w:rPr>
          <w:sz w:val="24"/>
          <w:szCs w:val="24"/>
        </w:rPr>
        <w:lastRenderedPageBreak/>
        <w:t>SIGLES ET ABREVIATIONS</w:t>
      </w:r>
      <w:bookmarkEnd w:id="2"/>
    </w:p>
    <w:p w14:paraId="394DF60B" w14:textId="13190AF8" w:rsidR="00BF20CA" w:rsidRPr="000A4A0F" w:rsidRDefault="00A95533"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hAnsi="Times New Roman" w:cs="Times New Roman"/>
          <w:sz w:val="24"/>
          <w:szCs w:val="24"/>
        </w:rPr>
        <w:t>NN</w:t>
      </w:r>
      <w:r w:rsidR="00BF20CA" w:rsidRPr="000A4A0F">
        <w:rPr>
          <w:rFonts w:ascii="Times New Roman" w:eastAsia="Times New Roman" w:hAnsi="Times New Roman" w:cs="Times New Roman"/>
          <w:bCs/>
          <w:color w:val="auto"/>
          <w:kern w:val="36"/>
          <w:sz w:val="24"/>
          <w:szCs w:val="24"/>
          <w:lang w:eastAsia="fr-FR"/>
        </w:rPr>
        <w:t> : Nouveau-né</w:t>
      </w:r>
    </w:p>
    <w:p w14:paraId="606C4354" w14:textId="4E5BEF18" w:rsidR="0084464B" w:rsidRPr="000A4A0F" w:rsidRDefault="0084464B"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USA : Etats Unis d’Amérique</w:t>
      </w:r>
    </w:p>
    <w:p w14:paraId="20FABE1C" w14:textId="7482066B" w:rsidR="0084464B" w:rsidRPr="000A4A0F" w:rsidRDefault="0084464B"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CHU : Centre Hospitalo-Universitaire</w:t>
      </w:r>
    </w:p>
    <w:p w14:paraId="20F51060" w14:textId="5BC479E2" w:rsidR="0084464B" w:rsidRPr="000A4A0F" w:rsidRDefault="0084464B"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G6PD : Glucose 6 Phosphate Déshydrogénase</w:t>
      </w:r>
    </w:p>
    <w:p w14:paraId="3076E1E2" w14:textId="7ADC44CD" w:rsidR="0084464B" w:rsidRPr="000A4A0F" w:rsidRDefault="0084464B"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 xml:space="preserve">EBH : Encéphalopathie Hyper </w:t>
      </w:r>
      <w:proofErr w:type="spellStart"/>
      <w:r w:rsidRPr="000A4A0F">
        <w:rPr>
          <w:rFonts w:ascii="Times New Roman" w:eastAsia="Times New Roman" w:hAnsi="Times New Roman" w:cs="Times New Roman"/>
          <w:bCs/>
          <w:color w:val="auto"/>
          <w:kern w:val="36"/>
          <w:sz w:val="24"/>
          <w:szCs w:val="24"/>
          <w:lang w:eastAsia="fr-FR"/>
        </w:rPr>
        <w:t>Bilirubinémique</w:t>
      </w:r>
      <w:proofErr w:type="spellEnd"/>
    </w:p>
    <w:p w14:paraId="24AF79B1" w14:textId="3386A7C5" w:rsidR="0084464B" w:rsidRPr="000A4A0F" w:rsidRDefault="0084464B"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HPGRB : Hôpital Provincial Général de Référence de Bukavu</w:t>
      </w:r>
    </w:p>
    <w:p w14:paraId="0602C686" w14:textId="04F79683" w:rsidR="0084464B" w:rsidRPr="000A4A0F" w:rsidRDefault="0084464B"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SIN : Soins Intensifs Néonatals</w:t>
      </w:r>
    </w:p>
    <w:p w14:paraId="1FD9E374" w14:textId="57BD39EF" w:rsidR="0084464B" w:rsidRPr="000A4A0F" w:rsidRDefault="0084464B"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BT</w:t>
      </w:r>
      <w:r w:rsidR="005962D7" w:rsidRPr="000A4A0F">
        <w:rPr>
          <w:rFonts w:ascii="Times New Roman" w:eastAsia="Times New Roman" w:hAnsi="Times New Roman" w:cs="Times New Roman"/>
          <w:bCs/>
          <w:color w:val="auto"/>
          <w:kern w:val="36"/>
          <w:sz w:val="24"/>
          <w:szCs w:val="24"/>
          <w:lang w:eastAsia="fr-FR"/>
        </w:rPr>
        <w:t xml:space="preserve"> &amp; C : Bilirubine Totale et</w:t>
      </w:r>
      <w:r w:rsidR="005962D7" w:rsidRPr="002B265C">
        <w:rPr>
          <w:rFonts w:ascii="Times New Roman" w:eastAsia="Times New Roman" w:hAnsi="Times New Roman" w:cs="Times New Roman"/>
          <w:bCs/>
          <w:color w:val="FF0000"/>
          <w:kern w:val="36"/>
          <w:sz w:val="24"/>
          <w:szCs w:val="24"/>
          <w:lang w:eastAsia="fr-FR"/>
        </w:rPr>
        <w:t xml:space="preserve"> Conjugue</w:t>
      </w:r>
    </w:p>
    <w:p w14:paraId="11647A44" w14:textId="42E42553" w:rsidR="005962D7" w:rsidRPr="000A4A0F" w:rsidRDefault="005962D7"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AAP : Académie Américaine de Pédiatrie</w:t>
      </w:r>
    </w:p>
    <w:p w14:paraId="42C68B1C" w14:textId="73F6D57C" w:rsidR="00A95533" w:rsidRPr="000A4A0F" w:rsidRDefault="00A95533"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Rh </w:t>
      </w:r>
      <w:r w:rsidR="005A4B00" w:rsidRPr="000A4A0F">
        <w:rPr>
          <w:rFonts w:ascii="Times New Roman" w:eastAsia="Times New Roman" w:hAnsi="Times New Roman" w:cs="Times New Roman"/>
          <w:bCs/>
          <w:color w:val="auto"/>
          <w:kern w:val="36"/>
          <w:sz w:val="24"/>
          <w:szCs w:val="24"/>
          <w:lang w:eastAsia="fr-FR"/>
        </w:rPr>
        <w:t>: Rhésus</w:t>
      </w:r>
    </w:p>
    <w:p w14:paraId="30F608AE" w14:textId="3A334D95" w:rsidR="00A95533" w:rsidRPr="000A4A0F" w:rsidRDefault="005A4B00"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BST : Bilirubine sérique total</w:t>
      </w:r>
    </w:p>
    <w:p w14:paraId="08F0544D" w14:textId="111D74CE" w:rsidR="005A4B00" w:rsidRPr="000A4A0F" w:rsidRDefault="005A4B00"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proofErr w:type="spellStart"/>
      <w:r w:rsidRPr="000A4A0F">
        <w:rPr>
          <w:rFonts w:ascii="Times New Roman" w:eastAsia="Times New Roman" w:hAnsi="Times New Roman" w:cs="Times New Roman"/>
          <w:bCs/>
          <w:color w:val="auto"/>
          <w:kern w:val="36"/>
          <w:sz w:val="24"/>
          <w:szCs w:val="24"/>
          <w:lang w:eastAsia="fr-FR"/>
        </w:rPr>
        <w:t>Hb</w:t>
      </w:r>
      <w:proofErr w:type="spellEnd"/>
      <w:r w:rsidRPr="000A4A0F">
        <w:rPr>
          <w:rFonts w:ascii="Times New Roman" w:eastAsia="Times New Roman" w:hAnsi="Times New Roman" w:cs="Times New Roman"/>
          <w:bCs/>
          <w:color w:val="auto"/>
          <w:kern w:val="36"/>
          <w:sz w:val="24"/>
          <w:szCs w:val="24"/>
          <w:lang w:eastAsia="fr-FR"/>
        </w:rPr>
        <w:t> : Hémoglobine</w:t>
      </w:r>
    </w:p>
    <w:p w14:paraId="5D342924" w14:textId="357EF25E" w:rsidR="005A4B00" w:rsidRPr="000A4A0F" w:rsidRDefault="005A4B00"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CO : Monoxyde de carbone</w:t>
      </w:r>
    </w:p>
    <w:p w14:paraId="0ECE4CF2" w14:textId="47BC0449" w:rsidR="005A4B00" w:rsidRPr="000A4A0F" w:rsidRDefault="005A4B00"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PaO2 : Pression artérielle en oxygène.</w:t>
      </w:r>
    </w:p>
    <w:p w14:paraId="3216B9C2" w14:textId="2323F62D" w:rsidR="005A4B00" w:rsidRPr="002B265C" w:rsidRDefault="005A4B00" w:rsidP="00D831D6">
      <w:pPr>
        <w:suppressAutoHyphens w:val="0"/>
        <w:spacing w:after="0" w:line="360" w:lineRule="auto"/>
        <w:jc w:val="both"/>
        <w:rPr>
          <w:rFonts w:ascii="Times New Roman" w:eastAsia="Times New Roman" w:hAnsi="Times New Roman" w:cs="Times New Roman"/>
          <w:bCs/>
          <w:color w:val="FF0000"/>
          <w:kern w:val="36"/>
          <w:sz w:val="24"/>
          <w:szCs w:val="24"/>
          <w:lang w:eastAsia="fr-FR"/>
        </w:rPr>
      </w:pPr>
      <w:r w:rsidRPr="002B265C">
        <w:rPr>
          <w:rFonts w:ascii="Times New Roman" w:eastAsia="Times New Roman" w:hAnsi="Times New Roman" w:cs="Times New Roman"/>
          <w:bCs/>
          <w:color w:val="FF0000"/>
          <w:kern w:val="36"/>
          <w:sz w:val="24"/>
          <w:szCs w:val="24"/>
          <w:lang w:eastAsia="fr-FR"/>
        </w:rPr>
        <w:t xml:space="preserve">BHE : Encéphalopathie </w:t>
      </w:r>
      <w:proofErr w:type="spellStart"/>
      <w:r w:rsidRPr="002B265C">
        <w:rPr>
          <w:rFonts w:ascii="Times New Roman" w:eastAsia="Times New Roman" w:hAnsi="Times New Roman" w:cs="Times New Roman"/>
          <w:bCs/>
          <w:color w:val="FF0000"/>
          <w:kern w:val="36"/>
          <w:sz w:val="24"/>
          <w:szCs w:val="24"/>
          <w:lang w:eastAsia="fr-FR"/>
        </w:rPr>
        <w:t>Hyperbilirubinemique</w:t>
      </w:r>
      <w:proofErr w:type="spellEnd"/>
      <w:r w:rsidRPr="002B265C">
        <w:rPr>
          <w:rFonts w:ascii="Times New Roman" w:eastAsia="Times New Roman" w:hAnsi="Times New Roman" w:cs="Times New Roman"/>
          <w:bCs/>
          <w:color w:val="FF0000"/>
          <w:kern w:val="36"/>
          <w:sz w:val="24"/>
          <w:szCs w:val="24"/>
          <w:lang w:eastAsia="fr-FR"/>
        </w:rPr>
        <w:t>.</w:t>
      </w:r>
    </w:p>
    <w:p w14:paraId="35A7DE96" w14:textId="361CC8FF" w:rsidR="005A4B00" w:rsidRPr="000A4A0F" w:rsidRDefault="005A4B00"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LCR : Liquide céphalo rachidien</w:t>
      </w:r>
    </w:p>
    <w:p w14:paraId="0957BBC7" w14:textId="0336C75E" w:rsidR="005A4B00" w:rsidRPr="000A4A0F" w:rsidRDefault="005A4B00"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BNC : Bilirubine non conjugue.</w:t>
      </w:r>
    </w:p>
    <w:p w14:paraId="6C100488" w14:textId="35ABB686" w:rsidR="005A4B00" w:rsidRPr="000A4A0F" w:rsidRDefault="005A4B00"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EST : Exsanguino-transfusion.</w:t>
      </w:r>
    </w:p>
    <w:p w14:paraId="17861357" w14:textId="5CBD4D2D" w:rsidR="005A4B00" w:rsidRPr="000A4A0F" w:rsidRDefault="005A4B00"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SIN : Soins intensif néonatal.</w:t>
      </w:r>
    </w:p>
    <w:p w14:paraId="6A1A98DB" w14:textId="479A8A48" w:rsidR="005A4B00" w:rsidRPr="000A4A0F" w:rsidRDefault="005A4B00"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PEA : Potentiel Evoque Auditif.</w:t>
      </w:r>
    </w:p>
    <w:p w14:paraId="654691A2" w14:textId="0C7DB507" w:rsidR="005A4B00" w:rsidRPr="000A4A0F" w:rsidRDefault="00A716EE" w:rsidP="00D831D6">
      <w:pPr>
        <w:suppressAutoHyphens w:val="0"/>
        <w:spacing w:after="0" w:line="360" w:lineRule="auto"/>
        <w:jc w:val="both"/>
        <w:rPr>
          <w:rFonts w:ascii="Times New Roman" w:eastAsia="Times New Roman" w:hAnsi="Times New Roman" w:cs="Times New Roman"/>
          <w:bCs/>
          <w:color w:val="auto"/>
          <w:kern w:val="36"/>
          <w:sz w:val="24"/>
          <w:szCs w:val="24"/>
          <w:lang w:val="en-US" w:eastAsia="fr-FR"/>
        </w:rPr>
      </w:pPr>
      <w:r w:rsidRPr="000A4A0F">
        <w:rPr>
          <w:rFonts w:ascii="Times New Roman" w:eastAsia="Times New Roman" w:hAnsi="Times New Roman" w:cs="Times New Roman"/>
          <w:bCs/>
          <w:color w:val="auto"/>
          <w:kern w:val="36"/>
          <w:sz w:val="24"/>
          <w:szCs w:val="24"/>
          <w:lang w:val="en-US" w:eastAsia="fr-FR"/>
        </w:rPr>
        <w:t>CRP: Protein</w:t>
      </w:r>
      <w:r w:rsidR="005A4B00" w:rsidRPr="000A4A0F">
        <w:rPr>
          <w:rFonts w:ascii="Times New Roman" w:eastAsia="Times New Roman" w:hAnsi="Times New Roman" w:cs="Times New Roman"/>
          <w:bCs/>
          <w:color w:val="auto"/>
          <w:kern w:val="36"/>
          <w:sz w:val="24"/>
          <w:szCs w:val="24"/>
          <w:lang w:val="en-US" w:eastAsia="fr-FR"/>
        </w:rPr>
        <w:t xml:space="preserve"> Chain reaction.</w:t>
      </w:r>
    </w:p>
    <w:p w14:paraId="03552FF6" w14:textId="33815BBE" w:rsidR="005A4B00" w:rsidRPr="000A4A0F" w:rsidRDefault="00A716EE" w:rsidP="00D831D6">
      <w:pPr>
        <w:suppressAutoHyphens w:val="0"/>
        <w:spacing w:after="0" w:line="360" w:lineRule="auto"/>
        <w:jc w:val="both"/>
        <w:rPr>
          <w:rFonts w:ascii="Times New Roman" w:eastAsia="Times New Roman" w:hAnsi="Times New Roman" w:cs="Times New Roman"/>
          <w:bCs/>
          <w:color w:val="auto"/>
          <w:kern w:val="36"/>
          <w:sz w:val="24"/>
          <w:szCs w:val="24"/>
          <w:lang w:val="en-US" w:eastAsia="fr-FR"/>
        </w:rPr>
      </w:pPr>
      <w:r w:rsidRPr="000A4A0F">
        <w:rPr>
          <w:rFonts w:ascii="Times New Roman" w:eastAsia="Times New Roman" w:hAnsi="Times New Roman" w:cs="Times New Roman"/>
          <w:bCs/>
          <w:color w:val="auto"/>
          <w:kern w:val="36"/>
          <w:sz w:val="24"/>
          <w:szCs w:val="24"/>
          <w:lang w:val="en-US" w:eastAsia="fr-FR"/>
        </w:rPr>
        <w:t>PCT:</w:t>
      </w:r>
      <w:r w:rsidR="003A25A7" w:rsidRPr="000A4A0F">
        <w:rPr>
          <w:rFonts w:ascii="Times New Roman" w:eastAsia="Times New Roman" w:hAnsi="Times New Roman" w:cs="Times New Roman"/>
          <w:bCs/>
          <w:color w:val="auto"/>
          <w:kern w:val="36"/>
          <w:sz w:val="24"/>
          <w:szCs w:val="24"/>
          <w:lang w:val="en-US" w:eastAsia="fr-FR"/>
        </w:rPr>
        <w:t xml:space="preserve"> Pro </w:t>
      </w:r>
      <w:r w:rsidRPr="000A4A0F">
        <w:rPr>
          <w:rFonts w:ascii="Times New Roman" w:eastAsia="Times New Roman" w:hAnsi="Times New Roman" w:cs="Times New Roman"/>
          <w:bCs/>
          <w:color w:val="auto"/>
          <w:kern w:val="36"/>
          <w:sz w:val="24"/>
          <w:szCs w:val="24"/>
          <w:lang w:val="en-US" w:eastAsia="fr-FR"/>
        </w:rPr>
        <w:t>calcitonin</w:t>
      </w:r>
      <w:r w:rsidR="005A4B00" w:rsidRPr="000A4A0F">
        <w:rPr>
          <w:rFonts w:ascii="Times New Roman" w:eastAsia="Times New Roman" w:hAnsi="Times New Roman" w:cs="Times New Roman"/>
          <w:bCs/>
          <w:color w:val="auto"/>
          <w:kern w:val="36"/>
          <w:sz w:val="24"/>
          <w:szCs w:val="24"/>
          <w:lang w:val="en-US" w:eastAsia="fr-FR"/>
        </w:rPr>
        <w:t>.</w:t>
      </w:r>
    </w:p>
    <w:p w14:paraId="09165D9C" w14:textId="00F37735" w:rsidR="005A4B00" w:rsidRPr="000A4A0F" w:rsidRDefault="003A25A7"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NFS : Numération formule sanguine.</w:t>
      </w:r>
    </w:p>
    <w:p w14:paraId="2753E2A9" w14:textId="681FCA3C" w:rsidR="003A25A7" w:rsidRPr="000A4A0F" w:rsidRDefault="003A25A7"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ATCD : Antécédent.</w:t>
      </w:r>
    </w:p>
    <w:p w14:paraId="269E5C08" w14:textId="4D929F6C" w:rsidR="003A25A7" w:rsidRPr="000A4A0F" w:rsidRDefault="003A25A7"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UCB : Université Catholique de Bukavu.</w:t>
      </w:r>
    </w:p>
    <w:p w14:paraId="0CFACC4D" w14:textId="4C773D77" w:rsidR="003A25A7" w:rsidRPr="000A4A0F" w:rsidRDefault="008B152C"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ATP : Adénosine triphosphate.</w:t>
      </w:r>
    </w:p>
    <w:p w14:paraId="1C1AE07A" w14:textId="3293FE55" w:rsidR="008B152C" w:rsidRPr="000A4A0F" w:rsidRDefault="008B152C" w:rsidP="00D831D6">
      <w:pPr>
        <w:suppressAutoHyphens w:val="0"/>
        <w:spacing w:after="0"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IRM : Imagerie par Résonance magnétique.</w:t>
      </w:r>
    </w:p>
    <w:p w14:paraId="7290C783" w14:textId="77777777" w:rsidR="008B152C" w:rsidRDefault="008B152C" w:rsidP="000A4A0F">
      <w:pPr>
        <w:suppressAutoHyphens w:val="0"/>
        <w:spacing w:line="360" w:lineRule="auto"/>
        <w:jc w:val="both"/>
        <w:rPr>
          <w:rFonts w:ascii="Times New Roman" w:eastAsia="Times New Roman" w:hAnsi="Times New Roman" w:cs="Times New Roman"/>
          <w:bCs/>
          <w:color w:val="auto"/>
          <w:kern w:val="36"/>
          <w:sz w:val="24"/>
          <w:szCs w:val="24"/>
          <w:lang w:eastAsia="fr-FR"/>
        </w:rPr>
      </w:pPr>
    </w:p>
    <w:p w14:paraId="45DB0305" w14:textId="77777777" w:rsidR="00D831D6" w:rsidRPr="000A4A0F" w:rsidRDefault="00D831D6" w:rsidP="00D831D6">
      <w:pPr>
        <w:suppressAutoHyphens w:val="0"/>
        <w:spacing w:after="360" w:line="360" w:lineRule="auto"/>
        <w:jc w:val="both"/>
        <w:rPr>
          <w:rFonts w:ascii="Times New Roman" w:eastAsia="Times New Roman" w:hAnsi="Times New Roman" w:cs="Times New Roman"/>
          <w:bCs/>
          <w:color w:val="auto"/>
          <w:kern w:val="36"/>
          <w:sz w:val="24"/>
          <w:szCs w:val="24"/>
          <w:lang w:eastAsia="fr-FR"/>
        </w:rPr>
      </w:pPr>
    </w:p>
    <w:p w14:paraId="705572C0" w14:textId="77777777" w:rsidR="005A4B00" w:rsidRDefault="005A4B00" w:rsidP="000A4A0F">
      <w:pPr>
        <w:suppressAutoHyphens w:val="0"/>
        <w:spacing w:line="360" w:lineRule="auto"/>
        <w:jc w:val="both"/>
        <w:rPr>
          <w:rFonts w:ascii="Times New Roman" w:eastAsia="Times New Roman" w:hAnsi="Times New Roman" w:cs="Times New Roman"/>
          <w:bCs/>
          <w:color w:val="auto"/>
          <w:kern w:val="36"/>
          <w:sz w:val="24"/>
          <w:szCs w:val="24"/>
          <w:lang w:eastAsia="fr-FR"/>
        </w:rPr>
      </w:pPr>
    </w:p>
    <w:p w14:paraId="04A94552" w14:textId="77777777" w:rsidR="00A716EE" w:rsidRPr="000A4A0F" w:rsidRDefault="00A716EE" w:rsidP="000A4A0F">
      <w:pPr>
        <w:suppressAutoHyphens w:val="0"/>
        <w:spacing w:line="360" w:lineRule="auto"/>
        <w:jc w:val="both"/>
        <w:rPr>
          <w:rFonts w:ascii="Times New Roman" w:eastAsia="Times New Roman" w:hAnsi="Times New Roman" w:cs="Times New Roman"/>
          <w:bCs/>
          <w:color w:val="auto"/>
          <w:kern w:val="36"/>
          <w:sz w:val="24"/>
          <w:szCs w:val="24"/>
          <w:lang w:eastAsia="fr-FR"/>
        </w:rPr>
      </w:pPr>
    </w:p>
    <w:p w14:paraId="38989AA7" w14:textId="14AA5AE5" w:rsidR="005A4B00" w:rsidRPr="000A4A0F" w:rsidRDefault="009D2CA4" w:rsidP="000A4A0F">
      <w:pPr>
        <w:suppressAutoHyphens w:val="0"/>
        <w:spacing w:line="360" w:lineRule="auto"/>
        <w:jc w:val="both"/>
        <w:rPr>
          <w:rFonts w:ascii="Times New Roman" w:eastAsia="Times New Roman" w:hAnsi="Times New Roman" w:cs="Times New Roman"/>
          <w:b/>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lastRenderedPageBreak/>
        <w:t xml:space="preserve">                             </w:t>
      </w:r>
      <w:r w:rsidR="00457461" w:rsidRPr="000A4A0F">
        <w:rPr>
          <w:rFonts w:ascii="Times New Roman" w:eastAsia="Times New Roman" w:hAnsi="Times New Roman" w:cs="Times New Roman"/>
          <w:b/>
          <w:bCs/>
          <w:color w:val="auto"/>
          <w:kern w:val="36"/>
          <w:sz w:val="24"/>
          <w:szCs w:val="24"/>
          <w:lang w:eastAsia="fr-FR"/>
        </w:rPr>
        <w:t>LISTE DES TABLEAUX</w:t>
      </w:r>
      <w:r w:rsidR="00E8645E" w:rsidRPr="000A4A0F">
        <w:rPr>
          <w:rFonts w:ascii="Times New Roman" w:eastAsia="Times New Roman" w:hAnsi="Times New Roman" w:cs="Times New Roman"/>
          <w:b/>
          <w:bCs/>
          <w:color w:val="auto"/>
          <w:kern w:val="36"/>
          <w:sz w:val="24"/>
          <w:szCs w:val="24"/>
          <w:lang w:eastAsia="fr-FR"/>
        </w:rPr>
        <w:t xml:space="preserve"> </w:t>
      </w:r>
    </w:p>
    <w:p w14:paraId="64EFB301" w14:textId="7FCB60D7" w:rsidR="00457461" w:rsidRPr="000A4A0F" w:rsidRDefault="00457461" w:rsidP="000A4A0F">
      <w:pPr>
        <w:suppressAutoHyphens w:val="0"/>
        <w:spacing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T</w:t>
      </w:r>
      <w:r w:rsidR="009D2CA4" w:rsidRPr="000A4A0F">
        <w:rPr>
          <w:rFonts w:ascii="Times New Roman" w:eastAsia="Times New Roman" w:hAnsi="Times New Roman" w:cs="Times New Roman"/>
          <w:bCs/>
          <w:color w:val="auto"/>
          <w:kern w:val="36"/>
          <w:sz w:val="24"/>
          <w:szCs w:val="24"/>
          <w:lang w:eastAsia="fr-FR"/>
        </w:rPr>
        <w:t xml:space="preserve">ableau </w:t>
      </w:r>
      <w:r w:rsidRPr="000A4A0F">
        <w:rPr>
          <w:rFonts w:ascii="Times New Roman" w:eastAsia="Times New Roman" w:hAnsi="Times New Roman" w:cs="Times New Roman"/>
          <w:bCs/>
          <w:color w:val="auto"/>
          <w:kern w:val="36"/>
          <w:sz w:val="24"/>
          <w:szCs w:val="24"/>
          <w:lang w:eastAsia="fr-FR"/>
        </w:rPr>
        <w:t>1 </w:t>
      </w:r>
      <w:r w:rsidR="00611866" w:rsidRPr="000A4A0F">
        <w:rPr>
          <w:rFonts w:ascii="Times New Roman" w:eastAsia="Times New Roman" w:hAnsi="Times New Roman" w:cs="Times New Roman"/>
          <w:bCs/>
          <w:color w:val="auto"/>
          <w:kern w:val="36"/>
          <w:sz w:val="24"/>
          <w:szCs w:val="24"/>
          <w:lang w:eastAsia="fr-FR"/>
        </w:rPr>
        <w:t>: Caractéristiques</w:t>
      </w:r>
      <w:r w:rsidRPr="000A4A0F">
        <w:rPr>
          <w:rFonts w:ascii="Times New Roman" w:eastAsia="Times New Roman" w:hAnsi="Times New Roman" w:cs="Times New Roman"/>
          <w:bCs/>
          <w:color w:val="auto"/>
          <w:kern w:val="36"/>
          <w:sz w:val="24"/>
          <w:szCs w:val="24"/>
          <w:lang w:eastAsia="fr-FR"/>
        </w:rPr>
        <w:t xml:space="preserve"> </w:t>
      </w:r>
      <w:r w:rsidR="00611866" w:rsidRPr="000A4A0F">
        <w:rPr>
          <w:rFonts w:ascii="Times New Roman" w:eastAsia="Times New Roman" w:hAnsi="Times New Roman" w:cs="Times New Roman"/>
          <w:bCs/>
          <w:color w:val="auto"/>
          <w:kern w:val="36"/>
          <w:sz w:val="24"/>
          <w:szCs w:val="24"/>
          <w:lang w:eastAsia="fr-FR"/>
        </w:rPr>
        <w:t>générales</w:t>
      </w:r>
      <w:r w:rsidRPr="000A4A0F">
        <w:rPr>
          <w:rFonts w:ascii="Times New Roman" w:eastAsia="Times New Roman" w:hAnsi="Times New Roman" w:cs="Times New Roman"/>
          <w:bCs/>
          <w:color w:val="auto"/>
          <w:kern w:val="36"/>
          <w:sz w:val="24"/>
          <w:szCs w:val="24"/>
          <w:lang w:eastAsia="fr-FR"/>
        </w:rPr>
        <w:t xml:space="preserve"> de la </w:t>
      </w:r>
      <w:r w:rsidR="00611866" w:rsidRPr="000A4A0F">
        <w:rPr>
          <w:rFonts w:ascii="Times New Roman" w:eastAsia="Times New Roman" w:hAnsi="Times New Roman" w:cs="Times New Roman"/>
          <w:bCs/>
          <w:color w:val="auto"/>
          <w:kern w:val="36"/>
          <w:sz w:val="24"/>
          <w:szCs w:val="24"/>
          <w:lang w:eastAsia="fr-FR"/>
        </w:rPr>
        <w:t>mère</w:t>
      </w:r>
    </w:p>
    <w:p w14:paraId="5AB55AEC" w14:textId="384F062D" w:rsidR="00457461" w:rsidRPr="000A4A0F" w:rsidRDefault="00457461" w:rsidP="000A4A0F">
      <w:pPr>
        <w:suppressAutoHyphens w:val="0"/>
        <w:spacing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T</w:t>
      </w:r>
      <w:r w:rsidR="009D2CA4" w:rsidRPr="000A4A0F">
        <w:rPr>
          <w:rFonts w:ascii="Times New Roman" w:eastAsia="Times New Roman" w:hAnsi="Times New Roman" w:cs="Times New Roman"/>
          <w:bCs/>
          <w:color w:val="auto"/>
          <w:kern w:val="36"/>
          <w:sz w:val="24"/>
          <w:szCs w:val="24"/>
          <w:lang w:eastAsia="fr-FR"/>
        </w:rPr>
        <w:t xml:space="preserve">ableau </w:t>
      </w:r>
      <w:r w:rsidRPr="000A4A0F">
        <w:rPr>
          <w:rFonts w:ascii="Times New Roman" w:eastAsia="Times New Roman" w:hAnsi="Times New Roman" w:cs="Times New Roman"/>
          <w:bCs/>
          <w:color w:val="auto"/>
          <w:kern w:val="36"/>
          <w:sz w:val="24"/>
          <w:szCs w:val="24"/>
          <w:lang w:eastAsia="fr-FR"/>
        </w:rPr>
        <w:t>2 </w:t>
      </w:r>
      <w:r w:rsidR="00611866" w:rsidRPr="000A4A0F">
        <w:rPr>
          <w:rFonts w:ascii="Times New Roman" w:eastAsia="Times New Roman" w:hAnsi="Times New Roman" w:cs="Times New Roman"/>
          <w:bCs/>
          <w:color w:val="auto"/>
          <w:kern w:val="36"/>
          <w:sz w:val="24"/>
          <w:szCs w:val="24"/>
          <w:lang w:eastAsia="fr-FR"/>
        </w:rPr>
        <w:t>: Caractéristiques</w:t>
      </w:r>
      <w:r w:rsidRPr="000A4A0F">
        <w:rPr>
          <w:rFonts w:ascii="Times New Roman" w:eastAsia="Times New Roman" w:hAnsi="Times New Roman" w:cs="Times New Roman"/>
          <w:bCs/>
          <w:color w:val="auto"/>
          <w:kern w:val="36"/>
          <w:sz w:val="24"/>
          <w:szCs w:val="24"/>
          <w:lang w:eastAsia="fr-FR"/>
        </w:rPr>
        <w:t xml:space="preserve"> de </w:t>
      </w:r>
      <w:r w:rsidR="00611866" w:rsidRPr="000A4A0F">
        <w:rPr>
          <w:rFonts w:ascii="Times New Roman" w:eastAsia="Times New Roman" w:hAnsi="Times New Roman" w:cs="Times New Roman"/>
          <w:bCs/>
          <w:color w:val="auto"/>
          <w:kern w:val="36"/>
          <w:sz w:val="24"/>
          <w:szCs w:val="24"/>
          <w:lang w:eastAsia="fr-FR"/>
        </w:rPr>
        <w:t>nouveau-nés</w:t>
      </w:r>
      <w:r w:rsidRPr="000A4A0F">
        <w:rPr>
          <w:rFonts w:ascii="Times New Roman" w:eastAsia="Times New Roman" w:hAnsi="Times New Roman" w:cs="Times New Roman"/>
          <w:bCs/>
          <w:color w:val="auto"/>
          <w:kern w:val="36"/>
          <w:sz w:val="24"/>
          <w:szCs w:val="24"/>
          <w:lang w:eastAsia="fr-FR"/>
        </w:rPr>
        <w:t xml:space="preserve"> </w:t>
      </w:r>
      <w:r w:rsidR="00611866" w:rsidRPr="000A4A0F">
        <w:rPr>
          <w:rFonts w:ascii="Times New Roman" w:eastAsia="Times New Roman" w:hAnsi="Times New Roman" w:cs="Times New Roman"/>
          <w:bCs/>
          <w:color w:val="auto"/>
          <w:kern w:val="36"/>
          <w:sz w:val="24"/>
          <w:szCs w:val="24"/>
          <w:lang w:eastAsia="fr-FR"/>
        </w:rPr>
        <w:t>ictériques</w:t>
      </w:r>
    </w:p>
    <w:p w14:paraId="199B0038" w14:textId="4AACBFBE" w:rsidR="00457461" w:rsidRPr="000A4A0F" w:rsidRDefault="00457461" w:rsidP="000A4A0F">
      <w:pPr>
        <w:suppressAutoHyphens w:val="0"/>
        <w:spacing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T</w:t>
      </w:r>
      <w:r w:rsidR="009D2CA4" w:rsidRPr="000A4A0F">
        <w:rPr>
          <w:rFonts w:ascii="Times New Roman" w:eastAsia="Times New Roman" w:hAnsi="Times New Roman" w:cs="Times New Roman"/>
          <w:bCs/>
          <w:color w:val="auto"/>
          <w:kern w:val="36"/>
          <w:sz w:val="24"/>
          <w:szCs w:val="24"/>
          <w:lang w:eastAsia="fr-FR"/>
        </w:rPr>
        <w:t xml:space="preserve">ableau </w:t>
      </w:r>
      <w:r w:rsidRPr="000A4A0F">
        <w:rPr>
          <w:rFonts w:ascii="Times New Roman" w:eastAsia="Times New Roman" w:hAnsi="Times New Roman" w:cs="Times New Roman"/>
          <w:bCs/>
          <w:color w:val="auto"/>
          <w:kern w:val="36"/>
          <w:sz w:val="24"/>
          <w:szCs w:val="24"/>
          <w:lang w:eastAsia="fr-FR"/>
        </w:rPr>
        <w:t>3 </w:t>
      </w:r>
      <w:r w:rsidR="00611866" w:rsidRPr="000A4A0F">
        <w:rPr>
          <w:rFonts w:ascii="Times New Roman" w:eastAsia="Times New Roman" w:hAnsi="Times New Roman" w:cs="Times New Roman"/>
          <w:bCs/>
          <w:color w:val="auto"/>
          <w:kern w:val="36"/>
          <w:sz w:val="24"/>
          <w:szCs w:val="24"/>
          <w:lang w:eastAsia="fr-FR"/>
        </w:rPr>
        <w:t>: Données</w:t>
      </w:r>
      <w:r w:rsidRPr="000A4A0F">
        <w:rPr>
          <w:rFonts w:ascii="Times New Roman" w:eastAsia="Times New Roman" w:hAnsi="Times New Roman" w:cs="Times New Roman"/>
          <w:bCs/>
          <w:color w:val="auto"/>
          <w:kern w:val="36"/>
          <w:sz w:val="24"/>
          <w:szCs w:val="24"/>
          <w:lang w:eastAsia="fr-FR"/>
        </w:rPr>
        <w:t xml:space="preserve"> c</w:t>
      </w:r>
      <w:r w:rsidR="00D446F3" w:rsidRPr="000A4A0F">
        <w:rPr>
          <w:rFonts w:ascii="Times New Roman" w:eastAsia="Times New Roman" w:hAnsi="Times New Roman" w:cs="Times New Roman"/>
          <w:bCs/>
          <w:color w:val="auto"/>
          <w:kern w:val="36"/>
          <w:sz w:val="24"/>
          <w:szCs w:val="24"/>
          <w:lang w:eastAsia="fr-FR"/>
        </w:rPr>
        <w:t>liniques et biologiques</w:t>
      </w:r>
    </w:p>
    <w:p w14:paraId="2E9EEE9F" w14:textId="6044BC3B" w:rsidR="00D446F3" w:rsidRPr="000A4A0F" w:rsidRDefault="00D446F3" w:rsidP="000A4A0F">
      <w:pPr>
        <w:suppressAutoHyphens w:val="0"/>
        <w:spacing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T</w:t>
      </w:r>
      <w:r w:rsidR="009D2CA4" w:rsidRPr="000A4A0F">
        <w:rPr>
          <w:rFonts w:ascii="Times New Roman" w:eastAsia="Times New Roman" w:hAnsi="Times New Roman" w:cs="Times New Roman"/>
          <w:bCs/>
          <w:color w:val="auto"/>
          <w:kern w:val="36"/>
          <w:sz w:val="24"/>
          <w:szCs w:val="24"/>
          <w:lang w:eastAsia="fr-FR"/>
        </w:rPr>
        <w:t xml:space="preserve">ableau </w:t>
      </w:r>
      <w:r w:rsidRPr="000A4A0F">
        <w:rPr>
          <w:rFonts w:ascii="Times New Roman" w:eastAsia="Times New Roman" w:hAnsi="Times New Roman" w:cs="Times New Roman"/>
          <w:bCs/>
          <w:color w:val="auto"/>
          <w:kern w:val="36"/>
          <w:sz w:val="24"/>
          <w:szCs w:val="24"/>
          <w:lang w:eastAsia="fr-FR"/>
        </w:rPr>
        <w:t>4 </w:t>
      </w:r>
      <w:r w:rsidR="00611866" w:rsidRPr="000A4A0F">
        <w:rPr>
          <w:rFonts w:ascii="Times New Roman" w:eastAsia="Times New Roman" w:hAnsi="Times New Roman" w:cs="Times New Roman"/>
          <w:bCs/>
          <w:color w:val="auto"/>
          <w:kern w:val="36"/>
          <w:sz w:val="24"/>
          <w:szCs w:val="24"/>
          <w:lang w:eastAsia="fr-FR"/>
        </w:rPr>
        <w:t>: Différentes</w:t>
      </w:r>
      <w:r w:rsidR="00E8645E" w:rsidRPr="000A4A0F">
        <w:rPr>
          <w:rFonts w:ascii="Times New Roman" w:eastAsia="Times New Roman" w:hAnsi="Times New Roman" w:cs="Times New Roman"/>
          <w:bCs/>
          <w:color w:val="auto"/>
          <w:kern w:val="36"/>
          <w:sz w:val="24"/>
          <w:szCs w:val="24"/>
          <w:lang w:eastAsia="fr-FR"/>
        </w:rPr>
        <w:t xml:space="preserve"> causes d’</w:t>
      </w:r>
      <w:r w:rsidR="00611866" w:rsidRPr="000A4A0F">
        <w:rPr>
          <w:rFonts w:ascii="Times New Roman" w:eastAsia="Times New Roman" w:hAnsi="Times New Roman" w:cs="Times New Roman"/>
          <w:bCs/>
          <w:color w:val="auto"/>
          <w:kern w:val="36"/>
          <w:sz w:val="24"/>
          <w:szCs w:val="24"/>
          <w:lang w:eastAsia="fr-FR"/>
        </w:rPr>
        <w:t>ictère</w:t>
      </w:r>
      <w:r w:rsidR="00E8645E" w:rsidRPr="000A4A0F">
        <w:rPr>
          <w:rFonts w:ascii="Times New Roman" w:eastAsia="Times New Roman" w:hAnsi="Times New Roman" w:cs="Times New Roman"/>
          <w:bCs/>
          <w:color w:val="auto"/>
          <w:kern w:val="36"/>
          <w:sz w:val="24"/>
          <w:szCs w:val="24"/>
          <w:lang w:eastAsia="fr-FR"/>
        </w:rPr>
        <w:t xml:space="preserve"> de </w:t>
      </w:r>
      <w:r w:rsidR="00611866" w:rsidRPr="000A4A0F">
        <w:rPr>
          <w:rFonts w:ascii="Times New Roman" w:eastAsia="Times New Roman" w:hAnsi="Times New Roman" w:cs="Times New Roman"/>
          <w:bCs/>
          <w:color w:val="auto"/>
          <w:kern w:val="36"/>
          <w:sz w:val="24"/>
          <w:szCs w:val="24"/>
          <w:lang w:eastAsia="fr-FR"/>
        </w:rPr>
        <w:t>nouveau-né</w:t>
      </w:r>
      <w:r w:rsidR="00E8645E" w:rsidRPr="000A4A0F">
        <w:rPr>
          <w:rFonts w:ascii="Times New Roman" w:eastAsia="Times New Roman" w:hAnsi="Times New Roman" w:cs="Times New Roman"/>
          <w:bCs/>
          <w:color w:val="auto"/>
          <w:kern w:val="36"/>
          <w:sz w:val="24"/>
          <w:szCs w:val="24"/>
          <w:lang w:eastAsia="fr-FR"/>
        </w:rPr>
        <w:t xml:space="preserve"> </w:t>
      </w:r>
      <w:r w:rsidR="00611866" w:rsidRPr="000A4A0F">
        <w:rPr>
          <w:rFonts w:ascii="Times New Roman" w:eastAsia="Times New Roman" w:hAnsi="Times New Roman" w:cs="Times New Roman"/>
          <w:bCs/>
          <w:color w:val="auto"/>
          <w:kern w:val="36"/>
          <w:sz w:val="24"/>
          <w:szCs w:val="24"/>
          <w:lang w:eastAsia="fr-FR"/>
        </w:rPr>
        <w:t>à</w:t>
      </w:r>
      <w:r w:rsidR="00E8645E" w:rsidRPr="000A4A0F">
        <w:rPr>
          <w:rFonts w:ascii="Times New Roman" w:eastAsia="Times New Roman" w:hAnsi="Times New Roman" w:cs="Times New Roman"/>
          <w:bCs/>
          <w:color w:val="auto"/>
          <w:kern w:val="36"/>
          <w:sz w:val="24"/>
          <w:szCs w:val="24"/>
          <w:lang w:eastAsia="fr-FR"/>
        </w:rPr>
        <w:t xml:space="preserve"> l’HPGRB</w:t>
      </w:r>
    </w:p>
    <w:p w14:paraId="0335A8E2" w14:textId="47F605F7" w:rsidR="00E8645E" w:rsidRPr="000A4A0F" w:rsidRDefault="00E8645E" w:rsidP="000A4A0F">
      <w:pPr>
        <w:suppressAutoHyphens w:val="0"/>
        <w:spacing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T</w:t>
      </w:r>
      <w:r w:rsidR="009D2CA4" w:rsidRPr="000A4A0F">
        <w:rPr>
          <w:rFonts w:ascii="Times New Roman" w:eastAsia="Times New Roman" w:hAnsi="Times New Roman" w:cs="Times New Roman"/>
          <w:bCs/>
          <w:color w:val="auto"/>
          <w:kern w:val="36"/>
          <w:sz w:val="24"/>
          <w:szCs w:val="24"/>
          <w:lang w:eastAsia="fr-FR"/>
        </w:rPr>
        <w:t xml:space="preserve">ableau </w:t>
      </w:r>
      <w:r w:rsidRPr="000A4A0F">
        <w:rPr>
          <w:rFonts w:ascii="Times New Roman" w:eastAsia="Times New Roman" w:hAnsi="Times New Roman" w:cs="Times New Roman"/>
          <w:bCs/>
          <w:color w:val="auto"/>
          <w:kern w:val="36"/>
          <w:sz w:val="24"/>
          <w:szCs w:val="24"/>
          <w:lang w:eastAsia="fr-FR"/>
        </w:rPr>
        <w:t>5 </w:t>
      </w:r>
      <w:r w:rsidR="00611866" w:rsidRPr="000A4A0F">
        <w:rPr>
          <w:rFonts w:ascii="Times New Roman" w:eastAsia="Times New Roman" w:hAnsi="Times New Roman" w:cs="Times New Roman"/>
          <w:bCs/>
          <w:color w:val="auto"/>
          <w:kern w:val="36"/>
          <w:sz w:val="24"/>
          <w:szCs w:val="24"/>
          <w:lang w:eastAsia="fr-FR"/>
        </w:rPr>
        <w:t>: Taux</w:t>
      </w:r>
      <w:r w:rsidRPr="000A4A0F">
        <w:rPr>
          <w:rFonts w:ascii="Times New Roman" w:eastAsia="Times New Roman" w:hAnsi="Times New Roman" w:cs="Times New Roman"/>
          <w:bCs/>
          <w:color w:val="auto"/>
          <w:kern w:val="36"/>
          <w:sz w:val="24"/>
          <w:szCs w:val="24"/>
          <w:lang w:eastAsia="fr-FR"/>
        </w:rPr>
        <w:t xml:space="preserve"> de Bilirubine dans les </w:t>
      </w:r>
      <w:r w:rsidR="00611866" w:rsidRPr="000A4A0F">
        <w:rPr>
          <w:rFonts w:ascii="Times New Roman" w:eastAsia="Times New Roman" w:hAnsi="Times New Roman" w:cs="Times New Roman"/>
          <w:bCs/>
          <w:color w:val="auto"/>
          <w:kern w:val="36"/>
          <w:sz w:val="24"/>
          <w:szCs w:val="24"/>
          <w:lang w:eastAsia="fr-FR"/>
        </w:rPr>
        <w:t>différentes</w:t>
      </w:r>
      <w:r w:rsidRPr="000A4A0F">
        <w:rPr>
          <w:rFonts w:ascii="Times New Roman" w:eastAsia="Times New Roman" w:hAnsi="Times New Roman" w:cs="Times New Roman"/>
          <w:bCs/>
          <w:color w:val="auto"/>
          <w:kern w:val="36"/>
          <w:sz w:val="24"/>
          <w:szCs w:val="24"/>
          <w:lang w:eastAsia="fr-FR"/>
        </w:rPr>
        <w:t xml:space="preserve"> </w:t>
      </w:r>
      <w:r w:rsidR="00611866" w:rsidRPr="000A4A0F">
        <w:rPr>
          <w:rFonts w:ascii="Times New Roman" w:eastAsia="Times New Roman" w:hAnsi="Times New Roman" w:cs="Times New Roman"/>
          <w:bCs/>
          <w:color w:val="auto"/>
          <w:kern w:val="36"/>
          <w:sz w:val="24"/>
          <w:szCs w:val="24"/>
          <w:lang w:eastAsia="fr-FR"/>
        </w:rPr>
        <w:t>catégories</w:t>
      </w:r>
      <w:r w:rsidRPr="000A4A0F">
        <w:rPr>
          <w:rFonts w:ascii="Times New Roman" w:eastAsia="Times New Roman" w:hAnsi="Times New Roman" w:cs="Times New Roman"/>
          <w:bCs/>
          <w:color w:val="auto"/>
          <w:kern w:val="36"/>
          <w:sz w:val="24"/>
          <w:szCs w:val="24"/>
          <w:lang w:eastAsia="fr-FR"/>
        </w:rPr>
        <w:t xml:space="preserve"> de </w:t>
      </w:r>
      <w:r w:rsidR="00611866" w:rsidRPr="000A4A0F">
        <w:rPr>
          <w:rFonts w:ascii="Times New Roman" w:eastAsia="Times New Roman" w:hAnsi="Times New Roman" w:cs="Times New Roman"/>
          <w:bCs/>
          <w:color w:val="auto"/>
          <w:kern w:val="36"/>
          <w:sz w:val="24"/>
          <w:szCs w:val="24"/>
          <w:lang w:eastAsia="fr-FR"/>
        </w:rPr>
        <w:t>paramètres</w:t>
      </w:r>
      <w:r w:rsidRPr="000A4A0F">
        <w:rPr>
          <w:rFonts w:ascii="Times New Roman" w:eastAsia="Times New Roman" w:hAnsi="Times New Roman" w:cs="Times New Roman"/>
          <w:bCs/>
          <w:color w:val="auto"/>
          <w:kern w:val="36"/>
          <w:sz w:val="24"/>
          <w:szCs w:val="24"/>
          <w:lang w:eastAsia="fr-FR"/>
        </w:rPr>
        <w:t xml:space="preserve"> </w:t>
      </w:r>
      <w:r w:rsidR="00611866" w:rsidRPr="000A4A0F">
        <w:rPr>
          <w:rFonts w:ascii="Times New Roman" w:eastAsia="Times New Roman" w:hAnsi="Times New Roman" w:cs="Times New Roman"/>
          <w:bCs/>
          <w:color w:val="auto"/>
          <w:kern w:val="36"/>
          <w:sz w:val="24"/>
          <w:szCs w:val="24"/>
          <w:lang w:eastAsia="fr-FR"/>
        </w:rPr>
        <w:t>étudiés</w:t>
      </w:r>
      <w:r w:rsidRPr="000A4A0F">
        <w:rPr>
          <w:rFonts w:ascii="Times New Roman" w:eastAsia="Times New Roman" w:hAnsi="Times New Roman" w:cs="Times New Roman"/>
          <w:bCs/>
          <w:color w:val="auto"/>
          <w:kern w:val="36"/>
          <w:sz w:val="24"/>
          <w:szCs w:val="24"/>
          <w:lang w:eastAsia="fr-FR"/>
        </w:rPr>
        <w:t> </w:t>
      </w:r>
      <w:r w:rsidR="00611866" w:rsidRPr="000A4A0F">
        <w:rPr>
          <w:rFonts w:ascii="Times New Roman" w:eastAsia="Times New Roman" w:hAnsi="Times New Roman" w:cs="Times New Roman"/>
          <w:bCs/>
          <w:color w:val="auto"/>
          <w:kern w:val="36"/>
          <w:sz w:val="24"/>
          <w:szCs w:val="24"/>
          <w:lang w:eastAsia="fr-FR"/>
        </w:rPr>
        <w:t>: Comparaisons</w:t>
      </w:r>
      <w:r w:rsidRPr="000A4A0F">
        <w:rPr>
          <w:rFonts w:ascii="Times New Roman" w:eastAsia="Times New Roman" w:hAnsi="Times New Roman" w:cs="Times New Roman"/>
          <w:bCs/>
          <w:color w:val="auto"/>
          <w:kern w:val="36"/>
          <w:sz w:val="24"/>
          <w:szCs w:val="24"/>
          <w:lang w:eastAsia="fr-FR"/>
        </w:rPr>
        <w:t xml:space="preserve"> de </w:t>
      </w:r>
      <w:r w:rsidR="00611866" w:rsidRPr="000A4A0F">
        <w:rPr>
          <w:rFonts w:ascii="Times New Roman" w:eastAsia="Times New Roman" w:hAnsi="Times New Roman" w:cs="Times New Roman"/>
          <w:bCs/>
          <w:color w:val="auto"/>
          <w:kern w:val="36"/>
          <w:sz w:val="24"/>
          <w:szCs w:val="24"/>
          <w:lang w:eastAsia="fr-FR"/>
        </w:rPr>
        <w:t>médiane</w:t>
      </w:r>
      <w:r w:rsidRPr="000A4A0F">
        <w:rPr>
          <w:rFonts w:ascii="Times New Roman" w:eastAsia="Times New Roman" w:hAnsi="Times New Roman" w:cs="Times New Roman"/>
          <w:bCs/>
          <w:color w:val="auto"/>
          <w:kern w:val="36"/>
          <w:sz w:val="24"/>
          <w:szCs w:val="24"/>
          <w:lang w:eastAsia="fr-FR"/>
        </w:rPr>
        <w:t>.</w:t>
      </w:r>
    </w:p>
    <w:p w14:paraId="0F37457D" w14:textId="444FA91A" w:rsidR="00E8645E" w:rsidRPr="000A4A0F" w:rsidRDefault="00E8645E" w:rsidP="000A4A0F">
      <w:pPr>
        <w:suppressAutoHyphens w:val="0"/>
        <w:spacing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T</w:t>
      </w:r>
      <w:r w:rsidR="009D2CA4" w:rsidRPr="000A4A0F">
        <w:rPr>
          <w:rFonts w:ascii="Times New Roman" w:eastAsia="Times New Roman" w:hAnsi="Times New Roman" w:cs="Times New Roman"/>
          <w:bCs/>
          <w:color w:val="auto"/>
          <w:kern w:val="36"/>
          <w:sz w:val="24"/>
          <w:szCs w:val="24"/>
          <w:lang w:eastAsia="fr-FR"/>
        </w:rPr>
        <w:t xml:space="preserve">ableau </w:t>
      </w:r>
      <w:r w:rsidRPr="000A4A0F">
        <w:rPr>
          <w:rFonts w:ascii="Times New Roman" w:eastAsia="Times New Roman" w:hAnsi="Times New Roman" w:cs="Times New Roman"/>
          <w:bCs/>
          <w:color w:val="auto"/>
          <w:kern w:val="36"/>
          <w:sz w:val="24"/>
          <w:szCs w:val="24"/>
          <w:lang w:eastAsia="fr-FR"/>
        </w:rPr>
        <w:t>6 </w:t>
      </w:r>
      <w:r w:rsidR="00611866" w:rsidRPr="000A4A0F">
        <w:rPr>
          <w:rFonts w:ascii="Times New Roman" w:eastAsia="Times New Roman" w:hAnsi="Times New Roman" w:cs="Times New Roman"/>
          <w:bCs/>
          <w:color w:val="auto"/>
          <w:kern w:val="36"/>
          <w:sz w:val="24"/>
          <w:szCs w:val="24"/>
          <w:lang w:eastAsia="fr-FR"/>
        </w:rPr>
        <w:t>: Facteurs</w:t>
      </w:r>
      <w:r w:rsidRPr="000A4A0F">
        <w:rPr>
          <w:rFonts w:ascii="Times New Roman" w:eastAsia="Times New Roman" w:hAnsi="Times New Roman" w:cs="Times New Roman"/>
          <w:bCs/>
          <w:color w:val="auto"/>
          <w:kern w:val="36"/>
          <w:sz w:val="24"/>
          <w:szCs w:val="24"/>
          <w:lang w:eastAsia="fr-FR"/>
        </w:rPr>
        <w:t xml:space="preserve"> associes a l’</w:t>
      </w:r>
      <w:r w:rsidR="00611866" w:rsidRPr="000A4A0F">
        <w:rPr>
          <w:rFonts w:ascii="Times New Roman" w:eastAsia="Times New Roman" w:hAnsi="Times New Roman" w:cs="Times New Roman"/>
          <w:bCs/>
          <w:color w:val="auto"/>
          <w:kern w:val="36"/>
          <w:sz w:val="24"/>
          <w:szCs w:val="24"/>
          <w:lang w:eastAsia="fr-FR"/>
        </w:rPr>
        <w:t>anémie</w:t>
      </w:r>
    </w:p>
    <w:p w14:paraId="1195C641" w14:textId="3F171227" w:rsidR="00E8645E" w:rsidRPr="000A4A0F" w:rsidRDefault="00E8645E" w:rsidP="000A4A0F">
      <w:pPr>
        <w:suppressAutoHyphens w:val="0"/>
        <w:spacing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T</w:t>
      </w:r>
      <w:r w:rsidR="009D2CA4" w:rsidRPr="000A4A0F">
        <w:rPr>
          <w:rFonts w:ascii="Times New Roman" w:eastAsia="Times New Roman" w:hAnsi="Times New Roman" w:cs="Times New Roman"/>
          <w:bCs/>
          <w:color w:val="auto"/>
          <w:kern w:val="36"/>
          <w:sz w:val="24"/>
          <w:szCs w:val="24"/>
          <w:lang w:eastAsia="fr-FR"/>
        </w:rPr>
        <w:t xml:space="preserve">ableau </w:t>
      </w:r>
      <w:r w:rsidRPr="000A4A0F">
        <w:rPr>
          <w:rFonts w:ascii="Times New Roman" w:eastAsia="Times New Roman" w:hAnsi="Times New Roman" w:cs="Times New Roman"/>
          <w:bCs/>
          <w:color w:val="auto"/>
          <w:kern w:val="36"/>
          <w:sz w:val="24"/>
          <w:szCs w:val="24"/>
          <w:lang w:eastAsia="fr-FR"/>
        </w:rPr>
        <w:t>7 </w:t>
      </w:r>
      <w:r w:rsidR="00611866" w:rsidRPr="000A4A0F">
        <w:rPr>
          <w:rFonts w:ascii="Times New Roman" w:eastAsia="Times New Roman" w:hAnsi="Times New Roman" w:cs="Times New Roman"/>
          <w:bCs/>
          <w:color w:val="auto"/>
          <w:kern w:val="36"/>
          <w:sz w:val="24"/>
          <w:szCs w:val="24"/>
          <w:lang w:eastAsia="fr-FR"/>
        </w:rPr>
        <w:t xml:space="preserve">: </w:t>
      </w:r>
      <w:r w:rsidR="00611866" w:rsidRPr="002B265C">
        <w:rPr>
          <w:rFonts w:ascii="Times New Roman" w:eastAsia="Times New Roman" w:hAnsi="Times New Roman" w:cs="Times New Roman"/>
          <w:bCs/>
          <w:color w:val="FF0000"/>
          <w:kern w:val="36"/>
          <w:sz w:val="24"/>
          <w:szCs w:val="24"/>
          <w:lang w:eastAsia="fr-FR"/>
        </w:rPr>
        <w:t>Facteurs</w:t>
      </w:r>
      <w:r w:rsidRPr="002B265C">
        <w:rPr>
          <w:rFonts w:ascii="Times New Roman" w:eastAsia="Times New Roman" w:hAnsi="Times New Roman" w:cs="Times New Roman"/>
          <w:bCs/>
          <w:color w:val="FF0000"/>
          <w:kern w:val="36"/>
          <w:sz w:val="24"/>
          <w:szCs w:val="24"/>
          <w:lang w:eastAsia="fr-FR"/>
        </w:rPr>
        <w:t xml:space="preserve"> associes </w:t>
      </w:r>
      <w:r w:rsidRPr="000A4A0F">
        <w:rPr>
          <w:rFonts w:ascii="Times New Roman" w:eastAsia="Times New Roman" w:hAnsi="Times New Roman" w:cs="Times New Roman"/>
          <w:bCs/>
          <w:color w:val="auto"/>
          <w:kern w:val="36"/>
          <w:sz w:val="24"/>
          <w:szCs w:val="24"/>
          <w:lang w:eastAsia="fr-FR"/>
        </w:rPr>
        <w:t xml:space="preserve">au </w:t>
      </w:r>
      <w:r w:rsidR="00611866" w:rsidRPr="000A4A0F">
        <w:rPr>
          <w:rFonts w:ascii="Times New Roman" w:eastAsia="Times New Roman" w:hAnsi="Times New Roman" w:cs="Times New Roman"/>
          <w:bCs/>
          <w:color w:val="auto"/>
          <w:kern w:val="36"/>
          <w:sz w:val="24"/>
          <w:szCs w:val="24"/>
          <w:lang w:eastAsia="fr-FR"/>
        </w:rPr>
        <w:t>décès</w:t>
      </w:r>
      <w:r w:rsidRPr="000A4A0F">
        <w:rPr>
          <w:rFonts w:ascii="Times New Roman" w:eastAsia="Times New Roman" w:hAnsi="Times New Roman" w:cs="Times New Roman"/>
          <w:bCs/>
          <w:color w:val="auto"/>
          <w:kern w:val="36"/>
          <w:sz w:val="24"/>
          <w:szCs w:val="24"/>
          <w:lang w:eastAsia="fr-FR"/>
        </w:rPr>
        <w:t xml:space="preserve"> intra-hospitaliers des </w:t>
      </w:r>
      <w:r w:rsidR="00611866" w:rsidRPr="000A4A0F">
        <w:rPr>
          <w:rFonts w:ascii="Times New Roman" w:eastAsia="Times New Roman" w:hAnsi="Times New Roman" w:cs="Times New Roman"/>
          <w:bCs/>
          <w:color w:val="auto"/>
          <w:kern w:val="36"/>
          <w:sz w:val="24"/>
          <w:szCs w:val="24"/>
          <w:lang w:eastAsia="fr-FR"/>
        </w:rPr>
        <w:t>nouveau-nés</w:t>
      </w:r>
      <w:r w:rsidRPr="000A4A0F">
        <w:rPr>
          <w:rFonts w:ascii="Times New Roman" w:eastAsia="Times New Roman" w:hAnsi="Times New Roman" w:cs="Times New Roman"/>
          <w:bCs/>
          <w:color w:val="auto"/>
          <w:kern w:val="36"/>
          <w:sz w:val="24"/>
          <w:szCs w:val="24"/>
          <w:lang w:eastAsia="fr-FR"/>
        </w:rPr>
        <w:t xml:space="preserve"> </w:t>
      </w:r>
      <w:r w:rsidR="00611866" w:rsidRPr="000A4A0F">
        <w:rPr>
          <w:rFonts w:ascii="Times New Roman" w:eastAsia="Times New Roman" w:hAnsi="Times New Roman" w:cs="Times New Roman"/>
          <w:bCs/>
          <w:color w:val="auto"/>
          <w:kern w:val="36"/>
          <w:sz w:val="24"/>
          <w:szCs w:val="24"/>
          <w:lang w:eastAsia="fr-FR"/>
        </w:rPr>
        <w:t>ictériques</w:t>
      </w:r>
      <w:r w:rsidRPr="000A4A0F">
        <w:rPr>
          <w:rFonts w:ascii="Times New Roman" w:eastAsia="Times New Roman" w:hAnsi="Times New Roman" w:cs="Times New Roman"/>
          <w:bCs/>
          <w:color w:val="auto"/>
          <w:kern w:val="36"/>
          <w:sz w:val="24"/>
          <w:szCs w:val="24"/>
          <w:lang w:eastAsia="fr-FR"/>
        </w:rPr>
        <w:t> </w:t>
      </w:r>
      <w:r w:rsidR="00611866" w:rsidRPr="000A4A0F">
        <w:rPr>
          <w:rFonts w:ascii="Times New Roman" w:eastAsia="Times New Roman" w:hAnsi="Times New Roman" w:cs="Times New Roman"/>
          <w:bCs/>
          <w:color w:val="auto"/>
          <w:kern w:val="36"/>
          <w:sz w:val="24"/>
          <w:szCs w:val="24"/>
          <w:lang w:eastAsia="fr-FR"/>
        </w:rPr>
        <w:t xml:space="preserve">: </w:t>
      </w:r>
      <w:r w:rsidR="00611866" w:rsidRPr="002B265C">
        <w:rPr>
          <w:rFonts w:ascii="Times New Roman" w:eastAsia="Times New Roman" w:hAnsi="Times New Roman" w:cs="Times New Roman"/>
          <w:bCs/>
          <w:color w:val="FF0000"/>
          <w:kern w:val="36"/>
          <w:sz w:val="24"/>
          <w:szCs w:val="24"/>
          <w:lang w:eastAsia="fr-FR"/>
        </w:rPr>
        <w:t>Régression</w:t>
      </w:r>
      <w:r w:rsidRPr="002B265C">
        <w:rPr>
          <w:rFonts w:ascii="Times New Roman" w:eastAsia="Times New Roman" w:hAnsi="Times New Roman" w:cs="Times New Roman"/>
          <w:bCs/>
          <w:color w:val="FF0000"/>
          <w:kern w:val="36"/>
          <w:sz w:val="24"/>
          <w:szCs w:val="24"/>
          <w:lang w:eastAsia="fr-FR"/>
        </w:rPr>
        <w:t xml:space="preserve"> logistique </w:t>
      </w:r>
      <w:r w:rsidR="00611866" w:rsidRPr="002B265C">
        <w:rPr>
          <w:rFonts w:ascii="Times New Roman" w:eastAsia="Times New Roman" w:hAnsi="Times New Roman" w:cs="Times New Roman"/>
          <w:bCs/>
          <w:color w:val="FF0000"/>
          <w:kern w:val="36"/>
          <w:sz w:val="24"/>
          <w:szCs w:val="24"/>
          <w:lang w:eastAsia="fr-FR"/>
        </w:rPr>
        <w:t>uni variés</w:t>
      </w:r>
      <w:r w:rsidRPr="002B265C">
        <w:rPr>
          <w:rFonts w:ascii="Times New Roman" w:eastAsia="Times New Roman" w:hAnsi="Times New Roman" w:cs="Times New Roman"/>
          <w:bCs/>
          <w:color w:val="FF0000"/>
          <w:kern w:val="36"/>
          <w:sz w:val="24"/>
          <w:szCs w:val="24"/>
          <w:lang w:eastAsia="fr-FR"/>
        </w:rPr>
        <w:t>.</w:t>
      </w:r>
    </w:p>
    <w:p w14:paraId="29FC8E6B" w14:textId="7320357C" w:rsidR="00E8645E" w:rsidRPr="000A4A0F" w:rsidRDefault="00E8645E" w:rsidP="000A4A0F">
      <w:pPr>
        <w:suppressAutoHyphens w:val="0"/>
        <w:spacing w:line="360" w:lineRule="auto"/>
        <w:jc w:val="both"/>
        <w:rPr>
          <w:rFonts w:ascii="Times New Roman" w:eastAsia="Times New Roman" w:hAnsi="Times New Roman" w:cs="Times New Roman"/>
          <w:bCs/>
          <w:color w:val="auto"/>
          <w:kern w:val="36"/>
          <w:sz w:val="24"/>
          <w:szCs w:val="24"/>
          <w:lang w:eastAsia="fr-FR"/>
        </w:rPr>
      </w:pPr>
      <w:r w:rsidRPr="000A4A0F">
        <w:rPr>
          <w:rFonts w:ascii="Times New Roman" w:eastAsia="Times New Roman" w:hAnsi="Times New Roman" w:cs="Times New Roman"/>
          <w:bCs/>
          <w:color w:val="auto"/>
          <w:kern w:val="36"/>
          <w:sz w:val="24"/>
          <w:szCs w:val="24"/>
          <w:lang w:eastAsia="fr-FR"/>
        </w:rPr>
        <w:t>T</w:t>
      </w:r>
      <w:r w:rsidR="009D2CA4" w:rsidRPr="000A4A0F">
        <w:rPr>
          <w:rFonts w:ascii="Times New Roman" w:eastAsia="Times New Roman" w:hAnsi="Times New Roman" w:cs="Times New Roman"/>
          <w:bCs/>
          <w:color w:val="auto"/>
          <w:kern w:val="36"/>
          <w:sz w:val="24"/>
          <w:szCs w:val="24"/>
          <w:lang w:eastAsia="fr-FR"/>
        </w:rPr>
        <w:t xml:space="preserve">ableau </w:t>
      </w:r>
      <w:r w:rsidRPr="000A4A0F">
        <w:rPr>
          <w:rFonts w:ascii="Times New Roman" w:eastAsia="Times New Roman" w:hAnsi="Times New Roman" w:cs="Times New Roman"/>
          <w:bCs/>
          <w:color w:val="auto"/>
          <w:kern w:val="36"/>
          <w:sz w:val="24"/>
          <w:szCs w:val="24"/>
          <w:lang w:eastAsia="fr-FR"/>
        </w:rPr>
        <w:t>8 :</w:t>
      </w:r>
      <w:r w:rsidRPr="000A4A0F">
        <w:rPr>
          <w:rFonts w:ascii="Times New Roman" w:hAnsi="Times New Roman" w:cs="Times New Roman"/>
          <w:sz w:val="24"/>
          <w:szCs w:val="24"/>
        </w:rPr>
        <w:t xml:space="preserve"> </w:t>
      </w:r>
      <w:r w:rsidRPr="000A4A0F">
        <w:rPr>
          <w:rFonts w:ascii="Times New Roman" w:eastAsia="Times New Roman" w:hAnsi="Times New Roman" w:cs="Times New Roman"/>
          <w:bCs/>
          <w:color w:val="auto"/>
          <w:kern w:val="36"/>
          <w:sz w:val="24"/>
          <w:szCs w:val="24"/>
          <w:lang w:eastAsia="fr-FR"/>
        </w:rPr>
        <w:t xml:space="preserve">Facteurs </w:t>
      </w:r>
      <w:r w:rsidRPr="002B265C">
        <w:rPr>
          <w:rFonts w:ascii="Times New Roman" w:eastAsia="Times New Roman" w:hAnsi="Times New Roman" w:cs="Times New Roman"/>
          <w:bCs/>
          <w:color w:val="FF0000"/>
          <w:kern w:val="36"/>
          <w:sz w:val="24"/>
          <w:szCs w:val="24"/>
          <w:lang w:eastAsia="fr-FR"/>
        </w:rPr>
        <w:t xml:space="preserve">associes au </w:t>
      </w:r>
      <w:r w:rsidR="00611866" w:rsidRPr="002B265C">
        <w:rPr>
          <w:rFonts w:ascii="Times New Roman" w:eastAsia="Times New Roman" w:hAnsi="Times New Roman" w:cs="Times New Roman"/>
          <w:bCs/>
          <w:color w:val="FF0000"/>
          <w:kern w:val="36"/>
          <w:sz w:val="24"/>
          <w:szCs w:val="24"/>
          <w:lang w:eastAsia="fr-FR"/>
        </w:rPr>
        <w:t>décès</w:t>
      </w:r>
      <w:r w:rsidRPr="002B265C">
        <w:rPr>
          <w:rFonts w:ascii="Times New Roman" w:eastAsia="Times New Roman" w:hAnsi="Times New Roman" w:cs="Times New Roman"/>
          <w:bCs/>
          <w:color w:val="FF0000"/>
          <w:kern w:val="36"/>
          <w:sz w:val="24"/>
          <w:szCs w:val="24"/>
          <w:lang w:eastAsia="fr-FR"/>
        </w:rPr>
        <w:t xml:space="preserve"> </w:t>
      </w:r>
      <w:r w:rsidRPr="000A4A0F">
        <w:rPr>
          <w:rFonts w:ascii="Times New Roman" w:eastAsia="Times New Roman" w:hAnsi="Times New Roman" w:cs="Times New Roman"/>
          <w:bCs/>
          <w:color w:val="auto"/>
          <w:kern w:val="36"/>
          <w:sz w:val="24"/>
          <w:szCs w:val="24"/>
          <w:lang w:eastAsia="fr-FR"/>
        </w:rPr>
        <w:t xml:space="preserve">intra-hospitaliers des </w:t>
      </w:r>
      <w:r w:rsidR="00611866" w:rsidRPr="000A4A0F">
        <w:rPr>
          <w:rFonts w:ascii="Times New Roman" w:eastAsia="Times New Roman" w:hAnsi="Times New Roman" w:cs="Times New Roman"/>
          <w:bCs/>
          <w:color w:val="auto"/>
          <w:kern w:val="36"/>
          <w:sz w:val="24"/>
          <w:szCs w:val="24"/>
          <w:lang w:eastAsia="fr-FR"/>
        </w:rPr>
        <w:t>nouveau-nés</w:t>
      </w:r>
      <w:r w:rsidRPr="000A4A0F">
        <w:rPr>
          <w:rFonts w:ascii="Times New Roman" w:eastAsia="Times New Roman" w:hAnsi="Times New Roman" w:cs="Times New Roman"/>
          <w:bCs/>
          <w:color w:val="auto"/>
          <w:kern w:val="36"/>
          <w:sz w:val="24"/>
          <w:szCs w:val="24"/>
          <w:lang w:eastAsia="fr-FR"/>
        </w:rPr>
        <w:t xml:space="preserve"> </w:t>
      </w:r>
      <w:r w:rsidR="00611866" w:rsidRPr="000A4A0F">
        <w:rPr>
          <w:rFonts w:ascii="Times New Roman" w:eastAsia="Times New Roman" w:hAnsi="Times New Roman" w:cs="Times New Roman"/>
          <w:bCs/>
          <w:color w:val="auto"/>
          <w:kern w:val="36"/>
          <w:sz w:val="24"/>
          <w:szCs w:val="24"/>
          <w:lang w:eastAsia="fr-FR"/>
        </w:rPr>
        <w:t>ictériques</w:t>
      </w:r>
      <w:r w:rsidRPr="000A4A0F">
        <w:rPr>
          <w:rFonts w:ascii="Times New Roman" w:eastAsia="Times New Roman" w:hAnsi="Times New Roman" w:cs="Times New Roman"/>
          <w:bCs/>
          <w:color w:val="auto"/>
          <w:kern w:val="36"/>
          <w:sz w:val="24"/>
          <w:szCs w:val="24"/>
          <w:lang w:eastAsia="fr-FR"/>
        </w:rPr>
        <w:t xml:space="preserve"> </w:t>
      </w:r>
      <w:r w:rsidR="00611866" w:rsidRPr="000A4A0F">
        <w:rPr>
          <w:rFonts w:ascii="Times New Roman" w:eastAsia="Times New Roman" w:hAnsi="Times New Roman" w:cs="Times New Roman"/>
          <w:bCs/>
          <w:color w:val="auto"/>
          <w:kern w:val="36"/>
          <w:sz w:val="24"/>
          <w:szCs w:val="24"/>
          <w:lang w:eastAsia="fr-FR"/>
        </w:rPr>
        <w:t>: Régression</w:t>
      </w:r>
      <w:r w:rsidRPr="000A4A0F">
        <w:rPr>
          <w:rFonts w:ascii="Times New Roman" w:eastAsia="Times New Roman" w:hAnsi="Times New Roman" w:cs="Times New Roman"/>
          <w:bCs/>
          <w:color w:val="auto"/>
          <w:kern w:val="36"/>
          <w:sz w:val="24"/>
          <w:szCs w:val="24"/>
          <w:lang w:eastAsia="fr-FR"/>
        </w:rPr>
        <w:t xml:space="preserve"> logistique </w:t>
      </w:r>
      <w:r w:rsidR="00611866" w:rsidRPr="000A4A0F">
        <w:rPr>
          <w:rFonts w:ascii="Times New Roman" w:eastAsia="Times New Roman" w:hAnsi="Times New Roman" w:cs="Times New Roman"/>
          <w:bCs/>
          <w:color w:val="auto"/>
          <w:kern w:val="36"/>
          <w:sz w:val="24"/>
          <w:szCs w:val="24"/>
          <w:lang w:eastAsia="fr-FR"/>
        </w:rPr>
        <w:t>multivariés</w:t>
      </w:r>
      <w:r w:rsidRPr="000A4A0F">
        <w:rPr>
          <w:rFonts w:ascii="Times New Roman" w:eastAsia="Times New Roman" w:hAnsi="Times New Roman" w:cs="Times New Roman"/>
          <w:bCs/>
          <w:color w:val="auto"/>
          <w:kern w:val="36"/>
          <w:sz w:val="24"/>
          <w:szCs w:val="24"/>
          <w:lang w:eastAsia="fr-FR"/>
        </w:rPr>
        <w:t>.</w:t>
      </w:r>
    </w:p>
    <w:p w14:paraId="210E767C" w14:textId="77777777" w:rsidR="005962D7" w:rsidRPr="000A4A0F" w:rsidRDefault="005962D7" w:rsidP="000A4A0F">
      <w:pPr>
        <w:suppressAutoHyphens w:val="0"/>
        <w:spacing w:line="360" w:lineRule="auto"/>
        <w:jc w:val="both"/>
        <w:rPr>
          <w:rFonts w:ascii="Times New Roman" w:eastAsia="Times New Roman" w:hAnsi="Times New Roman" w:cs="Times New Roman"/>
          <w:bCs/>
          <w:color w:val="auto"/>
          <w:kern w:val="36"/>
          <w:sz w:val="24"/>
          <w:szCs w:val="24"/>
          <w:lang w:eastAsia="fr-FR"/>
        </w:rPr>
      </w:pPr>
    </w:p>
    <w:p w14:paraId="181B1D93" w14:textId="2946A28C" w:rsidR="00450377" w:rsidRPr="00FD45FB" w:rsidRDefault="00A76C0E" w:rsidP="00FD45FB">
      <w:pPr>
        <w:suppressAutoHyphens w:val="0"/>
        <w:spacing w:line="360" w:lineRule="auto"/>
        <w:jc w:val="both"/>
        <w:rPr>
          <w:rFonts w:ascii="Times New Roman" w:eastAsia="Times New Roman" w:hAnsi="Times New Roman" w:cs="Times New Roman"/>
          <w:b/>
          <w:bCs/>
          <w:color w:val="auto"/>
          <w:kern w:val="36"/>
          <w:sz w:val="24"/>
          <w:szCs w:val="24"/>
          <w:lang w:eastAsia="fr-FR"/>
        </w:rPr>
      </w:pPr>
      <w:r w:rsidRPr="000A4A0F">
        <w:rPr>
          <w:rFonts w:ascii="Times New Roman" w:eastAsia="Times New Roman" w:hAnsi="Times New Roman" w:cs="Times New Roman"/>
          <w:b/>
          <w:bCs/>
          <w:color w:val="auto"/>
          <w:kern w:val="36"/>
          <w:sz w:val="24"/>
          <w:szCs w:val="24"/>
          <w:lang w:eastAsia="fr-FR"/>
        </w:rPr>
        <w:br w:type="page"/>
      </w:r>
      <w:bookmarkStart w:id="3" w:name="_Toc87049038"/>
      <w:r w:rsidR="00FD45FB">
        <w:rPr>
          <w:rFonts w:ascii="Times New Roman" w:eastAsia="Times New Roman" w:hAnsi="Times New Roman" w:cs="Times New Roman"/>
          <w:b/>
          <w:bCs/>
          <w:color w:val="auto"/>
          <w:kern w:val="36"/>
          <w:sz w:val="24"/>
          <w:szCs w:val="24"/>
          <w:lang w:eastAsia="fr-FR"/>
        </w:rPr>
        <w:lastRenderedPageBreak/>
        <w:t xml:space="preserve">            </w:t>
      </w:r>
      <w:r w:rsidR="00B636AA" w:rsidRPr="000A4A0F">
        <w:rPr>
          <w:sz w:val="24"/>
          <w:szCs w:val="24"/>
        </w:rPr>
        <w:t>TABLE DES MATIERES</w:t>
      </w:r>
      <w:bookmarkEnd w:id="3"/>
    </w:p>
    <w:p w14:paraId="63C0E045" w14:textId="77777777" w:rsidR="00B37945" w:rsidRPr="00FD45FB" w:rsidRDefault="00450377" w:rsidP="000A4A0F">
      <w:pPr>
        <w:pStyle w:val="TM1"/>
        <w:tabs>
          <w:tab w:val="right" w:leader="dot" w:pos="9061"/>
        </w:tabs>
        <w:spacing w:line="360" w:lineRule="auto"/>
        <w:jc w:val="both"/>
        <w:rPr>
          <w:rFonts w:ascii="Times New Roman" w:hAnsi="Times New Roman"/>
          <w:noProof/>
          <w:sz w:val="24"/>
          <w:szCs w:val="24"/>
        </w:rPr>
      </w:pPr>
      <w:r w:rsidRPr="000A4A0F">
        <w:rPr>
          <w:rFonts w:ascii="Times New Roman" w:hAnsi="Times New Roman"/>
          <w:sz w:val="24"/>
          <w:szCs w:val="24"/>
        </w:rPr>
        <w:fldChar w:fldCharType="begin"/>
      </w:r>
      <w:r w:rsidRPr="000A4A0F">
        <w:rPr>
          <w:rFonts w:ascii="Times New Roman" w:hAnsi="Times New Roman"/>
          <w:sz w:val="24"/>
          <w:szCs w:val="24"/>
        </w:rPr>
        <w:instrText xml:space="preserve"> TOC \o "1-4" \h \z \u </w:instrText>
      </w:r>
      <w:r w:rsidRPr="000A4A0F">
        <w:rPr>
          <w:rFonts w:ascii="Times New Roman" w:hAnsi="Times New Roman"/>
          <w:sz w:val="24"/>
          <w:szCs w:val="24"/>
        </w:rPr>
        <w:fldChar w:fldCharType="separate"/>
      </w:r>
      <w:hyperlink w:anchor="_Toc87049035" w:history="1">
        <w:r w:rsidR="00B37945" w:rsidRPr="00FD45FB">
          <w:rPr>
            <w:rStyle w:val="Lienhypertexte"/>
            <w:rFonts w:ascii="Times New Roman" w:hAnsi="Times New Roman"/>
            <w:noProof/>
            <w:sz w:val="24"/>
            <w:szCs w:val="24"/>
          </w:rPr>
          <w:t>REMERCIEMENTS</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_Toc87049035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2</w:t>
        </w:r>
        <w:r w:rsidR="00B37945" w:rsidRPr="00FD45FB">
          <w:rPr>
            <w:rFonts w:ascii="Times New Roman" w:hAnsi="Times New Roman"/>
            <w:noProof/>
            <w:webHidden/>
            <w:sz w:val="24"/>
            <w:szCs w:val="24"/>
          </w:rPr>
          <w:fldChar w:fldCharType="end"/>
        </w:r>
      </w:hyperlink>
    </w:p>
    <w:p w14:paraId="7968A848" w14:textId="77777777" w:rsidR="00B37945" w:rsidRPr="00FD45FB" w:rsidRDefault="00C47E8E" w:rsidP="000A4A0F">
      <w:pPr>
        <w:pStyle w:val="TM1"/>
        <w:tabs>
          <w:tab w:val="right" w:leader="dot" w:pos="9061"/>
        </w:tabs>
        <w:spacing w:line="360" w:lineRule="auto"/>
        <w:jc w:val="both"/>
        <w:rPr>
          <w:rFonts w:ascii="Times New Roman" w:hAnsi="Times New Roman"/>
          <w:noProof/>
          <w:sz w:val="24"/>
          <w:szCs w:val="24"/>
        </w:rPr>
      </w:pPr>
      <w:hyperlink w:anchor="_Toc87049036" w:history="1">
        <w:r w:rsidR="00B37945" w:rsidRPr="00FD45FB">
          <w:rPr>
            <w:rStyle w:val="Lienhypertexte"/>
            <w:rFonts w:ascii="Times New Roman" w:hAnsi="Times New Roman"/>
            <w:noProof/>
            <w:sz w:val="24"/>
            <w:szCs w:val="24"/>
          </w:rPr>
          <w:t>DEDICACE</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_Toc87049036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3</w:t>
        </w:r>
        <w:r w:rsidR="00B37945" w:rsidRPr="00FD45FB">
          <w:rPr>
            <w:rFonts w:ascii="Times New Roman" w:hAnsi="Times New Roman"/>
            <w:noProof/>
            <w:webHidden/>
            <w:sz w:val="24"/>
            <w:szCs w:val="24"/>
          </w:rPr>
          <w:fldChar w:fldCharType="end"/>
        </w:r>
      </w:hyperlink>
    </w:p>
    <w:p w14:paraId="3F0CBD9B" w14:textId="77777777" w:rsidR="00B37945" w:rsidRPr="00FD45FB" w:rsidRDefault="00C47E8E" w:rsidP="000A4A0F">
      <w:pPr>
        <w:pStyle w:val="TM1"/>
        <w:tabs>
          <w:tab w:val="right" w:leader="dot" w:pos="9061"/>
        </w:tabs>
        <w:spacing w:line="360" w:lineRule="auto"/>
        <w:jc w:val="both"/>
        <w:rPr>
          <w:rFonts w:ascii="Times New Roman" w:hAnsi="Times New Roman"/>
          <w:noProof/>
          <w:sz w:val="24"/>
          <w:szCs w:val="24"/>
        </w:rPr>
      </w:pPr>
      <w:hyperlink w:anchor="_Toc87049037" w:history="1">
        <w:r w:rsidR="00B37945" w:rsidRPr="00FD45FB">
          <w:rPr>
            <w:rStyle w:val="Lienhypertexte"/>
            <w:rFonts w:ascii="Times New Roman" w:hAnsi="Times New Roman"/>
            <w:noProof/>
            <w:sz w:val="24"/>
            <w:szCs w:val="24"/>
          </w:rPr>
          <w:t>SIGLES ET ABREVIATIONS</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_Toc87049037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4</w:t>
        </w:r>
        <w:r w:rsidR="00B37945" w:rsidRPr="00FD45FB">
          <w:rPr>
            <w:rFonts w:ascii="Times New Roman" w:hAnsi="Times New Roman"/>
            <w:noProof/>
            <w:webHidden/>
            <w:sz w:val="24"/>
            <w:szCs w:val="24"/>
          </w:rPr>
          <w:fldChar w:fldCharType="end"/>
        </w:r>
      </w:hyperlink>
    </w:p>
    <w:p w14:paraId="66D2A911" w14:textId="77777777" w:rsidR="00B37945" w:rsidRPr="00FD45FB" w:rsidRDefault="00C47E8E" w:rsidP="000A4A0F">
      <w:pPr>
        <w:pStyle w:val="TM1"/>
        <w:tabs>
          <w:tab w:val="right" w:leader="dot" w:pos="9061"/>
        </w:tabs>
        <w:spacing w:line="360" w:lineRule="auto"/>
        <w:jc w:val="both"/>
        <w:rPr>
          <w:rFonts w:ascii="Times New Roman" w:hAnsi="Times New Roman"/>
          <w:noProof/>
          <w:sz w:val="24"/>
          <w:szCs w:val="24"/>
        </w:rPr>
      </w:pPr>
      <w:hyperlink w:anchor="_Toc87049038" w:history="1">
        <w:r w:rsidR="00B37945" w:rsidRPr="00FD45FB">
          <w:rPr>
            <w:rStyle w:val="Lienhypertexte"/>
            <w:rFonts w:ascii="Times New Roman" w:hAnsi="Times New Roman"/>
            <w:noProof/>
            <w:sz w:val="24"/>
            <w:szCs w:val="24"/>
          </w:rPr>
          <w:t>TABLE DES MATIERES</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_Toc87049038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5</w:t>
        </w:r>
        <w:r w:rsidR="00B37945" w:rsidRPr="00FD45FB">
          <w:rPr>
            <w:rFonts w:ascii="Times New Roman" w:hAnsi="Times New Roman"/>
            <w:noProof/>
            <w:webHidden/>
            <w:sz w:val="24"/>
            <w:szCs w:val="24"/>
          </w:rPr>
          <w:fldChar w:fldCharType="end"/>
        </w:r>
      </w:hyperlink>
    </w:p>
    <w:p w14:paraId="3AACCF23" w14:textId="77777777" w:rsidR="00B37945" w:rsidRPr="00FD45FB" w:rsidRDefault="00C47E8E" w:rsidP="000A4A0F">
      <w:pPr>
        <w:pStyle w:val="TM1"/>
        <w:tabs>
          <w:tab w:val="right" w:leader="dot" w:pos="9061"/>
        </w:tabs>
        <w:spacing w:line="360" w:lineRule="auto"/>
        <w:jc w:val="both"/>
        <w:rPr>
          <w:rFonts w:ascii="Times New Roman" w:hAnsi="Times New Roman"/>
          <w:noProof/>
          <w:sz w:val="24"/>
          <w:szCs w:val="24"/>
        </w:rPr>
      </w:pPr>
      <w:hyperlink w:anchor="_Toc87049039" w:history="1">
        <w:r w:rsidR="00B37945" w:rsidRPr="00FD45FB">
          <w:rPr>
            <w:rStyle w:val="Lienhypertexte"/>
            <w:rFonts w:ascii="Times New Roman" w:hAnsi="Times New Roman"/>
            <w:noProof/>
            <w:sz w:val="24"/>
            <w:szCs w:val="24"/>
          </w:rPr>
          <w:t>Chapitre 0. INTRODUCTION</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_Toc87049039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7</w:t>
        </w:r>
        <w:r w:rsidR="00B37945" w:rsidRPr="00FD45FB">
          <w:rPr>
            <w:rFonts w:ascii="Times New Roman" w:hAnsi="Times New Roman"/>
            <w:noProof/>
            <w:webHidden/>
            <w:sz w:val="24"/>
            <w:szCs w:val="24"/>
          </w:rPr>
          <w:fldChar w:fldCharType="end"/>
        </w:r>
      </w:hyperlink>
    </w:p>
    <w:p w14:paraId="12934304" w14:textId="77777777" w:rsidR="00B37945" w:rsidRPr="00FD45FB" w:rsidRDefault="00C47E8E" w:rsidP="000A4A0F">
      <w:pPr>
        <w:pStyle w:val="TM2"/>
        <w:tabs>
          <w:tab w:val="right" w:leader="dot" w:pos="9061"/>
        </w:tabs>
        <w:spacing w:line="360" w:lineRule="auto"/>
        <w:jc w:val="both"/>
        <w:rPr>
          <w:rFonts w:ascii="Times New Roman" w:hAnsi="Times New Roman"/>
          <w:noProof/>
          <w:sz w:val="24"/>
          <w:szCs w:val="24"/>
        </w:rPr>
      </w:pPr>
      <w:hyperlink w:anchor="_Toc87049040" w:history="1">
        <w:r w:rsidR="00B37945" w:rsidRPr="00FD45FB">
          <w:rPr>
            <w:rStyle w:val="Lienhypertexte"/>
            <w:rFonts w:ascii="Times New Roman" w:hAnsi="Times New Roman"/>
            <w:noProof/>
            <w:sz w:val="24"/>
            <w:szCs w:val="24"/>
          </w:rPr>
          <w:t>1. HISTORIQUE DE L’ICTERE :</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_Toc87049040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7</w:t>
        </w:r>
        <w:r w:rsidR="00B37945" w:rsidRPr="00FD45FB">
          <w:rPr>
            <w:rFonts w:ascii="Times New Roman" w:hAnsi="Times New Roman"/>
            <w:noProof/>
            <w:webHidden/>
            <w:sz w:val="24"/>
            <w:szCs w:val="24"/>
          </w:rPr>
          <w:fldChar w:fldCharType="end"/>
        </w:r>
      </w:hyperlink>
    </w:p>
    <w:p w14:paraId="367EA700" w14:textId="77777777" w:rsidR="00B37945" w:rsidRPr="00FD45FB" w:rsidRDefault="00C47E8E" w:rsidP="000A4A0F">
      <w:pPr>
        <w:pStyle w:val="TM2"/>
        <w:tabs>
          <w:tab w:val="right" w:leader="dot" w:pos="9061"/>
        </w:tabs>
        <w:spacing w:line="360" w:lineRule="auto"/>
        <w:jc w:val="both"/>
        <w:rPr>
          <w:rFonts w:ascii="Times New Roman" w:hAnsi="Times New Roman"/>
          <w:noProof/>
          <w:sz w:val="24"/>
          <w:szCs w:val="24"/>
        </w:rPr>
      </w:pPr>
      <w:hyperlink w:anchor="_Toc87049041" w:history="1">
        <w:r w:rsidR="00B37945" w:rsidRPr="00FD45FB">
          <w:rPr>
            <w:rStyle w:val="Lienhypertexte"/>
            <w:rFonts w:ascii="Times New Roman" w:hAnsi="Times New Roman"/>
            <w:noProof/>
            <w:sz w:val="24"/>
            <w:szCs w:val="24"/>
          </w:rPr>
          <w:t>2. PROBLEMATIQUE ET OBJECTIF DU TRAVAIL.</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_Toc87049041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8</w:t>
        </w:r>
        <w:r w:rsidR="00B37945" w:rsidRPr="00FD45FB">
          <w:rPr>
            <w:rFonts w:ascii="Times New Roman" w:hAnsi="Times New Roman"/>
            <w:noProof/>
            <w:webHidden/>
            <w:sz w:val="24"/>
            <w:szCs w:val="24"/>
          </w:rPr>
          <w:fldChar w:fldCharType="end"/>
        </w:r>
      </w:hyperlink>
    </w:p>
    <w:p w14:paraId="33D98DD5" w14:textId="77777777" w:rsidR="00B37945" w:rsidRPr="00FD45FB" w:rsidRDefault="00C47E8E" w:rsidP="000A4A0F">
      <w:pPr>
        <w:pStyle w:val="TM3"/>
        <w:tabs>
          <w:tab w:val="right" w:leader="dot" w:pos="9061"/>
        </w:tabs>
        <w:spacing w:line="360" w:lineRule="auto"/>
        <w:jc w:val="both"/>
        <w:rPr>
          <w:rFonts w:ascii="Times New Roman" w:hAnsi="Times New Roman"/>
          <w:noProof/>
          <w:sz w:val="24"/>
          <w:szCs w:val="24"/>
        </w:rPr>
      </w:pPr>
      <w:hyperlink w:anchor="_Toc87049042" w:history="1">
        <w:r w:rsidR="00B37945" w:rsidRPr="00FD45FB">
          <w:rPr>
            <w:rStyle w:val="Lienhypertexte"/>
            <w:rFonts w:ascii="Times New Roman" w:hAnsi="Times New Roman"/>
            <w:noProof/>
            <w:sz w:val="24"/>
            <w:szCs w:val="24"/>
          </w:rPr>
          <w:t>2.1. PROBLEMATIQUE</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_Toc87049042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8</w:t>
        </w:r>
        <w:r w:rsidR="00B37945" w:rsidRPr="00FD45FB">
          <w:rPr>
            <w:rFonts w:ascii="Times New Roman" w:hAnsi="Times New Roman"/>
            <w:noProof/>
            <w:webHidden/>
            <w:sz w:val="24"/>
            <w:szCs w:val="24"/>
          </w:rPr>
          <w:fldChar w:fldCharType="end"/>
        </w:r>
      </w:hyperlink>
    </w:p>
    <w:p w14:paraId="3C22EE42" w14:textId="77777777" w:rsidR="00B37945" w:rsidRPr="00FD45FB" w:rsidRDefault="00C47E8E" w:rsidP="000A4A0F">
      <w:pPr>
        <w:pStyle w:val="TM2"/>
        <w:tabs>
          <w:tab w:val="right" w:leader="dot" w:pos="9061"/>
        </w:tabs>
        <w:spacing w:line="360" w:lineRule="auto"/>
        <w:jc w:val="both"/>
        <w:rPr>
          <w:rFonts w:ascii="Times New Roman" w:hAnsi="Times New Roman"/>
          <w:noProof/>
          <w:sz w:val="24"/>
          <w:szCs w:val="24"/>
        </w:rPr>
      </w:pPr>
      <w:hyperlink w:anchor="_Toc87049043" w:history="1">
        <w:r w:rsidR="00B37945" w:rsidRPr="00FD45FB">
          <w:rPr>
            <w:rStyle w:val="Lienhypertexte"/>
            <w:rFonts w:ascii="Times New Roman" w:hAnsi="Times New Roman"/>
            <w:noProof/>
            <w:sz w:val="24"/>
            <w:szCs w:val="24"/>
          </w:rPr>
          <w:t>2.2. OBJECTIFS</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_Toc87049043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10</w:t>
        </w:r>
        <w:r w:rsidR="00B37945" w:rsidRPr="00FD45FB">
          <w:rPr>
            <w:rFonts w:ascii="Times New Roman" w:hAnsi="Times New Roman"/>
            <w:noProof/>
            <w:webHidden/>
            <w:sz w:val="24"/>
            <w:szCs w:val="24"/>
          </w:rPr>
          <w:fldChar w:fldCharType="end"/>
        </w:r>
      </w:hyperlink>
    </w:p>
    <w:p w14:paraId="231B3790" w14:textId="77777777" w:rsidR="00B37945" w:rsidRPr="00FD45FB" w:rsidRDefault="00C47E8E" w:rsidP="000A4A0F">
      <w:pPr>
        <w:pStyle w:val="TM1"/>
        <w:tabs>
          <w:tab w:val="right" w:leader="dot" w:pos="9061"/>
        </w:tabs>
        <w:spacing w:line="360" w:lineRule="auto"/>
        <w:jc w:val="both"/>
        <w:rPr>
          <w:rFonts w:ascii="Times New Roman" w:hAnsi="Times New Roman"/>
          <w:noProof/>
          <w:sz w:val="24"/>
          <w:szCs w:val="24"/>
        </w:rPr>
      </w:pPr>
      <w:hyperlink w:anchor="_Toc87049044" w:history="1">
        <w:r w:rsidR="00B37945" w:rsidRPr="00FD45FB">
          <w:rPr>
            <w:rStyle w:val="Lienhypertexte"/>
            <w:rFonts w:ascii="Times New Roman" w:hAnsi="Times New Roman"/>
            <w:noProof/>
            <w:sz w:val="24"/>
            <w:szCs w:val="24"/>
          </w:rPr>
          <w:t>Chapitre I. GERALITES THEORIQUES</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_Toc87049044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11</w:t>
        </w:r>
        <w:r w:rsidR="00B37945" w:rsidRPr="00FD45FB">
          <w:rPr>
            <w:rFonts w:ascii="Times New Roman" w:hAnsi="Times New Roman"/>
            <w:noProof/>
            <w:webHidden/>
            <w:sz w:val="24"/>
            <w:szCs w:val="24"/>
          </w:rPr>
          <w:fldChar w:fldCharType="end"/>
        </w:r>
      </w:hyperlink>
    </w:p>
    <w:p w14:paraId="662F6421" w14:textId="77777777" w:rsidR="00B37945" w:rsidRPr="00FD45FB" w:rsidRDefault="00C47E8E" w:rsidP="000A4A0F">
      <w:pPr>
        <w:pStyle w:val="TM2"/>
        <w:tabs>
          <w:tab w:val="right" w:leader="dot" w:pos="9061"/>
        </w:tabs>
        <w:spacing w:line="360" w:lineRule="auto"/>
        <w:jc w:val="both"/>
        <w:rPr>
          <w:rFonts w:ascii="Times New Roman" w:hAnsi="Times New Roman"/>
          <w:noProof/>
          <w:sz w:val="24"/>
          <w:szCs w:val="24"/>
        </w:rPr>
      </w:pPr>
      <w:hyperlink w:anchor="_Toc87049045" w:history="1">
        <w:r w:rsidR="00B37945" w:rsidRPr="00FD45FB">
          <w:rPr>
            <w:rStyle w:val="Lienhypertexte"/>
            <w:rFonts w:ascii="Times New Roman" w:hAnsi="Times New Roman"/>
            <w:noProof/>
            <w:sz w:val="24"/>
            <w:szCs w:val="24"/>
          </w:rPr>
          <w:t>I.0. DEFINITIONS DE CONCEPTS :</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_Toc87049045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11</w:t>
        </w:r>
        <w:r w:rsidR="00B37945" w:rsidRPr="00FD45FB">
          <w:rPr>
            <w:rFonts w:ascii="Times New Roman" w:hAnsi="Times New Roman"/>
            <w:noProof/>
            <w:webHidden/>
            <w:sz w:val="24"/>
            <w:szCs w:val="24"/>
          </w:rPr>
          <w:fldChar w:fldCharType="end"/>
        </w:r>
      </w:hyperlink>
    </w:p>
    <w:p w14:paraId="43213781" w14:textId="77777777" w:rsidR="00B37945" w:rsidRPr="00FD45FB" w:rsidRDefault="00C47E8E" w:rsidP="000A4A0F">
      <w:pPr>
        <w:pStyle w:val="TM2"/>
        <w:tabs>
          <w:tab w:val="right" w:leader="dot" w:pos="9061"/>
        </w:tabs>
        <w:spacing w:line="360" w:lineRule="auto"/>
        <w:jc w:val="both"/>
        <w:rPr>
          <w:rFonts w:ascii="Times New Roman" w:hAnsi="Times New Roman"/>
          <w:noProof/>
          <w:sz w:val="24"/>
          <w:szCs w:val="24"/>
        </w:rPr>
      </w:pPr>
      <w:hyperlink w:anchor="_Toc87049046" w:history="1">
        <w:r w:rsidR="00B37945" w:rsidRPr="00FD45FB">
          <w:rPr>
            <w:rStyle w:val="Lienhypertexte"/>
            <w:rFonts w:ascii="Times New Roman" w:hAnsi="Times New Roman"/>
            <w:noProof/>
            <w:sz w:val="24"/>
            <w:szCs w:val="24"/>
          </w:rPr>
          <w:t>I.1. RAPPELS METABOLIQUES ET PHYSIOPATHOLOGIQUES (2, 7, 13,14).</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_Toc87049046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11</w:t>
        </w:r>
        <w:r w:rsidR="00B37945" w:rsidRPr="00FD45FB">
          <w:rPr>
            <w:rFonts w:ascii="Times New Roman" w:hAnsi="Times New Roman"/>
            <w:noProof/>
            <w:webHidden/>
            <w:sz w:val="24"/>
            <w:szCs w:val="24"/>
          </w:rPr>
          <w:fldChar w:fldCharType="end"/>
        </w:r>
      </w:hyperlink>
    </w:p>
    <w:p w14:paraId="6C5B30D1" w14:textId="77777777" w:rsidR="00B37945" w:rsidRPr="00FD45FB" w:rsidRDefault="00C47E8E" w:rsidP="000A4A0F">
      <w:pPr>
        <w:pStyle w:val="TM2"/>
        <w:tabs>
          <w:tab w:val="right" w:leader="dot" w:pos="9061"/>
        </w:tabs>
        <w:spacing w:line="360" w:lineRule="auto"/>
        <w:jc w:val="both"/>
        <w:rPr>
          <w:rFonts w:ascii="Times New Roman" w:hAnsi="Times New Roman"/>
          <w:noProof/>
          <w:sz w:val="24"/>
          <w:szCs w:val="24"/>
        </w:rPr>
      </w:pPr>
      <w:hyperlink w:anchor="_Toc87049047" w:history="1">
        <w:r w:rsidR="00B37945" w:rsidRPr="00FD45FB">
          <w:rPr>
            <w:rStyle w:val="Lienhypertexte"/>
            <w:rFonts w:ascii="Times New Roman" w:hAnsi="Times New Roman"/>
            <w:noProof/>
            <w:sz w:val="24"/>
            <w:szCs w:val="24"/>
          </w:rPr>
          <w:t>I.2. RECONNAISSANCE DE L’ICTERE ET EVALUATION DE SA GRAVITE</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_Toc87049047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20</w:t>
        </w:r>
        <w:r w:rsidR="00B37945" w:rsidRPr="00FD45FB">
          <w:rPr>
            <w:rFonts w:ascii="Times New Roman" w:hAnsi="Times New Roman"/>
            <w:noProof/>
            <w:webHidden/>
            <w:sz w:val="24"/>
            <w:szCs w:val="24"/>
          </w:rPr>
          <w:fldChar w:fldCharType="end"/>
        </w:r>
      </w:hyperlink>
    </w:p>
    <w:p w14:paraId="016CC3C8" w14:textId="77777777" w:rsidR="00B37945" w:rsidRPr="00FD45FB" w:rsidRDefault="00C47E8E" w:rsidP="000A4A0F">
      <w:pPr>
        <w:pStyle w:val="TM2"/>
        <w:tabs>
          <w:tab w:val="right" w:leader="dot" w:pos="9061"/>
        </w:tabs>
        <w:spacing w:line="360" w:lineRule="auto"/>
        <w:jc w:val="both"/>
        <w:rPr>
          <w:rFonts w:ascii="Times New Roman" w:hAnsi="Times New Roman"/>
          <w:noProof/>
          <w:sz w:val="24"/>
          <w:szCs w:val="24"/>
        </w:rPr>
      </w:pPr>
      <w:hyperlink w:anchor="_Toc87049048" w:history="1">
        <w:r w:rsidR="00B37945" w:rsidRPr="00FD45FB">
          <w:rPr>
            <w:rStyle w:val="Lienhypertexte"/>
            <w:rFonts w:ascii="Times New Roman" w:hAnsi="Times New Roman"/>
            <w:noProof/>
            <w:sz w:val="24"/>
            <w:szCs w:val="24"/>
          </w:rPr>
          <w:t>I.3. DIAGNOSTIC PARACLINIQUE</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_Toc87049048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23</w:t>
        </w:r>
        <w:r w:rsidR="00B37945" w:rsidRPr="00FD45FB">
          <w:rPr>
            <w:rFonts w:ascii="Times New Roman" w:hAnsi="Times New Roman"/>
            <w:noProof/>
            <w:webHidden/>
            <w:sz w:val="24"/>
            <w:szCs w:val="24"/>
          </w:rPr>
          <w:fldChar w:fldCharType="end"/>
        </w:r>
      </w:hyperlink>
    </w:p>
    <w:p w14:paraId="449F7AE4" w14:textId="77777777" w:rsidR="00B37945" w:rsidRPr="00FD45FB" w:rsidRDefault="00C47E8E" w:rsidP="000A4A0F">
      <w:pPr>
        <w:pStyle w:val="TM2"/>
        <w:tabs>
          <w:tab w:val="right" w:leader="dot" w:pos="9061"/>
        </w:tabs>
        <w:spacing w:line="360" w:lineRule="auto"/>
        <w:jc w:val="both"/>
        <w:rPr>
          <w:rFonts w:ascii="Times New Roman" w:hAnsi="Times New Roman"/>
          <w:noProof/>
          <w:sz w:val="24"/>
          <w:szCs w:val="24"/>
        </w:rPr>
      </w:pPr>
      <w:hyperlink w:anchor="_Toc87049049" w:history="1">
        <w:r w:rsidR="00B37945" w:rsidRPr="00FD45FB">
          <w:rPr>
            <w:rStyle w:val="Lienhypertexte"/>
            <w:rFonts w:ascii="Times New Roman" w:hAnsi="Times New Roman"/>
            <w:noProof/>
            <w:sz w:val="24"/>
            <w:szCs w:val="24"/>
          </w:rPr>
          <w:t>I.4. ETIOLOGIES</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_Toc87049049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24</w:t>
        </w:r>
        <w:r w:rsidR="00B37945" w:rsidRPr="00FD45FB">
          <w:rPr>
            <w:rFonts w:ascii="Times New Roman" w:hAnsi="Times New Roman"/>
            <w:noProof/>
            <w:webHidden/>
            <w:sz w:val="24"/>
            <w:szCs w:val="24"/>
          </w:rPr>
          <w:fldChar w:fldCharType="end"/>
        </w:r>
      </w:hyperlink>
    </w:p>
    <w:p w14:paraId="353A4F40" w14:textId="77777777" w:rsidR="00B37945" w:rsidRPr="00FD45FB" w:rsidRDefault="00C47E8E" w:rsidP="000A4A0F">
      <w:pPr>
        <w:pStyle w:val="TM3"/>
        <w:tabs>
          <w:tab w:val="right" w:leader="dot" w:pos="9061"/>
        </w:tabs>
        <w:spacing w:line="360" w:lineRule="auto"/>
        <w:jc w:val="both"/>
        <w:rPr>
          <w:rFonts w:ascii="Times New Roman" w:hAnsi="Times New Roman"/>
          <w:noProof/>
          <w:sz w:val="24"/>
          <w:szCs w:val="24"/>
        </w:rPr>
      </w:pPr>
      <w:hyperlink w:anchor="_Toc87049050" w:history="1">
        <w:r w:rsidR="00B37945" w:rsidRPr="00FD45FB">
          <w:rPr>
            <w:rStyle w:val="Lienhypertexte"/>
            <w:rFonts w:ascii="Times New Roman" w:hAnsi="Times New Roman"/>
            <w:noProof/>
            <w:sz w:val="24"/>
            <w:szCs w:val="24"/>
          </w:rPr>
          <w:t>I.4.1. Ictères à bilirubine libre</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_Toc87049050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24</w:t>
        </w:r>
        <w:r w:rsidR="00B37945" w:rsidRPr="00FD45FB">
          <w:rPr>
            <w:rFonts w:ascii="Times New Roman" w:hAnsi="Times New Roman"/>
            <w:noProof/>
            <w:webHidden/>
            <w:sz w:val="24"/>
            <w:szCs w:val="24"/>
          </w:rPr>
          <w:fldChar w:fldCharType="end"/>
        </w:r>
      </w:hyperlink>
    </w:p>
    <w:p w14:paraId="18FF2810" w14:textId="77777777" w:rsidR="00B37945" w:rsidRPr="00FD45FB" w:rsidRDefault="00C47E8E" w:rsidP="000A4A0F">
      <w:pPr>
        <w:pStyle w:val="TM3"/>
        <w:tabs>
          <w:tab w:val="right" w:leader="dot" w:pos="9061"/>
        </w:tabs>
        <w:spacing w:line="360" w:lineRule="auto"/>
        <w:jc w:val="both"/>
        <w:rPr>
          <w:rFonts w:ascii="Times New Roman" w:hAnsi="Times New Roman"/>
          <w:noProof/>
          <w:sz w:val="24"/>
          <w:szCs w:val="24"/>
        </w:rPr>
      </w:pPr>
      <w:hyperlink w:anchor="_Toc87049051" w:history="1">
        <w:r w:rsidR="00B37945" w:rsidRPr="00FD45FB">
          <w:rPr>
            <w:rStyle w:val="Lienhypertexte"/>
            <w:rFonts w:ascii="Times New Roman" w:hAnsi="Times New Roman"/>
            <w:noProof/>
            <w:sz w:val="24"/>
            <w:szCs w:val="24"/>
          </w:rPr>
          <w:t>I.4.2. Ictère simple ou physiologique</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_Toc87049051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24</w:t>
        </w:r>
        <w:r w:rsidR="00B37945" w:rsidRPr="00FD45FB">
          <w:rPr>
            <w:rFonts w:ascii="Times New Roman" w:hAnsi="Times New Roman"/>
            <w:noProof/>
            <w:webHidden/>
            <w:sz w:val="24"/>
            <w:szCs w:val="24"/>
          </w:rPr>
          <w:fldChar w:fldCharType="end"/>
        </w:r>
      </w:hyperlink>
    </w:p>
    <w:p w14:paraId="0FB0B12D" w14:textId="77777777" w:rsidR="00B37945" w:rsidRPr="00FD45FB" w:rsidRDefault="00C47E8E" w:rsidP="000A4A0F">
      <w:pPr>
        <w:pStyle w:val="TM3"/>
        <w:tabs>
          <w:tab w:val="right" w:leader="dot" w:pos="9061"/>
        </w:tabs>
        <w:spacing w:line="360" w:lineRule="auto"/>
        <w:jc w:val="both"/>
        <w:rPr>
          <w:rFonts w:ascii="Times New Roman" w:hAnsi="Times New Roman"/>
          <w:noProof/>
          <w:sz w:val="24"/>
          <w:szCs w:val="24"/>
        </w:rPr>
      </w:pPr>
      <w:hyperlink w:anchor="_Toc87049052" w:history="1">
        <w:r w:rsidR="00B37945" w:rsidRPr="00FD45FB">
          <w:rPr>
            <w:rStyle w:val="Lienhypertexte"/>
            <w:rFonts w:ascii="Times New Roman" w:hAnsi="Times New Roman"/>
            <w:noProof/>
            <w:sz w:val="24"/>
            <w:szCs w:val="24"/>
          </w:rPr>
          <w:t>I.4.3. Ictère lié aux hémolyses néonatales</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_Toc87049052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25</w:t>
        </w:r>
        <w:r w:rsidR="00B37945" w:rsidRPr="00FD45FB">
          <w:rPr>
            <w:rFonts w:ascii="Times New Roman" w:hAnsi="Times New Roman"/>
            <w:noProof/>
            <w:webHidden/>
            <w:sz w:val="24"/>
            <w:szCs w:val="24"/>
          </w:rPr>
          <w:fldChar w:fldCharType="end"/>
        </w:r>
      </w:hyperlink>
    </w:p>
    <w:p w14:paraId="0889CA24" w14:textId="77777777" w:rsidR="00B37945" w:rsidRPr="00FD45FB" w:rsidRDefault="00C47E8E" w:rsidP="000A4A0F">
      <w:pPr>
        <w:pStyle w:val="TM4"/>
        <w:tabs>
          <w:tab w:val="right" w:leader="dot" w:pos="9061"/>
        </w:tabs>
        <w:spacing w:line="360" w:lineRule="auto"/>
        <w:jc w:val="both"/>
        <w:rPr>
          <w:rFonts w:ascii="Times New Roman" w:eastAsiaTheme="minorEastAsia" w:hAnsi="Times New Roman" w:cs="Times New Roman"/>
          <w:noProof/>
          <w:color w:val="auto"/>
          <w:sz w:val="24"/>
          <w:szCs w:val="24"/>
          <w:lang w:eastAsia="fr-FR"/>
        </w:rPr>
      </w:pPr>
      <w:hyperlink w:anchor="_Toc87049053" w:history="1">
        <w:r w:rsidR="00B37945" w:rsidRPr="00FD45FB">
          <w:rPr>
            <w:rStyle w:val="Lienhypertexte"/>
            <w:rFonts w:ascii="Times New Roman" w:hAnsi="Times New Roman" w:cs="Times New Roman"/>
            <w:noProof/>
            <w:sz w:val="24"/>
            <w:szCs w:val="24"/>
          </w:rPr>
          <w:t>I.4.3.1.Incompatibilités fœto-maternelles :</w:t>
        </w:r>
        <w:r w:rsidR="00B37945" w:rsidRPr="00FD45FB">
          <w:rPr>
            <w:rFonts w:ascii="Times New Roman" w:hAnsi="Times New Roman" w:cs="Times New Roman"/>
            <w:noProof/>
            <w:webHidden/>
            <w:sz w:val="24"/>
            <w:szCs w:val="24"/>
          </w:rPr>
          <w:tab/>
        </w:r>
        <w:r w:rsidR="00B37945" w:rsidRPr="00FD45FB">
          <w:rPr>
            <w:rFonts w:ascii="Times New Roman" w:hAnsi="Times New Roman" w:cs="Times New Roman"/>
            <w:noProof/>
            <w:webHidden/>
            <w:sz w:val="24"/>
            <w:szCs w:val="24"/>
          </w:rPr>
          <w:fldChar w:fldCharType="begin"/>
        </w:r>
        <w:r w:rsidR="00B37945" w:rsidRPr="00FD45FB">
          <w:rPr>
            <w:rFonts w:ascii="Times New Roman" w:hAnsi="Times New Roman" w:cs="Times New Roman"/>
            <w:noProof/>
            <w:webHidden/>
            <w:sz w:val="24"/>
            <w:szCs w:val="24"/>
          </w:rPr>
          <w:instrText xml:space="preserve"> PAGEREF _Toc87049053 \h </w:instrText>
        </w:r>
        <w:r w:rsidR="00B37945" w:rsidRPr="00FD45FB">
          <w:rPr>
            <w:rFonts w:ascii="Times New Roman" w:hAnsi="Times New Roman" w:cs="Times New Roman"/>
            <w:noProof/>
            <w:webHidden/>
            <w:sz w:val="24"/>
            <w:szCs w:val="24"/>
          </w:rPr>
        </w:r>
        <w:r w:rsidR="00B37945" w:rsidRPr="00FD45FB">
          <w:rPr>
            <w:rFonts w:ascii="Times New Roman" w:hAnsi="Times New Roman" w:cs="Times New Roman"/>
            <w:noProof/>
            <w:webHidden/>
            <w:sz w:val="24"/>
            <w:szCs w:val="24"/>
          </w:rPr>
          <w:fldChar w:fldCharType="separate"/>
        </w:r>
        <w:r w:rsidR="00B37945" w:rsidRPr="00FD45FB">
          <w:rPr>
            <w:rFonts w:ascii="Times New Roman" w:hAnsi="Times New Roman" w:cs="Times New Roman"/>
            <w:noProof/>
            <w:webHidden/>
            <w:sz w:val="24"/>
            <w:szCs w:val="24"/>
          </w:rPr>
          <w:t>25</w:t>
        </w:r>
        <w:r w:rsidR="00B37945" w:rsidRPr="00FD45FB">
          <w:rPr>
            <w:rFonts w:ascii="Times New Roman" w:hAnsi="Times New Roman" w:cs="Times New Roman"/>
            <w:noProof/>
            <w:webHidden/>
            <w:sz w:val="24"/>
            <w:szCs w:val="24"/>
          </w:rPr>
          <w:fldChar w:fldCharType="end"/>
        </w:r>
      </w:hyperlink>
    </w:p>
    <w:p w14:paraId="291C82CC" w14:textId="77777777" w:rsidR="00B37945" w:rsidRPr="00FD45FB" w:rsidRDefault="00C47E8E" w:rsidP="000A4A0F">
      <w:pPr>
        <w:pStyle w:val="TM4"/>
        <w:tabs>
          <w:tab w:val="right" w:leader="dot" w:pos="9061"/>
        </w:tabs>
        <w:spacing w:line="360" w:lineRule="auto"/>
        <w:jc w:val="both"/>
        <w:rPr>
          <w:rFonts w:ascii="Times New Roman" w:eastAsiaTheme="minorEastAsia" w:hAnsi="Times New Roman" w:cs="Times New Roman"/>
          <w:noProof/>
          <w:color w:val="auto"/>
          <w:sz w:val="24"/>
          <w:szCs w:val="24"/>
          <w:lang w:eastAsia="fr-FR"/>
        </w:rPr>
      </w:pPr>
      <w:hyperlink w:anchor="_Toc87049054" w:history="1">
        <w:r w:rsidR="00B37945" w:rsidRPr="00FD45FB">
          <w:rPr>
            <w:rStyle w:val="Lienhypertexte"/>
            <w:rFonts w:ascii="Times New Roman" w:hAnsi="Times New Roman" w:cs="Times New Roman"/>
            <w:noProof/>
            <w:sz w:val="24"/>
            <w:szCs w:val="24"/>
          </w:rPr>
          <w:t>I.4.3.2. Hémolyses constitutionnelles :</w:t>
        </w:r>
        <w:r w:rsidR="00B37945" w:rsidRPr="00FD45FB">
          <w:rPr>
            <w:rFonts w:ascii="Times New Roman" w:hAnsi="Times New Roman" w:cs="Times New Roman"/>
            <w:noProof/>
            <w:webHidden/>
            <w:sz w:val="24"/>
            <w:szCs w:val="24"/>
          </w:rPr>
          <w:tab/>
        </w:r>
        <w:r w:rsidR="00B37945" w:rsidRPr="00FD45FB">
          <w:rPr>
            <w:rFonts w:ascii="Times New Roman" w:hAnsi="Times New Roman" w:cs="Times New Roman"/>
            <w:noProof/>
            <w:webHidden/>
            <w:sz w:val="24"/>
            <w:szCs w:val="24"/>
          </w:rPr>
          <w:fldChar w:fldCharType="begin"/>
        </w:r>
        <w:r w:rsidR="00B37945" w:rsidRPr="00FD45FB">
          <w:rPr>
            <w:rFonts w:ascii="Times New Roman" w:hAnsi="Times New Roman" w:cs="Times New Roman"/>
            <w:noProof/>
            <w:webHidden/>
            <w:sz w:val="24"/>
            <w:szCs w:val="24"/>
          </w:rPr>
          <w:instrText xml:space="preserve"> PAGEREF _Toc87049054 \h </w:instrText>
        </w:r>
        <w:r w:rsidR="00B37945" w:rsidRPr="00FD45FB">
          <w:rPr>
            <w:rFonts w:ascii="Times New Roman" w:hAnsi="Times New Roman" w:cs="Times New Roman"/>
            <w:noProof/>
            <w:webHidden/>
            <w:sz w:val="24"/>
            <w:szCs w:val="24"/>
          </w:rPr>
        </w:r>
        <w:r w:rsidR="00B37945" w:rsidRPr="00FD45FB">
          <w:rPr>
            <w:rFonts w:ascii="Times New Roman" w:hAnsi="Times New Roman" w:cs="Times New Roman"/>
            <w:noProof/>
            <w:webHidden/>
            <w:sz w:val="24"/>
            <w:szCs w:val="24"/>
          </w:rPr>
          <w:fldChar w:fldCharType="separate"/>
        </w:r>
        <w:r w:rsidR="00B37945" w:rsidRPr="00FD45FB">
          <w:rPr>
            <w:rFonts w:ascii="Times New Roman" w:hAnsi="Times New Roman" w:cs="Times New Roman"/>
            <w:noProof/>
            <w:webHidden/>
            <w:sz w:val="24"/>
            <w:szCs w:val="24"/>
          </w:rPr>
          <w:t>26</w:t>
        </w:r>
        <w:r w:rsidR="00B37945" w:rsidRPr="00FD45FB">
          <w:rPr>
            <w:rFonts w:ascii="Times New Roman" w:hAnsi="Times New Roman" w:cs="Times New Roman"/>
            <w:noProof/>
            <w:webHidden/>
            <w:sz w:val="24"/>
            <w:szCs w:val="24"/>
          </w:rPr>
          <w:fldChar w:fldCharType="end"/>
        </w:r>
      </w:hyperlink>
    </w:p>
    <w:p w14:paraId="45D29D08" w14:textId="77777777" w:rsidR="00B37945" w:rsidRPr="00FD45FB" w:rsidRDefault="00C47E8E" w:rsidP="000A4A0F">
      <w:pPr>
        <w:pStyle w:val="TM4"/>
        <w:tabs>
          <w:tab w:val="right" w:leader="dot" w:pos="9061"/>
        </w:tabs>
        <w:spacing w:line="360" w:lineRule="auto"/>
        <w:jc w:val="both"/>
        <w:rPr>
          <w:rFonts w:ascii="Times New Roman" w:eastAsiaTheme="minorEastAsia" w:hAnsi="Times New Roman" w:cs="Times New Roman"/>
          <w:noProof/>
          <w:color w:val="auto"/>
          <w:sz w:val="24"/>
          <w:szCs w:val="24"/>
          <w:lang w:eastAsia="fr-FR"/>
        </w:rPr>
      </w:pPr>
      <w:hyperlink w:anchor="_Toc87049055" w:history="1">
        <w:r w:rsidR="00B37945" w:rsidRPr="00FD45FB">
          <w:rPr>
            <w:rStyle w:val="Lienhypertexte"/>
            <w:rFonts w:ascii="Times New Roman" w:hAnsi="Times New Roman" w:cs="Times New Roman"/>
            <w:noProof/>
            <w:sz w:val="24"/>
            <w:szCs w:val="24"/>
          </w:rPr>
          <w:t>I.4.3.3. Hémolyse extravasculaire:</w:t>
        </w:r>
        <w:r w:rsidR="00B37945" w:rsidRPr="00FD45FB">
          <w:rPr>
            <w:rFonts w:ascii="Times New Roman" w:hAnsi="Times New Roman" w:cs="Times New Roman"/>
            <w:noProof/>
            <w:webHidden/>
            <w:sz w:val="24"/>
            <w:szCs w:val="24"/>
          </w:rPr>
          <w:tab/>
        </w:r>
        <w:r w:rsidR="00B37945" w:rsidRPr="00FD45FB">
          <w:rPr>
            <w:rFonts w:ascii="Times New Roman" w:hAnsi="Times New Roman" w:cs="Times New Roman"/>
            <w:noProof/>
            <w:webHidden/>
            <w:sz w:val="24"/>
            <w:szCs w:val="24"/>
          </w:rPr>
          <w:fldChar w:fldCharType="begin"/>
        </w:r>
        <w:r w:rsidR="00B37945" w:rsidRPr="00FD45FB">
          <w:rPr>
            <w:rFonts w:ascii="Times New Roman" w:hAnsi="Times New Roman" w:cs="Times New Roman"/>
            <w:noProof/>
            <w:webHidden/>
            <w:sz w:val="24"/>
            <w:szCs w:val="24"/>
          </w:rPr>
          <w:instrText xml:space="preserve"> PAGEREF _Toc87049055 \h </w:instrText>
        </w:r>
        <w:r w:rsidR="00B37945" w:rsidRPr="00FD45FB">
          <w:rPr>
            <w:rFonts w:ascii="Times New Roman" w:hAnsi="Times New Roman" w:cs="Times New Roman"/>
            <w:noProof/>
            <w:webHidden/>
            <w:sz w:val="24"/>
            <w:szCs w:val="24"/>
          </w:rPr>
        </w:r>
        <w:r w:rsidR="00B37945" w:rsidRPr="00FD45FB">
          <w:rPr>
            <w:rFonts w:ascii="Times New Roman" w:hAnsi="Times New Roman" w:cs="Times New Roman"/>
            <w:noProof/>
            <w:webHidden/>
            <w:sz w:val="24"/>
            <w:szCs w:val="24"/>
          </w:rPr>
          <w:fldChar w:fldCharType="separate"/>
        </w:r>
        <w:r w:rsidR="00B37945" w:rsidRPr="00FD45FB">
          <w:rPr>
            <w:rFonts w:ascii="Times New Roman" w:hAnsi="Times New Roman" w:cs="Times New Roman"/>
            <w:noProof/>
            <w:webHidden/>
            <w:sz w:val="24"/>
            <w:szCs w:val="24"/>
          </w:rPr>
          <w:t>28</w:t>
        </w:r>
        <w:r w:rsidR="00B37945" w:rsidRPr="00FD45FB">
          <w:rPr>
            <w:rFonts w:ascii="Times New Roman" w:hAnsi="Times New Roman" w:cs="Times New Roman"/>
            <w:noProof/>
            <w:webHidden/>
            <w:sz w:val="24"/>
            <w:szCs w:val="24"/>
          </w:rPr>
          <w:fldChar w:fldCharType="end"/>
        </w:r>
      </w:hyperlink>
    </w:p>
    <w:p w14:paraId="3BDF1C57" w14:textId="77777777" w:rsidR="00B37945" w:rsidRPr="00FD45FB" w:rsidRDefault="00C47E8E" w:rsidP="000A4A0F">
      <w:pPr>
        <w:pStyle w:val="TM3"/>
        <w:tabs>
          <w:tab w:val="right" w:leader="dot" w:pos="9061"/>
        </w:tabs>
        <w:spacing w:line="360" w:lineRule="auto"/>
        <w:jc w:val="both"/>
        <w:rPr>
          <w:rFonts w:ascii="Times New Roman" w:hAnsi="Times New Roman"/>
          <w:noProof/>
          <w:sz w:val="24"/>
          <w:szCs w:val="24"/>
        </w:rPr>
      </w:pPr>
      <w:hyperlink w:anchor="_Toc87049056" w:history="1">
        <w:r w:rsidR="00B37945" w:rsidRPr="00FD45FB">
          <w:rPr>
            <w:rStyle w:val="Lienhypertexte"/>
            <w:rFonts w:ascii="Times New Roman" w:hAnsi="Times New Roman"/>
            <w:noProof/>
            <w:sz w:val="24"/>
            <w:szCs w:val="24"/>
          </w:rPr>
          <w:t>I.4.4. Ictère infectieux :</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_Toc87049056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28</w:t>
        </w:r>
        <w:r w:rsidR="00B37945" w:rsidRPr="00FD45FB">
          <w:rPr>
            <w:rFonts w:ascii="Times New Roman" w:hAnsi="Times New Roman"/>
            <w:noProof/>
            <w:webHidden/>
            <w:sz w:val="24"/>
            <w:szCs w:val="24"/>
          </w:rPr>
          <w:fldChar w:fldCharType="end"/>
        </w:r>
      </w:hyperlink>
    </w:p>
    <w:p w14:paraId="794F06AD" w14:textId="77777777" w:rsidR="00B37945" w:rsidRPr="00FD45FB" w:rsidRDefault="00C47E8E" w:rsidP="000A4A0F">
      <w:pPr>
        <w:pStyle w:val="TM3"/>
        <w:tabs>
          <w:tab w:val="right" w:leader="dot" w:pos="9061"/>
        </w:tabs>
        <w:spacing w:line="360" w:lineRule="auto"/>
        <w:jc w:val="both"/>
        <w:rPr>
          <w:rFonts w:ascii="Times New Roman" w:hAnsi="Times New Roman"/>
          <w:noProof/>
          <w:sz w:val="24"/>
          <w:szCs w:val="24"/>
        </w:rPr>
      </w:pPr>
      <w:hyperlink w:anchor="_Toc87049057" w:history="1">
        <w:r w:rsidR="00B37945" w:rsidRPr="00FD45FB">
          <w:rPr>
            <w:rStyle w:val="Lienhypertexte"/>
            <w:rFonts w:ascii="Times New Roman" w:hAnsi="Times New Roman"/>
            <w:noProof/>
            <w:sz w:val="24"/>
            <w:szCs w:val="24"/>
          </w:rPr>
          <w:t>I.4.5. Ictère secondaire à une hypothyroïdie congénitale</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_Toc87049057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28</w:t>
        </w:r>
        <w:r w:rsidR="00B37945" w:rsidRPr="00FD45FB">
          <w:rPr>
            <w:rFonts w:ascii="Times New Roman" w:hAnsi="Times New Roman"/>
            <w:noProof/>
            <w:webHidden/>
            <w:sz w:val="24"/>
            <w:szCs w:val="24"/>
          </w:rPr>
          <w:fldChar w:fldCharType="end"/>
        </w:r>
      </w:hyperlink>
    </w:p>
    <w:p w14:paraId="67C00937" w14:textId="77777777" w:rsidR="00B37945" w:rsidRPr="00FD45FB" w:rsidRDefault="00C47E8E" w:rsidP="000A4A0F">
      <w:pPr>
        <w:pStyle w:val="TM3"/>
        <w:tabs>
          <w:tab w:val="right" w:leader="dot" w:pos="9061"/>
        </w:tabs>
        <w:spacing w:line="360" w:lineRule="auto"/>
        <w:jc w:val="both"/>
        <w:rPr>
          <w:rFonts w:ascii="Times New Roman" w:hAnsi="Times New Roman"/>
          <w:noProof/>
          <w:sz w:val="24"/>
          <w:szCs w:val="24"/>
        </w:rPr>
      </w:pPr>
      <w:hyperlink w:anchor="_Toc87049058" w:history="1">
        <w:r w:rsidR="00B37945" w:rsidRPr="00FD45FB">
          <w:rPr>
            <w:rStyle w:val="Lienhypertexte"/>
            <w:rFonts w:ascii="Times New Roman" w:hAnsi="Times New Roman"/>
            <w:noProof/>
            <w:sz w:val="24"/>
            <w:szCs w:val="24"/>
            <w:lang w:val="es-ES"/>
          </w:rPr>
          <w:t>I.4.6. Anomalies de la glucurono-conjugaison</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_Toc87049058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28</w:t>
        </w:r>
        <w:r w:rsidR="00B37945" w:rsidRPr="00FD45FB">
          <w:rPr>
            <w:rFonts w:ascii="Times New Roman" w:hAnsi="Times New Roman"/>
            <w:noProof/>
            <w:webHidden/>
            <w:sz w:val="24"/>
            <w:szCs w:val="24"/>
          </w:rPr>
          <w:fldChar w:fldCharType="end"/>
        </w:r>
      </w:hyperlink>
    </w:p>
    <w:p w14:paraId="4D2E7240" w14:textId="77777777" w:rsidR="00B37945" w:rsidRPr="00FD45FB" w:rsidRDefault="00C47E8E" w:rsidP="000A4A0F">
      <w:pPr>
        <w:pStyle w:val="TM4"/>
        <w:tabs>
          <w:tab w:val="right" w:leader="dot" w:pos="9061"/>
        </w:tabs>
        <w:spacing w:line="360" w:lineRule="auto"/>
        <w:jc w:val="both"/>
        <w:rPr>
          <w:rFonts w:ascii="Times New Roman" w:eastAsiaTheme="minorEastAsia" w:hAnsi="Times New Roman" w:cs="Times New Roman"/>
          <w:noProof/>
          <w:color w:val="auto"/>
          <w:sz w:val="24"/>
          <w:szCs w:val="24"/>
          <w:lang w:eastAsia="fr-FR"/>
        </w:rPr>
      </w:pPr>
      <w:hyperlink w:anchor="_Toc87049059" w:history="1">
        <w:r w:rsidR="00B37945" w:rsidRPr="00FD45FB">
          <w:rPr>
            <w:rStyle w:val="Lienhypertexte"/>
            <w:rFonts w:ascii="Times New Roman" w:hAnsi="Times New Roman" w:cs="Times New Roman"/>
            <w:noProof/>
            <w:sz w:val="24"/>
            <w:szCs w:val="24"/>
          </w:rPr>
          <w:t>I.4.6.1. Déficit transitoire de la captation, du transport, de la conjugaison de la bilirubine</w:t>
        </w:r>
        <w:r w:rsidR="00B37945" w:rsidRPr="00FD45FB">
          <w:rPr>
            <w:rFonts w:ascii="Times New Roman" w:hAnsi="Times New Roman" w:cs="Times New Roman"/>
            <w:noProof/>
            <w:webHidden/>
            <w:sz w:val="24"/>
            <w:szCs w:val="24"/>
          </w:rPr>
          <w:tab/>
        </w:r>
        <w:r w:rsidR="00B37945" w:rsidRPr="00FD45FB">
          <w:rPr>
            <w:rFonts w:ascii="Times New Roman" w:hAnsi="Times New Roman" w:cs="Times New Roman"/>
            <w:noProof/>
            <w:webHidden/>
            <w:sz w:val="24"/>
            <w:szCs w:val="24"/>
          </w:rPr>
          <w:fldChar w:fldCharType="begin"/>
        </w:r>
        <w:r w:rsidR="00B37945" w:rsidRPr="00FD45FB">
          <w:rPr>
            <w:rFonts w:ascii="Times New Roman" w:hAnsi="Times New Roman" w:cs="Times New Roman"/>
            <w:noProof/>
            <w:webHidden/>
            <w:sz w:val="24"/>
            <w:szCs w:val="24"/>
          </w:rPr>
          <w:instrText xml:space="preserve"> PAGEREF _Toc87049059 \h </w:instrText>
        </w:r>
        <w:r w:rsidR="00B37945" w:rsidRPr="00FD45FB">
          <w:rPr>
            <w:rFonts w:ascii="Times New Roman" w:hAnsi="Times New Roman" w:cs="Times New Roman"/>
            <w:noProof/>
            <w:webHidden/>
            <w:sz w:val="24"/>
            <w:szCs w:val="24"/>
          </w:rPr>
        </w:r>
        <w:r w:rsidR="00B37945" w:rsidRPr="00FD45FB">
          <w:rPr>
            <w:rFonts w:ascii="Times New Roman" w:hAnsi="Times New Roman" w:cs="Times New Roman"/>
            <w:noProof/>
            <w:webHidden/>
            <w:sz w:val="24"/>
            <w:szCs w:val="24"/>
          </w:rPr>
          <w:fldChar w:fldCharType="separate"/>
        </w:r>
        <w:r w:rsidR="00B37945" w:rsidRPr="00FD45FB">
          <w:rPr>
            <w:rFonts w:ascii="Times New Roman" w:hAnsi="Times New Roman" w:cs="Times New Roman"/>
            <w:noProof/>
            <w:webHidden/>
            <w:sz w:val="24"/>
            <w:szCs w:val="24"/>
          </w:rPr>
          <w:t>28</w:t>
        </w:r>
        <w:r w:rsidR="00B37945" w:rsidRPr="00FD45FB">
          <w:rPr>
            <w:rFonts w:ascii="Times New Roman" w:hAnsi="Times New Roman" w:cs="Times New Roman"/>
            <w:noProof/>
            <w:webHidden/>
            <w:sz w:val="24"/>
            <w:szCs w:val="24"/>
          </w:rPr>
          <w:fldChar w:fldCharType="end"/>
        </w:r>
      </w:hyperlink>
    </w:p>
    <w:p w14:paraId="09E1D0FA" w14:textId="77777777" w:rsidR="00B37945" w:rsidRPr="00FD45FB" w:rsidRDefault="00C47E8E" w:rsidP="000A4A0F">
      <w:pPr>
        <w:pStyle w:val="TM4"/>
        <w:tabs>
          <w:tab w:val="right" w:leader="dot" w:pos="9061"/>
        </w:tabs>
        <w:spacing w:line="360" w:lineRule="auto"/>
        <w:jc w:val="both"/>
        <w:rPr>
          <w:rFonts w:ascii="Times New Roman" w:eastAsiaTheme="minorEastAsia" w:hAnsi="Times New Roman" w:cs="Times New Roman"/>
          <w:noProof/>
          <w:color w:val="auto"/>
          <w:sz w:val="24"/>
          <w:szCs w:val="24"/>
          <w:lang w:eastAsia="fr-FR"/>
        </w:rPr>
      </w:pPr>
      <w:hyperlink w:anchor="_Toc87049060" w:history="1">
        <w:r w:rsidR="00B37945" w:rsidRPr="00FD45FB">
          <w:rPr>
            <w:rStyle w:val="Lienhypertexte"/>
            <w:rFonts w:ascii="Times New Roman" w:hAnsi="Times New Roman" w:cs="Times New Roman"/>
            <w:noProof/>
            <w:sz w:val="24"/>
            <w:szCs w:val="24"/>
          </w:rPr>
          <w:t>I.4.6.2. Déficits constitutionnels de la glucurono-conjugaison de la bilirubine</w:t>
        </w:r>
        <w:r w:rsidR="00B37945" w:rsidRPr="00FD45FB">
          <w:rPr>
            <w:rFonts w:ascii="Times New Roman" w:hAnsi="Times New Roman" w:cs="Times New Roman"/>
            <w:noProof/>
            <w:webHidden/>
            <w:sz w:val="24"/>
            <w:szCs w:val="24"/>
          </w:rPr>
          <w:tab/>
        </w:r>
        <w:r w:rsidR="00B37945" w:rsidRPr="00FD45FB">
          <w:rPr>
            <w:rFonts w:ascii="Times New Roman" w:hAnsi="Times New Roman" w:cs="Times New Roman"/>
            <w:noProof/>
            <w:webHidden/>
            <w:sz w:val="24"/>
            <w:szCs w:val="24"/>
          </w:rPr>
          <w:fldChar w:fldCharType="begin"/>
        </w:r>
        <w:r w:rsidR="00B37945" w:rsidRPr="00FD45FB">
          <w:rPr>
            <w:rFonts w:ascii="Times New Roman" w:hAnsi="Times New Roman" w:cs="Times New Roman"/>
            <w:noProof/>
            <w:webHidden/>
            <w:sz w:val="24"/>
            <w:szCs w:val="24"/>
          </w:rPr>
          <w:instrText xml:space="preserve"> PAGEREF _Toc87049060 \h </w:instrText>
        </w:r>
        <w:r w:rsidR="00B37945" w:rsidRPr="00FD45FB">
          <w:rPr>
            <w:rFonts w:ascii="Times New Roman" w:hAnsi="Times New Roman" w:cs="Times New Roman"/>
            <w:noProof/>
            <w:webHidden/>
            <w:sz w:val="24"/>
            <w:szCs w:val="24"/>
          </w:rPr>
        </w:r>
        <w:r w:rsidR="00B37945" w:rsidRPr="00FD45FB">
          <w:rPr>
            <w:rFonts w:ascii="Times New Roman" w:hAnsi="Times New Roman" w:cs="Times New Roman"/>
            <w:noProof/>
            <w:webHidden/>
            <w:sz w:val="24"/>
            <w:szCs w:val="24"/>
          </w:rPr>
          <w:fldChar w:fldCharType="separate"/>
        </w:r>
        <w:r w:rsidR="00B37945" w:rsidRPr="00FD45FB">
          <w:rPr>
            <w:rFonts w:ascii="Times New Roman" w:hAnsi="Times New Roman" w:cs="Times New Roman"/>
            <w:noProof/>
            <w:webHidden/>
            <w:sz w:val="24"/>
            <w:szCs w:val="24"/>
          </w:rPr>
          <w:t>28</w:t>
        </w:r>
        <w:r w:rsidR="00B37945" w:rsidRPr="00FD45FB">
          <w:rPr>
            <w:rFonts w:ascii="Times New Roman" w:hAnsi="Times New Roman" w:cs="Times New Roman"/>
            <w:noProof/>
            <w:webHidden/>
            <w:sz w:val="24"/>
            <w:szCs w:val="24"/>
          </w:rPr>
          <w:fldChar w:fldCharType="end"/>
        </w:r>
      </w:hyperlink>
    </w:p>
    <w:p w14:paraId="371AC47D" w14:textId="77777777" w:rsidR="00B37945" w:rsidRPr="00FD45FB" w:rsidRDefault="00C47E8E" w:rsidP="000A4A0F">
      <w:pPr>
        <w:pStyle w:val="TM1"/>
        <w:tabs>
          <w:tab w:val="right" w:leader="dot" w:pos="9061"/>
        </w:tabs>
        <w:spacing w:line="360" w:lineRule="auto"/>
        <w:jc w:val="both"/>
        <w:rPr>
          <w:rFonts w:ascii="Times New Roman" w:hAnsi="Times New Roman"/>
          <w:noProof/>
          <w:sz w:val="24"/>
          <w:szCs w:val="24"/>
        </w:rPr>
      </w:pPr>
      <w:hyperlink w:anchor="_Toc87049061" w:history="1">
        <w:r w:rsidR="00B37945" w:rsidRPr="00FD45FB">
          <w:rPr>
            <w:rStyle w:val="Lienhypertexte"/>
            <w:rFonts w:ascii="Times New Roman" w:hAnsi="Times New Roman"/>
            <w:noProof/>
            <w:sz w:val="24"/>
            <w:szCs w:val="24"/>
          </w:rPr>
          <w:t>ALGORYTHME DU DIAGNOSTIC ETIOLOGIQUE DE L’ICTERE NEONATAL</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_Toc87049061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30</w:t>
        </w:r>
        <w:r w:rsidR="00B37945" w:rsidRPr="00FD45FB">
          <w:rPr>
            <w:rFonts w:ascii="Times New Roman" w:hAnsi="Times New Roman"/>
            <w:noProof/>
            <w:webHidden/>
            <w:sz w:val="24"/>
            <w:szCs w:val="24"/>
          </w:rPr>
          <w:fldChar w:fldCharType="end"/>
        </w:r>
      </w:hyperlink>
    </w:p>
    <w:p w14:paraId="18F0B5B2" w14:textId="77777777" w:rsidR="00B37945" w:rsidRPr="00FD45FB" w:rsidRDefault="00C47E8E" w:rsidP="000A4A0F">
      <w:pPr>
        <w:pStyle w:val="TM2"/>
        <w:tabs>
          <w:tab w:val="right" w:leader="dot" w:pos="9061"/>
        </w:tabs>
        <w:spacing w:line="360" w:lineRule="auto"/>
        <w:jc w:val="both"/>
        <w:rPr>
          <w:rFonts w:ascii="Times New Roman" w:hAnsi="Times New Roman"/>
          <w:noProof/>
          <w:sz w:val="24"/>
          <w:szCs w:val="24"/>
        </w:rPr>
      </w:pPr>
      <w:hyperlink w:anchor="_Toc87049062" w:history="1">
        <w:r w:rsidR="00B37945" w:rsidRPr="00FD45FB">
          <w:rPr>
            <w:rStyle w:val="Lienhypertexte"/>
            <w:rFonts w:ascii="Times New Roman" w:hAnsi="Times New Roman"/>
            <w:noProof/>
            <w:sz w:val="24"/>
            <w:szCs w:val="24"/>
          </w:rPr>
          <w:t>I.5. Traitement : Photothérapie</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_Toc87049062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31</w:t>
        </w:r>
        <w:r w:rsidR="00B37945" w:rsidRPr="00FD45FB">
          <w:rPr>
            <w:rFonts w:ascii="Times New Roman" w:hAnsi="Times New Roman"/>
            <w:noProof/>
            <w:webHidden/>
            <w:sz w:val="24"/>
            <w:szCs w:val="24"/>
          </w:rPr>
          <w:fldChar w:fldCharType="end"/>
        </w:r>
      </w:hyperlink>
    </w:p>
    <w:p w14:paraId="65772FAD" w14:textId="77777777" w:rsidR="00B37945" w:rsidRPr="00FD45FB" w:rsidRDefault="00C47E8E" w:rsidP="000A4A0F">
      <w:pPr>
        <w:pStyle w:val="TM3"/>
        <w:tabs>
          <w:tab w:val="left" w:pos="880"/>
          <w:tab w:val="right" w:leader="dot" w:pos="9061"/>
        </w:tabs>
        <w:spacing w:line="360" w:lineRule="auto"/>
        <w:jc w:val="both"/>
        <w:rPr>
          <w:rFonts w:ascii="Times New Roman" w:hAnsi="Times New Roman"/>
          <w:noProof/>
          <w:sz w:val="24"/>
          <w:szCs w:val="24"/>
        </w:rPr>
      </w:pPr>
      <w:hyperlink w:anchor="_Toc87049063" w:history="1">
        <w:r w:rsidR="00B37945" w:rsidRPr="00FD45FB">
          <w:rPr>
            <w:rStyle w:val="Lienhypertexte"/>
            <w:rFonts w:ascii="Times New Roman" w:hAnsi="Times New Roman"/>
            <w:noProof/>
            <w:sz w:val="24"/>
            <w:szCs w:val="24"/>
          </w:rPr>
          <w:t>1.</w:t>
        </w:r>
        <w:r w:rsidR="00B37945" w:rsidRPr="00FD45FB">
          <w:rPr>
            <w:rFonts w:ascii="Times New Roman" w:hAnsi="Times New Roman"/>
            <w:noProof/>
            <w:sz w:val="24"/>
            <w:szCs w:val="24"/>
          </w:rPr>
          <w:tab/>
        </w:r>
        <w:r w:rsidR="00B37945" w:rsidRPr="00FD45FB">
          <w:rPr>
            <w:rStyle w:val="Lienhypertexte"/>
            <w:rFonts w:ascii="Times New Roman" w:hAnsi="Times New Roman"/>
            <w:noProof/>
            <w:sz w:val="24"/>
            <w:szCs w:val="24"/>
          </w:rPr>
          <w:t>Mécanisme d’action</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_Toc87049063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31</w:t>
        </w:r>
        <w:r w:rsidR="00B37945" w:rsidRPr="00FD45FB">
          <w:rPr>
            <w:rFonts w:ascii="Times New Roman" w:hAnsi="Times New Roman"/>
            <w:noProof/>
            <w:webHidden/>
            <w:sz w:val="24"/>
            <w:szCs w:val="24"/>
          </w:rPr>
          <w:fldChar w:fldCharType="end"/>
        </w:r>
      </w:hyperlink>
    </w:p>
    <w:p w14:paraId="286CDAAA" w14:textId="77777777" w:rsidR="00B37945" w:rsidRPr="00FD45FB" w:rsidRDefault="00C47E8E" w:rsidP="000A4A0F">
      <w:pPr>
        <w:pStyle w:val="TM3"/>
        <w:tabs>
          <w:tab w:val="left" w:pos="880"/>
          <w:tab w:val="right" w:leader="dot" w:pos="9061"/>
        </w:tabs>
        <w:spacing w:line="360" w:lineRule="auto"/>
        <w:jc w:val="both"/>
        <w:rPr>
          <w:rFonts w:ascii="Times New Roman" w:hAnsi="Times New Roman"/>
          <w:noProof/>
          <w:sz w:val="24"/>
          <w:szCs w:val="24"/>
        </w:rPr>
      </w:pPr>
      <w:hyperlink w:anchor="_Toc87049064" w:history="1">
        <w:r w:rsidR="00B37945" w:rsidRPr="00FD45FB">
          <w:rPr>
            <w:rStyle w:val="Lienhypertexte"/>
            <w:rFonts w:ascii="Times New Roman" w:hAnsi="Times New Roman"/>
            <w:noProof/>
            <w:sz w:val="24"/>
            <w:szCs w:val="24"/>
          </w:rPr>
          <w:t>2.</w:t>
        </w:r>
        <w:r w:rsidR="00B37945" w:rsidRPr="00FD45FB">
          <w:rPr>
            <w:rFonts w:ascii="Times New Roman" w:hAnsi="Times New Roman"/>
            <w:noProof/>
            <w:sz w:val="24"/>
            <w:szCs w:val="24"/>
          </w:rPr>
          <w:tab/>
        </w:r>
        <w:r w:rsidR="00B37945" w:rsidRPr="00FD45FB">
          <w:rPr>
            <w:rStyle w:val="Lienhypertexte"/>
            <w:rFonts w:ascii="Times New Roman" w:hAnsi="Times New Roman"/>
            <w:noProof/>
            <w:sz w:val="24"/>
            <w:szCs w:val="24"/>
          </w:rPr>
          <w:t>Facteurs influençant l’efficacité</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_Toc87049064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32</w:t>
        </w:r>
        <w:r w:rsidR="00B37945" w:rsidRPr="00FD45FB">
          <w:rPr>
            <w:rFonts w:ascii="Times New Roman" w:hAnsi="Times New Roman"/>
            <w:noProof/>
            <w:webHidden/>
            <w:sz w:val="24"/>
            <w:szCs w:val="24"/>
          </w:rPr>
          <w:fldChar w:fldCharType="end"/>
        </w:r>
      </w:hyperlink>
    </w:p>
    <w:p w14:paraId="730D64ED" w14:textId="77777777" w:rsidR="00B37945" w:rsidRPr="00FD45FB" w:rsidRDefault="00C47E8E" w:rsidP="000A4A0F">
      <w:pPr>
        <w:pStyle w:val="TM3"/>
        <w:tabs>
          <w:tab w:val="left" w:pos="880"/>
          <w:tab w:val="right" w:leader="dot" w:pos="9061"/>
        </w:tabs>
        <w:spacing w:line="360" w:lineRule="auto"/>
        <w:jc w:val="both"/>
        <w:rPr>
          <w:rFonts w:ascii="Times New Roman" w:hAnsi="Times New Roman"/>
          <w:noProof/>
          <w:sz w:val="24"/>
          <w:szCs w:val="24"/>
        </w:rPr>
      </w:pPr>
      <w:hyperlink w:anchor="_Toc87049065" w:history="1">
        <w:r w:rsidR="00B37945" w:rsidRPr="00FD45FB">
          <w:rPr>
            <w:rStyle w:val="Lienhypertexte"/>
            <w:rFonts w:ascii="Times New Roman" w:hAnsi="Times New Roman"/>
            <w:noProof/>
            <w:sz w:val="24"/>
            <w:szCs w:val="24"/>
          </w:rPr>
          <w:t>3.</w:t>
        </w:r>
        <w:r w:rsidR="00B37945" w:rsidRPr="00FD45FB">
          <w:rPr>
            <w:rFonts w:ascii="Times New Roman" w:hAnsi="Times New Roman"/>
            <w:noProof/>
            <w:sz w:val="24"/>
            <w:szCs w:val="24"/>
          </w:rPr>
          <w:tab/>
        </w:r>
        <w:r w:rsidR="00B37945" w:rsidRPr="00FD45FB">
          <w:rPr>
            <w:rStyle w:val="Lienhypertexte"/>
            <w:rFonts w:ascii="Times New Roman" w:hAnsi="Times New Roman"/>
            <w:noProof/>
            <w:sz w:val="24"/>
            <w:szCs w:val="24"/>
          </w:rPr>
          <w:t>Méthodes : (54)</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_Toc87049065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32</w:t>
        </w:r>
        <w:r w:rsidR="00B37945" w:rsidRPr="00FD45FB">
          <w:rPr>
            <w:rFonts w:ascii="Times New Roman" w:hAnsi="Times New Roman"/>
            <w:noProof/>
            <w:webHidden/>
            <w:sz w:val="24"/>
            <w:szCs w:val="24"/>
          </w:rPr>
          <w:fldChar w:fldCharType="end"/>
        </w:r>
      </w:hyperlink>
    </w:p>
    <w:p w14:paraId="63E5C8A3" w14:textId="77777777" w:rsidR="00B37945" w:rsidRPr="00FD45FB" w:rsidRDefault="00C47E8E" w:rsidP="000A4A0F">
      <w:pPr>
        <w:pStyle w:val="TM1"/>
        <w:tabs>
          <w:tab w:val="right" w:leader="dot" w:pos="9061"/>
        </w:tabs>
        <w:spacing w:line="360" w:lineRule="auto"/>
        <w:jc w:val="both"/>
        <w:rPr>
          <w:rFonts w:ascii="Times New Roman" w:hAnsi="Times New Roman"/>
          <w:noProof/>
          <w:sz w:val="24"/>
          <w:szCs w:val="24"/>
        </w:rPr>
      </w:pPr>
      <w:hyperlink w:anchor="_Toc87049066" w:history="1">
        <w:r w:rsidR="00B37945" w:rsidRPr="00FD45FB">
          <w:rPr>
            <w:rStyle w:val="Lienhypertexte"/>
            <w:rFonts w:ascii="Times New Roman" w:hAnsi="Times New Roman"/>
            <w:noProof/>
            <w:sz w:val="24"/>
            <w:szCs w:val="24"/>
          </w:rPr>
          <w:t>Chapitre II : MATERIEL ET METHODES</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_Toc87049066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43</w:t>
        </w:r>
        <w:r w:rsidR="00B37945" w:rsidRPr="00FD45FB">
          <w:rPr>
            <w:rFonts w:ascii="Times New Roman" w:hAnsi="Times New Roman"/>
            <w:noProof/>
            <w:webHidden/>
            <w:sz w:val="24"/>
            <w:szCs w:val="24"/>
          </w:rPr>
          <w:fldChar w:fldCharType="end"/>
        </w:r>
      </w:hyperlink>
    </w:p>
    <w:p w14:paraId="014F0ED4" w14:textId="77777777" w:rsidR="00B37945" w:rsidRPr="00FD45FB" w:rsidRDefault="00C47E8E" w:rsidP="000A4A0F">
      <w:pPr>
        <w:pStyle w:val="TM2"/>
        <w:tabs>
          <w:tab w:val="right" w:leader="dot" w:pos="9061"/>
        </w:tabs>
        <w:spacing w:line="360" w:lineRule="auto"/>
        <w:jc w:val="both"/>
        <w:rPr>
          <w:rFonts w:ascii="Times New Roman" w:hAnsi="Times New Roman"/>
          <w:noProof/>
          <w:sz w:val="24"/>
          <w:szCs w:val="24"/>
        </w:rPr>
      </w:pPr>
      <w:hyperlink w:anchor="_Toc87049067" w:history="1">
        <w:r w:rsidR="00B37945" w:rsidRPr="00FD45FB">
          <w:rPr>
            <w:rStyle w:val="Lienhypertexte"/>
            <w:rFonts w:ascii="Times New Roman" w:hAnsi="Times New Roman"/>
            <w:noProof/>
            <w:sz w:val="24"/>
            <w:szCs w:val="24"/>
          </w:rPr>
          <w:t>1. MILIEU D’ETUDE</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_Toc87049067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43</w:t>
        </w:r>
        <w:r w:rsidR="00B37945" w:rsidRPr="00FD45FB">
          <w:rPr>
            <w:rFonts w:ascii="Times New Roman" w:hAnsi="Times New Roman"/>
            <w:noProof/>
            <w:webHidden/>
            <w:sz w:val="24"/>
            <w:szCs w:val="24"/>
          </w:rPr>
          <w:fldChar w:fldCharType="end"/>
        </w:r>
      </w:hyperlink>
    </w:p>
    <w:p w14:paraId="50F886EC" w14:textId="77777777" w:rsidR="00B37945" w:rsidRPr="000A4A0F" w:rsidRDefault="00C47E8E" w:rsidP="000A4A0F">
      <w:pPr>
        <w:pStyle w:val="TM2"/>
        <w:tabs>
          <w:tab w:val="left" w:pos="660"/>
          <w:tab w:val="right" w:leader="dot" w:pos="9061"/>
        </w:tabs>
        <w:spacing w:line="360" w:lineRule="auto"/>
        <w:jc w:val="both"/>
        <w:rPr>
          <w:rFonts w:ascii="Times New Roman" w:hAnsi="Times New Roman"/>
          <w:noProof/>
          <w:sz w:val="24"/>
          <w:szCs w:val="24"/>
        </w:rPr>
      </w:pPr>
      <w:hyperlink w:anchor="_Toc87049068" w:history="1">
        <w:r w:rsidR="00B37945" w:rsidRPr="00FD45FB">
          <w:rPr>
            <w:rStyle w:val="Lienhypertexte"/>
            <w:rFonts w:ascii="Times New Roman" w:hAnsi="Times New Roman"/>
            <w:noProof/>
            <w:sz w:val="24"/>
            <w:szCs w:val="24"/>
          </w:rPr>
          <w:t>2.</w:t>
        </w:r>
        <w:r w:rsidR="00B37945" w:rsidRPr="00FD45FB">
          <w:rPr>
            <w:rFonts w:ascii="Times New Roman" w:hAnsi="Times New Roman"/>
            <w:noProof/>
            <w:sz w:val="24"/>
            <w:szCs w:val="24"/>
          </w:rPr>
          <w:tab/>
        </w:r>
        <w:r w:rsidR="00B37945" w:rsidRPr="00FD45FB">
          <w:rPr>
            <w:rStyle w:val="Lienhypertexte"/>
            <w:rFonts w:ascii="Times New Roman" w:hAnsi="Times New Roman"/>
            <w:noProof/>
            <w:sz w:val="24"/>
            <w:szCs w:val="24"/>
          </w:rPr>
          <w:t>COLLECTE DE DONNEES</w:t>
        </w:r>
        <w:r w:rsidR="00B37945" w:rsidRPr="00FD45FB">
          <w:rPr>
            <w:rFonts w:ascii="Times New Roman" w:hAnsi="Times New Roman"/>
            <w:noProof/>
            <w:webHidden/>
            <w:sz w:val="24"/>
            <w:szCs w:val="24"/>
          </w:rPr>
          <w:tab/>
        </w:r>
        <w:r w:rsidR="00B37945" w:rsidRPr="00FD45FB">
          <w:rPr>
            <w:rFonts w:ascii="Times New Roman" w:hAnsi="Times New Roman"/>
            <w:noProof/>
            <w:webHidden/>
            <w:sz w:val="24"/>
            <w:szCs w:val="24"/>
          </w:rPr>
          <w:fldChar w:fldCharType="begin"/>
        </w:r>
        <w:r w:rsidR="00B37945" w:rsidRPr="00FD45FB">
          <w:rPr>
            <w:rFonts w:ascii="Times New Roman" w:hAnsi="Times New Roman"/>
            <w:noProof/>
            <w:webHidden/>
            <w:sz w:val="24"/>
            <w:szCs w:val="24"/>
          </w:rPr>
          <w:instrText xml:space="preserve"> PAGEREF _Toc87049068 \h </w:instrText>
        </w:r>
        <w:r w:rsidR="00B37945" w:rsidRPr="00FD45FB">
          <w:rPr>
            <w:rFonts w:ascii="Times New Roman" w:hAnsi="Times New Roman"/>
            <w:noProof/>
            <w:webHidden/>
            <w:sz w:val="24"/>
            <w:szCs w:val="24"/>
          </w:rPr>
        </w:r>
        <w:r w:rsidR="00B37945" w:rsidRPr="00FD45FB">
          <w:rPr>
            <w:rFonts w:ascii="Times New Roman" w:hAnsi="Times New Roman"/>
            <w:noProof/>
            <w:webHidden/>
            <w:sz w:val="24"/>
            <w:szCs w:val="24"/>
          </w:rPr>
          <w:fldChar w:fldCharType="separate"/>
        </w:r>
        <w:r w:rsidR="00B37945" w:rsidRPr="00FD45FB">
          <w:rPr>
            <w:rFonts w:ascii="Times New Roman" w:hAnsi="Times New Roman"/>
            <w:noProof/>
            <w:webHidden/>
            <w:sz w:val="24"/>
            <w:szCs w:val="24"/>
          </w:rPr>
          <w:t>43</w:t>
        </w:r>
        <w:r w:rsidR="00B37945" w:rsidRPr="00FD45FB">
          <w:rPr>
            <w:rFonts w:ascii="Times New Roman" w:hAnsi="Times New Roman"/>
            <w:noProof/>
            <w:webHidden/>
            <w:sz w:val="24"/>
            <w:szCs w:val="24"/>
          </w:rPr>
          <w:fldChar w:fldCharType="end"/>
        </w:r>
      </w:hyperlink>
    </w:p>
    <w:p w14:paraId="695CF682" w14:textId="77777777" w:rsidR="00B37945" w:rsidRPr="000A4A0F" w:rsidRDefault="00C47E8E" w:rsidP="000A4A0F">
      <w:pPr>
        <w:pStyle w:val="TM2"/>
        <w:tabs>
          <w:tab w:val="left" w:pos="660"/>
          <w:tab w:val="right" w:leader="dot" w:pos="9061"/>
        </w:tabs>
        <w:spacing w:line="360" w:lineRule="auto"/>
        <w:jc w:val="both"/>
        <w:rPr>
          <w:rFonts w:ascii="Times New Roman" w:hAnsi="Times New Roman"/>
          <w:noProof/>
          <w:sz w:val="24"/>
          <w:szCs w:val="24"/>
        </w:rPr>
      </w:pPr>
      <w:hyperlink w:anchor="_Toc87049069" w:history="1">
        <w:r w:rsidR="00B37945" w:rsidRPr="000A4A0F">
          <w:rPr>
            <w:rStyle w:val="Lienhypertexte"/>
            <w:rFonts w:ascii="Times New Roman" w:hAnsi="Times New Roman"/>
            <w:b/>
            <w:noProof/>
            <w:sz w:val="24"/>
            <w:szCs w:val="24"/>
          </w:rPr>
          <w:t>3.</w:t>
        </w:r>
        <w:r w:rsidR="00B37945" w:rsidRPr="000A4A0F">
          <w:rPr>
            <w:rFonts w:ascii="Times New Roman" w:hAnsi="Times New Roman"/>
            <w:noProof/>
            <w:sz w:val="24"/>
            <w:szCs w:val="24"/>
          </w:rPr>
          <w:tab/>
        </w:r>
        <w:r w:rsidR="00B37945" w:rsidRPr="000A4A0F">
          <w:rPr>
            <w:rStyle w:val="Lienhypertexte"/>
            <w:rFonts w:ascii="Times New Roman" w:hAnsi="Times New Roman"/>
            <w:b/>
            <w:noProof/>
            <w:sz w:val="24"/>
            <w:szCs w:val="24"/>
          </w:rPr>
          <w:t>TYPE ET PERIODE D’ETUDE</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_Toc87049069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45</w:t>
        </w:r>
        <w:r w:rsidR="00B37945" w:rsidRPr="000A4A0F">
          <w:rPr>
            <w:rFonts w:ascii="Times New Roman" w:hAnsi="Times New Roman"/>
            <w:noProof/>
            <w:webHidden/>
            <w:sz w:val="24"/>
            <w:szCs w:val="24"/>
          </w:rPr>
          <w:fldChar w:fldCharType="end"/>
        </w:r>
      </w:hyperlink>
    </w:p>
    <w:p w14:paraId="2E69B850" w14:textId="77777777" w:rsidR="00B37945" w:rsidRPr="000A4A0F" w:rsidRDefault="00C47E8E" w:rsidP="000A4A0F">
      <w:pPr>
        <w:pStyle w:val="TM2"/>
        <w:tabs>
          <w:tab w:val="left" w:pos="660"/>
          <w:tab w:val="right" w:leader="dot" w:pos="9061"/>
        </w:tabs>
        <w:spacing w:line="360" w:lineRule="auto"/>
        <w:jc w:val="both"/>
        <w:rPr>
          <w:rFonts w:ascii="Times New Roman" w:hAnsi="Times New Roman"/>
          <w:noProof/>
          <w:sz w:val="24"/>
          <w:szCs w:val="24"/>
        </w:rPr>
      </w:pPr>
      <w:hyperlink w:anchor="_Toc87049070" w:history="1">
        <w:r w:rsidR="00B37945" w:rsidRPr="000A4A0F">
          <w:rPr>
            <w:rStyle w:val="Lienhypertexte"/>
            <w:rFonts w:ascii="Times New Roman" w:hAnsi="Times New Roman"/>
            <w:b/>
            <w:noProof/>
            <w:sz w:val="24"/>
            <w:szCs w:val="24"/>
          </w:rPr>
          <w:t>4.</w:t>
        </w:r>
        <w:r w:rsidR="00B37945" w:rsidRPr="000A4A0F">
          <w:rPr>
            <w:rFonts w:ascii="Times New Roman" w:hAnsi="Times New Roman"/>
            <w:noProof/>
            <w:sz w:val="24"/>
            <w:szCs w:val="24"/>
          </w:rPr>
          <w:tab/>
        </w:r>
        <w:r w:rsidR="00B37945" w:rsidRPr="000A4A0F">
          <w:rPr>
            <w:rStyle w:val="Lienhypertexte"/>
            <w:rFonts w:ascii="Times New Roman" w:hAnsi="Times New Roman"/>
            <w:b/>
            <w:noProof/>
            <w:sz w:val="24"/>
            <w:szCs w:val="24"/>
          </w:rPr>
          <w:t>CRITERES D’INCLUSIONS</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_Toc87049070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46</w:t>
        </w:r>
        <w:r w:rsidR="00B37945" w:rsidRPr="000A4A0F">
          <w:rPr>
            <w:rFonts w:ascii="Times New Roman" w:hAnsi="Times New Roman"/>
            <w:noProof/>
            <w:webHidden/>
            <w:sz w:val="24"/>
            <w:szCs w:val="24"/>
          </w:rPr>
          <w:fldChar w:fldCharType="end"/>
        </w:r>
      </w:hyperlink>
    </w:p>
    <w:p w14:paraId="28D09BCC" w14:textId="77777777" w:rsidR="00B37945" w:rsidRPr="000A4A0F" w:rsidRDefault="00C47E8E" w:rsidP="000A4A0F">
      <w:pPr>
        <w:pStyle w:val="TM2"/>
        <w:tabs>
          <w:tab w:val="left" w:pos="660"/>
          <w:tab w:val="right" w:leader="dot" w:pos="9061"/>
        </w:tabs>
        <w:spacing w:line="360" w:lineRule="auto"/>
        <w:jc w:val="both"/>
        <w:rPr>
          <w:rFonts w:ascii="Times New Roman" w:hAnsi="Times New Roman"/>
          <w:noProof/>
          <w:sz w:val="24"/>
          <w:szCs w:val="24"/>
        </w:rPr>
      </w:pPr>
      <w:hyperlink w:anchor="_Toc87049071" w:history="1">
        <w:r w:rsidR="00B37945" w:rsidRPr="000A4A0F">
          <w:rPr>
            <w:rStyle w:val="Lienhypertexte"/>
            <w:rFonts w:ascii="Times New Roman" w:hAnsi="Times New Roman"/>
            <w:b/>
            <w:noProof/>
            <w:sz w:val="24"/>
            <w:szCs w:val="24"/>
          </w:rPr>
          <w:t>5.</w:t>
        </w:r>
        <w:r w:rsidR="00B37945" w:rsidRPr="000A4A0F">
          <w:rPr>
            <w:rFonts w:ascii="Times New Roman" w:hAnsi="Times New Roman"/>
            <w:noProof/>
            <w:sz w:val="24"/>
            <w:szCs w:val="24"/>
          </w:rPr>
          <w:tab/>
        </w:r>
        <w:r w:rsidR="00B37945" w:rsidRPr="000A4A0F">
          <w:rPr>
            <w:rStyle w:val="Lienhypertexte"/>
            <w:rFonts w:ascii="Times New Roman" w:hAnsi="Times New Roman"/>
            <w:b/>
            <w:noProof/>
            <w:sz w:val="24"/>
            <w:szCs w:val="24"/>
          </w:rPr>
          <w:t>CRITERES D’EXCLUSIONS</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_Toc87049071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46</w:t>
        </w:r>
        <w:r w:rsidR="00B37945" w:rsidRPr="000A4A0F">
          <w:rPr>
            <w:rFonts w:ascii="Times New Roman" w:hAnsi="Times New Roman"/>
            <w:noProof/>
            <w:webHidden/>
            <w:sz w:val="24"/>
            <w:szCs w:val="24"/>
          </w:rPr>
          <w:fldChar w:fldCharType="end"/>
        </w:r>
      </w:hyperlink>
    </w:p>
    <w:p w14:paraId="65F5A691" w14:textId="77777777" w:rsidR="00B37945" w:rsidRPr="000A4A0F" w:rsidRDefault="00C47E8E" w:rsidP="000A4A0F">
      <w:pPr>
        <w:pStyle w:val="TM2"/>
        <w:tabs>
          <w:tab w:val="left" w:pos="660"/>
          <w:tab w:val="right" w:leader="dot" w:pos="9061"/>
        </w:tabs>
        <w:spacing w:line="360" w:lineRule="auto"/>
        <w:jc w:val="both"/>
        <w:rPr>
          <w:rFonts w:ascii="Times New Roman" w:hAnsi="Times New Roman"/>
          <w:noProof/>
          <w:sz w:val="24"/>
          <w:szCs w:val="24"/>
        </w:rPr>
      </w:pPr>
      <w:hyperlink w:anchor="_Toc87049072" w:history="1">
        <w:r w:rsidR="00B37945" w:rsidRPr="000A4A0F">
          <w:rPr>
            <w:rStyle w:val="Lienhypertexte"/>
            <w:rFonts w:ascii="Times New Roman" w:hAnsi="Times New Roman"/>
            <w:b/>
            <w:noProof/>
            <w:sz w:val="24"/>
            <w:szCs w:val="24"/>
          </w:rPr>
          <w:t>6.</w:t>
        </w:r>
        <w:r w:rsidR="00B37945" w:rsidRPr="000A4A0F">
          <w:rPr>
            <w:rFonts w:ascii="Times New Roman" w:hAnsi="Times New Roman"/>
            <w:noProof/>
            <w:sz w:val="24"/>
            <w:szCs w:val="24"/>
          </w:rPr>
          <w:tab/>
        </w:r>
        <w:r w:rsidR="00B37945" w:rsidRPr="000A4A0F">
          <w:rPr>
            <w:rStyle w:val="Lienhypertexte"/>
            <w:rFonts w:ascii="Times New Roman" w:hAnsi="Times New Roman"/>
            <w:b/>
            <w:noProof/>
            <w:sz w:val="24"/>
            <w:szCs w:val="24"/>
          </w:rPr>
          <w:t>VARIABLE D’ETUDE</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_Toc87049072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46</w:t>
        </w:r>
        <w:r w:rsidR="00B37945" w:rsidRPr="000A4A0F">
          <w:rPr>
            <w:rFonts w:ascii="Times New Roman" w:hAnsi="Times New Roman"/>
            <w:noProof/>
            <w:webHidden/>
            <w:sz w:val="24"/>
            <w:szCs w:val="24"/>
          </w:rPr>
          <w:fldChar w:fldCharType="end"/>
        </w:r>
      </w:hyperlink>
    </w:p>
    <w:p w14:paraId="1C03F121" w14:textId="77777777" w:rsidR="00B37945" w:rsidRPr="000A4A0F" w:rsidRDefault="00C47E8E" w:rsidP="000A4A0F">
      <w:pPr>
        <w:pStyle w:val="TM2"/>
        <w:tabs>
          <w:tab w:val="left" w:pos="660"/>
          <w:tab w:val="right" w:leader="dot" w:pos="9061"/>
        </w:tabs>
        <w:spacing w:line="360" w:lineRule="auto"/>
        <w:jc w:val="both"/>
        <w:rPr>
          <w:rFonts w:ascii="Times New Roman" w:hAnsi="Times New Roman"/>
          <w:noProof/>
          <w:sz w:val="24"/>
          <w:szCs w:val="24"/>
        </w:rPr>
      </w:pPr>
      <w:hyperlink w:anchor="_Toc87049073" w:history="1">
        <w:r w:rsidR="00B37945" w:rsidRPr="000A4A0F">
          <w:rPr>
            <w:rStyle w:val="Lienhypertexte"/>
            <w:rFonts w:ascii="Times New Roman" w:hAnsi="Times New Roman"/>
            <w:b/>
            <w:noProof/>
            <w:sz w:val="24"/>
            <w:szCs w:val="24"/>
          </w:rPr>
          <w:t>7.</w:t>
        </w:r>
        <w:r w:rsidR="00B37945" w:rsidRPr="000A4A0F">
          <w:rPr>
            <w:rFonts w:ascii="Times New Roman" w:hAnsi="Times New Roman"/>
            <w:noProof/>
            <w:sz w:val="24"/>
            <w:szCs w:val="24"/>
          </w:rPr>
          <w:tab/>
        </w:r>
        <w:r w:rsidR="00B37945" w:rsidRPr="000A4A0F">
          <w:rPr>
            <w:rStyle w:val="Lienhypertexte"/>
            <w:rFonts w:ascii="Times New Roman" w:hAnsi="Times New Roman"/>
            <w:b/>
            <w:noProof/>
            <w:sz w:val="24"/>
            <w:szCs w:val="24"/>
          </w:rPr>
          <w:t>GESTION ET ANALYSE DE DONNEES :</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_Toc87049073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46</w:t>
        </w:r>
        <w:r w:rsidR="00B37945" w:rsidRPr="000A4A0F">
          <w:rPr>
            <w:rFonts w:ascii="Times New Roman" w:hAnsi="Times New Roman"/>
            <w:noProof/>
            <w:webHidden/>
            <w:sz w:val="24"/>
            <w:szCs w:val="24"/>
          </w:rPr>
          <w:fldChar w:fldCharType="end"/>
        </w:r>
      </w:hyperlink>
    </w:p>
    <w:p w14:paraId="5E463A68" w14:textId="77777777" w:rsidR="00B37945" w:rsidRPr="000A4A0F" w:rsidRDefault="00C47E8E" w:rsidP="000A4A0F">
      <w:pPr>
        <w:pStyle w:val="TM2"/>
        <w:tabs>
          <w:tab w:val="left" w:pos="660"/>
          <w:tab w:val="right" w:leader="dot" w:pos="9061"/>
        </w:tabs>
        <w:spacing w:line="360" w:lineRule="auto"/>
        <w:jc w:val="both"/>
        <w:rPr>
          <w:rFonts w:ascii="Times New Roman" w:hAnsi="Times New Roman"/>
          <w:noProof/>
          <w:sz w:val="24"/>
          <w:szCs w:val="24"/>
        </w:rPr>
      </w:pPr>
      <w:hyperlink w:anchor="_Toc87049074" w:history="1">
        <w:r w:rsidR="00B37945" w:rsidRPr="000A4A0F">
          <w:rPr>
            <w:rStyle w:val="Lienhypertexte"/>
            <w:rFonts w:ascii="Times New Roman" w:hAnsi="Times New Roman"/>
            <w:b/>
            <w:noProof/>
            <w:sz w:val="24"/>
            <w:szCs w:val="24"/>
          </w:rPr>
          <w:t>8.</w:t>
        </w:r>
        <w:r w:rsidR="00B37945" w:rsidRPr="000A4A0F">
          <w:rPr>
            <w:rFonts w:ascii="Times New Roman" w:hAnsi="Times New Roman"/>
            <w:noProof/>
            <w:sz w:val="24"/>
            <w:szCs w:val="24"/>
          </w:rPr>
          <w:tab/>
        </w:r>
        <w:r w:rsidR="00B37945" w:rsidRPr="000A4A0F">
          <w:rPr>
            <w:rStyle w:val="Lienhypertexte"/>
            <w:rFonts w:ascii="Times New Roman" w:hAnsi="Times New Roman"/>
            <w:b/>
            <w:noProof/>
            <w:sz w:val="24"/>
            <w:szCs w:val="24"/>
          </w:rPr>
          <w:t>DEFINITION OPERATIONNELLE</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_Toc87049074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47</w:t>
        </w:r>
        <w:r w:rsidR="00B37945" w:rsidRPr="000A4A0F">
          <w:rPr>
            <w:rFonts w:ascii="Times New Roman" w:hAnsi="Times New Roman"/>
            <w:noProof/>
            <w:webHidden/>
            <w:sz w:val="24"/>
            <w:szCs w:val="24"/>
          </w:rPr>
          <w:fldChar w:fldCharType="end"/>
        </w:r>
      </w:hyperlink>
    </w:p>
    <w:p w14:paraId="473B8332" w14:textId="77777777" w:rsidR="00B37945" w:rsidRPr="000A4A0F" w:rsidRDefault="00C47E8E" w:rsidP="000A4A0F">
      <w:pPr>
        <w:pStyle w:val="TM1"/>
        <w:tabs>
          <w:tab w:val="right" w:leader="dot" w:pos="9061"/>
        </w:tabs>
        <w:spacing w:line="360" w:lineRule="auto"/>
        <w:jc w:val="both"/>
        <w:rPr>
          <w:rFonts w:ascii="Times New Roman" w:hAnsi="Times New Roman"/>
          <w:noProof/>
          <w:sz w:val="24"/>
          <w:szCs w:val="24"/>
        </w:rPr>
      </w:pPr>
      <w:hyperlink w:anchor="_Toc87049075" w:history="1">
        <w:r w:rsidR="00B37945" w:rsidRPr="000A4A0F">
          <w:rPr>
            <w:rStyle w:val="Lienhypertexte"/>
            <w:rFonts w:ascii="Times New Roman" w:hAnsi="Times New Roman"/>
            <w:noProof/>
            <w:sz w:val="24"/>
            <w:szCs w:val="24"/>
          </w:rPr>
          <w:t>Chapitre III.  RESULTAT</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_Toc87049075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49</w:t>
        </w:r>
        <w:r w:rsidR="00B37945" w:rsidRPr="000A4A0F">
          <w:rPr>
            <w:rFonts w:ascii="Times New Roman" w:hAnsi="Times New Roman"/>
            <w:noProof/>
            <w:webHidden/>
            <w:sz w:val="24"/>
            <w:szCs w:val="24"/>
          </w:rPr>
          <w:fldChar w:fldCharType="end"/>
        </w:r>
      </w:hyperlink>
    </w:p>
    <w:p w14:paraId="5124DFB8" w14:textId="77777777" w:rsidR="00B37945" w:rsidRPr="000A4A0F" w:rsidRDefault="00C47E8E" w:rsidP="000A4A0F">
      <w:pPr>
        <w:pStyle w:val="TM2"/>
        <w:tabs>
          <w:tab w:val="right" w:leader="dot" w:pos="9061"/>
        </w:tabs>
        <w:spacing w:line="360" w:lineRule="auto"/>
        <w:jc w:val="both"/>
        <w:rPr>
          <w:rFonts w:ascii="Times New Roman" w:hAnsi="Times New Roman"/>
          <w:noProof/>
          <w:sz w:val="24"/>
          <w:szCs w:val="24"/>
        </w:rPr>
      </w:pPr>
      <w:hyperlink w:anchor="_Toc87049076" w:history="1">
        <w:r w:rsidR="00B37945" w:rsidRPr="000A4A0F">
          <w:rPr>
            <w:rStyle w:val="Lienhypertexte"/>
            <w:rFonts w:ascii="Times New Roman" w:hAnsi="Times New Roman"/>
            <w:b/>
            <w:noProof/>
            <w:sz w:val="24"/>
            <w:szCs w:val="24"/>
          </w:rPr>
          <w:t>FREQUENCE</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_Toc87049076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49</w:t>
        </w:r>
        <w:r w:rsidR="00B37945" w:rsidRPr="000A4A0F">
          <w:rPr>
            <w:rFonts w:ascii="Times New Roman" w:hAnsi="Times New Roman"/>
            <w:noProof/>
            <w:webHidden/>
            <w:sz w:val="24"/>
            <w:szCs w:val="24"/>
          </w:rPr>
          <w:fldChar w:fldCharType="end"/>
        </w:r>
      </w:hyperlink>
    </w:p>
    <w:p w14:paraId="0EA7656C" w14:textId="77777777" w:rsidR="00B37945" w:rsidRPr="000A4A0F" w:rsidRDefault="00C47E8E" w:rsidP="000A4A0F">
      <w:pPr>
        <w:pStyle w:val="TM2"/>
        <w:tabs>
          <w:tab w:val="right" w:leader="dot" w:pos="9061"/>
        </w:tabs>
        <w:spacing w:line="360" w:lineRule="auto"/>
        <w:jc w:val="both"/>
        <w:rPr>
          <w:rFonts w:ascii="Times New Roman" w:hAnsi="Times New Roman"/>
          <w:noProof/>
          <w:sz w:val="24"/>
          <w:szCs w:val="24"/>
        </w:rPr>
      </w:pPr>
      <w:hyperlink w:anchor="_Toc87049077" w:history="1">
        <w:r w:rsidR="00B37945" w:rsidRPr="000A4A0F">
          <w:rPr>
            <w:rStyle w:val="Lienhypertexte"/>
            <w:rFonts w:ascii="Times New Roman" w:eastAsia="Times New Roman" w:hAnsi="Times New Roman"/>
            <w:b/>
            <w:noProof/>
            <w:sz w:val="24"/>
            <w:szCs w:val="24"/>
          </w:rPr>
          <w:t>DONNEES CLINIQUES ET BIOLOGIQUES</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_Toc87049077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53</w:t>
        </w:r>
        <w:r w:rsidR="00B37945" w:rsidRPr="000A4A0F">
          <w:rPr>
            <w:rFonts w:ascii="Times New Roman" w:hAnsi="Times New Roman"/>
            <w:noProof/>
            <w:webHidden/>
            <w:sz w:val="24"/>
            <w:szCs w:val="24"/>
          </w:rPr>
          <w:fldChar w:fldCharType="end"/>
        </w:r>
      </w:hyperlink>
    </w:p>
    <w:p w14:paraId="46EA8FF7" w14:textId="77777777" w:rsidR="00B37945" w:rsidRPr="000A4A0F" w:rsidRDefault="00C47E8E" w:rsidP="000A4A0F">
      <w:pPr>
        <w:pStyle w:val="TM2"/>
        <w:tabs>
          <w:tab w:val="right" w:leader="dot" w:pos="9061"/>
        </w:tabs>
        <w:spacing w:line="360" w:lineRule="auto"/>
        <w:jc w:val="both"/>
        <w:rPr>
          <w:rFonts w:ascii="Times New Roman" w:hAnsi="Times New Roman"/>
          <w:noProof/>
          <w:sz w:val="24"/>
          <w:szCs w:val="24"/>
        </w:rPr>
      </w:pPr>
      <w:hyperlink w:anchor="_Toc87049078" w:history="1">
        <w:r w:rsidR="00B37945" w:rsidRPr="000A4A0F">
          <w:rPr>
            <w:rStyle w:val="Lienhypertexte"/>
            <w:rFonts w:ascii="Times New Roman" w:eastAsia="Times New Roman" w:hAnsi="Times New Roman"/>
            <w:b/>
            <w:noProof/>
            <w:sz w:val="24"/>
            <w:szCs w:val="24"/>
          </w:rPr>
          <w:t>DONNEES BIOLOGIQUES.</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_Toc87049078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54</w:t>
        </w:r>
        <w:r w:rsidR="00B37945" w:rsidRPr="000A4A0F">
          <w:rPr>
            <w:rFonts w:ascii="Times New Roman" w:hAnsi="Times New Roman"/>
            <w:noProof/>
            <w:webHidden/>
            <w:sz w:val="24"/>
            <w:szCs w:val="24"/>
          </w:rPr>
          <w:fldChar w:fldCharType="end"/>
        </w:r>
      </w:hyperlink>
    </w:p>
    <w:p w14:paraId="2FA1C542" w14:textId="77777777" w:rsidR="00B37945" w:rsidRPr="000A4A0F" w:rsidRDefault="00C47E8E" w:rsidP="000A4A0F">
      <w:pPr>
        <w:pStyle w:val="TM2"/>
        <w:tabs>
          <w:tab w:val="right" w:leader="dot" w:pos="9061"/>
        </w:tabs>
        <w:spacing w:line="360" w:lineRule="auto"/>
        <w:jc w:val="both"/>
        <w:rPr>
          <w:rFonts w:ascii="Times New Roman" w:hAnsi="Times New Roman"/>
          <w:noProof/>
          <w:sz w:val="24"/>
          <w:szCs w:val="24"/>
        </w:rPr>
      </w:pPr>
      <w:hyperlink w:anchor="_Toc87049079" w:history="1">
        <w:r w:rsidR="00B37945" w:rsidRPr="000A4A0F">
          <w:rPr>
            <w:rStyle w:val="Lienhypertexte"/>
            <w:rFonts w:ascii="Times New Roman" w:eastAsia="Times New Roman" w:hAnsi="Times New Roman"/>
            <w:b/>
            <w:noProof/>
            <w:sz w:val="24"/>
            <w:szCs w:val="24"/>
          </w:rPr>
          <w:t>ETIOLOGIES</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_Toc87049079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56</w:t>
        </w:r>
        <w:r w:rsidR="00B37945" w:rsidRPr="000A4A0F">
          <w:rPr>
            <w:rFonts w:ascii="Times New Roman" w:hAnsi="Times New Roman"/>
            <w:noProof/>
            <w:webHidden/>
            <w:sz w:val="24"/>
            <w:szCs w:val="24"/>
          </w:rPr>
          <w:fldChar w:fldCharType="end"/>
        </w:r>
      </w:hyperlink>
    </w:p>
    <w:p w14:paraId="6C19363D" w14:textId="77777777" w:rsidR="00B37945" w:rsidRPr="000A4A0F" w:rsidRDefault="00C47E8E" w:rsidP="000A4A0F">
      <w:pPr>
        <w:pStyle w:val="TM2"/>
        <w:tabs>
          <w:tab w:val="right" w:leader="dot" w:pos="9061"/>
        </w:tabs>
        <w:spacing w:line="360" w:lineRule="auto"/>
        <w:jc w:val="both"/>
        <w:rPr>
          <w:rFonts w:ascii="Times New Roman" w:hAnsi="Times New Roman"/>
          <w:noProof/>
          <w:sz w:val="24"/>
          <w:szCs w:val="24"/>
        </w:rPr>
      </w:pPr>
      <w:hyperlink w:anchor="_Toc87049080" w:history="1">
        <w:r w:rsidR="00B37945" w:rsidRPr="000A4A0F">
          <w:rPr>
            <w:rStyle w:val="Lienhypertexte"/>
            <w:rFonts w:ascii="Times New Roman" w:hAnsi="Times New Roman"/>
            <w:b/>
            <w:noProof/>
            <w:sz w:val="24"/>
            <w:szCs w:val="24"/>
          </w:rPr>
          <w:t>COMPARAISON DE MEDIANE</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_Toc87049080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58</w:t>
        </w:r>
        <w:r w:rsidR="00B37945" w:rsidRPr="000A4A0F">
          <w:rPr>
            <w:rFonts w:ascii="Times New Roman" w:hAnsi="Times New Roman"/>
            <w:noProof/>
            <w:webHidden/>
            <w:sz w:val="24"/>
            <w:szCs w:val="24"/>
          </w:rPr>
          <w:fldChar w:fldCharType="end"/>
        </w:r>
      </w:hyperlink>
    </w:p>
    <w:p w14:paraId="1E42A405" w14:textId="77777777" w:rsidR="00B37945" w:rsidRPr="000A4A0F" w:rsidRDefault="00C47E8E" w:rsidP="000A4A0F">
      <w:pPr>
        <w:pStyle w:val="TM1"/>
        <w:tabs>
          <w:tab w:val="right" w:leader="dot" w:pos="9061"/>
        </w:tabs>
        <w:spacing w:line="360" w:lineRule="auto"/>
        <w:jc w:val="both"/>
        <w:rPr>
          <w:rFonts w:ascii="Times New Roman" w:hAnsi="Times New Roman"/>
          <w:noProof/>
          <w:sz w:val="24"/>
          <w:szCs w:val="24"/>
        </w:rPr>
      </w:pPr>
      <w:hyperlink w:anchor="_Toc87049081" w:history="1">
        <w:r w:rsidR="00B37945" w:rsidRPr="000A4A0F">
          <w:rPr>
            <w:rStyle w:val="Lienhypertexte"/>
            <w:rFonts w:ascii="Times New Roman" w:hAnsi="Times New Roman"/>
            <w:noProof/>
            <w:sz w:val="24"/>
            <w:szCs w:val="24"/>
          </w:rPr>
          <w:t>Chapitre IV. DISCUSSION</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_Toc87049081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62</w:t>
        </w:r>
        <w:r w:rsidR="00B37945" w:rsidRPr="000A4A0F">
          <w:rPr>
            <w:rFonts w:ascii="Times New Roman" w:hAnsi="Times New Roman"/>
            <w:noProof/>
            <w:webHidden/>
            <w:sz w:val="24"/>
            <w:szCs w:val="24"/>
          </w:rPr>
          <w:fldChar w:fldCharType="end"/>
        </w:r>
      </w:hyperlink>
    </w:p>
    <w:p w14:paraId="7D9B0FFB" w14:textId="77777777" w:rsidR="00B37945" w:rsidRPr="000A4A0F" w:rsidRDefault="00C47E8E" w:rsidP="000A4A0F">
      <w:pPr>
        <w:pStyle w:val="TM1"/>
        <w:tabs>
          <w:tab w:val="right" w:leader="dot" w:pos="9061"/>
        </w:tabs>
        <w:spacing w:line="360" w:lineRule="auto"/>
        <w:jc w:val="both"/>
        <w:rPr>
          <w:rFonts w:ascii="Times New Roman" w:hAnsi="Times New Roman"/>
          <w:noProof/>
          <w:sz w:val="24"/>
          <w:szCs w:val="24"/>
        </w:rPr>
      </w:pPr>
      <w:hyperlink w:anchor="_Toc87049082" w:history="1">
        <w:r w:rsidR="00B37945" w:rsidRPr="000A4A0F">
          <w:rPr>
            <w:rStyle w:val="Lienhypertexte"/>
            <w:rFonts w:ascii="Times New Roman" w:hAnsi="Times New Roman"/>
            <w:noProof/>
            <w:sz w:val="24"/>
            <w:szCs w:val="24"/>
          </w:rPr>
          <w:t>CONCLUSION ET RECOMMANDATIONS</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_Toc87049082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65</w:t>
        </w:r>
        <w:r w:rsidR="00B37945" w:rsidRPr="000A4A0F">
          <w:rPr>
            <w:rFonts w:ascii="Times New Roman" w:hAnsi="Times New Roman"/>
            <w:noProof/>
            <w:webHidden/>
            <w:sz w:val="24"/>
            <w:szCs w:val="24"/>
          </w:rPr>
          <w:fldChar w:fldCharType="end"/>
        </w:r>
      </w:hyperlink>
    </w:p>
    <w:p w14:paraId="40C10AEB" w14:textId="77777777" w:rsidR="00B37945" w:rsidRPr="000A4A0F" w:rsidRDefault="00C47E8E" w:rsidP="000A4A0F">
      <w:pPr>
        <w:pStyle w:val="TM2"/>
        <w:tabs>
          <w:tab w:val="left" w:pos="660"/>
          <w:tab w:val="right" w:leader="dot" w:pos="9061"/>
        </w:tabs>
        <w:spacing w:line="360" w:lineRule="auto"/>
        <w:jc w:val="both"/>
        <w:rPr>
          <w:rFonts w:ascii="Times New Roman" w:hAnsi="Times New Roman"/>
          <w:noProof/>
          <w:sz w:val="24"/>
          <w:szCs w:val="24"/>
        </w:rPr>
      </w:pPr>
      <w:hyperlink w:anchor="_Toc87049083" w:history="1">
        <w:r w:rsidR="00B37945" w:rsidRPr="000A4A0F">
          <w:rPr>
            <w:rStyle w:val="Lienhypertexte"/>
            <w:rFonts w:ascii="Times New Roman" w:hAnsi="Times New Roman"/>
            <w:b/>
            <w:noProof/>
            <w:sz w:val="24"/>
            <w:szCs w:val="24"/>
          </w:rPr>
          <w:t>1.</w:t>
        </w:r>
        <w:r w:rsidR="00B37945" w:rsidRPr="000A4A0F">
          <w:rPr>
            <w:rFonts w:ascii="Times New Roman" w:hAnsi="Times New Roman"/>
            <w:noProof/>
            <w:sz w:val="24"/>
            <w:szCs w:val="24"/>
          </w:rPr>
          <w:tab/>
        </w:r>
        <w:r w:rsidR="00B37945" w:rsidRPr="000A4A0F">
          <w:rPr>
            <w:rStyle w:val="Lienhypertexte"/>
            <w:rFonts w:ascii="Times New Roman" w:hAnsi="Times New Roman"/>
            <w:b/>
            <w:noProof/>
            <w:sz w:val="24"/>
            <w:szCs w:val="24"/>
          </w:rPr>
          <w:t>CONCLUSION</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_Toc87049083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65</w:t>
        </w:r>
        <w:r w:rsidR="00B37945" w:rsidRPr="000A4A0F">
          <w:rPr>
            <w:rFonts w:ascii="Times New Roman" w:hAnsi="Times New Roman"/>
            <w:noProof/>
            <w:webHidden/>
            <w:sz w:val="24"/>
            <w:szCs w:val="24"/>
          </w:rPr>
          <w:fldChar w:fldCharType="end"/>
        </w:r>
      </w:hyperlink>
    </w:p>
    <w:p w14:paraId="48CCA13A" w14:textId="77777777" w:rsidR="00B37945" w:rsidRPr="000A4A0F" w:rsidRDefault="00C47E8E" w:rsidP="000A4A0F">
      <w:pPr>
        <w:pStyle w:val="TM2"/>
        <w:tabs>
          <w:tab w:val="left" w:pos="660"/>
          <w:tab w:val="right" w:leader="dot" w:pos="9061"/>
        </w:tabs>
        <w:spacing w:line="360" w:lineRule="auto"/>
        <w:jc w:val="both"/>
        <w:rPr>
          <w:rFonts w:ascii="Times New Roman" w:hAnsi="Times New Roman"/>
          <w:noProof/>
          <w:sz w:val="24"/>
          <w:szCs w:val="24"/>
        </w:rPr>
      </w:pPr>
      <w:hyperlink w:anchor="_Toc87049084" w:history="1">
        <w:r w:rsidR="00B37945" w:rsidRPr="000A4A0F">
          <w:rPr>
            <w:rStyle w:val="Lienhypertexte"/>
            <w:rFonts w:ascii="Times New Roman" w:eastAsia="Times New Roman" w:hAnsi="Times New Roman"/>
            <w:b/>
            <w:noProof/>
            <w:sz w:val="24"/>
            <w:szCs w:val="24"/>
          </w:rPr>
          <w:t>2.</w:t>
        </w:r>
        <w:r w:rsidR="00B37945" w:rsidRPr="000A4A0F">
          <w:rPr>
            <w:rFonts w:ascii="Times New Roman" w:hAnsi="Times New Roman"/>
            <w:noProof/>
            <w:sz w:val="24"/>
            <w:szCs w:val="24"/>
          </w:rPr>
          <w:tab/>
        </w:r>
        <w:r w:rsidR="00B37945" w:rsidRPr="000A4A0F">
          <w:rPr>
            <w:rStyle w:val="Lienhypertexte"/>
            <w:rFonts w:ascii="Times New Roman" w:eastAsia="Times New Roman" w:hAnsi="Times New Roman"/>
            <w:b/>
            <w:noProof/>
            <w:sz w:val="24"/>
            <w:szCs w:val="24"/>
          </w:rPr>
          <w:t>RECOMMANDATIONS :</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_Toc87049084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65</w:t>
        </w:r>
        <w:r w:rsidR="00B37945" w:rsidRPr="000A4A0F">
          <w:rPr>
            <w:rFonts w:ascii="Times New Roman" w:hAnsi="Times New Roman"/>
            <w:noProof/>
            <w:webHidden/>
            <w:sz w:val="24"/>
            <w:szCs w:val="24"/>
          </w:rPr>
          <w:fldChar w:fldCharType="end"/>
        </w:r>
      </w:hyperlink>
    </w:p>
    <w:p w14:paraId="6D520F53" w14:textId="77777777" w:rsidR="00B37945" w:rsidRPr="000A4A0F" w:rsidRDefault="00C47E8E" w:rsidP="000A4A0F">
      <w:pPr>
        <w:pStyle w:val="TM1"/>
        <w:tabs>
          <w:tab w:val="right" w:leader="dot" w:pos="9061"/>
        </w:tabs>
        <w:spacing w:line="360" w:lineRule="auto"/>
        <w:jc w:val="both"/>
        <w:rPr>
          <w:rFonts w:ascii="Times New Roman" w:hAnsi="Times New Roman"/>
          <w:noProof/>
          <w:sz w:val="24"/>
          <w:szCs w:val="24"/>
        </w:rPr>
      </w:pPr>
      <w:hyperlink w:anchor="_Toc87049085" w:history="1">
        <w:r w:rsidR="00B37945" w:rsidRPr="000A4A0F">
          <w:rPr>
            <w:rStyle w:val="Lienhypertexte"/>
            <w:rFonts w:ascii="Times New Roman" w:hAnsi="Times New Roman"/>
            <w:noProof/>
            <w:sz w:val="24"/>
            <w:szCs w:val="24"/>
          </w:rPr>
          <w:t>REFERENCE BIBLIOGRAPHIQUE</w:t>
        </w:r>
        <w:r w:rsidR="00B37945" w:rsidRPr="000A4A0F">
          <w:rPr>
            <w:rFonts w:ascii="Times New Roman" w:hAnsi="Times New Roman"/>
            <w:noProof/>
            <w:webHidden/>
            <w:sz w:val="24"/>
            <w:szCs w:val="24"/>
          </w:rPr>
          <w:tab/>
        </w:r>
        <w:r w:rsidR="00B37945" w:rsidRPr="000A4A0F">
          <w:rPr>
            <w:rFonts w:ascii="Times New Roman" w:hAnsi="Times New Roman"/>
            <w:noProof/>
            <w:webHidden/>
            <w:sz w:val="24"/>
            <w:szCs w:val="24"/>
          </w:rPr>
          <w:fldChar w:fldCharType="begin"/>
        </w:r>
        <w:r w:rsidR="00B37945" w:rsidRPr="000A4A0F">
          <w:rPr>
            <w:rFonts w:ascii="Times New Roman" w:hAnsi="Times New Roman"/>
            <w:noProof/>
            <w:webHidden/>
            <w:sz w:val="24"/>
            <w:szCs w:val="24"/>
          </w:rPr>
          <w:instrText xml:space="preserve"> PAGEREF _Toc87049085 \h </w:instrText>
        </w:r>
        <w:r w:rsidR="00B37945" w:rsidRPr="000A4A0F">
          <w:rPr>
            <w:rFonts w:ascii="Times New Roman" w:hAnsi="Times New Roman"/>
            <w:noProof/>
            <w:webHidden/>
            <w:sz w:val="24"/>
            <w:szCs w:val="24"/>
          </w:rPr>
        </w:r>
        <w:r w:rsidR="00B37945" w:rsidRPr="000A4A0F">
          <w:rPr>
            <w:rFonts w:ascii="Times New Roman" w:hAnsi="Times New Roman"/>
            <w:noProof/>
            <w:webHidden/>
            <w:sz w:val="24"/>
            <w:szCs w:val="24"/>
          </w:rPr>
          <w:fldChar w:fldCharType="separate"/>
        </w:r>
        <w:r w:rsidR="00B37945" w:rsidRPr="000A4A0F">
          <w:rPr>
            <w:rFonts w:ascii="Times New Roman" w:hAnsi="Times New Roman"/>
            <w:noProof/>
            <w:webHidden/>
            <w:sz w:val="24"/>
            <w:szCs w:val="24"/>
          </w:rPr>
          <w:t>66</w:t>
        </w:r>
        <w:r w:rsidR="00B37945" w:rsidRPr="000A4A0F">
          <w:rPr>
            <w:rFonts w:ascii="Times New Roman" w:hAnsi="Times New Roman"/>
            <w:noProof/>
            <w:webHidden/>
            <w:sz w:val="24"/>
            <w:szCs w:val="24"/>
          </w:rPr>
          <w:fldChar w:fldCharType="end"/>
        </w:r>
      </w:hyperlink>
    </w:p>
    <w:p w14:paraId="06849652" w14:textId="77777777" w:rsidR="00450377" w:rsidRPr="000A4A0F" w:rsidRDefault="00450377" w:rsidP="000A4A0F">
      <w:pPr>
        <w:suppressAutoHyphens w:val="0"/>
        <w:spacing w:line="360" w:lineRule="auto"/>
        <w:jc w:val="both"/>
        <w:rPr>
          <w:rFonts w:ascii="Times New Roman" w:eastAsia="Times New Roman" w:hAnsi="Times New Roman" w:cs="Times New Roman"/>
          <w:b/>
          <w:bCs/>
          <w:color w:val="auto"/>
          <w:kern w:val="36"/>
          <w:sz w:val="24"/>
          <w:szCs w:val="24"/>
          <w:lang w:eastAsia="fr-FR"/>
        </w:rPr>
      </w:pPr>
      <w:r w:rsidRPr="000A4A0F">
        <w:rPr>
          <w:rFonts w:ascii="Times New Roman" w:hAnsi="Times New Roman" w:cs="Times New Roman"/>
          <w:sz w:val="24"/>
          <w:szCs w:val="24"/>
        </w:rPr>
        <w:fldChar w:fldCharType="end"/>
      </w:r>
      <w:r w:rsidRPr="000A4A0F">
        <w:rPr>
          <w:rFonts w:ascii="Times New Roman" w:hAnsi="Times New Roman" w:cs="Times New Roman"/>
          <w:sz w:val="24"/>
          <w:szCs w:val="24"/>
        </w:rPr>
        <w:br w:type="page"/>
      </w:r>
    </w:p>
    <w:p w14:paraId="1F330D7F" w14:textId="26041ACB" w:rsidR="00830D7C" w:rsidRPr="000A4A0F" w:rsidRDefault="00201D1A" w:rsidP="000A4A0F">
      <w:pPr>
        <w:pStyle w:val="Titre1"/>
        <w:spacing w:before="200" w:beforeAutospacing="0" w:after="200" w:afterAutospacing="0" w:line="360" w:lineRule="auto"/>
        <w:jc w:val="both"/>
        <w:rPr>
          <w:sz w:val="24"/>
          <w:szCs w:val="24"/>
        </w:rPr>
      </w:pPr>
      <w:bookmarkStart w:id="4" w:name="_Toc87049039"/>
      <w:r w:rsidRPr="000A4A0F">
        <w:rPr>
          <w:sz w:val="24"/>
          <w:szCs w:val="24"/>
        </w:rPr>
        <w:lastRenderedPageBreak/>
        <w:t xml:space="preserve">Chapitre 0. </w:t>
      </w:r>
      <w:r w:rsidR="001B4DDC" w:rsidRPr="000A4A0F">
        <w:rPr>
          <w:sz w:val="24"/>
          <w:szCs w:val="24"/>
        </w:rPr>
        <w:t>INTRODUCTION</w:t>
      </w:r>
      <w:bookmarkEnd w:id="4"/>
    </w:p>
    <w:p w14:paraId="04999044" w14:textId="6E402E48" w:rsidR="00830D7C" w:rsidRPr="000A4A0F" w:rsidRDefault="00446E3D" w:rsidP="000A4A0F">
      <w:pPr>
        <w:pStyle w:val="Titre2"/>
        <w:spacing w:before="200" w:after="200" w:line="360" w:lineRule="auto"/>
        <w:jc w:val="both"/>
        <w:rPr>
          <w:rFonts w:ascii="Times New Roman" w:eastAsia="Times New Roman" w:hAnsi="Times New Roman" w:cs="Times New Roman"/>
          <w:b/>
          <w:color w:val="auto"/>
          <w:sz w:val="24"/>
          <w:szCs w:val="24"/>
          <w:bdr w:val="none" w:sz="0" w:space="0" w:color="auto" w:frame="1"/>
          <w:lang w:eastAsia="fr-FR"/>
        </w:rPr>
      </w:pPr>
      <w:bookmarkStart w:id="5" w:name="_Toc87049040"/>
      <w:r w:rsidRPr="000A4A0F">
        <w:rPr>
          <w:rFonts w:ascii="Times New Roman" w:hAnsi="Times New Roman" w:cs="Times New Roman"/>
          <w:b/>
          <w:color w:val="auto"/>
          <w:sz w:val="24"/>
          <w:szCs w:val="24"/>
        </w:rPr>
        <w:t>1. HISTORIQUE DE L’ICTERE</w:t>
      </w:r>
      <w:r w:rsidR="00201D1A" w:rsidRPr="000A4A0F">
        <w:rPr>
          <w:rFonts w:ascii="Times New Roman" w:hAnsi="Times New Roman" w:cs="Times New Roman"/>
          <w:b/>
          <w:color w:val="auto"/>
          <w:sz w:val="24"/>
          <w:szCs w:val="24"/>
        </w:rPr>
        <w:t> :</w:t>
      </w:r>
      <w:bookmarkEnd w:id="5"/>
      <w:r w:rsidR="00201D1A" w:rsidRPr="000A4A0F">
        <w:rPr>
          <w:rFonts w:ascii="Times New Roman" w:eastAsia="Times New Roman" w:hAnsi="Times New Roman" w:cs="Times New Roman"/>
          <w:b/>
          <w:color w:val="auto"/>
          <w:sz w:val="24"/>
          <w:szCs w:val="24"/>
          <w:bdr w:val="none" w:sz="0" w:space="0" w:color="auto" w:frame="1"/>
          <w:lang w:eastAsia="fr-FR"/>
        </w:rPr>
        <w:t xml:space="preserve"> </w:t>
      </w:r>
    </w:p>
    <w:p w14:paraId="6A0ABF1E" w14:textId="297AF01A" w:rsidR="00B47118" w:rsidRPr="000A4A0F" w:rsidRDefault="0071665F" w:rsidP="000A4A0F">
      <w:pPr>
        <w:pStyle w:val="Sansinterligne"/>
        <w:spacing w:line="360" w:lineRule="auto"/>
        <w:jc w:val="both"/>
        <w:rPr>
          <w:rFonts w:ascii="Times New Roman" w:hAnsi="Times New Roman" w:cs="Times New Roman"/>
          <w:sz w:val="24"/>
          <w:szCs w:val="24"/>
          <w:lang w:eastAsia="fr-FR"/>
        </w:rPr>
      </w:pPr>
      <w:r w:rsidRPr="000A4A0F">
        <w:rPr>
          <w:rFonts w:ascii="Times New Roman" w:hAnsi="Times New Roman" w:cs="Times New Roman"/>
          <w:sz w:val="24"/>
          <w:szCs w:val="24"/>
          <w:bdr w:val="none" w:sz="0" w:space="0" w:color="auto" w:frame="1"/>
          <w:lang w:eastAsia="fr-FR"/>
        </w:rPr>
        <w:t xml:space="preserve">L’ictère néonatal est un phénomène très courant, et il </w:t>
      </w:r>
      <w:r w:rsidR="00C9662F" w:rsidRPr="000A4A0F">
        <w:rPr>
          <w:rFonts w:ascii="Times New Roman" w:hAnsi="Times New Roman" w:cs="Times New Roman"/>
          <w:sz w:val="24"/>
          <w:szCs w:val="24"/>
          <w:bdr w:val="none" w:sz="0" w:space="0" w:color="auto" w:frame="1"/>
          <w:lang w:eastAsia="fr-FR"/>
        </w:rPr>
        <w:t>a sans aucun doute été remarqué et réfléchi</w:t>
      </w:r>
      <w:r w:rsidRPr="000A4A0F">
        <w:rPr>
          <w:rFonts w:ascii="Times New Roman" w:hAnsi="Times New Roman" w:cs="Times New Roman"/>
          <w:sz w:val="24"/>
          <w:szCs w:val="24"/>
          <w:bdr w:val="none" w:sz="0" w:space="0" w:color="auto" w:frame="1"/>
          <w:lang w:eastAsia="fr-FR"/>
        </w:rPr>
        <w:t xml:space="preserve"> par les soignants depuis </w:t>
      </w:r>
      <w:r w:rsidRPr="002B265C">
        <w:rPr>
          <w:rFonts w:ascii="Times New Roman" w:hAnsi="Times New Roman" w:cs="Times New Roman"/>
          <w:sz w:val="24"/>
          <w:szCs w:val="24"/>
          <w:highlight w:val="yellow"/>
          <w:bdr w:val="none" w:sz="0" w:space="0" w:color="auto" w:frame="1"/>
          <w:lang w:eastAsia="fr-FR"/>
        </w:rPr>
        <w:t xml:space="preserve">l'aube de l'histoire </w:t>
      </w:r>
      <w:r w:rsidR="004651BE" w:rsidRPr="002B265C">
        <w:rPr>
          <w:rFonts w:ascii="Times New Roman" w:hAnsi="Times New Roman" w:cs="Times New Roman"/>
          <w:sz w:val="24"/>
          <w:szCs w:val="24"/>
          <w:highlight w:val="yellow"/>
          <w:bdr w:val="none" w:sz="0" w:space="0" w:color="auto" w:frame="1"/>
          <w:lang w:eastAsia="fr-FR"/>
        </w:rPr>
        <w:t>humaine à</w:t>
      </w:r>
      <w:r w:rsidRPr="002B265C">
        <w:rPr>
          <w:rFonts w:ascii="Times New Roman" w:hAnsi="Times New Roman" w:cs="Times New Roman"/>
          <w:sz w:val="24"/>
          <w:szCs w:val="24"/>
          <w:highlight w:val="yellow"/>
          <w:bdr w:val="none" w:sz="0" w:space="0" w:color="auto" w:frame="1"/>
          <w:lang w:eastAsia="fr-FR"/>
        </w:rPr>
        <w:t xml:space="preserve"> partir </w:t>
      </w:r>
      <w:r w:rsidR="001B4DDC" w:rsidRPr="002B265C">
        <w:rPr>
          <w:rFonts w:ascii="Times New Roman" w:hAnsi="Times New Roman" w:cs="Times New Roman"/>
          <w:sz w:val="24"/>
          <w:szCs w:val="24"/>
          <w:highlight w:val="yellow"/>
          <w:bdr w:val="none" w:sz="0" w:space="0" w:color="auto" w:frame="1"/>
          <w:lang w:eastAsia="fr-FR"/>
        </w:rPr>
        <w:t xml:space="preserve">du 18e </w:t>
      </w:r>
      <w:r w:rsidR="004651BE" w:rsidRPr="002B265C">
        <w:rPr>
          <w:rFonts w:ascii="Times New Roman" w:hAnsi="Times New Roman" w:cs="Times New Roman"/>
          <w:sz w:val="24"/>
          <w:szCs w:val="24"/>
          <w:highlight w:val="yellow"/>
          <w:bdr w:val="none" w:sz="0" w:space="0" w:color="auto" w:frame="1"/>
          <w:lang w:eastAsia="fr-FR"/>
        </w:rPr>
        <w:t>siècle.</w:t>
      </w:r>
      <w:commentRangeStart w:id="6"/>
      <w:r w:rsidR="004651BE" w:rsidRPr="002B265C">
        <w:rPr>
          <w:rFonts w:ascii="Times New Roman" w:hAnsi="Times New Roman" w:cs="Times New Roman"/>
          <w:sz w:val="24"/>
          <w:szCs w:val="24"/>
          <w:highlight w:val="yellow"/>
          <w:bdr w:val="none" w:sz="0" w:space="0" w:color="auto" w:frame="1"/>
          <w:lang w:eastAsia="fr-FR"/>
        </w:rPr>
        <w:fldChar w:fldCharType="begin" w:fldLock="1"/>
      </w:r>
      <w:r w:rsidR="00EE36B6" w:rsidRPr="002B265C">
        <w:rPr>
          <w:rFonts w:ascii="Times New Roman" w:hAnsi="Times New Roman" w:cs="Times New Roman"/>
          <w:sz w:val="24"/>
          <w:szCs w:val="24"/>
          <w:highlight w:val="yellow"/>
          <w:bdr w:val="none" w:sz="0" w:space="0" w:color="auto" w:frame="1"/>
          <w:lang w:eastAsia="fr-FR"/>
        </w:rPr>
        <w:instrText>ADDIN CSL_CITATION {"citationItems":[{"id":"ITEM-1","itemData":{"author":[{"dropping-particle":"","family":"Willy","given":"Thor","non-dropping-particle":"","parse-names":false,"suffix":""},{"dropping-particle":"","family":"Hansen","given":"Ruud","non-dropping-particle":"","parse-names":false,"suffix":""}],"id":"ITEM-1","issue":"2","issued":{"date-parts":[["2000"]]},"page":"1-7","title":"Pioneers in the Scientific Study of Neonatal Jaundice and Kernicterus","type":"article-journal","volume":"106"},"uris":["http://www.mendeley.com/documents/?uuid=46cec09c-160d-449f-b9a1-d3c243bd1b14","http://www.mendeley.com/documents/?uuid=41594a6e-5bb8-428c-a794-173ceb041f42"]}],"mendeley":{"formattedCitation":"(1)","plainTextFormattedCitation":"(1)","previouslyFormattedCitation":"(1)"},"properties":{"noteIndex":0},"schema":"https://github.com/citation-style-language/schema/raw/master/csl-citation.json"}</w:instrText>
      </w:r>
      <w:r w:rsidR="004651BE" w:rsidRPr="002B265C">
        <w:rPr>
          <w:rFonts w:ascii="Times New Roman" w:hAnsi="Times New Roman" w:cs="Times New Roman"/>
          <w:sz w:val="24"/>
          <w:szCs w:val="24"/>
          <w:highlight w:val="yellow"/>
          <w:bdr w:val="none" w:sz="0" w:space="0" w:color="auto" w:frame="1"/>
          <w:lang w:eastAsia="fr-FR"/>
        </w:rPr>
        <w:fldChar w:fldCharType="separate"/>
      </w:r>
      <w:r w:rsidR="004651BE" w:rsidRPr="002B265C">
        <w:rPr>
          <w:rFonts w:ascii="Times New Roman" w:hAnsi="Times New Roman" w:cs="Times New Roman"/>
          <w:noProof/>
          <w:sz w:val="24"/>
          <w:szCs w:val="24"/>
          <w:highlight w:val="yellow"/>
          <w:bdr w:val="none" w:sz="0" w:space="0" w:color="auto" w:frame="1"/>
          <w:lang w:eastAsia="fr-FR"/>
        </w:rPr>
        <w:t>(1)</w:t>
      </w:r>
      <w:r w:rsidR="004651BE" w:rsidRPr="002B265C">
        <w:rPr>
          <w:rFonts w:ascii="Times New Roman" w:hAnsi="Times New Roman" w:cs="Times New Roman"/>
          <w:sz w:val="24"/>
          <w:szCs w:val="24"/>
          <w:highlight w:val="yellow"/>
          <w:bdr w:val="none" w:sz="0" w:space="0" w:color="auto" w:frame="1"/>
          <w:lang w:eastAsia="fr-FR"/>
        </w:rPr>
        <w:fldChar w:fldCharType="end"/>
      </w:r>
      <w:commentRangeEnd w:id="6"/>
      <w:r w:rsidR="002B265C">
        <w:rPr>
          <w:rStyle w:val="Marquedecommentaire"/>
        </w:rPr>
        <w:commentReference w:id="6"/>
      </w:r>
      <w:r w:rsidR="00446E3D" w:rsidRPr="000A4A0F">
        <w:rPr>
          <w:rFonts w:ascii="Times New Roman" w:hAnsi="Times New Roman" w:cs="Times New Roman"/>
          <w:b/>
          <w:color w:val="auto"/>
          <w:sz w:val="24"/>
          <w:szCs w:val="24"/>
        </w:rPr>
        <w:t> </w:t>
      </w:r>
    </w:p>
    <w:p w14:paraId="3A2733DE" w14:textId="7F2691A3" w:rsidR="00446E3D" w:rsidRPr="000A4A0F" w:rsidRDefault="00AE5D36" w:rsidP="000A4A0F">
      <w:pPr>
        <w:pStyle w:val="Sansinterligne"/>
        <w:spacing w:line="360" w:lineRule="auto"/>
        <w:jc w:val="both"/>
        <w:rPr>
          <w:rFonts w:ascii="Times New Roman" w:hAnsi="Times New Roman" w:cs="Times New Roman"/>
          <w:sz w:val="24"/>
          <w:szCs w:val="24"/>
          <w:lang w:eastAsia="fr-FR"/>
        </w:rPr>
      </w:pPr>
      <w:r w:rsidRPr="000A4A0F">
        <w:rPr>
          <w:rFonts w:ascii="Times New Roman" w:hAnsi="Times New Roman" w:cs="Times New Roman"/>
          <w:sz w:val="24"/>
          <w:szCs w:val="24"/>
          <w:lang w:eastAsia="fr-FR"/>
        </w:rPr>
        <w:t xml:space="preserve">En 1785, Jean Baptiste </w:t>
      </w:r>
      <w:r w:rsidR="00634D9D" w:rsidRPr="000A4A0F">
        <w:rPr>
          <w:rFonts w:ascii="Times New Roman" w:hAnsi="Times New Roman" w:cs="Times New Roman"/>
          <w:sz w:val="24"/>
          <w:szCs w:val="24"/>
          <w:lang w:eastAsia="fr-FR"/>
        </w:rPr>
        <w:t>Timothée</w:t>
      </w:r>
      <w:r w:rsidRPr="000A4A0F">
        <w:rPr>
          <w:rFonts w:ascii="Times New Roman" w:hAnsi="Times New Roman" w:cs="Times New Roman"/>
          <w:sz w:val="24"/>
          <w:szCs w:val="24"/>
          <w:lang w:eastAsia="fr-FR"/>
        </w:rPr>
        <w:t xml:space="preserve"> Baumes, </w:t>
      </w:r>
      <w:r w:rsidRPr="002B265C">
        <w:rPr>
          <w:rFonts w:ascii="Times New Roman" w:hAnsi="Times New Roman" w:cs="Times New Roman"/>
          <w:sz w:val="24"/>
          <w:szCs w:val="24"/>
          <w:highlight w:val="yellow"/>
          <w:lang w:eastAsia="fr-FR"/>
        </w:rPr>
        <w:t>décrivant le parcours clinique chez 10</w:t>
      </w:r>
      <w:r w:rsidR="00DC5E5C" w:rsidRPr="002B265C">
        <w:rPr>
          <w:rFonts w:ascii="Times New Roman" w:hAnsi="Times New Roman" w:cs="Times New Roman"/>
          <w:sz w:val="24"/>
          <w:szCs w:val="24"/>
          <w:highlight w:val="yellow"/>
          <w:lang w:eastAsia="fr-FR"/>
        </w:rPr>
        <w:t xml:space="preserve"> Nouveau-nés atteints </w:t>
      </w:r>
      <w:commentRangeStart w:id="7"/>
      <w:r w:rsidR="00446E3D" w:rsidRPr="002B265C">
        <w:rPr>
          <w:rFonts w:ascii="Times New Roman" w:hAnsi="Times New Roman" w:cs="Times New Roman"/>
          <w:sz w:val="24"/>
          <w:szCs w:val="24"/>
          <w:highlight w:val="yellow"/>
          <w:lang w:eastAsia="fr-FR"/>
        </w:rPr>
        <w:t>d’ictère</w:t>
      </w:r>
      <w:commentRangeEnd w:id="7"/>
      <w:r w:rsidR="002B265C">
        <w:rPr>
          <w:rStyle w:val="Marquedecommentaire"/>
        </w:rPr>
        <w:commentReference w:id="7"/>
      </w:r>
    </w:p>
    <w:p w14:paraId="0AADC57E" w14:textId="740EF7C0" w:rsidR="00AE5D36" w:rsidRPr="000A4A0F" w:rsidRDefault="004651BE" w:rsidP="000A4A0F">
      <w:pPr>
        <w:pStyle w:val="Sansinterligne"/>
        <w:spacing w:line="360" w:lineRule="auto"/>
        <w:jc w:val="both"/>
        <w:rPr>
          <w:rFonts w:ascii="Times New Roman" w:hAnsi="Times New Roman" w:cs="Times New Roman"/>
          <w:sz w:val="24"/>
          <w:szCs w:val="24"/>
          <w:lang w:eastAsia="fr-FR"/>
        </w:rPr>
      </w:pPr>
      <w:r w:rsidRPr="000A4A0F">
        <w:rPr>
          <w:rFonts w:ascii="Times New Roman" w:hAnsi="Times New Roman" w:cs="Times New Roman"/>
          <w:sz w:val="24"/>
          <w:szCs w:val="24"/>
          <w:lang w:eastAsia="fr-FR"/>
        </w:rPr>
        <w:t>Aujourd'hui un</w:t>
      </w:r>
      <w:r w:rsidR="00131EC3" w:rsidRPr="000A4A0F">
        <w:rPr>
          <w:rFonts w:ascii="Times New Roman" w:hAnsi="Times New Roman" w:cs="Times New Roman"/>
          <w:color w:val="FF0000"/>
          <w:sz w:val="24"/>
          <w:szCs w:val="24"/>
          <w:lang w:eastAsia="fr-FR"/>
        </w:rPr>
        <w:t xml:space="preserve"> </w:t>
      </w:r>
      <w:r w:rsidR="00AE5D36" w:rsidRPr="000A4A0F">
        <w:rPr>
          <w:rFonts w:ascii="Times New Roman" w:hAnsi="Times New Roman" w:cs="Times New Roman"/>
          <w:sz w:val="24"/>
          <w:szCs w:val="24"/>
          <w:lang w:eastAsia="fr-FR"/>
        </w:rPr>
        <w:t>certain nombre de ses observations cliniques sont exactes, comme la nature essentiellement bénigne d’ictère</w:t>
      </w:r>
      <w:r w:rsidR="00C9662F" w:rsidRPr="000A4A0F">
        <w:rPr>
          <w:rFonts w:ascii="Times New Roman" w:hAnsi="Times New Roman" w:cs="Times New Roman"/>
          <w:sz w:val="24"/>
          <w:szCs w:val="24"/>
          <w:lang w:eastAsia="fr-FR"/>
        </w:rPr>
        <w:t xml:space="preserve"> néonatal dans la plupart de</w:t>
      </w:r>
      <w:r w:rsidR="00AE5D36" w:rsidRPr="000A4A0F">
        <w:rPr>
          <w:rFonts w:ascii="Times New Roman" w:hAnsi="Times New Roman" w:cs="Times New Roman"/>
          <w:sz w:val="24"/>
          <w:szCs w:val="24"/>
          <w:lang w:eastAsia="fr-FR"/>
        </w:rPr>
        <w:t xml:space="preserve"> cas, </w:t>
      </w:r>
      <w:r w:rsidR="00AE5D36" w:rsidRPr="002B265C">
        <w:rPr>
          <w:rFonts w:ascii="Times New Roman" w:hAnsi="Times New Roman" w:cs="Times New Roman"/>
          <w:sz w:val="24"/>
          <w:szCs w:val="24"/>
          <w:highlight w:val="yellow"/>
          <w:lang w:eastAsia="fr-FR"/>
        </w:rPr>
        <w:t xml:space="preserve">l'apparition d'un ictère néonatal au cours des 2 à 4 premiers jours </w:t>
      </w:r>
      <w:r w:rsidRPr="002B265C">
        <w:rPr>
          <w:rFonts w:ascii="Times New Roman" w:hAnsi="Times New Roman" w:cs="Times New Roman"/>
          <w:sz w:val="24"/>
          <w:szCs w:val="24"/>
          <w:highlight w:val="yellow"/>
          <w:lang w:eastAsia="fr-FR"/>
        </w:rPr>
        <w:t>de vie</w:t>
      </w:r>
      <w:r w:rsidR="00AE5D36" w:rsidRPr="002B265C">
        <w:rPr>
          <w:rFonts w:ascii="Times New Roman" w:hAnsi="Times New Roman" w:cs="Times New Roman"/>
          <w:sz w:val="24"/>
          <w:szCs w:val="24"/>
          <w:highlight w:val="yellow"/>
          <w:lang w:eastAsia="fr-FR"/>
        </w:rPr>
        <w:t xml:space="preserve"> ainsi que sa di</w:t>
      </w:r>
      <w:r w:rsidR="00C9662F" w:rsidRPr="002B265C">
        <w:rPr>
          <w:rFonts w:ascii="Times New Roman" w:hAnsi="Times New Roman" w:cs="Times New Roman"/>
          <w:sz w:val="24"/>
          <w:szCs w:val="24"/>
          <w:highlight w:val="yellow"/>
          <w:lang w:eastAsia="fr-FR"/>
        </w:rPr>
        <w:t>sparition en 1 à 2 semaines et s</w:t>
      </w:r>
      <w:r w:rsidR="00AE5D36" w:rsidRPr="002B265C">
        <w:rPr>
          <w:rFonts w:ascii="Times New Roman" w:hAnsi="Times New Roman" w:cs="Times New Roman"/>
          <w:sz w:val="24"/>
          <w:szCs w:val="24"/>
          <w:highlight w:val="yellow"/>
          <w:lang w:eastAsia="fr-FR"/>
        </w:rPr>
        <w:t>a prog</w:t>
      </w:r>
      <w:r w:rsidR="00C9662F" w:rsidRPr="002B265C">
        <w:rPr>
          <w:rFonts w:ascii="Times New Roman" w:hAnsi="Times New Roman" w:cs="Times New Roman"/>
          <w:sz w:val="24"/>
          <w:szCs w:val="24"/>
          <w:highlight w:val="yellow"/>
          <w:lang w:eastAsia="fr-FR"/>
        </w:rPr>
        <w:t>ression céphalo-caudale</w:t>
      </w:r>
      <w:r w:rsidR="00446E3D" w:rsidRPr="002B265C">
        <w:rPr>
          <w:rFonts w:ascii="Times New Roman" w:hAnsi="Times New Roman" w:cs="Times New Roman"/>
          <w:b/>
          <w:color w:val="auto"/>
          <w:sz w:val="24"/>
          <w:szCs w:val="24"/>
          <w:highlight w:val="yellow"/>
        </w:rPr>
        <w:t>.</w:t>
      </w:r>
      <w:r w:rsidR="00446E3D" w:rsidRPr="000A4A0F">
        <w:rPr>
          <w:rFonts w:ascii="Times New Roman" w:hAnsi="Times New Roman" w:cs="Times New Roman"/>
          <w:b/>
          <w:color w:val="auto"/>
          <w:sz w:val="24"/>
          <w:szCs w:val="24"/>
        </w:rPr>
        <w:t xml:space="preserve"> </w:t>
      </w:r>
      <w:r w:rsidRPr="000A4A0F">
        <w:rPr>
          <w:rFonts w:ascii="Times New Roman" w:hAnsi="Times New Roman" w:cs="Times New Roman"/>
          <w:b/>
          <w:color w:val="auto"/>
          <w:sz w:val="24"/>
          <w:szCs w:val="24"/>
        </w:rPr>
        <w:fldChar w:fldCharType="begin" w:fldLock="1"/>
      </w:r>
      <w:r w:rsidR="00EE36B6">
        <w:rPr>
          <w:rFonts w:ascii="Times New Roman" w:hAnsi="Times New Roman" w:cs="Times New Roman"/>
          <w:b/>
          <w:color w:val="auto"/>
          <w:sz w:val="24"/>
          <w:szCs w:val="24"/>
        </w:rPr>
        <w:instrText>ADDIN CSL_CITATION {"citationItems":[{"id":"ITEM-1","itemData":{"author":[{"dropping-particle":"","family":"Willy","given":"Thor","non-dropping-particle":"","parse-names":false,"suffix":""},{"dropping-particle":"","family":"Hansen","given":"Ruud","non-dropping-particle":"","parse-names":false,"suffix":""}],"id":"ITEM-1","issue":"2","issued":{"date-parts":[["2000"]]},"page":"1-7","title":"Pioneers in the Scientific Study of Neonatal Jaundice and Kernicterus","type":"article-journal","volume":"106"},"uris":["http://www.mendeley.com/documents/?uuid=41594a6e-5bb8-428c-a794-173ceb041f42","http://www.mendeley.com/documents/?uuid=46cec09c-160d-449f-b9a1-d3c243bd1b14"]}],"mendeley":{"formattedCitation":"(1)","plainTextFormattedCitation":"(1)","previouslyFormattedCitation":"(1)"},"properties":{"noteIndex":0},"schema":"https://github.com/citation-style-language/schema/raw/master/csl-citation.json"}</w:instrText>
      </w:r>
      <w:r w:rsidRPr="000A4A0F">
        <w:rPr>
          <w:rFonts w:ascii="Times New Roman" w:hAnsi="Times New Roman" w:cs="Times New Roman"/>
          <w:b/>
          <w:color w:val="auto"/>
          <w:sz w:val="24"/>
          <w:szCs w:val="24"/>
        </w:rPr>
        <w:fldChar w:fldCharType="separate"/>
      </w:r>
      <w:r w:rsidRPr="000A4A0F">
        <w:rPr>
          <w:rFonts w:ascii="Times New Roman" w:hAnsi="Times New Roman" w:cs="Times New Roman"/>
          <w:noProof/>
          <w:color w:val="auto"/>
          <w:sz w:val="24"/>
          <w:szCs w:val="24"/>
        </w:rPr>
        <w:t>(1)</w:t>
      </w:r>
      <w:r w:rsidRPr="000A4A0F">
        <w:rPr>
          <w:rFonts w:ascii="Times New Roman" w:hAnsi="Times New Roman" w:cs="Times New Roman"/>
          <w:b/>
          <w:color w:val="auto"/>
          <w:sz w:val="24"/>
          <w:szCs w:val="24"/>
        </w:rPr>
        <w:fldChar w:fldCharType="end"/>
      </w:r>
    </w:p>
    <w:p w14:paraId="477E1D08" w14:textId="77777777" w:rsidR="00AE5D36" w:rsidRPr="000A4A0F" w:rsidRDefault="00AE5D36" w:rsidP="000A4A0F">
      <w:pPr>
        <w:pStyle w:val="Sansinterligne"/>
        <w:spacing w:line="360" w:lineRule="auto"/>
        <w:jc w:val="both"/>
        <w:rPr>
          <w:rFonts w:ascii="Times New Roman" w:hAnsi="Times New Roman" w:cs="Times New Roman"/>
          <w:sz w:val="24"/>
          <w:szCs w:val="24"/>
          <w:lang w:eastAsia="fr-FR"/>
        </w:rPr>
      </w:pPr>
      <w:r w:rsidRPr="000A4A0F">
        <w:rPr>
          <w:rFonts w:ascii="Times New Roman" w:hAnsi="Times New Roman" w:cs="Times New Roman"/>
          <w:sz w:val="24"/>
          <w:szCs w:val="24"/>
          <w:lang w:eastAsia="fr-FR"/>
        </w:rPr>
        <w:t xml:space="preserve">Il a décrit pour la première fois l’ictère nucléaire dans </w:t>
      </w:r>
      <w:r w:rsidRPr="002B265C">
        <w:rPr>
          <w:rFonts w:ascii="Times New Roman" w:hAnsi="Times New Roman" w:cs="Times New Roman"/>
          <w:sz w:val="24"/>
          <w:szCs w:val="24"/>
          <w:highlight w:val="yellow"/>
          <w:lang w:eastAsia="fr-FR"/>
        </w:rPr>
        <w:t>31 de ses 44</w:t>
      </w:r>
      <w:r w:rsidRPr="000A4A0F">
        <w:rPr>
          <w:rFonts w:ascii="Times New Roman" w:hAnsi="Times New Roman" w:cs="Times New Roman"/>
          <w:sz w:val="24"/>
          <w:szCs w:val="24"/>
          <w:lang w:eastAsia="fr-FR"/>
        </w:rPr>
        <w:t xml:space="preserve"> </w:t>
      </w:r>
      <w:commentRangeStart w:id="8"/>
      <w:r w:rsidRPr="000A4A0F">
        <w:rPr>
          <w:rFonts w:ascii="Times New Roman" w:hAnsi="Times New Roman" w:cs="Times New Roman"/>
          <w:sz w:val="24"/>
          <w:szCs w:val="24"/>
          <w:lang w:eastAsia="fr-FR"/>
        </w:rPr>
        <w:t>cas</w:t>
      </w:r>
      <w:commentRangeEnd w:id="8"/>
      <w:r w:rsidR="002B265C">
        <w:rPr>
          <w:rStyle w:val="Marquedecommentaire"/>
        </w:rPr>
        <w:commentReference w:id="8"/>
      </w:r>
      <w:r w:rsidRPr="000A4A0F">
        <w:rPr>
          <w:rFonts w:ascii="Times New Roman" w:hAnsi="Times New Roman" w:cs="Times New Roman"/>
          <w:sz w:val="24"/>
          <w:szCs w:val="24"/>
          <w:lang w:eastAsia="fr-FR"/>
        </w:rPr>
        <w:t xml:space="preserve"> autopsiés, avec une intensité variable de coloration.</w:t>
      </w:r>
    </w:p>
    <w:p w14:paraId="4C2CA6D4" w14:textId="0C1BBA08" w:rsidR="00AE5D36" w:rsidRPr="000A4A0F" w:rsidRDefault="00AE5D36" w:rsidP="000A4A0F">
      <w:pPr>
        <w:pStyle w:val="Sansinterligne"/>
        <w:spacing w:line="360" w:lineRule="auto"/>
        <w:jc w:val="both"/>
        <w:rPr>
          <w:rFonts w:ascii="Times New Roman" w:hAnsi="Times New Roman" w:cs="Times New Roman"/>
          <w:sz w:val="24"/>
          <w:szCs w:val="24"/>
          <w:lang w:eastAsia="fr-FR"/>
        </w:rPr>
      </w:pPr>
      <w:r w:rsidRPr="000A4A0F">
        <w:rPr>
          <w:rFonts w:ascii="Times New Roman" w:hAnsi="Times New Roman" w:cs="Times New Roman"/>
          <w:sz w:val="24"/>
          <w:szCs w:val="24"/>
          <w:lang w:eastAsia="fr-FR"/>
        </w:rPr>
        <w:t>En 1875</w:t>
      </w:r>
      <w:r w:rsidR="008B05BE" w:rsidRPr="000A4A0F">
        <w:rPr>
          <w:rFonts w:ascii="Times New Roman" w:hAnsi="Times New Roman" w:cs="Times New Roman"/>
          <w:sz w:val="24"/>
          <w:szCs w:val="24"/>
          <w:lang w:eastAsia="fr-FR"/>
        </w:rPr>
        <w:t xml:space="preserve"> </w:t>
      </w:r>
      <w:r w:rsidRPr="000A4A0F">
        <w:rPr>
          <w:rFonts w:ascii="Times New Roman" w:hAnsi="Times New Roman" w:cs="Times New Roman"/>
          <w:sz w:val="24"/>
          <w:szCs w:val="24"/>
          <w:lang w:eastAsia="fr-FR"/>
        </w:rPr>
        <w:t xml:space="preserve">Johannes </w:t>
      </w:r>
      <w:proofErr w:type="spellStart"/>
      <w:r w:rsidR="004651BE" w:rsidRPr="000A4A0F">
        <w:rPr>
          <w:rFonts w:ascii="Times New Roman" w:hAnsi="Times New Roman" w:cs="Times New Roman"/>
          <w:sz w:val="24"/>
          <w:szCs w:val="24"/>
          <w:lang w:eastAsia="fr-FR"/>
        </w:rPr>
        <w:t>Orth</w:t>
      </w:r>
      <w:proofErr w:type="spellEnd"/>
      <w:r w:rsidR="004651BE" w:rsidRPr="000A4A0F">
        <w:rPr>
          <w:rFonts w:ascii="Times New Roman" w:hAnsi="Times New Roman" w:cs="Times New Roman"/>
          <w:sz w:val="24"/>
          <w:szCs w:val="24"/>
          <w:lang w:eastAsia="fr-FR"/>
        </w:rPr>
        <w:t xml:space="preserve"> publia</w:t>
      </w:r>
      <w:r w:rsidRPr="000A4A0F">
        <w:rPr>
          <w:rFonts w:ascii="Times New Roman" w:hAnsi="Times New Roman" w:cs="Times New Roman"/>
          <w:sz w:val="24"/>
          <w:szCs w:val="24"/>
          <w:lang w:eastAsia="fr-FR"/>
        </w:rPr>
        <w:t xml:space="preserve"> les résultats d'une autopsie d'un enfant à terme atteint d’ictère. Le cerveau était remarquable pour une coloration jaune intense des noyaux gris centraux, de la paroi du troisième ventricule, de l'hippocampe et de</w:t>
      </w:r>
      <w:r w:rsidR="00446E3D" w:rsidRPr="000A4A0F">
        <w:rPr>
          <w:rFonts w:ascii="Times New Roman" w:hAnsi="Times New Roman" w:cs="Times New Roman"/>
          <w:sz w:val="24"/>
          <w:szCs w:val="24"/>
          <w:lang w:eastAsia="fr-FR"/>
        </w:rPr>
        <w:t>s parties centrales du cervelet</w:t>
      </w:r>
      <w:r w:rsidR="00B56D6C" w:rsidRPr="000A4A0F">
        <w:rPr>
          <w:rFonts w:ascii="Times New Roman" w:hAnsi="Times New Roman" w:cs="Times New Roman"/>
          <w:sz w:val="24"/>
          <w:szCs w:val="24"/>
          <w:lang w:eastAsia="fr-FR"/>
        </w:rPr>
        <w:t>.</w:t>
      </w:r>
      <w:r w:rsidR="004651BE" w:rsidRPr="000A4A0F">
        <w:rPr>
          <w:rFonts w:ascii="Times New Roman" w:hAnsi="Times New Roman" w:cs="Times New Roman"/>
          <w:sz w:val="24"/>
          <w:szCs w:val="24"/>
          <w:lang w:eastAsia="fr-FR"/>
        </w:rPr>
        <w:fldChar w:fldCharType="begin" w:fldLock="1"/>
      </w:r>
      <w:r w:rsidR="00EE36B6">
        <w:rPr>
          <w:rFonts w:ascii="Times New Roman" w:hAnsi="Times New Roman" w:cs="Times New Roman"/>
          <w:sz w:val="24"/>
          <w:szCs w:val="24"/>
          <w:lang w:eastAsia="fr-FR"/>
        </w:rPr>
        <w:instrText>ADDIN CSL_CITATION {"citationItems":[{"id":"ITEM-1","itemData":{"author":[{"dropping-particle":"","family":"Willy","given":"Thor","non-dropping-particle":"","parse-names":false,"suffix":""},{"dropping-particle":"","family":"Hansen","given":"Ruud","non-dropping-particle":"","parse-names":false,"suffix":""}],"id":"ITEM-1","issue":"2","issued":{"date-parts":[["2000"]]},"page":"1-7","title":"Pioneers in the Scientific Study of Neonatal Jaundice and Kernicterus","type":"article-journal","volume":"106"},"uris":["http://www.mendeley.com/documents/?uuid=41594a6e-5bb8-428c-a794-173ceb041f42","http://www.mendeley.com/documents/?uuid=46cec09c-160d-449f-b9a1-d3c243bd1b14"]}],"mendeley":{"formattedCitation":"(1)","plainTextFormattedCitation":"(1)","previouslyFormattedCitation":"(1)"},"properties":{"noteIndex":0},"schema":"https://github.com/citation-style-language/schema/raw/master/csl-citation.json"}</w:instrText>
      </w:r>
      <w:r w:rsidR="004651BE" w:rsidRPr="000A4A0F">
        <w:rPr>
          <w:rFonts w:ascii="Times New Roman" w:hAnsi="Times New Roman" w:cs="Times New Roman"/>
          <w:sz w:val="24"/>
          <w:szCs w:val="24"/>
          <w:lang w:eastAsia="fr-FR"/>
        </w:rPr>
        <w:fldChar w:fldCharType="separate"/>
      </w:r>
      <w:r w:rsidR="004651BE" w:rsidRPr="000A4A0F">
        <w:rPr>
          <w:rFonts w:ascii="Times New Roman" w:hAnsi="Times New Roman" w:cs="Times New Roman"/>
          <w:noProof/>
          <w:sz w:val="24"/>
          <w:szCs w:val="24"/>
          <w:lang w:eastAsia="fr-FR"/>
        </w:rPr>
        <w:t>(1)</w:t>
      </w:r>
      <w:r w:rsidR="004651BE" w:rsidRPr="000A4A0F">
        <w:rPr>
          <w:rFonts w:ascii="Times New Roman" w:hAnsi="Times New Roman" w:cs="Times New Roman"/>
          <w:sz w:val="24"/>
          <w:szCs w:val="24"/>
          <w:lang w:eastAsia="fr-FR"/>
        </w:rPr>
        <w:fldChar w:fldCharType="end"/>
      </w:r>
      <w:r w:rsidR="00446E3D" w:rsidRPr="000A4A0F">
        <w:rPr>
          <w:rFonts w:ascii="Times New Roman" w:hAnsi="Times New Roman" w:cs="Times New Roman"/>
          <w:b/>
          <w:color w:val="auto"/>
          <w:sz w:val="24"/>
          <w:szCs w:val="24"/>
        </w:rPr>
        <w:t> </w:t>
      </w:r>
    </w:p>
    <w:p w14:paraId="6808F492" w14:textId="76F069E9" w:rsidR="00AE5D36" w:rsidRPr="000A4A0F" w:rsidRDefault="00AE5D36" w:rsidP="000A4A0F">
      <w:pPr>
        <w:pStyle w:val="Sansinterligne"/>
        <w:spacing w:line="360" w:lineRule="auto"/>
        <w:jc w:val="both"/>
        <w:rPr>
          <w:rFonts w:ascii="Times New Roman" w:hAnsi="Times New Roman" w:cs="Times New Roman"/>
          <w:sz w:val="24"/>
          <w:szCs w:val="24"/>
          <w:lang w:eastAsia="fr-FR"/>
        </w:rPr>
      </w:pPr>
      <w:r w:rsidRPr="000A4A0F">
        <w:rPr>
          <w:rFonts w:ascii="Times New Roman" w:hAnsi="Times New Roman" w:cs="Times New Roman"/>
          <w:sz w:val="24"/>
          <w:szCs w:val="24"/>
          <w:lang w:eastAsia="fr-FR"/>
        </w:rPr>
        <w:t xml:space="preserve">En </w:t>
      </w:r>
      <w:r w:rsidR="004651BE" w:rsidRPr="000A4A0F">
        <w:rPr>
          <w:rFonts w:ascii="Times New Roman" w:hAnsi="Times New Roman" w:cs="Times New Roman"/>
          <w:sz w:val="24"/>
          <w:szCs w:val="24"/>
          <w:lang w:eastAsia="fr-FR"/>
        </w:rPr>
        <w:t xml:space="preserve">1903 </w:t>
      </w:r>
      <w:proofErr w:type="spellStart"/>
      <w:r w:rsidR="004651BE" w:rsidRPr="000A4A0F">
        <w:rPr>
          <w:rFonts w:ascii="Times New Roman" w:hAnsi="Times New Roman" w:cs="Times New Roman"/>
          <w:sz w:val="24"/>
          <w:szCs w:val="24"/>
          <w:lang w:eastAsia="fr-FR"/>
        </w:rPr>
        <w:t>Schmorl</w:t>
      </w:r>
      <w:proofErr w:type="spellEnd"/>
      <w:r w:rsidR="004651BE" w:rsidRPr="000A4A0F">
        <w:rPr>
          <w:rFonts w:ascii="Times New Roman" w:hAnsi="Times New Roman" w:cs="Times New Roman"/>
          <w:sz w:val="24"/>
          <w:szCs w:val="24"/>
          <w:lang w:eastAsia="fr-FR"/>
        </w:rPr>
        <w:t xml:space="preserve"> inventa</w:t>
      </w:r>
      <w:r w:rsidRPr="000A4A0F">
        <w:rPr>
          <w:rFonts w:ascii="Times New Roman" w:hAnsi="Times New Roman" w:cs="Times New Roman"/>
          <w:sz w:val="24"/>
          <w:szCs w:val="24"/>
          <w:lang w:eastAsia="fr-FR"/>
        </w:rPr>
        <w:t xml:space="preserve"> à l’</w:t>
      </w:r>
      <w:r w:rsidR="008B05BE" w:rsidRPr="000A4A0F">
        <w:rPr>
          <w:rFonts w:ascii="Times New Roman" w:hAnsi="Times New Roman" w:cs="Times New Roman"/>
          <w:sz w:val="24"/>
          <w:szCs w:val="24"/>
          <w:lang w:eastAsia="fr-FR"/>
        </w:rPr>
        <w:t>i</w:t>
      </w:r>
      <w:r w:rsidRPr="000A4A0F">
        <w:rPr>
          <w:rFonts w:ascii="Times New Roman" w:hAnsi="Times New Roman" w:cs="Times New Roman"/>
          <w:sz w:val="24"/>
          <w:szCs w:val="24"/>
          <w:lang w:eastAsia="fr-FR"/>
        </w:rPr>
        <w:t xml:space="preserve">ssu de ses recherches le terme d’ictère </w:t>
      </w:r>
      <w:r w:rsidRPr="002B265C">
        <w:rPr>
          <w:rFonts w:ascii="Times New Roman" w:hAnsi="Times New Roman" w:cs="Times New Roman"/>
          <w:sz w:val="24"/>
          <w:szCs w:val="24"/>
          <w:highlight w:val="yellow"/>
          <w:lang w:eastAsia="fr-FR"/>
        </w:rPr>
        <w:t>nucléaire de l’atteinte neurologique du cerveau</w:t>
      </w:r>
      <w:r w:rsidR="004651BE" w:rsidRPr="000A4A0F">
        <w:rPr>
          <w:rFonts w:ascii="Times New Roman" w:hAnsi="Times New Roman" w:cs="Times New Roman"/>
          <w:b/>
          <w:color w:val="auto"/>
          <w:sz w:val="24"/>
          <w:szCs w:val="24"/>
        </w:rPr>
        <w:t>.</w:t>
      </w:r>
      <w:r w:rsidR="004651BE" w:rsidRPr="000A4A0F">
        <w:rPr>
          <w:rFonts w:ascii="Times New Roman" w:hAnsi="Times New Roman" w:cs="Times New Roman"/>
          <w:b/>
          <w:color w:val="auto"/>
          <w:sz w:val="24"/>
          <w:szCs w:val="24"/>
        </w:rPr>
        <w:fldChar w:fldCharType="begin" w:fldLock="1"/>
      </w:r>
      <w:r w:rsidR="00EE36B6">
        <w:rPr>
          <w:rFonts w:ascii="Times New Roman" w:hAnsi="Times New Roman" w:cs="Times New Roman"/>
          <w:b/>
          <w:color w:val="auto"/>
          <w:sz w:val="24"/>
          <w:szCs w:val="24"/>
        </w:rPr>
        <w:instrText>ADDIN CSL_CITATION {"citationItems":[{"id":"ITEM-1","itemData":{"author":[{"dropping-particle":"","family":"Willy","given":"Thor","non-dropping-particle":"","parse-names":false,"suffix":""},{"dropping-particle":"","family":"Hansen","given":"Ruud","non-dropping-particle":"","parse-names":false,"suffix":""}],"id":"ITEM-1","issue":"2","issued":{"date-parts":[["2000"]]},"page":"1-7","title":"Pioneers in the Scientific Study of Neonatal Jaundice and Kernicterus","type":"article-journal","volume":"106"},"uris":["http://www.mendeley.com/documents/?uuid=41594a6e-5bb8-428c-a794-173ceb041f42","http://www.mendeley.com/documents/?uuid=46cec09c-160d-449f-b9a1-d3c243bd1b14"]}],"mendeley":{"formattedCitation":"(1)","plainTextFormattedCitation":"(1)","previouslyFormattedCitation":"(1)"},"properties":{"noteIndex":0},"schema":"https://github.com/citation-style-language/schema/raw/master/csl-citation.json"}</w:instrText>
      </w:r>
      <w:r w:rsidR="004651BE" w:rsidRPr="000A4A0F">
        <w:rPr>
          <w:rFonts w:ascii="Times New Roman" w:hAnsi="Times New Roman" w:cs="Times New Roman"/>
          <w:b/>
          <w:color w:val="auto"/>
          <w:sz w:val="24"/>
          <w:szCs w:val="24"/>
        </w:rPr>
        <w:fldChar w:fldCharType="separate"/>
      </w:r>
      <w:r w:rsidR="004651BE" w:rsidRPr="000A4A0F">
        <w:rPr>
          <w:rFonts w:ascii="Times New Roman" w:hAnsi="Times New Roman" w:cs="Times New Roman"/>
          <w:noProof/>
          <w:color w:val="auto"/>
          <w:sz w:val="24"/>
          <w:szCs w:val="24"/>
        </w:rPr>
        <w:t>(1)</w:t>
      </w:r>
      <w:r w:rsidR="004651BE" w:rsidRPr="000A4A0F">
        <w:rPr>
          <w:rFonts w:ascii="Times New Roman" w:hAnsi="Times New Roman" w:cs="Times New Roman"/>
          <w:b/>
          <w:color w:val="auto"/>
          <w:sz w:val="24"/>
          <w:szCs w:val="24"/>
        </w:rPr>
        <w:fldChar w:fldCharType="end"/>
      </w:r>
    </w:p>
    <w:p w14:paraId="3A9B71E9" w14:textId="77777777" w:rsidR="00AE5D36" w:rsidRPr="000A4A0F" w:rsidRDefault="00C9662F" w:rsidP="000A4A0F">
      <w:pPr>
        <w:pStyle w:val="Sansinterligne"/>
        <w:spacing w:line="360" w:lineRule="auto"/>
        <w:jc w:val="both"/>
        <w:rPr>
          <w:rFonts w:ascii="Times New Roman" w:hAnsi="Times New Roman" w:cs="Times New Roman"/>
          <w:sz w:val="24"/>
          <w:szCs w:val="24"/>
          <w:lang w:eastAsia="fr-FR"/>
        </w:rPr>
      </w:pPr>
      <w:r w:rsidRPr="000A4A0F">
        <w:rPr>
          <w:rFonts w:ascii="Times New Roman" w:hAnsi="Times New Roman" w:cs="Times New Roman"/>
          <w:sz w:val="24"/>
          <w:szCs w:val="24"/>
          <w:lang w:eastAsia="fr-FR"/>
        </w:rPr>
        <w:t>Les nouveau-nés</w:t>
      </w:r>
      <w:r w:rsidR="00AE5D36" w:rsidRPr="000A4A0F">
        <w:rPr>
          <w:rFonts w:ascii="Times New Roman" w:hAnsi="Times New Roman" w:cs="Times New Roman"/>
          <w:sz w:val="24"/>
          <w:szCs w:val="24"/>
          <w:lang w:eastAsia="fr-FR"/>
        </w:rPr>
        <w:t xml:space="preserve"> atteints meurent souvent pendant la phase aiguë, et un état neurologique avec </w:t>
      </w:r>
      <w:proofErr w:type="spellStart"/>
      <w:r w:rsidR="00AE5D36" w:rsidRPr="000A4A0F">
        <w:rPr>
          <w:rFonts w:ascii="Times New Roman" w:hAnsi="Times New Roman" w:cs="Times New Roman"/>
          <w:sz w:val="24"/>
          <w:szCs w:val="24"/>
          <w:lang w:eastAsia="fr-FR"/>
        </w:rPr>
        <w:t>choréoathétose</w:t>
      </w:r>
      <w:proofErr w:type="spellEnd"/>
      <w:r w:rsidR="00AE5D36" w:rsidRPr="000A4A0F">
        <w:rPr>
          <w:rFonts w:ascii="Times New Roman" w:hAnsi="Times New Roman" w:cs="Times New Roman"/>
          <w:sz w:val="24"/>
          <w:szCs w:val="24"/>
          <w:lang w:eastAsia="fr-FR"/>
        </w:rPr>
        <w:t>, parésie du regard, surdité neurosensorielle et retard mental occasionnel a été observé chez les survivants.</w:t>
      </w:r>
    </w:p>
    <w:p w14:paraId="786DCE8F" w14:textId="20F2BC1D" w:rsidR="00AE5D36" w:rsidRPr="000A4A0F" w:rsidRDefault="00AE5D36" w:rsidP="000A4A0F">
      <w:pPr>
        <w:pStyle w:val="Sansinterligne"/>
        <w:spacing w:line="360" w:lineRule="auto"/>
        <w:jc w:val="both"/>
        <w:rPr>
          <w:rFonts w:ascii="Times New Roman" w:hAnsi="Times New Roman" w:cs="Times New Roman"/>
          <w:sz w:val="24"/>
          <w:szCs w:val="24"/>
          <w:lang w:eastAsia="fr-FR"/>
        </w:rPr>
      </w:pPr>
      <w:r w:rsidRPr="000A4A0F">
        <w:rPr>
          <w:rFonts w:ascii="Times New Roman" w:hAnsi="Times New Roman" w:cs="Times New Roman"/>
          <w:sz w:val="24"/>
          <w:szCs w:val="24"/>
          <w:lang w:eastAsia="fr-FR"/>
        </w:rPr>
        <w:t xml:space="preserve"> Il a observé que le degré de jaunisse d'un organe donné était lié à sa </w:t>
      </w:r>
      <w:r w:rsidR="004651BE" w:rsidRPr="000A4A0F">
        <w:rPr>
          <w:rFonts w:ascii="Times New Roman" w:hAnsi="Times New Roman" w:cs="Times New Roman"/>
          <w:sz w:val="24"/>
          <w:szCs w:val="24"/>
          <w:lang w:eastAsia="fr-FR"/>
        </w:rPr>
        <w:t>vascularisation ;</w:t>
      </w:r>
      <w:r w:rsidRPr="000A4A0F">
        <w:rPr>
          <w:rFonts w:ascii="Times New Roman" w:hAnsi="Times New Roman" w:cs="Times New Roman"/>
          <w:sz w:val="24"/>
          <w:szCs w:val="24"/>
          <w:lang w:eastAsia="fr-FR"/>
        </w:rPr>
        <w:t xml:space="preserve"> plus l'organe était perfusé, plus il était susceptible d'être </w:t>
      </w:r>
      <w:r w:rsidRPr="002B265C">
        <w:rPr>
          <w:rFonts w:ascii="Times New Roman" w:hAnsi="Times New Roman" w:cs="Times New Roman"/>
          <w:color w:val="FF0000"/>
          <w:sz w:val="24"/>
          <w:szCs w:val="24"/>
          <w:lang w:eastAsia="fr-FR"/>
        </w:rPr>
        <w:t>jaunie.</w:t>
      </w:r>
    </w:p>
    <w:p w14:paraId="279A38C4" w14:textId="258E380E" w:rsidR="00104EF1" w:rsidRPr="000A4A0F" w:rsidRDefault="00AA71B4" w:rsidP="000A4A0F">
      <w:pPr>
        <w:pStyle w:val="Sansinterligne"/>
        <w:spacing w:line="360" w:lineRule="auto"/>
        <w:jc w:val="both"/>
        <w:rPr>
          <w:rFonts w:ascii="Times New Roman" w:hAnsi="Times New Roman" w:cs="Times New Roman"/>
          <w:sz w:val="24"/>
          <w:szCs w:val="24"/>
          <w:lang w:eastAsia="fr-FR"/>
        </w:rPr>
      </w:pPr>
      <w:proofErr w:type="spellStart"/>
      <w:r w:rsidRPr="000A4A0F">
        <w:rPr>
          <w:rFonts w:ascii="Times New Roman" w:hAnsi="Times New Roman" w:cs="Times New Roman"/>
          <w:sz w:val="24"/>
          <w:szCs w:val="24"/>
          <w:lang w:eastAsia="fr-FR"/>
        </w:rPr>
        <w:t>O</w:t>
      </w:r>
      <w:r w:rsidR="00AE5D36" w:rsidRPr="000A4A0F">
        <w:rPr>
          <w:rFonts w:ascii="Times New Roman" w:hAnsi="Times New Roman" w:cs="Times New Roman"/>
          <w:sz w:val="24"/>
          <w:szCs w:val="24"/>
          <w:lang w:eastAsia="fr-FR"/>
        </w:rPr>
        <w:t>rth</w:t>
      </w:r>
      <w:proofErr w:type="spellEnd"/>
      <w:r w:rsidR="00AE5D36" w:rsidRPr="000A4A0F">
        <w:rPr>
          <w:rFonts w:ascii="Times New Roman" w:hAnsi="Times New Roman" w:cs="Times New Roman"/>
          <w:sz w:val="24"/>
          <w:szCs w:val="24"/>
          <w:lang w:eastAsia="fr-FR"/>
        </w:rPr>
        <w:t xml:space="preserve"> a noté que chez </w:t>
      </w:r>
      <w:r w:rsidR="00502D78" w:rsidRPr="000A4A0F">
        <w:rPr>
          <w:rFonts w:ascii="Times New Roman" w:hAnsi="Times New Roman" w:cs="Times New Roman"/>
          <w:sz w:val="24"/>
          <w:szCs w:val="24"/>
          <w:lang w:eastAsia="fr-FR"/>
        </w:rPr>
        <w:t>les adultes atteints d’ictè</w:t>
      </w:r>
      <w:r w:rsidR="002A5658" w:rsidRPr="000A4A0F">
        <w:rPr>
          <w:rFonts w:ascii="Times New Roman" w:hAnsi="Times New Roman" w:cs="Times New Roman"/>
          <w:sz w:val="24"/>
          <w:szCs w:val="24"/>
          <w:lang w:eastAsia="fr-FR"/>
        </w:rPr>
        <w:t>re</w:t>
      </w:r>
      <w:r w:rsidR="00AE5D36" w:rsidRPr="000A4A0F">
        <w:rPr>
          <w:rFonts w:ascii="Times New Roman" w:hAnsi="Times New Roman" w:cs="Times New Roman"/>
          <w:sz w:val="24"/>
          <w:szCs w:val="24"/>
          <w:lang w:eastAsia="fr-FR"/>
        </w:rPr>
        <w:t>, le cerveau était, d'après son expérience, rarement coloré de manière significative.</w:t>
      </w:r>
      <w:r w:rsidR="002B265C">
        <w:rPr>
          <w:rFonts w:ascii="Times New Roman" w:hAnsi="Times New Roman" w:cs="Times New Roman"/>
          <w:sz w:val="24"/>
          <w:szCs w:val="24"/>
          <w:lang w:eastAsia="fr-FR"/>
        </w:rPr>
        <w:t xml:space="preserve"> </w:t>
      </w:r>
      <w:r w:rsidR="002B265C" w:rsidRPr="002B265C">
        <w:rPr>
          <w:rFonts w:ascii="Times New Roman" w:hAnsi="Times New Roman" w:cs="Times New Roman"/>
          <w:color w:val="FF0000"/>
          <w:sz w:val="24"/>
          <w:szCs w:val="24"/>
          <w:lang w:eastAsia="fr-FR"/>
        </w:rPr>
        <w:t>(Référence)</w:t>
      </w:r>
    </w:p>
    <w:p w14:paraId="743231A6" w14:textId="5F6F84B7" w:rsidR="00E71B4D" w:rsidRPr="000A4A0F" w:rsidRDefault="00A24AB4" w:rsidP="000A4A0F">
      <w:pPr>
        <w:pStyle w:val="Sansinterligne"/>
        <w:spacing w:line="360" w:lineRule="auto"/>
        <w:jc w:val="both"/>
        <w:rPr>
          <w:rFonts w:ascii="Times New Roman" w:hAnsi="Times New Roman" w:cs="Times New Roman"/>
          <w:sz w:val="24"/>
          <w:szCs w:val="24"/>
          <w:lang w:eastAsia="fr-FR"/>
        </w:rPr>
      </w:pPr>
      <w:r w:rsidRPr="000A4A0F">
        <w:rPr>
          <w:rFonts w:ascii="Times New Roman" w:hAnsi="Times New Roman" w:cs="Times New Roman"/>
          <w:sz w:val="24"/>
          <w:szCs w:val="24"/>
          <w:lang w:eastAsia="fr-FR"/>
        </w:rPr>
        <w:t xml:space="preserve">L’encéphalopathie </w:t>
      </w:r>
      <w:proofErr w:type="spellStart"/>
      <w:r w:rsidRPr="000A4A0F">
        <w:rPr>
          <w:rFonts w:ascii="Times New Roman" w:hAnsi="Times New Roman" w:cs="Times New Roman"/>
          <w:sz w:val="24"/>
          <w:szCs w:val="24"/>
          <w:lang w:eastAsia="fr-FR"/>
        </w:rPr>
        <w:t>bilirubinémique</w:t>
      </w:r>
      <w:proofErr w:type="spellEnd"/>
      <w:r w:rsidRPr="000A4A0F">
        <w:rPr>
          <w:rFonts w:ascii="Times New Roman" w:hAnsi="Times New Roman" w:cs="Times New Roman"/>
          <w:sz w:val="24"/>
          <w:szCs w:val="24"/>
          <w:lang w:eastAsia="fr-FR"/>
        </w:rPr>
        <w:t xml:space="preserve"> aiguë a historiquement été décrite chez des nourrissons atteints d’une </w:t>
      </w:r>
      <w:r w:rsidRPr="002B265C">
        <w:rPr>
          <w:rFonts w:ascii="Times New Roman" w:hAnsi="Times New Roman" w:cs="Times New Roman"/>
          <w:sz w:val="24"/>
          <w:szCs w:val="24"/>
          <w:highlight w:val="yellow"/>
          <w:lang w:eastAsia="fr-FR"/>
        </w:rPr>
        <w:t xml:space="preserve">maladie hémolytique </w:t>
      </w:r>
      <w:r w:rsidR="00A074A4" w:rsidRPr="002B265C">
        <w:rPr>
          <w:rFonts w:ascii="Times New Roman" w:hAnsi="Times New Roman" w:cs="Times New Roman"/>
          <w:sz w:val="24"/>
          <w:szCs w:val="24"/>
          <w:highlight w:val="yellow"/>
          <w:lang w:eastAsia="fr-FR"/>
        </w:rPr>
        <w:t>Rh, cette</w:t>
      </w:r>
      <w:r w:rsidRPr="002B265C">
        <w:rPr>
          <w:rFonts w:ascii="Times New Roman" w:hAnsi="Times New Roman" w:cs="Times New Roman"/>
          <w:sz w:val="24"/>
          <w:szCs w:val="24"/>
          <w:highlight w:val="yellow"/>
          <w:lang w:eastAsia="fr-FR"/>
        </w:rPr>
        <w:t xml:space="preserve"> étiologie est devenue rare</w:t>
      </w:r>
      <w:r w:rsidRPr="000A4A0F">
        <w:rPr>
          <w:rFonts w:ascii="Times New Roman" w:hAnsi="Times New Roman" w:cs="Times New Roman"/>
          <w:sz w:val="24"/>
          <w:szCs w:val="24"/>
          <w:lang w:eastAsia="fr-FR"/>
        </w:rPr>
        <w:t>. On a repéré plusieurs facteurs de risque d’apparition d’</w:t>
      </w:r>
      <w:r w:rsidR="004651BE" w:rsidRPr="000A4A0F">
        <w:rPr>
          <w:rFonts w:ascii="Times New Roman" w:hAnsi="Times New Roman" w:cs="Times New Roman"/>
          <w:sz w:val="24"/>
          <w:szCs w:val="24"/>
          <w:lang w:eastAsia="fr-FR"/>
        </w:rPr>
        <w:t>hyper bilirubinémie</w:t>
      </w:r>
      <w:r w:rsidRPr="000A4A0F">
        <w:rPr>
          <w:rFonts w:ascii="Times New Roman" w:hAnsi="Times New Roman" w:cs="Times New Roman"/>
          <w:sz w:val="24"/>
          <w:szCs w:val="24"/>
          <w:lang w:eastAsia="fr-FR"/>
        </w:rPr>
        <w:t xml:space="preserve"> grave chez le nouveau-né. Ces facteurs de risque sont tous courants, et le risque attribuable à chacun est donc très faible. Ils sont d’un usage limité pour orienter la surveillance, l’exploration ou le traitement, mais peuvent être utiles en </w:t>
      </w:r>
      <w:r w:rsidRPr="002B265C">
        <w:rPr>
          <w:rFonts w:ascii="Times New Roman" w:hAnsi="Times New Roman" w:cs="Times New Roman"/>
          <w:sz w:val="24"/>
          <w:szCs w:val="24"/>
          <w:highlight w:val="yellow"/>
          <w:lang w:eastAsia="fr-FR"/>
        </w:rPr>
        <w:t>association avec une analyse extrapolée de la BST</w:t>
      </w:r>
      <w:r w:rsidRPr="000A4A0F">
        <w:rPr>
          <w:rFonts w:ascii="Times New Roman" w:hAnsi="Times New Roman" w:cs="Times New Roman"/>
          <w:sz w:val="24"/>
          <w:szCs w:val="24"/>
          <w:lang w:eastAsia="fr-FR"/>
        </w:rPr>
        <w:t>.</w:t>
      </w:r>
      <w:r w:rsidR="004651BE" w:rsidRPr="000A4A0F">
        <w:rPr>
          <w:rFonts w:ascii="Times New Roman" w:hAnsi="Times New Roman" w:cs="Times New Roman"/>
          <w:sz w:val="24"/>
          <w:szCs w:val="24"/>
          <w:lang w:eastAsia="fr-FR"/>
        </w:rPr>
        <w:fldChar w:fldCharType="begin" w:fldLock="1"/>
      </w:r>
      <w:r w:rsidR="00EE36B6">
        <w:rPr>
          <w:rFonts w:ascii="Times New Roman" w:hAnsi="Times New Roman" w:cs="Times New Roman"/>
          <w:sz w:val="24"/>
          <w:szCs w:val="24"/>
          <w:lang w:eastAsia="fr-FR"/>
        </w:rPr>
        <w:instrText>ADDIN CSL_CITATION {"citationItems":[{"id":"ITEM-1","itemData":{"DOI":"10.1038/pr.2013.208","author":[{"dropping-particle":"","family":"Mori","given":"Rintaro","non-dropping-particle":"","parse-names":false,"suffix":""},{"dropping-particle":"","family":"Slusher","given":"Tina M","non-dropping-particle":"","parse-names":false,"suffix":""},{"dropping-particle":"","family":"Fahmy","given":"Nahed","non-dropping-particle":"","parse-names":false,"suffix":""},{"dropping-particle":"","family":"Paul","given":"Vinod K","non-dropping-particle":"","parse-names":false,"suffix":""},{"dropping-particle":"","family":"Du","given":"Lizhong","non-dropping-particle":"","parse-names":false,"suffix":""},{"dropping-particle":"","family":"Okolo","given":"Angela A","non-dropping-particle":"","parse-names":false,"suffix":""},{"dropping-particle":"De","family":"Almeida","given":"Maria-fernanda","non-dropping-particle":"","parse-names":false,"suffix":""}],"id":"ITEM-1","issue":"December","issued":{"date-parts":[["2013"]]},"title":"newborn : incidence and impairment estimates for 2010 at regional and global levels","type":"article-journal","volume":"74"},"uris":["http://www.mendeley.com/documents/?uuid=d69a48d6-6dbe-4407-bc40-e7e025d32464","http://www.mendeley.com/documents/?uuid=babb6450-bc83-4ec0-97f2-7a0c2dcbeffa"]}],"mendeley":{"formattedCitation":"(2)","plainTextFormattedCitation":"(2)","previouslyFormattedCitation":"(2)"},"properties":{"noteIndex":0},"schema":"https://github.com/citation-style-language/schema/raw/master/csl-citation.json"}</w:instrText>
      </w:r>
      <w:r w:rsidR="004651BE" w:rsidRPr="000A4A0F">
        <w:rPr>
          <w:rFonts w:ascii="Times New Roman" w:hAnsi="Times New Roman" w:cs="Times New Roman"/>
          <w:sz w:val="24"/>
          <w:szCs w:val="24"/>
          <w:lang w:eastAsia="fr-FR"/>
        </w:rPr>
        <w:fldChar w:fldCharType="separate"/>
      </w:r>
      <w:r w:rsidR="004651BE" w:rsidRPr="000A4A0F">
        <w:rPr>
          <w:rFonts w:ascii="Times New Roman" w:hAnsi="Times New Roman" w:cs="Times New Roman"/>
          <w:noProof/>
          <w:sz w:val="24"/>
          <w:szCs w:val="24"/>
          <w:lang w:eastAsia="fr-FR"/>
        </w:rPr>
        <w:t>(2)</w:t>
      </w:r>
      <w:r w:rsidR="004651BE" w:rsidRPr="000A4A0F">
        <w:rPr>
          <w:rFonts w:ascii="Times New Roman" w:hAnsi="Times New Roman" w:cs="Times New Roman"/>
          <w:sz w:val="24"/>
          <w:szCs w:val="24"/>
          <w:lang w:eastAsia="fr-FR"/>
        </w:rPr>
        <w:fldChar w:fldCharType="end"/>
      </w:r>
    </w:p>
    <w:p w14:paraId="5B0DC2C4" w14:textId="77777777" w:rsidR="004921B5" w:rsidRPr="000A4A0F" w:rsidRDefault="004921B5" w:rsidP="000A4A0F">
      <w:pPr>
        <w:pStyle w:val="Sansinterligne"/>
        <w:spacing w:line="360" w:lineRule="auto"/>
        <w:jc w:val="both"/>
        <w:rPr>
          <w:rFonts w:ascii="Times New Roman" w:hAnsi="Times New Roman" w:cs="Times New Roman"/>
          <w:sz w:val="24"/>
          <w:szCs w:val="24"/>
          <w:lang w:eastAsia="fr-FR"/>
        </w:rPr>
      </w:pPr>
    </w:p>
    <w:p w14:paraId="39F5BCED" w14:textId="77777777" w:rsidR="004921B5" w:rsidRPr="000A4A0F" w:rsidRDefault="004921B5" w:rsidP="000A4A0F">
      <w:pPr>
        <w:pStyle w:val="Sansinterligne"/>
        <w:spacing w:line="360" w:lineRule="auto"/>
        <w:jc w:val="both"/>
        <w:rPr>
          <w:rFonts w:ascii="Times New Roman" w:hAnsi="Times New Roman" w:cs="Times New Roman"/>
          <w:sz w:val="24"/>
          <w:szCs w:val="24"/>
          <w:lang w:eastAsia="fr-FR"/>
        </w:rPr>
      </w:pPr>
    </w:p>
    <w:p w14:paraId="235D9196" w14:textId="77777777" w:rsidR="004921B5" w:rsidRPr="000A4A0F" w:rsidRDefault="004921B5" w:rsidP="000A4A0F">
      <w:pPr>
        <w:spacing w:line="360" w:lineRule="auto"/>
        <w:jc w:val="both"/>
        <w:rPr>
          <w:rFonts w:ascii="Times New Roman" w:hAnsi="Times New Roman" w:cs="Times New Roman"/>
          <w:sz w:val="24"/>
          <w:szCs w:val="24"/>
          <w:lang w:eastAsia="fr-FR"/>
        </w:rPr>
      </w:pPr>
    </w:p>
    <w:p w14:paraId="57A6F7E4" w14:textId="77777777" w:rsidR="004921B5" w:rsidRPr="000A4A0F" w:rsidRDefault="004921B5" w:rsidP="000A4A0F">
      <w:pPr>
        <w:spacing w:line="360" w:lineRule="auto"/>
        <w:jc w:val="both"/>
        <w:rPr>
          <w:rFonts w:ascii="Times New Roman" w:hAnsi="Times New Roman" w:cs="Times New Roman"/>
          <w:sz w:val="24"/>
          <w:szCs w:val="24"/>
          <w:lang w:eastAsia="fr-FR"/>
        </w:rPr>
      </w:pPr>
    </w:p>
    <w:p w14:paraId="44A79C20" w14:textId="0200D1D8" w:rsidR="001132B0" w:rsidRPr="000A4A0F" w:rsidRDefault="00AC36FA" w:rsidP="000A4A0F">
      <w:pPr>
        <w:pStyle w:val="Titre2"/>
        <w:spacing w:line="360" w:lineRule="auto"/>
        <w:jc w:val="both"/>
        <w:rPr>
          <w:rFonts w:ascii="Times New Roman" w:hAnsi="Times New Roman" w:cs="Times New Roman"/>
          <w:b/>
          <w:color w:val="auto"/>
          <w:sz w:val="24"/>
          <w:szCs w:val="24"/>
          <w:lang w:eastAsia="fr-FR"/>
        </w:rPr>
      </w:pPr>
      <w:bookmarkStart w:id="9" w:name="_Toc87049041"/>
      <w:r w:rsidRPr="000A4A0F">
        <w:rPr>
          <w:rFonts w:ascii="Times New Roman" w:hAnsi="Times New Roman" w:cs="Times New Roman"/>
          <w:b/>
          <w:color w:val="auto"/>
          <w:sz w:val="24"/>
          <w:szCs w:val="24"/>
          <w:lang w:eastAsia="fr-FR"/>
        </w:rPr>
        <w:t>2. PROBLEMATIQUE</w:t>
      </w:r>
      <w:r w:rsidR="00D4465D" w:rsidRPr="000A4A0F">
        <w:rPr>
          <w:rFonts w:ascii="Times New Roman" w:hAnsi="Times New Roman" w:cs="Times New Roman"/>
          <w:b/>
          <w:color w:val="auto"/>
          <w:sz w:val="24"/>
          <w:szCs w:val="24"/>
          <w:lang w:eastAsia="fr-FR"/>
        </w:rPr>
        <w:t xml:space="preserve"> ET OBJECTIF DU TRAVAIL.</w:t>
      </w:r>
      <w:bookmarkEnd w:id="9"/>
    </w:p>
    <w:p w14:paraId="520F4504" w14:textId="77777777" w:rsidR="00634D9D" w:rsidRPr="000A4A0F" w:rsidRDefault="00634D9D" w:rsidP="000A4A0F">
      <w:pPr>
        <w:spacing w:line="360" w:lineRule="auto"/>
        <w:jc w:val="both"/>
        <w:rPr>
          <w:rFonts w:ascii="Times New Roman" w:hAnsi="Times New Roman" w:cs="Times New Roman"/>
          <w:sz w:val="24"/>
          <w:szCs w:val="24"/>
          <w:lang w:eastAsia="fr-FR"/>
        </w:rPr>
      </w:pPr>
    </w:p>
    <w:p w14:paraId="21725F69" w14:textId="73755F29" w:rsidR="00634D9D" w:rsidRDefault="005551B5" w:rsidP="00B8616A">
      <w:pPr>
        <w:pStyle w:val="Titre3"/>
        <w:spacing w:line="360" w:lineRule="auto"/>
        <w:jc w:val="both"/>
        <w:rPr>
          <w:rFonts w:ascii="Times New Roman" w:hAnsi="Times New Roman" w:cs="Times New Roman"/>
          <w:b/>
          <w:lang w:eastAsia="fr-FR"/>
        </w:rPr>
      </w:pPr>
      <w:bookmarkStart w:id="10" w:name="_Toc87049042"/>
      <w:r w:rsidRPr="000A4A0F">
        <w:rPr>
          <w:rFonts w:ascii="Times New Roman" w:hAnsi="Times New Roman" w:cs="Times New Roman"/>
          <w:b/>
          <w:lang w:eastAsia="fr-FR"/>
        </w:rPr>
        <w:t>2.</w:t>
      </w:r>
      <w:r w:rsidR="00BA36C0" w:rsidRPr="000A4A0F">
        <w:rPr>
          <w:rFonts w:ascii="Times New Roman" w:hAnsi="Times New Roman" w:cs="Times New Roman"/>
          <w:b/>
          <w:lang w:eastAsia="fr-FR"/>
        </w:rPr>
        <w:t>1</w:t>
      </w:r>
      <w:r w:rsidR="002D72E9" w:rsidRPr="000A4A0F">
        <w:rPr>
          <w:rFonts w:ascii="Times New Roman" w:hAnsi="Times New Roman" w:cs="Times New Roman"/>
          <w:b/>
          <w:lang w:eastAsia="fr-FR"/>
        </w:rPr>
        <w:t>. PROBLEMATIQUE</w:t>
      </w:r>
      <w:bookmarkEnd w:id="10"/>
    </w:p>
    <w:p w14:paraId="78D09FA0" w14:textId="77777777" w:rsidR="00B8616A" w:rsidRPr="00B8616A" w:rsidRDefault="00B8616A" w:rsidP="00B8616A">
      <w:pPr>
        <w:rPr>
          <w:lang w:eastAsia="fr-FR"/>
        </w:rPr>
      </w:pPr>
    </w:p>
    <w:p w14:paraId="01566812" w14:textId="550D27AB" w:rsidR="00B56D6C" w:rsidRPr="000A4A0F" w:rsidRDefault="00C16AA6" w:rsidP="000A4A0F">
      <w:pPr>
        <w:pStyle w:val="Sansinterligne"/>
        <w:spacing w:line="360" w:lineRule="auto"/>
        <w:jc w:val="both"/>
        <w:rPr>
          <w:rFonts w:ascii="Times New Roman" w:hAnsi="Times New Roman" w:cs="Times New Roman"/>
          <w:sz w:val="24"/>
          <w:szCs w:val="24"/>
        </w:rPr>
      </w:pPr>
      <w:r w:rsidRPr="002B265C">
        <w:rPr>
          <w:rFonts w:ascii="Times New Roman" w:hAnsi="Times New Roman" w:cs="Times New Roman"/>
          <w:sz w:val="24"/>
          <w:szCs w:val="24"/>
          <w:highlight w:val="yellow"/>
        </w:rPr>
        <w:t xml:space="preserve">L’ictère </w:t>
      </w:r>
      <w:r w:rsidR="004651BE" w:rsidRPr="002B265C">
        <w:rPr>
          <w:rFonts w:ascii="Times New Roman" w:hAnsi="Times New Roman" w:cs="Times New Roman"/>
          <w:sz w:val="24"/>
          <w:szCs w:val="24"/>
          <w:highlight w:val="yellow"/>
        </w:rPr>
        <w:t>est un</w:t>
      </w:r>
      <w:r w:rsidR="00B56D6C" w:rsidRPr="002B265C">
        <w:rPr>
          <w:rFonts w:ascii="Times New Roman" w:hAnsi="Times New Roman" w:cs="Times New Roman"/>
          <w:sz w:val="24"/>
          <w:szCs w:val="24"/>
          <w:highlight w:val="yellow"/>
        </w:rPr>
        <w:t xml:space="preserve"> phénomène fréquent et transitoire durant la période néonatale, il concerne 60 % des nouveau-nés à terme et 90% de nouveau-nés prématurés, et seulement 2% vont présenter une concentration de la bilirubine sanguine totale (BST) supérieure à 20mg/</w:t>
      </w:r>
      <w:r w:rsidR="00B70D83" w:rsidRPr="002B265C">
        <w:rPr>
          <w:rFonts w:ascii="Times New Roman" w:hAnsi="Times New Roman" w:cs="Times New Roman"/>
          <w:sz w:val="24"/>
          <w:szCs w:val="24"/>
          <w:highlight w:val="yellow"/>
        </w:rPr>
        <w:t>dl</w:t>
      </w:r>
      <w:r w:rsidR="00B56D6C" w:rsidRPr="002B265C">
        <w:rPr>
          <w:rFonts w:ascii="Times New Roman" w:hAnsi="Times New Roman" w:cs="Times New Roman"/>
          <w:sz w:val="24"/>
          <w:szCs w:val="24"/>
          <w:highlight w:val="yellow"/>
        </w:rPr>
        <w:t xml:space="preserve"> et il est à </w:t>
      </w:r>
      <w:commentRangeStart w:id="11"/>
      <w:r w:rsidR="00B56D6C" w:rsidRPr="002B265C">
        <w:rPr>
          <w:rFonts w:ascii="Times New Roman" w:hAnsi="Times New Roman" w:cs="Times New Roman"/>
          <w:sz w:val="24"/>
          <w:szCs w:val="24"/>
          <w:highlight w:val="yellow"/>
        </w:rPr>
        <w:t>prédominance</w:t>
      </w:r>
      <w:commentRangeEnd w:id="11"/>
      <w:r w:rsidR="002B265C">
        <w:rPr>
          <w:rStyle w:val="Marquedecommentaire"/>
        </w:rPr>
        <w:commentReference w:id="11"/>
      </w:r>
      <w:r w:rsidR="00B56D6C" w:rsidRPr="002B265C">
        <w:rPr>
          <w:rFonts w:ascii="Times New Roman" w:hAnsi="Times New Roman" w:cs="Times New Roman"/>
          <w:sz w:val="24"/>
          <w:szCs w:val="24"/>
          <w:highlight w:val="yellow"/>
        </w:rPr>
        <w:t xml:space="preserve"> non conjuguée dans 99% de cas</w:t>
      </w:r>
      <w:r w:rsidR="00B56D6C" w:rsidRPr="000A4A0F">
        <w:rPr>
          <w:rFonts w:ascii="Times New Roman" w:hAnsi="Times New Roman" w:cs="Times New Roman"/>
          <w:sz w:val="24"/>
          <w:szCs w:val="24"/>
        </w:rPr>
        <w:t>. Par contre, cette hyper bilirubinémie lorsqu’elle est associée à des facteurs de risque, peut entrainer une toxicité neurologique dont la forme la plus sév</w:t>
      </w:r>
      <w:r w:rsidR="004651BE" w:rsidRPr="000A4A0F">
        <w:rPr>
          <w:rFonts w:ascii="Times New Roman" w:hAnsi="Times New Roman" w:cs="Times New Roman"/>
          <w:sz w:val="24"/>
          <w:szCs w:val="24"/>
        </w:rPr>
        <w:t>ère est l’ictère nucléaire</w:t>
      </w:r>
      <w:r w:rsidR="00B56D6C" w:rsidRPr="000A4A0F">
        <w:rPr>
          <w:rFonts w:ascii="Times New Roman" w:hAnsi="Times New Roman" w:cs="Times New Roman"/>
          <w:sz w:val="24"/>
          <w:szCs w:val="24"/>
        </w:rPr>
        <w:t>.</w:t>
      </w:r>
      <w:r w:rsidR="004651BE"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{"citationItems":[{"id":"ITEM-1","itemData":{"author":[{"dropping-particle":"","family":"Battisti","given":"Professeur Oreste","non-dropping-particle":"","parse-names":false,"suffix":""},{"dropping-particle":"De","family":"Cours","given":"Chargé","non-dropping-particle":"","parse-names":false,"suffix":""},{"dropping-particle":"De","family":"Médecine","given":"Faculté","non-dropping-particle":"","parse-names":false,"suffix":""},{"dropping-particle":"De","family":"Liège","given":"Université","non-dropping-particle":"","parse-names":false,"suffix":""},{"dropping-particle":"","family":"Définitions","given":"A","non-dropping-particle":"","parse-names":false,"suffix":""}],"id":"ITEM-1","issued":{"date-parts":[["0"]]},"page":"1-26","title":"Diagnostic et prise en charge de l ’ hyperbilirubinémie ( à partir de 35 semaines d ’ âge gestationnel )","type":"article-journal"},"uris":["http://www.mendeley.com/documents/?uuid=8efb4bd5-bce5-46ac-91e0-063c05cc6fba","http://www.mendeley.com/documents/?uuid=593aa58c-b2ee-42ab-be1d-e0b1554d69e5"]}],"mendeley":{"formattedCitation":"(3)","plainTextFormattedCitation":"(3)","previouslyFormattedCitation":"(3)"},"properties":{"noteIndex":0},"schema":"https://github.com/citation-style-language/schema/raw/master/csl-citation.json"}</w:instrText>
      </w:r>
      <w:r w:rsidR="004651BE" w:rsidRPr="000A4A0F">
        <w:rPr>
          <w:rFonts w:ascii="Times New Roman" w:hAnsi="Times New Roman" w:cs="Times New Roman"/>
          <w:sz w:val="24"/>
          <w:szCs w:val="24"/>
        </w:rPr>
        <w:fldChar w:fldCharType="separate"/>
      </w:r>
      <w:r w:rsidR="004651BE" w:rsidRPr="000A4A0F">
        <w:rPr>
          <w:rFonts w:ascii="Times New Roman" w:hAnsi="Times New Roman" w:cs="Times New Roman"/>
          <w:noProof/>
          <w:sz w:val="24"/>
          <w:szCs w:val="24"/>
        </w:rPr>
        <w:t>(3)</w:t>
      </w:r>
      <w:r w:rsidR="004651BE" w:rsidRPr="000A4A0F">
        <w:rPr>
          <w:rFonts w:ascii="Times New Roman" w:hAnsi="Times New Roman" w:cs="Times New Roman"/>
          <w:sz w:val="24"/>
          <w:szCs w:val="24"/>
        </w:rPr>
        <w:fldChar w:fldCharType="end"/>
      </w:r>
      <w:r w:rsidR="004651BE"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{"citationItems":[{"id":"ITEM-1","itemData":{"author":[{"dropping-particle":"","family":"Heydarian","given":"Farhad","non-dropping-particle":"","parse-names":false,"suffix":""},{"dropping-particle":"","family":"Khatami","given":"Seyedeh Fatemeh","non-dropping-particle":"","parse-names":false,"suffix":""},{"dropping-particle":"","family":"Parvaresh","given":"Pouya","non-dropping-particle":"","parse-names":false,"suffix":""},{"dropping-particle":"","family":"Rezanejad","given":"Masumeh","non-dropping-particle":"","parse-names":false,"suffix":""}],"id":"ITEM-1","issue":"2","issued":{"date-parts":[["2012"]]},"page":"45-49","title":"ABO Hemolytic Disease Leading to Hyperbilirubinemia in Term Newborns : Value of Immunohematological Tests","type":"article-journal","volume":"3"},"uris":["http://www.mendeley.com/documents/?uuid=50debc0a-d795-4544-9f7d-f5b224bfdd01","http://www.mendeley.com/documents/?uuid=b280d82d-112b-4e92-a760-1e6f4939c968"]}],"mendeley":{"formattedCitation":"(4)","plainTextFormattedCitation":"(4)","previouslyFormattedCitation":"(4)"},"properties":{"noteIndex":0},"schema":"https://github.com/citation-style-language/schema/raw/master/csl-citation.json"}</w:instrText>
      </w:r>
      <w:r w:rsidR="004651BE" w:rsidRPr="000A4A0F">
        <w:rPr>
          <w:rFonts w:ascii="Times New Roman" w:hAnsi="Times New Roman" w:cs="Times New Roman"/>
          <w:sz w:val="24"/>
          <w:szCs w:val="24"/>
        </w:rPr>
        <w:fldChar w:fldCharType="separate"/>
      </w:r>
      <w:r w:rsidR="004651BE" w:rsidRPr="000A4A0F">
        <w:rPr>
          <w:rFonts w:ascii="Times New Roman" w:hAnsi="Times New Roman" w:cs="Times New Roman"/>
          <w:noProof/>
          <w:sz w:val="24"/>
          <w:szCs w:val="24"/>
        </w:rPr>
        <w:t>(4)</w:t>
      </w:r>
      <w:r w:rsidR="004651BE" w:rsidRPr="000A4A0F">
        <w:rPr>
          <w:rFonts w:ascii="Times New Roman" w:hAnsi="Times New Roman" w:cs="Times New Roman"/>
          <w:sz w:val="24"/>
          <w:szCs w:val="24"/>
        </w:rPr>
        <w:fldChar w:fldCharType="end"/>
      </w:r>
      <w:r w:rsidR="00386E81" w:rsidRPr="000A4A0F">
        <w:rPr>
          <w:rFonts w:ascii="Times New Roman" w:hAnsi="Times New Roman" w:cs="Times New Roman"/>
          <w:sz w:val="24"/>
          <w:szCs w:val="24"/>
        </w:rPr>
        <w:t xml:space="preserve"> </w:t>
      </w:r>
    </w:p>
    <w:p w14:paraId="6AE3308F" w14:textId="4C0D78DD" w:rsidR="00B56D6C" w:rsidRPr="000A4A0F" w:rsidRDefault="00B56D6C"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L’incidence des hyperbilirubinémies grave ou importante peut être estimée à environ quatre cas pour 10 000 naissances vivantes, celle d’une forme aiguë à environ 1/10 000 naissances vivantes</w:t>
      </w:r>
      <w:r w:rsidR="004651BE" w:rsidRPr="000A4A0F">
        <w:rPr>
          <w:rFonts w:ascii="Times New Roman" w:hAnsi="Times New Roman" w:cs="Times New Roman"/>
          <w:sz w:val="24"/>
          <w:szCs w:val="24"/>
        </w:rPr>
        <w:t>, celle</w:t>
      </w:r>
      <w:r w:rsidRPr="000A4A0F">
        <w:rPr>
          <w:rFonts w:ascii="Times New Roman" w:hAnsi="Times New Roman" w:cs="Times New Roman"/>
          <w:sz w:val="24"/>
          <w:szCs w:val="24"/>
        </w:rPr>
        <w:t xml:space="preserve"> d’une forme chronique à environ un</w:t>
      </w:r>
      <w:r w:rsidR="004651BE" w:rsidRPr="000A4A0F">
        <w:rPr>
          <w:rFonts w:ascii="Times New Roman" w:hAnsi="Times New Roman" w:cs="Times New Roman"/>
          <w:sz w:val="24"/>
          <w:szCs w:val="24"/>
        </w:rPr>
        <w:t xml:space="preserve"> cas pour 50 000 naissances</w:t>
      </w:r>
      <w:r w:rsidRPr="000A4A0F">
        <w:rPr>
          <w:rFonts w:ascii="Times New Roman" w:hAnsi="Times New Roman" w:cs="Times New Roman"/>
          <w:sz w:val="24"/>
          <w:szCs w:val="24"/>
        </w:rPr>
        <w:t>.</w:t>
      </w:r>
      <w:r w:rsidR="004651BE"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{"citationItems":[{"id":"ITEM-1","itemData":{"author":[{"dropping-particle":"","family":"Heydarian","given":"Farhad","non-dropping-particle":"","parse-names":false,"suffix":""},{"dropping-particle":"","family":"Khatami","given":"Seyedeh Fatemeh","non-dropping-particle":"","parse-names":false,"suffix":""},{"dropping-particle":"","family":"Parvaresh","given":"Pouya","non-dropping-particle":"","parse-names":false,"suffix":""},{"dropping-particle":"","family":"Rezanejad","given":"Masumeh","non-dropping-particle":"","parse-names":false,"suffix":""}],"id":"ITEM-1","issue":"2","issued":{"date-parts":[["2012"]]},"page":"45-49","title":"ABO Hemolytic Disease Leading to Hyperbilirubinemia in Term Newborns : Value of Immunohematological Tests","type":"article-journal","volume":"3"},"uris":["http://www.mendeley.com/documents/?uuid=b280d82d-112b-4e92-a760-1e6f4939c968","http://www.mendeley.com/documents/?uuid=50debc0a-d795-4544-9f7d-f5b224bfdd01"]}],"mendeley":{"formattedCitation":"(4)","plainTextFormattedCitation":"(4)","previouslyFormattedCitation":"(4)"},"properties":{"noteIndex":0},"schema":"https://github.com/citation-style-language/schema/raw/master/csl-citation.json"}</w:instrText>
      </w:r>
      <w:r w:rsidR="004651BE" w:rsidRPr="000A4A0F">
        <w:rPr>
          <w:rFonts w:ascii="Times New Roman" w:hAnsi="Times New Roman" w:cs="Times New Roman"/>
          <w:sz w:val="24"/>
          <w:szCs w:val="24"/>
        </w:rPr>
        <w:fldChar w:fldCharType="separate"/>
      </w:r>
      <w:r w:rsidR="004651BE" w:rsidRPr="000A4A0F">
        <w:rPr>
          <w:rFonts w:ascii="Times New Roman" w:hAnsi="Times New Roman" w:cs="Times New Roman"/>
          <w:noProof/>
          <w:sz w:val="24"/>
          <w:szCs w:val="24"/>
        </w:rPr>
        <w:t>(4)</w:t>
      </w:r>
      <w:r w:rsidR="004651BE" w:rsidRPr="000A4A0F">
        <w:rPr>
          <w:rFonts w:ascii="Times New Roman" w:hAnsi="Times New Roman" w:cs="Times New Roman"/>
          <w:sz w:val="24"/>
          <w:szCs w:val="24"/>
        </w:rPr>
        <w:fldChar w:fldCharType="end"/>
      </w:r>
      <w:r w:rsidR="004651BE"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{"citationItems":[{"id":"ITEM-1","itemData":{"author":[{"dropping-particle":"","family":"Battisti","given":"Professeur Oreste","non-dropping-particle":"","parse-names":false,"suffix":""},{"dropping-particle":"De","family":"Cours","given":"Chargé","non-dropping-particle":"","parse-names":false,"suffix":""},{"dropping-particle":"De","family":"Médecine","given":"Faculté","non-dropping-particle":"","parse-names":false,"suffix":""},{"dropping-particle":"De","family":"Liège","given":"Université","non-dropping-particle":"","parse-names":false,"suffix":""},{"dropping-particle":"","family":"Définitions","given":"A","non-dropping-particle":"","parse-names":false,"suffix":""}],"id":"ITEM-1","issued":{"date-parts":[["0"]]},"page":"1-26","title":"Diagnostic et prise en charge de l ’ hyperbilirubinémie ( à partir de 35 semaines d ’ âge gestationnel )","type":"article-journal"},"uris":["http://www.mendeley.com/documents/?uuid=593aa58c-b2ee-42ab-be1d-e0b1554d69e5","http://www.mendeley.com/documents/?uuid=8efb4bd5-bce5-46ac-91e0-063c05cc6fba"]}],"mendeley":{"formattedCitation":"(3)","plainTextFormattedCitation":"(3)","previouslyFormattedCitation":"(3)"},"properties":{"noteIndex":0},"schema":"https://github.com/citation-style-language/schema/raw/master/csl-citation.json"}</w:instrText>
      </w:r>
      <w:r w:rsidR="004651BE" w:rsidRPr="000A4A0F">
        <w:rPr>
          <w:rFonts w:ascii="Times New Roman" w:hAnsi="Times New Roman" w:cs="Times New Roman"/>
          <w:sz w:val="24"/>
          <w:szCs w:val="24"/>
        </w:rPr>
        <w:fldChar w:fldCharType="separate"/>
      </w:r>
      <w:r w:rsidR="004651BE" w:rsidRPr="000A4A0F">
        <w:rPr>
          <w:rFonts w:ascii="Times New Roman" w:hAnsi="Times New Roman" w:cs="Times New Roman"/>
          <w:noProof/>
          <w:sz w:val="24"/>
          <w:szCs w:val="24"/>
        </w:rPr>
        <w:t>(3)</w:t>
      </w:r>
      <w:r w:rsidR="004651BE" w:rsidRPr="000A4A0F">
        <w:rPr>
          <w:rFonts w:ascii="Times New Roman" w:hAnsi="Times New Roman" w:cs="Times New Roman"/>
          <w:sz w:val="24"/>
          <w:szCs w:val="24"/>
        </w:rPr>
        <w:fldChar w:fldCharType="end"/>
      </w:r>
    </w:p>
    <w:p w14:paraId="28CADCBB" w14:textId="786D0F06" w:rsidR="00B56D6C" w:rsidRPr="000A4A0F" w:rsidRDefault="00FE3FDB"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En France la fréquence de l’ictère</w:t>
      </w:r>
      <w:r w:rsidR="00B56D6C" w:rsidRPr="000A4A0F">
        <w:rPr>
          <w:rFonts w:ascii="Times New Roman" w:hAnsi="Times New Roman" w:cs="Times New Roman"/>
          <w:sz w:val="24"/>
          <w:szCs w:val="24"/>
        </w:rPr>
        <w:t xml:space="preserve"> est estimée à 60% chez les nouveau-nés à terme (90% chez le prématuré). </w:t>
      </w:r>
      <w:r w:rsidR="00B56D6C" w:rsidRPr="00537D00">
        <w:rPr>
          <w:rFonts w:ascii="Times New Roman" w:hAnsi="Times New Roman" w:cs="Times New Roman"/>
          <w:sz w:val="24"/>
          <w:szCs w:val="24"/>
          <w:highlight w:val="yellow"/>
        </w:rPr>
        <w:t xml:space="preserve">Environs 6-10% des nouveau-nés à terme ont une bilirubinémie </w:t>
      </w:r>
      <w:r w:rsidR="00B70D83" w:rsidRPr="00537D00">
        <w:rPr>
          <w:rFonts w:ascii="Times New Roman" w:hAnsi="Times New Roman" w:cs="Times New Roman"/>
          <w:sz w:val="24"/>
          <w:szCs w:val="24"/>
          <w:highlight w:val="yellow"/>
        </w:rPr>
        <w:t>&gt;</w:t>
      </w:r>
      <w:r w:rsidR="00B56D6C" w:rsidRPr="00537D00">
        <w:rPr>
          <w:rFonts w:ascii="Times New Roman" w:hAnsi="Times New Roman" w:cs="Times New Roman"/>
          <w:sz w:val="24"/>
          <w:szCs w:val="24"/>
          <w:highlight w:val="yellow"/>
        </w:rPr>
        <w:t>130 mg/l, Il constitue 2% à 8% de la fréquentation des services d’urgences pédiatri</w:t>
      </w:r>
      <w:r w:rsidR="00A027B5" w:rsidRPr="00537D00">
        <w:rPr>
          <w:rFonts w:ascii="Times New Roman" w:hAnsi="Times New Roman" w:cs="Times New Roman"/>
          <w:sz w:val="24"/>
          <w:szCs w:val="24"/>
          <w:highlight w:val="yellow"/>
        </w:rPr>
        <w:t>q</w:t>
      </w:r>
      <w:r w:rsidR="004651BE" w:rsidRPr="00537D00">
        <w:rPr>
          <w:rFonts w:ascii="Times New Roman" w:hAnsi="Times New Roman" w:cs="Times New Roman"/>
          <w:sz w:val="24"/>
          <w:szCs w:val="24"/>
          <w:highlight w:val="yellow"/>
        </w:rPr>
        <w:t>ues en France</w:t>
      </w:r>
      <w:r w:rsidR="00B56D6C" w:rsidRPr="00537D00">
        <w:rPr>
          <w:rFonts w:ascii="Times New Roman" w:hAnsi="Times New Roman" w:cs="Times New Roman"/>
          <w:sz w:val="24"/>
          <w:szCs w:val="24"/>
          <w:highlight w:val="yellow"/>
        </w:rPr>
        <w:t>.</w:t>
      </w:r>
      <w:r w:rsidR="004651BE" w:rsidRPr="00537D00">
        <w:rPr>
          <w:rFonts w:ascii="Times New Roman" w:hAnsi="Times New Roman" w:cs="Times New Roman"/>
          <w:sz w:val="24"/>
          <w:szCs w:val="24"/>
          <w:highlight w:val="yellow"/>
        </w:rPr>
        <w:fldChar w:fldCharType="begin" w:fldLock="1"/>
      </w:r>
      <w:r w:rsidR="00EE36B6" w:rsidRPr="00537D00">
        <w:rPr>
          <w:rFonts w:ascii="Times New Roman" w:hAnsi="Times New Roman" w:cs="Times New Roman"/>
          <w:sz w:val="24"/>
          <w:szCs w:val="24"/>
          <w:highlight w:val="yellow"/>
        </w:rPr>
        <w:instrText>ADDIN CSL_CITATION {"citationItems":[{"id":"ITEM-1","itemData":{"DOI":"10.1111/j.1365-3156.2010.02496.x","author":[{"dropping-particle":"","family":"Tikmani","given":"Shiyam Sundar","non-dropping-particle":"","parse-names":false,"suffix":""},{"dropping-particle":"","family":"Warraich","given":"Haider Javed","non-dropping-particle":"","parse-names":false,"suffix":""},{"dropping-particle":"","family":"Abbasi","given":"Farrukh","non-dropping-particle":"","parse-names":false,"suffix":""},{"dropping-particle":"","family":"Rizvi","given":"Arjumand","non-dropping-particle":"","parse-names":false,"suffix":""},{"dropping-particle":"","family":"Darmstadt","given":"Gary L","non-dropping-particle":"","parse-names":false,"suffix":""}],"id":"ITEM-1","issue":"5","issued":{"date-parts":[["2010"]]},"page":"502-507","title":"Incidence of neonatal hyperbilirubinemia : a population-based prospective study in Pakistan","type":"article-journal","volume":"15"},"uris":["http://www.mendeley.com/documents/?uuid=46759ae8-623b-42f3-80fc-4d3cc793c4fe","http://www.mendeley.com/documents/?uuid=bf57dfe2-3552-47a7-894d-14ff655168de"]}],"mendeley":{"formattedCitation":"(5)","plainTextFormattedCitation":"(5)","previouslyFormattedCitation":"(5)"},"properties":{"noteIndex":0},"schema":"https://github.com/citation-style-language/schema/raw/master/csl-citation.json"}</w:instrText>
      </w:r>
      <w:r w:rsidR="004651BE" w:rsidRPr="00537D00">
        <w:rPr>
          <w:rFonts w:ascii="Times New Roman" w:hAnsi="Times New Roman" w:cs="Times New Roman"/>
          <w:sz w:val="24"/>
          <w:szCs w:val="24"/>
          <w:highlight w:val="yellow"/>
        </w:rPr>
        <w:fldChar w:fldCharType="separate"/>
      </w:r>
      <w:r w:rsidR="004651BE" w:rsidRPr="00537D00">
        <w:rPr>
          <w:rFonts w:ascii="Times New Roman" w:hAnsi="Times New Roman" w:cs="Times New Roman"/>
          <w:noProof/>
          <w:sz w:val="24"/>
          <w:szCs w:val="24"/>
          <w:highlight w:val="yellow"/>
        </w:rPr>
        <w:t>(5)</w:t>
      </w:r>
      <w:r w:rsidR="004651BE" w:rsidRPr="00537D00">
        <w:rPr>
          <w:rFonts w:ascii="Times New Roman" w:hAnsi="Times New Roman" w:cs="Times New Roman"/>
          <w:sz w:val="24"/>
          <w:szCs w:val="24"/>
          <w:highlight w:val="yellow"/>
        </w:rPr>
        <w:fldChar w:fldCharType="end"/>
      </w:r>
    </w:p>
    <w:p w14:paraId="0982BDD7" w14:textId="35143E06" w:rsidR="00B56D6C" w:rsidRPr="000A4A0F" w:rsidRDefault="009912DD"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Au Pakistan</w:t>
      </w:r>
      <w:r w:rsidR="00537D00" w:rsidRPr="00537D00">
        <w:rPr>
          <w:rFonts w:ascii="Times New Roman" w:hAnsi="Times New Roman" w:cs="Times New Roman"/>
          <w:color w:val="FF0000"/>
          <w:sz w:val="24"/>
          <w:szCs w:val="24"/>
        </w:rPr>
        <w:t>,</w:t>
      </w:r>
      <w:r w:rsidRPr="000A4A0F">
        <w:rPr>
          <w:rFonts w:ascii="Times New Roman" w:hAnsi="Times New Roman" w:cs="Times New Roman"/>
          <w:sz w:val="24"/>
          <w:szCs w:val="24"/>
        </w:rPr>
        <w:t xml:space="preserve"> l’incidence de l’ictère </w:t>
      </w:r>
      <w:r w:rsidR="004651BE" w:rsidRPr="000A4A0F">
        <w:rPr>
          <w:rFonts w:ascii="Times New Roman" w:hAnsi="Times New Roman" w:cs="Times New Roman"/>
          <w:sz w:val="24"/>
          <w:szCs w:val="24"/>
        </w:rPr>
        <w:t>nucléaire est</w:t>
      </w:r>
      <w:r w:rsidRPr="000A4A0F">
        <w:rPr>
          <w:rFonts w:ascii="Times New Roman" w:hAnsi="Times New Roman" w:cs="Times New Roman"/>
          <w:sz w:val="24"/>
          <w:szCs w:val="24"/>
        </w:rPr>
        <w:t xml:space="preserve"> </w:t>
      </w:r>
      <w:r w:rsidR="00B56D6C" w:rsidRPr="000A4A0F">
        <w:rPr>
          <w:rFonts w:ascii="Times New Roman" w:hAnsi="Times New Roman" w:cs="Times New Roman"/>
          <w:sz w:val="24"/>
          <w:szCs w:val="24"/>
        </w:rPr>
        <w:t>estimée 3</w:t>
      </w:r>
      <w:r w:rsidR="004651BE" w:rsidRPr="000A4A0F">
        <w:rPr>
          <w:rFonts w:ascii="Times New Roman" w:hAnsi="Times New Roman" w:cs="Times New Roman"/>
          <w:sz w:val="24"/>
          <w:szCs w:val="24"/>
        </w:rPr>
        <w:t>,5/1000 nouvelles naissances</w:t>
      </w:r>
      <w:r w:rsidR="00B56D6C" w:rsidRPr="000A4A0F">
        <w:rPr>
          <w:rFonts w:ascii="Times New Roman" w:hAnsi="Times New Roman" w:cs="Times New Roman"/>
          <w:sz w:val="24"/>
          <w:szCs w:val="24"/>
        </w:rPr>
        <w:t>.</w:t>
      </w:r>
      <w:r w:rsidR="004651BE"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DOI":"10.1136/adc.2006.105361","author":[{"dropping-particle":"","family":"Manning","given":"Donal","non-dropping-particle":"","parse-names":false,"suffix":""},{"dropping-particle":"","family":"Todd","given":"Peter","non-dropping-particle":"","parse-names":false,"suffix":""},{"dropping-particle":"","family":"Maxwell","given":"Melanie","non-dropping-particle":"","parse-names":false,"suffix":""},{"dropping-particle":"","family":"Platt","given":"Mary Jane","non-dropping-particle":"","parse-names":false,"suffix":""}],"id":"ITEM-1","issued":{"date-parts":[["2007"]]},"page":"342-346","title":"Prospective surveillance study of severe hyperbilirubinaemia in the newborn in the UK and Ireland","type":"article-journal"},"uris":["http://www.mendeley.com/documents/?uuid=b6e2dcca-6e35-4c09-b845-dac61da757c0","http://www.mendeley.com/documents/?uuid=0197cbf8-525e-4d7d-97ea-ea25d050e672"]}],"mendeley":{"formattedCitation":"(6)","plainTextFormattedCitation":"(6)","previouslyFormattedCitation":"(6)"},"properties":{"noteIndex":0},"schema":"https://github.com/citation-style-language/schema/raw/master/csl-citation.json"}</w:instrText>
      </w:r>
      <w:r w:rsidR="004651BE" w:rsidRPr="000A4A0F">
        <w:rPr>
          <w:rFonts w:ascii="Times New Roman" w:hAnsi="Times New Roman" w:cs="Times New Roman"/>
          <w:sz w:val="24"/>
          <w:szCs w:val="24"/>
        </w:rPr>
        <w:fldChar w:fldCharType="separate"/>
      </w:r>
      <w:r w:rsidR="004651BE" w:rsidRPr="000A4A0F">
        <w:rPr>
          <w:rFonts w:ascii="Times New Roman" w:hAnsi="Times New Roman" w:cs="Times New Roman"/>
          <w:noProof/>
          <w:sz w:val="24"/>
          <w:szCs w:val="24"/>
        </w:rPr>
        <w:t>(6)</w:t>
      </w:r>
      <w:r w:rsidR="004651BE" w:rsidRPr="000A4A0F">
        <w:rPr>
          <w:rFonts w:ascii="Times New Roman" w:hAnsi="Times New Roman" w:cs="Times New Roman"/>
          <w:sz w:val="24"/>
          <w:szCs w:val="24"/>
        </w:rPr>
        <w:fldChar w:fldCharType="end"/>
      </w:r>
    </w:p>
    <w:p w14:paraId="77B994A7" w14:textId="587693A9" w:rsidR="00B56D6C" w:rsidRPr="000A4A0F" w:rsidRDefault="00B56D6C"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En Grande-</w:t>
      </w:r>
      <w:proofErr w:type="gramStart"/>
      <w:r w:rsidRPr="000A4A0F">
        <w:rPr>
          <w:rFonts w:ascii="Times New Roman" w:hAnsi="Times New Roman" w:cs="Times New Roman"/>
          <w:sz w:val="24"/>
          <w:szCs w:val="24"/>
        </w:rPr>
        <w:t xml:space="preserve">Bretagne </w:t>
      </w:r>
      <w:r w:rsidR="00537D00" w:rsidRPr="00537D00">
        <w:rPr>
          <w:rFonts w:ascii="Times New Roman" w:hAnsi="Times New Roman" w:cs="Times New Roman"/>
          <w:color w:val="FF0000"/>
          <w:sz w:val="24"/>
          <w:szCs w:val="24"/>
        </w:rPr>
        <w:t>,</w:t>
      </w:r>
      <w:proofErr w:type="gramEnd"/>
      <w:r w:rsidR="00537D00" w:rsidRPr="000A4A0F">
        <w:rPr>
          <w:rFonts w:ascii="Times New Roman" w:hAnsi="Times New Roman" w:cs="Times New Roman"/>
          <w:sz w:val="24"/>
          <w:szCs w:val="24"/>
        </w:rPr>
        <w:t xml:space="preserve"> </w:t>
      </w:r>
      <w:r w:rsidRPr="000A4A0F">
        <w:rPr>
          <w:rFonts w:ascii="Times New Roman" w:hAnsi="Times New Roman" w:cs="Times New Roman"/>
          <w:sz w:val="24"/>
          <w:szCs w:val="24"/>
        </w:rPr>
        <w:t xml:space="preserve">une incidence de 7,1/100 000 cas d’hyper bilirubinémie </w:t>
      </w:r>
      <w:r w:rsidR="004651BE" w:rsidRPr="000A4A0F">
        <w:rPr>
          <w:rFonts w:ascii="Times New Roman" w:hAnsi="Times New Roman" w:cs="Times New Roman"/>
          <w:sz w:val="24"/>
          <w:szCs w:val="24"/>
        </w:rPr>
        <w:t>libre 300 mg/l est rapportée</w:t>
      </w:r>
      <w:r w:rsidRPr="000A4A0F">
        <w:rPr>
          <w:rFonts w:ascii="Times New Roman" w:hAnsi="Times New Roman" w:cs="Times New Roman"/>
          <w:sz w:val="24"/>
          <w:szCs w:val="24"/>
        </w:rPr>
        <w:t xml:space="preserve">. </w:t>
      </w:r>
    </w:p>
    <w:p w14:paraId="2588C9AC" w14:textId="580BB0DB" w:rsidR="00B56D6C" w:rsidRPr="000A4A0F" w:rsidRDefault="00B56D6C"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Au </w:t>
      </w:r>
      <w:r w:rsidR="004651BE" w:rsidRPr="000A4A0F">
        <w:rPr>
          <w:rFonts w:ascii="Times New Roman" w:hAnsi="Times New Roman" w:cs="Times New Roman"/>
          <w:sz w:val="24"/>
          <w:szCs w:val="24"/>
        </w:rPr>
        <w:t xml:space="preserve">Danemark </w:t>
      </w:r>
      <w:r w:rsidR="00537D00" w:rsidRPr="00537D00">
        <w:rPr>
          <w:rFonts w:ascii="Times New Roman" w:hAnsi="Times New Roman" w:cs="Times New Roman"/>
          <w:color w:val="FF0000"/>
          <w:sz w:val="24"/>
          <w:szCs w:val="24"/>
        </w:rPr>
        <w:t>,</w:t>
      </w:r>
      <w:r w:rsidR="00537D00" w:rsidRPr="000A4A0F">
        <w:rPr>
          <w:rFonts w:ascii="Times New Roman" w:hAnsi="Times New Roman" w:cs="Times New Roman"/>
          <w:sz w:val="24"/>
          <w:szCs w:val="24"/>
        </w:rPr>
        <w:t xml:space="preserve"> </w:t>
      </w:r>
      <w:r w:rsidR="004651BE" w:rsidRPr="000A4A0F">
        <w:rPr>
          <w:rFonts w:ascii="Times New Roman" w:hAnsi="Times New Roman" w:cs="Times New Roman"/>
          <w:sz w:val="24"/>
          <w:szCs w:val="24"/>
        </w:rPr>
        <w:t>une</w:t>
      </w:r>
      <w:r w:rsidRPr="000A4A0F">
        <w:rPr>
          <w:rFonts w:ascii="Times New Roman" w:hAnsi="Times New Roman" w:cs="Times New Roman"/>
          <w:sz w:val="24"/>
          <w:szCs w:val="24"/>
        </w:rPr>
        <w:t xml:space="preserve"> incidence de 45/100 000 est re</w:t>
      </w:r>
      <w:r w:rsidR="00763B0F" w:rsidRPr="000A4A0F">
        <w:rPr>
          <w:rFonts w:ascii="Times New Roman" w:hAnsi="Times New Roman" w:cs="Times New Roman"/>
          <w:sz w:val="24"/>
          <w:szCs w:val="24"/>
        </w:rPr>
        <w:t>trouvé pour les nouveau-nés (NN</w:t>
      </w:r>
      <w:r w:rsidRPr="000A4A0F">
        <w:rPr>
          <w:rFonts w:ascii="Times New Roman" w:hAnsi="Times New Roman" w:cs="Times New Roman"/>
          <w:sz w:val="24"/>
          <w:szCs w:val="24"/>
        </w:rPr>
        <w:t>) présentant un taux de</w:t>
      </w:r>
      <w:r w:rsidR="004651BE" w:rsidRPr="000A4A0F">
        <w:rPr>
          <w:rFonts w:ascii="Times New Roman" w:hAnsi="Times New Roman" w:cs="Times New Roman"/>
          <w:sz w:val="24"/>
          <w:szCs w:val="24"/>
        </w:rPr>
        <w:t xml:space="preserve"> bilirubine totale 260 mg/l. </w:t>
      </w:r>
      <w:r w:rsidR="004651BE"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{"citationItems":[{"id":"ITEM-1","itemData":{"DOI":"10.1111/j.1651-2227.2008.00879.x","author":[{"dropping-particle":"","family":"Bjerre","given":"Jesper Vandborg","non-dropping-particle":"","parse-names":false,"suffix":""},{"dropping-particle":"","family":"Petersen","given":"Jes Reinholdt","non-dropping-particle":"","parse-names":false,"suffix":""},{"dropping-particle":"","family":"Ebbesen","given":"Finn","non-dropping-particle":"","parse-names":false,"suffix":""}],"id":"ITEM-1","issued":{"date-parts":[["2008"]]},"page":"1030-1034","title":"Surveillance of extreme hyperbilirubinaemia in Denmark . A method to identify the newborn infants","type":"article-journal"},"uris":["http://www.mendeley.com/documents/?uuid=9cbd7f22-7b47-4820-9f03-b3c20f9d36f1","http://www.mendeley.com/documents/?uuid=dd7ec67e-1db4-45c2-abda-1c96f2a99ed3"]}],"mendeley":{"formattedCitation":"(7)","plainTextFormattedCitation":"(7)","previouslyFormattedCitation":"(7)"},"properties":{"noteIndex":0},"schema":"https://github.com/citation-style-language/schema/raw/master/csl-citation.json"}</w:instrText>
      </w:r>
      <w:r w:rsidR="004651BE" w:rsidRPr="000A4A0F">
        <w:rPr>
          <w:rFonts w:ascii="Times New Roman" w:hAnsi="Times New Roman" w:cs="Times New Roman"/>
          <w:sz w:val="24"/>
          <w:szCs w:val="24"/>
        </w:rPr>
        <w:fldChar w:fldCharType="separate"/>
      </w:r>
      <w:r w:rsidR="004651BE" w:rsidRPr="000A4A0F">
        <w:rPr>
          <w:rFonts w:ascii="Times New Roman" w:hAnsi="Times New Roman" w:cs="Times New Roman"/>
          <w:noProof/>
          <w:sz w:val="24"/>
          <w:szCs w:val="24"/>
        </w:rPr>
        <w:t>(7)</w:t>
      </w:r>
      <w:r w:rsidR="004651BE" w:rsidRPr="000A4A0F">
        <w:rPr>
          <w:rFonts w:ascii="Times New Roman" w:hAnsi="Times New Roman" w:cs="Times New Roman"/>
          <w:sz w:val="24"/>
          <w:szCs w:val="24"/>
        </w:rPr>
        <w:fldChar w:fldCharType="end"/>
      </w:r>
    </w:p>
    <w:p w14:paraId="0BADA0D5" w14:textId="105200F9" w:rsidR="00B56D6C" w:rsidRPr="000A4A0F" w:rsidRDefault="00B56D6C"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Dans ces deux études, le taux d’ictère nucléair</w:t>
      </w:r>
      <w:r w:rsidR="00A027B5" w:rsidRPr="000A4A0F">
        <w:rPr>
          <w:rFonts w:ascii="Times New Roman" w:hAnsi="Times New Roman" w:cs="Times New Roman"/>
          <w:sz w:val="24"/>
          <w:szCs w:val="24"/>
        </w:rPr>
        <w:t>e est proche de 1/100 000 NN (6,7</w:t>
      </w:r>
      <w:r w:rsidRPr="000A4A0F">
        <w:rPr>
          <w:rFonts w:ascii="Times New Roman" w:hAnsi="Times New Roman" w:cs="Times New Roman"/>
          <w:sz w:val="24"/>
          <w:szCs w:val="24"/>
        </w:rPr>
        <w:t xml:space="preserve">), </w:t>
      </w:r>
      <w:r w:rsidRPr="00537D00">
        <w:rPr>
          <w:rFonts w:ascii="Times New Roman" w:hAnsi="Times New Roman" w:cs="Times New Roman"/>
          <w:sz w:val="24"/>
          <w:szCs w:val="24"/>
          <w:highlight w:val="yellow"/>
        </w:rPr>
        <w:t>le même chiffre</w:t>
      </w:r>
      <w:r w:rsidRPr="000A4A0F">
        <w:rPr>
          <w:rFonts w:ascii="Times New Roman" w:hAnsi="Times New Roman" w:cs="Times New Roman"/>
          <w:sz w:val="24"/>
          <w:szCs w:val="24"/>
        </w:rPr>
        <w:t xml:space="preserve"> a été recensé aux USA (1/100 000 naissances).</w:t>
      </w:r>
    </w:p>
    <w:p w14:paraId="1EFFBA96" w14:textId="30AEE4FF" w:rsidR="00B56D6C" w:rsidRPr="000A4A0F" w:rsidRDefault="00B56D6C" w:rsidP="000A4A0F">
      <w:pPr>
        <w:pStyle w:val="Sansinterligne"/>
        <w:spacing w:line="360" w:lineRule="auto"/>
        <w:jc w:val="both"/>
        <w:rPr>
          <w:rFonts w:ascii="Times New Roman" w:hAnsi="Times New Roman" w:cs="Times New Roman"/>
          <w:sz w:val="24"/>
          <w:szCs w:val="24"/>
        </w:rPr>
      </w:pPr>
      <w:r w:rsidRPr="00537D00">
        <w:rPr>
          <w:rFonts w:ascii="Times New Roman" w:hAnsi="Times New Roman" w:cs="Times New Roman"/>
          <w:sz w:val="24"/>
          <w:szCs w:val="24"/>
          <w:highlight w:val="yellow"/>
        </w:rPr>
        <w:t>Au Maroc, l’étude du CHU Rabat le retrouve chez plus d'un qua</w:t>
      </w:r>
      <w:r w:rsidR="008778C9" w:rsidRPr="00537D00">
        <w:rPr>
          <w:rFonts w:ascii="Times New Roman" w:hAnsi="Times New Roman" w:cs="Times New Roman"/>
          <w:sz w:val="24"/>
          <w:szCs w:val="24"/>
          <w:highlight w:val="yellow"/>
        </w:rPr>
        <w:t xml:space="preserve">rt des patients hospitalisés </w:t>
      </w:r>
      <w:r w:rsidRPr="00537D00">
        <w:rPr>
          <w:rFonts w:ascii="Times New Roman" w:hAnsi="Times New Roman" w:cs="Times New Roman"/>
          <w:sz w:val="24"/>
          <w:szCs w:val="24"/>
          <w:highlight w:val="yellow"/>
        </w:rPr>
        <w:t xml:space="preserve">, elle est estimée à 8.8 % des hospitalisations pendant 2 ans entre 2002 et 2003 </w:t>
      </w:r>
      <w:r w:rsidR="008778C9" w:rsidRPr="00537D00">
        <w:rPr>
          <w:rFonts w:ascii="Times New Roman" w:hAnsi="Times New Roman" w:cs="Times New Roman"/>
          <w:sz w:val="24"/>
          <w:szCs w:val="24"/>
          <w:highlight w:val="yellow"/>
        </w:rPr>
        <w:t xml:space="preserve">dans le CHU HASSAN II de Fès </w:t>
      </w:r>
      <w:r w:rsidR="008778C9" w:rsidRPr="00537D00">
        <w:rPr>
          <w:rFonts w:ascii="Times New Roman" w:hAnsi="Times New Roman" w:cs="Times New Roman"/>
          <w:sz w:val="24"/>
          <w:szCs w:val="24"/>
          <w:highlight w:val="yellow"/>
        </w:rPr>
        <w:fldChar w:fldCharType="begin" w:fldLock="1"/>
      </w:r>
      <w:r w:rsidR="00EE36B6" w:rsidRPr="00537D00">
        <w:rPr>
          <w:rFonts w:ascii="Times New Roman" w:hAnsi="Times New Roman" w:cs="Times New Roman"/>
          <w:sz w:val="24"/>
          <w:szCs w:val="24"/>
          <w:highlight w:val="yellow"/>
        </w:rPr>
        <w:instrText>ADDIN CSL_CITATION {"citationItems":[{"id":"ITEM-1","itemData":{"DOI":"10.1016/j.clinbiochem.2003.11.010","author":[{"dropping-particle":"","family":"Abolghasemi","given":"Hassan","non-dropping-particle":"","parse-names":false,"suffix":""},{"dropping-particle":"","family":"Mehrani","given":"Hossein","non-dropping-particle":"","parse-names":false,"suffix":""},{"dropping-particle":"","family":"Amid","given":"Ali","non-dropping-particle":"","parse-names":false,"suffix":""}],"id":"ITEM-1","issued":{"date-parts":[["2004"]]},"page":"241-244","title":"An update on the prevalence of glucose-6-phosphate dehydrogenase deficiency and neonatal jaundice in Tehran neonates","type":"article-journal","volume":"37"},"uris":["http://www.mendeley.com/documents/?uuid=11d66bb3-e1f2-4517-b4c5-b82c07aac2bd","http://www.mendeley.com/documents/?uuid=c9b6c9ec-6f18-4af2-98c0-f87b5042a579"]}],"mendeley":{"formattedCitation":"(8)","plainTextFormattedCitation":"(8)","previouslyFormattedCitation":"(8)"},"properties":{"noteIndex":0},"schema":"https://github.com/citation-style-language/schema/raw/master/csl-citation.json"}</w:instrText>
      </w:r>
      <w:r w:rsidR="008778C9" w:rsidRPr="00537D00">
        <w:rPr>
          <w:rFonts w:ascii="Times New Roman" w:hAnsi="Times New Roman" w:cs="Times New Roman"/>
          <w:sz w:val="24"/>
          <w:szCs w:val="24"/>
          <w:highlight w:val="yellow"/>
        </w:rPr>
        <w:fldChar w:fldCharType="separate"/>
      </w:r>
      <w:r w:rsidR="008778C9" w:rsidRPr="00537D00">
        <w:rPr>
          <w:rFonts w:ascii="Times New Roman" w:hAnsi="Times New Roman" w:cs="Times New Roman"/>
          <w:noProof/>
          <w:sz w:val="24"/>
          <w:szCs w:val="24"/>
          <w:highlight w:val="yellow"/>
        </w:rPr>
        <w:t>(8)</w:t>
      </w:r>
      <w:r w:rsidR="008778C9" w:rsidRPr="00537D00">
        <w:rPr>
          <w:rFonts w:ascii="Times New Roman" w:hAnsi="Times New Roman" w:cs="Times New Roman"/>
          <w:sz w:val="24"/>
          <w:szCs w:val="24"/>
          <w:highlight w:val="yellow"/>
        </w:rPr>
        <w:fldChar w:fldCharType="end"/>
      </w:r>
      <w:r w:rsidRPr="00537D00">
        <w:rPr>
          <w:rFonts w:ascii="Times New Roman" w:hAnsi="Times New Roman" w:cs="Times New Roman"/>
          <w:sz w:val="24"/>
          <w:szCs w:val="24"/>
          <w:highlight w:val="yellow"/>
        </w:rPr>
        <w:t xml:space="preserve"> et à 25,2 % des hospitalisations au CHU Mohammed VI de Marrakech entre 2005 et 2006.</w:t>
      </w:r>
      <w:r w:rsidR="008778C9" w:rsidRPr="00537D00">
        <w:rPr>
          <w:rFonts w:ascii="Times New Roman" w:hAnsi="Times New Roman" w:cs="Times New Roman"/>
          <w:sz w:val="24"/>
          <w:szCs w:val="24"/>
          <w:highlight w:val="yellow"/>
        </w:rPr>
        <w:fldChar w:fldCharType="begin" w:fldLock="1"/>
      </w:r>
      <w:r w:rsidR="00EE36B6" w:rsidRPr="00537D00">
        <w:rPr>
          <w:rFonts w:ascii="Times New Roman" w:hAnsi="Times New Roman" w:cs="Times New Roman"/>
          <w:sz w:val="24"/>
          <w:szCs w:val="24"/>
          <w:highlight w:val="yellow"/>
        </w:rPr>
        <w:instrText>ADDIN CSL_CITATION {"citationItems":[{"id":"ITEM-1","itemData":{"DOI":"10.1016/j.clinbiochem.2003.11.010","author":[{"dropping-particle":"","family":"Abolghasemi","given":"Hassan","non-dropping-particle":"","parse-names":false,"suffix":""},{"dropping-particle":"","family":"Mehrani","given":"Hossein","non-dropping-particle":"","parse-names":false,"suffix":""},{"dropping-particle":"","family":"Amid","given":"Ali","non-dropping-particle":"","parse-names":false,"suffix":""}],"id":"ITEM-1","issued":{"date-parts":[["2004"]]},"page":"241-244","title":"An update on the prevalence of glucose-6-phosphate dehydrogenase deficiency and neonatal jaundice in Tehran neonates","type":"article-journal","volume":"37"},"uris":["http://www.mendeley.com/documents/?uuid=c9b6c9ec-6f18-4af2-98c0-f87b5042a579","http://www.mendeley.com/documents/?uuid=11d66bb3-e1f2-4517-b4c5-b82c07aac2bd"]}],"mendeley":{"formattedCitation":"(8)","plainTextFormattedCitation":"(8)","previouslyFormattedCitation":"(8)"},"properties":{"noteIndex":0},"schema":"https://github.com/citation-style-language/schema/raw/master/csl-citation.json"}</w:instrText>
      </w:r>
      <w:r w:rsidR="008778C9" w:rsidRPr="00537D00">
        <w:rPr>
          <w:rFonts w:ascii="Times New Roman" w:hAnsi="Times New Roman" w:cs="Times New Roman"/>
          <w:sz w:val="24"/>
          <w:szCs w:val="24"/>
          <w:highlight w:val="yellow"/>
        </w:rPr>
        <w:fldChar w:fldCharType="separate"/>
      </w:r>
      <w:r w:rsidR="008778C9" w:rsidRPr="00537D00">
        <w:rPr>
          <w:rFonts w:ascii="Times New Roman" w:hAnsi="Times New Roman" w:cs="Times New Roman"/>
          <w:noProof/>
          <w:sz w:val="24"/>
          <w:szCs w:val="24"/>
          <w:highlight w:val="yellow"/>
        </w:rPr>
        <w:t>(8)</w:t>
      </w:r>
      <w:r w:rsidR="008778C9" w:rsidRPr="00537D00">
        <w:rPr>
          <w:rFonts w:ascii="Times New Roman" w:hAnsi="Times New Roman" w:cs="Times New Roman"/>
          <w:sz w:val="24"/>
          <w:szCs w:val="24"/>
          <w:highlight w:val="yellow"/>
        </w:rPr>
        <w:fldChar w:fldCharType="end"/>
      </w:r>
    </w:p>
    <w:p w14:paraId="53A5D09A" w14:textId="044D52F3" w:rsidR="00B56D6C" w:rsidRPr="000A4A0F" w:rsidRDefault="00B56D6C" w:rsidP="000A4A0F">
      <w:pPr>
        <w:pStyle w:val="Sansinterligne"/>
        <w:spacing w:line="360" w:lineRule="auto"/>
        <w:jc w:val="both"/>
        <w:rPr>
          <w:rFonts w:ascii="Times New Roman" w:hAnsi="Times New Roman" w:cs="Times New Roman"/>
          <w:sz w:val="24"/>
          <w:szCs w:val="24"/>
        </w:rPr>
      </w:pPr>
      <w:r w:rsidRPr="00537D00">
        <w:rPr>
          <w:rFonts w:ascii="Times New Roman" w:hAnsi="Times New Roman" w:cs="Times New Roman"/>
          <w:sz w:val="24"/>
          <w:szCs w:val="24"/>
          <w:highlight w:val="yellow"/>
        </w:rPr>
        <w:t>En RD Congo En RDC</w:t>
      </w:r>
      <w:r w:rsidRPr="000A4A0F">
        <w:rPr>
          <w:rFonts w:ascii="Times New Roman" w:hAnsi="Times New Roman" w:cs="Times New Roman"/>
          <w:sz w:val="24"/>
          <w:szCs w:val="24"/>
        </w:rPr>
        <w:t>, les études réalisée</w:t>
      </w:r>
      <w:r w:rsidR="00B70D83" w:rsidRPr="000A4A0F">
        <w:rPr>
          <w:rFonts w:ascii="Times New Roman" w:hAnsi="Times New Roman" w:cs="Times New Roman"/>
          <w:sz w:val="24"/>
          <w:szCs w:val="24"/>
        </w:rPr>
        <w:t xml:space="preserve">s respectivement à </w:t>
      </w:r>
      <w:proofErr w:type="spellStart"/>
      <w:r w:rsidR="00B70D83" w:rsidRPr="000A4A0F">
        <w:rPr>
          <w:rFonts w:ascii="Times New Roman" w:hAnsi="Times New Roman" w:cs="Times New Roman"/>
          <w:sz w:val="24"/>
          <w:szCs w:val="24"/>
        </w:rPr>
        <w:t>Mbuji</w:t>
      </w:r>
      <w:proofErr w:type="spellEnd"/>
      <w:r w:rsidR="00B70D83" w:rsidRPr="000A4A0F">
        <w:rPr>
          <w:rFonts w:ascii="Times New Roman" w:hAnsi="Times New Roman" w:cs="Times New Roman"/>
          <w:sz w:val="24"/>
          <w:szCs w:val="24"/>
        </w:rPr>
        <w:t xml:space="preserve"> </w:t>
      </w:r>
      <w:r w:rsidR="008778C9" w:rsidRPr="000A4A0F">
        <w:rPr>
          <w:rFonts w:ascii="Times New Roman" w:hAnsi="Times New Roman" w:cs="Times New Roman"/>
          <w:sz w:val="24"/>
          <w:szCs w:val="24"/>
        </w:rPr>
        <w:t>Mayi</w:t>
      </w:r>
      <w:r w:rsidR="00A027B5" w:rsidRPr="000A4A0F">
        <w:rPr>
          <w:rFonts w:ascii="Times New Roman" w:hAnsi="Times New Roman" w:cs="Times New Roman"/>
          <w:sz w:val="24"/>
          <w:szCs w:val="24"/>
        </w:rPr>
        <w:t xml:space="preserve"> et au Nord K</w:t>
      </w:r>
      <w:r w:rsidR="008778C9" w:rsidRPr="000A4A0F">
        <w:rPr>
          <w:rFonts w:ascii="Times New Roman" w:hAnsi="Times New Roman" w:cs="Times New Roman"/>
          <w:sz w:val="24"/>
          <w:szCs w:val="24"/>
        </w:rPr>
        <w:t xml:space="preserve">ivu </w:t>
      </w:r>
      <w:r w:rsidRPr="000A4A0F">
        <w:rPr>
          <w:rFonts w:ascii="Times New Roman" w:hAnsi="Times New Roman" w:cs="Times New Roman"/>
          <w:sz w:val="24"/>
          <w:szCs w:val="24"/>
        </w:rPr>
        <w:t xml:space="preserve">avaient trouvé </w:t>
      </w:r>
      <w:r w:rsidRPr="00537D00">
        <w:rPr>
          <w:rFonts w:ascii="Times New Roman" w:hAnsi="Times New Roman" w:cs="Times New Roman"/>
          <w:sz w:val="24"/>
          <w:szCs w:val="24"/>
          <w:highlight w:val="yellow"/>
        </w:rPr>
        <w:t>une prévalence</w:t>
      </w:r>
      <w:r w:rsidRPr="000A4A0F">
        <w:rPr>
          <w:rFonts w:ascii="Times New Roman" w:hAnsi="Times New Roman" w:cs="Times New Roman"/>
          <w:sz w:val="24"/>
          <w:szCs w:val="24"/>
        </w:rPr>
        <w:t xml:space="preserve"> de 4.9% et 9.6%.</w:t>
      </w:r>
      <w:r w:rsidR="008778C9"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{"citationItems":[{"id":"ITEM-1","itemData":{"author":[{"dropping-particle":"","family":"Mashako","given":"Many R","non-dropping-particle":"","parse-names":false,"suffix":""},{"dropping-particle":"","family":"Mashako","given":"Yves K","non-dropping-particle":"","parse-names":false,"suffix":""},{"dropping-particle":"","family":"Kabamba","given":"","non-dropping-particle":"","parse-names":false,"suffix":""}],"id":"ITEM-1","issue":"2","issued":{"date-parts":[["2018"]]},"page":"2918-2925","title":"Clinical profile and determinants for nuclear jaundice in newborns at North-Kivu provincial hospital in Democratic Republic of Congo","type":"article-journal","volume":"11"},"uris":["http://www.mendeley.com/documents/?uuid=c3c2e256-4c0d-45f4-bceb-1608f7efd67a","http://www.mendeley.com/documents/?uuid=5abf4eb6-a7e6-432f-b3f6-de365b35e585"]}],"mendeley":{"formattedCitation":"(9)","plainTextFormattedCitation":"(9)","previouslyFormattedCitation":"(9)"},"properties":{"noteIndex":0},"schema":"https://github.com/citation-style-language/schema/raw/master/csl-citation.json"}</w:instrText>
      </w:r>
      <w:r w:rsidR="008778C9" w:rsidRPr="000A4A0F">
        <w:rPr>
          <w:rFonts w:ascii="Times New Roman" w:hAnsi="Times New Roman" w:cs="Times New Roman"/>
          <w:sz w:val="24"/>
          <w:szCs w:val="24"/>
        </w:rPr>
        <w:fldChar w:fldCharType="separate"/>
      </w:r>
      <w:r w:rsidR="008778C9" w:rsidRPr="000A4A0F">
        <w:rPr>
          <w:rFonts w:ascii="Times New Roman" w:hAnsi="Times New Roman" w:cs="Times New Roman"/>
          <w:noProof/>
          <w:sz w:val="24"/>
          <w:szCs w:val="24"/>
        </w:rPr>
        <w:t>(9)</w:t>
      </w:r>
      <w:r w:rsidR="008778C9" w:rsidRPr="000A4A0F">
        <w:rPr>
          <w:rFonts w:ascii="Times New Roman" w:hAnsi="Times New Roman" w:cs="Times New Roman"/>
          <w:sz w:val="24"/>
          <w:szCs w:val="24"/>
        </w:rPr>
        <w:fldChar w:fldCharType="end"/>
      </w:r>
      <w:r w:rsidR="008778C9"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{"citationItems":[{"id":"ITEM-1","itemData":{"DOI":"10.11604/pamj.2014.19.302.5658","author":[{"dropping-particle":"","family":"Mutombo","given":"Junior Dibwe","non-dropping-particle":"","parse-names":false,"suffix":""},{"dropping-particle":"","family":"Kabuya","given":"Maguy Sangaji","non-dropping-particle":"","parse-names":false,"suffix":""},{"dropping-particle":"","family":"Kayembe","given":"Celestin Mukoko","non-dropping-particle":"","parse-names":false,"suffix":""},{"dropping-particle":"","family":"Luboya","given":"Oscar Numbi","non-dropping-particle":"","parse-names":false,"suffix":""}],"id":"ITEM-1","issued":{"date-parts":[["2014"]]},"page":"1-8","title":"Case series","type":"article-journal","volume":"8688"},"uris":["http://www.mendeley.com/documents/?uuid=b5a613f0-b4de-4a8e-ac7f-370536dff72a","http://www.mendeley.com/documents/?uuid=34933792-359e-4932-890f-161e2e40f63b"]}],"mendeley":{"formattedCitation":"(10)","plainTextFormattedCitation":"(10)","previouslyFormattedCitation":"(10)"},"properties":{"noteIndex":0},"schema":"https://github.com/citation-style-language/schema/raw/master/csl-citation.json"}</w:instrText>
      </w:r>
      <w:r w:rsidR="008778C9" w:rsidRPr="000A4A0F">
        <w:rPr>
          <w:rFonts w:ascii="Times New Roman" w:hAnsi="Times New Roman" w:cs="Times New Roman"/>
          <w:sz w:val="24"/>
          <w:szCs w:val="24"/>
        </w:rPr>
        <w:fldChar w:fldCharType="separate"/>
      </w:r>
      <w:r w:rsidR="008778C9" w:rsidRPr="000A4A0F">
        <w:rPr>
          <w:rFonts w:ascii="Times New Roman" w:hAnsi="Times New Roman" w:cs="Times New Roman"/>
          <w:noProof/>
          <w:sz w:val="24"/>
          <w:szCs w:val="24"/>
        </w:rPr>
        <w:t>(10)</w:t>
      </w:r>
      <w:r w:rsidR="008778C9" w:rsidRPr="000A4A0F">
        <w:rPr>
          <w:rFonts w:ascii="Times New Roman" w:hAnsi="Times New Roman" w:cs="Times New Roman"/>
          <w:sz w:val="24"/>
          <w:szCs w:val="24"/>
        </w:rPr>
        <w:fldChar w:fldCharType="end"/>
      </w:r>
    </w:p>
    <w:p w14:paraId="1B40820F" w14:textId="3C5DF72C" w:rsidR="00B56D6C" w:rsidRPr="000A4A0F" w:rsidRDefault="00B56D6C"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Les facteurs de risque </w:t>
      </w:r>
      <w:r w:rsidR="00B70D83" w:rsidRPr="000A4A0F">
        <w:rPr>
          <w:rFonts w:ascii="Times New Roman" w:hAnsi="Times New Roman" w:cs="Times New Roman"/>
          <w:sz w:val="24"/>
          <w:szCs w:val="24"/>
        </w:rPr>
        <w:t xml:space="preserve">de présenter une </w:t>
      </w:r>
      <w:proofErr w:type="spellStart"/>
      <w:r w:rsidR="00B70D83" w:rsidRPr="000A4A0F">
        <w:rPr>
          <w:rFonts w:ascii="Times New Roman" w:hAnsi="Times New Roman" w:cs="Times New Roman"/>
          <w:sz w:val="24"/>
          <w:szCs w:val="24"/>
        </w:rPr>
        <w:t>hyperbiluribiné</w:t>
      </w:r>
      <w:r w:rsidRPr="000A4A0F">
        <w:rPr>
          <w:rFonts w:ascii="Times New Roman" w:hAnsi="Times New Roman" w:cs="Times New Roman"/>
          <w:sz w:val="24"/>
          <w:szCs w:val="24"/>
        </w:rPr>
        <w:t>mie</w:t>
      </w:r>
      <w:proofErr w:type="spellEnd"/>
      <w:r w:rsidRPr="000A4A0F">
        <w:rPr>
          <w:rFonts w:ascii="Times New Roman" w:hAnsi="Times New Roman" w:cs="Times New Roman"/>
          <w:sz w:val="24"/>
          <w:szCs w:val="24"/>
        </w:rPr>
        <w:t xml:space="preserve"> grave et de développer un ictère nucléaire </w:t>
      </w:r>
      <w:r w:rsidR="008778C9" w:rsidRPr="000A4A0F">
        <w:rPr>
          <w:rFonts w:ascii="Times New Roman" w:hAnsi="Times New Roman" w:cs="Times New Roman"/>
          <w:sz w:val="24"/>
          <w:szCs w:val="24"/>
        </w:rPr>
        <w:t>sont :</w:t>
      </w:r>
      <w:r w:rsidRPr="000A4A0F">
        <w:rPr>
          <w:rFonts w:ascii="Times New Roman" w:hAnsi="Times New Roman" w:cs="Times New Roman"/>
          <w:sz w:val="24"/>
          <w:szCs w:val="24"/>
        </w:rPr>
        <w:t xml:space="preserve"> les incompatibilités dans le système ABO ou Rhésus, les </w:t>
      </w:r>
      <w:r w:rsidR="008778C9" w:rsidRPr="000A4A0F">
        <w:rPr>
          <w:rFonts w:ascii="Times New Roman" w:hAnsi="Times New Roman" w:cs="Times New Roman"/>
          <w:sz w:val="24"/>
          <w:szCs w:val="24"/>
        </w:rPr>
        <w:t>déficits enzymatiques</w:t>
      </w:r>
      <w:r w:rsidRPr="000A4A0F">
        <w:rPr>
          <w:rFonts w:ascii="Times New Roman" w:hAnsi="Times New Roman" w:cs="Times New Roman"/>
          <w:sz w:val="24"/>
          <w:szCs w:val="24"/>
        </w:rPr>
        <w:t xml:space="preserve"> (</w:t>
      </w:r>
      <w:r w:rsidR="008778C9" w:rsidRPr="000A4A0F">
        <w:rPr>
          <w:rFonts w:ascii="Times New Roman" w:hAnsi="Times New Roman" w:cs="Times New Roman"/>
          <w:sz w:val="24"/>
          <w:szCs w:val="24"/>
        </w:rPr>
        <w:t>Exemple :</w:t>
      </w:r>
      <w:r w:rsidRPr="000A4A0F">
        <w:rPr>
          <w:rFonts w:ascii="Times New Roman" w:hAnsi="Times New Roman" w:cs="Times New Roman"/>
          <w:sz w:val="24"/>
          <w:szCs w:val="24"/>
        </w:rPr>
        <w:t xml:space="preserve"> déficits en glucose-6-p</w:t>
      </w:r>
      <w:r w:rsidR="00EA4D1C" w:rsidRPr="000A4A0F">
        <w:rPr>
          <w:rFonts w:ascii="Times New Roman" w:hAnsi="Times New Roman" w:cs="Times New Roman"/>
          <w:sz w:val="24"/>
          <w:szCs w:val="24"/>
        </w:rPr>
        <w:t>hosphate déshydrogénases (G6PD)</w:t>
      </w:r>
      <w:r w:rsidRPr="000A4A0F">
        <w:rPr>
          <w:rFonts w:ascii="Times New Roman" w:hAnsi="Times New Roman" w:cs="Times New Roman"/>
          <w:sz w:val="24"/>
          <w:szCs w:val="24"/>
        </w:rPr>
        <w:t>, les infections, les troubles endocriniens, etc.</w:t>
      </w:r>
    </w:p>
    <w:p w14:paraId="14CA3253" w14:textId="4FEC0F0A" w:rsidR="00B56D6C" w:rsidRPr="000A4A0F" w:rsidRDefault="00B56D6C"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lastRenderedPageBreak/>
        <w:t>La prématurité, une alimentation insuf</w:t>
      </w:r>
      <w:r w:rsidR="00B70D83" w:rsidRPr="000A4A0F">
        <w:rPr>
          <w:rFonts w:ascii="Times New Roman" w:hAnsi="Times New Roman" w:cs="Times New Roman"/>
          <w:sz w:val="24"/>
          <w:szCs w:val="24"/>
        </w:rPr>
        <w:t>fisante, la déshydratation ont été associées à un risque élevé de la neurotoxicité</w:t>
      </w:r>
      <w:r w:rsidRPr="000A4A0F">
        <w:rPr>
          <w:rFonts w:ascii="Times New Roman" w:hAnsi="Times New Roman" w:cs="Times New Roman"/>
          <w:sz w:val="24"/>
          <w:szCs w:val="24"/>
        </w:rPr>
        <w:t xml:space="preserve"> liée à l’hyper bilirubinémie non conjuguée et pouvaient entrainer une encéphalopathie </w:t>
      </w:r>
      <w:proofErr w:type="spellStart"/>
      <w:r w:rsidRPr="000A4A0F">
        <w:rPr>
          <w:rFonts w:ascii="Times New Roman" w:hAnsi="Times New Roman" w:cs="Times New Roman"/>
          <w:sz w:val="24"/>
          <w:szCs w:val="24"/>
        </w:rPr>
        <w:t>hyperbilirubinique</w:t>
      </w:r>
      <w:proofErr w:type="spellEnd"/>
      <w:r w:rsidRPr="000A4A0F">
        <w:rPr>
          <w:rFonts w:ascii="Times New Roman" w:hAnsi="Times New Roman" w:cs="Times New Roman"/>
          <w:sz w:val="24"/>
          <w:szCs w:val="24"/>
        </w:rPr>
        <w:t xml:space="preserve"> (EHB) entrainant une neuropathie auditive, une paralysie cérébra</w:t>
      </w:r>
      <w:r w:rsidR="00B70D83" w:rsidRPr="000A4A0F">
        <w:rPr>
          <w:rFonts w:ascii="Times New Roman" w:hAnsi="Times New Roman" w:cs="Times New Roman"/>
          <w:sz w:val="24"/>
          <w:szCs w:val="24"/>
        </w:rPr>
        <w:t xml:space="preserve">le, une </w:t>
      </w:r>
      <w:proofErr w:type="spellStart"/>
      <w:r w:rsidR="00B70D83" w:rsidRPr="000A4A0F">
        <w:rPr>
          <w:rFonts w:ascii="Times New Roman" w:hAnsi="Times New Roman" w:cs="Times New Roman"/>
          <w:sz w:val="24"/>
          <w:szCs w:val="24"/>
        </w:rPr>
        <w:t>nephrotoxicité</w:t>
      </w:r>
      <w:proofErr w:type="spellEnd"/>
      <w:r w:rsidRPr="000A4A0F">
        <w:rPr>
          <w:rFonts w:ascii="Times New Roman" w:hAnsi="Times New Roman" w:cs="Times New Roman"/>
          <w:sz w:val="24"/>
          <w:szCs w:val="24"/>
        </w:rPr>
        <w:t>.</w:t>
      </w:r>
      <w:r w:rsidR="008778C9"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{"citationItems":[{"id":"ITEM-1","itemData":{"author":[{"dropping-particle":"","family":"Hadj","given":"Imen Bel","non-dropping-particle":"","parse-names":false,"suffix":""},{"dropping-particle":"","family":"Boukhris","given":"Riadh","non-dropping-particle":"","parse-names":false,"suffix":""},{"dropping-particle":"","family":"Khalsi","given":"Fatma","non-dropping-particle":"","parse-names":false,"suffix":""},{"dropping-particle":"","family":"Namouchi","given":"Manel","non-dropping-particle":"","parse-names":false,"suffix":""},{"dropping-particle":"","family":"Bougmiza","given":"Iheb","non-dropping-particle":"","parse-names":false,"suffix":""},{"dropping-particle":"","family":"Tinsa","given":"Faten","non-dropping-particle":"","parse-names":false,"suffix":""},{"dropping-particle":"","family":"Hamouda","given":"Samia","non-dropping-particle":"","parse-names":false,"suffix":""}],"id":"ITEM-1","issue":"03","issued":{"date-parts":[["2014"]]},"page":"455-460","title":"ARTICLE ORIGINAL ABO hemolytic disease of newborn : Does newborn ’ s blood group a risk factor Ictère hémolytique par incompatibilité ABO : Le type du groupe sanguin du nouveau-né constitue-t-il un facteur de risque ?","type":"article-journal","volume":"97"},"uris":["http://www.mendeley.com/documents/?uuid=19128a71-d092-40c2-8c2a-7e74b65dd133","http://www.mendeley.com/documents/?uuid=7e33a933-cc6c-4029-98a7-26a4aa7fd694"]}],"mendeley":{"formattedCitation":"(11)","plainTextFormattedCitation":"(11)","previouslyFormattedCitation":"(11)"},"properties":{"noteIndex":0},"schema":"https://github.com/citation-style-language/schema/raw/master/csl-citation.json"}</w:instrText>
      </w:r>
      <w:r w:rsidR="008778C9" w:rsidRPr="000A4A0F">
        <w:rPr>
          <w:rFonts w:ascii="Times New Roman" w:hAnsi="Times New Roman" w:cs="Times New Roman"/>
          <w:sz w:val="24"/>
          <w:szCs w:val="24"/>
        </w:rPr>
        <w:fldChar w:fldCharType="separate"/>
      </w:r>
      <w:r w:rsidR="008778C9" w:rsidRPr="000A4A0F">
        <w:rPr>
          <w:rFonts w:ascii="Times New Roman" w:hAnsi="Times New Roman" w:cs="Times New Roman"/>
          <w:noProof/>
          <w:sz w:val="24"/>
          <w:szCs w:val="24"/>
        </w:rPr>
        <w:t>(11)</w:t>
      </w:r>
      <w:r w:rsidR="008778C9" w:rsidRPr="000A4A0F">
        <w:rPr>
          <w:rFonts w:ascii="Times New Roman" w:hAnsi="Times New Roman" w:cs="Times New Roman"/>
          <w:sz w:val="24"/>
          <w:szCs w:val="24"/>
        </w:rPr>
        <w:fldChar w:fldCharType="end"/>
      </w:r>
      <w:r w:rsidR="008778C9"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{"citationItems":[{"id":"ITEM-1","itemData":{"DOI":"10.1038/jp.2012.71","ISSN":"0743-8346","author":[{"dropping-particle":"","family":"Maisels","given":"M J","non-dropping-particle":"","parse-names":false,"suffix":""},{"dropping-particle":"","family":"Watchko","given":"J F","non-dropping-particle":"","parse-names":false,"suffix":""},{"dropping-particle":"","family":"Bhutani","given":"V K","non-dropping-particle":"","parse-names":false,"suffix":""},{"dropping-particle":"","family":"Stevenson","given":"D K","non-dropping-particle":"","parse-names":false,"suffix":""}],"container-title":"Journal of Perinatology","id":"ITEM-1","issue":"June","issued":{"date-parts":[["2012"]]},"page":"660-664","publisher":"Nature Publishing Group","title":"An approach to the management of hyperbilirubinemia in the preterm infant less than 35 weeks of gestation","type":"article-journal"},"uris":["http://www.mendeley.com/documents/?uuid=d1bcb691-ed90-45f8-bd8a-19b68148d2c2","http://www.mendeley.com/documents/?uuid=1ef52658-cb34-46a8-9b48-85342e94c13c"]}],"mendeley":{"formattedCitation":"(12)","plainTextFormattedCitation":"(12)","previouslyFormattedCitation":"(12)"},"properties":{"noteIndex":0},"schema":"https://github.com/citation-style-language/schema/raw/master/csl-citation.json"}</w:instrText>
      </w:r>
      <w:r w:rsidR="008778C9" w:rsidRPr="000A4A0F">
        <w:rPr>
          <w:rFonts w:ascii="Times New Roman" w:hAnsi="Times New Roman" w:cs="Times New Roman"/>
          <w:sz w:val="24"/>
          <w:szCs w:val="24"/>
        </w:rPr>
        <w:fldChar w:fldCharType="separate"/>
      </w:r>
      <w:r w:rsidR="008778C9" w:rsidRPr="000A4A0F">
        <w:rPr>
          <w:rFonts w:ascii="Times New Roman" w:hAnsi="Times New Roman" w:cs="Times New Roman"/>
          <w:noProof/>
          <w:sz w:val="24"/>
          <w:szCs w:val="24"/>
        </w:rPr>
        <w:t>(12)</w:t>
      </w:r>
      <w:r w:rsidR="008778C9" w:rsidRPr="000A4A0F">
        <w:rPr>
          <w:rFonts w:ascii="Times New Roman" w:hAnsi="Times New Roman" w:cs="Times New Roman"/>
          <w:sz w:val="24"/>
          <w:szCs w:val="24"/>
        </w:rPr>
        <w:fldChar w:fldCharType="end"/>
      </w:r>
      <w:r w:rsidR="008778C9"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{"citationItems":[{"id":"ITEM-1","itemData":{"DOI":"10.1038/pr.2013.208","author":[{"dropping-particle":"","family":"Mori","given":"Rintaro","non-dropping-particle":"","parse-names":false,"suffix":""},{"dropping-particle":"","family":"Slusher","given":"Tina M","non-dropping-particle":"","parse-names":false,"suffix":""},{"dropping-particle":"","family":"Fahmy","given":"Nahed","non-dropping-particle":"","parse-names":false,"suffix":""},{"dropping-particle":"","family":"Paul","given":"Vinod K","non-dropping-particle":"","parse-names":false,"suffix":""},{"dropping-particle":"","family":"Du","given":"Lizhong","non-dropping-particle":"","parse-names":false,"suffix":""},{"dropping-particle":"","family":"Okolo","given":"Angela A","non-dropping-particle":"","parse-names":false,"suffix":""},{"dropping-particle":"De","family":"Almeida","given":"Maria-fernanda","non-dropping-particle":"","parse-names":false,"suffix":""}],"id":"ITEM-1","issue":"December","issued":{"date-parts":[["2013"]]},"title":"newborn : incidence and impairment estimates for 2010 at regional and global levels","type":"article-journal","volume":"74"},"uris":["http://www.mendeley.com/documents/?uuid=babb6450-bc83-4ec0-97f2-7a0c2dcbeffa","http://www.mendeley.com/documents/?uuid=d69a48d6-6dbe-4407-bc40-e7e025d32464"]}],"mendeley":{"formattedCitation":"(2)","plainTextFormattedCitation":"(2)","previouslyFormattedCitation":"(2)"},"properties":{"noteIndex":0},"schema":"https://github.com/citation-style-language/schema/raw/master/csl-citation.json"}</w:instrText>
      </w:r>
      <w:r w:rsidR="008778C9" w:rsidRPr="000A4A0F">
        <w:rPr>
          <w:rFonts w:ascii="Times New Roman" w:hAnsi="Times New Roman" w:cs="Times New Roman"/>
          <w:sz w:val="24"/>
          <w:szCs w:val="24"/>
        </w:rPr>
        <w:fldChar w:fldCharType="separate"/>
      </w:r>
      <w:r w:rsidR="008778C9" w:rsidRPr="000A4A0F">
        <w:rPr>
          <w:rFonts w:ascii="Times New Roman" w:hAnsi="Times New Roman" w:cs="Times New Roman"/>
          <w:noProof/>
          <w:sz w:val="24"/>
          <w:szCs w:val="24"/>
        </w:rPr>
        <w:t>(2)</w:t>
      </w:r>
      <w:r w:rsidR="008778C9" w:rsidRPr="000A4A0F">
        <w:rPr>
          <w:rFonts w:ascii="Times New Roman" w:hAnsi="Times New Roman" w:cs="Times New Roman"/>
          <w:sz w:val="24"/>
          <w:szCs w:val="24"/>
        </w:rPr>
        <w:fldChar w:fldCharType="end"/>
      </w:r>
    </w:p>
    <w:p w14:paraId="2BF94876" w14:textId="10FD7DCE" w:rsidR="00B56D6C" w:rsidRPr="000A4A0F" w:rsidRDefault="00B56D6C"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Vu la fréquence de l’ictère en période néonatale et les complicat</w:t>
      </w:r>
      <w:r w:rsidR="00597543" w:rsidRPr="000A4A0F">
        <w:rPr>
          <w:rFonts w:ascii="Times New Roman" w:hAnsi="Times New Roman" w:cs="Times New Roman"/>
          <w:sz w:val="24"/>
          <w:szCs w:val="24"/>
        </w:rPr>
        <w:t>ions graves (atteinte neurologique</w:t>
      </w:r>
      <w:r w:rsidRPr="000A4A0F">
        <w:rPr>
          <w:rFonts w:ascii="Times New Roman" w:hAnsi="Times New Roman" w:cs="Times New Roman"/>
          <w:sz w:val="24"/>
          <w:szCs w:val="24"/>
        </w:rPr>
        <w:t xml:space="preserve">, auditive et parfois une atteinte rénale) que cela peut entrainer, nous </w:t>
      </w:r>
      <w:r w:rsidR="00597543" w:rsidRPr="000A4A0F">
        <w:rPr>
          <w:rFonts w:ascii="Times New Roman" w:hAnsi="Times New Roman" w:cs="Times New Roman"/>
          <w:sz w:val="24"/>
          <w:szCs w:val="24"/>
        </w:rPr>
        <w:t xml:space="preserve">nous </w:t>
      </w:r>
      <w:r w:rsidRPr="000A4A0F">
        <w:rPr>
          <w:rFonts w:ascii="Times New Roman" w:hAnsi="Times New Roman" w:cs="Times New Roman"/>
          <w:sz w:val="24"/>
          <w:szCs w:val="24"/>
        </w:rPr>
        <w:t xml:space="preserve">sommes posées les questions de </w:t>
      </w:r>
      <w:r w:rsidR="008778C9" w:rsidRPr="000A4A0F">
        <w:rPr>
          <w:rFonts w:ascii="Times New Roman" w:hAnsi="Times New Roman" w:cs="Times New Roman"/>
          <w:sz w:val="24"/>
          <w:szCs w:val="24"/>
        </w:rPr>
        <w:t>savoir :</w:t>
      </w:r>
    </w:p>
    <w:p w14:paraId="155D9416" w14:textId="77777777" w:rsidR="00B56D6C" w:rsidRPr="000A4A0F" w:rsidRDefault="00B56D6C"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1. Quelle serait la prévalence de l’ictère néonatal dans l’unité de néonatologie de l’HPGRB ?</w:t>
      </w:r>
    </w:p>
    <w:p w14:paraId="4206D2D4" w14:textId="77777777" w:rsidR="00B56D6C" w:rsidRPr="000A4A0F" w:rsidRDefault="00B56D6C"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2. Quelles seraient les étiologies possibles ?</w:t>
      </w:r>
    </w:p>
    <w:p w14:paraId="1AD2E9C2" w14:textId="77777777" w:rsidR="00B56D6C" w:rsidRPr="000A4A0F" w:rsidRDefault="00B56D6C"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3. Existe-il d’autres comorbidités associées ?</w:t>
      </w:r>
    </w:p>
    <w:p w14:paraId="285E69AE" w14:textId="08BD2EA6" w:rsidR="00B56D6C" w:rsidRPr="000A4A0F" w:rsidRDefault="00B56D6C"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4. Quel serait le pronostic de ces nouveau-</w:t>
      </w:r>
      <w:r w:rsidR="008778C9" w:rsidRPr="000A4A0F">
        <w:rPr>
          <w:rFonts w:ascii="Times New Roman" w:hAnsi="Times New Roman" w:cs="Times New Roman"/>
          <w:sz w:val="24"/>
          <w:szCs w:val="24"/>
        </w:rPr>
        <w:t>nés ?</w:t>
      </w:r>
    </w:p>
    <w:p w14:paraId="653A1C57" w14:textId="66E87AE4" w:rsidR="00474CB7" w:rsidRPr="000A4A0F" w:rsidRDefault="00B56D6C" w:rsidP="000A4A0F">
      <w:pPr>
        <w:pStyle w:val="Sansinterligne"/>
        <w:spacing w:line="360" w:lineRule="auto"/>
        <w:jc w:val="both"/>
        <w:rPr>
          <w:rFonts w:ascii="Times New Roman" w:hAnsi="Times New Roman" w:cs="Times New Roman"/>
          <w:bCs/>
          <w:color w:val="000000" w:themeColor="text1"/>
          <w:sz w:val="24"/>
          <w:szCs w:val="24"/>
        </w:rPr>
      </w:pPr>
      <w:r w:rsidRPr="000A4A0F">
        <w:rPr>
          <w:rFonts w:ascii="Times New Roman" w:hAnsi="Times New Roman" w:cs="Times New Roman"/>
          <w:sz w:val="24"/>
          <w:szCs w:val="24"/>
        </w:rPr>
        <w:t>De ces questions de recherche, il nous semble primordial de conduire une étude transversale sur l’ictère néonatal à hyper-</w:t>
      </w:r>
      <w:r w:rsidR="008778C9" w:rsidRPr="000A4A0F">
        <w:rPr>
          <w:rFonts w:ascii="Times New Roman" w:hAnsi="Times New Roman" w:cs="Times New Roman"/>
          <w:sz w:val="24"/>
          <w:szCs w:val="24"/>
        </w:rPr>
        <w:t>bilirubinémie non</w:t>
      </w:r>
      <w:r w:rsidRPr="000A4A0F">
        <w:rPr>
          <w:rFonts w:ascii="Times New Roman" w:hAnsi="Times New Roman" w:cs="Times New Roman"/>
          <w:sz w:val="24"/>
          <w:szCs w:val="24"/>
        </w:rPr>
        <w:t xml:space="preserve"> conjuguée et ses analyses étiologiques vue sa fréquence en période néonatale et ses complications très redoutables.</w:t>
      </w:r>
    </w:p>
    <w:p w14:paraId="73E28B27" w14:textId="77777777" w:rsidR="001B7C66" w:rsidRPr="000A4A0F" w:rsidRDefault="001B7C66" w:rsidP="000A4A0F">
      <w:pPr>
        <w:pStyle w:val="Sansinterligne"/>
        <w:spacing w:line="360" w:lineRule="auto"/>
        <w:jc w:val="both"/>
        <w:rPr>
          <w:rFonts w:ascii="Times New Roman" w:hAnsi="Times New Roman" w:cs="Times New Roman"/>
          <w:bCs/>
          <w:color w:val="000000" w:themeColor="text1"/>
          <w:sz w:val="24"/>
          <w:szCs w:val="24"/>
        </w:rPr>
      </w:pPr>
    </w:p>
    <w:p w14:paraId="049D8CB2" w14:textId="77777777" w:rsidR="001B7C66" w:rsidRPr="000A4A0F" w:rsidRDefault="001B7C66" w:rsidP="000A4A0F">
      <w:pPr>
        <w:pStyle w:val="Titre2"/>
        <w:spacing w:line="360" w:lineRule="auto"/>
        <w:jc w:val="both"/>
        <w:rPr>
          <w:rFonts w:ascii="Times New Roman" w:hAnsi="Times New Roman" w:cs="Times New Roman"/>
          <w:sz w:val="24"/>
          <w:szCs w:val="24"/>
        </w:rPr>
      </w:pPr>
      <w:bookmarkStart w:id="12" w:name="_Toc87049043"/>
      <w:r w:rsidRPr="000A4A0F">
        <w:rPr>
          <w:rFonts w:ascii="Times New Roman" w:hAnsi="Times New Roman" w:cs="Times New Roman"/>
          <w:sz w:val="24"/>
          <w:szCs w:val="24"/>
        </w:rPr>
        <w:t>2.2. OBJECTIFS</w:t>
      </w:r>
      <w:bookmarkEnd w:id="12"/>
    </w:p>
    <w:p w14:paraId="74B2CD12" w14:textId="2B2B30E7" w:rsidR="00303342" w:rsidRPr="000A4A0F" w:rsidRDefault="001B7C66" w:rsidP="000A4A0F">
      <w:pPr>
        <w:pStyle w:val="Titre2"/>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w:t>
      </w:r>
    </w:p>
    <w:p w14:paraId="3E511FDA" w14:textId="77777777" w:rsidR="001E2AAF" w:rsidRPr="000A4A0F" w:rsidRDefault="00724ACD" w:rsidP="000A4A0F">
      <w:pPr>
        <w:pStyle w:val="Sansinterligne"/>
        <w:numPr>
          <w:ilvl w:val="0"/>
          <w:numId w:val="43"/>
        </w:numPr>
        <w:spacing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Objectif</w:t>
      </w:r>
      <w:r w:rsidR="00B148CA" w:rsidRPr="000A4A0F">
        <w:rPr>
          <w:rFonts w:ascii="Times New Roman" w:hAnsi="Times New Roman" w:cs="Times New Roman"/>
          <w:b/>
          <w:sz w:val="24"/>
          <w:szCs w:val="24"/>
        </w:rPr>
        <w:t xml:space="preserve"> </w:t>
      </w:r>
      <w:r w:rsidR="001B7C66" w:rsidRPr="000A4A0F">
        <w:rPr>
          <w:rFonts w:ascii="Times New Roman" w:hAnsi="Times New Roman" w:cs="Times New Roman"/>
          <w:b/>
          <w:sz w:val="24"/>
          <w:szCs w:val="24"/>
        </w:rPr>
        <w:t>général</w:t>
      </w:r>
      <w:r w:rsidR="001E2AAF" w:rsidRPr="000A4A0F">
        <w:rPr>
          <w:rFonts w:ascii="Times New Roman" w:hAnsi="Times New Roman" w:cs="Times New Roman"/>
          <w:b/>
          <w:sz w:val="24"/>
          <w:szCs w:val="24"/>
        </w:rPr>
        <w:t> :</w:t>
      </w:r>
    </w:p>
    <w:p w14:paraId="32FFD626" w14:textId="70436C8A" w:rsidR="001B7C66" w:rsidRPr="000A4A0F" w:rsidRDefault="0079183E" w:rsidP="000A4A0F">
      <w:pPr>
        <w:pStyle w:val="Sansinterligne"/>
        <w:spacing w:line="360" w:lineRule="auto"/>
        <w:ind w:left="720"/>
        <w:jc w:val="both"/>
        <w:rPr>
          <w:rFonts w:ascii="Times New Roman" w:hAnsi="Times New Roman" w:cs="Times New Roman"/>
          <w:b/>
          <w:sz w:val="24"/>
          <w:szCs w:val="24"/>
        </w:rPr>
      </w:pPr>
      <w:r w:rsidRPr="000A4A0F">
        <w:rPr>
          <w:rFonts w:ascii="Times New Roman" w:hAnsi="Times New Roman" w:cs="Times New Roman"/>
          <w:sz w:val="24"/>
          <w:szCs w:val="24"/>
        </w:rPr>
        <w:t xml:space="preserve">Déterminer le profil épidémiologique et </w:t>
      </w:r>
      <w:proofErr w:type="spellStart"/>
      <w:r w:rsidRPr="000A4A0F">
        <w:rPr>
          <w:rFonts w:ascii="Times New Roman" w:hAnsi="Times New Roman" w:cs="Times New Roman"/>
          <w:sz w:val="24"/>
          <w:szCs w:val="24"/>
        </w:rPr>
        <w:t>clinico</w:t>
      </w:r>
      <w:proofErr w:type="spellEnd"/>
      <w:r w:rsidRPr="000A4A0F">
        <w:rPr>
          <w:rFonts w:ascii="Times New Roman" w:hAnsi="Times New Roman" w:cs="Times New Roman"/>
          <w:sz w:val="24"/>
          <w:szCs w:val="24"/>
        </w:rPr>
        <w:t xml:space="preserve">-biologique de nouveau-né ictérique à l’unité de soins intensif néonatal (SIN) </w:t>
      </w:r>
      <w:r w:rsidR="008778C9" w:rsidRPr="000A4A0F">
        <w:rPr>
          <w:rFonts w:ascii="Times New Roman" w:hAnsi="Times New Roman" w:cs="Times New Roman"/>
          <w:sz w:val="24"/>
          <w:szCs w:val="24"/>
        </w:rPr>
        <w:t>de l’HPGRB</w:t>
      </w:r>
      <w:r w:rsidRPr="000A4A0F">
        <w:rPr>
          <w:rFonts w:ascii="Times New Roman" w:hAnsi="Times New Roman" w:cs="Times New Roman"/>
          <w:sz w:val="24"/>
          <w:szCs w:val="24"/>
        </w:rPr>
        <w:t>.</w:t>
      </w:r>
    </w:p>
    <w:p w14:paraId="47AE601A" w14:textId="32DAE079" w:rsidR="00724ACD" w:rsidRPr="000A4A0F" w:rsidRDefault="00B148CA" w:rsidP="000A4A0F">
      <w:pPr>
        <w:pStyle w:val="Sansinterligne"/>
        <w:numPr>
          <w:ilvl w:val="0"/>
          <w:numId w:val="43"/>
        </w:numPr>
        <w:spacing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Objectifs spécifiques</w:t>
      </w:r>
    </w:p>
    <w:p w14:paraId="2E0E1EBB" w14:textId="6D8E08D5" w:rsidR="00317294" w:rsidRPr="000A4A0F" w:rsidRDefault="009278D9" w:rsidP="000A4A0F">
      <w:pPr>
        <w:pStyle w:val="Sansinterligne"/>
        <w:numPr>
          <w:ilvl w:val="0"/>
          <w:numId w:val="40"/>
        </w:numPr>
        <w:spacing w:line="360" w:lineRule="auto"/>
        <w:jc w:val="both"/>
        <w:rPr>
          <w:rFonts w:ascii="Times New Roman" w:eastAsia="Times New Roman" w:hAnsi="Times New Roman" w:cs="Times New Roman"/>
          <w:color w:val="000000"/>
          <w:sz w:val="24"/>
          <w:szCs w:val="24"/>
          <w:lang w:eastAsia="fr-FR"/>
        </w:rPr>
      </w:pPr>
      <w:r w:rsidRPr="000A4A0F">
        <w:rPr>
          <w:rFonts w:ascii="Times New Roman" w:hAnsi="Times New Roman" w:cs="Times New Roman"/>
          <w:sz w:val="24"/>
          <w:szCs w:val="24"/>
        </w:rPr>
        <w:t>Détermin</w:t>
      </w:r>
      <w:r w:rsidR="00724ACD" w:rsidRPr="000A4A0F">
        <w:rPr>
          <w:rFonts w:ascii="Times New Roman" w:hAnsi="Times New Roman" w:cs="Times New Roman"/>
          <w:sz w:val="24"/>
          <w:szCs w:val="24"/>
        </w:rPr>
        <w:t>er</w:t>
      </w:r>
      <w:r w:rsidR="008778C9" w:rsidRPr="000A4A0F">
        <w:rPr>
          <w:rFonts w:ascii="Times New Roman" w:hAnsi="Times New Roman" w:cs="Times New Roman"/>
          <w:sz w:val="24"/>
          <w:szCs w:val="24"/>
        </w:rPr>
        <w:t> les</w:t>
      </w:r>
      <w:r w:rsidR="001C46AF" w:rsidRPr="000A4A0F">
        <w:rPr>
          <w:rFonts w:ascii="Times New Roman" w:hAnsi="Times New Roman" w:cs="Times New Roman"/>
          <w:sz w:val="24"/>
          <w:szCs w:val="24"/>
        </w:rPr>
        <w:t xml:space="preserve"> étiologies</w:t>
      </w:r>
      <w:r w:rsidR="00A444D5" w:rsidRPr="000A4A0F">
        <w:rPr>
          <w:rFonts w:ascii="Times New Roman" w:hAnsi="Times New Roman" w:cs="Times New Roman"/>
          <w:sz w:val="24"/>
          <w:szCs w:val="24"/>
        </w:rPr>
        <w:t xml:space="preserve"> et les facteurs de ris</w:t>
      </w:r>
      <w:r w:rsidR="001C46AF" w:rsidRPr="000A4A0F">
        <w:rPr>
          <w:rFonts w:ascii="Times New Roman" w:hAnsi="Times New Roman" w:cs="Times New Roman"/>
          <w:sz w:val="24"/>
          <w:szCs w:val="24"/>
        </w:rPr>
        <w:t>qu</w:t>
      </w:r>
      <w:r w:rsidR="00C24C66" w:rsidRPr="000A4A0F">
        <w:rPr>
          <w:rFonts w:ascii="Times New Roman" w:hAnsi="Times New Roman" w:cs="Times New Roman"/>
          <w:sz w:val="24"/>
          <w:szCs w:val="24"/>
        </w:rPr>
        <w:t xml:space="preserve">es de </w:t>
      </w:r>
      <w:r w:rsidR="00303342" w:rsidRPr="000A4A0F">
        <w:rPr>
          <w:rFonts w:ascii="Times New Roman" w:hAnsi="Times New Roman" w:cs="Times New Roman"/>
          <w:sz w:val="24"/>
          <w:szCs w:val="24"/>
        </w:rPr>
        <w:t>l’ictère néonatal</w:t>
      </w:r>
      <w:r w:rsidR="00C24C66" w:rsidRPr="000A4A0F">
        <w:rPr>
          <w:rFonts w:ascii="Times New Roman" w:hAnsi="Times New Roman" w:cs="Times New Roman"/>
          <w:sz w:val="24"/>
          <w:szCs w:val="24"/>
        </w:rPr>
        <w:t xml:space="preserve"> à </w:t>
      </w:r>
      <w:r w:rsidR="001C46AF" w:rsidRPr="000A4A0F">
        <w:rPr>
          <w:rFonts w:ascii="Times New Roman" w:hAnsi="Times New Roman" w:cs="Times New Roman"/>
          <w:sz w:val="24"/>
          <w:szCs w:val="24"/>
        </w:rPr>
        <w:t>l’HPGRB</w:t>
      </w:r>
      <w:r w:rsidRPr="000A4A0F">
        <w:rPr>
          <w:rFonts w:ascii="Times New Roman" w:eastAsia="Times New Roman" w:hAnsi="Times New Roman" w:cs="Times New Roman"/>
          <w:color w:val="000000"/>
          <w:sz w:val="24"/>
          <w:szCs w:val="24"/>
          <w:lang w:eastAsia="fr-FR"/>
        </w:rPr>
        <w:t> ;</w:t>
      </w:r>
    </w:p>
    <w:p w14:paraId="753E2CF3" w14:textId="5ACF9420" w:rsidR="00317294" w:rsidRPr="000A4A0F" w:rsidRDefault="00A444D5" w:rsidP="000A4A0F">
      <w:pPr>
        <w:pStyle w:val="Sansinterligne"/>
        <w:numPr>
          <w:ilvl w:val="0"/>
          <w:numId w:val="40"/>
        </w:numPr>
        <w:spacing w:line="360" w:lineRule="auto"/>
        <w:jc w:val="both"/>
        <w:rPr>
          <w:rFonts w:ascii="Times New Roman" w:eastAsia="Times New Roman" w:hAnsi="Times New Roman" w:cs="Times New Roman"/>
          <w:color w:val="000000"/>
          <w:sz w:val="24"/>
          <w:szCs w:val="24"/>
          <w:lang w:eastAsia="fr-FR"/>
        </w:rPr>
      </w:pPr>
      <w:r w:rsidRPr="000A4A0F">
        <w:rPr>
          <w:rFonts w:ascii="Times New Roman" w:hAnsi="Times New Roman" w:cs="Times New Roman"/>
          <w:sz w:val="24"/>
          <w:szCs w:val="24"/>
        </w:rPr>
        <w:t>Déterminer</w:t>
      </w:r>
      <w:r w:rsidR="0079183E" w:rsidRPr="000A4A0F">
        <w:rPr>
          <w:rFonts w:ascii="Times New Roman" w:hAnsi="Times New Roman" w:cs="Times New Roman"/>
          <w:sz w:val="24"/>
          <w:szCs w:val="24"/>
        </w:rPr>
        <w:t xml:space="preserve"> </w:t>
      </w:r>
      <w:r w:rsidR="0079183E" w:rsidRPr="00537D00">
        <w:rPr>
          <w:rFonts w:ascii="Times New Roman" w:hAnsi="Times New Roman" w:cs="Times New Roman"/>
          <w:sz w:val="24"/>
          <w:szCs w:val="24"/>
          <w:highlight w:val="yellow"/>
        </w:rPr>
        <w:t xml:space="preserve">la </w:t>
      </w:r>
      <w:r w:rsidRPr="00537D00">
        <w:rPr>
          <w:rFonts w:ascii="Times New Roman" w:hAnsi="Times New Roman" w:cs="Times New Roman"/>
          <w:sz w:val="24"/>
          <w:szCs w:val="24"/>
          <w:highlight w:val="yellow"/>
        </w:rPr>
        <w:t>prévalence</w:t>
      </w:r>
      <w:r w:rsidR="0079183E" w:rsidRPr="000A4A0F">
        <w:rPr>
          <w:rFonts w:ascii="Times New Roman" w:hAnsi="Times New Roman" w:cs="Times New Roman"/>
          <w:sz w:val="24"/>
          <w:szCs w:val="24"/>
        </w:rPr>
        <w:t xml:space="preserve"> </w:t>
      </w:r>
      <w:commentRangeStart w:id="13"/>
      <w:r w:rsidR="0079183E" w:rsidRPr="000A4A0F">
        <w:rPr>
          <w:rFonts w:ascii="Times New Roman" w:hAnsi="Times New Roman" w:cs="Times New Roman"/>
          <w:sz w:val="24"/>
          <w:szCs w:val="24"/>
        </w:rPr>
        <w:t>de</w:t>
      </w:r>
      <w:commentRangeEnd w:id="13"/>
      <w:r w:rsidR="00537D00">
        <w:rPr>
          <w:rStyle w:val="Marquedecommentaire"/>
        </w:rPr>
        <w:commentReference w:id="13"/>
      </w:r>
      <w:r w:rsidR="0079183E" w:rsidRPr="000A4A0F">
        <w:rPr>
          <w:rFonts w:ascii="Times New Roman" w:hAnsi="Times New Roman" w:cs="Times New Roman"/>
          <w:sz w:val="24"/>
          <w:szCs w:val="24"/>
        </w:rPr>
        <w:t xml:space="preserve"> l’anémie ainsi que les facteurs</w:t>
      </w:r>
      <w:r w:rsidRPr="000A4A0F">
        <w:rPr>
          <w:rFonts w:ascii="Times New Roman" w:hAnsi="Times New Roman" w:cs="Times New Roman"/>
          <w:sz w:val="24"/>
          <w:szCs w:val="24"/>
        </w:rPr>
        <w:t xml:space="preserve"> associé</w:t>
      </w:r>
      <w:r w:rsidR="0079183E" w:rsidRPr="000A4A0F">
        <w:rPr>
          <w:rFonts w:ascii="Times New Roman" w:hAnsi="Times New Roman" w:cs="Times New Roman"/>
          <w:sz w:val="24"/>
          <w:szCs w:val="24"/>
        </w:rPr>
        <w:t xml:space="preserve">s chez </w:t>
      </w:r>
      <w:r w:rsidR="00194EE9" w:rsidRPr="000A4A0F">
        <w:rPr>
          <w:rFonts w:ascii="Times New Roman" w:hAnsi="Times New Roman" w:cs="Times New Roman"/>
          <w:sz w:val="24"/>
          <w:szCs w:val="24"/>
        </w:rPr>
        <w:t>le nouveau-né</w:t>
      </w:r>
      <w:r w:rsidR="0079183E" w:rsidRPr="000A4A0F">
        <w:rPr>
          <w:rFonts w:ascii="Times New Roman" w:eastAsia="Times New Roman" w:hAnsi="Times New Roman" w:cs="Times New Roman"/>
          <w:color w:val="000000"/>
          <w:sz w:val="24"/>
          <w:szCs w:val="24"/>
          <w:lang w:eastAsia="fr-FR"/>
        </w:rPr>
        <w:t xml:space="preserve"> ictériques </w:t>
      </w:r>
      <w:r w:rsidRPr="000A4A0F">
        <w:rPr>
          <w:rFonts w:ascii="Times New Roman" w:eastAsia="Times New Roman" w:hAnsi="Times New Roman" w:cs="Times New Roman"/>
          <w:color w:val="000000"/>
          <w:sz w:val="24"/>
          <w:szCs w:val="24"/>
          <w:lang w:eastAsia="fr-FR"/>
        </w:rPr>
        <w:t>à</w:t>
      </w:r>
      <w:r w:rsidR="0079183E" w:rsidRPr="000A4A0F">
        <w:rPr>
          <w:rFonts w:ascii="Times New Roman" w:eastAsia="Times New Roman" w:hAnsi="Times New Roman" w:cs="Times New Roman"/>
          <w:color w:val="000000"/>
          <w:sz w:val="24"/>
          <w:szCs w:val="24"/>
          <w:lang w:eastAsia="fr-FR"/>
        </w:rPr>
        <w:t xml:space="preserve"> </w:t>
      </w:r>
      <w:r w:rsidR="00915B7C" w:rsidRPr="000A4A0F">
        <w:rPr>
          <w:rFonts w:ascii="Times New Roman" w:eastAsia="Times New Roman" w:hAnsi="Times New Roman" w:cs="Times New Roman"/>
          <w:color w:val="000000"/>
          <w:sz w:val="24"/>
          <w:szCs w:val="24"/>
          <w:lang w:eastAsia="fr-FR"/>
        </w:rPr>
        <w:t>l’HPGRB.</w:t>
      </w:r>
    </w:p>
    <w:p w14:paraId="018E52CC" w14:textId="04B55F5C" w:rsidR="00400D5D" w:rsidRPr="000A4A0F" w:rsidRDefault="008778C9" w:rsidP="000A4A0F">
      <w:pPr>
        <w:pStyle w:val="Sansinterligne"/>
        <w:numPr>
          <w:ilvl w:val="0"/>
          <w:numId w:val="40"/>
        </w:numPr>
        <w:spacing w:line="360" w:lineRule="auto"/>
        <w:jc w:val="both"/>
        <w:rPr>
          <w:rFonts w:ascii="Times New Roman" w:eastAsia="Times New Roman" w:hAnsi="Times New Roman" w:cs="Times New Roman"/>
          <w:color w:val="000000"/>
          <w:sz w:val="24"/>
          <w:szCs w:val="24"/>
          <w:lang w:eastAsia="fr-FR"/>
        </w:rPr>
      </w:pPr>
      <w:r w:rsidRPr="000A4A0F">
        <w:rPr>
          <w:rFonts w:ascii="Times New Roman" w:hAnsi="Times New Roman" w:cs="Times New Roman"/>
          <w:sz w:val="24"/>
          <w:szCs w:val="24"/>
        </w:rPr>
        <w:t>Déterminer les</w:t>
      </w:r>
      <w:r w:rsidR="00C24C66" w:rsidRPr="000A4A0F">
        <w:rPr>
          <w:rFonts w:ascii="Times New Roman" w:hAnsi="Times New Roman" w:cs="Times New Roman"/>
          <w:sz w:val="24"/>
          <w:szCs w:val="24"/>
        </w:rPr>
        <w:t xml:space="preserve"> facteurs de mauvais</w:t>
      </w:r>
      <w:r w:rsidR="000B4052" w:rsidRPr="000A4A0F">
        <w:rPr>
          <w:rFonts w:ascii="Times New Roman" w:hAnsi="Times New Roman" w:cs="Times New Roman"/>
          <w:sz w:val="24"/>
          <w:szCs w:val="24"/>
        </w:rPr>
        <w:t xml:space="preserve"> p</w:t>
      </w:r>
      <w:r w:rsidR="00400D5D" w:rsidRPr="000A4A0F">
        <w:rPr>
          <w:rFonts w:ascii="Times New Roman" w:hAnsi="Times New Roman" w:cs="Times New Roman"/>
          <w:sz w:val="24"/>
          <w:szCs w:val="24"/>
        </w:rPr>
        <w:t xml:space="preserve">ronostic de nouveau-né ictérique </w:t>
      </w:r>
      <w:r w:rsidR="00317294" w:rsidRPr="000A4A0F">
        <w:rPr>
          <w:rFonts w:ascii="Times New Roman" w:hAnsi="Times New Roman" w:cs="Times New Roman"/>
          <w:sz w:val="24"/>
          <w:szCs w:val="24"/>
        </w:rPr>
        <w:t>à</w:t>
      </w:r>
      <w:r w:rsidR="00400D5D" w:rsidRPr="000A4A0F">
        <w:rPr>
          <w:rFonts w:ascii="Times New Roman" w:hAnsi="Times New Roman" w:cs="Times New Roman"/>
          <w:sz w:val="24"/>
          <w:szCs w:val="24"/>
        </w:rPr>
        <w:t xml:space="preserve"> </w:t>
      </w:r>
      <w:r w:rsidR="00A95533" w:rsidRPr="000A4A0F">
        <w:rPr>
          <w:rFonts w:ascii="Times New Roman" w:hAnsi="Times New Roman" w:cs="Times New Roman"/>
          <w:sz w:val="24"/>
          <w:szCs w:val="24"/>
        </w:rPr>
        <w:t>l’HPGRB.</w:t>
      </w:r>
    </w:p>
    <w:p w14:paraId="079076A9" w14:textId="789B002F" w:rsidR="00303342" w:rsidRPr="000A4A0F" w:rsidRDefault="00303342" w:rsidP="000A4A0F">
      <w:pPr>
        <w:pStyle w:val="Sansinterligne"/>
        <w:spacing w:line="360" w:lineRule="auto"/>
        <w:jc w:val="both"/>
        <w:rPr>
          <w:rFonts w:ascii="Times New Roman" w:eastAsia="Times New Roman" w:hAnsi="Times New Roman" w:cs="Times New Roman"/>
          <w:color w:val="000000"/>
          <w:sz w:val="24"/>
          <w:szCs w:val="24"/>
          <w:lang w:eastAsia="fr-FR"/>
        </w:rPr>
      </w:pPr>
    </w:p>
    <w:p w14:paraId="4C24E8C4" w14:textId="77777777" w:rsidR="00E50861" w:rsidRPr="000A4A0F" w:rsidRDefault="00E50861"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br w:type="page"/>
      </w:r>
    </w:p>
    <w:p w14:paraId="3F0289F6" w14:textId="77777777" w:rsidR="00B91B33" w:rsidRPr="000A4A0F" w:rsidRDefault="00201D1A" w:rsidP="000A4A0F">
      <w:pPr>
        <w:pStyle w:val="Titre1"/>
        <w:spacing w:line="360" w:lineRule="auto"/>
        <w:jc w:val="both"/>
        <w:rPr>
          <w:sz w:val="24"/>
          <w:szCs w:val="24"/>
        </w:rPr>
      </w:pPr>
      <w:bookmarkStart w:id="14" w:name="_Toc87049044"/>
      <w:r w:rsidRPr="000A4A0F">
        <w:rPr>
          <w:sz w:val="24"/>
          <w:szCs w:val="24"/>
        </w:rPr>
        <w:lastRenderedPageBreak/>
        <w:t xml:space="preserve">Chapitre I. </w:t>
      </w:r>
      <w:r w:rsidR="00B91B33" w:rsidRPr="000A4A0F">
        <w:rPr>
          <w:sz w:val="24"/>
          <w:szCs w:val="24"/>
        </w:rPr>
        <w:t>GERALITES THEORIQUES</w:t>
      </w:r>
      <w:bookmarkEnd w:id="14"/>
    </w:p>
    <w:p w14:paraId="63AC0A84" w14:textId="369B5CAC" w:rsidR="009569A1" w:rsidRPr="000A4A0F" w:rsidRDefault="009278D9" w:rsidP="000A4A0F">
      <w:pPr>
        <w:pStyle w:val="Titre2"/>
        <w:spacing w:line="360" w:lineRule="auto"/>
        <w:jc w:val="both"/>
        <w:rPr>
          <w:rFonts w:ascii="Times New Roman" w:hAnsi="Times New Roman" w:cs="Times New Roman"/>
          <w:b/>
          <w:sz w:val="24"/>
          <w:szCs w:val="24"/>
        </w:rPr>
      </w:pPr>
      <w:bookmarkStart w:id="15" w:name="_Toc87049045"/>
      <w:r w:rsidRPr="000A4A0F">
        <w:rPr>
          <w:rFonts w:ascii="Times New Roman" w:hAnsi="Times New Roman" w:cs="Times New Roman"/>
          <w:b/>
          <w:sz w:val="24"/>
          <w:szCs w:val="24"/>
        </w:rPr>
        <w:t>I.0</w:t>
      </w:r>
      <w:r w:rsidR="00D459E3" w:rsidRPr="000A4A0F">
        <w:rPr>
          <w:rFonts w:ascii="Times New Roman" w:hAnsi="Times New Roman" w:cs="Times New Roman"/>
          <w:b/>
          <w:sz w:val="24"/>
          <w:szCs w:val="24"/>
        </w:rPr>
        <w:t>. DEFINITIONS DE</w:t>
      </w:r>
      <w:r w:rsidR="00537D00" w:rsidRPr="00537D00">
        <w:rPr>
          <w:rFonts w:ascii="Times New Roman" w:hAnsi="Times New Roman" w:cs="Times New Roman"/>
          <w:b/>
          <w:color w:val="FF0000"/>
          <w:sz w:val="24"/>
          <w:szCs w:val="24"/>
        </w:rPr>
        <w:t>S</w:t>
      </w:r>
      <w:r w:rsidR="00D459E3" w:rsidRPr="000A4A0F">
        <w:rPr>
          <w:rFonts w:ascii="Times New Roman" w:hAnsi="Times New Roman" w:cs="Times New Roman"/>
          <w:b/>
          <w:sz w:val="24"/>
          <w:szCs w:val="24"/>
        </w:rPr>
        <w:t xml:space="preserve"> CONCEPTS</w:t>
      </w:r>
      <w:commentRangeStart w:id="16"/>
      <w:r w:rsidR="00752010" w:rsidRPr="000A4A0F">
        <w:rPr>
          <w:rFonts w:ascii="Times New Roman" w:hAnsi="Times New Roman" w:cs="Times New Roman"/>
          <w:b/>
          <w:sz w:val="24"/>
          <w:szCs w:val="24"/>
        </w:rPr>
        <w:fldChar w:fldCharType="begin" w:fldLock="1"/>
      </w:r>
      <w:r w:rsidR="00EE36B6">
        <w:rPr>
          <w:rFonts w:ascii="Times New Roman" w:hAnsi="Times New Roman" w:cs="Times New Roman"/>
          <w:b/>
          <w:sz w:val="24"/>
          <w:szCs w:val="24"/>
        </w:rPr>
        <w:instrText>ADDIN CSL_CITATION {"citationItems":[{"id":"ITEM-1","itemData":{"author":[{"dropping-particle":"","family":"Battisti","given":"Professeur Oreste","non-dropping-particle":"","parse-names":false,"suffix":""},{"dropping-particle":"De","family":"Cours","given":"Chargé","non-dropping-particle":"","parse-names":false,"suffix":""},{"dropping-particle":"De","family":"Médecine","given":"Faculté","non-dropping-particle":"","parse-names":false,"suffix":""},{"dropping-particle":"De","family":"Liège","given":"Université","non-dropping-particle":"","parse-names":false,"suffix":""},{"dropping-particle":"","family":"Définitions","given":"A","non-dropping-particle":"","parse-names":false,"suffix":""}],"id":"ITEM-1","issued":{"date-parts":[["0"]]},"page":"1-26","title":"Diagnostic et prise en charge de l ’ hyperbilirubinémie ( à partir de 35 semaines d ’ âge gestationnel )","type":"article-journal"},"uris":["http://www.mendeley.com/documents/?uuid=593aa58c-b2ee-42ab-be1d-e0b1554d69e5","http://www.mendeley.com/documents/?uuid=8efb4bd5-bce5-46ac-91e0-063c05cc6fba"]}],"mendeley":{"formattedCitation":"(3)","plainTextFormattedCitation":"(3)","previouslyFormattedCitation":"(3)"},"properties":{"noteIndex":0},"schema":"https://github.com/citation-style-language/schema/raw/master/csl-citation.json"}</w:instrText>
      </w:r>
      <w:r w:rsidR="00752010" w:rsidRPr="000A4A0F">
        <w:rPr>
          <w:rFonts w:ascii="Times New Roman" w:hAnsi="Times New Roman" w:cs="Times New Roman"/>
          <w:b/>
          <w:sz w:val="24"/>
          <w:szCs w:val="24"/>
        </w:rPr>
        <w:fldChar w:fldCharType="separate"/>
      </w:r>
      <w:r w:rsidR="00752010" w:rsidRPr="00537D00">
        <w:rPr>
          <w:rFonts w:ascii="Times New Roman" w:hAnsi="Times New Roman" w:cs="Times New Roman"/>
          <w:noProof/>
          <w:sz w:val="24"/>
          <w:szCs w:val="24"/>
          <w:highlight w:val="yellow"/>
        </w:rPr>
        <w:t>(3</w:t>
      </w:r>
      <w:r w:rsidR="00752010" w:rsidRPr="000A4A0F">
        <w:rPr>
          <w:rFonts w:ascii="Times New Roman" w:hAnsi="Times New Roman" w:cs="Times New Roman"/>
          <w:noProof/>
          <w:sz w:val="24"/>
          <w:szCs w:val="24"/>
        </w:rPr>
        <w:t>)</w:t>
      </w:r>
      <w:r w:rsidR="00752010" w:rsidRPr="000A4A0F">
        <w:rPr>
          <w:rFonts w:ascii="Times New Roman" w:hAnsi="Times New Roman" w:cs="Times New Roman"/>
          <w:b/>
          <w:sz w:val="24"/>
          <w:szCs w:val="24"/>
        </w:rPr>
        <w:fldChar w:fldCharType="end"/>
      </w:r>
      <w:commentRangeEnd w:id="16"/>
      <w:r w:rsidR="00537D00">
        <w:rPr>
          <w:rStyle w:val="Marquedecommentaire"/>
          <w:rFonts w:ascii="Calibri" w:eastAsia="DejaVu Sans" w:hAnsi="Calibri" w:cs="Calibri"/>
          <w:color w:val="00000A"/>
        </w:rPr>
        <w:commentReference w:id="16"/>
      </w:r>
      <w:r w:rsidR="00D459E3" w:rsidRPr="000A4A0F">
        <w:rPr>
          <w:rFonts w:ascii="Times New Roman" w:hAnsi="Times New Roman" w:cs="Times New Roman"/>
          <w:b/>
          <w:sz w:val="24"/>
          <w:szCs w:val="24"/>
        </w:rPr>
        <w:t xml:space="preserve"> :</w:t>
      </w:r>
      <w:bookmarkEnd w:id="15"/>
      <w:r w:rsidR="00D459E3" w:rsidRPr="000A4A0F">
        <w:rPr>
          <w:rFonts w:ascii="Times New Roman" w:hAnsi="Times New Roman" w:cs="Times New Roman"/>
          <w:b/>
          <w:sz w:val="24"/>
          <w:szCs w:val="24"/>
        </w:rPr>
        <w:t xml:space="preserve"> </w:t>
      </w:r>
    </w:p>
    <w:p w14:paraId="0946D30D" w14:textId="77777777" w:rsidR="00D77C88" w:rsidRPr="000A4A0F" w:rsidRDefault="00D77C88" w:rsidP="000A4A0F">
      <w:pPr>
        <w:spacing w:line="360" w:lineRule="auto"/>
        <w:jc w:val="both"/>
        <w:rPr>
          <w:rFonts w:ascii="Times New Roman" w:hAnsi="Times New Roman" w:cs="Times New Roman"/>
          <w:sz w:val="24"/>
          <w:szCs w:val="24"/>
        </w:rPr>
      </w:pPr>
    </w:p>
    <w:p w14:paraId="5A1C58C5" w14:textId="7E6FFB5D" w:rsidR="009569A1" w:rsidRPr="00537D00" w:rsidRDefault="00752010" w:rsidP="000A4A0F">
      <w:pPr>
        <w:pStyle w:val="Sansinterligne"/>
        <w:numPr>
          <w:ilvl w:val="0"/>
          <w:numId w:val="46"/>
        </w:numPr>
        <w:spacing w:line="360" w:lineRule="auto"/>
        <w:jc w:val="both"/>
        <w:rPr>
          <w:rFonts w:ascii="Times New Roman" w:hAnsi="Times New Roman" w:cs="Times New Roman"/>
          <w:sz w:val="24"/>
          <w:szCs w:val="24"/>
          <w:highlight w:val="yellow"/>
        </w:rPr>
      </w:pPr>
      <w:r w:rsidRPr="000A4A0F">
        <w:rPr>
          <w:rFonts w:ascii="Times New Roman" w:hAnsi="Times New Roman" w:cs="Times New Roman"/>
          <w:b/>
          <w:sz w:val="24"/>
          <w:szCs w:val="24"/>
        </w:rPr>
        <w:t>I</w:t>
      </w:r>
      <w:r w:rsidR="009569A1" w:rsidRPr="000A4A0F">
        <w:rPr>
          <w:rFonts w:ascii="Times New Roman" w:hAnsi="Times New Roman" w:cs="Times New Roman"/>
          <w:b/>
          <w:sz w:val="24"/>
          <w:szCs w:val="24"/>
        </w:rPr>
        <w:t>ctère</w:t>
      </w:r>
      <w:r w:rsidRPr="000A4A0F">
        <w:rPr>
          <w:rFonts w:ascii="Times New Roman" w:hAnsi="Times New Roman" w:cs="Times New Roman"/>
          <w:sz w:val="24"/>
          <w:szCs w:val="24"/>
        </w:rPr>
        <w:t xml:space="preserve"> : </w:t>
      </w:r>
      <w:r w:rsidRPr="00537D00">
        <w:rPr>
          <w:rFonts w:ascii="Times New Roman" w:hAnsi="Times New Roman" w:cs="Times New Roman"/>
          <w:sz w:val="24"/>
          <w:szCs w:val="24"/>
          <w:highlight w:val="yellow"/>
        </w:rPr>
        <w:t>c'est</w:t>
      </w:r>
      <w:r w:rsidR="009569A1" w:rsidRPr="00537D00">
        <w:rPr>
          <w:rFonts w:ascii="Times New Roman" w:hAnsi="Times New Roman" w:cs="Times New Roman"/>
          <w:sz w:val="24"/>
          <w:szCs w:val="24"/>
          <w:highlight w:val="yellow"/>
        </w:rPr>
        <w:t xml:space="preserve"> une coloration jaune de la peau et des muqueuses dues à une </w:t>
      </w:r>
      <w:r w:rsidRPr="00537D00">
        <w:rPr>
          <w:rFonts w:ascii="Times New Roman" w:hAnsi="Times New Roman" w:cs="Times New Roman"/>
          <w:sz w:val="24"/>
          <w:szCs w:val="24"/>
          <w:highlight w:val="yellow"/>
        </w:rPr>
        <w:t>hyper bilirubinémie</w:t>
      </w:r>
      <w:r w:rsidR="009569A1" w:rsidRPr="00537D00">
        <w:rPr>
          <w:rFonts w:ascii="Times New Roman" w:hAnsi="Times New Roman" w:cs="Times New Roman"/>
          <w:sz w:val="24"/>
          <w:szCs w:val="24"/>
          <w:highlight w:val="yellow"/>
        </w:rPr>
        <w:t>, qui provient du catabolisme de l’hème, constituant de l’</w:t>
      </w:r>
      <w:proofErr w:type="spellStart"/>
      <w:r w:rsidR="009569A1" w:rsidRPr="00537D00">
        <w:rPr>
          <w:rFonts w:ascii="Times New Roman" w:hAnsi="Times New Roman" w:cs="Times New Roman"/>
          <w:sz w:val="24"/>
          <w:szCs w:val="24"/>
          <w:highlight w:val="yellow"/>
        </w:rPr>
        <w:t>Hb</w:t>
      </w:r>
      <w:proofErr w:type="spellEnd"/>
      <w:r w:rsidR="009569A1" w:rsidRPr="00537D00">
        <w:rPr>
          <w:rFonts w:ascii="Times New Roman" w:hAnsi="Times New Roman" w:cs="Times New Roman"/>
          <w:sz w:val="24"/>
          <w:szCs w:val="24"/>
          <w:highlight w:val="yellow"/>
        </w:rPr>
        <w:t>, lors de la destruction physiologique ou pat</w:t>
      </w:r>
      <w:r w:rsidRPr="00537D00">
        <w:rPr>
          <w:rFonts w:ascii="Times New Roman" w:hAnsi="Times New Roman" w:cs="Times New Roman"/>
          <w:sz w:val="24"/>
          <w:szCs w:val="24"/>
          <w:highlight w:val="yellow"/>
        </w:rPr>
        <w:t xml:space="preserve">hologique des globules </w:t>
      </w:r>
      <w:commentRangeStart w:id="17"/>
      <w:r w:rsidRPr="00537D00">
        <w:rPr>
          <w:rFonts w:ascii="Times New Roman" w:hAnsi="Times New Roman" w:cs="Times New Roman"/>
          <w:sz w:val="24"/>
          <w:szCs w:val="24"/>
          <w:highlight w:val="yellow"/>
        </w:rPr>
        <w:t>rouges</w:t>
      </w:r>
      <w:commentRangeEnd w:id="17"/>
      <w:r w:rsidR="00537D00">
        <w:rPr>
          <w:rStyle w:val="Marquedecommentaire"/>
        </w:rPr>
        <w:commentReference w:id="17"/>
      </w:r>
      <w:r w:rsidR="009569A1" w:rsidRPr="00537D00">
        <w:rPr>
          <w:rFonts w:ascii="Times New Roman" w:hAnsi="Times New Roman" w:cs="Times New Roman"/>
          <w:sz w:val="24"/>
          <w:szCs w:val="24"/>
          <w:highlight w:val="yellow"/>
        </w:rPr>
        <w:t>.</w:t>
      </w:r>
      <w:r w:rsidR="00537D00">
        <w:rPr>
          <w:rFonts w:ascii="Times New Roman" w:hAnsi="Times New Roman" w:cs="Times New Roman"/>
          <w:sz w:val="24"/>
          <w:szCs w:val="24"/>
          <w:highlight w:val="yellow"/>
        </w:rPr>
        <w:t xml:space="preserve">  </w:t>
      </w:r>
    </w:p>
    <w:p w14:paraId="0C867036" w14:textId="14BA55A9" w:rsidR="009569A1" w:rsidRPr="000A4A0F" w:rsidRDefault="009569A1" w:rsidP="000A4A0F">
      <w:pPr>
        <w:pStyle w:val="Sansinterligne"/>
        <w:numPr>
          <w:ilvl w:val="0"/>
          <w:numId w:val="46"/>
        </w:numPr>
        <w:spacing w:line="360" w:lineRule="auto"/>
        <w:jc w:val="both"/>
        <w:rPr>
          <w:rFonts w:ascii="Times New Roman" w:hAnsi="Times New Roman" w:cs="Times New Roman"/>
          <w:sz w:val="24"/>
          <w:szCs w:val="24"/>
        </w:rPr>
      </w:pPr>
      <w:r w:rsidRPr="000A4A0F">
        <w:rPr>
          <w:rFonts w:ascii="Times New Roman" w:hAnsi="Times New Roman" w:cs="Times New Roman"/>
          <w:b/>
          <w:sz w:val="24"/>
          <w:szCs w:val="24"/>
        </w:rPr>
        <w:t>Ictère nucléaire</w:t>
      </w:r>
      <w:r w:rsidRPr="000A4A0F">
        <w:rPr>
          <w:rFonts w:ascii="Times New Roman" w:hAnsi="Times New Roman" w:cs="Times New Roman"/>
          <w:sz w:val="24"/>
          <w:szCs w:val="24"/>
        </w:rPr>
        <w:t xml:space="preserve"> : État pathologique causé par la coloration jaune foncée des neurones et la nécrose neuronale des noyaux gris centraux et des noyaux du tronc cérébral.</w:t>
      </w:r>
    </w:p>
    <w:p w14:paraId="1C8B77A6" w14:textId="6C6CD75E" w:rsidR="009569A1" w:rsidRPr="000A4A0F" w:rsidRDefault="009569A1" w:rsidP="000A4A0F">
      <w:pPr>
        <w:pStyle w:val="Sansinterligne"/>
        <w:numPr>
          <w:ilvl w:val="0"/>
          <w:numId w:val="46"/>
        </w:numPr>
        <w:spacing w:line="360" w:lineRule="auto"/>
        <w:jc w:val="both"/>
        <w:rPr>
          <w:rFonts w:ascii="Times New Roman" w:hAnsi="Times New Roman" w:cs="Times New Roman"/>
          <w:sz w:val="24"/>
          <w:szCs w:val="24"/>
        </w:rPr>
      </w:pPr>
      <w:r w:rsidRPr="000A4A0F">
        <w:rPr>
          <w:rFonts w:ascii="Times New Roman" w:hAnsi="Times New Roman" w:cs="Times New Roman"/>
          <w:b/>
          <w:sz w:val="24"/>
          <w:szCs w:val="24"/>
        </w:rPr>
        <w:t xml:space="preserve">Encéphalopathie </w:t>
      </w:r>
      <w:proofErr w:type="spellStart"/>
      <w:r w:rsidRPr="000A4A0F">
        <w:rPr>
          <w:rFonts w:ascii="Times New Roman" w:hAnsi="Times New Roman" w:cs="Times New Roman"/>
          <w:b/>
          <w:sz w:val="24"/>
          <w:szCs w:val="24"/>
        </w:rPr>
        <w:t>bilirubinémique</w:t>
      </w:r>
      <w:proofErr w:type="spellEnd"/>
      <w:r w:rsidRPr="000A4A0F">
        <w:rPr>
          <w:rFonts w:ascii="Times New Roman" w:hAnsi="Times New Roman" w:cs="Times New Roman"/>
          <w:b/>
          <w:sz w:val="24"/>
          <w:szCs w:val="24"/>
        </w:rPr>
        <w:t xml:space="preserve"> aiguë</w:t>
      </w:r>
      <w:r w:rsidRPr="000A4A0F">
        <w:rPr>
          <w:rFonts w:ascii="Times New Roman" w:hAnsi="Times New Roman" w:cs="Times New Roman"/>
          <w:sz w:val="24"/>
          <w:szCs w:val="24"/>
        </w:rPr>
        <w:t xml:space="preserve"> : En présence d’</w:t>
      </w:r>
      <w:r w:rsidR="00752010" w:rsidRPr="000A4A0F">
        <w:rPr>
          <w:rFonts w:ascii="Times New Roman" w:hAnsi="Times New Roman" w:cs="Times New Roman"/>
          <w:sz w:val="24"/>
          <w:szCs w:val="24"/>
        </w:rPr>
        <w:t>hyper bilirubinémie</w:t>
      </w:r>
      <w:r w:rsidRPr="000A4A0F">
        <w:rPr>
          <w:rFonts w:ascii="Times New Roman" w:hAnsi="Times New Roman" w:cs="Times New Roman"/>
          <w:sz w:val="24"/>
          <w:szCs w:val="24"/>
        </w:rPr>
        <w:t xml:space="preserve"> grave, syndrome clinique de léthargie, d’hypotonie et de mauvaise succion, qui peut se détériorer en hypertonie (avec opisthotonos et </w:t>
      </w:r>
      <w:proofErr w:type="spellStart"/>
      <w:r w:rsidRPr="000A4A0F">
        <w:rPr>
          <w:rFonts w:ascii="Times New Roman" w:hAnsi="Times New Roman" w:cs="Times New Roman"/>
          <w:sz w:val="24"/>
          <w:szCs w:val="24"/>
        </w:rPr>
        <w:t>rétrocolis</w:t>
      </w:r>
      <w:proofErr w:type="spellEnd"/>
      <w:r w:rsidRPr="000A4A0F">
        <w:rPr>
          <w:rFonts w:ascii="Times New Roman" w:hAnsi="Times New Roman" w:cs="Times New Roman"/>
          <w:sz w:val="24"/>
          <w:szCs w:val="24"/>
        </w:rPr>
        <w:t>) accompagnée d’un pleur aigu et de fièvre, et finir par provoquer des convulsions et un coma.</w:t>
      </w:r>
    </w:p>
    <w:p w14:paraId="2D79DF57" w14:textId="140835F4" w:rsidR="009569A1" w:rsidRPr="000A4A0F" w:rsidRDefault="009569A1" w:rsidP="000A4A0F">
      <w:pPr>
        <w:pStyle w:val="Sansinterligne"/>
        <w:numPr>
          <w:ilvl w:val="0"/>
          <w:numId w:val="46"/>
        </w:numPr>
        <w:spacing w:line="360" w:lineRule="auto"/>
        <w:jc w:val="both"/>
        <w:rPr>
          <w:rFonts w:ascii="Times New Roman" w:hAnsi="Times New Roman" w:cs="Times New Roman"/>
          <w:sz w:val="24"/>
          <w:szCs w:val="24"/>
        </w:rPr>
      </w:pPr>
      <w:r w:rsidRPr="000A4A0F">
        <w:rPr>
          <w:rFonts w:ascii="Times New Roman" w:hAnsi="Times New Roman" w:cs="Times New Roman"/>
          <w:b/>
          <w:sz w:val="24"/>
          <w:szCs w:val="24"/>
        </w:rPr>
        <w:t xml:space="preserve">Encéphalopathie </w:t>
      </w:r>
      <w:proofErr w:type="spellStart"/>
      <w:r w:rsidRPr="000A4A0F">
        <w:rPr>
          <w:rFonts w:ascii="Times New Roman" w:hAnsi="Times New Roman" w:cs="Times New Roman"/>
          <w:b/>
          <w:sz w:val="24"/>
          <w:szCs w:val="24"/>
        </w:rPr>
        <w:t>bilirubinémique</w:t>
      </w:r>
      <w:proofErr w:type="spellEnd"/>
      <w:r w:rsidRPr="000A4A0F">
        <w:rPr>
          <w:rFonts w:ascii="Times New Roman" w:hAnsi="Times New Roman" w:cs="Times New Roman"/>
          <w:b/>
          <w:sz w:val="24"/>
          <w:szCs w:val="24"/>
        </w:rPr>
        <w:t xml:space="preserve"> </w:t>
      </w:r>
      <w:r w:rsidR="00752010" w:rsidRPr="000A4A0F">
        <w:rPr>
          <w:rFonts w:ascii="Times New Roman" w:hAnsi="Times New Roman" w:cs="Times New Roman"/>
          <w:b/>
          <w:sz w:val="24"/>
          <w:szCs w:val="24"/>
        </w:rPr>
        <w:t>chronique</w:t>
      </w:r>
      <w:r w:rsidR="00752010" w:rsidRPr="000A4A0F">
        <w:rPr>
          <w:rFonts w:ascii="Times New Roman" w:hAnsi="Times New Roman" w:cs="Times New Roman"/>
          <w:sz w:val="24"/>
          <w:szCs w:val="24"/>
        </w:rPr>
        <w:t> :</w:t>
      </w:r>
      <w:r w:rsidRPr="000A4A0F">
        <w:rPr>
          <w:rFonts w:ascii="Times New Roman" w:hAnsi="Times New Roman" w:cs="Times New Roman"/>
          <w:sz w:val="24"/>
          <w:szCs w:val="24"/>
        </w:rPr>
        <w:t xml:space="preserve"> Séquelles cliniques de l’encéphalopathie aiguë accompagnée d’une infirmité motrice cérébrale athétosique avec ou sans convulsions, d’un retard de développement, d’une perte auditive, d’atteintes oculomotrices, de dysplasie de l’émail dentaire et de retard intellectuel.</w:t>
      </w:r>
    </w:p>
    <w:p w14:paraId="3779E3BF" w14:textId="63E88762" w:rsidR="009569A1" w:rsidRPr="000A4A0F" w:rsidRDefault="00752010" w:rsidP="000A4A0F">
      <w:pPr>
        <w:pStyle w:val="Sansinterligne"/>
        <w:numPr>
          <w:ilvl w:val="0"/>
          <w:numId w:val="46"/>
        </w:numPr>
        <w:spacing w:line="360" w:lineRule="auto"/>
        <w:jc w:val="both"/>
        <w:rPr>
          <w:rFonts w:ascii="Times New Roman" w:hAnsi="Times New Roman" w:cs="Times New Roman"/>
          <w:sz w:val="24"/>
          <w:szCs w:val="24"/>
        </w:rPr>
      </w:pPr>
      <w:r w:rsidRPr="000A4A0F">
        <w:rPr>
          <w:rFonts w:ascii="Times New Roman" w:hAnsi="Times New Roman" w:cs="Times New Roman"/>
          <w:b/>
          <w:sz w:val="24"/>
          <w:szCs w:val="24"/>
        </w:rPr>
        <w:t>Hyper bilirubinémie</w:t>
      </w:r>
      <w:r w:rsidR="009569A1" w:rsidRPr="000A4A0F">
        <w:rPr>
          <w:rFonts w:ascii="Times New Roman" w:hAnsi="Times New Roman" w:cs="Times New Roman"/>
          <w:b/>
          <w:sz w:val="24"/>
          <w:szCs w:val="24"/>
        </w:rPr>
        <w:t xml:space="preserve"> importante</w:t>
      </w:r>
      <w:r w:rsidR="009569A1" w:rsidRPr="000A4A0F">
        <w:rPr>
          <w:rFonts w:ascii="Times New Roman" w:hAnsi="Times New Roman" w:cs="Times New Roman"/>
          <w:sz w:val="24"/>
          <w:szCs w:val="24"/>
        </w:rPr>
        <w:t xml:space="preserve"> : Concentration de bilirubine sérique totale (BST) supérieure à 20 mg/</w:t>
      </w:r>
      <w:r w:rsidRPr="000A4A0F">
        <w:rPr>
          <w:rFonts w:ascii="Times New Roman" w:hAnsi="Times New Roman" w:cs="Times New Roman"/>
          <w:sz w:val="24"/>
          <w:szCs w:val="24"/>
        </w:rPr>
        <w:t>dl</w:t>
      </w:r>
      <w:r w:rsidR="009569A1" w:rsidRPr="000A4A0F">
        <w:rPr>
          <w:rFonts w:ascii="Times New Roman" w:hAnsi="Times New Roman" w:cs="Times New Roman"/>
          <w:sz w:val="24"/>
          <w:szCs w:val="24"/>
        </w:rPr>
        <w:t xml:space="preserve"> en tout temps pendant les 28 premiers jours de vie.</w:t>
      </w:r>
    </w:p>
    <w:p w14:paraId="1B9E33F5" w14:textId="18A7B080" w:rsidR="009569A1" w:rsidRPr="000A4A0F" w:rsidRDefault="00752010" w:rsidP="000A4A0F">
      <w:pPr>
        <w:pStyle w:val="Sansinterligne"/>
        <w:numPr>
          <w:ilvl w:val="0"/>
          <w:numId w:val="46"/>
        </w:numPr>
        <w:spacing w:line="360" w:lineRule="auto"/>
        <w:jc w:val="both"/>
        <w:rPr>
          <w:rFonts w:ascii="Times New Roman" w:hAnsi="Times New Roman" w:cs="Times New Roman"/>
          <w:sz w:val="24"/>
          <w:szCs w:val="24"/>
        </w:rPr>
      </w:pPr>
      <w:r w:rsidRPr="000A4A0F">
        <w:rPr>
          <w:rFonts w:ascii="Times New Roman" w:hAnsi="Times New Roman" w:cs="Times New Roman"/>
          <w:b/>
          <w:sz w:val="24"/>
          <w:szCs w:val="24"/>
        </w:rPr>
        <w:t>Hyper bilirubinémie</w:t>
      </w:r>
      <w:r w:rsidR="009569A1" w:rsidRPr="000A4A0F">
        <w:rPr>
          <w:rFonts w:ascii="Times New Roman" w:hAnsi="Times New Roman" w:cs="Times New Roman"/>
          <w:b/>
          <w:sz w:val="24"/>
          <w:szCs w:val="24"/>
        </w:rPr>
        <w:t xml:space="preserve"> </w:t>
      </w:r>
      <w:r w:rsidRPr="000A4A0F">
        <w:rPr>
          <w:rFonts w:ascii="Times New Roman" w:hAnsi="Times New Roman" w:cs="Times New Roman"/>
          <w:b/>
          <w:sz w:val="24"/>
          <w:szCs w:val="24"/>
        </w:rPr>
        <w:t>grave</w:t>
      </w:r>
      <w:r w:rsidRPr="000A4A0F">
        <w:rPr>
          <w:rFonts w:ascii="Times New Roman" w:hAnsi="Times New Roman" w:cs="Times New Roman"/>
          <w:sz w:val="24"/>
          <w:szCs w:val="24"/>
        </w:rPr>
        <w:t> :</w:t>
      </w:r>
      <w:r w:rsidR="009569A1" w:rsidRPr="000A4A0F">
        <w:rPr>
          <w:rFonts w:ascii="Times New Roman" w:hAnsi="Times New Roman" w:cs="Times New Roman"/>
          <w:sz w:val="24"/>
          <w:szCs w:val="24"/>
        </w:rPr>
        <w:t xml:space="preserve"> Concentration de BST supérieure à 25 mg/</w:t>
      </w:r>
      <w:proofErr w:type="spellStart"/>
      <w:r w:rsidR="009569A1" w:rsidRPr="000A4A0F">
        <w:rPr>
          <w:rFonts w:ascii="Times New Roman" w:hAnsi="Times New Roman" w:cs="Times New Roman"/>
          <w:sz w:val="24"/>
          <w:szCs w:val="24"/>
        </w:rPr>
        <w:t>dL</w:t>
      </w:r>
      <w:proofErr w:type="spellEnd"/>
      <w:r w:rsidR="009569A1" w:rsidRPr="000A4A0F">
        <w:rPr>
          <w:rFonts w:ascii="Times New Roman" w:hAnsi="Times New Roman" w:cs="Times New Roman"/>
          <w:sz w:val="24"/>
          <w:szCs w:val="24"/>
        </w:rPr>
        <w:t xml:space="preserve"> pendant les 28 premiers jours de vie.</w:t>
      </w:r>
    </w:p>
    <w:p w14:paraId="4ED3FD51" w14:textId="77777777" w:rsidR="001B7C66" w:rsidRPr="000A4A0F" w:rsidRDefault="001B7C66" w:rsidP="000A4A0F">
      <w:pPr>
        <w:pStyle w:val="Sansinterligne"/>
        <w:spacing w:line="360" w:lineRule="auto"/>
        <w:jc w:val="both"/>
        <w:rPr>
          <w:rFonts w:ascii="Times New Roman" w:hAnsi="Times New Roman" w:cs="Times New Roman"/>
          <w:sz w:val="24"/>
          <w:szCs w:val="24"/>
        </w:rPr>
      </w:pPr>
    </w:p>
    <w:p w14:paraId="5F736547" w14:textId="4C9E84C5" w:rsidR="00E25FBB" w:rsidRPr="000A4A0F" w:rsidRDefault="00CF2F02" w:rsidP="000A4A0F">
      <w:pPr>
        <w:pStyle w:val="Titre2"/>
        <w:spacing w:line="360" w:lineRule="auto"/>
        <w:jc w:val="both"/>
        <w:rPr>
          <w:rFonts w:ascii="Times New Roman" w:hAnsi="Times New Roman" w:cs="Times New Roman"/>
          <w:b/>
          <w:sz w:val="24"/>
          <w:szCs w:val="24"/>
        </w:rPr>
      </w:pPr>
      <w:bookmarkStart w:id="18" w:name="_Toc87049046"/>
      <w:r w:rsidRPr="000A4A0F">
        <w:rPr>
          <w:rFonts w:ascii="Times New Roman" w:hAnsi="Times New Roman" w:cs="Times New Roman"/>
          <w:b/>
          <w:sz w:val="24"/>
          <w:szCs w:val="24"/>
        </w:rPr>
        <w:t>I.1. RAPPELS METABOLIQ</w:t>
      </w:r>
      <w:r w:rsidR="00D41617" w:rsidRPr="000A4A0F">
        <w:rPr>
          <w:rFonts w:ascii="Times New Roman" w:hAnsi="Times New Roman" w:cs="Times New Roman"/>
          <w:b/>
          <w:sz w:val="24"/>
          <w:szCs w:val="24"/>
        </w:rPr>
        <w:t>UES ET P</w:t>
      </w:r>
      <w:r w:rsidR="00752010" w:rsidRPr="000A4A0F">
        <w:rPr>
          <w:rFonts w:ascii="Times New Roman" w:hAnsi="Times New Roman" w:cs="Times New Roman"/>
          <w:b/>
          <w:sz w:val="24"/>
          <w:szCs w:val="24"/>
        </w:rPr>
        <w:t>HYSIOPATHOLOGIQUES</w:t>
      </w:r>
      <w:r w:rsidR="00752010" w:rsidRPr="00537D00">
        <w:rPr>
          <w:rFonts w:ascii="Times New Roman" w:hAnsi="Times New Roman" w:cs="Times New Roman"/>
          <w:b/>
          <w:sz w:val="24"/>
          <w:szCs w:val="24"/>
          <w:highlight w:val="yellow"/>
        </w:rPr>
        <w:fldChar w:fldCharType="begin" w:fldLock="1"/>
      </w:r>
      <w:r w:rsidR="00EE36B6" w:rsidRPr="00537D00">
        <w:rPr>
          <w:rFonts w:ascii="Times New Roman" w:hAnsi="Times New Roman" w:cs="Times New Roman"/>
          <w:b/>
          <w:sz w:val="24"/>
          <w:szCs w:val="24"/>
          <w:highlight w:val="yellow"/>
        </w:rPr>
        <w:instrText>ADDIN CSL_CITATION {"citationItems":[{"id":"ITEM-1","itemData":{"author":[{"dropping-particle":"","family":"Battisti","given":"Professeur Oreste","non-dropping-particle":"","parse-names":false,"suffix":""},{"dropping-particle":"De","family":"Cours","given":"Chargé","non-dropping-particle":"","parse-names":false,"suffix":""},{"dropping-particle":"De","family":"Médecine","given":"Faculté","non-dropping-particle":"","parse-names":false,"suffix":""},{"dropping-particle":"De","family":"Liège","given":"Université","non-dropping-particle":"","parse-names":false,"suffix":""},{"dropping-particle":"","family":"Définitions","given":"A","non-dropping-particle":"","parse-names":false,"suffix":""}],"id":"ITEM-1","issued":{"date-parts":[["0"]]},"page":"1-26","title":"Diagnostic et prise en charge de l ’ hyperbilirubinémie ( à partir de 35 semaines d ’ âge gestationnel )","type":"article-journal"},"uris":["http://www.mendeley.com/documents/?uuid=593aa58c-b2ee-42ab-be1d-e0b1554d69e5","http://www.mendeley.com/documents/?uuid=8efb4bd5-bce5-46ac-91e0-063c05cc6fba"]}],"mendeley":{"formattedCitation":"(3)","plainTextFormattedCitation":"(3)","previouslyFormattedCitation":"(3)"},"properties":{"noteIndex":0},"schema":"https://github.com/citation-style-language/schema/raw/master/csl-citation.json"}</w:instrText>
      </w:r>
      <w:r w:rsidR="00752010" w:rsidRPr="00537D00">
        <w:rPr>
          <w:rFonts w:ascii="Times New Roman" w:hAnsi="Times New Roman" w:cs="Times New Roman"/>
          <w:b/>
          <w:sz w:val="24"/>
          <w:szCs w:val="24"/>
          <w:highlight w:val="yellow"/>
        </w:rPr>
        <w:fldChar w:fldCharType="separate"/>
      </w:r>
      <w:r w:rsidR="00752010" w:rsidRPr="00537D00">
        <w:rPr>
          <w:rFonts w:ascii="Times New Roman" w:hAnsi="Times New Roman" w:cs="Times New Roman"/>
          <w:noProof/>
          <w:sz w:val="24"/>
          <w:szCs w:val="24"/>
          <w:highlight w:val="yellow"/>
        </w:rPr>
        <w:t>(3)</w:t>
      </w:r>
      <w:r w:rsidR="00752010" w:rsidRPr="00537D00">
        <w:rPr>
          <w:rFonts w:ascii="Times New Roman" w:hAnsi="Times New Roman" w:cs="Times New Roman"/>
          <w:b/>
          <w:sz w:val="24"/>
          <w:szCs w:val="24"/>
          <w:highlight w:val="yellow"/>
        </w:rPr>
        <w:fldChar w:fldCharType="end"/>
      </w:r>
      <w:r w:rsidR="00752010" w:rsidRPr="00537D00">
        <w:rPr>
          <w:rFonts w:ascii="Times New Roman" w:hAnsi="Times New Roman" w:cs="Times New Roman"/>
          <w:b/>
          <w:sz w:val="24"/>
          <w:szCs w:val="24"/>
          <w:highlight w:val="yellow"/>
        </w:rPr>
        <w:fldChar w:fldCharType="begin" w:fldLock="1"/>
      </w:r>
      <w:r w:rsidR="00EE36B6" w:rsidRPr="00537D00">
        <w:rPr>
          <w:rFonts w:ascii="Times New Roman" w:hAnsi="Times New Roman" w:cs="Times New Roman"/>
          <w:b/>
          <w:sz w:val="24"/>
          <w:szCs w:val="24"/>
          <w:highlight w:val="yellow"/>
        </w:rPr>
        <w:instrText>ADDIN CSL_CITATION {"citationItems":[{"id":"ITEM-1","itemData":{"author":[{"dropping-particle":"","family":"Trivin","given":"","non-dropping-particle":"","parse-names":false,"suffix":""}],"container-title":"EMC","edition":"1998","id":"ITEM-1","issued":{"date-parts":[["1998"]]},"publisher":"Elsevier Inc.","title":"Physiologie de la bilirubine","type":"entry-encyclopedia"},"uris":["http://www.mendeley.com/documents/?uuid=b564a89a-5f84-438b-a7a7-052483732d0e","http://www.mendeley.com/documents/?uuid=d395c0f1-caab-4dd7-b25b-7c941e51d21f"]}],"mendeley":{"formattedCitation":"(13)","plainTextFormattedCitation":"(13)","previouslyFormattedCitation":"(13)"},"properties":{"noteIndex":0},"schema":"https://github.com/citation-style-language/schema/raw/master/csl-citation.json"}</w:instrText>
      </w:r>
      <w:r w:rsidR="00752010" w:rsidRPr="00537D00">
        <w:rPr>
          <w:rFonts w:ascii="Times New Roman" w:hAnsi="Times New Roman" w:cs="Times New Roman"/>
          <w:b/>
          <w:sz w:val="24"/>
          <w:szCs w:val="24"/>
          <w:highlight w:val="yellow"/>
        </w:rPr>
        <w:fldChar w:fldCharType="separate"/>
      </w:r>
      <w:r w:rsidR="00752010" w:rsidRPr="00537D00">
        <w:rPr>
          <w:rFonts w:ascii="Times New Roman" w:hAnsi="Times New Roman" w:cs="Times New Roman"/>
          <w:noProof/>
          <w:sz w:val="24"/>
          <w:szCs w:val="24"/>
          <w:highlight w:val="yellow"/>
        </w:rPr>
        <w:t>(13)</w:t>
      </w:r>
      <w:r w:rsidR="00752010" w:rsidRPr="00537D00">
        <w:rPr>
          <w:rFonts w:ascii="Times New Roman" w:hAnsi="Times New Roman" w:cs="Times New Roman"/>
          <w:b/>
          <w:sz w:val="24"/>
          <w:szCs w:val="24"/>
          <w:highlight w:val="yellow"/>
        </w:rPr>
        <w:fldChar w:fldCharType="end"/>
      </w:r>
      <w:r w:rsidR="00752010" w:rsidRPr="00537D00">
        <w:rPr>
          <w:rFonts w:ascii="Times New Roman" w:hAnsi="Times New Roman" w:cs="Times New Roman"/>
          <w:b/>
          <w:sz w:val="24"/>
          <w:szCs w:val="24"/>
          <w:highlight w:val="yellow"/>
        </w:rPr>
        <w:fldChar w:fldCharType="begin" w:fldLock="1"/>
      </w:r>
      <w:r w:rsidR="00EE36B6" w:rsidRPr="00537D00">
        <w:rPr>
          <w:rFonts w:ascii="Times New Roman" w:hAnsi="Times New Roman" w:cs="Times New Roman"/>
          <w:b/>
          <w:sz w:val="24"/>
          <w:szCs w:val="24"/>
          <w:highlight w:val="yellow"/>
        </w:rPr>
        <w:instrText>ADDIN CSL_CITATION {"citationItems":[{"id":"ITEM-1","itemData":{"author":[{"dropping-particle":"V","family":"Labrune P, Trioche-Eberschweiler P","given":"Gajdos","non-dropping-particle":"","parse-names":false,"suffix":""}],"container-title":"EMC","edition":"2010","id":"ITEM-1","issued":{"date-parts":[["2010"]]},"page":"6","publisher":"Elsevier Inc.","title":"Diagnostic de l'ictère du nouveau-né","type":"entry-encyclopedia"},"uris":["http://www.mendeley.com/documents/?uuid=a9788be6-4563-49cf-ba9b-c59ec76c8058","http://www.mendeley.com/documents/?uuid=44b9a2e4-3e38-4765-b01b-d805e901f6bc"]}],"mendeley":{"formattedCitation":"(14)","plainTextFormattedCitation":"(14)","previouslyFormattedCitation":"(14)"},"properties":{"noteIndex":0},"schema":"https://github.com/citation-style-language/schema/raw/master/csl-citation.json"}</w:instrText>
      </w:r>
      <w:r w:rsidR="00752010" w:rsidRPr="00537D00">
        <w:rPr>
          <w:rFonts w:ascii="Times New Roman" w:hAnsi="Times New Roman" w:cs="Times New Roman"/>
          <w:b/>
          <w:sz w:val="24"/>
          <w:szCs w:val="24"/>
          <w:highlight w:val="yellow"/>
        </w:rPr>
        <w:fldChar w:fldCharType="separate"/>
      </w:r>
      <w:r w:rsidR="00752010" w:rsidRPr="00537D00">
        <w:rPr>
          <w:rFonts w:ascii="Times New Roman" w:hAnsi="Times New Roman" w:cs="Times New Roman"/>
          <w:noProof/>
          <w:sz w:val="24"/>
          <w:szCs w:val="24"/>
          <w:highlight w:val="yellow"/>
        </w:rPr>
        <w:t>(14)</w:t>
      </w:r>
      <w:r w:rsidR="00752010" w:rsidRPr="00537D00">
        <w:rPr>
          <w:rFonts w:ascii="Times New Roman" w:hAnsi="Times New Roman" w:cs="Times New Roman"/>
          <w:b/>
          <w:sz w:val="24"/>
          <w:szCs w:val="24"/>
          <w:highlight w:val="yellow"/>
        </w:rPr>
        <w:fldChar w:fldCharType="end"/>
      </w:r>
      <w:r w:rsidR="00752010" w:rsidRPr="00537D00">
        <w:rPr>
          <w:rFonts w:ascii="Times New Roman" w:hAnsi="Times New Roman" w:cs="Times New Roman"/>
          <w:b/>
          <w:sz w:val="24"/>
          <w:szCs w:val="24"/>
          <w:highlight w:val="yellow"/>
        </w:rPr>
        <w:fldChar w:fldCharType="begin" w:fldLock="1"/>
      </w:r>
      <w:r w:rsidR="00EE36B6" w:rsidRPr="00537D00">
        <w:rPr>
          <w:rFonts w:ascii="Times New Roman" w:hAnsi="Times New Roman" w:cs="Times New Roman"/>
          <w:b/>
          <w:sz w:val="24"/>
          <w:szCs w:val="24"/>
          <w:highlight w:val="yellow"/>
        </w:rPr>
        <w:instrText>ADDIN CSL_CITATION {"citationItems":[{"id":"ITEM-1","itemData":{"author":[{"dropping-particle":"","family":"A","given":"Bourillon","non-dropping-particle":"","parse-names":false,"suffix":""}],"edition":"4ème","id":"ITEM-1","issued":{"date-parts":[["2003"]]},"number-of-pages":"681","publisher":"Masson","title":"Pédiatrie pour le praticien","type":"book"},"uris":["http://www.mendeley.com/documents/?uuid=c082c76f-5cd3-423e-9036-791814e88de0","http://www.mendeley.com/documents/?uuid=b9e5c68e-0f1b-4c89-8a3a-537e3c404793"]}],"mendeley":{"formattedCitation":"(15)","plainTextFormattedCitation":"(15)","previouslyFormattedCitation":"(15)"},"properties":{"noteIndex":0},"schema":"https://github.com/citation-style-language/schema/raw/master/csl-citation.json"}</w:instrText>
      </w:r>
      <w:r w:rsidR="00752010" w:rsidRPr="00537D00">
        <w:rPr>
          <w:rFonts w:ascii="Times New Roman" w:hAnsi="Times New Roman" w:cs="Times New Roman"/>
          <w:b/>
          <w:sz w:val="24"/>
          <w:szCs w:val="24"/>
          <w:highlight w:val="yellow"/>
        </w:rPr>
        <w:fldChar w:fldCharType="separate"/>
      </w:r>
      <w:r w:rsidR="00752010" w:rsidRPr="00537D00">
        <w:rPr>
          <w:rFonts w:ascii="Times New Roman" w:hAnsi="Times New Roman" w:cs="Times New Roman"/>
          <w:noProof/>
          <w:sz w:val="24"/>
          <w:szCs w:val="24"/>
          <w:highlight w:val="yellow"/>
        </w:rPr>
        <w:t>(15)</w:t>
      </w:r>
      <w:r w:rsidR="00752010" w:rsidRPr="00537D00">
        <w:rPr>
          <w:rFonts w:ascii="Times New Roman" w:hAnsi="Times New Roman" w:cs="Times New Roman"/>
          <w:b/>
          <w:sz w:val="24"/>
          <w:szCs w:val="24"/>
          <w:highlight w:val="yellow"/>
        </w:rPr>
        <w:fldChar w:fldCharType="end"/>
      </w:r>
      <w:r w:rsidRPr="000A4A0F">
        <w:rPr>
          <w:rFonts w:ascii="Times New Roman" w:hAnsi="Times New Roman" w:cs="Times New Roman"/>
          <w:b/>
          <w:sz w:val="24"/>
          <w:szCs w:val="24"/>
        </w:rPr>
        <w:t>.</w:t>
      </w:r>
      <w:bookmarkEnd w:id="18"/>
    </w:p>
    <w:p w14:paraId="2575E314" w14:textId="77777777" w:rsidR="001B7C66" w:rsidRPr="000A4A0F" w:rsidRDefault="001B7C66" w:rsidP="000A4A0F">
      <w:pPr>
        <w:spacing w:line="360" w:lineRule="auto"/>
        <w:jc w:val="both"/>
        <w:rPr>
          <w:rFonts w:ascii="Times New Roman" w:hAnsi="Times New Roman" w:cs="Times New Roman"/>
          <w:sz w:val="24"/>
          <w:szCs w:val="24"/>
        </w:rPr>
      </w:pPr>
    </w:p>
    <w:p w14:paraId="6901367F" w14:textId="77777777" w:rsidR="007E2F36" w:rsidRPr="000A4A0F" w:rsidRDefault="00075F68"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La connaissance du métabolisme de la bilirubine est importante pour r</w:t>
      </w:r>
      <w:r w:rsidR="005E4EF6" w:rsidRPr="000A4A0F">
        <w:rPr>
          <w:rFonts w:ascii="Times New Roman" w:eastAsiaTheme="minorHAnsi" w:hAnsi="Times New Roman" w:cs="Times New Roman"/>
          <w:color w:val="000000"/>
          <w:sz w:val="24"/>
          <w:szCs w:val="24"/>
        </w:rPr>
        <w:t>echercher l'étiologie d'une HB.</w:t>
      </w:r>
      <w:r w:rsidR="007E2F36" w:rsidRPr="000A4A0F">
        <w:rPr>
          <w:rFonts w:ascii="Times New Roman" w:eastAsiaTheme="minorHAnsi" w:hAnsi="Times New Roman" w:cs="Times New Roman"/>
          <w:color w:val="000000"/>
          <w:sz w:val="24"/>
          <w:szCs w:val="24"/>
        </w:rPr>
        <w:t xml:space="preserve"> </w:t>
      </w:r>
      <w:r w:rsidRPr="000A4A0F">
        <w:rPr>
          <w:rFonts w:ascii="Times New Roman" w:eastAsiaTheme="minorHAnsi" w:hAnsi="Times New Roman" w:cs="Times New Roman"/>
          <w:color w:val="000000"/>
          <w:sz w:val="24"/>
          <w:szCs w:val="24"/>
        </w:rPr>
        <w:t xml:space="preserve">Cependant, il est possible qu'aucune étiologie ne soit retrouvée. </w:t>
      </w:r>
    </w:p>
    <w:p w14:paraId="6E94A0F1" w14:textId="77777777" w:rsidR="000C62D3" w:rsidRPr="000A4A0F" w:rsidRDefault="000C62D3"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La bilirubine provient de la dégradation de l’h</w:t>
      </w:r>
      <w:r w:rsidR="005E4EF6" w:rsidRPr="000A4A0F">
        <w:rPr>
          <w:rFonts w:ascii="Times New Roman" w:eastAsiaTheme="minorHAnsi" w:hAnsi="Times New Roman" w:cs="Times New Roman"/>
          <w:color w:val="000000"/>
          <w:sz w:val="24"/>
          <w:szCs w:val="24"/>
        </w:rPr>
        <w:t xml:space="preserve">ème, non seulement contenu dans </w:t>
      </w:r>
      <w:r w:rsidRPr="000A4A0F">
        <w:rPr>
          <w:rFonts w:ascii="Times New Roman" w:eastAsiaTheme="minorHAnsi" w:hAnsi="Times New Roman" w:cs="Times New Roman"/>
          <w:color w:val="000000"/>
          <w:sz w:val="24"/>
          <w:szCs w:val="24"/>
        </w:rPr>
        <w:t>l’hémoglobine mais également dans les hémoprotéines.</w:t>
      </w:r>
    </w:p>
    <w:p w14:paraId="56EF3296" w14:textId="77777777" w:rsidR="000C62D3" w:rsidRPr="000A4A0F" w:rsidRDefault="000C62D3"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Pendant la vie intra utérine, la bilirubine produite par le fœtus est conjuguée et épurée par le foie de la mère.</w:t>
      </w:r>
    </w:p>
    <w:p w14:paraId="31749A35" w14:textId="1C0F994B" w:rsidR="000C62D3" w:rsidRPr="000A4A0F" w:rsidRDefault="000C62D3"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A la naissance, quelques jours sont nécessaires pour que les mécanismes d’épuration propres du nouveau-né parviennent à équilibrer la pro</w:t>
      </w:r>
      <w:r w:rsidR="00752010" w:rsidRPr="000A4A0F">
        <w:rPr>
          <w:rFonts w:ascii="Times New Roman" w:eastAsiaTheme="minorHAnsi" w:hAnsi="Times New Roman" w:cs="Times New Roman"/>
          <w:color w:val="000000"/>
          <w:sz w:val="24"/>
          <w:szCs w:val="24"/>
        </w:rPr>
        <w:t>duction de pigment.</w:t>
      </w:r>
      <w:r w:rsidR="00752010" w:rsidRPr="000A4A0F">
        <w:rPr>
          <w:rFonts w:ascii="Times New Roman" w:eastAsiaTheme="minorHAnsi" w:hAnsi="Times New Roman" w:cs="Times New Roman"/>
          <w:color w:val="000000"/>
          <w:sz w:val="24"/>
          <w:szCs w:val="24"/>
        </w:rPr>
        <w:fldChar w:fldCharType="begin" w:fldLock="1"/>
      </w:r>
      <w:r w:rsidR="00EE36B6">
        <w:rPr>
          <w:rFonts w:ascii="Times New Roman" w:eastAsiaTheme="minorHAnsi" w:hAnsi="Times New Roman" w:cs="Times New Roman"/>
          <w:color w:val="000000"/>
          <w:sz w:val="24"/>
          <w:szCs w:val="24"/>
        </w:rPr>
        <w:instrText>ADDIN CSL_CITATION {"citationItems":[{"id":"ITEM-1","itemData":{"author":[{"dropping-particle":"","family":"Battisti","given":"Professeur Oreste","non-dropping-particle":"","parse-names":false,"suffix":""},{"dropping-particle":"De","family":"Cours","given":"Chargé","non-dropping-particle":"","parse-names":false,"suffix":""},{"dropping-particle":"De","family":"Médecine","given":"Faculté","non-dropping-particle":"","parse-names":false,"suffix":""},{"dropping-particle":"De","family":"Liège","given":"Université","non-dropping-particle":"","parse-names":false,"suffix":""},{"dropping-particle":"","family":"Définitions","given":"A","non-dropping-particle":"","parse-names":false,"suffix":""}],"id":"ITEM-1","issued":{"date-parts":[["0"]]},"page":"1-26","title":"Diagnostic et prise en charge de l ’ hyperbilirubinémie ( à partir de 35 semaines d ’ âge gestationnel )","type":"article-journal"},"uris":["http://www.mendeley.com/documents/?uuid=593aa58c-b2ee-42ab-be1d-e0b1554d69e5","http://www.mendeley.com/documents/?uuid=8efb4bd5-bce5-46ac-91e0-063c05cc6fba"]}],"mendeley":{"formattedCitation":"(3)","plainTextFormattedCitation":"(3)","previouslyFormattedCitation":"(3)"},"properties":{"noteIndex":0},"schema":"https://github.com/citation-style-language/schema/raw/master/csl-citation.json"}</w:instrText>
      </w:r>
      <w:r w:rsidR="00752010" w:rsidRPr="000A4A0F">
        <w:rPr>
          <w:rFonts w:ascii="Times New Roman" w:eastAsiaTheme="minorHAnsi" w:hAnsi="Times New Roman" w:cs="Times New Roman"/>
          <w:color w:val="000000"/>
          <w:sz w:val="24"/>
          <w:szCs w:val="24"/>
        </w:rPr>
        <w:fldChar w:fldCharType="separate"/>
      </w:r>
      <w:r w:rsidR="00752010" w:rsidRPr="000A4A0F">
        <w:rPr>
          <w:rFonts w:ascii="Times New Roman" w:eastAsiaTheme="minorHAnsi" w:hAnsi="Times New Roman" w:cs="Times New Roman"/>
          <w:noProof/>
          <w:color w:val="000000"/>
          <w:sz w:val="24"/>
          <w:szCs w:val="24"/>
        </w:rPr>
        <w:t>(3)</w:t>
      </w:r>
      <w:r w:rsidR="00752010" w:rsidRPr="000A4A0F">
        <w:rPr>
          <w:rFonts w:ascii="Times New Roman" w:eastAsiaTheme="minorHAnsi" w:hAnsi="Times New Roman" w:cs="Times New Roman"/>
          <w:color w:val="000000"/>
          <w:sz w:val="24"/>
          <w:szCs w:val="24"/>
        </w:rPr>
        <w:fldChar w:fldCharType="end"/>
      </w:r>
      <w:r w:rsidR="00752010" w:rsidRPr="000A4A0F">
        <w:rPr>
          <w:rFonts w:ascii="Times New Roman" w:eastAsiaTheme="minorHAnsi" w:hAnsi="Times New Roman" w:cs="Times New Roman"/>
          <w:color w:val="000000"/>
          <w:sz w:val="24"/>
          <w:szCs w:val="24"/>
        </w:rPr>
        <w:fldChar w:fldCharType="begin" w:fldLock="1"/>
      </w:r>
      <w:r w:rsidR="00EE36B6">
        <w:rPr>
          <w:rFonts w:ascii="Times New Roman" w:eastAsiaTheme="minorHAnsi" w:hAnsi="Times New Roman" w:cs="Times New Roman"/>
          <w:color w:val="000000"/>
          <w:sz w:val="24"/>
          <w:szCs w:val="24"/>
        </w:rPr>
        <w:instrText>ADDIN CSL_CITATION {"citationItems":[{"id":"ITEM-1","itemData":{"author":[{"dropping-particle":"V","family":"Labrune P, Trioche-Eberschweiler P","given":"Gajdos","non-dropping-particle":"","parse-names":false,"suffix":""}],"container-title":"EMC","edition":"2010","id":"ITEM-1","issued":{"date-parts":[["2010"]]},"page":"6","publisher":"Elsevier Inc.","title":"Diagnostic de l'ictère du nouveau-né","type":"entry-encyclopedia"},"uris":["http://www.mendeley.com/documents/?uuid=44b9a2e4-3e38-4765-b01b-d805e901f6bc","http://www.mendeley.com/documents/?uuid=a9788be6-4563-49cf-ba9b-c59ec76c8058"]}],"mendeley":{"formattedCitation":"(14)","plainTextFormattedCitation":"(14)","previouslyFormattedCitation":"(14)"},"properties":{"noteIndex":0},"schema":"https://github.com/citation-style-language/schema/raw/master/csl-citation.json"}</w:instrText>
      </w:r>
      <w:r w:rsidR="00752010" w:rsidRPr="000A4A0F">
        <w:rPr>
          <w:rFonts w:ascii="Times New Roman" w:eastAsiaTheme="minorHAnsi" w:hAnsi="Times New Roman" w:cs="Times New Roman"/>
          <w:color w:val="000000"/>
          <w:sz w:val="24"/>
          <w:szCs w:val="24"/>
        </w:rPr>
        <w:fldChar w:fldCharType="separate"/>
      </w:r>
      <w:r w:rsidR="00752010" w:rsidRPr="000A4A0F">
        <w:rPr>
          <w:rFonts w:ascii="Times New Roman" w:eastAsiaTheme="minorHAnsi" w:hAnsi="Times New Roman" w:cs="Times New Roman"/>
          <w:noProof/>
          <w:color w:val="000000"/>
          <w:sz w:val="24"/>
          <w:szCs w:val="24"/>
        </w:rPr>
        <w:t>(14)</w:t>
      </w:r>
      <w:r w:rsidR="00752010" w:rsidRPr="000A4A0F">
        <w:rPr>
          <w:rFonts w:ascii="Times New Roman" w:eastAsiaTheme="minorHAnsi" w:hAnsi="Times New Roman" w:cs="Times New Roman"/>
          <w:color w:val="000000"/>
          <w:sz w:val="24"/>
          <w:szCs w:val="24"/>
        </w:rPr>
        <w:fldChar w:fldCharType="end"/>
      </w:r>
    </w:p>
    <w:p w14:paraId="162DEA65" w14:textId="77777777" w:rsidR="00AE7F35" w:rsidRPr="000A4A0F" w:rsidRDefault="00AE7F35" w:rsidP="000A4A0F">
      <w:pPr>
        <w:pStyle w:val="Sansinterligne"/>
        <w:spacing w:line="360" w:lineRule="auto"/>
        <w:jc w:val="both"/>
        <w:rPr>
          <w:rFonts w:ascii="Times New Roman" w:eastAsiaTheme="minorHAnsi" w:hAnsi="Times New Roman" w:cs="Times New Roman"/>
          <w:sz w:val="24"/>
          <w:szCs w:val="24"/>
        </w:rPr>
      </w:pPr>
    </w:p>
    <w:p w14:paraId="7A85EA72" w14:textId="77777777" w:rsidR="00AE7F35" w:rsidRPr="000A4A0F" w:rsidRDefault="00AE7F35" w:rsidP="000A4A0F">
      <w:pPr>
        <w:pStyle w:val="Sansinterligne"/>
        <w:spacing w:line="360" w:lineRule="auto"/>
        <w:jc w:val="both"/>
        <w:rPr>
          <w:rFonts w:ascii="Times New Roman" w:eastAsiaTheme="minorHAnsi" w:hAnsi="Times New Roman" w:cs="Times New Roman"/>
          <w:sz w:val="24"/>
          <w:szCs w:val="24"/>
        </w:rPr>
      </w:pPr>
    </w:p>
    <w:p w14:paraId="7E801BBC" w14:textId="77777777" w:rsidR="00AE7F35" w:rsidRPr="000A4A0F" w:rsidRDefault="00AE7F35" w:rsidP="000A4A0F">
      <w:pPr>
        <w:pStyle w:val="Sansinterligne"/>
        <w:spacing w:line="360" w:lineRule="auto"/>
        <w:jc w:val="both"/>
        <w:rPr>
          <w:rFonts w:ascii="Times New Roman" w:eastAsiaTheme="minorHAnsi" w:hAnsi="Times New Roman" w:cs="Times New Roman"/>
          <w:sz w:val="24"/>
          <w:szCs w:val="24"/>
        </w:rPr>
      </w:pPr>
    </w:p>
    <w:p w14:paraId="614CA471" w14:textId="11795A68" w:rsidR="00075F68" w:rsidRPr="000A4A0F" w:rsidRDefault="00CF2F02" w:rsidP="000A4A0F">
      <w:pPr>
        <w:pStyle w:val="Sansinterligne"/>
        <w:spacing w:line="360" w:lineRule="auto"/>
        <w:jc w:val="both"/>
        <w:rPr>
          <w:rFonts w:ascii="Times New Roman" w:eastAsiaTheme="minorHAnsi" w:hAnsi="Times New Roman" w:cs="Times New Roman"/>
          <w:b/>
          <w:sz w:val="24"/>
          <w:szCs w:val="24"/>
        </w:rPr>
      </w:pPr>
      <w:r w:rsidRPr="000A4A0F">
        <w:rPr>
          <w:rFonts w:ascii="Times New Roman" w:eastAsiaTheme="minorHAnsi" w:hAnsi="Times New Roman" w:cs="Times New Roman"/>
          <w:b/>
          <w:sz w:val="24"/>
          <w:szCs w:val="24"/>
        </w:rPr>
        <w:t>I.1.1</w:t>
      </w:r>
      <w:r w:rsidR="00E50861" w:rsidRPr="000A4A0F">
        <w:rPr>
          <w:rFonts w:ascii="Times New Roman" w:eastAsiaTheme="minorHAnsi" w:hAnsi="Times New Roman" w:cs="Times New Roman"/>
          <w:b/>
          <w:sz w:val="24"/>
          <w:szCs w:val="24"/>
        </w:rPr>
        <w:t xml:space="preserve">. </w:t>
      </w:r>
      <w:r w:rsidR="00075F68" w:rsidRPr="000A4A0F">
        <w:rPr>
          <w:rFonts w:ascii="Times New Roman" w:eastAsiaTheme="minorHAnsi" w:hAnsi="Times New Roman" w:cs="Times New Roman"/>
          <w:b/>
          <w:sz w:val="24"/>
          <w:szCs w:val="24"/>
        </w:rPr>
        <w:t>Fo</w:t>
      </w:r>
      <w:r w:rsidR="00752010" w:rsidRPr="000A4A0F">
        <w:rPr>
          <w:rFonts w:ascii="Times New Roman" w:eastAsiaTheme="minorHAnsi" w:hAnsi="Times New Roman" w:cs="Times New Roman"/>
          <w:b/>
          <w:sz w:val="24"/>
          <w:szCs w:val="24"/>
        </w:rPr>
        <w:t>rmation de la bilirubine</w:t>
      </w:r>
      <w:r w:rsidR="00075F68" w:rsidRPr="000A4A0F">
        <w:rPr>
          <w:rFonts w:ascii="Times New Roman" w:eastAsiaTheme="minorHAnsi" w:hAnsi="Times New Roman" w:cs="Times New Roman"/>
          <w:b/>
          <w:sz w:val="24"/>
          <w:szCs w:val="24"/>
        </w:rPr>
        <w:t xml:space="preserve">. </w:t>
      </w:r>
      <w:r w:rsidR="00752010" w:rsidRPr="00537D00">
        <w:rPr>
          <w:rFonts w:ascii="Times New Roman" w:eastAsiaTheme="minorHAnsi" w:hAnsi="Times New Roman" w:cs="Times New Roman"/>
          <w:b/>
          <w:sz w:val="24"/>
          <w:szCs w:val="24"/>
          <w:highlight w:val="yellow"/>
        </w:rPr>
        <w:fldChar w:fldCharType="begin" w:fldLock="1"/>
      </w:r>
      <w:r w:rsidR="00EE36B6" w:rsidRPr="00537D00">
        <w:rPr>
          <w:rFonts w:ascii="Times New Roman" w:eastAsiaTheme="minorHAnsi" w:hAnsi="Times New Roman" w:cs="Times New Roman"/>
          <w:b/>
          <w:sz w:val="24"/>
          <w:szCs w:val="24"/>
          <w:highlight w:val="yellow"/>
        </w:rPr>
        <w:instrText>ADDIN CSL_CITATION {"citationItems":[{"id":"ITEM-1","itemData":{"author":[{"dropping-particle":"V","family":"Labrune P, Trioche-Eberschweiler P","given":"Gajdos","non-dropping-particle":"","parse-names":false,"suffix":""}],"container-title":"EMC","edition":"2010","id":"ITEM-1","issued":{"date-parts":[["2010"]]},"page":"6","publisher":"Elsevier Inc.","title":"Diagnostic de l'ictère du nouveau-né","type":"entry-encyclopedia"},"uris":["http://www.mendeley.com/documents/?uuid=44b9a2e4-3e38-4765-b01b-d805e901f6bc","http://www.mendeley.com/documents/?uuid=a9788be6-4563-49cf-ba9b-c59ec76c8058"]}],"mendeley":{"formattedCitation":"(14)","plainTextFormattedCitation":"(14)","previouslyFormattedCitation":"(14)"},"properties":{"noteIndex":0},"schema":"https://github.com/citation-style-language/schema/raw/master/csl-citation.json"}</w:instrText>
      </w:r>
      <w:r w:rsidR="00752010" w:rsidRPr="00537D00">
        <w:rPr>
          <w:rFonts w:ascii="Times New Roman" w:eastAsiaTheme="minorHAnsi" w:hAnsi="Times New Roman" w:cs="Times New Roman"/>
          <w:b/>
          <w:sz w:val="24"/>
          <w:szCs w:val="24"/>
          <w:highlight w:val="yellow"/>
        </w:rPr>
        <w:fldChar w:fldCharType="separate"/>
      </w:r>
      <w:r w:rsidR="00752010" w:rsidRPr="00537D00">
        <w:rPr>
          <w:rFonts w:ascii="Times New Roman" w:eastAsiaTheme="minorHAnsi" w:hAnsi="Times New Roman" w:cs="Times New Roman"/>
          <w:noProof/>
          <w:sz w:val="24"/>
          <w:szCs w:val="24"/>
          <w:highlight w:val="yellow"/>
        </w:rPr>
        <w:t>(14)</w:t>
      </w:r>
      <w:r w:rsidR="00752010" w:rsidRPr="00537D00">
        <w:rPr>
          <w:rFonts w:ascii="Times New Roman" w:eastAsiaTheme="minorHAnsi" w:hAnsi="Times New Roman" w:cs="Times New Roman"/>
          <w:b/>
          <w:sz w:val="24"/>
          <w:szCs w:val="24"/>
          <w:highlight w:val="yellow"/>
        </w:rPr>
        <w:fldChar w:fldCharType="end"/>
      </w:r>
      <w:r w:rsidR="00752010" w:rsidRPr="00537D00">
        <w:rPr>
          <w:rFonts w:ascii="Times New Roman" w:eastAsiaTheme="minorHAnsi" w:hAnsi="Times New Roman" w:cs="Times New Roman"/>
          <w:b/>
          <w:sz w:val="24"/>
          <w:szCs w:val="24"/>
          <w:highlight w:val="yellow"/>
        </w:rPr>
        <w:fldChar w:fldCharType="begin" w:fldLock="1"/>
      </w:r>
      <w:r w:rsidR="00EE36B6" w:rsidRPr="00537D00">
        <w:rPr>
          <w:rFonts w:ascii="Times New Roman" w:eastAsiaTheme="minorHAnsi" w:hAnsi="Times New Roman" w:cs="Times New Roman"/>
          <w:b/>
          <w:sz w:val="24"/>
          <w:szCs w:val="24"/>
          <w:highlight w:val="yellow"/>
        </w:rPr>
        <w:instrText>ADDIN CSL_CITATION {"citationItems":[{"id":"ITEM-1","itemData":{"author":[{"dropping-particle":"","family":"A","given":"Bourillon","non-dropping-particle":"","parse-names":false,"suffix":""}],"edition":"4ème","id":"ITEM-1","issued":{"date-parts":[["2003"]]},"number-of-pages":"681","publisher":"Masson","title":"Pédiatrie pour le praticien","type":"book"},"uris":["http://www.mendeley.com/documents/?uuid=b9e5c68e-0f1b-4c89-8a3a-537e3c404793","http://www.mendeley.com/documents/?uuid=c082c76f-5cd3-423e-9036-791814e88de0"]}],"mendeley":{"formattedCitation":"(15)","plainTextFormattedCitation":"(15)","previouslyFormattedCitation":"(15)"},"properties":{"noteIndex":0},"schema":"https://github.com/citation-style-language/schema/raw/master/csl-citation.json"}</w:instrText>
      </w:r>
      <w:r w:rsidR="00752010" w:rsidRPr="00537D00">
        <w:rPr>
          <w:rFonts w:ascii="Times New Roman" w:eastAsiaTheme="minorHAnsi" w:hAnsi="Times New Roman" w:cs="Times New Roman"/>
          <w:b/>
          <w:sz w:val="24"/>
          <w:szCs w:val="24"/>
          <w:highlight w:val="yellow"/>
        </w:rPr>
        <w:fldChar w:fldCharType="separate"/>
      </w:r>
      <w:r w:rsidR="00752010" w:rsidRPr="00537D00">
        <w:rPr>
          <w:rFonts w:ascii="Times New Roman" w:eastAsiaTheme="minorHAnsi" w:hAnsi="Times New Roman" w:cs="Times New Roman"/>
          <w:noProof/>
          <w:sz w:val="24"/>
          <w:szCs w:val="24"/>
          <w:highlight w:val="yellow"/>
        </w:rPr>
        <w:t>(15)</w:t>
      </w:r>
      <w:r w:rsidR="00752010" w:rsidRPr="00537D00">
        <w:rPr>
          <w:rFonts w:ascii="Times New Roman" w:eastAsiaTheme="minorHAnsi" w:hAnsi="Times New Roman" w:cs="Times New Roman"/>
          <w:b/>
          <w:sz w:val="24"/>
          <w:szCs w:val="24"/>
          <w:highlight w:val="yellow"/>
        </w:rPr>
        <w:fldChar w:fldCharType="end"/>
      </w:r>
    </w:p>
    <w:p w14:paraId="13B4F31C" w14:textId="77777777" w:rsidR="00AE7F35" w:rsidRPr="000A4A0F" w:rsidRDefault="00AE7F35" w:rsidP="000A4A0F">
      <w:pPr>
        <w:pStyle w:val="Sansinterligne"/>
        <w:spacing w:line="360" w:lineRule="auto"/>
        <w:jc w:val="both"/>
        <w:rPr>
          <w:rFonts w:ascii="Times New Roman" w:eastAsiaTheme="minorHAnsi" w:hAnsi="Times New Roman" w:cs="Times New Roman"/>
          <w:b/>
          <w:sz w:val="24"/>
          <w:szCs w:val="24"/>
        </w:rPr>
      </w:pPr>
    </w:p>
    <w:p w14:paraId="544D5DF0" w14:textId="77777777" w:rsidR="009B1B8C" w:rsidRPr="000A4A0F" w:rsidRDefault="00075F68"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La bilirubine est un produit de dégradation de l'hème, celui-ci étant le seul substrat possible. L'hème</w:t>
      </w:r>
      <w:r w:rsidR="00BC0880" w:rsidRPr="000A4A0F">
        <w:rPr>
          <w:rFonts w:ascii="Times New Roman" w:eastAsiaTheme="minorHAnsi" w:hAnsi="Times New Roman" w:cs="Times New Roman"/>
          <w:color w:val="000000"/>
          <w:sz w:val="24"/>
          <w:szCs w:val="24"/>
        </w:rPr>
        <w:t xml:space="preserve"> </w:t>
      </w:r>
      <w:r w:rsidR="004D6BC6" w:rsidRPr="000A4A0F">
        <w:rPr>
          <w:rFonts w:ascii="Times New Roman" w:eastAsiaTheme="minorHAnsi" w:hAnsi="Times New Roman" w:cs="Times New Roman"/>
          <w:color w:val="000000"/>
          <w:sz w:val="24"/>
          <w:szCs w:val="24"/>
        </w:rPr>
        <w:t>étant</w:t>
      </w:r>
      <w:r w:rsidRPr="000A4A0F">
        <w:rPr>
          <w:rFonts w:ascii="Times New Roman" w:eastAsiaTheme="minorHAnsi" w:hAnsi="Times New Roman" w:cs="Times New Roman"/>
          <w:color w:val="000000"/>
          <w:sz w:val="24"/>
          <w:szCs w:val="24"/>
        </w:rPr>
        <w:t xml:space="preserve"> présent au sein de l'hémoglobine et </w:t>
      </w:r>
      <w:r w:rsidR="006E1AEE" w:rsidRPr="000A4A0F">
        <w:rPr>
          <w:rFonts w:ascii="Times New Roman" w:eastAsiaTheme="minorHAnsi" w:hAnsi="Times New Roman" w:cs="Times New Roman"/>
          <w:color w:val="000000"/>
          <w:sz w:val="24"/>
          <w:szCs w:val="24"/>
        </w:rPr>
        <w:t xml:space="preserve">d'autres hémoprotéines comme la </w:t>
      </w:r>
      <w:r w:rsidRPr="000A4A0F">
        <w:rPr>
          <w:rFonts w:ascii="Times New Roman" w:eastAsiaTheme="minorHAnsi" w:hAnsi="Times New Roman" w:cs="Times New Roman"/>
          <w:color w:val="000000"/>
          <w:sz w:val="24"/>
          <w:szCs w:val="24"/>
        </w:rPr>
        <w:t xml:space="preserve">myoglobine, les cytochromes, les catalases, les peroxydases. </w:t>
      </w:r>
    </w:p>
    <w:p w14:paraId="3719A6B1" w14:textId="77777777" w:rsidR="00075F68" w:rsidRPr="000A4A0F" w:rsidRDefault="00075F68"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La destruction de l'hémoglobine contenue dans les érythrocytes sénescents circulants est responsable d'environ 75% de la production journalière de bilirubine du nouveau-né.</w:t>
      </w:r>
    </w:p>
    <w:p w14:paraId="6E1C9A5B" w14:textId="77777777" w:rsidR="00BC0492" w:rsidRPr="000A4A0F" w:rsidRDefault="00BC0492"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Les autres sources de production sont d'une part le catabolisme de l'hème libre et de l'hème contenu dans les autres hémoprotéines et d'autre part la lyse d'érythroblastes ou d'érythrocytes non sénescents.</w:t>
      </w:r>
    </w:p>
    <w:p w14:paraId="5A5A8EE4" w14:textId="77777777" w:rsidR="00BC0492" w:rsidRPr="000A4A0F" w:rsidRDefault="00BC0492"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Lors de l’hémolyse, l’hémoglobine libère une globine, un atome de fer, et le noyau tétra pyrrolique ou hème.</w:t>
      </w:r>
    </w:p>
    <w:p w14:paraId="5F28A827" w14:textId="77777777" w:rsidR="00BC0492" w:rsidRPr="000A4A0F" w:rsidRDefault="00BC0492"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 xml:space="preserve">L’hème-oxygénase intervient à ce stade comme enzyme clé de la production de bilirubine. </w:t>
      </w:r>
    </w:p>
    <w:p w14:paraId="35C7CC84" w14:textId="77777777" w:rsidR="00BC0492" w:rsidRPr="000A4A0F" w:rsidRDefault="00BC0492"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En présence de NADPH cytochrome C réductase, elle transforme l’hème en biliverdine, libérant de plus une molécule de monoxyde de carbone(CO).</w:t>
      </w:r>
    </w:p>
    <w:p w14:paraId="4CFDB074" w14:textId="77777777" w:rsidR="00BC0492" w:rsidRPr="000A4A0F" w:rsidRDefault="00BC0492"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 xml:space="preserve">La dégradation de l'hème a lieu au niveau du réticulum endoplasmique des tissus réticulo-endothéliaux (rate, foie et moelle osseuse) mais aussi dans d'autres tissus. </w:t>
      </w:r>
    </w:p>
    <w:p w14:paraId="3B673D70" w14:textId="77777777" w:rsidR="00BC0492" w:rsidRPr="000A4A0F" w:rsidRDefault="00BC0492"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Son oxydation est catalysée par l'hème-oxygénase et pr</w:t>
      </w:r>
      <w:r w:rsidR="004A67E6" w:rsidRPr="000A4A0F">
        <w:rPr>
          <w:rFonts w:ascii="Times New Roman" w:eastAsiaTheme="minorHAnsi" w:hAnsi="Times New Roman" w:cs="Times New Roman"/>
          <w:color w:val="000000"/>
          <w:sz w:val="24"/>
          <w:szCs w:val="24"/>
        </w:rPr>
        <w:t xml:space="preserve">oduit de la biliverdine qui </w:t>
      </w:r>
      <w:r w:rsidR="00F37086" w:rsidRPr="000A4A0F">
        <w:rPr>
          <w:rFonts w:ascii="Times New Roman" w:eastAsiaTheme="minorHAnsi" w:hAnsi="Times New Roman" w:cs="Times New Roman"/>
          <w:color w:val="000000"/>
          <w:sz w:val="24"/>
          <w:szCs w:val="24"/>
        </w:rPr>
        <w:t>elle-même</w:t>
      </w:r>
      <w:r w:rsidRPr="000A4A0F">
        <w:rPr>
          <w:rFonts w:ascii="Times New Roman" w:eastAsiaTheme="minorHAnsi" w:hAnsi="Times New Roman" w:cs="Times New Roman"/>
          <w:color w:val="000000"/>
          <w:sz w:val="24"/>
          <w:szCs w:val="24"/>
        </w:rPr>
        <w:t xml:space="preserve"> réduite par la biliverdine-réductase pour synthétiser la bilirubine.</w:t>
      </w:r>
    </w:p>
    <w:p w14:paraId="57D79328" w14:textId="77777777" w:rsidR="001B7C66" w:rsidRPr="000A4A0F" w:rsidRDefault="001B7C66" w:rsidP="000A4A0F">
      <w:pPr>
        <w:pStyle w:val="Sansinterligne"/>
        <w:spacing w:line="360" w:lineRule="auto"/>
        <w:jc w:val="both"/>
        <w:rPr>
          <w:rFonts w:ascii="Times New Roman" w:eastAsiaTheme="minorHAnsi" w:hAnsi="Times New Roman" w:cs="Times New Roman"/>
          <w:color w:val="000000"/>
          <w:sz w:val="24"/>
          <w:szCs w:val="24"/>
        </w:rPr>
      </w:pPr>
    </w:p>
    <w:p w14:paraId="02ACCFBA" w14:textId="3B568044" w:rsidR="00BC0492" w:rsidRPr="000A4A0F" w:rsidRDefault="00201D1A" w:rsidP="000A4A0F">
      <w:pPr>
        <w:pStyle w:val="Sansinterligne"/>
        <w:spacing w:line="360" w:lineRule="auto"/>
        <w:jc w:val="both"/>
        <w:rPr>
          <w:rFonts w:ascii="Times New Roman" w:eastAsiaTheme="minorHAnsi" w:hAnsi="Times New Roman" w:cs="Times New Roman"/>
          <w:b/>
          <w:sz w:val="24"/>
          <w:szCs w:val="24"/>
        </w:rPr>
      </w:pPr>
      <w:r w:rsidRPr="000A4A0F">
        <w:rPr>
          <w:rFonts w:ascii="Times New Roman" w:eastAsiaTheme="minorHAnsi" w:hAnsi="Times New Roman" w:cs="Times New Roman"/>
          <w:b/>
          <w:sz w:val="24"/>
          <w:szCs w:val="24"/>
        </w:rPr>
        <w:t>I.</w:t>
      </w:r>
      <w:r w:rsidR="00C15AFA" w:rsidRPr="000A4A0F">
        <w:rPr>
          <w:rFonts w:ascii="Times New Roman" w:eastAsiaTheme="minorHAnsi" w:hAnsi="Times New Roman" w:cs="Times New Roman"/>
          <w:b/>
          <w:sz w:val="24"/>
          <w:szCs w:val="24"/>
        </w:rPr>
        <w:t>1</w:t>
      </w:r>
      <w:r w:rsidRPr="000A4A0F">
        <w:rPr>
          <w:rFonts w:ascii="Times New Roman" w:eastAsiaTheme="minorHAnsi" w:hAnsi="Times New Roman" w:cs="Times New Roman"/>
          <w:b/>
          <w:sz w:val="24"/>
          <w:szCs w:val="24"/>
        </w:rPr>
        <w:t>.</w:t>
      </w:r>
      <w:r w:rsidR="00C15AFA" w:rsidRPr="000A4A0F">
        <w:rPr>
          <w:rFonts w:ascii="Times New Roman" w:eastAsiaTheme="minorHAnsi" w:hAnsi="Times New Roman" w:cs="Times New Roman"/>
          <w:b/>
          <w:sz w:val="24"/>
          <w:szCs w:val="24"/>
        </w:rPr>
        <w:t>2.</w:t>
      </w:r>
      <w:r w:rsidRPr="000A4A0F">
        <w:rPr>
          <w:rFonts w:ascii="Times New Roman" w:eastAsiaTheme="minorHAnsi" w:hAnsi="Times New Roman" w:cs="Times New Roman"/>
          <w:b/>
          <w:sz w:val="24"/>
          <w:szCs w:val="24"/>
        </w:rPr>
        <w:t xml:space="preserve"> </w:t>
      </w:r>
      <w:r w:rsidR="00C15AFA" w:rsidRPr="000A4A0F">
        <w:rPr>
          <w:rFonts w:ascii="Times New Roman" w:eastAsiaTheme="minorHAnsi" w:hAnsi="Times New Roman" w:cs="Times New Roman"/>
          <w:b/>
          <w:sz w:val="24"/>
          <w:szCs w:val="24"/>
        </w:rPr>
        <w:t>Transport de la bilirubine</w:t>
      </w:r>
      <w:r w:rsidRPr="00537D00">
        <w:rPr>
          <w:rFonts w:ascii="Times New Roman" w:eastAsiaTheme="minorHAnsi" w:hAnsi="Times New Roman" w:cs="Times New Roman"/>
          <w:b/>
          <w:sz w:val="24"/>
          <w:szCs w:val="24"/>
          <w:highlight w:val="yellow"/>
        </w:rPr>
        <w:t>.</w:t>
      </w:r>
      <w:r w:rsidR="00752010" w:rsidRPr="00537D00">
        <w:rPr>
          <w:rFonts w:ascii="Times New Roman" w:eastAsiaTheme="minorHAnsi" w:hAnsi="Times New Roman" w:cs="Times New Roman"/>
          <w:b/>
          <w:sz w:val="24"/>
          <w:szCs w:val="24"/>
          <w:highlight w:val="yellow"/>
        </w:rPr>
        <w:fldChar w:fldCharType="begin" w:fldLock="1"/>
      </w:r>
      <w:r w:rsidR="00EE36B6" w:rsidRPr="00537D00">
        <w:rPr>
          <w:rFonts w:ascii="Times New Roman" w:eastAsiaTheme="minorHAnsi" w:hAnsi="Times New Roman" w:cs="Times New Roman"/>
          <w:b/>
          <w:sz w:val="24"/>
          <w:szCs w:val="24"/>
          <w:highlight w:val="yellow"/>
        </w:rPr>
        <w:instrText>ADDIN CSL_CITATION {"citationItems":[{"id":"ITEM-1","itemData":{"author":[{"dropping-particle":"V","family":"Labrune P, Trioche-Eberschweiler P","given":"Gajdos","non-dropping-particle":"","parse-names":false,"suffix":""}],"container-title":"EMC","edition":"2010","id":"ITEM-1","issued":{"date-parts":[["2010"]]},"page":"6","publisher":"Elsevier Inc.","title":"Diagnostic de l'ictère du nouveau-né","type":"entry-encyclopedia"},"uris":["http://www.mendeley.com/documents/?uuid=44b9a2e4-3e38-4765-b01b-d805e901f6bc","http://www.mendeley.com/documents/?uuid=a9788be6-4563-49cf-ba9b-c59ec76c8058"]}],"mendeley":{"formattedCitation":"(14)","plainTextFormattedCitation":"(14)","previouslyFormattedCitation":"(14)"},"properties":{"noteIndex":0},"schema":"https://github.com/citation-style-language/schema/raw/master/csl-citation.json"}</w:instrText>
      </w:r>
      <w:r w:rsidR="00752010" w:rsidRPr="00537D00">
        <w:rPr>
          <w:rFonts w:ascii="Times New Roman" w:eastAsiaTheme="minorHAnsi" w:hAnsi="Times New Roman" w:cs="Times New Roman"/>
          <w:b/>
          <w:sz w:val="24"/>
          <w:szCs w:val="24"/>
          <w:highlight w:val="yellow"/>
        </w:rPr>
        <w:fldChar w:fldCharType="separate"/>
      </w:r>
      <w:r w:rsidR="00752010" w:rsidRPr="00537D00">
        <w:rPr>
          <w:rFonts w:ascii="Times New Roman" w:eastAsiaTheme="minorHAnsi" w:hAnsi="Times New Roman" w:cs="Times New Roman"/>
          <w:noProof/>
          <w:sz w:val="24"/>
          <w:szCs w:val="24"/>
          <w:highlight w:val="yellow"/>
        </w:rPr>
        <w:t>(14)</w:t>
      </w:r>
      <w:r w:rsidR="00752010" w:rsidRPr="00537D00">
        <w:rPr>
          <w:rFonts w:ascii="Times New Roman" w:eastAsiaTheme="minorHAnsi" w:hAnsi="Times New Roman" w:cs="Times New Roman"/>
          <w:b/>
          <w:sz w:val="24"/>
          <w:szCs w:val="24"/>
          <w:highlight w:val="yellow"/>
        </w:rPr>
        <w:fldChar w:fldCharType="end"/>
      </w:r>
      <w:r w:rsidR="00752010" w:rsidRPr="00537D00">
        <w:rPr>
          <w:rFonts w:ascii="Times New Roman" w:eastAsiaTheme="minorHAnsi" w:hAnsi="Times New Roman" w:cs="Times New Roman"/>
          <w:b/>
          <w:sz w:val="24"/>
          <w:szCs w:val="24"/>
          <w:highlight w:val="yellow"/>
        </w:rPr>
        <w:fldChar w:fldCharType="begin" w:fldLock="1"/>
      </w:r>
      <w:r w:rsidR="00EE36B6" w:rsidRPr="00537D00">
        <w:rPr>
          <w:rFonts w:ascii="Times New Roman" w:eastAsiaTheme="minorHAnsi" w:hAnsi="Times New Roman" w:cs="Times New Roman"/>
          <w:b/>
          <w:sz w:val="24"/>
          <w:szCs w:val="24"/>
          <w:highlight w:val="yellow"/>
        </w:rPr>
        <w:instrText>ADDIN CSL_CITATION {"citationItems":[{"id":"ITEM-1","itemData":{"author":[{"dropping-particle":"","family":"A","given":"Bourillon","non-dropping-particle":"","parse-names":false,"suffix":""}],"edition":"4ème","id":"ITEM-1","issued":{"date-parts":[["2003"]]},"number-of-pages":"681","publisher":"Masson","title":"Pédiatrie pour le praticien","type":"book"},"uris":["http://www.mendeley.com/documents/?uuid=b9e5c68e-0f1b-4c89-8a3a-537e3c404793","http://www.mendeley.com/documents/?uuid=c082c76f-5cd3-423e-9036-791814e88de0"]}],"mendeley":{"formattedCitation":"(15)","plainTextFormattedCitation":"(15)","previouslyFormattedCitation":"(15)"},"properties":{"noteIndex":0},"schema":"https://github.com/citation-style-language/schema/raw/master/csl-citation.json"}</w:instrText>
      </w:r>
      <w:r w:rsidR="00752010" w:rsidRPr="00537D00">
        <w:rPr>
          <w:rFonts w:ascii="Times New Roman" w:eastAsiaTheme="minorHAnsi" w:hAnsi="Times New Roman" w:cs="Times New Roman"/>
          <w:b/>
          <w:sz w:val="24"/>
          <w:szCs w:val="24"/>
          <w:highlight w:val="yellow"/>
        </w:rPr>
        <w:fldChar w:fldCharType="separate"/>
      </w:r>
      <w:r w:rsidR="00752010" w:rsidRPr="00537D00">
        <w:rPr>
          <w:rFonts w:ascii="Times New Roman" w:eastAsiaTheme="minorHAnsi" w:hAnsi="Times New Roman" w:cs="Times New Roman"/>
          <w:noProof/>
          <w:sz w:val="24"/>
          <w:szCs w:val="24"/>
          <w:highlight w:val="yellow"/>
        </w:rPr>
        <w:t>(15)</w:t>
      </w:r>
      <w:r w:rsidR="00752010" w:rsidRPr="00537D00">
        <w:rPr>
          <w:rFonts w:ascii="Times New Roman" w:eastAsiaTheme="minorHAnsi" w:hAnsi="Times New Roman" w:cs="Times New Roman"/>
          <w:b/>
          <w:sz w:val="24"/>
          <w:szCs w:val="24"/>
          <w:highlight w:val="yellow"/>
        </w:rPr>
        <w:fldChar w:fldCharType="end"/>
      </w:r>
    </w:p>
    <w:p w14:paraId="04355494" w14:textId="77777777" w:rsidR="001B7C66" w:rsidRPr="000A4A0F" w:rsidRDefault="001B7C66" w:rsidP="000A4A0F">
      <w:pPr>
        <w:pStyle w:val="Sansinterligne"/>
        <w:spacing w:line="360" w:lineRule="auto"/>
        <w:jc w:val="both"/>
        <w:rPr>
          <w:rFonts w:ascii="Times New Roman" w:eastAsiaTheme="minorHAnsi" w:hAnsi="Times New Roman" w:cs="Times New Roman"/>
          <w:b/>
          <w:sz w:val="24"/>
          <w:szCs w:val="24"/>
        </w:rPr>
      </w:pPr>
    </w:p>
    <w:p w14:paraId="3AA9C479" w14:textId="77777777" w:rsidR="00BC0492" w:rsidRPr="000A4A0F" w:rsidRDefault="00BC0492"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 xml:space="preserve">La molécule de bilirubine non conjuguée est insoluble dans l’eau donc dans le plasma, où elle ne peut être mise en circulation que liée à l’albumine dans une proportion équimoléculaire : on parle alors de la bilirubine liée par opposition à la forme libre. </w:t>
      </w:r>
    </w:p>
    <w:p w14:paraId="1DE32EC0" w14:textId="77777777" w:rsidR="00BC0492" w:rsidRPr="000A4A0F" w:rsidRDefault="00BC0492"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Cette liaison obéit à des lois physiques qui définissent une affinité de la bilirubine pour un site de liaison sur la molécule d’albumine qui ne lui est pas spécifique, mais où d’autres molécules comme les sulfamides, les salicylés, les acides gras non estérifiés et l’hème peuvent également se fixer. Ici interviennent des constantes d’affinité spécifiques de chaque substance.</w:t>
      </w:r>
    </w:p>
    <w:p w14:paraId="37DF025F" w14:textId="77777777" w:rsidR="001B7C66" w:rsidRDefault="001B7C66" w:rsidP="000A4A0F">
      <w:pPr>
        <w:pStyle w:val="Sansinterligne"/>
        <w:spacing w:line="360" w:lineRule="auto"/>
        <w:jc w:val="both"/>
        <w:rPr>
          <w:rFonts w:ascii="Times New Roman" w:eastAsiaTheme="minorHAnsi" w:hAnsi="Times New Roman" w:cs="Times New Roman"/>
          <w:color w:val="000000"/>
          <w:sz w:val="24"/>
          <w:szCs w:val="24"/>
        </w:rPr>
      </w:pPr>
    </w:p>
    <w:p w14:paraId="7688C784" w14:textId="77777777" w:rsidR="00B8616A" w:rsidRDefault="00B8616A" w:rsidP="000A4A0F">
      <w:pPr>
        <w:pStyle w:val="Sansinterligne"/>
        <w:spacing w:line="360" w:lineRule="auto"/>
        <w:jc w:val="both"/>
        <w:rPr>
          <w:rFonts w:ascii="Times New Roman" w:eastAsiaTheme="minorHAnsi" w:hAnsi="Times New Roman" w:cs="Times New Roman"/>
          <w:color w:val="000000"/>
          <w:sz w:val="24"/>
          <w:szCs w:val="24"/>
        </w:rPr>
      </w:pPr>
    </w:p>
    <w:p w14:paraId="785AFFAC" w14:textId="77777777" w:rsidR="00B8616A" w:rsidRDefault="00B8616A" w:rsidP="000A4A0F">
      <w:pPr>
        <w:pStyle w:val="Sansinterligne"/>
        <w:spacing w:line="360" w:lineRule="auto"/>
        <w:jc w:val="both"/>
        <w:rPr>
          <w:rFonts w:ascii="Times New Roman" w:eastAsiaTheme="minorHAnsi" w:hAnsi="Times New Roman" w:cs="Times New Roman"/>
          <w:color w:val="000000"/>
          <w:sz w:val="24"/>
          <w:szCs w:val="24"/>
        </w:rPr>
      </w:pPr>
    </w:p>
    <w:p w14:paraId="560F58E7" w14:textId="77777777" w:rsidR="00B8616A" w:rsidRPr="000A4A0F" w:rsidRDefault="00B8616A" w:rsidP="000A4A0F">
      <w:pPr>
        <w:pStyle w:val="Sansinterligne"/>
        <w:spacing w:line="360" w:lineRule="auto"/>
        <w:jc w:val="both"/>
        <w:rPr>
          <w:rFonts w:ascii="Times New Roman" w:eastAsiaTheme="minorHAnsi" w:hAnsi="Times New Roman" w:cs="Times New Roman"/>
          <w:color w:val="000000"/>
          <w:sz w:val="24"/>
          <w:szCs w:val="24"/>
        </w:rPr>
      </w:pPr>
    </w:p>
    <w:p w14:paraId="2F854F99" w14:textId="4F1A7988" w:rsidR="00BC0492" w:rsidRPr="000A4A0F" w:rsidRDefault="00E50861" w:rsidP="000A4A0F">
      <w:pPr>
        <w:pStyle w:val="Sansinterligne"/>
        <w:spacing w:line="360" w:lineRule="auto"/>
        <w:jc w:val="both"/>
        <w:rPr>
          <w:rFonts w:ascii="Times New Roman" w:eastAsiaTheme="minorHAnsi" w:hAnsi="Times New Roman" w:cs="Times New Roman"/>
          <w:b/>
          <w:sz w:val="24"/>
          <w:szCs w:val="24"/>
        </w:rPr>
      </w:pPr>
      <w:r w:rsidRPr="000A4A0F">
        <w:rPr>
          <w:rFonts w:ascii="Times New Roman" w:eastAsiaTheme="minorHAnsi" w:hAnsi="Times New Roman" w:cs="Times New Roman"/>
          <w:b/>
          <w:sz w:val="24"/>
          <w:szCs w:val="24"/>
        </w:rPr>
        <w:lastRenderedPageBreak/>
        <w:t>I.</w:t>
      </w:r>
      <w:r w:rsidR="00C15AFA" w:rsidRPr="000A4A0F">
        <w:rPr>
          <w:rFonts w:ascii="Times New Roman" w:eastAsiaTheme="minorHAnsi" w:hAnsi="Times New Roman" w:cs="Times New Roman"/>
          <w:b/>
          <w:sz w:val="24"/>
          <w:szCs w:val="24"/>
        </w:rPr>
        <w:t>1.4</w:t>
      </w:r>
      <w:r w:rsidR="00B46771" w:rsidRPr="000A4A0F">
        <w:rPr>
          <w:rFonts w:ascii="Times New Roman" w:eastAsiaTheme="minorHAnsi" w:hAnsi="Times New Roman" w:cs="Times New Roman"/>
          <w:b/>
          <w:sz w:val="24"/>
          <w:szCs w:val="24"/>
        </w:rPr>
        <w:t>. Métabolisme</w:t>
      </w:r>
      <w:r w:rsidR="00752010" w:rsidRPr="000A4A0F">
        <w:rPr>
          <w:rFonts w:ascii="Times New Roman" w:eastAsiaTheme="minorHAnsi" w:hAnsi="Times New Roman" w:cs="Times New Roman"/>
          <w:b/>
          <w:sz w:val="24"/>
          <w:szCs w:val="24"/>
        </w:rPr>
        <w:t xml:space="preserve"> et excrétion</w:t>
      </w:r>
      <w:r w:rsidR="00BC0492" w:rsidRPr="000A4A0F">
        <w:rPr>
          <w:rFonts w:ascii="Times New Roman" w:eastAsiaTheme="minorHAnsi" w:hAnsi="Times New Roman" w:cs="Times New Roman"/>
          <w:b/>
          <w:sz w:val="24"/>
          <w:szCs w:val="24"/>
        </w:rPr>
        <w:t>.</w:t>
      </w:r>
      <w:r w:rsidR="00752010" w:rsidRPr="00537D00">
        <w:rPr>
          <w:rFonts w:ascii="Times New Roman" w:eastAsiaTheme="minorHAnsi" w:hAnsi="Times New Roman" w:cs="Times New Roman"/>
          <w:b/>
          <w:sz w:val="24"/>
          <w:szCs w:val="24"/>
          <w:highlight w:val="yellow"/>
        </w:rPr>
        <w:fldChar w:fldCharType="begin" w:fldLock="1"/>
      </w:r>
      <w:r w:rsidR="00EE36B6" w:rsidRPr="00537D00">
        <w:rPr>
          <w:rFonts w:ascii="Times New Roman" w:eastAsiaTheme="minorHAnsi" w:hAnsi="Times New Roman" w:cs="Times New Roman"/>
          <w:b/>
          <w:sz w:val="24"/>
          <w:szCs w:val="24"/>
          <w:highlight w:val="yellow"/>
        </w:rPr>
        <w:instrText>ADDIN CSL_CITATION {"citationItems":[{"id":"ITEM-1","itemData":{"author":[{"dropping-particle":"V","family":"Labrune P, Trioche-Eberschweiler P","given":"Gajdos","non-dropping-particle":"","parse-names":false,"suffix":""}],"container-title":"EMC","edition":"2010","id":"ITEM-1","issued":{"date-parts":[["2010"]]},"page":"6","publisher":"Elsevier Inc.","title":"Diagnostic de l'ictère du nouveau-né","type":"entry-encyclopedia"},"uris":["http://www.mendeley.com/documents/?uuid=44b9a2e4-3e38-4765-b01b-d805e901f6bc","http://www.mendeley.com/documents/?uuid=a9788be6-4563-49cf-ba9b-c59ec76c8058"]}],"mendeley":{"formattedCitation":"(14)","plainTextFormattedCitation":"(14)","previouslyFormattedCitation":"(14)"},"properties":{"noteIndex":0},"schema":"https://github.com/citation-style-language/schema/raw/master/csl-citation.json"}</w:instrText>
      </w:r>
      <w:r w:rsidR="00752010" w:rsidRPr="00537D00">
        <w:rPr>
          <w:rFonts w:ascii="Times New Roman" w:eastAsiaTheme="minorHAnsi" w:hAnsi="Times New Roman" w:cs="Times New Roman"/>
          <w:b/>
          <w:sz w:val="24"/>
          <w:szCs w:val="24"/>
          <w:highlight w:val="yellow"/>
        </w:rPr>
        <w:fldChar w:fldCharType="separate"/>
      </w:r>
      <w:r w:rsidR="00752010" w:rsidRPr="00537D00">
        <w:rPr>
          <w:rFonts w:ascii="Times New Roman" w:eastAsiaTheme="minorHAnsi" w:hAnsi="Times New Roman" w:cs="Times New Roman"/>
          <w:noProof/>
          <w:sz w:val="24"/>
          <w:szCs w:val="24"/>
          <w:highlight w:val="yellow"/>
        </w:rPr>
        <w:t>(14)</w:t>
      </w:r>
      <w:r w:rsidR="00752010" w:rsidRPr="00537D00">
        <w:rPr>
          <w:rFonts w:ascii="Times New Roman" w:eastAsiaTheme="minorHAnsi" w:hAnsi="Times New Roman" w:cs="Times New Roman"/>
          <w:b/>
          <w:sz w:val="24"/>
          <w:szCs w:val="24"/>
          <w:highlight w:val="yellow"/>
        </w:rPr>
        <w:fldChar w:fldCharType="end"/>
      </w:r>
      <w:r w:rsidR="00752010" w:rsidRPr="00537D00">
        <w:rPr>
          <w:rFonts w:ascii="Times New Roman" w:eastAsiaTheme="minorHAnsi" w:hAnsi="Times New Roman" w:cs="Times New Roman"/>
          <w:b/>
          <w:sz w:val="24"/>
          <w:szCs w:val="24"/>
          <w:highlight w:val="yellow"/>
        </w:rPr>
        <w:fldChar w:fldCharType="begin" w:fldLock="1"/>
      </w:r>
      <w:r w:rsidR="00EE36B6" w:rsidRPr="00537D00">
        <w:rPr>
          <w:rFonts w:ascii="Times New Roman" w:eastAsiaTheme="minorHAnsi" w:hAnsi="Times New Roman" w:cs="Times New Roman"/>
          <w:b/>
          <w:sz w:val="24"/>
          <w:szCs w:val="24"/>
          <w:highlight w:val="yellow"/>
        </w:rPr>
        <w:instrText>ADDIN CSL_CITATION {"citationItems":[{"id":"ITEM-1","itemData":{"author":[{"dropping-particle":"","family":"A","given":"Bourillon","non-dropping-particle":"","parse-names":false,"suffix":""}],"edition":"4ème","id":"ITEM-1","issued":{"date-parts":[["2003"]]},"number-of-pages":"681","publisher":"Masson","title":"Pédiatrie pour le praticien","type":"book"},"uris":["http://www.mendeley.com/documents/?uuid=b9e5c68e-0f1b-4c89-8a3a-537e3c404793","http://www.mendeley.com/documents/?uuid=c082c76f-5cd3-423e-9036-791814e88de0"]}],"mendeley":{"formattedCitation":"(15)","plainTextFormattedCitation":"(15)","previouslyFormattedCitation":"(15)"},"properties":{"noteIndex":0},"schema":"https://github.com/citation-style-language/schema/raw/master/csl-citation.json"}</w:instrText>
      </w:r>
      <w:r w:rsidR="00752010" w:rsidRPr="00537D00">
        <w:rPr>
          <w:rFonts w:ascii="Times New Roman" w:eastAsiaTheme="minorHAnsi" w:hAnsi="Times New Roman" w:cs="Times New Roman"/>
          <w:b/>
          <w:sz w:val="24"/>
          <w:szCs w:val="24"/>
          <w:highlight w:val="yellow"/>
        </w:rPr>
        <w:fldChar w:fldCharType="separate"/>
      </w:r>
      <w:r w:rsidR="00752010" w:rsidRPr="00537D00">
        <w:rPr>
          <w:rFonts w:ascii="Times New Roman" w:eastAsiaTheme="minorHAnsi" w:hAnsi="Times New Roman" w:cs="Times New Roman"/>
          <w:noProof/>
          <w:sz w:val="24"/>
          <w:szCs w:val="24"/>
          <w:highlight w:val="yellow"/>
        </w:rPr>
        <w:t>(15)</w:t>
      </w:r>
      <w:r w:rsidR="00752010" w:rsidRPr="00537D00">
        <w:rPr>
          <w:rFonts w:ascii="Times New Roman" w:eastAsiaTheme="minorHAnsi" w:hAnsi="Times New Roman" w:cs="Times New Roman"/>
          <w:b/>
          <w:sz w:val="24"/>
          <w:szCs w:val="24"/>
          <w:highlight w:val="yellow"/>
        </w:rPr>
        <w:fldChar w:fldCharType="end"/>
      </w:r>
    </w:p>
    <w:p w14:paraId="016ACDBB" w14:textId="77777777" w:rsidR="001B7C66" w:rsidRPr="000A4A0F" w:rsidRDefault="001B7C66" w:rsidP="000A4A0F">
      <w:pPr>
        <w:pStyle w:val="Sansinterligne"/>
        <w:spacing w:line="360" w:lineRule="auto"/>
        <w:jc w:val="both"/>
        <w:rPr>
          <w:rFonts w:ascii="Times New Roman" w:eastAsiaTheme="minorHAnsi" w:hAnsi="Times New Roman" w:cs="Times New Roman"/>
          <w:b/>
          <w:sz w:val="24"/>
          <w:szCs w:val="24"/>
        </w:rPr>
      </w:pPr>
    </w:p>
    <w:p w14:paraId="284B5DE0" w14:textId="77777777" w:rsidR="00742D8C" w:rsidRPr="000A4A0F" w:rsidRDefault="00BC0492"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 xml:space="preserve">Transportée au niveau des sinusoïdes hépatiques, la bilirubine pénètre dans les hépatocytes où elle se fixe à des </w:t>
      </w:r>
      <w:proofErr w:type="spellStart"/>
      <w:r w:rsidRPr="000A4A0F">
        <w:rPr>
          <w:rFonts w:ascii="Times New Roman" w:eastAsiaTheme="minorHAnsi" w:hAnsi="Times New Roman" w:cs="Times New Roman"/>
          <w:color w:val="000000"/>
          <w:sz w:val="24"/>
          <w:szCs w:val="24"/>
        </w:rPr>
        <w:t>ligandines</w:t>
      </w:r>
      <w:proofErr w:type="spellEnd"/>
      <w:r w:rsidRPr="000A4A0F">
        <w:rPr>
          <w:rFonts w:ascii="Times New Roman" w:eastAsiaTheme="minorHAnsi" w:hAnsi="Times New Roman" w:cs="Times New Roman"/>
          <w:color w:val="000000"/>
          <w:sz w:val="24"/>
          <w:szCs w:val="24"/>
        </w:rPr>
        <w:t xml:space="preserve"> ou protéines Y et Z (elles-mêmes déficientes chez le nouveau-né) avant d’être conjuguée dans les microsomes à l’acide glucuronique. Cette conjugaison, grâce à la </w:t>
      </w:r>
      <w:proofErr w:type="spellStart"/>
      <w:r w:rsidRPr="000A4A0F">
        <w:rPr>
          <w:rFonts w:ascii="Times New Roman" w:eastAsiaTheme="minorHAnsi" w:hAnsi="Times New Roman" w:cs="Times New Roman"/>
          <w:color w:val="000000"/>
          <w:sz w:val="24"/>
          <w:szCs w:val="24"/>
        </w:rPr>
        <w:t>glucuronyl</w:t>
      </w:r>
      <w:proofErr w:type="spellEnd"/>
      <w:r w:rsidRPr="000A4A0F">
        <w:rPr>
          <w:rFonts w:ascii="Times New Roman" w:eastAsiaTheme="minorHAnsi" w:hAnsi="Times New Roman" w:cs="Times New Roman"/>
          <w:color w:val="000000"/>
          <w:sz w:val="24"/>
          <w:szCs w:val="24"/>
        </w:rPr>
        <w:t xml:space="preserve">-transférase, est une étape capitale du métabolisme de la bilirubine qui devient de ce fait hydrosoluble, donc </w:t>
      </w:r>
      <w:proofErr w:type="spellStart"/>
      <w:r w:rsidRPr="000A4A0F">
        <w:rPr>
          <w:rFonts w:ascii="Times New Roman" w:eastAsiaTheme="minorHAnsi" w:hAnsi="Times New Roman" w:cs="Times New Roman"/>
          <w:color w:val="000000"/>
          <w:sz w:val="24"/>
          <w:szCs w:val="24"/>
        </w:rPr>
        <w:t>excrétable</w:t>
      </w:r>
      <w:proofErr w:type="spellEnd"/>
      <w:r w:rsidRPr="000A4A0F">
        <w:rPr>
          <w:rFonts w:ascii="Times New Roman" w:eastAsiaTheme="minorHAnsi" w:hAnsi="Times New Roman" w:cs="Times New Roman"/>
          <w:color w:val="000000"/>
          <w:sz w:val="24"/>
          <w:szCs w:val="24"/>
        </w:rPr>
        <w:t>.</w:t>
      </w:r>
    </w:p>
    <w:p w14:paraId="6E5D242D" w14:textId="77777777" w:rsidR="00BC0492" w:rsidRPr="000A4A0F" w:rsidRDefault="00BC0492"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 xml:space="preserve">La bilirubine conjuguée est excrétée dans la bile et dégradée dans l’intestin en </w:t>
      </w:r>
      <w:proofErr w:type="spellStart"/>
      <w:r w:rsidRPr="000A4A0F">
        <w:rPr>
          <w:rFonts w:ascii="Times New Roman" w:eastAsiaTheme="minorHAnsi" w:hAnsi="Times New Roman" w:cs="Times New Roman"/>
          <w:color w:val="000000"/>
          <w:sz w:val="24"/>
          <w:szCs w:val="24"/>
        </w:rPr>
        <w:t>stércobiline</w:t>
      </w:r>
      <w:proofErr w:type="spellEnd"/>
      <w:r w:rsidRPr="000A4A0F">
        <w:rPr>
          <w:rFonts w:ascii="Times New Roman" w:eastAsiaTheme="minorHAnsi" w:hAnsi="Times New Roman" w:cs="Times New Roman"/>
          <w:color w:val="000000"/>
          <w:sz w:val="24"/>
          <w:szCs w:val="24"/>
        </w:rPr>
        <w:t xml:space="preserve"> et urobiline grâce à la présence de bactéries anaérobies, flore dont le développement est progressif après la naissance. Mais la bilirubine peut également être </w:t>
      </w:r>
      <w:proofErr w:type="spellStart"/>
      <w:r w:rsidRPr="000A4A0F">
        <w:rPr>
          <w:rFonts w:ascii="Times New Roman" w:eastAsiaTheme="minorHAnsi" w:hAnsi="Times New Roman" w:cs="Times New Roman"/>
          <w:color w:val="000000"/>
          <w:sz w:val="24"/>
          <w:szCs w:val="24"/>
        </w:rPr>
        <w:t>déconjuguée</w:t>
      </w:r>
      <w:proofErr w:type="spellEnd"/>
      <w:r w:rsidRPr="000A4A0F">
        <w:rPr>
          <w:rFonts w:ascii="Times New Roman" w:eastAsiaTheme="minorHAnsi" w:hAnsi="Times New Roman" w:cs="Times New Roman"/>
          <w:color w:val="000000"/>
          <w:sz w:val="24"/>
          <w:szCs w:val="24"/>
        </w:rPr>
        <w:t xml:space="preserve"> sous l’effet d’une β-glucuronidase et réabsorbée par la muqueuse intestinale, constituant ainsi un cycle </w:t>
      </w:r>
      <w:proofErr w:type="spellStart"/>
      <w:r w:rsidRPr="000A4A0F">
        <w:rPr>
          <w:rFonts w:ascii="Times New Roman" w:eastAsiaTheme="minorHAnsi" w:hAnsi="Times New Roman" w:cs="Times New Roman"/>
          <w:color w:val="000000"/>
          <w:sz w:val="24"/>
          <w:szCs w:val="24"/>
        </w:rPr>
        <w:t>enterohépatique</w:t>
      </w:r>
      <w:proofErr w:type="spellEnd"/>
      <w:r w:rsidRPr="000A4A0F">
        <w:rPr>
          <w:rFonts w:ascii="Times New Roman" w:eastAsiaTheme="minorHAnsi" w:hAnsi="Times New Roman" w:cs="Times New Roman"/>
          <w:color w:val="000000"/>
          <w:sz w:val="24"/>
          <w:szCs w:val="24"/>
        </w:rPr>
        <w:t>.</w:t>
      </w:r>
    </w:p>
    <w:p w14:paraId="0641CF55" w14:textId="53C7C657" w:rsidR="00BC0492" w:rsidRPr="000A4A0F" w:rsidRDefault="00BC0492"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L’incidence élevée de l’ictère néonatal tr</w:t>
      </w:r>
      <w:r w:rsidR="00C43C70" w:rsidRPr="000A4A0F">
        <w:rPr>
          <w:rFonts w:ascii="Times New Roman" w:eastAsiaTheme="minorHAnsi" w:hAnsi="Times New Roman" w:cs="Times New Roman"/>
          <w:color w:val="000000"/>
          <w:sz w:val="24"/>
          <w:szCs w:val="24"/>
        </w:rPr>
        <w:t>o</w:t>
      </w:r>
      <w:r w:rsidR="00752010" w:rsidRPr="000A4A0F">
        <w:rPr>
          <w:rFonts w:ascii="Times New Roman" w:eastAsiaTheme="minorHAnsi" w:hAnsi="Times New Roman" w:cs="Times New Roman"/>
          <w:color w:val="000000"/>
          <w:sz w:val="24"/>
          <w:szCs w:val="24"/>
        </w:rPr>
        <w:t xml:space="preserve">uve plusieurs explications </w:t>
      </w:r>
      <w:r w:rsidR="00752010" w:rsidRPr="000A4A0F">
        <w:rPr>
          <w:rFonts w:ascii="Times New Roman" w:eastAsiaTheme="minorHAnsi" w:hAnsi="Times New Roman" w:cs="Times New Roman"/>
          <w:color w:val="000000"/>
          <w:sz w:val="24"/>
          <w:szCs w:val="24"/>
        </w:rPr>
        <w:fldChar w:fldCharType="begin" w:fldLock="1"/>
      </w:r>
      <w:r w:rsidR="00EE36B6">
        <w:rPr>
          <w:rFonts w:ascii="Times New Roman" w:eastAsiaTheme="minorHAnsi" w:hAnsi="Times New Roman" w:cs="Times New Roman"/>
          <w:color w:val="000000"/>
          <w:sz w:val="24"/>
          <w:szCs w:val="24"/>
        </w:rPr>
        <w:instrText>ADDIN CSL_CITATION {"citationItems":[{"id":"ITEM-1","itemData":{"author":[{"dropping-particle":"","family":"Trivin","given":"","non-dropping-particle":"","parse-names":false,"suffix":""}],"container-title":"EMC","edition":"1998","id":"ITEM-1","issued":{"date-parts":[["1998"]]},"publisher":"Elsevier Inc.","title":"Physiologie de la bilirubine","type":"entry-encyclopedia"},"uris":["http://www.mendeley.com/documents/?uuid=d395c0f1-caab-4dd7-b25b-7c941e51d21f","http://www.mendeley.com/documents/?uuid=b564a89a-5f84-438b-a7a7-052483732d0e"]}],"mendeley":{"formattedCitation":"(13)","plainTextFormattedCitation":"(13)","previouslyFormattedCitation":"(13)"},"properties":{"noteIndex":0},"schema":"https://github.com/citation-style-language/schema/raw/master/csl-citation.json"}</w:instrText>
      </w:r>
      <w:r w:rsidR="00752010" w:rsidRPr="000A4A0F">
        <w:rPr>
          <w:rFonts w:ascii="Times New Roman" w:eastAsiaTheme="minorHAnsi" w:hAnsi="Times New Roman" w:cs="Times New Roman"/>
          <w:color w:val="000000"/>
          <w:sz w:val="24"/>
          <w:szCs w:val="24"/>
        </w:rPr>
        <w:fldChar w:fldCharType="separate"/>
      </w:r>
      <w:r w:rsidR="00752010" w:rsidRPr="000A4A0F">
        <w:rPr>
          <w:rFonts w:ascii="Times New Roman" w:eastAsiaTheme="minorHAnsi" w:hAnsi="Times New Roman" w:cs="Times New Roman"/>
          <w:noProof/>
          <w:color w:val="000000"/>
          <w:sz w:val="24"/>
          <w:szCs w:val="24"/>
        </w:rPr>
        <w:t>(13)</w:t>
      </w:r>
      <w:r w:rsidR="00752010" w:rsidRPr="000A4A0F">
        <w:rPr>
          <w:rFonts w:ascii="Times New Roman" w:eastAsiaTheme="minorHAnsi" w:hAnsi="Times New Roman" w:cs="Times New Roman"/>
          <w:color w:val="000000"/>
          <w:sz w:val="24"/>
          <w:szCs w:val="24"/>
        </w:rPr>
        <w:fldChar w:fldCharType="end"/>
      </w:r>
      <w:r w:rsidR="00752010" w:rsidRPr="000A4A0F">
        <w:rPr>
          <w:rFonts w:ascii="Times New Roman" w:eastAsiaTheme="minorHAnsi" w:hAnsi="Times New Roman" w:cs="Times New Roman"/>
          <w:color w:val="000000"/>
          <w:sz w:val="24"/>
          <w:szCs w:val="24"/>
        </w:rPr>
        <w:fldChar w:fldCharType="begin" w:fldLock="1"/>
      </w:r>
      <w:r w:rsidR="00EE36B6">
        <w:rPr>
          <w:rFonts w:ascii="Times New Roman" w:eastAsiaTheme="minorHAnsi" w:hAnsi="Times New Roman" w:cs="Times New Roman"/>
          <w:color w:val="000000"/>
          <w:sz w:val="24"/>
          <w:szCs w:val="24"/>
        </w:rPr>
        <w:instrText>ADDIN CSL_CITATION {"citationItems":[{"id":"ITEM-1","itemData":{"author":[{"dropping-particle":"","family":"Battisti","given":"Professeur Oreste","non-dropping-particle":"","parse-names":false,"suffix":""},{"dropping-particle":"De","family":"Cours","given":"Chargé","non-dropping-particle":"","parse-names":false,"suffix":""},{"dropping-particle":"De","family":"Médecine","given":"Faculté","non-dropping-particle":"","parse-names":false,"suffix":""},{"dropping-particle":"De","family":"Liège","given":"Université","non-dropping-particle":"","parse-names":false,"suffix":""},{"dropping-particle":"","family":"Définitions","given":"A","non-dropping-particle":"","parse-names":false,"suffix":""}],"id":"ITEM-1","issued":{"date-parts":[["0"]]},"page":"1-26","title":"Diagnostic et prise en charge de l ’ hyperbilirubinémie ( à partir de 35 semaines d ’ âge gestationnel )","type":"article-journal"},"uris":["http://www.mendeley.com/documents/?uuid=593aa58c-b2ee-42ab-be1d-e0b1554d69e5","http://www.mendeley.com/documents/?uuid=8efb4bd5-bce5-46ac-91e0-063c05cc6fba"]}],"mendeley":{"formattedCitation":"(3)","plainTextFormattedCitation":"(3)","previouslyFormattedCitation":"(3)"},"properties":{"noteIndex":0},"schema":"https://github.com/citation-style-language/schema/raw/master/csl-citation.json"}</w:instrText>
      </w:r>
      <w:r w:rsidR="00752010" w:rsidRPr="000A4A0F">
        <w:rPr>
          <w:rFonts w:ascii="Times New Roman" w:eastAsiaTheme="minorHAnsi" w:hAnsi="Times New Roman" w:cs="Times New Roman"/>
          <w:color w:val="000000"/>
          <w:sz w:val="24"/>
          <w:szCs w:val="24"/>
        </w:rPr>
        <w:fldChar w:fldCharType="separate"/>
      </w:r>
      <w:r w:rsidR="00752010" w:rsidRPr="000A4A0F">
        <w:rPr>
          <w:rFonts w:ascii="Times New Roman" w:eastAsiaTheme="minorHAnsi" w:hAnsi="Times New Roman" w:cs="Times New Roman"/>
          <w:noProof/>
          <w:color w:val="000000"/>
          <w:sz w:val="24"/>
          <w:szCs w:val="24"/>
        </w:rPr>
        <w:t>(3)</w:t>
      </w:r>
      <w:r w:rsidR="00752010" w:rsidRPr="000A4A0F">
        <w:rPr>
          <w:rFonts w:ascii="Times New Roman" w:eastAsiaTheme="minorHAnsi" w:hAnsi="Times New Roman" w:cs="Times New Roman"/>
          <w:color w:val="000000"/>
          <w:sz w:val="24"/>
          <w:szCs w:val="24"/>
        </w:rPr>
        <w:fldChar w:fldCharType="end"/>
      </w:r>
      <w:r w:rsidRPr="000A4A0F">
        <w:rPr>
          <w:rFonts w:ascii="Times New Roman" w:eastAsiaTheme="minorHAnsi" w:hAnsi="Times New Roman" w:cs="Times New Roman"/>
          <w:color w:val="000000"/>
          <w:sz w:val="24"/>
          <w:szCs w:val="24"/>
        </w:rPr>
        <w:t xml:space="preserve"> :</w:t>
      </w:r>
    </w:p>
    <w:p w14:paraId="420EF5C1" w14:textId="77F5805D" w:rsidR="00326712" w:rsidRPr="000A4A0F" w:rsidRDefault="00E50861"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C</w:t>
      </w:r>
      <w:r w:rsidR="00BC0492" w:rsidRPr="000A4A0F">
        <w:rPr>
          <w:rFonts w:ascii="Times New Roman" w:eastAsiaTheme="minorHAnsi" w:hAnsi="Times New Roman" w:cs="Times New Roman"/>
          <w:color w:val="000000"/>
          <w:sz w:val="24"/>
          <w:szCs w:val="24"/>
        </w:rPr>
        <w:t>hez le nouveau-né, la production de bilirubine est accrue car la masse totale d’hémoglobine est importante et la durée d</w:t>
      </w:r>
      <w:r w:rsidR="00326712" w:rsidRPr="000A4A0F">
        <w:rPr>
          <w:rFonts w:ascii="Times New Roman" w:eastAsiaTheme="minorHAnsi" w:hAnsi="Times New Roman" w:cs="Times New Roman"/>
          <w:color w:val="000000"/>
          <w:sz w:val="24"/>
          <w:szCs w:val="24"/>
        </w:rPr>
        <w:t xml:space="preserve">e vie des hématies plus courte : Durant la vie fœtale, la PaO2 normale est aux alentours de 30 </w:t>
      </w:r>
      <w:proofErr w:type="spellStart"/>
      <w:r w:rsidR="00326712" w:rsidRPr="000A4A0F">
        <w:rPr>
          <w:rFonts w:ascii="Times New Roman" w:eastAsiaTheme="minorHAnsi" w:hAnsi="Times New Roman" w:cs="Times New Roman"/>
          <w:color w:val="000000"/>
          <w:sz w:val="24"/>
          <w:szCs w:val="24"/>
        </w:rPr>
        <w:t>mmHg</w:t>
      </w:r>
      <w:proofErr w:type="spellEnd"/>
      <w:r w:rsidR="00326712" w:rsidRPr="000A4A0F">
        <w:rPr>
          <w:rFonts w:ascii="Times New Roman" w:eastAsiaTheme="minorHAnsi" w:hAnsi="Times New Roman" w:cs="Times New Roman"/>
          <w:color w:val="000000"/>
          <w:sz w:val="24"/>
          <w:szCs w:val="24"/>
        </w:rPr>
        <w:t>, et le fœtus vit dans des conditions d’oxygénation équivalente à celles retrouvées à une altitude de 8500 m. Heureusement qu’il possède l’hémoglobine fœtale, et celle-ci est relativement élevée.</w:t>
      </w:r>
    </w:p>
    <w:p w14:paraId="25BBA275" w14:textId="336FE68C" w:rsidR="00BC0492" w:rsidRPr="000A4A0F" w:rsidRDefault="00326712"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 xml:space="preserve">A la naissance, la Pa02 s’élève rapidement, et l’hémoglobine est physiologiquement détruite. L’ictère qui apparaît est le plus souvent bénin, la bilirubine ayant même des propriétés antioxydantes. Cependant, dans des conditions anormales (prématurité, difficultés respiratoire, circulatoire et métabolique, acidose, production accrue par une hémolyse), cette bilirubine peut se montrer toxique : par le fait de présenter un phénomène de </w:t>
      </w:r>
      <w:proofErr w:type="spellStart"/>
      <w:r w:rsidRPr="000A4A0F">
        <w:rPr>
          <w:rFonts w:ascii="Times New Roman" w:eastAsiaTheme="minorHAnsi" w:hAnsi="Times New Roman" w:cs="Times New Roman"/>
          <w:color w:val="000000"/>
          <w:sz w:val="24"/>
          <w:szCs w:val="24"/>
        </w:rPr>
        <w:t>crystallisation</w:t>
      </w:r>
      <w:proofErr w:type="spellEnd"/>
      <w:r w:rsidRPr="000A4A0F">
        <w:rPr>
          <w:rFonts w:ascii="Times New Roman" w:eastAsiaTheme="minorHAnsi" w:hAnsi="Times New Roman" w:cs="Times New Roman"/>
          <w:color w:val="000000"/>
          <w:sz w:val="24"/>
          <w:szCs w:val="24"/>
        </w:rPr>
        <w:t xml:space="preserve"> dans la paroi des mitochondries et créant ainsi un dysfonctionnement de la production de </w:t>
      </w:r>
      <w:r w:rsidR="00671610" w:rsidRPr="000A4A0F">
        <w:rPr>
          <w:rFonts w:ascii="Times New Roman" w:eastAsiaTheme="minorHAnsi" w:hAnsi="Times New Roman" w:cs="Times New Roman"/>
          <w:color w:val="000000"/>
          <w:sz w:val="24"/>
          <w:szCs w:val="24"/>
        </w:rPr>
        <w:t>l’énergie par les mitochondr</w:t>
      </w:r>
      <w:r w:rsidR="00752010" w:rsidRPr="000A4A0F">
        <w:rPr>
          <w:rFonts w:ascii="Times New Roman" w:eastAsiaTheme="minorHAnsi" w:hAnsi="Times New Roman" w:cs="Times New Roman"/>
          <w:color w:val="000000"/>
          <w:sz w:val="24"/>
          <w:szCs w:val="24"/>
        </w:rPr>
        <w:t>ies</w:t>
      </w:r>
      <w:r w:rsidR="00FF7A64" w:rsidRPr="000A4A0F">
        <w:rPr>
          <w:rFonts w:ascii="Times New Roman" w:eastAsiaTheme="minorHAnsi" w:hAnsi="Times New Roman" w:cs="Times New Roman"/>
          <w:color w:val="000000"/>
          <w:sz w:val="24"/>
          <w:szCs w:val="24"/>
        </w:rPr>
        <w:t>.</w:t>
      </w:r>
      <w:r w:rsidR="00CE0D35" w:rsidRPr="000A4A0F">
        <w:rPr>
          <w:rFonts w:ascii="Times New Roman" w:eastAsiaTheme="minorHAnsi" w:hAnsi="Times New Roman" w:cs="Times New Roman"/>
          <w:color w:val="000000"/>
          <w:sz w:val="24"/>
          <w:szCs w:val="24"/>
        </w:rPr>
        <w:fldChar w:fldCharType="begin" w:fldLock="1"/>
      </w:r>
      <w:r w:rsidR="004F4A84">
        <w:rPr>
          <w:rFonts w:ascii="Times New Roman" w:eastAsiaTheme="minorHAnsi" w:hAnsi="Times New Roman" w:cs="Times New Roman"/>
          <w:color w:val="000000"/>
          <w:sz w:val="24"/>
          <w:szCs w:val="24"/>
        </w:rPr>
        <w:instrText>ADDIN CSL_CITATION {"citationItems":[{"id":"ITEM-1","itemData":{"DOI":"10.11604/pamj.2015.22.313.8225","author":[{"dropping-particle":"","family":"Med Taieb Jomni1,&amp;, Mouna Largueche1, Badreddine Ben Kaab1, Imen Abdelaal1, Syrine Bellakhal1","given":"Med Hédi Douggui1","non-dropping-particle":"","parse-names":false,"suffix":""}],"container-title":"Pan African Medical Journal","id":"ITEM-1","issued":{"date-parts":[["2015"]]},"page":"2-4","title":"La néphrotoxicite secondaire à l’hyperbilribinemie: à propos d’un cas","type":"article-journal","volume":"8688"},"uris":["http://www.mendeley.com/documents/?uuid=49f92b9a-1c72-4486-9160-dc9e3838b63b","http://www.mendeley.com/documents/?uuid=505ea30e-d5ca-4750-a313-4f1cefe1a687"]}],"mendeley":{"formattedCitation":"(16)","plainTextFormattedCitation":"(16)","previouslyFormattedCitation":"(17)"},"properties":{"noteIndex":0},"schema":"https://github.com/citation-style-language/schema/raw/master/csl-citation.json"}</w:instrText>
      </w:r>
      <w:r w:rsidR="00CE0D35" w:rsidRPr="000A4A0F">
        <w:rPr>
          <w:rFonts w:ascii="Times New Roman" w:eastAsiaTheme="minorHAnsi" w:hAnsi="Times New Roman" w:cs="Times New Roman"/>
          <w:color w:val="000000"/>
          <w:sz w:val="24"/>
          <w:szCs w:val="24"/>
        </w:rPr>
        <w:fldChar w:fldCharType="separate"/>
      </w:r>
      <w:r w:rsidR="004F4A84" w:rsidRPr="004F4A84">
        <w:rPr>
          <w:rFonts w:ascii="Times New Roman" w:eastAsiaTheme="minorHAnsi" w:hAnsi="Times New Roman" w:cs="Times New Roman"/>
          <w:noProof/>
          <w:color w:val="000000"/>
          <w:sz w:val="24"/>
          <w:szCs w:val="24"/>
        </w:rPr>
        <w:t>(16)</w:t>
      </w:r>
      <w:r w:rsidR="00CE0D35" w:rsidRPr="000A4A0F">
        <w:rPr>
          <w:rFonts w:ascii="Times New Roman" w:eastAsiaTheme="minorHAnsi" w:hAnsi="Times New Roman" w:cs="Times New Roman"/>
          <w:color w:val="000000"/>
          <w:sz w:val="24"/>
          <w:szCs w:val="24"/>
        </w:rPr>
        <w:fldChar w:fldCharType="end"/>
      </w:r>
    </w:p>
    <w:p w14:paraId="2A542D49" w14:textId="1BD355B1" w:rsidR="00E50861" w:rsidRPr="000A4A0F" w:rsidRDefault="00E50861"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L</w:t>
      </w:r>
      <w:r w:rsidR="00BC0492" w:rsidRPr="000A4A0F">
        <w:rPr>
          <w:rFonts w:ascii="Times New Roman" w:eastAsiaTheme="minorHAnsi" w:hAnsi="Times New Roman" w:cs="Times New Roman"/>
          <w:color w:val="000000"/>
          <w:sz w:val="24"/>
          <w:szCs w:val="24"/>
        </w:rPr>
        <w:t xml:space="preserve">a bilirubine, qui circule dans le sang </w:t>
      </w:r>
      <w:r w:rsidR="005449EE" w:rsidRPr="000A4A0F">
        <w:rPr>
          <w:rFonts w:ascii="Times New Roman" w:eastAsiaTheme="minorHAnsi" w:hAnsi="Times New Roman" w:cs="Times New Roman"/>
          <w:color w:val="000000" w:themeColor="text1"/>
          <w:sz w:val="24"/>
          <w:szCs w:val="24"/>
        </w:rPr>
        <w:t>est</w:t>
      </w:r>
      <w:r w:rsidR="005449EE" w:rsidRPr="000A4A0F">
        <w:rPr>
          <w:rFonts w:ascii="Times New Roman" w:eastAsiaTheme="minorHAnsi" w:hAnsi="Times New Roman" w:cs="Times New Roman"/>
          <w:color w:val="FF0000"/>
          <w:sz w:val="24"/>
          <w:szCs w:val="24"/>
        </w:rPr>
        <w:t xml:space="preserve"> </w:t>
      </w:r>
      <w:r w:rsidR="00BC0492" w:rsidRPr="000A4A0F">
        <w:rPr>
          <w:rFonts w:ascii="Times New Roman" w:eastAsiaTheme="minorHAnsi" w:hAnsi="Times New Roman" w:cs="Times New Roman"/>
          <w:color w:val="000000"/>
          <w:sz w:val="24"/>
          <w:szCs w:val="24"/>
        </w:rPr>
        <w:t xml:space="preserve">fixée à l’albumine, </w:t>
      </w:r>
      <w:r w:rsidR="005449EE" w:rsidRPr="000A4A0F">
        <w:rPr>
          <w:rFonts w:ascii="Times New Roman" w:eastAsiaTheme="minorHAnsi" w:hAnsi="Times New Roman" w:cs="Times New Roman"/>
          <w:color w:val="auto"/>
          <w:sz w:val="24"/>
          <w:szCs w:val="24"/>
        </w:rPr>
        <w:t xml:space="preserve">et elle </w:t>
      </w:r>
      <w:r w:rsidR="00BC0492" w:rsidRPr="000A4A0F">
        <w:rPr>
          <w:rFonts w:ascii="Times New Roman" w:eastAsiaTheme="minorHAnsi" w:hAnsi="Times New Roman" w:cs="Times New Roman"/>
          <w:color w:val="000000"/>
          <w:sz w:val="24"/>
          <w:szCs w:val="24"/>
        </w:rPr>
        <w:t>peut être déplacée de sa liaison par des situations fréquentes telles l’acidose ou l’utilisation de médicaments interférant dans la liaison bilirubine-albumine ; de plus, l’hypoalbuminémie n’est pas exceptionnelle en période néonatale, surtout chez le prématuré ;</w:t>
      </w:r>
    </w:p>
    <w:p w14:paraId="7A5A07A2" w14:textId="77777777" w:rsidR="00BC0492" w:rsidRPr="000A4A0F" w:rsidRDefault="00E50861"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A</w:t>
      </w:r>
      <w:r w:rsidR="00BC0492" w:rsidRPr="000A4A0F">
        <w:rPr>
          <w:rFonts w:ascii="Times New Roman" w:eastAsiaTheme="minorHAnsi" w:hAnsi="Times New Roman" w:cs="Times New Roman"/>
          <w:color w:val="000000"/>
          <w:sz w:val="24"/>
          <w:szCs w:val="24"/>
        </w:rPr>
        <w:t xml:space="preserve">u niveau hépatique, la synthèse de la </w:t>
      </w:r>
      <w:proofErr w:type="spellStart"/>
      <w:r w:rsidR="00BC0492" w:rsidRPr="000A4A0F">
        <w:rPr>
          <w:rFonts w:ascii="Times New Roman" w:eastAsiaTheme="minorHAnsi" w:hAnsi="Times New Roman" w:cs="Times New Roman"/>
          <w:color w:val="000000"/>
          <w:sz w:val="24"/>
          <w:szCs w:val="24"/>
        </w:rPr>
        <w:t>ligandine</w:t>
      </w:r>
      <w:proofErr w:type="spellEnd"/>
      <w:r w:rsidR="00BC0492" w:rsidRPr="000A4A0F">
        <w:rPr>
          <w:rFonts w:ascii="Times New Roman" w:eastAsiaTheme="minorHAnsi" w:hAnsi="Times New Roman" w:cs="Times New Roman"/>
          <w:color w:val="000000"/>
          <w:sz w:val="24"/>
          <w:szCs w:val="24"/>
        </w:rPr>
        <w:t xml:space="preserve"> n’apparaît qu’au cours des premiers jours de vie, favorisant par là même le reflux hépatique de la bilirubine</w:t>
      </w:r>
      <w:r w:rsidR="00264370" w:rsidRPr="000A4A0F">
        <w:rPr>
          <w:rFonts w:ascii="Times New Roman" w:eastAsiaTheme="minorHAnsi" w:hAnsi="Times New Roman" w:cs="Times New Roman"/>
          <w:color w:val="000000"/>
          <w:sz w:val="24"/>
          <w:szCs w:val="24"/>
        </w:rPr>
        <w:t>.</w:t>
      </w:r>
    </w:p>
    <w:p w14:paraId="6AE3C1F1" w14:textId="77777777" w:rsidR="009730D4" w:rsidRPr="000A4A0F" w:rsidRDefault="009730D4" w:rsidP="000A4A0F">
      <w:pPr>
        <w:pStyle w:val="Sansinterligne"/>
        <w:spacing w:line="360" w:lineRule="auto"/>
        <w:jc w:val="both"/>
        <w:rPr>
          <w:rFonts w:ascii="Times New Roman" w:eastAsiaTheme="minorHAnsi" w:hAnsi="Times New Roman" w:cs="Times New Roman"/>
          <w:color w:val="000000"/>
          <w:sz w:val="24"/>
          <w:szCs w:val="24"/>
        </w:rPr>
      </w:pPr>
    </w:p>
    <w:p w14:paraId="3E943090" w14:textId="2788F3BA" w:rsidR="001B7C66" w:rsidRPr="000A4A0F" w:rsidRDefault="001B7C66" w:rsidP="000A4A0F">
      <w:pPr>
        <w:suppressAutoHyphens w:val="0"/>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br w:type="page"/>
      </w:r>
    </w:p>
    <w:p w14:paraId="4BFAEC67" w14:textId="744C1058" w:rsidR="009730D4" w:rsidRPr="000A4A0F" w:rsidRDefault="001B7C66" w:rsidP="000A4A0F">
      <w:pPr>
        <w:pStyle w:val="Sansinterligne"/>
        <w:spacing w:line="360" w:lineRule="auto"/>
        <w:jc w:val="both"/>
        <w:rPr>
          <w:rFonts w:ascii="Times New Roman" w:eastAsiaTheme="minorHAnsi" w:hAnsi="Times New Roman" w:cs="Times New Roman"/>
          <w:b/>
          <w:color w:val="000000"/>
          <w:sz w:val="24"/>
          <w:szCs w:val="24"/>
        </w:rPr>
      </w:pPr>
      <w:r w:rsidRPr="000A4A0F">
        <w:rPr>
          <w:rFonts w:ascii="Times New Roman" w:eastAsiaTheme="minorHAnsi" w:hAnsi="Times New Roman" w:cs="Times New Roman"/>
          <w:b/>
          <w:color w:val="000000"/>
          <w:sz w:val="24"/>
          <w:szCs w:val="24"/>
        </w:rPr>
        <w:lastRenderedPageBreak/>
        <w:t xml:space="preserve">METABOLISME </w:t>
      </w:r>
      <w:commentRangeStart w:id="19"/>
      <w:r w:rsidRPr="000A4A0F">
        <w:rPr>
          <w:rFonts w:ascii="Times New Roman" w:eastAsiaTheme="minorHAnsi" w:hAnsi="Times New Roman" w:cs="Times New Roman"/>
          <w:b/>
          <w:color w:val="000000"/>
          <w:sz w:val="24"/>
          <w:szCs w:val="24"/>
        </w:rPr>
        <w:t>BILIRUBINE</w:t>
      </w:r>
      <w:commentRangeEnd w:id="19"/>
      <w:r w:rsidR="00537D00">
        <w:rPr>
          <w:rStyle w:val="Marquedecommentaire"/>
        </w:rPr>
        <w:commentReference w:id="19"/>
      </w:r>
    </w:p>
    <w:p w14:paraId="5617E173" w14:textId="77777777" w:rsidR="00AD2CFA" w:rsidRPr="000A4A0F" w:rsidRDefault="00700256" w:rsidP="000A4A0F">
      <w:pPr>
        <w:pStyle w:val="Sansinterligne"/>
        <w:spacing w:line="360" w:lineRule="auto"/>
        <w:jc w:val="both"/>
        <w:rPr>
          <w:rFonts w:ascii="Times New Roman" w:hAnsi="Times New Roman" w:cs="Times New Roman"/>
          <w:noProof/>
          <w:sz w:val="24"/>
          <w:szCs w:val="24"/>
          <w:lang w:eastAsia="fr-FR"/>
        </w:rPr>
      </w:pPr>
      <w:r w:rsidRPr="000A4A0F">
        <w:rPr>
          <w:rFonts w:ascii="Times New Roman" w:hAnsi="Times New Roman" w:cs="Times New Roman"/>
          <w:noProof/>
          <w:sz w:val="24"/>
          <w:szCs w:val="24"/>
          <w:lang w:eastAsia="fr-FR"/>
        </w:rPr>
        <w:drawing>
          <wp:anchor distT="0" distB="0" distL="114300" distR="114300" simplePos="0" relativeHeight="251652608" behindDoc="0" locked="0" layoutInCell="1" allowOverlap="1" wp14:anchorId="48E1F89D" wp14:editId="200B79B3">
            <wp:simplePos x="0" y="0"/>
            <wp:positionH relativeFrom="margin">
              <wp:posOffset>-692784</wp:posOffset>
            </wp:positionH>
            <wp:positionV relativeFrom="paragraph">
              <wp:posOffset>128905</wp:posOffset>
            </wp:positionV>
            <wp:extent cx="7344204" cy="7757160"/>
            <wp:effectExtent l="0" t="0" r="952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344204" cy="7757160"/>
                    </a:xfrm>
                    <a:prstGeom prst="rect">
                      <a:avLst/>
                    </a:prstGeom>
                  </pic:spPr>
                </pic:pic>
              </a:graphicData>
            </a:graphic>
            <wp14:sizeRelH relativeFrom="margin">
              <wp14:pctWidth>0</wp14:pctWidth>
            </wp14:sizeRelH>
            <wp14:sizeRelV relativeFrom="margin">
              <wp14:pctHeight>0</wp14:pctHeight>
            </wp14:sizeRelV>
          </wp:anchor>
        </w:drawing>
      </w:r>
      <w:r w:rsidR="005E1763" w:rsidRPr="000A4A0F">
        <w:rPr>
          <w:rFonts w:ascii="Times New Roman" w:eastAsiaTheme="minorHAnsi" w:hAnsi="Times New Roman" w:cs="Times New Roman"/>
          <w:color w:val="000000"/>
          <w:sz w:val="24"/>
          <w:szCs w:val="24"/>
        </w:rPr>
        <w:tab/>
      </w:r>
      <w:r w:rsidR="005E1763" w:rsidRPr="000A4A0F">
        <w:rPr>
          <w:rFonts w:ascii="Times New Roman" w:eastAsiaTheme="minorHAnsi" w:hAnsi="Times New Roman" w:cs="Times New Roman"/>
          <w:color w:val="000000"/>
          <w:sz w:val="24"/>
          <w:szCs w:val="24"/>
        </w:rPr>
        <w:tab/>
      </w:r>
      <w:r w:rsidR="005E1763" w:rsidRPr="000A4A0F">
        <w:rPr>
          <w:rFonts w:ascii="Times New Roman" w:eastAsiaTheme="minorHAnsi" w:hAnsi="Times New Roman" w:cs="Times New Roman"/>
          <w:color w:val="000000"/>
          <w:sz w:val="24"/>
          <w:szCs w:val="24"/>
        </w:rPr>
        <w:tab/>
      </w:r>
    </w:p>
    <w:p w14:paraId="6D30CA26" w14:textId="77777777" w:rsidR="0081460C" w:rsidRPr="000A4A0F" w:rsidRDefault="00AD2CFA" w:rsidP="000A4A0F">
      <w:pPr>
        <w:pStyle w:val="Sansinterligne"/>
        <w:spacing w:line="360" w:lineRule="auto"/>
        <w:jc w:val="both"/>
        <w:rPr>
          <w:rFonts w:ascii="Times New Roman" w:eastAsiaTheme="minorHAnsi" w:hAnsi="Times New Roman" w:cs="Times New Roman"/>
          <w:color w:val="auto"/>
          <w:sz w:val="24"/>
          <w:szCs w:val="24"/>
        </w:rPr>
      </w:pPr>
      <w:r w:rsidRPr="000A4A0F">
        <w:rPr>
          <w:rFonts w:ascii="Times New Roman" w:hAnsi="Times New Roman" w:cs="Times New Roman"/>
          <w:noProof/>
          <w:sz w:val="24"/>
          <w:szCs w:val="24"/>
          <w:lang w:eastAsia="fr-FR"/>
        </w:rPr>
        <w:t xml:space="preserve">                                                                                                           </w:t>
      </w:r>
    </w:p>
    <w:p w14:paraId="6158CD2B" w14:textId="77777777" w:rsidR="00915B7C" w:rsidRPr="000A4A0F" w:rsidRDefault="00915B7C" w:rsidP="000A4A0F">
      <w:pPr>
        <w:pStyle w:val="Sansinterligne"/>
        <w:spacing w:line="360" w:lineRule="auto"/>
        <w:jc w:val="both"/>
        <w:rPr>
          <w:rFonts w:ascii="Times New Roman" w:eastAsiaTheme="minorHAnsi" w:hAnsi="Times New Roman" w:cs="Times New Roman"/>
          <w:b/>
          <w:sz w:val="24"/>
          <w:szCs w:val="24"/>
        </w:rPr>
      </w:pPr>
    </w:p>
    <w:p w14:paraId="26C3E129" w14:textId="5D44F316" w:rsidR="00915B7C" w:rsidRPr="0034758D" w:rsidRDefault="00264370" w:rsidP="000A4A0F">
      <w:pPr>
        <w:pStyle w:val="Sansinterligne"/>
        <w:spacing w:line="360" w:lineRule="auto"/>
        <w:jc w:val="both"/>
        <w:rPr>
          <w:rFonts w:ascii="Times New Roman" w:eastAsiaTheme="minorHAnsi" w:hAnsi="Times New Roman" w:cs="Times New Roman"/>
          <w:b/>
          <w:sz w:val="24"/>
          <w:szCs w:val="24"/>
        </w:rPr>
      </w:pPr>
      <w:r w:rsidRPr="000A4A0F">
        <w:rPr>
          <w:rFonts w:ascii="Times New Roman" w:eastAsiaTheme="minorHAnsi" w:hAnsi="Times New Roman" w:cs="Times New Roman"/>
          <w:b/>
          <w:sz w:val="24"/>
          <w:szCs w:val="24"/>
        </w:rPr>
        <w:lastRenderedPageBreak/>
        <w:t>I.</w:t>
      </w:r>
      <w:r w:rsidR="00C15AFA" w:rsidRPr="000A4A0F">
        <w:rPr>
          <w:rFonts w:ascii="Times New Roman" w:eastAsiaTheme="minorHAnsi" w:hAnsi="Times New Roman" w:cs="Times New Roman"/>
          <w:b/>
          <w:sz w:val="24"/>
          <w:szCs w:val="24"/>
        </w:rPr>
        <w:t>1.5</w:t>
      </w:r>
      <w:r w:rsidR="0034758D">
        <w:rPr>
          <w:rFonts w:ascii="Times New Roman" w:eastAsiaTheme="minorHAnsi" w:hAnsi="Times New Roman" w:cs="Times New Roman"/>
          <w:b/>
          <w:sz w:val="24"/>
          <w:szCs w:val="24"/>
        </w:rPr>
        <w:t xml:space="preserve">. Circonstances physiologiques </w:t>
      </w:r>
    </w:p>
    <w:p w14:paraId="21C7C10E" w14:textId="77777777" w:rsidR="0067605F" w:rsidRPr="000A4A0F" w:rsidRDefault="006E497A"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 xml:space="preserve">L’ictère est fréquent chez le NN en raison des circonstances physiologiques particulières propres à son métabolisme. </w:t>
      </w:r>
    </w:p>
    <w:p w14:paraId="0745FF98" w14:textId="039B114F" w:rsidR="0067605F" w:rsidRPr="000A4A0F" w:rsidRDefault="006E497A"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Il existe une production accrue de bilirubine par rapport à l’adulte, due à un taux élevé d’hémoglobine à la naissance et à une durée de vie des globules rouges plus courte, estimée à 80 jours au</w:t>
      </w:r>
      <w:r w:rsidR="00CE0D35" w:rsidRPr="000A4A0F">
        <w:rPr>
          <w:rFonts w:ascii="Times New Roman" w:eastAsiaTheme="minorHAnsi" w:hAnsi="Times New Roman" w:cs="Times New Roman"/>
          <w:color w:val="000000"/>
          <w:sz w:val="24"/>
          <w:szCs w:val="24"/>
        </w:rPr>
        <w:t xml:space="preserve"> lieu de 120j chez l’adulte</w:t>
      </w:r>
      <w:r w:rsidRPr="000A4A0F">
        <w:rPr>
          <w:rFonts w:ascii="Times New Roman" w:eastAsiaTheme="minorHAnsi" w:hAnsi="Times New Roman" w:cs="Times New Roman"/>
          <w:color w:val="000000"/>
          <w:sz w:val="24"/>
          <w:szCs w:val="24"/>
        </w:rPr>
        <w:t>.</w:t>
      </w:r>
      <w:r w:rsidR="00CE0D35" w:rsidRPr="000A4A0F">
        <w:rPr>
          <w:rFonts w:ascii="Times New Roman" w:eastAsiaTheme="minorHAnsi" w:hAnsi="Times New Roman" w:cs="Times New Roman"/>
          <w:color w:val="000000"/>
          <w:sz w:val="24"/>
          <w:szCs w:val="24"/>
        </w:rPr>
        <w:fldChar w:fldCharType="begin" w:fldLock="1"/>
      </w:r>
      <w:r w:rsidR="00EE36B6">
        <w:rPr>
          <w:rFonts w:ascii="Times New Roman" w:eastAsiaTheme="minorHAnsi" w:hAnsi="Times New Roman" w:cs="Times New Roman"/>
          <w:color w:val="000000"/>
          <w:sz w:val="24"/>
          <w:szCs w:val="24"/>
        </w:rPr>
        <w:instrText>ADDIN CSL_CITATION {"citationItems":[{"id":"ITEM-1","itemData":{"author":[{"dropping-particle":"","family":"A","given":"Bourillon","non-dropping-particle":"","parse-names":false,"suffix":""}],"edition":"4ème","id":"ITEM-1","issued":{"date-parts":[["2003"]]},"number-of-pages":"681","publisher":"Masson","title":"Pédiatrie pour le praticien","type":"book"},"uris":["http://www.mendeley.com/documents/?uuid=b9e5c68e-0f1b-4c89-8a3a-537e3c404793","http://www.mendeley.com/documents/?uuid=c082c76f-5cd3-423e-9036-791814e88de0"]}],"mendeley":{"formattedCitation":"(15)","plainTextFormattedCitation":"(15)","previouslyFormattedCitation":"(15)"},"properties":{"noteIndex":0},"schema":"https://github.com/citation-style-language/schema/raw/master/csl-citation.json"}</w:instrText>
      </w:r>
      <w:r w:rsidR="00CE0D35" w:rsidRPr="000A4A0F">
        <w:rPr>
          <w:rFonts w:ascii="Times New Roman" w:eastAsiaTheme="minorHAnsi" w:hAnsi="Times New Roman" w:cs="Times New Roman"/>
          <w:color w:val="000000"/>
          <w:sz w:val="24"/>
          <w:szCs w:val="24"/>
        </w:rPr>
        <w:fldChar w:fldCharType="separate"/>
      </w:r>
      <w:r w:rsidR="00CE0D35" w:rsidRPr="000A4A0F">
        <w:rPr>
          <w:rFonts w:ascii="Times New Roman" w:eastAsiaTheme="minorHAnsi" w:hAnsi="Times New Roman" w:cs="Times New Roman"/>
          <w:noProof/>
          <w:color w:val="000000"/>
          <w:sz w:val="24"/>
          <w:szCs w:val="24"/>
        </w:rPr>
        <w:t>(15)</w:t>
      </w:r>
      <w:r w:rsidR="00CE0D35" w:rsidRPr="000A4A0F">
        <w:rPr>
          <w:rFonts w:ascii="Times New Roman" w:eastAsiaTheme="minorHAnsi" w:hAnsi="Times New Roman" w:cs="Times New Roman"/>
          <w:color w:val="000000"/>
          <w:sz w:val="24"/>
          <w:szCs w:val="24"/>
        </w:rPr>
        <w:fldChar w:fldCharType="end"/>
      </w:r>
      <w:r w:rsidRPr="000A4A0F">
        <w:rPr>
          <w:rFonts w:ascii="Times New Roman" w:eastAsiaTheme="minorHAnsi" w:hAnsi="Times New Roman" w:cs="Times New Roman"/>
          <w:color w:val="000000"/>
          <w:sz w:val="24"/>
          <w:szCs w:val="24"/>
        </w:rPr>
        <w:t xml:space="preserve"> </w:t>
      </w:r>
    </w:p>
    <w:p w14:paraId="236B24F7" w14:textId="77777777" w:rsidR="0067605F" w:rsidRPr="000A4A0F" w:rsidRDefault="006E497A"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Une immaturité hépatique favorise l’hyper bilirubinémie par une diminution de la captation hépatocytaire de la bilirubine et par un déficit des systèmes de conjugaison notamment de la UDP-</w:t>
      </w:r>
      <w:proofErr w:type="spellStart"/>
      <w:r w:rsidRPr="000A4A0F">
        <w:rPr>
          <w:rFonts w:ascii="Times New Roman" w:eastAsiaTheme="minorHAnsi" w:hAnsi="Times New Roman" w:cs="Times New Roman"/>
          <w:color w:val="000000"/>
          <w:sz w:val="24"/>
          <w:szCs w:val="24"/>
        </w:rPr>
        <w:t>glycuronyltransférase</w:t>
      </w:r>
      <w:proofErr w:type="spellEnd"/>
      <w:r w:rsidRPr="000A4A0F">
        <w:rPr>
          <w:rFonts w:ascii="Times New Roman" w:eastAsiaTheme="minorHAnsi" w:hAnsi="Times New Roman" w:cs="Times New Roman"/>
          <w:color w:val="000000"/>
          <w:sz w:val="24"/>
          <w:szCs w:val="24"/>
        </w:rPr>
        <w:t>. L’absence de flore bactérienne (ou sa nature immature les premiers jours et semaines de vie) ne permet pas la transformation de la bilirubine conjuguée en urobilinogène, celle-ci est a</w:t>
      </w:r>
      <w:r w:rsidR="0067605F" w:rsidRPr="000A4A0F">
        <w:rPr>
          <w:rFonts w:ascii="Times New Roman" w:eastAsiaTheme="minorHAnsi" w:hAnsi="Times New Roman" w:cs="Times New Roman"/>
          <w:color w:val="000000"/>
          <w:sz w:val="24"/>
          <w:szCs w:val="24"/>
        </w:rPr>
        <w:t xml:space="preserve">lors réabsorbée et </w:t>
      </w:r>
      <w:proofErr w:type="spellStart"/>
      <w:r w:rsidR="0067605F" w:rsidRPr="000A4A0F">
        <w:rPr>
          <w:rFonts w:ascii="Times New Roman" w:eastAsiaTheme="minorHAnsi" w:hAnsi="Times New Roman" w:cs="Times New Roman"/>
          <w:color w:val="000000"/>
          <w:sz w:val="24"/>
          <w:szCs w:val="24"/>
        </w:rPr>
        <w:t>déconjuguée</w:t>
      </w:r>
      <w:proofErr w:type="spellEnd"/>
      <w:r w:rsidR="0067605F" w:rsidRPr="000A4A0F">
        <w:rPr>
          <w:rFonts w:ascii="Times New Roman" w:eastAsiaTheme="minorHAnsi" w:hAnsi="Times New Roman" w:cs="Times New Roman"/>
          <w:color w:val="000000"/>
          <w:sz w:val="24"/>
          <w:szCs w:val="24"/>
        </w:rPr>
        <w:t>.</w:t>
      </w:r>
    </w:p>
    <w:p w14:paraId="6075DACA" w14:textId="602D120B" w:rsidR="00B91B33" w:rsidRDefault="006E497A" w:rsidP="000A4A0F">
      <w:pPr>
        <w:pStyle w:val="Sansinterligne"/>
        <w:spacing w:line="360" w:lineRule="auto"/>
        <w:jc w:val="both"/>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t xml:space="preserve">De plus, une alimentation retardée responsable d’une stase digestive peut majorer ce phénomène avec une augmentation du cycle </w:t>
      </w:r>
      <w:proofErr w:type="spellStart"/>
      <w:r w:rsidRPr="000A4A0F">
        <w:rPr>
          <w:rFonts w:ascii="Times New Roman" w:eastAsiaTheme="minorHAnsi" w:hAnsi="Times New Roman" w:cs="Times New Roman"/>
          <w:color w:val="000000"/>
          <w:sz w:val="24"/>
          <w:szCs w:val="24"/>
        </w:rPr>
        <w:t>enterohépatique</w:t>
      </w:r>
      <w:proofErr w:type="spellEnd"/>
      <w:r w:rsidRPr="000A4A0F">
        <w:rPr>
          <w:rFonts w:ascii="Times New Roman" w:eastAsiaTheme="minorHAnsi" w:hAnsi="Times New Roman" w:cs="Times New Roman"/>
          <w:color w:val="000000"/>
          <w:sz w:val="24"/>
          <w:szCs w:val="24"/>
        </w:rPr>
        <w:t xml:space="preserve"> de la bilirubine. Une inhibition de la </w:t>
      </w:r>
      <w:proofErr w:type="spellStart"/>
      <w:r w:rsidRPr="000A4A0F">
        <w:rPr>
          <w:rFonts w:ascii="Times New Roman" w:eastAsiaTheme="minorHAnsi" w:hAnsi="Times New Roman" w:cs="Times New Roman"/>
          <w:color w:val="000000"/>
          <w:sz w:val="24"/>
          <w:szCs w:val="24"/>
        </w:rPr>
        <w:t>glucurono-conjuga</w:t>
      </w:r>
      <w:r w:rsidR="00672BD4" w:rsidRPr="000A4A0F">
        <w:rPr>
          <w:rFonts w:ascii="Times New Roman" w:eastAsiaTheme="minorHAnsi" w:hAnsi="Times New Roman" w:cs="Times New Roman"/>
          <w:color w:val="000000"/>
          <w:sz w:val="24"/>
          <w:szCs w:val="24"/>
        </w:rPr>
        <w:t>ison</w:t>
      </w:r>
      <w:proofErr w:type="spellEnd"/>
      <w:r w:rsidR="00672BD4" w:rsidRPr="000A4A0F">
        <w:rPr>
          <w:rFonts w:ascii="Times New Roman" w:eastAsiaTheme="minorHAnsi" w:hAnsi="Times New Roman" w:cs="Times New Roman"/>
          <w:color w:val="000000"/>
          <w:sz w:val="24"/>
          <w:szCs w:val="24"/>
        </w:rPr>
        <w:t xml:space="preserve"> lors de l’alimentation du nouveau-né</w:t>
      </w:r>
      <w:r w:rsidRPr="000A4A0F">
        <w:rPr>
          <w:rFonts w:ascii="Times New Roman" w:eastAsiaTheme="minorHAnsi" w:hAnsi="Times New Roman" w:cs="Times New Roman"/>
          <w:color w:val="000000"/>
          <w:sz w:val="24"/>
          <w:szCs w:val="24"/>
        </w:rPr>
        <w:t xml:space="preserve"> par le lait maternel majore l’ictère. Le lait maternel a en effet une activité lipoprotéine lipase excessive favorisant la libération d’acide gras qui va alors inhib</w:t>
      </w:r>
      <w:r w:rsidR="00CE0D35" w:rsidRPr="000A4A0F">
        <w:rPr>
          <w:rFonts w:ascii="Times New Roman" w:eastAsiaTheme="minorHAnsi" w:hAnsi="Times New Roman" w:cs="Times New Roman"/>
          <w:color w:val="000000"/>
          <w:sz w:val="24"/>
          <w:szCs w:val="24"/>
        </w:rPr>
        <w:t xml:space="preserve">er la </w:t>
      </w:r>
      <w:proofErr w:type="spellStart"/>
      <w:r w:rsidR="00CE0D35" w:rsidRPr="000A4A0F">
        <w:rPr>
          <w:rFonts w:ascii="Times New Roman" w:eastAsiaTheme="minorHAnsi" w:hAnsi="Times New Roman" w:cs="Times New Roman"/>
          <w:color w:val="000000"/>
          <w:sz w:val="24"/>
          <w:szCs w:val="24"/>
        </w:rPr>
        <w:t>glucurono-conjugaison</w:t>
      </w:r>
      <w:proofErr w:type="spellEnd"/>
      <w:r w:rsidR="00CE0D35" w:rsidRPr="000A4A0F">
        <w:rPr>
          <w:rFonts w:ascii="Times New Roman" w:eastAsiaTheme="minorHAnsi" w:hAnsi="Times New Roman" w:cs="Times New Roman"/>
          <w:color w:val="000000"/>
          <w:sz w:val="24"/>
          <w:szCs w:val="24"/>
        </w:rPr>
        <w:t xml:space="preserve"> </w:t>
      </w:r>
      <w:r w:rsidRPr="000A4A0F">
        <w:rPr>
          <w:rFonts w:ascii="Times New Roman" w:eastAsiaTheme="minorHAnsi" w:hAnsi="Times New Roman" w:cs="Times New Roman"/>
          <w:color w:val="000000"/>
          <w:sz w:val="24"/>
          <w:szCs w:val="24"/>
        </w:rPr>
        <w:t>.</w:t>
      </w:r>
      <w:r w:rsidR="00CE0D35" w:rsidRPr="000A4A0F">
        <w:rPr>
          <w:rFonts w:ascii="Times New Roman" w:eastAsiaTheme="minorHAnsi" w:hAnsi="Times New Roman" w:cs="Times New Roman"/>
          <w:color w:val="000000"/>
          <w:sz w:val="24"/>
          <w:szCs w:val="24"/>
        </w:rPr>
        <w:fldChar w:fldCharType="begin" w:fldLock="1"/>
      </w:r>
      <w:r w:rsidR="004F4A84">
        <w:rPr>
          <w:rFonts w:ascii="Times New Roman" w:eastAsiaTheme="minorHAnsi" w:hAnsi="Times New Roman" w:cs="Times New Roman"/>
          <w:color w:val="000000"/>
          <w:sz w:val="24"/>
          <w:szCs w:val="24"/>
        </w:rPr>
        <w:instrText>ADDIN CSL_CITATION {"citationItems":[{"id":"ITEM-1","itemData":{"author":[{"dropping-particle":"","family":"Y","given":"Ozier","non-dropping-particle":"","parse-names":false,"suffix":""}],"container-title":"annales françaises d'anesthésie et réanimation","id":"ITEM-1","issued":{"date-parts":[["1996"]]},"page":"15,4","title":"Place du traitement substitutif en albumine dans le transport des médicaments, des hormones, des éléctrolytes et d'autres substances","type":"article-journal","volume":"532-542"},"uris":["http://www.mendeley.com/documents/?uuid=dc6df74b-9224-4747-a3ed-75033c397681","http://www.mendeley.com/documents/?uuid=b0240a97-1779-484a-a2a1-62a87ed2a008"]}],"mendeley":{"formattedCitation":"(17)","plainTextFormattedCitation":"(17)","previouslyFormattedCitation":"(18)"},"properties":{"noteIndex":0},"schema":"https://github.com/citation-style-language/schema/raw/master/csl-citation.json"}</w:instrText>
      </w:r>
      <w:r w:rsidR="00CE0D35" w:rsidRPr="000A4A0F">
        <w:rPr>
          <w:rFonts w:ascii="Times New Roman" w:eastAsiaTheme="minorHAnsi" w:hAnsi="Times New Roman" w:cs="Times New Roman"/>
          <w:color w:val="000000"/>
          <w:sz w:val="24"/>
          <w:szCs w:val="24"/>
        </w:rPr>
        <w:fldChar w:fldCharType="separate"/>
      </w:r>
      <w:r w:rsidR="004F4A84" w:rsidRPr="004F4A84">
        <w:rPr>
          <w:rFonts w:ascii="Times New Roman" w:eastAsiaTheme="minorHAnsi" w:hAnsi="Times New Roman" w:cs="Times New Roman"/>
          <w:noProof/>
          <w:color w:val="000000"/>
          <w:sz w:val="24"/>
          <w:szCs w:val="24"/>
        </w:rPr>
        <w:t>(17)</w:t>
      </w:r>
      <w:r w:rsidR="00CE0D35" w:rsidRPr="000A4A0F">
        <w:rPr>
          <w:rFonts w:ascii="Times New Roman" w:eastAsiaTheme="minorHAnsi" w:hAnsi="Times New Roman" w:cs="Times New Roman"/>
          <w:color w:val="000000"/>
          <w:sz w:val="24"/>
          <w:szCs w:val="24"/>
        </w:rPr>
        <w:fldChar w:fldCharType="end"/>
      </w:r>
    </w:p>
    <w:p w14:paraId="25D273A8" w14:textId="77777777" w:rsidR="00B8616A" w:rsidRPr="000A4A0F" w:rsidRDefault="00B8616A" w:rsidP="000A4A0F">
      <w:pPr>
        <w:pStyle w:val="Sansinterligne"/>
        <w:spacing w:line="360" w:lineRule="auto"/>
        <w:jc w:val="both"/>
        <w:rPr>
          <w:rFonts w:ascii="Times New Roman" w:eastAsiaTheme="minorHAnsi" w:hAnsi="Times New Roman" w:cs="Times New Roman"/>
          <w:b/>
          <w:color w:val="000000"/>
          <w:sz w:val="24"/>
          <w:szCs w:val="24"/>
        </w:rPr>
      </w:pPr>
    </w:p>
    <w:p w14:paraId="2F544DB3" w14:textId="46E0CFB1" w:rsidR="00CE0D35" w:rsidRDefault="00CF2F02" w:rsidP="000A4A0F">
      <w:pPr>
        <w:pStyle w:val="Sansinterligne"/>
        <w:spacing w:line="360" w:lineRule="auto"/>
        <w:jc w:val="both"/>
        <w:rPr>
          <w:rFonts w:ascii="Times New Roman" w:eastAsiaTheme="minorHAnsi" w:hAnsi="Times New Roman" w:cs="Times New Roman"/>
          <w:b/>
          <w:sz w:val="24"/>
          <w:szCs w:val="24"/>
        </w:rPr>
      </w:pPr>
      <w:r w:rsidRPr="000A4A0F">
        <w:rPr>
          <w:rFonts w:ascii="Times New Roman" w:eastAsiaTheme="minorHAnsi" w:hAnsi="Times New Roman" w:cs="Times New Roman"/>
          <w:b/>
          <w:sz w:val="24"/>
          <w:szCs w:val="24"/>
        </w:rPr>
        <w:t>I.1.</w:t>
      </w:r>
      <w:r w:rsidR="00C15AFA" w:rsidRPr="000A4A0F">
        <w:rPr>
          <w:rFonts w:ascii="Times New Roman" w:eastAsiaTheme="minorHAnsi" w:hAnsi="Times New Roman" w:cs="Times New Roman"/>
          <w:b/>
          <w:sz w:val="24"/>
          <w:szCs w:val="24"/>
        </w:rPr>
        <w:t>6</w:t>
      </w:r>
      <w:r w:rsidR="00FE1C6D" w:rsidRPr="000A4A0F">
        <w:rPr>
          <w:rFonts w:ascii="Times New Roman" w:eastAsiaTheme="minorHAnsi" w:hAnsi="Times New Roman" w:cs="Times New Roman"/>
          <w:b/>
          <w:sz w:val="24"/>
          <w:szCs w:val="24"/>
        </w:rPr>
        <w:t xml:space="preserve">. </w:t>
      </w:r>
      <w:r w:rsidR="00A57178" w:rsidRPr="000A4A0F">
        <w:rPr>
          <w:rFonts w:ascii="Times New Roman" w:eastAsiaTheme="minorHAnsi" w:hAnsi="Times New Roman" w:cs="Times New Roman"/>
          <w:b/>
          <w:sz w:val="24"/>
          <w:szCs w:val="24"/>
        </w:rPr>
        <w:t>L’hyperbilirubinémie forme non-conjuguée</w:t>
      </w:r>
      <w:r w:rsidR="0034758D">
        <w:rPr>
          <w:rFonts w:ascii="Times New Roman" w:eastAsiaTheme="minorHAnsi" w:hAnsi="Times New Roman" w:cs="Times New Roman"/>
          <w:b/>
          <w:sz w:val="24"/>
          <w:szCs w:val="24"/>
        </w:rPr>
        <w:t xml:space="preserve"> (BSNC) a un rôle physiologique</w:t>
      </w:r>
    </w:p>
    <w:p w14:paraId="398CA5B9" w14:textId="77777777" w:rsidR="0034758D" w:rsidRPr="000A4A0F" w:rsidRDefault="0034758D" w:rsidP="000A4A0F">
      <w:pPr>
        <w:pStyle w:val="Sansinterligne"/>
        <w:spacing w:line="360" w:lineRule="auto"/>
        <w:jc w:val="both"/>
        <w:rPr>
          <w:rFonts w:ascii="Times New Roman" w:eastAsiaTheme="minorHAnsi" w:hAnsi="Times New Roman" w:cs="Times New Roman"/>
          <w:b/>
          <w:sz w:val="24"/>
          <w:szCs w:val="24"/>
        </w:rPr>
      </w:pPr>
    </w:p>
    <w:p w14:paraId="481843BF" w14:textId="5BD6650B" w:rsidR="00A57178" w:rsidRPr="000A4A0F" w:rsidRDefault="00A57178"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Durant la vie intra-utérine, bien que ses exigences métaboliques soient élevées, le </w:t>
      </w:r>
      <w:proofErr w:type="spellStart"/>
      <w:r w:rsidRPr="000A4A0F">
        <w:rPr>
          <w:rFonts w:ascii="Times New Roman" w:hAnsi="Times New Roman" w:cs="Times New Roman"/>
          <w:sz w:val="24"/>
          <w:szCs w:val="24"/>
        </w:rPr>
        <w:t>foetus</w:t>
      </w:r>
      <w:proofErr w:type="spellEnd"/>
      <w:r w:rsidRPr="000A4A0F">
        <w:rPr>
          <w:rFonts w:ascii="Times New Roman" w:hAnsi="Times New Roman" w:cs="Times New Roman"/>
          <w:sz w:val="24"/>
          <w:szCs w:val="24"/>
        </w:rPr>
        <w:t xml:space="preserve"> vit d</w:t>
      </w:r>
      <w:r w:rsidR="007D052A" w:rsidRPr="000A4A0F">
        <w:rPr>
          <w:rFonts w:ascii="Times New Roman" w:hAnsi="Times New Roman" w:cs="Times New Roman"/>
          <w:sz w:val="24"/>
          <w:szCs w:val="24"/>
        </w:rPr>
        <w:t>ans un environnement ayant une P</w:t>
      </w:r>
      <w:r w:rsidRPr="000A4A0F">
        <w:rPr>
          <w:rFonts w:ascii="Times New Roman" w:hAnsi="Times New Roman" w:cs="Times New Roman"/>
          <w:sz w:val="24"/>
          <w:szCs w:val="24"/>
        </w:rPr>
        <w:t>aO2 aux alentours de</w:t>
      </w:r>
      <w:r w:rsidR="007D052A" w:rsidRPr="000A4A0F">
        <w:rPr>
          <w:rFonts w:ascii="Times New Roman" w:hAnsi="Times New Roman" w:cs="Times New Roman"/>
          <w:sz w:val="24"/>
          <w:szCs w:val="24"/>
        </w:rPr>
        <w:t xml:space="preserve"> 30 </w:t>
      </w:r>
      <w:proofErr w:type="spellStart"/>
      <w:r w:rsidR="007D052A" w:rsidRPr="000A4A0F">
        <w:rPr>
          <w:rFonts w:ascii="Times New Roman" w:hAnsi="Times New Roman" w:cs="Times New Roman"/>
          <w:sz w:val="24"/>
          <w:szCs w:val="24"/>
        </w:rPr>
        <w:t>mmHg</w:t>
      </w:r>
      <w:proofErr w:type="spellEnd"/>
      <w:r w:rsidR="007D052A" w:rsidRPr="000A4A0F">
        <w:rPr>
          <w:rFonts w:ascii="Times New Roman" w:hAnsi="Times New Roman" w:cs="Times New Roman"/>
          <w:sz w:val="24"/>
          <w:szCs w:val="24"/>
        </w:rPr>
        <w:t xml:space="preserve"> (ce qui équivaut à la P</w:t>
      </w:r>
      <w:r w:rsidRPr="000A4A0F">
        <w:rPr>
          <w:rFonts w:ascii="Times New Roman" w:hAnsi="Times New Roman" w:cs="Times New Roman"/>
          <w:sz w:val="24"/>
          <w:szCs w:val="24"/>
        </w:rPr>
        <w:t xml:space="preserve">aO2 d’un individu à 8500 m d’altitude). Pour pallier à cet état, le </w:t>
      </w:r>
      <w:proofErr w:type="spellStart"/>
      <w:r w:rsidRPr="000A4A0F">
        <w:rPr>
          <w:rFonts w:ascii="Times New Roman" w:hAnsi="Times New Roman" w:cs="Times New Roman"/>
          <w:sz w:val="24"/>
          <w:szCs w:val="24"/>
        </w:rPr>
        <w:t>foetus</w:t>
      </w:r>
      <w:proofErr w:type="spellEnd"/>
      <w:r w:rsidRPr="000A4A0F">
        <w:rPr>
          <w:rFonts w:ascii="Times New Roman" w:hAnsi="Times New Roman" w:cs="Times New Roman"/>
          <w:sz w:val="24"/>
          <w:szCs w:val="24"/>
        </w:rPr>
        <w:t xml:space="preserve"> possède une hémoglobine </w:t>
      </w:r>
      <w:proofErr w:type="spellStart"/>
      <w:r w:rsidRPr="000A4A0F">
        <w:rPr>
          <w:rFonts w:ascii="Times New Roman" w:hAnsi="Times New Roman" w:cs="Times New Roman"/>
          <w:sz w:val="24"/>
          <w:szCs w:val="24"/>
        </w:rPr>
        <w:t>foetale</w:t>
      </w:r>
      <w:proofErr w:type="spellEnd"/>
      <w:r w:rsidRPr="000A4A0F">
        <w:rPr>
          <w:rFonts w:ascii="Times New Roman" w:hAnsi="Times New Roman" w:cs="Times New Roman"/>
          <w:sz w:val="24"/>
          <w:szCs w:val="24"/>
        </w:rPr>
        <w:t xml:space="preserve"> qui est très performante dans ce type de situation. Pour pallier à ses besoins métaboliques </w:t>
      </w:r>
      <w:proofErr w:type="spellStart"/>
      <w:r w:rsidRPr="000A4A0F">
        <w:rPr>
          <w:rFonts w:ascii="Times New Roman" w:hAnsi="Times New Roman" w:cs="Times New Roman"/>
          <w:sz w:val="24"/>
          <w:szCs w:val="24"/>
        </w:rPr>
        <w:t>oxygénodépendants</w:t>
      </w:r>
      <w:proofErr w:type="spellEnd"/>
      <w:r w:rsidRPr="000A4A0F">
        <w:rPr>
          <w:rFonts w:ascii="Times New Roman" w:hAnsi="Times New Roman" w:cs="Times New Roman"/>
          <w:sz w:val="24"/>
          <w:szCs w:val="24"/>
        </w:rPr>
        <w:t xml:space="preserve">, à côté de cette hémoglobine performante, il synthétise une quantité d’hémoglobine élevée et tout cela permet un taux circulant d’oxygène satisfaisant. Lorsque le </w:t>
      </w:r>
      <w:proofErr w:type="spellStart"/>
      <w:r w:rsidRPr="000A4A0F">
        <w:rPr>
          <w:rFonts w:ascii="Times New Roman" w:hAnsi="Times New Roman" w:cs="Times New Roman"/>
          <w:sz w:val="24"/>
          <w:szCs w:val="24"/>
        </w:rPr>
        <w:t>foetus</w:t>
      </w:r>
      <w:proofErr w:type="spellEnd"/>
      <w:r w:rsidRPr="000A4A0F">
        <w:rPr>
          <w:rFonts w:ascii="Times New Roman" w:hAnsi="Times New Roman" w:cs="Times New Roman"/>
          <w:sz w:val="24"/>
          <w:szCs w:val="24"/>
        </w:rPr>
        <w:t xml:space="preserve"> n</w:t>
      </w:r>
      <w:r w:rsidR="007D052A" w:rsidRPr="000A4A0F">
        <w:rPr>
          <w:rFonts w:ascii="Times New Roman" w:hAnsi="Times New Roman" w:cs="Times New Roman"/>
          <w:sz w:val="24"/>
          <w:szCs w:val="24"/>
        </w:rPr>
        <w:t>aît à la vie extra-utérine, sa P</w:t>
      </w:r>
      <w:r w:rsidRPr="000A4A0F">
        <w:rPr>
          <w:rFonts w:ascii="Times New Roman" w:hAnsi="Times New Roman" w:cs="Times New Roman"/>
          <w:sz w:val="24"/>
          <w:szCs w:val="24"/>
        </w:rPr>
        <w:t xml:space="preserve">aO2 doit s’élever à des taux plus élevé (&gt; 60 </w:t>
      </w:r>
      <w:proofErr w:type="spellStart"/>
      <w:r w:rsidRPr="000A4A0F">
        <w:rPr>
          <w:rFonts w:ascii="Times New Roman" w:hAnsi="Times New Roman" w:cs="Times New Roman"/>
          <w:sz w:val="24"/>
          <w:szCs w:val="24"/>
        </w:rPr>
        <w:t>mmHg</w:t>
      </w:r>
      <w:proofErr w:type="spellEnd"/>
      <w:r w:rsidRPr="000A4A0F">
        <w:rPr>
          <w:rFonts w:ascii="Times New Roman" w:hAnsi="Times New Roman" w:cs="Times New Roman"/>
          <w:sz w:val="24"/>
          <w:szCs w:val="24"/>
        </w:rPr>
        <w:t>) afin de permettre l’ouverture et le maintien de la circulation pulmonaire. Afin d’éviter un stress oxydatif dû à une augmentation du contenu à un oxygène circulant, une hémolyse physiologique s’installe suivie d’une production de bilirubine non conjuguée, lipophile et qui diffuse dans tous les tissus.</w:t>
      </w:r>
      <w:r w:rsidR="00CE0D35"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{"citationItems":[{"id":"ITEM-1","itemData":{"author":[{"dropping-particle":"","family":"Y","given":"Ozier","non-dropping-particle":"","parse-names":false,"suffix":""}],"container-title":"annales françaises d'anesthésie et réanimation","id":"ITEM-1","issued":{"date-parts":[["1996"]]},"page":"15,4","title":"Place du traitement substitutif en albumine dans le transport des médicaments, des hormones, des éléctrolytes et d'autres substances","type":"article-journal","volume":"532-542"},"uris":["http://www.mendeley.com/documents/?uuid=b0240a97-1779-484a-a2a1-62a87ed2a008","http://www.mendeley.com/documents/?uuid=dc6df74b-9224-4747-a3ed-75033c397681"]}],"mendeley":{"formattedCitation":"(17)","plainTextFormattedCitation":"(17)","previouslyFormattedCitation":"(18)"},"properties":{"noteIndex":0},"schema":"https://github.com/citation-style-language/schema/raw/master/csl-citation.json"}</w:instrText>
      </w:r>
      <w:r w:rsidR="00CE0D35"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(17)</w:t>
      </w:r>
      <w:r w:rsidR="00CE0D35" w:rsidRPr="000A4A0F">
        <w:rPr>
          <w:rFonts w:ascii="Times New Roman" w:hAnsi="Times New Roman" w:cs="Times New Roman"/>
          <w:sz w:val="24"/>
          <w:szCs w:val="24"/>
        </w:rPr>
        <w:fldChar w:fldCharType="end"/>
      </w:r>
    </w:p>
    <w:p w14:paraId="65EBC5CF" w14:textId="0C76EB15" w:rsidR="00A57178" w:rsidRPr="000A4A0F" w:rsidRDefault="00A57178"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Elle a une propriété anti-oxydante marquée : c’est là son rôle physiologique. Le foie est freiné dans son pouvoir de conjugaison de la bilirubine qui elle est hydrosoluble, ne peut diffuser dans tous les tissus et n’a pas d’effet</w:t>
      </w:r>
      <w:r w:rsidRPr="000A4A0F">
        <w:rPr>
          <w:rFonts w:ascii="Times New Roman" w:hAnsi="Times New Roman" w:cs="Times New Roman"/>
          <w:color w:val="44546A" w:themeColor="text2"/>
          <w:sz w:val="24"/>
          <w:szCs w:val="24"/>
        </w:rPr>
        <w:t xml:space="preserve"> </w:t>
      </w:r>
      <w:r w:rsidRPr="000A4A0F">
        <w:rPr>
          <w:rFonts w:ascii="Times New Roman" w:hAnsi="Times New Roman" w:cs="Times New Roman"/>
          <w:color w:val="000000" w:themeColor="text1"/>
          <w:sz w:val="24"/>
          <w:szCs w:val="24"/>
        </w:rPr>
        <w:t>ant</w:t>
      </w:r>
      <w:r w:rsidR="005449EE" w:rsidRPr="000A4A0F">
        <w:rPr>
          <w:rFonts w:ascii="Times New Roman" w:hAnsi="Times New Roman" w:cs="Times New Roman"/>
          <w:color w:val="000000" w:themeColor="text1"/>
          <w:sz w:val="24"/>
          <w:szCs w:val="24"/>
        </w:rPr>
        <w:t>i</w:t>
      </w:r>
      <w:r w:rsidRPr="000A4A0F">
        <w:rPr>
          <w:rFonts w:ascii="Times New Roman" w:hAnsi="Times New Roman" w:cs="Times New Roman"/>
          <w:sz w:val="24"/>
          <w:szCs w:val="24"/>
        </w:rPr>
        <w:t>-oxydant. Il ne s’agit donc pas d’une immaturité hépatique, mais d’un état faisant partie de l’adaptation à la vie extra-utérine.</w:t>
      </w:r>
      <w:r w:rsidR="00CE0D35"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{"citationItems":[{"id":"ITEM-1","itemData":{"author":[{"dropping-particle":"","family":"Y","given":"Ozier","non-dropping-particle":"","parse-names":false,"suffix":""}],"container-title":"annales françaises d'anesthésie et réanimation","id":"ITEM-1","issued":{"date-parts":[["1996"]]},"page":"15,4","title":"Place du traitement substitutif en albumine dans le transport des médicaments, des hormones, des éléctrolytes et d'autres substances","type":"article-journal","volume":"532-542"},"uris":["http://www.mendeley.com/documents/?uuid=b0240a97-1779-484a-a2a1-62a87ed2a008","http://www.mendeley.com/documents/?uuid=dc6df74b-9224-4747-a3ed-75033c397681"]}],"mendeley":{"formattedCitation":"(17)","plainTextFormattedCitation":"(17)","previouslyFormattedCitation":"(18)"},"properties":{"noteIndex":0},"schema":"https://github.com/citation-style-language/schema/raw/master/csl-citation.json"}</w:instrText>
      </w:r>
      <w:r w:rsidR="00CE0D35"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(17)</w:t>
      </w:r>
      <w:r w:rsidR="00CE0D35" w:rsidRPr="000A4A0F">
        <w:rPr>
          <w:rFonts w:ascii="Times New Roman" w:hAnsi="Times New Roman" w:cs="Times New Roman"/>
          <w:sz w:val="24"/>
          <w:szCs w:val="24"/>
        </w:rPr>
        <w:fldChar w:fldCharType="end"/>
      </w:r>
    </w:p>
    <w:p w14:paraId="211084B8" w14:textId="77777777" w:rsidR="00A57178" w:rsidRPr="000A4A0F" w:rsidRDefault="00A57178" w:rsidP="000A4A0F">
      <w:pPr>
        <w:pStyle w:val="Sansinterligne"/>
        <w:spacing w:line="360" w:lineRule="auto"/>
        <w:jc w:val="both"/>
        <w:rPr>
          <w:rFonts w:ascii="Times New Roman" w:hAnsi="Times New Roman" w:cs="Times New Roman"/>
          <w:sz w:val="24"/>
          <w:szCs w:val="24"/>
        </w:rPr>
      </w:pPr>
    </w:p>
    <w:p w14:paraId="11C05D9D" w14:textId="77777777" w:rsidR="00A57178" w:rsidRPr="000A4A0F" w:rsidRDefault="00A57178" w:rsidP="000A4A0F">
      <w:pPr>
        <w:pStyle w:val="Sansinterligne"/>
        <w:spacing w:line="360" w:lineRule="auto"/>
        <w:jc w:val="both"/>
        <w:rPr>
          <w:rFonts w:ascii="Times New Roman" w:hAnsi="Times New Roman" w:cs="Times New Roman"/>
          <w:sz w:val="24"/>
          <w:szCs w:val="24"/>
        </w:rPr>
      </w:pPr>
    </w:p>
    <w:p w14:paraId="1BD4108D" w14:textId="77777777" w:rsidR="00B91B33" w:rsidRPr="000A4A0F" w:rsidRDefault="00B91B33" w:rsidP="000A4A0F">
      <w:pPr>
        <w:pStyle w:val="Sansinterligne"/>
        <w:spacing w:line="360" w:lineRule="auto"/>
        <w:jc w:val="both"/>
        <w:rPr>
          <w:rFonts w:ascii="Times New Roman" w:hAnsi="Times New Roman" w:cs="Times New Roman"/>
          <w:sz w:val="24"/>
          <w:szCs w:val="24"/>
        </w:rPr>
      </w:pPr>
    </w:p>
    <w:p w14:paraId="318BB3C3" w14:textId="77777777" w:rsidR="00671EC9" w:rsidRPr="000A4A0F" w:rsidRDefault="00671EC9"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noProof/>
          <w:sz w:val="24"/>
          <w:szCs w:val="24"/>
          <w:lang w:eastAsia="fr-FR"/>
        </w:rPr>
        <w:drawing>
          <wp:inline distT="0" distB="0" distL="0" distR="0" wp14:anchorId="7348999F" wp14:editId="433A618C">
            <wp:extent cx="6582410" cy="5629275"/>
            <wp:effectExtent l="0" t="0" r="889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5294" cy="5700157"/>
                    </a:xfrm>
                    <a:prstGeom prst="rect">
                      <a:avLst/>
                    </a:prstGeom>
                  </pic:spPr>
                </pic:pic>
              </a:graphicData>
            </a:graphic>
          </wp:inline>
        </w:drawing>
      </w:r>
    </w:p>
    <w:p w14:paraId="0C2DC509" w14:textId="77777777" w:rsidR="00B865E3" w:rsidRDefault="00537D00" w:rsidP="000A4A0F">
      <w:pPr>
        <w:pStyle w:val="Sansinterligne"/>
        <w:spacing w:line="360" w:lineRule="auto"/>
        <w:jc w:val="both"/>
        <w:rPr>
          <w:rFonts w:ascii="Times New Roman" w:hAnsi="Times New Roman" w:cs="Times New Roman"/>
          <w:b/>
          <w:sz w:val="24"/>
          <w:szCs w:val="24"/>
        </w:rPr>
      </w:pPr>
      <w:commentRangeStart w:id="20"/>
      <w:commentRangeEnd w:id="20"/>
      <w:r>
        <w:rPr>
          <w:rStyle w:val="Marquedecommentaire"/>
        </w:rPr>
        <w:commentReference w:id="20"/>
      </w:r>
    </w:p>
    <w:p w14:paraId="43A1A302" w14:textId="52ECA876" w:rsidR="00915B7C" w:rsidRPr="000A4A0F" w:rsidRDefault="00342801" w:rsidP="000A4A0F">
      <w:pPr>
        <w:pStyle w:val="Sansinterligne"/>
        <w:spacing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I.</w:t>
      </w:r>
      <w:r w:rsidR="00CF2F02" w:rsidRPr="000A4A0F">
        <w:rPr>
          <w:rFonts w:ascii="Times New Roman" w:hAnsi="Times New Roman" w:cs="Times New Roman"/>
          <w:b/>
          <w:sz w:val="24"/>
          <w:szCs w:val="24"/>
        </w:rPr>
        <w:t>1.</w:t>
      </w:r>
      <w:r w:rsidR="00FE1C6D" w:rsidRPr="000A4A0F">
        <w:rPr>
          <w:rFonts w:ascii="Times New Roman" w:hAnsi="Times New Roman" w:cs="Times New Roman"/>
          <w:b/>
          <w:sz w:val="24"/>
          <w:szCs w:val="24"/>
        </w:rPr>
        <w:t>5</w:t>
      </w:r>
      <w:r w:rsidR="003A743D" w:rsidRPr="000A4A0F">
        <w:rPr>
          <w:rFonts w:ascii="Times New Roman" w:hAnsi="Times New Roman" w:cs="Times New Roman"/>
          <w:b/>
          <w:sz w:val="24"/>
          <w:szCs w:val="24"/>
        </w:rPr>
        <w:t>.</w:t>
      </w:r>
      <w:r w:rsidR="00566C9D" w:rsidRPr="000A4A0F">
        <w:rPr>
          <w:rFonts w:ascii="Times New Roman" w:hAnsi="Times New Roman" w:cs="Times New Roman"/>
          <w:b/>
          <w:sz w:val="24"/>
          <w:szCs w:val="24"/>
        </w:rPr>
        <w:t xml:space="preserve"> Circonstances pathologiques.</w:t>
      </w:r>
    </w:p>
    <w:p w14:paraId="5C078790" w14:textId="27E89135" w:rsidR="00B865E3"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D’autres situations pathologiques, très fréqu</w:t>
      </w:r>
      <w:r w:rsidR="00803744" w:rsidRPr="000A4A0F">
        <w:rPr>
          <w:rFonts w:ascii="Times New Roman" w:hAnsi="Times New Roman" w:cs="Times New Roman"/>
          <w:sz w:val="24"/>
          <w:szCs w:val="24"/>
        </w:rPr>
        <w:t>entes chez le NN</w:t>
      </w:r>
      <w:r w:rsidRPr="000A4A0F">
        <w:rPr>
          <w:rFonts w:ascii="Times New Roman" w:hAnsi="Times New Roman" w:cs="Times New Roman"/>
          <w:sz w:val="24"/>
          <w:szCs w:val="24"/>
        </w:rPr>
        <w:t xml:space="preserve"> vont par ailleurs majorer l’ictère. Un certain nombre de situations à risque d’ictère est identifié. </w:t>
      </w:r>
    </w:p>
    <w:p w14:paraId="210743DB" w14:textId="77777777" w:rsidR="00B9292D"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Ces situations peuvent être en rapport avec l’étiologie de l’ictère (hémolyse constitutionnelle ou par incompatibilité </w:t>
      </w:r>
      <w:proofErr w:type="spellStart"/>
      <w:r w:rsidRPr="000A4A0F">
        <w:rPr>
          <w:rFonts w:ascii="Times New Roman" w:hAnsi="Times New Roman" w:cs="Times New Roman"/>
          <w:sz w:val="24"/>
          <w:szCs w:val="24"/>
        </w:rPr>
        <w:t>foeto-maternelle</w:t>
      </w:r>
      <w:proofErr w:type="spellEnd"/>
      <w:r w:rsidRPr="000A4A0F">
        <w:rPr>
          <w:rFonts w:ascii="Times New Roman" w:hAnsi="Times New Roman" w:cs="Times New Roman"/>
          <w:sz w:val="24"/>
          <w:szCs w:val="24"/>
        </w:rPr>
        <w:t>, infections…) ou avec des conditions particulières présentées par le NN (prématurit</w:t>
      </w:r>
      <w:r w:rsidR="00B9292D" w:rsidRPr="000A4A0F">
        <w:rPr>
          <w:rFonts w:ascii="Times New Roman" w:hAnsi="Times New Roman" w:cs="Times New Roman"/>
          <w:sz w:val="24"/>
          <w:szCs w:val="24"/>
        </w:rPr>
        <w:t>é, perte de poids, hématomes…).</w:t>
      </w:r>
    </w:p>
    <w:p w14:paraId="2EC2E301" w14:textId="77777777" w:rsidR="00566C9D"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Plusieurs situations vont être la cause d’une hypo al</w:t>
      </w:r>
      <w:r w:rsidR="00566C9D" w:rsidRPr="000A4A0F">
        <w:rPr>
          <w:rFonts w:ascii="Times New Roman" w:hAnsi="Times New Roman" w:cs="Times New Roman"/>
          <w:sz w:val="24"/>
          <w:szCs w:val="24"/>
        </w:rPr>
        <w:t>buminémie comme la prématurité.</w:t>
      </w:r>
    </w:p>
    <w:p w14:paraId="058B6AEB" w14:textId="77777777" w:rsidR="00B9292D"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lastRenderedPageBreak/>
        <w:t>La bilirubine circulant dans le sang sous forme liée à l’albumine, toutes les situations modifiant l’albuminémie vont majorer le risque lié à l’ictère. L’albumine possède un site de liaison de forte affinité pour la bilirubine, et au moins un site de f</w:t>
      </w:r>
      <w:r w:rsidR="00B9292D" w:rsidRPr="000A4A0F">
        <w:rPr>
          <w:rFonts w:ascii="Times New Roman" w:hAnsi="Times New Roman" w:cs="Times New Roman"/>
          <w:sz w:val="24"/>
          <w:szCs w:val="24"/>
        </w:rPr>
        <w:t>aible affinité a été identifié.</w:t>
      </w:r>
    </w:p>
    <w:p w14:paraId="50916CC5" w14:textId="160DC5DF" w:rsidR="003A743D"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En situation normale, la proportion de bilirubine plasmatique circulant sous forme liée à l’albumine est voisine de 99 %. Un certain nombre de ligands peut réduire la capacité de fixation de la bilirubine sur l’albumine, soit par compétition sur le site à faible affinité, soit en modifiant la conformation de la protéine. C’est le cas de nombreux xénobiotiques, notamment les sulfamides, certaines pénicillines (oxacilline), certaines céphalosporines de troisième </w:t>
      </w:r>
      <w:r w:rsidR="00F566CC" w:rsidRPr="000A4A0F">
        <w:rPr>
          <w:rFonts w:ascii="Times New Roman" w:hAnsi="Times New Roman" w:cs="Times New Roman"/>
          <w:sz w:val="24"/>
          <w:szCs w:val="24"/>
        </w:rPr>
        <w:t>génération (</w:t>
      </w:r>
      <w:r w:rsidR="00C77A51" w:rsidRPr="000A4A0F">
        <w:rPr>
          <w:rFonts w:ascii="Times New Roman" w:hAnsi="Times New Roman" w:cs="Times New Roman"/>
          <w:sz w:val="24"/>
          <w:szCs w:val="24"/>
        </w:rPr>
        <w:t>ceftriaxone)</w:t>
      </w:r>
      <w:r w:rsidRPr="000A4A0F">
        <w:rPr>
          <w:rFonts w:ascii="Times New Roman" w:hAnsi="Times New Roman" w:cs="Times New Roman"/>
          <w:sz w:val="24"/>
          <w:szCs w:val="24"/>
        </w:rPr>
        <w:t xml:space="preserve">, l’acide fusidique, le </w:t>
      </w:r>
      <w:r w:rsidR="00CE0D35" w:rsidRPr="000A4A0F">
        <w:rPr>
          <w:rFonts w:ascii="Times New Roman" w:hAnsi="Times New Roman" w:cs="Times New Roman"/>
          <w:sz w:val="24"/>
          <w:szCs w:val="24"/>
        </w:rPr>
        <w:t>furosémide et les salicylés</w:t>
      </w:r>
      <w:r w:rsidRPr="000A4A0F">
        <w:rPr>
          <w:rFonts w:ascii="Times New Roman" w:hAnsi="Times New Roman" w:cs="Times New Roman"/>
          <w:sz w:val="24"/>
          <w:szCs w:val="24"/>
        </w:rPr>
        <w:t>.</w:t>
      </w:r>
      <w:r w:rsidR="00CE0D35"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{"citationItems":[{"id":"ITEM-1","itemData":{"author":[{"dropping-particle":"","family":"C.E","given":"Ahlfors","non-dropping-particle":"","parse-names":false,"suffix":""}],"container-title":"Journal of pediatics","id":"ITEM-1","issued":{"date-parts":[["2004"]]},"page":"144,3","title":"Effect of ibuprofen on bilirubin-albumin binding","type":"article-journal","volume":"386-8"},"uris":["http://www.mendeley.com/documents/?uuid=a7ce505b-87a3-4ffd-89ca-64349f7e0c08","http://www.mendeley.com/documents/?uuid=fdb8c64a-a7c5-415a-a6bb-19fa6a78492d"]}],"mendeley":{"formattedCitation":"(18)","plainTextFormattedCitation":"(18)","previouslyFormattedCitation":"(19)"},"properties":{"noteIndex":0},"schema":"https://github.com/citation-style-language/schema/raw/master/csl-citation.json"}</w:instrText>
      </w:r>
      <w:r w:rsidR="00CE0D35"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(18)</w:t>
      </w:r>
      <w:r w:rsidR="00CE0D35"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Chez le NN, des études rapportent une modification de la capacité de fixation de la bilirubine par l’albumine in vitro lors d’un traitement par ibuprofène, ces résultats sont néanmoins </w:t>
      </w:r>
      <w:r w:rsidR="00F566CC" w:rsidRPr="000A4A0F">
        <w:rPr>
          <w:rFonts w:ascii="Times New Roman" w:hAnsi="Times New Roman" w:cs="Times New Roman"/>
          <w:sz w:val="24"/>
          <w:szCs w:val="24"/>
        </w:rPr>
        <w:t>controversés</w:t>
      </w:r>
      <w:r w:rsidRPr="000A4A0F">
        <w:rPr>
          <w:rFonts w:ascii="Times New Roman" w:hAnsi="Times New Roman" w:cs="Times New Roman"/>
          <w:sz w:val="24"/>
          <w:szCs w:val="24"/>
        </w:rPr>
        <w:t>.</w:t>
      </w:r>
      <w:r w:rsidR="00CE0D35"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{"citationItems":[{"id":"ITEM-1","itemData":{"author":[{"dropping-particle":"","family":"Diot C., Kibleur Y","given":"Desfrere L","non-dropping-particle":"","parse-names":false,"suffix":""}],"container-title":"Early Hum Dev","id":"ITEM-1","issued":{"date-parts":[["2010"]]},"page":"86, 5","title":"Effect of ibuprofen on bilirubin-albumin binding in vitro at concentrations observed during treatment of patent ductus arteriosus","type":"article-journal","volume":"315-7"},"uris":["http://www.mendeley.com/documents/?uuid=4e7973a6-bda6-4f79-86b1-5fedc25db04c","http://www.mendeley.com/documents/?uuid=62088519-15fe-4f73-8817-77f88ee69269"]}],"mendeley":{"formattedCitation":"(19)","plainTextFormattedCitation":"(19)","previouslyFormattedCitation":"(20)"},"properties":{"noteIndex":0},"schema":"https://github.com/citation-style-language/schema/raw/master/csl-citation.json"}</w:instrText>
      </w:r>
      <w:r w:rsidR="00CE0D35"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(19)</w:t>
      </w:r>
      <w:r w:rsidR="00CE0D35"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La prématurité est aussi la cause d’une plus grande immaturité hépatique majorant également l’ictère en réduisan</w:t>
      </w:r>
      <w:r w:rsidR="003A743D" w:rsidRPr="000A4A0F">
        <w:rPr>
          <w:rFonts w:ascii="Times New Roman" w:hAnsi="Times New Roman" w:cs="Times New Roman"/>
          <w:sz w:val="24"/>
          <w:szCs w:val="24"/>
        </w:rPr>
        <w:t>t l’épuration de la bilirubine.</w:t>
      </w:r>
    </w:p>
    <w:p w14:paraId="7606B2A1" w14:textId="4F5C6FA9" w:rsidR="00B32B57"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De plus le NN prématuré est plus sensible à la toxicité de la bilirubine, par une plus grande perméabilité de sa</w:t>
      </w:r>
      <w:r w:rsidR="00C77A51" w:rsidRPr="000A4A0F">
        <w:rPr>
          <w:rFonts w:ascii="Times New Roman" w:hAnsi="Times New Roman" w:cs="Times New Roman"/>
          <w:sz w:val="24"/>
          <w:szCs w:val="24"/>
        </w:rPr>
        <w:t xml:space="preserve"> barrière </w:t>
      </w:r>
      <w:r w:rsidR="002113EB" w:rsidRPr="000A4A0F">
        <w:rPr>
          <w:rFonts w:ascii="Times New Roman" w:hAnsi="Times New Roman" w:cs="Times New Roman"/>
          <w:sz w:val="24"/>
          <w:szCs w:val="24"/>
        </w:rPr>
        <w:t>hémato-méningée</w:t>
      </w:r>
      <w:r w:rsidR="00C77A51" w:rsidRPr="000A4A0F">
        <w:rPr>
          <w:rFonts w:ascii="Times New Roman" w:hAnsi="Times New Roman" w:cs="Times New Roman"/>
          <w:sz w:val="24"/>
          <w:szCs w:val="24"/>
        </w:rPr>
        <w:t>.</w:t>
      </w:r>
      <w:r w:rsidR="002113EB"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{"citationItems":[{"id":"ITEM-1","itemData":{"author":[{"dropping-particle":"","family":"Y","given":"Ozier","non-dropping-particle":"","parse-names":false,"suffix":""}],"container-title":"annales françaises d'anesthésie et réanimation","id":"ITEM-1","issued":{"date-parts":[["1996"]]},"page":"15,4","title":"Place du traitement substitutif en albumine dans le transport des médicaments, des hormones, des éléctrolytes et d'autres substances","type":"article-journal","volume":"532-542"},"uris":["http://www.mendeley.com/documents/?uuid=b0240a97-1779-484a-a2a1-62a87ed2a008","http://www.mendeley.com/documents/?uuid=dc6df74b-9224-4747-a3ed-75033c397681"]}],"mendeley":{"formattedCitation":"(17)","plainTextFormattedCitation":"(17)","previouslyFormattedCitation":"(18)"},"properties":{"noteIndex":0},"schema":"https://github.com/citation-style-language/schema/raw/master/csl-citation.json"}</w:instrText>
      </w:r>
      <w:r w:rsidR="002113EB"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(17)</w:t>
      </w:r>
      <w:r w:rsidR="002113EB" w:rsidRPr="000A4A0F">
        <w:rPr>
          <w:rFonts w:ascii="Times New Roman" w:hAnsi="Times New Roman" w:cs="Times New Roman"/>
          <w:sz w:val="24"/>
          <w:szCs w:val="24"/>
        </w:rPr>
        <w:fldChar w:fldCharType="end"/>
      </w:r>
    </w:p>
    <w:p w14:paraId="79FFCE5C" w14:textId="77777777" w:rsidR="00C77A51"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D’autres conditions vont augmenter la formation de la bilirubine. C’est le cas des hémolyses immunologiques ou constitutionnelles. Un ant</w:t>
      </w:r>
      <w:r w:rsidR="00291093" w:rsidRPr="000A4A0F">
        <w:rPr>
          <w:rFonts w:ascii="Times New Roman" w:hAnsi="Times New Roman" w:cs="Times New Roman"/>
          <w:sz w:val="24"/>
          <w:szCs w:val="24"/>
        </w:rPr>
        <w:t xml:space="preserve">écédent familial sera recherché </w:t>
      </w:r>
      <w:r w:rsidRPr="000A4A0F">
        <w:rPr>
          <w:rFonts w:ascii="Times New Roman" w:hAnsi="Times New Roman" w:cs="Times New Roman"/>
          <w:sz w:val="24"/>
          <w:szCs w:val="24"/>
        </w:rPr>
        <w:t>systématiquement, notamment en cas d’ictère survenant précocement dans les 24 premières heures de vie.</w:t>
      </w:r>
    </w:p>
    <w:p w14:paraId="659C93A2" w14:textId="65E27853" w:rsidR="003A743D"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Des hématomes cutanés ou profonds (d</w:t>
      </w:r>
      <w:r w:rsidR="007E2F36" w:rsidRPr="000A4A0F">
        <w:rPr>
          <w:rFonts w:ascii="Times New Roman" w:hAnsi="Times New Roman" w:cs="Times New Roman"/>
          <w:sz w:val="24"/>
          <w:szCs w:val="24"/>
        </w:rPr>
        <w:t>es bosses séro-sanguines, des cé</w:t>
      </w:r>
      <w:r w:rsidRPr="000A4A0F">
        <w:rPr>
          <w:rFonts w:ascii="Times New Roman" w:hAnsi="Times New Roman" w:cs="Times New Roman"/>
          <w:sz w:val="24"/>
          <w:szCs w:val="24"/>
        </w:rPr>
        <w:t>phalhématomes, des hématomes surrénaliens) ainsi qu’une polyglobulie vont augmenter la dégradation de l</w:t>
      </w:r>
      <w:r w:rsidR="002113EB" w:rsidRPr="000A4A0F">
        <w:rPr>
          <w:rFonts w:ascii="Times New Roman" w:hAnsi="Times New Roman" w:cs="Times New Roman"/>
          <w:sz w:val="24"/>
          <w:szCs w:val="24"/>
        </w:rPr>
        <w:t>’hème et favoriser l’ictère</w:t>
      </w:r>
      <w:r w:rsidR="003A743D" w:rsidRPr="000A4A0F">
        <w:rPr>
          <w:rFonts w:ascii="Times New Roman" w:hAnsi="Times New Roman" w:cs="Times New Roman"/>
          <w:sz w:val="24"/>
          <w:szCs w:val="24"/>
        </w:rPr>
        <w:t>.</w:t>
      </w:r>
      <w:r w:rsidR="002113EB"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{"citationItems":[{"id":"ITEM-1","itemData":{"author":[{"dropping-particle":"","family":"Y","given":"Ozier","non-dropping-particle":"","parse-names":false,"suffix":""}],"container-title":"annales françaises d'anesthésie et réanimation","id":"ITEM-1","issued":{"date-parts":[["1996"]]},"page":"15,4","title":"Place du traitement substitutif en albumine dans le transport des médicaments, des hormones, des éléctrolytes et d'autres substances","type":"article-journal","volume":"532-542"},"uris":["http://www.mendeley.com/documents/?uuid=b0240a97-1779-484a-a2a1-62a87ed2a008","http://www.mendeley.com/documents/?uuid=dc6df74b-9224-4747-a3ed-75033c397681"]}],"mendeley":{"formattedCitation":"(17)","plainTextFormattedCitation":"(17)","previouslyFormattedCitation":"(18)"},"properties":{"noteIndex":0},"schema":"https://github.com/citation-style-language/schema/raw/master/csl-citation.json"}</w:instrText>
      </w:r>
      <w:r w:rsidR="002113EB"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(17)</w:t>
      </w:r>
      <w:r w:rsidR="002113EB" w:rsidRPr="000A4A0F">
        <w:rPr>
          <w:rFonts w:ascii="Times New Roman" w:hAnsi="Times New Roman" w:cs="Times New Roman"/>
          <w:sz w:val="24"/>
          <w:szCs w:val="24"/>
        </w:rPr>
        <w:fldChar w:fldCharType="end"/>
      </w:r>
    </w:p>
    <w:p w14:paraId="42D8A390" w14:textId="0AE066E7" w:rsidR="003A743D"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Enfin, le jeûne contribue à aggraver l’ictère chez le NN par augmentation de la production de bilirubine par stimulation de l'activité de l'hème oxygénase, augmentation de l'activité du cycle entéro-hépatique, et par conséquent de la réabsorption de la bilirubine en raison du ralentiss</w:t>
      </w:r>
      <w:r w:rsidR="002113EB" w:rsidRPr="000A4A0F">
        <w:rPr>
          <w:rFonts w:ascii="Times New Roman" w:hAnsi="Times New Roman" w:cs="Times New Roman"/>
          <w:sz w:val="24"/>
          <w:szCs w:val="24"/>
        </w:rPr>
        <w:t>ement du transit intestinal</w:t>
      </w:r>
      <w:r w:rsidR="003A743D" w:rsidRPr="000A4A0F">
        <w:rPr>
          <w:rFonts w:ascii="Times New Roman" w:hAnsi="Times New Roman" w:cs="Times New Roman"/>
          <w:sz w:val="24"/>
          <w:szCs w:val="24"/>
        </w:rPr>
        <w:t>.</w:t>
      </w:r>
      <w:r w:rsidR="002113EB"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author":[{"dropping-particle":"","family":"A","given":"Bourillon","non-dropping-particle":"","parse-names":false,"suffix":""}],"edition":"4ème","id":"ITEM-1","issued":{"date-parts":[["2003"]]},"number-of-pages":"681","publisher":"Masson","title":"Pédiatrie pour le praticien","type":"book"},"uris":["http://www.mendeley.com/documents/?uuid=b9e5c68e-0f1b-4c89-8a3a-537e3c404793","http://www.mendeley.com/documents/?uuid=c082c76f-5cd3-423e-9036-791814e88de0"]}],"mendeley":{"formattedCitation":"(15)","plainTextFormattedCitation":"(15)","previouslyFormattedCitation":"(15)"},"properties":{"noteIndex":0},"schema":"https://github.com/citation-style-language/schema/raw/master/csl-citation.json"}</w:instrText>
      </w:r>
      <w:r w:rsidR="002113EB" w:rsidRPr="000A4A0F">
        <w:rPr>
          <w:rFonts w:ascii="Times New Roman" w:hAnsi="Times New Roman" w:cs="Times New Roman"/>
          <w:sz w:val="24"/>
          <w:szCs w:val="24"/>
        </w:rPr>
        <w:fldChar w:fldCharType="separate"/>
      </w:r>
      <w:r w:rsidR="002113EB" w:rsidRPr="000A4A0F">
        <w:rPr>
          <w:rFonts w:ascii="Times New Roman" w:hAnsi="Times New Roman" w:cs="Times New Roman"/>
          <w:noProof/>
          <w:sz w:val="24"/>
          <w:szCs w:val="24"/>
        </w:rPr>
        <w:t>(15)</w:t>
      </w:r>
      <w:r w:rsidR="002113EB" w:rsidRPr="000A4A0F">
        <w:rPr>
          <w:rFonts w:ascii="Times New Roman" w:hAnsi="Times New Roman" w:cs="Times New Roman"/>
          <w:sz w:val="24"/>
          <w:szCs w:val="24"/>
        </w:rPr>
        <w:fldChar w:fldCharType="end"/>
      </w:r>
    </w:p>
    <w:p w14:paraId="0C07B2DE" w14:textId="0E153FCD" w:rsidR="00B32B57"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En plus de ces facteurs majorant l’hyper bilirubinémie, d’autres facteurs augmentant la sensibilité à la toxicité de la bilirubine par fragilisation de la barrière </w:t>
      </w:r>
      <w:proofErr w:type="spellStart"/>
      <w:r w:rsidRPr="000A4A0F">
        <w:rPr>
          <w:rFonts w:ascii="Times New Roman" w:hAnsi="Times New Roman" w:cs="Times New Roman"/>
          <w:sz w:val="24"/>
          <w:szCs w:val="24"/>
        </w:rPr>
        <w:t>hémo</w:t>
      </w:r>
      <w:proofErr w:type="spellEnd"/>
      <w:r w:rsidRPr="000A4A0F">
        <w:rPr>
          <w:rFonts w:ascii="Times New Roman" w:hAnsi="Times New Roman" w:cs="Times New Roman"/>
          <w:sz w:val="24"/>
          <w:szCs w:val="24"/>
        </w:rPr>
        <w:t>-méningée peuvent être associés comme la prématurité, une infection, une déshydratat</w:t>
      </w:r>
      <w:r w:rsidR="003A743D" w:rsidRPr="000A4A0F">
        <w:rPr>
          <w:rFonts w:ascii="Times New Roman" w:hAnsi="Times New Roman" w:cs="Times New Roman"/>
          <w:sz w:val="24"/>
          <w:szCs w:val="24"/>
        </w:rPr>
        <w:t xml:space="preserve">ion, une anoxie ou une </w:t>
      </w:r>
      <w:r w:rsidR="002113EB" w:rsidRPr="000A4A0F">
        <w:rPr>
          <w:rFonts w:ascii="Times New Roman" w:hAnsi="Times New Roman" w:cs="Times New Roman"/>
          <w:sz w:val="24"/>
          <w:szCs w:val="24"/>
        </w:rPr>
        <w:t>acidose</w:t>
      </w:r>
      <w:r w:rsidRPr="000A4A0F">
        <w:rPr>
          <w:rFonts w:ascii="Times New Roman" w:hAnsi="Times New Roman" w:cs="Times New Roman"/>
          <w:sz w:val="24"/>
          <w:szCs w:val="24"/>
        </w:rPr>
        <w:t>.</w:t>
      </w:r>
      <w:r w:rsidR="002113EB"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author":[{"dropping-particle":"","family":"A","given":"Bourillon","non-dropping-particle":"","parse-names":false,"suffix":""}],"edition":"4ème","id":"ITEM-1","issued":{"date-parts":[["2003"]]},"number-of-pages":"681","publisher":"Masson","title":"Pédiatrie pour le praticien","type":"book"},"uris":["http://www.mendeley.com/documents/?uuid=b9e5c68e-0f1b-4c89-8a3a-537e3c404793","http://www.mendeley.com/documents/?uuid=c082c76f-5cd3-423e-9036-791814e88de0"]}],"mendeley":{"formattedCitation":"(15)","plainTextFormattedCitation":"(15)","previouslyFormattedCitation":"(15)"},"properties":{"noteIndex":0},"schema":"https://github.com/citation-style-language/schema/raw/master/csl-citation.json"}</w:instrText>
      </w:r>
      <w:r w:rsidR="002113EB" w:rsidRPr="000A4A0F">
        <w:rPr>
          <w:rFonts w:ascii="Times New Roman" w:hAnsi="Times New Roman" w:cs="Times New Roman"/>
          <w:sz w:val="24"/>
          <w:szCs w:val="24"/>
        </w:rPr>
        <w:fldChar w:fldCharType="separate"/>
      </w:r>
      <w:r w:rsidR="002113EB" w:rsidRPr="000A4A0F">
        <w:rPr>
          <w:rFonts w:ascii="Times New Roman" w:hAnsi="Times New Roman" w:cs="Times New Roman"/>
          <w:noProof/>
          <w:sz w:val="24"/>
          <w:szCs w:val="24"/>
        </w:rPr>
        <w:t>(15)</w:t>
      </w:r>
      <w:r w:rsidR="002113EB" w:rsidRPr="000A4A0F">
        <w:rPr>
          <w:rFonts w:ascii="Times New Roman" w:hAnsi="Times New Roman" w:cs="Times New Roman"/>
          <w:sz w:val="24"/>
          <w:szCs w:val="24"/>
        </w:rPr>
        <w:fldChar w:fldCharType="end"/>
      </w:r>
    </w:p>
    <w:p w14:paraId="1E65A32D" w14:textId="06D18570" w:rsidR="00B32B57" w:rsidRPr="000A4A0F" w:rsidRDefault="00342801" w:rsidP="000A4A0F">
      <w:pPr>
        <w:pStyle w:val="Sansinterligne"/>
        <w:spacing w:before="200" w:after="200"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I.</w:t>
      </w:r>
      <w:r w:rsidR="00FE1C6D" w:rsidRPr="000A4A0F">
        <w:rPr>
          <w:rFonts w:ascii="Times New Roman" w:hAnsi="Times New Roman" w:cs="Times New Roman"/>
          <w:b/>
          <w:sz w:val="24"/>
          <w:szCs w:val="24"/>
        </w:rPr>
        <w:t>1.6</w:t>
      </w:r>
      <w:r w:rsidR="00B32B57" w:rsidRPr="000A4A0F">
        <w:rPr>
          <w:rFonts w:ascii="Times New Roman" w:hAnsi="Times New Roman" w:cs="Times New Roman"/>
          <w:b/>
          <w:sz w:val="24"/>
          <w:szCs w:val="24"/>
        </w:rPr>
        <w:t>. Physiopathologie de la neurotoxicité d</w:t>
      </w:r>
      <w:r w:rsidR="002113EB" w:rsidRPr="000A4A0F">
        <w:rPr>
          <w:rFonts w:ascii="Times New Roman" w:hAnsi="Times New Roman" w:cs="Times New Roman"/>
          <w:b/>
          <w:sz w:val="24"/>
          <w:szCs w:val="24"/>
        </w:rPr>
        <w:t>e la bilirubine</w:t>
      </w:r>
      <w:r w:rsidR="002113EB" w:rsidRPr="000A4A0F">
        <w:rPr>
          <w:rFonts w:ascii="Times New Roman" w:hAnsi="Times New Roman" w:cs="Times New Roman"/>
          <w:b/>
          <w:sz w:val="24"/>
          <w:szCs w:val="24"/>
        </w:rPr>
        <w:fldChar w:fldCharType="begin" w:fldLock="1"/>
      </w:r>
      <w:r w:rsidR="004F4A84">
        <w:rPr>
          <w:rFonts w:ascii="Times New Roman" w:hAnsi="Times New Roman" w:cs="Times New Roman"/>
          <w:b/>
          <w:sz w:val="24"/>
          <w:szCs w:val="24"/>
        </w:rPr>
        <w:instrText>ADDIN CSL_CITATION {"citationItems":[{"id":"ITEM-1","itemData":{"author":[{"dropping-particle":"","family":"Steven M. Shapiro","given":"MD","non-dropping-particle":"","parse-names":false,"suffix":""}],"container-title":"PEDIATRIC NEUROLOGY","id":"ITEM-1","issue":"5","issued":{"date-parts":[["2003"]]},"page":"409-421","title":"Bilirubin Toxicity in the Developing Nervous System","type":"article-journal","volume":"29"},"uris":["http://www.mendeley.com/documents/?uuid=114fcb7a-2737-43bf-ae7e-71e6b37996ad","http://www.mendeley.com/documents/?uuid=d05bf2bf-bf3b-4740-817f-c80bd480446d"]}],"mendeley":{"formattedCitation":"(20)","plainTextFormattedCitation":"(20)","previouslyFormattedCitation":"(21)"},"properties":{"noteIndex":0},"schema":"https://github.com/citation-style-language/schema/raw/master/csl-citation.json"}</w:instrText>
      </w:r>
      <w:r w:rsidR="002113EB" w:rsidRPr="000A4A0F">
        <w:rPr>
          <w:rFonts w:ascii="Times New Roman" w:hAnsi="Times New Roman" w:cs="Times New Roman"/>
          <w:b/>
          <w:sz w:val="24"/>
          <w:szCs w:val="24"/>
        </w:rPr>
        <w:fldChar w:fldCharType="separate"/>
      </w:r>
      <w:r w:rsidR="004F4A84" w:rsidRPr="004F4A84">
        <w:rPr>
          <w:rFonts w:ascii="Times New Roman" w:hAnsi="Times New Roman" w:cs="Times New Roman"/>
          <w:noProof/>
          <w:sz w:val="24"/>
          <w:szCs w:val="24"/>
        </w:rPr>
        <w:t>(20)</w:t>
      </w:r>
      <w:r w:rsidR="002113EB" w:rsidRPr="000A4A0F">
        <w:rPr>
          <w:rFonts w:ascii="Times New Roman" w:hAnsi="Times New Roman" w:cs="Times New Roman"/>
          <w:b/>
          <w:sz w:val="24"/>
          <w:szCs w:val="24"/>
        </w:rPr>
        <w:fldChar w:fldCharType="end"/>
      </w:r>
      <w:r w:rsidR="002113EB" w:rsidRPr="000A4A0F">
        <w:rPr>
          <w:rFonts w:ascii="Times New Roman" w:hAnsi="Times New Roman" w:cs="Times New Roman"/>
          <w:b/>
          <w:sz w:val="24"/>
          <w:szCs w:val="24"/>
        </w:rPr>
        <w:fldChar w:fldCharType="begin" w:fldLock="1"/>
      </w:r>
      <w:r w:rsidR="00EE36B6">
        <w:rPr>
          <w:rFonts w:ascii="Times New Roman" w:hAnsi="Times New Roman" w:cs="Times New Roman"/>
          <w:b/>
          <w:sz w:val="24"/>
          <w:szCs w:val="24"/>
        </w:rPr>
        <w:instrText>ADDIN CSL_CITATION {"citationItems":[{"id":"ITEM-1","itemData":{"author":[{"dropping-particle":"","family":"Battisti","given":"Professeur Oreste","non-dropping-particle":"","parse-names":false,"suffix":""},{"dropping-particle":"De","family":"Cours","given":"Chargé","non-dropping-particle":"","parse-names":false,"suffix":""},{"dropping-particle":"De","family":"Médecine","given":"Faculté","non-dropping-particle":"","parse-names":false,"suffix":""},{"dropping-particle":"De","family":"Liège","given":"Université","non-dropping-particle":"","parse-names":false,"suffix":""},{"dropping-particle":"","family":"Définitions","given":"A","non-dropping-particle":"","parse-names":false,"suffix":""}],"id":"ITEM-1","issued":{"date-parts":[["0"]]},"page":"1-26","title":"Diagnostic et prise en charge de l ’ hyperbilirubinémie ( à partir de 35 semaines d ’ âge gestationnel )","type":"article-journal"},"uris":["http://www.mendeley.com/documents/?uuid=593aa58c-b2ee-42ab-be1d-e0b1554d69e5","http://www.mendeley.com/documents/?uuid=8efb4bd5-bce5-46ac-91e0-063c05cc6fba"]}],"mendeley":{"formattedCitation":"(3)","plainTextFormattedCitation":"(3)","previouslyFormattedCitation":"(3)"},"properties":{"noteIndex":0},"schema":"https://github.com/citation-style-language/schema/raw/master/csl-citation.json"}</w:instrText>
      </w:r>
      <w:r w:rsidR="002113EB" w:rsidRPr="000A4A0F">
        <w:rPr>
          <w:rFonts w:ascii="Times New Roman" w:hAnsi="Times New Roman" w:cs="Times New Roman"/>
          <w:b/>
          <w:sz w:val="24"/>
          <w:szCs w:val="24"/>
        </w:rPr>
        <w:fldChar w:fldCharType="separate"/>
      </w:r>
      <w:r w:rsidR="002113EB" w:rsidRPr="000A4A0F">
        <w:rPr>
          <w:rFonts w:ascii="Times New Roman" w:hAnsi="Times New Roman" w:cs="Times New Roman"/>
          <w:noProof/>
          <w:sz w:val="24"/>
          <w:szCs w:val="24"/>
        </w:rPr>
        <w:t>(3)</w:t>
      </w:r>
      <w:r w:rsidR="002113EB" w:rsidRPr="000A4A0F">
        <w:rPr>
          <w:rFonts w:ascii="Times New Roman" w:hAnsi="Times New Roman" w:cs="Times New Roman"/>
          <w:b/>
          <w:sz w:val="24"/>
          <w:szCs w:val="24"/>
        </w:rPr>
        <w:fldChar w:fldCharType="end"/>
      </w:r>
      <w:r w:rsidR="002113EB" w:rsidRPr="000A4A0F">
        <w:rPr>
          <w:rFonts w:ascii="Times New Roman" w:hAnsi="Times New Roman" w:cs="Times New Roman"/>
          <w:b/>
          <w:sz w:val="24"/>
          <w:szCs w:val="24"/>
        </w:rPr>
        <w:fldChar w:fldCharType="begin" w:fldLock="1"/>
      </w:r>
      <w:r w:rsidR="004F4A84">
        <w:rPr>
          <w:rFonts w:ascii="Times New Roman" w:hAnsi="Times New Roman" w:cs="Times New Roman"/>
          <w:b/>
          <w:sz w:val="24"/>
          <w:szCs w:val="24"/>
        </w:rPr>
        <w:instrText>ADDIN CSL_CITATION {"citationItems":[{"id":"ITEM-1","itemData":{"author":[{"dropping-particle":"","family":"Vinod K. Bhutani","given":"Ronald J.","non-dropping-particle":"","parse-names":false,"suffix":""}],"container-title":"Journal of Clinical Neonatology","id":"ITEM-1","issue":"2","issued":{"date-parts":[["2013"]]},"title":"Bilirubin Neurotoxicity in Preterm Infants: Risk and Prevention.","type":"article-journal"},"uris":["http://www.mendeley.com/documents/?uuid=99c0a86d-fac0-46a5-908b-48869fcd9589","http://www.mendeley.com/documents/?uuid=a3bef6dd-0359-4104-93a6-bb48ff6ce615"]}],"mendeley":{"formattedCitation":"(21)","plainTextFormattedCitation":"(21)","previouslyFormattedCitation":"(22)"},"properties":{"noteIndex":0},"schema":"https://github.com/citation-style-language/schema/raw/master/csl-citation.json"}</w:instrText>
      </w:r>
      <w:r w:rsidR="002113EB" w:rsidRPr="000A4A0F">
        <w:rPr>
          <w:rFonts w:ascii="Times New Roman" w:hAnsi="Times New Roman" w:cs="Times New Roman"/>
          <w:b/>
          <w:sz w:val="24"/>
          <w:szCs w:val="24"/>
        </w:rPr>
        <w:fldChar w:fldCharType="separate"/>
      </w:r>
      <w:r w:rsidR="004F4A84" w:rsidRPr="004F4A84">
        <w:rPr>
          <w:rFonts w:ascii="Times New Roman" w:hAnsi="Times New Roman" w:cs="Times New Roman"/>
          <w:noProof/>
          <w:sz w:val="24"/>
          <w:szCs w:val="24"/>
        </w:rPr>
        <w:t>(21)</w:t>
      </w:r>
      <w:r w:rsidR="002113EB" w:rsidRPr="000A4A0F">
        <w:rPr>
          <w:rFonts w:ascii="Times New Roman" w:hAnsi="Times New Roman" w:cs="Times New Roman"/>
          <w:b/>
          <w:sz w:val="24"/>
          <w:szCs w:val="24"/>
        </w:rPr>
        <w:fldChar w:fldCharType="end"/>
      </w:r>
    </w:p>
    <w:p w14:paraId="3C31B57D" w14:textId="5C7BFCC9" w:rsidR="00B32B57"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La bilirubine est toxique pour le système nerveux central et peut prov</w:t>
      </w:r>
      <w:r w:rsidR="002E6B50" w:rsidRPr="000A4A0F">
        <w:rPr>
          <w:rFonts w:ascii="Times New Roman" w:hAnsi="Times New Roman" w:cs="Times New Roman"/>
          <w:sz w:val="24"/>
          <w:szCs w:val="24"/>
        </w:rPr>
        <w:t xml:space="preserve">oquer une séquence de symptômes </w:t>
      </w:r>
      <w:r w:rsidRPr="000A4A0F">
        <w:rPr>
          <w:rFonts w:ascii="Times New Roman" w:hAnsi="Times New Roman" w:cs="Times New Roman"/>
          <w:sz w:val="24"/>
          <w:szCs w:val="24"/>
        </w:rPr>
        <w:t xml:space="preserve">et des signes neurologiques marqués regroupés sous le nom d’encéphalopathie </w:t>
      </w:r>
      <w:proofErr w:type="spellStart"/>
      <w:r w:rsidRPr="000A4A0F">
        <w:rPr>
          <w:rFonts w:ascii="Times New Roman" w:hAnsi="Times New Roman" w:cs="Times New Roman"/>
          <w:sz w:val="24"/>
          <w:szCs w:val="24"/>
        </w:rPr>
        <w:lastRenderedPageBreak/>
        <w:t>bilirubinique</w:t>
      </w:r>
      <w:proofErr w:type="spellEnd"/>
      <w:r w:rsidRPr="000A4A0F">
        <w:rPr>
          <w:rFonts w:ascii="Times New Roman" w:hAnsi="Times New Roman" w:cs="Times New Roman"/>
          <w:sz w:val="24"/>
          <w:szCs w:val="24"/>
        </w:rPr>
        <w:t xml:space="preserve"> aigue. En situation physiologique, il existe un taux de bilirubine intracellulaire cérébrale bas. Mais en cas d'augmentation de sa biodisponibilité, la bilirubine exerce sa toxicité en altérant certaines fonctions vitales de la cellule aboutissant à une apoptose ou une nécrose cellulaire.</w:t>
      </w:r>
    </w:p>
    <w:p w14:paraId="5A0C4278" w14:textId="77777777" w:rsidR="00B32B57" w:rsidRPr="000A4A0F" w:rsidRDefault="00342801" w:rsidP="000A4A0F">
      <w:pPr>
        <w:pStyle w:val="Sansinterligne"/>
        <w:spacing w:before="200" w:after="200"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I.</w:t>
      </w:r>
      <w:r w:rsidR="00FE1C6D" w:rsidRPr="000A4A0F">
        <w:rPr>
          <w:rFonts w:ascii="Times New Roman" w:hAnsi="Times New Roman" w:cs="Times New Roman"/>
          <w:b/>
          <w:sz w:val="24"/>
          <w:szCs w:val="24"/>
        </w:rPr>
        <w:t>1</w:t>
      </w:r>
      <w:r w:rsidRPr="000A4A0F">
        <w:rPr>
          <w:rFonts w:ascii="Times New Roman" w:hAnsi="Times New Roman" w:cs="Times New Roman"/>
          <w:b/>
          <w:sz w:val="24"/>
          <w:szCs w:val="24"/>
        </w:rPr>
        <w:t>.</w:t>
      </w:r>
      <w:r w:rsidR="00FE1C6D" w:rsidRPr="000A4A0F">
        <w:rPr>
          <w:rFonts w:ascii="Times New Roman" w:hAnsi="Times New Roman" w:cs="Times New Roman"/>
          <w:b/>
          <w:sz w:val="24"/>
          <w:szCs w:val="24"/>
        </w:rPr>
        <w:t>6</w:t>
      </w:r>
      <w:r w:rsidR="00510321" w:rsidRPr="000A4A0F">
        <w:rPr>
          <w:rFonts w:ascii="Times New Roman" w:hAnsi="Times New Roman" w:cs="Times New Roman"/>
          <w:b/>
          <w:sz w:val="24"/>
          <w:szCs w:val="24"/>
        </w:rPr>
        <w:t>.</w:t>
      </w:r>
      <w:r w:rsidR="00FE1C6D" w:rsidRPr="000A4A0F">
        <w:rPr>
          <w:rFonts w:ascii="Times New Roman" w:hAnsi="Times New Roman" w:cs="Times New Roman"/>
          <w:b/>
          <w:sz w:val="24"/>
          <w:szCs w:val="24"/>
        </w:rPr>
        <w:t>1.</w:t>
      </w:r>
      <w:r w:rsidR="00B32B57" w:rsidRPr="000A4A0F">
        <w:rPr>
          <w:rFonts w:ascii="Times New Roman" w:hAnsi="Times New Roman" w:cs="Times New Roman"/>
          <w:b/>
          <w:sz w:val="24"/>
          <w:szCs w:val="24"/>
        </w:rPr>
        <w:t xml:space="preserve"> Mécanismes d'entrée de</w:t>
      </w:r>
      <w:r w:rsidRPr="000A4A0F">
        <w:rPr>
          <w:rFonts w:ascii="Times New Roman" w:hAnsi="Times New Roman" w:cs="Times New Roman"/>
          <w:b/>
          <w:sz w:val="24"/>
          <w:szCs w:val="24"/>
        </w:rPr>
        <w:t xml:space="preserve"> la bilirubine dans le cerveau </w:t>
      </w:r>
    </w:p>
    <w:p w14:paraId="235EC911" w14:textId="0A7C6C85" w:rsidR="00B32B57"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Lors d'une HB, la bilirubine diffuse dans le cerveau mais sa concentration dans le LCR et au ni</w:t>
      </w:r>
      <w:r w:rsidR="00510321" w:rsidRPr="000A4A0F">
        <w:rPr>
          <w:rFonts w:ascii="Times New Roman" w:hAnsi="Times New Roman" w:cs="Times New Roman"/>
          <w:sz w:val="24"/>
          <w:szCs w:val="24"/>
        </w:rPr>
        <w:t>veau des cellules cérébrales sont</w:t>
      </w:r>
      <w:r w:rsidRPr="000A4A0F">
        <w:rPr>
          <w:rFonts w:ascii="Times New Roman" w:hAnsi="Times New Roman" w:cs="Times New Roman"/>
          <w:sz w:val="24"/>
          <w:szCs w:val="24"/>
        </w:rPr>
        <w:t xml:space="preserve"> limitée</w:t>
      </w:r>
      <w:r w:rsidR="00510321" w:rsidRPr="000A4A0F">
        <w:rPr>
          <w:rFonts w:ascii="Times New Roman" w:hAnsi="Times New Roman" w:cs="Times New Roman"/>
          <w:sz w:val="24"/>
          <w:szCs w:val="24"/>
        </w:rPr>
        <w:t>s</w:t>
      </w:r>
      <w:r w:rsidRPr="000A4A0F">
        <w:rPr>
          <w:rFonts w:ascii="Times New Roman" w:hAnsi="Times New Roman" w:cs="Times New Roman"/>
          <w:sz w:val="24"/>
          <w:szCs w:val="24"/>
        </w:rPr>
        <w:t xml:space="preserve"> par un retour actif de la bilirubine vers le plasma grâce à des protéines spécifiques de transport. Ces mécanismes en situation physiologique protègent le cerveau de l'HB. Seulement la bilirubine qui n'est pas lié à l'albumine pénètre dans le cerveau en traversant la barrière hémato-encéphalique (BHE). Dans le cas d'une augmentation rapide de la bilirubine, comme on le voit chez le nouveau-né ictérique, l'albumine sert de tampon biologique contre l'encéphalopathie </w:t>
      </w:r>
      <w:proofErr w:type="spellStart"/>
      <w:r w:rsidRPr="000A4A0F">
        <w:rPr>
          <w:rFonts w:ascii="Times New Roman" w:hAnsi="Times New Roman" w:cs="Times New Roman"/>
          <w:sz w:val="24"/>
          <w:szCs w:val="24"/>
        </w:rPr>
        <w:t>bilirubinique</w:t>
      </w:r>
      <w:proofErr w:type="spellEnd"/>
      <w:r w:rsidRPr="000A4A0F">
        <w:rPr>
          <w:rFonts w:ascii="Times New Roman" w:hAnsi="Times New Roman" w:cs="Times New Roman"/>
          <w:sz w:val="24"/>
          <w:szCs w:val="24"/>
        </w:rPr>
        <w:t>.</w:t>
      </w:r>
    </w:p>
    <w:p w14:paraId="1B9D859C" w14:textId="77777777" w:rsidR="002E6B50" w:rsidRPr="000A4A0F" w:rsidRDefault="002E6B50" w:rsidP="000A4A0F">
      <w:pPr>
        <w:pStyle w:val="Sansinterligne"/>
        <w:spacing w:line="360" w:lineRule="auto"/>
        <w:jc w:val="both"/>
        <w:rPr>
          <w:rFonts w:ascii="Times New Roman" w:hAnsi="Times New Roman" w:cs="Times New Roman"/>
          <w:sz w:val="24"/>
          <w:szCs w:val="24"/>
        </w:rPr>
      </w:pPr>
    </w:p>
    <w:p w14:paraId="065451FE" w14:textId="09DBC219" w:rsidR="00B32B57" w:rsidRPr="000A4A0F" w:rsidRDefault="00FE1C6D" w:rsidP="000A4A0F">
      <w:pPr>
        <w:pStyle w:val="Sansinterligne"/>
        <w:spacing w:before="200" w:after="200"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I.1.6</w:t>
      </w:r>
      <w:r w:rsidR="00CE68A4" w:rsidRPr="000A4A0F">
        <w:rPr>
          <w:rFonts w:ascii="Times New Roman" w:hAnsi="Times New Roman" w:cs="Times New Roman"/>
          <w:b/>
          <w:sz w:val="24"/>
          <w:szCs w:val="24"/>
        </w:rPr>
        <w:t>.</w:t>
      </w:r>
      <w:r w:rsidRPr="000A4A0F">
        <w:rPr>
          <w:rFonts w:ascii="Times New Roman" w:hAnsi="Times New Roman" w:cs="Times New Roman"/>
          <w:b/>
          <w:sz w:val="24"/>
          <w:szCs w:val="24"/>
        </w:rPr>
        <w:t>2.</w:t>
      </w:r>
      <w:r w:rsidR="00B32B57" w:rsidRPr="000A4A0F">
        <w:rPr>
          <w:rFonts w:ascii="Times New Roman" w:hAnsi="Times New Roman" w:cs="Times New Roman"/>
          <w:b/>
          <w:sz w:val="24"/>
          <w:szCs w:val="24"/>
        </w:rPr>
        <w:t xml:space="preserve"> Mécanismes de protection cérébrale :</w:t>
      </w:r>
    </w:p>
    <w:p w14:paraId="6BDA3551" w14:textId="77777777" w:rsidR="00690321"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Seule la bilirubine libre est toxique pour le cerveau. Le premier mécanisme permettant d’éviter la toxicité cérébrale de la bilirubine est bien sûr le métabolisme hépatique de celle-ci, mais aussi sa fixation à l’albumine qui limite sa biodisponibilité pour le</w:t>
      </w:r>
      <w:r w:rsidR="00690321" w:rsidRPr="000A4A0F">
        <w:rPr>
          <w:rFonts w:ascii="Times New Roman" w:hAnsi="Times New Roman" w:cs="Times New Roman"/>
          <w:sz w:val="24"/>
          <w:szCs w:val="24"/>
        </w:rPr>
        <w:t>s transferts transmembranaires.</w:t>
      </w:r>
    </w:p>
    <w:p w14:paraId="2D3C5F89" w14:textId="77777777" w:rsidR="00690321"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Grâce à la découverte des mécanismes d’entrée mais aussi d’extraction de la bi</w:t>
      </w:r>
      <w:r w:rsidR="00C77A51" w:rsidRPr="000A4A0F">
        <w:rPr>
          <w:rFonts w:ascii="Times New Roman" w:hAnsi="Times New Roman" w:cs="Times New Roman"/>
          <w:sz w:val="24"/>
          <w:szCs w:val="24"/>
        </w:rPr>
        <w:t>lirubine au niveau des cellules</w:t>
      </w:r>
      <w:r w:rsidR="00787844" w:rsidRPr="000A4A0F">
        <w:rPr>
          <w:rFonts w:ascii="Times New Roman" w:hAnsi="Times New Roman" w:cs="Times New Roman"/>
          <w:sz w:val="24"/>
          <w:szCs w:val="24"/>
        </w:rPr>
        <w:t xml:space="preserve"> </w:t>
      </w:r>
      <w:r w:rsidRPr="000A4A0F">
        <w:rPr>
          <w:rFonts w:ascii="Times New Roman" w:hAnsi="Times New Roman" w:cs="Times New Roman"/>
          <w:sz w:val="24"/>
          <w:szCs w:val="24"/>
        </w:rPr>
        <w:t xml:space="preserve">cérébrales, le concept de barrière </w:t>
      </w:r>
      <w:proofErr w:type="spellStart"/>
      <w:r w:rsidRPr="000A4A0F">
        <w:rPr>
          <w:rFonts w:ascii="Times New Roman" w:hAnsi="Times New Roman" w:cs="Times New Roman"/>
          <w:sz w:val="24"/>
          <w:szCs w:val="24"/>
        </w:rPr>
        <w:t>hémo</w:t>
      </w:r>
      <w:proofErr w:type="spellEnd"/>
      <w:r w:rsidRPr="000A4A0F">
        <w:rPr>
          <w:rFonts w:ascii="Times New Roman" w:hAnsi="Times New Roman" w:cs="Times New Roman"/>
          <w:sz w:val="24"/>
          <w:szCs w:val="24"/>
        </w:rPr>
        <w:t>-encéphalique mécanique a évolué vers celui de barrière fonctionnelle : Tout d’abord deux principaux sites de transfert, par diffusion passive, ont été mis</w:t>
      </w:r>
      <w:r w:rsidR="00B90C74" w:rsidRPr="000A4A0F">
        <w:rPr>
          <w:rFonts w:ascii="Times New Roman" w:hAnsi="Times New Roman" w:cs="Times New Roman"/>
          <w:sz w:val="24"/>
          <w:szCs w:val="24"/>
        </w:rPr>
        <w:t>e</w:t>
      </w:r>
      <w:r w:rsidRPr="000A4A0F">
        <w:rPr>
          <w:rFonts w:ascii="Times New Roman" w:hAnsi="Times New Roman" w:cs="Times New Roman"/>
          <w:sz w:val="24"/>
          <w:szCs w:val="24"/>
        </w:rPr>
        <w:t xml:space="preserve"> en évidence : </w:t>
      </w:r>
    </w:p>
    <w:p w14:paraId="0029CF09" w14:textId="51D5C3C7" w:rsidR="00690321" w:rsidRPr="000A4A0F" w:rsidRDefault="00690321"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D’une</w:t>
      </w:r>
      <w:r w:rsidR="00B32B57" w:rsidRPr="000A4A0F">
        <w:rPr>
          <w:rFonts w:ascii="Times New Roman" w:hAnsi="Times New Roman" w:cs="Times New Roman"/>
          <w:sz w:val="24"/>
          <w:szCs w:val="24"/>
        </w:rPr>
        <w:t xml:space="preserve"> part la jonction entre la cellule endothéliale micro vasculaire et la cellule cérébrale avec ses jonctions </w:t>
      </w:r>
      <w:r w:rsidRPr="000A4A0F">
        <w:rPr>
          <w:rFonts w:ascii="Times New Roman" w:hAnsi="Times New Roman" w:cs="Times New Roman"/>
          <w:sz w:val="24"/>
          <w:szCs w:val="24"/>
        </w:rPr>
        <w:t>serrées,</w:t>
      </w:r>
      <w:r w:rsidR="00B32B57" w:rsidRPr="000A4A0F">
        <w:rPr>
          <w:rFonts w:ascii="Times New Roman" w:hAnsi="Times New Roman" w:cs="Times New Roman"/>
          <w:sz w:val="24"/>
          <w:szCs w:val="24"/>
        </w:rPr>
        <w:t xml:space="preserve"> assez proche en fait de ce que pourrait être une barri</w:t>
      </w:r>
      <w:r w:rsidR="00971848" w:rsidRPr="000A4A0F">
        <w:rPr>
          <w:rFonts w:ascii="Times New Roman" w:hAnsi="Times New Roman" w:cs="Times New Roman"/>
          <w:sz w:val="24"/>
          <w:szCs w:val="24"/>
        </w:rPr>
        <w:t xml:space="preserve">ère au sens d’obstacle physique. </w:t>
      </w:r>
      <w:r w:rsidR="00B32B57" w:rsidRPr="000A4A0F">
        <w:rPr>
          <w:rFonts w:ascii="Times New Roman" w:hAnsi="Times New Roman" w:cs="Times New Roman"/>
          <w:sz w:val="24"/>
          <w:szCs w:val="24"/>
        </w:rPr>
        <w:t xml:space="preserve"> </w:t>
      </w:r>
    </w:p>
    <w:p w14:paraId="5EF82B97" w14:textId="77777777" w:rsidR="00690321" w:rsidRPr="000A4A0F" w:rsidRDefault="00690321"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D’autre</w:t>
      </w:r>
      <w:r w:rsidR="00B32B57" w:rsidRPr="000A4A0F">
        <w:rPr>
          <w:rFonts w:ascii="Times New Roman" w:hAnsi="Times New Roman" w:cs="Times New Roman"/>
          <w:sz w:val="24"/>
          <w:szCs w:val="24"/>
        </w:rPr>
        <w:t xml:space="preserve"> part la jonction entre la cellule endothéliale et les plexus chor</w:t>
      </w:r>
      <w:r w:rsidRPr="000A4A0F">
        <w:rPr>
          <w:rFonts w:ascii="Times New Roman" w:hAnsi="Times New Roman" w:cs="Times New Roman"/>
          <w:sz w:val="24"/>
          <w:szCs w:val="24"/>
        </w:rPr>
        <w:t>oïdes, beaucoup plus perméable.</w:t>
      </w:r>
    </w:p>
    <w:p w14:paraId="71AD16D9" w14:textId="67C4E6EA" w:rsidR="00B32B57"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A noter que la bilirubine </w:t>
      </w:r>
      <w:r w:rsidR="009873D9" w:rsidRPr="000A4A0F">
        <w:rPr>
          <w:rFonts w:ascii="Times New Roman" w:hAnsi="Times New Roman" w:cs="Times New Roman"/>
          <w:color w:val="000000" w:themeColor="text1"/>
          <w:sz w:val="24"/>
          <w:szCs w:val="24"/>
        </w:rPr>
        <w:t xml:space="preserve">non conjuguée </w:t>
      </w:r>
      <w:r w:rsidRPr="000A4A0F">
        <w:rPr>
          <w:rFonts w:ascii="Times New Roman" w:hAnsi="Times New Roman" w:cs="Times New Roman"/>
          <w:sz w:val="24"/>
          <w:szCs w:val="24"/>
        </w:rPr>
        <w:t xml:space="preserve">étant un </w:t>
      </w:r>
      <w:proofErr w:type="spellStart"/>
      <w:r w:rsidRPr="000A4A0F">
        <w:rPr>
          <w:rFonts w:ascii="Times New Roman" w:hAnsi="Times New Roman" w:cs="Times New Roman"/>
          <w:sz w:val="24"/>
          <w:szCs w:val="24"/>
        </w:rPr>
        <w:t>di-acide</w:t>
      </w:r>
      <w:proofErr w:type="spellEnd"/>
      <w:r w:rsidRPr="000A4A0F">
        <w:rPr>
          <w:rFonts w:ascii="Times New Roman" w:hAnsi="Times New Roman" w:cs="Times New Roman"/>
          <w:sz w:val="24"/>
          <w:szCs w:val="24"/>
        </w:rPr>
        <w:t xml:space="preserve"> faiblement polarisé, sa diffusion passive est relativement facile au niveau de toute membrane. Ensuite, des protéines de transport d’anions organiques (OATP) distribuées de façon ubiquitaire dans l’organisme constituent un mode de transfert par diffusion facilitée. Ces protéines initialement décrites au niveau hépatique, où elles contribuent à la captation de la bilirubine par la cellule hé</w:t>
      </w:r>
      <w:r w:rsidR="00600D6C" w:rsidRPr="000A4A0F">
        <w:rPr>
          <w:rFonts w:ascii="Times New Roman" w:hAnsi="Times New Roman" w:cs="Times New Roman"/>
          <w:sz w:val="24"/>
          <w:szCs w:val="24"/>
        </w:rPr>
        <w:t>patique, ont également été mise</w:t>
      </w:r>
      <w:r w:rsidRPr="000A4A0F">
        <w:rPr>
          <w:rFonts w:ascii="Times New Roman" w:hAnsi="Times New Roman" w:cs="Times New Roman"/>
          <w:sz w:val="24"/>
          <w:szCs w:val="24"/>
        </w:rPr>
        <w:t xml:space="preserve"> en évidence au niveau cérébral. De même, des protéines de transport </w:t>
      </w:r>
      <w:r w:rsidRPr="000A4A0F">
        <w:rPr>
          <w:rFonts w:ascii="Times New Roman" w:hAnsi="Times New Roman" w:cs="Times New Roman"/>
          <w:sz w:val="24"/>
          <w:szCs w:val="24"/>
        </w:rPr>
        <w:lastRenderedPageBreak/>
        <w:t>membranaire spécifiques, les glycoprotéines-P, véritables pompes à extraction, ATP dépendantes, de diverses substances lipophiles acceptent la bilirubine comme substrat. Enfin, même si sa nature exacte n’a pas encore été identifiée, une bilirubine oxydase intracellulaire, agissant par un mécanisme cytochrome-c dépendant au niveau de la membrane mitochondriale, a été suggérée au niveau neuronal et astrocytaire. Tous ces mécanismes maintiennent, en situation physiologique, des taux bas intracellulaires de bilirubine, permettant à la cellule de bénéficier des effets positifs de la bilirubine tout en la pro</w:t>
      </w:r>
      <w:r w:rsidR="00C77A51" w:rsidRPr="000A4A0F">
        <w:rPr>
          <w:rFonts w:ascii="Times New Roman" w:hAnsi="Times New Roman" w:cs="Times New Roman"/>
          <w:sz w:val="24"/>
          <w:szCs w:val="24"/>
        </w:rPr>
        <w:t>tégeant de ses effets toxiques.</w:t>
      </w:r>
    </w:p>
    <w:p w14:paraId="185266A4" w14:textId="600062D0" w:rsidR="00B32B57" w:rsidRPr="000A4A0F" w:rsidRDefault="00FE1C6D" w:rsidP="000A4A0F">
      <w:pPr>
        <w:pStyle w:val="Sansinterligne"/>
        <w:spacing w:before="200" w:after="200"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I.1</w:t>
      </w:r>
      <w:r w:rsidR="00342801" w:rsidRPr="000A4A0F">
        <w:rPr>
          <w:rFonts w:ascii="Times New Roman" w:hAnsi="Times New Roman" w:cs="Times New Roman"/>
          <w:b/>
          <w:sz w:val="24"/>
          <w:szCs w:val="24"/>
        </w:rPr>
        <w:t>.</w:t>
      </w:r>
      <w:r w:rsidRPr="000A4A0F">
        <w:rPr>
          <w:rFonts w:ascii="Times New Roman" w:hAnsi="Times New Roman" w:cs="Times New Roman"/>
          <w:b/>
          <w:sz w:val="24"/>
          <w:szCs w:val="24"/>
        </w:rPr>
        <w:t>6</w:t>
      </w:r>
      <w:r w:rsidR="00B727F5" w:rsidRPr="000A4A0F">
        <w:rPr>
          <w:rFonts w:ascii="Times New Roman" w:hAnsi="Times New Roman" w:cs="Times New Roman"/>
          <w:b/>
          <w:sz w:val="24"/>
          <w:szCs w:val="24"/>
        </w:rPr>
        <w:t>.</w:t>
      </w:r>
      <w:r w:rsidRPr="000A4A0F">
        <w:rPr>
          <w:rFonts w:ascii="Times New Roman" w:hAnsi="Times New Roman" w:cs="Times New Roman"/>
          <w:b/>
          <w:sz w:val="24"/>
          <w:szCs w:val="24"/>
        </w:rPr>
        <w:t>3.</w:t>
      </w:r>
      <w:r w:rsidR="00B727F5" w:rsidRPr="000A4A0F">
        <w:rPr>
          <w:rFonts w:ascii="Times New Roman" w:hAnsi="Times New Roman" w:cs="Times New Roman"/>
          <w:b/>
          <w:sz w:val="24"/>
          <w:szCs w:val="24"/>
        </w:rPr>
        <w:t xml:space="preserve"> Altérations</w:t>
      </w:r>
      <w:r w:rsidR="00B32B57" w:rsidRPr="000A4A0F">
        <w:rPr>
          <w:rFonts w:ascii="Times New Roman" w:hAnsi="Times New Roman" w:cs="Times New Roman"/>
          <w:b/>
          <w:sz w:val="24"/>
          <w:szCs w:val="24"/>
        </w:rPr>
        <w:t xml:space="preserve"> des mécanismes de protection cérébrale</w:t>
      </w:r>
    </w:p>
    <w:p w14:paraId="2C3852F5" w14:textId="77777777" w:rsidR="00342801"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Les facteurs augmentant la biodisponibilité de la bilirubine libre augmentent le risque de saturation des mécanismes d’épuration que nous venons de décrire : production excessive de bilirubine, déficit de conjugaison et d’élimination par immaturité hépatique, hypo albuminémie ou substance déplaçant compétitivement la bilirubine de ses sites de liaisons avec l’albumine. L’immaturité des jonctions cellulaires mais surtout de l’expression des protéines de transport, inductibles par de faibles concentrations de bilirubine, est un phénomène expliquant la particulière vulnérabilité du nouveau-né à fortiori prématuré, au cours des premiers jours de vie. Une susceptibilité interindividuelle à la bilirubine était suspectée en plus des simples variations de maturation. Celle-ci a récemment été confirmée par la mise en évidence de variantes géniques des protéines OATP. Du fait de leur distribution ubiquitaire, celles-ci, outre une diminution des capacités d’élimination cérébrale de la bilirubine, augmentent significativement sa biodisponibilité par altération de sa captation hépatique. Par ailleurs, de même que les substances à forte liaison avec l’albumine augmentent significativement le risque d’hyper bilirubinémie, il a récemment été mis en évidence que certaines drogues pouvaient inhiber les Glycoprotéines-P augmentant ainsi les concentrations intracellulaires cérébrales de bilirubine. Certaines de ces substances sont des médicaments parfois utilisés chez le nouveau-né et dont il faudra réévaluer l’utilisation en cas d’ictère. </w:t>
      </w:r>
    </w:p>
    <w:p w14:paraId="07D34F62" w14:textId="77777777" w:rsidR="00B32B57"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Enfin, toutes les protéines de transfert actif ont un fonctionnement qui nécessite de l’énergie. C’est essentiel pour les glycoprotéines-P et nous verrons qu’un des mécanismes de toxicité de la bilirubine étant d’entraîner une défaillance énergétique ATP-dépendante, ce phénomène peut aboutir à un cercle vicieux : la cellule intoxiquée n’étant plus capable d’éliminer la bilirubine, l’intoxication va encore s’aggraver.</w:t>
      </w:r>
    </w:p>
    <w:p w14:paraId="509915ED" w14:textId="4EB1E836" w:rsidR="00B32B57" w:rsidRPr="000A4A0F" w:rsidRDefault="008D2CF2" w:rsidP="000A4A0F">
      <w:pPr>
        <w:pStyle w:val="Sansinterligne"/>
        <w:spacing w:before="200" w:after="200"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I.</w:t>
      </w:r>
      <w:r w:rsidR="00FE1C6D" w:rsidRPr="000A4A0F">
        <w:rPr>
          <w:rFonts w:ascii="Times New Roman" w:hAnsi="Times New Roman" w:cs="Times New Roman"/>
          <w:b/>
          <w:sz w:val="24"/>
          <w:szCs w:val="24"/>
        </w:rPr>
        <w:t>1</w:t>
      </w:r>
      <w:r w:rsidRPr="000A4A0F">
        <w:rPr>
          <w:rFonts w:ascii="Times New Roman" w:hAnsi="Times New Roman" w:cs="Times New Roman"/>
          <w:b/>
          <w:sz w:val="24"/>
          <w:szCs w:val="24"/>
        </w:rPr>
        <w:t>.</w:t>
      </w:r>
      <w:r w:rsidR="00FE1C6D" w:rsidRPr="000A4A0F">
        <w:rPr>
          <w:rFonts w:ascii="Times New Roman" w:hAnsi="Times New Roman" w:cs="Times New Roman"/>
          <w:b/>
          <w:sz w:val="24"/>
          <w:szCs w:val="24"/>
        </w:rPr>
        <w:t>6.</w:t>
      </w:r>
      <w:r w:rsidR="00B727F5" w:rsidRPr="000A4A0F">
        <w:rPr>
          <w:rFonts w:ascii="Times New Roman" w:hAnsi="Times New Roman" w:cs="Times New Roman"/>
          <w:b/>
          <w:sz w:val="24"/>
          <w:szCs w:val="24"/>
        </w:rPr>
        <w:t>4. Hiérarchisation</w:t>
      </w:r>
      <w:r w:rsidR="00B32B57" w:rsidRPr="000A4A0F">
        <w:rPr>
          <w:rFonts w:ascii="Times New Roman" w:hAnsi="Times New Roman" w:cs="Times New Roman"/>
          <w:b/>
          <w:sz w:val="24"/>
          <w:szCs w:val="24"/>
        </w:rPr>
        <w:t xml:space="preserve"> des mécanismes lésionnels</w:t>
      </w:r>
    </w:p>
    <w:p w14:paraId="1BEB0F33" w14:textId="77777777" w:rsidR="007C7026"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lastRenderedPageBreak/>
        <w:t>La bilirubine libre a un effet inhibiteur direct sur le système nerveux. Même une exposition de courte durée à des taux moyennement élevés peut altérer la transmission synaptique au niveau de l’hippocampe de façon prolongée. Cet effet semble lié à un blocage de l’ac</w:t>
      </w:r>
      <w:r w:rsidR="0046212D" w:rsidRPr="000A4A0F">
        <w:rPr>
          <w:rFonts w:ascii="Times New Roman" w:hAnsi="Times New Roman" w:cs="Times New Roman"/>
          <w:sz w:val="24"/>
          <w:szCs w:val="24"/>
        </w:rPr>
        <w:t xml:space="preserve">tivité de la protéine kinase C. </w:t>
      </w:r>
      <w:r w:rsidRPr="000A4A0F">
        <w:rPr>
          <w:rFonts w:ascii="Times New Roman" w:hAnsi="Times New Roman" w:cs="Times New Roman"/>
          <w:sz w:val="24"/>
          <w:szCs w:val="24"/>
        </w:rPr>
        <w:t xml:space="preserve">Cette activité est essentielle dans la régulation des flux calciques, et son altération entraîne une </w:t>
      </w:r>
      <w:proofErr w:type="spellStart"/>
      <w:r w:rsidRPr="000A4A0F">
        <w:rPr>
          <w:rFonts w:ascii="Times New Roman" w:hAnsi="Times New Roman" w:cs="Times New Roman"/>
          <w:sz w:val="24"/>
          <w:szCs w:val="24"/>
        </w:rPr>
        <w:t>excito-toxicité</w:t>
      </w:r>
      <w:proofErr w:type="spellEnd"/>
      <w:r w:rsidRPr="000A4A0F">
        <w:rPr>
          <w:rFonts w:ascii="Times New Roman" w:hAnsi="Times New Roman" w:cs="Times New Roman"/>
          <w:sz w:val="24"/>
          <w:szCs w:val="24"/>
        </w:rPr>
        <w:t xml:space="preserve">. Celle-ci, si elle est importante ou si elle se prolonge, provoque un </w:t>
      </w:r>
      <w:r w:rsidR="0046212D" w:rsidRPr="000A4A0F">
        <w:rPr>
          <w:rFonts w:ascii="Times New Roman" w:hAnsi="Times New Roman" w:cs="Times New Roman"/>
          <w:sz w:val="24"/>
          <w:szCs w:val="24"/>
        </w:rPr>
        <w:t>œdème</w:t>
      </w:r>
      <w:r w:rsidRPr="000A4A0F">
        <w:rPr>
          <w:rFonts w:ascii="Times New Roman" w:hAnsi="Times New Roman" w:cs="Times New Roman"/>
          <w:sz w:val="24"/>
          <w:szCs w:val="24"/>
        </w:rPr>
        <w:t xml:space="preserve"> cellulaire et une</w:t>
      </w:r>
      <w:r w:rsidR="0073272A" w:rsidRPr="000A4A0F">
        <w:rPr>
          <w:rFonts w:ascii="Times New Roman" w:hAnsi="Times New Roman" w:cs="Times New Roman"/>
          <w:sz w:val="24"/>
          <w:szCs w:val="24"/>
        </w:rPr>
        <w:t xml:space="preserve"> accumulation intracellulaire du</w:t>
      </w:r>
      <w:r w:rsidRPr="000A4A0F">
        <w:rPr>
          <w:rFonts w:ascii="Times New Roman" w:hAnsi="Times New Roman" w:cs="Times New Roman"/>
          <w:sz w:val="24"/>
          <w:szCs w:val="24"/>
        </w:rPr>
        <w:t xml:space="preserve"> calcium, mais aussi de sodium et de chlore qui peuvent déclencher les mécanismes d’apoptose ou pr</w:t>
      </w:r>
      <w:r w:rsidR="007C7026" w:rsidRPr="000A4A0F">
        <w:rPr>
          <w:rFonts w:ascii="Times New Roman" w:hAnsi="Times New Roman" w:cs="Times New Roman"/>
          <w:sz w:val="24"/>
          <w:szCs w:val="24"/>
        </w:rPr>
        <w:t>ovoquer une nécrose cellulaire.</w:t>
      </w:r>
    </w:p>
    <w:p w14:paraId="23B2D2CC" w14:textId="77777777" w:rsidR="00B32B57"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Au niveau neuronal, la bilirubine agit principalement au niveau mitochondrial. Elle provoque une chute du potentiel transmembranaire de la mitochondrie ce qui entraîne une libération de cytochrome c dans le cytosol. </w:t>
      </w:r>
      <w:r w:rsidR="009C0BC3" w:rsidRPr="000A4A0F">
        <w:rPr>
          <w:rFonts w:ascii="Times New Roman" w:hAnsi="Times New Roman" w:cs="Times New Roman"/>
          <w:sz w:val="24"/>
          <w:szCs w:val="24"/>
        </w:rPr>
        <w:t>Celui-ci</w:t>
      </w:r>
      <w:r w:rsidRPr="000A4A0F">
        <w:rPr>
          <w:rFonts w:ascii="Times New Roman" w:hAnsi="Times New Roman" w:cs="Times New Roman"/>
          <w:sz w:val="24"/>
          <w:szCs w:val="24"/>
        </w:rPr>
        <w:t xml:space="preserve"> déclenche l’activation des systèmes des caspases 3 et/ou 8 et la translocation de la protéine Bax ce qui entraîne la mort cellulaire par apoptose.</w:t>
      </w:r>
    </w:p>
    <w:p w14:paraId="1E4DA996" w14:textId="77777777" w:rsidR="009C5820"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De plus, l’altération des fonctions mitochondriales entraîne une chute du métabolisme cellulaire par déplétion énergétique. Comme nous l’avons vu, parmi les mécanismes cellulaires énergie-dépendant altérés, celui de la glycoprotéine-P entraîne un cercle vicieux car il ne permet plus à la cellule de se débarrasser de la bilirubine en excès. Cette panne énergétiq</w:t>
      </w:r>
      <w:r w:rsidR="00C77A51" w:rsidRPr="000A4A0F">
        <w:rPr>
          <w:rFonts w:ascii="Times New Roman" w:hAnsi="Times New Roman" w:cs="Times New Roman"/>
          <w:sz w:val="24"/>
          <w:szCs w:val="24"/>
        </w:rPr>
        <w:t xml:space="preserve">ue cellulaire globale permet de </w:t>
      </w:r>
      <w:r w:rsidRPr="000A4A0F">
        <w:rPr>
          <w:rFonts w:ascii="Times New Roman" w:hAnsi="Times New Roman" w:cs="Times New Roman"/>
          <w:sz w:val="24"/>
          <w:szCs w:val="24"/>
        </w:rPr>
        <w:t>comprendre pourquoi la toxicité cérébrale de la bilirubine dépend é</w:t>
      </w:r>
      <w:r w:rsidR="009C5820" w:rsidRPr="000A4A0F">
        <w:rPr>
          <w:rFonts w:ascii="Times New Roman" w:hAnsi="Times New Roman" w:cs="Times New Roman"/>
          <w:sz w:val="24"/>
          <w:szCs w:val="24"/>
        </w:rPr>
        <w:t>galement du temps d’exposition.</w:t>
      </w:r>
    </w:p>
    <w:p w14:paraId="246FB24A" w14:textId="77777777" w:rsidR="0046212D"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Globalement, les mécanismes actuellement identifiés montrent que la bilirubine exerce sa toxicité par un ensemble de mécanismes pouvant altérer diverses fonctions vitales de l</w:t>
      </w:r>
      <w:r w:rsidR="0046212D" w:rsidRPr="000A4A0F">
        <w:rPr>
          <w:rFonts w:ascii="Times New Roman" w:hAnsi="Times New Roman" w:cs="Times New Roman"/>
          <w:sz w:val="24"/>
          <w:szCs w:val="24"/>
        </w:rPr>
        <w:t>a cellule.</w:t>
      </w:r>
    </w:p>
    <w:p w14:paraId="6C178FB4" w14:textId="77777777" w:rsidR="004C7238"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Au total, la bilirubine semble entraîner un continuum lésionnel en commençant par des altérations apparemment bénignes et réversibles mais dont les conséquences à long terme sur les capacités d’apprentissage ou de mémorisation sont à évaluer. </w:t>
      </w:r>
    </w:p>
    <w:p w14:paraId="5EF0EFE3" w14:textId="77777777" w:rsidR="0046212D"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Apparaissent ensuite des lésions d’apoptose dont l’étendue pourrait dépendre du temps d’exposition du cerveau à des taux excessifs de bilirubine provoquant l’épuis</w:t>
      </w:r>
      <w:r w:rsidR="0046212D" w:rsidRPr="000A4A0F">
        <w:rPr>
          <w:rFonts w:ascii="Times New Roman" w:hAnsi="Times New Roman" w:cs="Times New Roman"/>
          <w:sz w:val="24"/>
          <w:szCs w:val="24"/>
        </w:rPr>
        <w:t>ement énergétique des cellules.</w:t>
      </w:r>
    </w:p>
    <w:p w14:paraId="2C22710A" w14:textId="48480E2A" w:rsidR="00DD6473" w:rsidRPr="000A4A0F" w:rsidRDefault="000464D1" w:rsidP="000A4A0F">
      <w:pPr>
        <w:pStyle w:val="Sansinterligne"/>
        <w:spacing w:before="200" w:after="200" w:line="360" w:lineRule="auto"/>
        <w:jc w:val="both"/>
        <w:rPr>
          <w:rFonts w:ascii="Times New Roman" w:hAnsi="Times New Roman" w:cs="Times New Roman"/>
          <w:b/>
          <w:color w:val="5B9BD5" w:themeColor="accent1"/>
          <w:sz w:val="24"/>
          <w:szCs w:val="24"/>
        </w:rPr>
      </w:pPr>
      <w:r w:rsidRPr="000A4A0F">
        <w:rPr>
          <w:rFonts w:ascii="Times New Roman" w:hAnsi="Times New Roman" w:cs="Times New Roman"/>
          <w:b/>
          <w:color w:val="5B9BD5" w:themeColor="accent1"/>
          <w:sz w:val="24"/>
          <w:szCs w:val="24"/>
        </w:rPr>
        <w:t>I.</w:t>
      </w:r>
      <w:r w:rsidR="00DD6473" w:rsidRPr="000A4A0F">
        <w:rPr>
          <w:rFonts w:ascii="Times New Roman" w:hAnsi="Times New Roman" w:cs="Times New Roman"/>
          <w:b/>
          <w:color w:val="5B9BD5" w:themeColor="accent1"/>
          <w:sz w:val="24"/>
          <w:szCs w:val="24"/>
        </w:rPr>
        <w:t xml:space="preserve">1.7. </w:t>
      </w:r>
      <w:r w:rsidR="00754959" w:rsidRPr="000A4A0F">
        <w:rPr>
          <w:rFonts w:ascii="Times New Roman" w:hAnsi="Times New Roman" w:cs="Times New Roman"/>
          <w:b/>
          <w:color w:val="5B9BD5" w:themeColor="accent1"/>
          <w:sz w:val="24"/>
          <w:szCs w:val="24"/>
        </w:rPr>
        <w:t>La néphrotoxicité secondaire à l’</w:t>
      </w:r>
      <w:r w:rsidR="002E6B50" w:rsidRPr="000A4A0F">
        <w:rPr>
          <w:rFonts w:ascii="Times New Roman" w:hAnsi="Times New Roman" w:cs="Times New Roman"/>
          <w:b/>
          <w:color w:val="5B9BD5" w:themeColor="accent1"/>
          <w:sz w:val="24"/>
          <w:szCs w:val="24"/>
        </w:rPr>
        <w:t>hyper bilirubinémie</w:t>
      </w:r>
      <w:r w:rsidR="00BD6EC1" w:rsidRPr="000A4A0F">
        <w:rPr>
          <w:rFonts w:ascii="Times New Roman" w:hAnsi="Times New Roman" w:cs="Times New Roman"/>
          <w:b/>
          <w:color w:val="5B9BD5" w:themeColor="accent1"/>
          <w:sz w:val="24"/>
          <w:szCs w:val="24"/>
        </w:rPr>
        <w:t>.</w:t>
      </w:r>
      <w:r w:rsidR="002E6B50" w:rsidRPr="000A4A0F">
        <w:rPr>
          <w:rFonts w:ascii="Times New Roman" w:hAnsi="Times New Roman" w:cs="Times New Roman"/>
          <w:b/>
          <w:color w:val="5B9BD5" w:themeColor="accent1"/>
          <w:sz w:val="24"/>
          <w:szCs w:val="24"/>
        </w:rPr>
        <w:fldChar w:fldCharType="begin" w:fldLock="1"/>
      </w:r>
      <w:r w:rsidR="004F4A84">
        <w:rPr>
          <w:rFonts w:ascii="Times New Roman" w:hAnsi="Times New Roman" w:cs="Times New Roman"/>
          <w:b/>
          <w:color w:val="5B9BD5" w:themeColor="accent1"/>
          <w:sz w:val="24"/>
          <w:szCs w:val="24"/>
        </w:rPr>
        <w:instrText>ADDIN CSL_CITATION {"citationItems":[{"id":"ITEM-1","itemData":{"DOI":"10.11604/pamj.2015.22.313.8225","author":[{"dropping-particle":"","family":"Med Taieb Jomni1,&amp;, Mouna Largueche1, Badreddine Ben Kaab1, Imen Abdelaal1, Syrine Bellakhal1","given":"Med Hédi Douggui1","non-dropping-particle":"","parse-names":false,"suffix":""}],"container-title":"Pan African Medical Journal","id":"ITEM-1","issued":{"date-parts":[["2015"]]},"page":"2-4","title":"La néphrotoxicite secondaire à l’hyperbilribinemie: à propos d’un cas","type":"article-journal","volume":"8688"},"uris":["http://www.mendeley.com/documents/?uuid=505ea30e-d5ca-4750-a313-4f1cefe1a687","http://www.mendeley.com/documents/?uuid=49f92b9a-1c72-4486-9160-dc9e3838b63b"]}],"mendeley":{"formattedCitation":"(16)","plainTextFormattedCitation":"(16)","previouslyFormattedCitation":"(17)"},"properties":{"noteIndex":0},"schema":"https://github.com/citation-style-language/schema/raw/master/csl-citation.json"}</w:instrText>
      </w:r>
      <w:r w:rsidR="002E6B50" w:rsidRPr="000A4A0F">
        <w:rPr>
          <w:rFonts w:ascii="Times New Roman" w:hAnsi="Times New Roman" w:cs="Times New Roman"/>
          <w:b/>
          <w:color w:val="5B9BD5" w:themeColor="accent1"/>
          <w:sz w:val="24"/>
          <w:szCs w:val="24"/>
        </w:rPr>
        <w:fldChar w:fldCharType="separate"/>
      </w:r>
      <w:r w:rsidR="004F4A84" w:rsidRPr="004F4A84">
        <w:rPr>
          <w:rFonts w:ascii="Times New Roman" w:hAnsi="Times New Roman" w:cs="Times New Roman"/>
          <w:noProof/>
          <w:color w:val="5B9BD5" w:themeColor="accent1"/>
          <w:sz w:val="24"/>
          <w:szCs w:val="24"/>
        </w:rPr>
        <w:t>(16)</w:t>
      </w:r>
      <w:r w:rsidR="002E6B50" w:rsidRPr="000A4A0F">
        <w:rPr>
          <w:rFonts w:ascii="Times New Roman" w:hAnsi="Times New Roman" w:cs="Times New Roman"/>
          <w:b/>
          <w:color w:val="5B9BD5" w:themeColor="accent1"/>
          <w:sz w:val="24"/>
          <w:szCs w:val="24"/>
        </w:rPr>
        <w:fldChar w:fldCharType="end"/>
      </w:r>
    </w:p>
    <w:p w14:paraId="755DADFF" w14:textId="6B21D1BB" w:rsidR="00DB2E8B" w:rsidRPr="000A4A0F" w:rsidRDefault="00DD6473" w:rsidP="000A4A0F">
      <w:pPr>
        <w:pStyle w:val="Sansinterligne"/>
        <w:spacing w:line="360" w:lineRule="auto"/>
        <w:jc w:val="both"/>
        <w:rPr>
          <w:rFonts w:ascii="Times New Roman" w:hAnsi="Times New Roman" w:cs="Times New Roman"/>
          <w:color w:val="000000" w:themeColor="text1"/>
          <w:sz w:val="24"/>
          <w:szCs w:val="24"/>
        </w:rPr>
      </w:pPr>
      <w:r w:rsidRPr="000A4A0F">
        <w:rPr>
          <w:rFonts w:ascii="Times New Roman" w:hAnsi="Times New Roman" w:cs="Times New Roman"/>
          <w:color w:val="000000" w:themeColor="text1"/>
          <w:sz w:val="24"/>
          <w:szCs w:val="24"/>
        </w:rPr>
        <w:t xml:space="preserve">La néphropathie secondaire à l'hyperbilirubinémie est une cause souvent </w:t>
      </w:r>
      <w:r w:rsidR="002E6B50" w:rsidRPr="000A4A0F">
        <w:rPr>
          <w:rFonts w:ascii="Times New Roman" w:hAnsi="Times New Roman" w:cs="Times New Roman"/>
          <w:color w:val="000000" w:themeColor="text1"/>
          <w:sz w:val="24"/>
          <w:szCs w:val="24"/>
        </w:rPr>
        <w:t>méconnue d'insuffisance rénale durant</w:t>
      </w:r>
      <w:r w:rsidRPr="000A4A0F">
        <w:rPr>
          <w:rFonts w:ascii="Times New Roman" w:hAnsi="Times New Roman" w:cs="Times New Roman"/>
          <w:color w:val="000000" w:themeColor="text1"/>
          <w:sz w:val="24"/>
          <w:szCs w:val="24"/>
        </w:rPr>
        <w:t xml:space="preserve"> la dernière décennie, quelques cas seulem</w:t>
      </w:r>
      <w:r w:rsidR="00BD6EC1" w:rsidRPr="000A4A0F">
        <w:rPr>
          <w:rFonts w:ascii="Times New Roman" w:hAnsi="Times New Roman" w:cs="Times New Roman"/>
          <w:color w:val="000000" w:themeColor="text1"/>
          <w:sz w:val="24"/>
          <w:szCs w:val="24"/>
        </w:rPr>
        <w:t xml:space="preserve">ent ont été rapportés. </w:t>
      </w:r>
      <w:r w:rsidRPr="000A4A0F">
        <w:rPr>
          <w:rFonts w:ascii="Times New Roman" w:hAnsi="Times New Roman" w:cs="Times New Roman"/>
          <w:color w:val="000000" w:themeColor="text1"/>
          <w:sz w:val="24"/>
          <w:szCs w:val="24"/>
        </w:rPr>
        <w:t xml:space="preserve">Le mécanisme physiopathologique n'est pas encore bien connu. L'atteinte rénale peut aller de la tubulopathie proximale aux lésions </w:t>
      </w:r>
      <w:r w:rsidR="00BD6EC1" w:rsidRPr="000A4A0F">
        <w:rPr>
          <w:rFonts w:ascii="Times New Roman" w:hAnsi="Times New Roman" w:cs="Times New Roman"/>
          <w:color w:val="000000" w:themeColor="text1"/>
          <w:sz w:val="24"/>
          <w:szCs w:val="24"/>
        </w:rPr>
        <w:t xml:space="preserve">tubulaires extensives. </w:t>
      </w:r>
      <w:r w:rsidRPr="000A4A0F">
        <w:rPr>
          <w:rFonts w:ascii="Times New Roman" w:hAnsi="Times New Roman" w:cs="Times New Roman"/>
          <w:color w:val="000000" w:themeColor="text1"/>
          <w:sz w:val="24"/>
          <w:szCs w:val="24"/>
        </w:rPr>
        <w:t>Cette atteinte serait secondaire à un effet toxique direct des constituants de la bile sur les cellules tubulaires et aux dépôts de bilirubine engendrant une o</w:t>
      </w:r>
      <w:r w:rsidR="00BD6EC1" w:rsidRPr="000A4A0F">
        <w:rPr>
          <w:rFonts w:ascii="Times New Roman" w:hAnsi="Times New Roman" w:cs="Times New Roman"/>
          <w:color w:val="000000" w:themeColor="text1"/>
          <w:sz w:val="24"/>
          <w:szCs w:val="24"/>
        </w:rPr>
        <w:t xml:space="preserve">bstruction tubulaire. </w:t>
      </w:r>
      <w:r w:rsidRPr="000A4A0F">
        <w:rPr>
          <w:rFonts w:ascii="Times New Roman" w:hAnsi="Times New Roman" w:cs="Times New Roman"/>
          <w:color w:val="000000" w:themeColor="text1"/>
          <w:sz w:val="24"/>
          <w:szCs w:val="24"/>
        </w:rPr>
        <w:t xml:space="preserve">La ponction biopsie rénale quand elle est faite </w:t>
      </w:r>
      <w:r w:rsidRPr="000A4A0F">
        <w:rPr>
          <w:rFonts w:ascii="Times New Roman" w:hAnsi="Times New Roman" w:cs="Times New Roman"/>
          <w:color w:val="000000" w:themeColor="text1"/>
          <w:sz w:val="24"/>
          <w:szCs w:val="24"/>
        </w:rPr>
        <w:lastRenderedPageBreak/>
        <w:t xml:space="preserve">affirme le diagnostic en montrant des lésions épithéliales tubulaires avec une surcharge épithéliale pigmentaire et des dépôts de bilirubine qui peuvent </w:t>
      </w:r>
      <w:r w:rsidR="00BD6EC1" w:rsidRPr="000A4A0F">
        <w:rPr>
          <w:rFonts w:ascii="Times New Roman" w:hAnsi="Times New Roman" w:cs="Times New Roman"/>
          <w:color w:val="000000" w:themeColor="text1"/>
          <w:sz w:val="24"/>
          <w:szCs w:val="24"/>
        </w:rPr>
        <w:t xml:space="preserve">obstruer les tubules. </w:t>
      </w:r>
      <w:r w:rsidRPr="000A4A0F">
        <w:rPr>
          <w:rFonts w:ascii="Times New Roman" w:hAnsi="Times New Roman" w:cs="Times New Roman"/>
          <w:color w:val="000000" w:themeColor="text1"/>
          <w:sz w:val="24"/>
          <w:szCs w:val="24"/>
        </w:rPr>
        <w:t xml:space="preserve">Le risque de toxicité tubulaire est accru en cas d'hyperbilirubinémie majeure </w:t>
      </w:r>
      <w:r w:rsidR="00DB2E8B" w:rsidRPr="000A4A0F">
        <w:rPr>
          <w:rFonts w:ascii="Times New Roman" w:hAnsi="Times New Roman" w:cs="Times New Roman"/>
          <w:color w:val="000000" w:themeColor="text1"/>
          <w:sz w:val="24"/>
          <w:szCs w:val="24"/>
        </w:rPr>
        <w:t>(surtout au-delà de 340umol/l).</w:t>
      </w:r>
    </w:p>
    <w:p w14:paraId="66566C46" w14:textId="25E908A6" w:rsidR="00DD6473" w:rsidRPr="000A4A0F" w:rsidRDefault="00DD6473" w:rsidP="000A4A0F">
      <w:pPr>
        <w:pStyle w:val="Sansinterligne"/>
        <w:spacing w:line="360" w:lineRule="auto"/>
        <w:jc w:val="both"/>
        <w:rPr>
          <w:rFonts w:ascii="Times New Roman" w:hAnsi="Times New Roman" w:cs="Times New Roman"/>
          <w:color w:val="5B9BD5" w:themeColor="accent1"/>
          <w:sz w:val="24"/>
          <w:szCs w:val="24"/>
        </w:rPr>
      </w:pPr>
      <w:r w:rsidRPr="000A4A0F">
        <w:rPr>
          <w:rFonts w:ascii="Times New Roman" w:hAnsi="Times New Roman" w:cs="Times New Roman"/>
          <w:color w:val="000000" w:themeColor="text1"/>
          <w:sz w:val="24"/>
          <w:szCs w:val="24"/>
        </w:rPr>
        <w:t>L'hypoalbuminémie et l'acidose favorisent aussi cet effet délétère par le biais de la diminution de la liaison de la bilirubine et des acides biliaires à l'albumine, ce qui permet leur filtration glomérulaire et augme</w:t>
      </w:r>
      <w:r w:rsidR="00BD6EC1" w:rsidRPr="000A4A0F">
        <w:rPr>
          <w:rFonts w:ascii="Times New Roman" w:hAnsi="Times New Roman" w:cs="Times New Roman"/>
          <w:color w:val="000000" w:themeColor="text1"/>
          <w:sz w:val="24"/>
          <w:szCs w:val="24"/>
        </w:rPr>
        <w:t xml:space="preserve">nte l'exposition des tubules. </w:t>
      </w:r>
      <w:r w:rsidRPr="000A4A0F">
        <w:rPr>
          <w:rFonts w:ascii="Times New Roman" w:hAnsi="Times New Roman" w:cs="Times New Roman"/>
          <w:color w:val="000000" w:themeColor="text1"/>
          <w:sz w:val="24"/>
          <w:szCs w:val="24"/>
        </w:rPr>
        <w:t xml:space="preserve">Une récupération de la fonction rénale peut être obtenue en cas de contrôle précoce du taux de </w:t>
      </w:r>
      <w:r w:rsidR="00BD6EC1" w:rsidRPr="000A4A0F">
        <w:rPr>
          <w:rFonts w:ascii="Times New Roman" w:hAnsi="Times New Roman" w:cs="Times New Roman"/>
          <w:color w:val="000000" w:themeColor="text1"/>
          <w:sz w:val="24"/>
          <w:szCs w:val="24"/>
        </w:rPr>
        <w:t xml:space="preserve">bilirubine. </w:t>
      </w:r>
      <w:r w:rsidRPr="000A4A0F">
        <w:rPr>
          <w:rFonts w:ascii="Times New Roman" w:hAnsi="Times New Roman" w:cs="Times New Roman"/>
          <w:color w:val="000000" w:themeColor="text1"/>
          <w:sz w:val="24"/>
          <w:szCs w:val="24"/>
        </w:rPr>
        <w:t>Par contre elle peut être retardée en présence de dépôts tubulaires extensifs de bile</w:t>
      </w:r>
      <w:r w:rsidR="00BD6EC1" w:rsidRPr="000A4A0F">
        <w:rPr>
          <w:rFonts w:ascii="Times New Roman" w:hAnsi="Times New Roman" w:cs="Times New Roman"/>
          <w:color w:val="5B9BD5" w:themeColor="accent1"/>
          <w:sz w:val="24"/>
          <w:szCs w:val="24"/>
        </w:rPr>
        <w:t xml:space="preserve"> </w:t>
      </w:r>
    </w:p>
    <w:p w14:paraId="5C2FCF46" w14:textId="69E06144" w:rsidR="00B32B57" w:rsidRPr="000A4A0F" w:rsidRDefault="00FE1C6D" w:rsidP="000A4A0F">
      <w:pPr>
        <w:pStyle w:val="Titre2"/>
        <w:spacing w:before="200" w:after="200" w:line="360" w:lineRule="auto"/>
        <w:jc w:val="both"/>
        <w:rPr>
          <w:rFonts w:ascii="Times New Roman" w:hAnsi="Times New Roman" w:cs="Times New Roman"/>
          <w:b/>
          <w:sz w:val="24"/>
          <w:szCs w:val="24"/>
        </w:rPr>
      </w:pPr>
      <w:bookmarkStart w:id="21" w:name="_Toc87049047"/>
      <w:r w:rsidRPr="000A4A0F">
        <w:rPr>
          <w:rFonts w:ascii="Times New Roman" w:hAnsi="Times New Roman" w:cs="Times New Roman"/>
          <w:b/>
          <w:sz w:val="24"/>
          <w:szCs w:val="24"/>
        </w:rPr>
        <w:t>I.</w:t>
      </w:r>
      <w:r w:rsidR="00623A2E" w:rsidRPr="000A4A0F">
        <w:rPr>
          <w:rFonts w:ascii="Times New Roman" w:hAnsi="Times New Roman" w:cs="Times New Roman"/>
          <w:b/>
          <w:sz w:val="24"/>
          <w:szCs w:val="24"/>
        </w:rPr>
        <w:t>2</w:t>
      </w:r>
      <w:r w:rsidR="008D2CF2" w:rsidRPr="000A4A0F">
        <w:rPr>
          <w:rFonts w:ascii="Times New Roman" w:hAnsi="Times New Roman" w:cs="Times New Roman"/>
          <w:b/>
          <w:sz w:val="24"/>
          <w:szCs w:val="24"/>
        </w:rPr>
        <w:t>. RECONNAISSANCE DE L’ICTERE ET EVALUATION DE SA GRAVITE</w:t>
      </w:r>
      <w:bookmarkEnd w:id="21"/>
    </w:p>
    <w:p w14:paraId="312F9B47" w14:textId="15342216" w:rsidR="001A7E25" w:rsidRPr="000A4A0F" w:rsidRDefault="00623A2E" w:rsidP="000A4A0F">
      <w:pPr>
        <w:pStyle w:val="Sansinterligne"/>
        <w:spacing w:before="200" w:after="200"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2</w:t>
      </w:r>
      <w:r w:rsidR="008D2CF2" w:rsidRPr="000A4A0F">
        <w:rPr>
          <w:rFonts w:ascii="Times New Roman" w:hAnsi="Times New Roman" w:cs="Times New Roman"/>
          <w:b/>
          <w:sz w:val="24"/>
          <w:szCs w:val="24"/>
        </w:rPr>
        <w:t>.</w:t>
      </w:r>
      <w:r w:rsidR="001A7E25" w:rsidRPr="000A4A0F">
        <w:rPr>
          <w:rFonts w:ascii="Times New Roman" w:hAnsi="Times New Roman" w:cs="Times New Roman"/>
          <w:b/>
          <w:sz w:val="24"/>
          <w:szCs w:val="24"/>
        </w:rPr>
        <w:t xml:space="preserve">1. Description de l’ictère : </w:t>
      </w:r>
    </w:p>
    <w:p w14:paraId="0A64CD63" w14:textId="5564FF17" w:rsidR="00C77E40" w:rsidRPr="000A4A0F" w:rsidRDefault="001A7E25"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L'ictère peut être détecté à l'inspection par le clinicien. Son dépistage repose sur l'examen systématique du nouveau-né par l'équipe soignante de la maternité au moi</w:t>
      </w:r>
      <w:r w:rsidR="00034345" w:rsidRPr="000A4A0F">
        <w:rPr>
          <w:rFonts w:ascii="Times New Roman" w:hAnsi="Times New Roman" w:cs="Times New Roman"/>
          <w:sz w:val="24"/>
          <w:szCs w:val="24"/>
        </w:rPr>
        <w:t>ns toutes les 8 à 12 heures</w:t>
      </w:r>
      <w:r w:rsidRPr="000A4A0F">
        <w:rPr>
          <w:rFonts w:ascii="Times New Roman" w:hAnsi="Times New Roman" w:cs="Times New Roman"/>
          <w:sz w:val="24"/>
          <w:szCs w:val="24"/>
        </w:rPr>
        <w:t>.</w:t>
      </w:r>
      <w:r w:rsidR="00034345"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{"citationItems":[{"id":"ITEM-1","itemData":{"DOI":"10.1038/jp.2012.71","ISSN":"0743-8346","author":[{"dropping-particle":"","family":"Maisels","given":"M J","non-dropping-particle":"","parse-names":false,"suffix":""},{"dropping-particle":"","family":"Watchko","given":"J F","non-dropping-particle":"","parse-names":false,"suffix":""},{"dropping-particle":"","family":"Bhutani","given":"V K","non-dropping-particle":"","parse-names":false,"suffix":""},{"dropping-particle":"","family":"Stevenson","given":"D K","non-dropping-particle":"","parse-names":false,"suffix":""}],"container-title":"Journal of Perinatology","id":"ITEM-1","issue":"June","issued":{"date-parts":[["2012"]]},"page":"660-664","publisher":"Nature Publishing Group","title":"An approach to the management of hyperbilirubinemia in the preterm infant less than 35 weeks of gestation","type":"article-journal"},"uris":["http://www.mendeley.com/documents/?uuid=1ef52658-cb34-46a8-9b48-85342e94c13c","http://www.mendeley.com/documents/?uuid=d1bcb691-ed90-45f8-bd8a-19b68148d2c2"]}],"mendeley":{"formattedCitation":"(12)","plainTextFormattedCitation":"(12)","previouslyFormattedCitation":"(12)"},"properties":{"noteIndex":0},"schema":"https://github.com/citation-style-language/schema/raw/master/csl-citation.json"}</w:instrText>
      </w:r>
      <w:r w:rsidR="00034345" w:rsidRPr="000A4A0F">
        <w:rPr>
          <w:rFonts w:ascii="Times New Roman" w:hAnsi="Times New Roman" w:cs="Times New Roman"/>
          <w:sz w:val="24"/>
          <w:szCs w:val="24"/>
        </w:rPr>
        <w:fldChar w:fldCharType="separate"/>
      </w:r>
      <w:r w:rsidR="00034345" w:rsidRPr="000A4A0F">
        <w:rPr>
          <w:rFonts w:ascii="Times New Roman" w:hAnsi="Times New Roman" w:cs="Times New Roman"/>
          <w:noProof/>
          <w:sz w:val="24"/>
          <w:szCs w:val="24"/>
        </w:rPr>
        <w:t>(12)</w:t>
      </w:r>
      <w:r w:rsidR="00034345"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Cette évaluation est faite en anémiant la peau par la pression du doigt, ce qui permet de « blanchir » la peau et de révéler la couleur sous-jacente de la pe</w:t>
      </w:r>
      <w:r w:rsidR="00B56FCB" w:rsidRPr="000A4A0F">
        <w:rPr>
          <w:rFonts w:ascii="Times New Roman" w:hAnsi="Times New Roman" w:cs="Times New Roman"/>
          <w:sz w:val="24"/>
          <w:szCs w:val="24"/>
        </w:rPr>
        <w:t>au et du tissu sous muqueux</w:t>
      </w:r>
      <w:r w:rsidRPr="000A4A0F">
        <w:rPr>
          <w:rFonts w:ascii="Times New Roman" w:hAnsi="Times New Roman" w:cs="Times New Roman"/>
          <w:sz w:val="24"/>
          <w:szCs w:val="24"/>
        </w:rPr>
        <w:t>.</w:t>
      </w:r>
      <w:r w:rsidR="00B56FCB"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{"citationItems":[{"id":"ITEM-1","itemData":{"DOI":"10.1038/jp.2012.71","ISSN":"0743-8346","author":[{"dropping-particle":"","family":"Maisels","given":"M J","non-dropping-particle":"","parse-names":false,"suffix":""},{"dropping-particle":"","family":"Watchko","given":"J F","non-dropping-particle":"","parse-names":false,"suffix":""},{"dropping-particle":"","family":"Bhutani","given":"V K","non-dropping-particle":"","parse-names":false,"suffix":""},{"dropping-particle":"","family":"Stevenson","given":"D K","non-dropping-particle":"","parse-names":false,"suffix":""}],"container-title":"Journal of Perinatology","id":"ITEM-1","issue":"June","issued":{"date-parts":[["2012"]]},"page":"660-664","publisher":"Nature Publishing Group","title":"An approach to the management of hyperbilirubinemia in the preterm infant less than 35 weeks of gestation","type":"article-journal"},"uris":["http://www.mendeley.com/documents/?uuid=1ef52658-cb34-46a8-9b48-85342e94c13c","http://www.mendeley.com/documents/?uuid=d1bcb691-ed90-45f8-bd8a-19b68148d2c2"]}],"mendeley":{"formattedCitation":"(12)","plainTextFormattedCitation":"(12)","previouslyFormattedCitation":"(12)"},"properties":{"noteIndex":0},"schema":"https://github.com/citation-style-language/schema/raw/master/csl-citation.json"}</w:instrText>
      </w:r>
      <w:r w:rsidR="00B56FCB" w:rsidRPr="000A4A0F">
        <w:rPr>
          <w:rFonts w:ascii="Times New Roman" w:hAnsi="Times New Roman" w:cs="Times New Roman"/>
          <w:sz w:val="24"/>
          <w:szCs w:val="24"/>
        </w:rPr>
        <w:fldChar w:fldCharType="separate"/>
      </w:r>
      <w:r w:rsidR="00B56FCB" w:rsidRPr="000A4A0F">
        <w:rPr>
          <w:rFonts w:ascii="Times New Roman" w:hAnsi="Times New Roman" w:cs="Times New Roman"/>
          <w:noProof/>
          <w:sz w:val="24"/>
          <w:szCs w:val="24"/>
        </w:rPr>
        <w:t>(12)</w:t>
      </w:r>
      <w:r w:rsidR="00B56FCB"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Il est préférable d'examiner l</w:t>
      </w:r>
      <w:r w:rsidR="008456D5" w:rsidRPr="000A4A0F">
        <w:rPr>
          <w:rFonts w:ascii="Times New Roman" w:hAnsi="Times New Roman" w:cs="Times New Roman"/>
          <w:sz w:val="24"/>
          <w:szCs w:val="24"/>
        </w:rPr>
        <w:t>'enfant</w:t>
      </w:r>
      <w:r w:rsidR="00B56FCB" w:rsidRPr="000A4A0F">
        <w:rPr>
          <w:rFonts w:ascii="Times New Roman" w:hAnsi="Times New Roman" w:cs="Times New Roman"/>
          <w:sz w:val="24"/>
          <w:szCs w:val="24"/>
        </w:rPr>
        <w:t xml:space="preserve"> à la lumière du jour</w:t>
      </w:r>
      <w:r w:rsidRPr="000A4A0F">
        <w:rPr>
          <w:rFonts w:ascii="Times New Roman" w:hAnsi="Times New Roman" w:cs="Times New Roman"/>
          <w:sz w:val="24"/>
          <w:szCs w:val="24"/>
        </w:rPr>
        <w:t>, et de prendre en compte l'évolution naturelle</w:t>
      </w:r>
      <w:r w:rsidR="00145C4B" w:rsidRPr="000A4A0F">
        <w:rPr>
          <w:rFonts w:ascii="Times New Roman" w:hAnsi="Times New Roman" w:cs="Times New Roman"/>
          <w:sz w:val="24"/>
          <w:szCs w:val="24"/>
        </w:rPr>
        <w:t xml:space="preserve"> </w:t>
      </w:r>
      <w:r w:rsidR="00B56FCB" w:rsidRPr="000A4A0F">
        <w:rPr>
          <w:rFonts w:ascii="Times New Roman" w:hAnsi="Times New Roman" w:cs="Times New Roman"/>
          <w:sz w:val="24"/>
          <w:szCs w:val="24"/>
        </w:rPr>
        <w:t>cranio-caudale de l’ictère</w:t>
      </w:r>
      <w:r w:rsidR="00C77E40" w:rsidRPr="000A4A0F">
        <w:rPr>
          <w:rFonts w:ascii="Times New Roman" w:hAnsi="Times New Roman" w:cs="Times New Roman"/>
          <w:sz w:val="24"/>
          <w:szCs w:val="24"/>
        </w:rPr>
        <w:t>.</w:t>
      </w:r>
      <w:r w:rsidR="00B56FCB"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{"citationItems":[{"id":"ITEM-1","itemData":{"DOI":"10.1038/jp.2012.71","ISSN":"0743-8346","author":[{"dropping-particle":"","family":"Maisels","given":"M J","non-dropping-particle":"","parse-names":false,"suffix":""},{"dropping-particle":"","family":"Watchko","given":"J F","non-dropping-particle":"","parse-names":false,"suffix":""},{"dropping-particle":"","family":"Bhutani","given":"V K","non-dropping-particle":"","parse-names":false,"suffix":""},{"dropping-particle":"","family":"Stevenson","given":"D K","non-dropping-particle":"","parse-names":false,"suffix":""}],"container-title":"Journal of Perinatology","id":"ITEM-1","issue":"June","issued":{"date-parts":[["2012"]]},"page":"660-664","publisher":"Nature Publishing Group","title":"An approach to the management of hyperbilirubinemia in the preterm infant less than 35 weeks of gestation","type":"article-journal"},"uris":["http://www.mendeley.com/documents/?uuid=1ef52658-cb34-46a8-9b48-85342e94c13c","http://www.mendeley.com/documents/?uuid=d1bcb691-ed90-45f8-bd8a-19b68148d2c2"]}],"mendeley":{"formattedCitation":"(12)","plainTextFormattedCitation":"(12)","previouslyFormattedCitation":"(12)"},"properties":{"noteIndex":0},"schema":"https://github.com/citation-style-language/schema/raw/master/csl-citation.json"}</w:instrText>
      </w:r>
      <w:r w:rsidR="00B56FCB" w:rsidRPr="000A4A0F">
        <w:rPr>
          <w:rFonts w:ascii="Times New Roman" w:hAnsi="Times New Roman" w:cs="Times New Roman"/>
          <w:sz w:val="24"/>
          <w:szCs w:val="24"/>
        </w:rPr>
        <w:fldChar w:fldCharType="separate"/>
      </w:r>
      <w:r w:rsidR="00B56FCB" w:rsidRPr="000A4A0F">
        <w:rPr>
          <w:rFonts w:ascii="Times New Roman" w:hAnsi="Times New Roman" w:cs="Times New Roman"/>
          <w:noProof/>
          <w:sz w:val="24"/>
          <w:szCs w:val="24"/>
        </w:rPr>
        <w:t>(12)</w:t>
      </w:r>
      <w:r w:rsidR="00B56FCB" w:rsidRPr="000A4A0F">
        <w:rPr>
          <w:rFonts w:ascii="Times New Roman" w:hAnsi="Times New Roman" w:cs="Times New Roman"/>
          <w:sz w:val="24"/>
          <w:szCs w:val="24"/>
        </w:rPr>
        <w:fldChar w:fldCharType="end"/>
      </w:r>
    </w:p>
    <w:p w14:paraId="5827F33B" w14:textId="3CBE986F" w:rsidR="001A7E25" w:rsidRPr="000A4A0F" w:rsidRDefault="001A7E25" w:rsidP="000A4A0F">
      <w:pPr>
        <w:pStyle w:val="Sansinterligne"/>
        <w:spacing w:line="360" w:lineRule="auto"/>
        <w:jc w:val="both"/>
        <w:rPr>
          <w:rFonts w:ascii="Times New Roman" w:hAnsi="Times New Roman" w:cs="Times New Roman"/>
          <w:b/>
          <w:sz w:val="24"/>
          <w:szCs w:val="24"/>
        </w:rPr>
      </w:pPr>
      <w:r w:rsidRPr="000A4A0F">
        <w:rPr>
          <w:rFonts w:ascii="Times New Roman" w:hAnsi="Times New Roman" w:cs="Times New Roman"/>
          <w:sz w:val="24"/>
          <w:szCs w:val="24"/>
        </w:rPr>
        <w:t>Chez la majorité de nos patients, il s’agissait d’un ictère franc (coloration jaune ou jaune verte), se manifestant sur la pea</w:t>
      </w:r>
      <w:r w:rsidR="00DF7E4E" w:rsidRPr="000A4A0F">
        <w:rPr>
          <w:rFonts w:ascii="Times New Roman" w:hAnsi="Times New Roman" w:cs="Times New Roman"/>
          <w:sz w:val="24"/>
          <w:szCs w:val="24"/>
        </w:rPr>
        <w:t>u ou sur les conjonctives, vus à</w:t>
      </w:r>
      <w:r w:rsidRPr="000A4A0F">
        <w:rPr>
          <w:rFonts w:ascii="Times New Roman" w:hAnsi="Times New Roman" w:cs="Times New Roman"/>
          <w:sz w:val="24"/>
          <w:szCs w:val="24"/>
        </w:rPr>
        <w:t xml:space="preserve"> la lumière du jour, avec des selles </w:t>
      </w:r>
      <w:proofErr w:type="spellStart"/>
      <w:r w:rsidRPr="000A4A0F">
        <w:rPr>
          <w:rFonts w:ascii="Times New Roman" w:hAnsi="Times New Roman" w:cs="Times New Roman"/>
          <w:sz w:val="24"/>
          <w:szCs w:val="24"/>
        </w:rPr>
        <w:t>normocolorées</w:t>
      </w:r>
      <w:proofErr w:type="spellEnd"/>
      <w:r w:rsidRPr="000A4A0F">
        <w:rPr>
          <w:rFonts w:ascii="Times New Roman" w:hAnsi="Times New Roman" w:cs="Times New Roman"/>
          <w:sz w:val="24"/>
          <w:szCs w:val="24"/>
        </w:rPr>
        <w:t xml:space="preserve"> et des u</w:t>
      </w:r>
      <w:r w:rsidR="0053061E" w:rsidRPr="000A4A0F">
        <w:rPr>
          <w:rFonts w:ascii="Times New Roman" w:hAnsi="Times New Roman" w:cs="Times New Roman"/>
          <w:sz w:val="24"/>
          <w:szCs w:val="24"/>
        </w:rPr>
        <w:t xml:space="preserve">rines </w:t>
      </w:r>
      <w:r w:rsidR="00B56FCB" w:rsidRPr="000A4A0F">
        <w:rPr>
          <w:rFonts w:ascii="Times New Roman" w:hAnsi="Times New Roman" w:cs="Times New Roman"/>
          <w:sz w:val="24"/>
          <w:szCs w:val="24"/>
        </w:rPr>
        <w:t>normo colorées</w:t>
      </w:r>
      <w:r w:rsidR="0053061E" w:rsidRPr="000A4A0F">
        <w:rPr>
          <w:rFonts w:ascii="Times New Roman" w:hAnsi="Times New Roman" w:cs="Times New Roman"/>
          <w:sz w:val="24"/>
          <w:szCs w:val="24"/>
        </w:rPr>
        <w:t xml:space="preserve"> ou foncées.</w:t>
      </w:r>
    </w:p>
    <w:p w14:paraId="0FAAF4FB" w14:textId="536EE422" w:rsidR="00060E46" w:rsidRPr="000A4A0F" w:rsidRDefault="00623A2E" w:rsidP="000A4A0F">
      <w:pPr>
        <w:pStyle w:val="Sansinterligne"/>
        <w:spacing w:before="200" w:after="200"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2</w:t>
      </w:r>
      <w:r w:rsidR="008D2CF2" w:rsidRPr="000A4A0F">
        <w:rPr>
          <w:rFonts w:ascii="Times New Roman" w:hAnsi="Times New Roman" w:cs="Times New Roman"/>
          <w:b/>
          <w:sz w:val="24"/>
          <w:szCs w:val="24"/>
        </w:rPr>
        <w:t>.</w:t>
      </w:r>
      <w:r w:rsidR="00FE1C6D" w:rsidRPr="000A4A0F">
        <w:rPr>
          <w:rFonts w:ascii="Times New Roman" w:hAnsi="Times New Roman" w:cs="Times New Roman"/>
          <w:b/>
          <w:sz w:val="24"/>
          <w:szCs w:val="24"/>
        </w:rPr>
        <w:t>2</w:t>
      </w:r>
      <w:r w:rsidR="001A7E25" w:rsidRPr="000A4A0F">
        <w:rPr>
          <w:rFonts w:ascii="Times New Roman" w:hAnsi="Times New Roman" w:cs="Times New Roman"/>
          <w:b/>
          <w:sz w:val="24"/>
          <w:szCs w:val="24"/>
        </w:rPr>
        <w:t>. Progression</w:t>
      </w:r>
      <w:r w:rsidR="00B32B57" w:rsidRPr="000A4A0F">
        <w:rPr>
          <w:rFonts w:ascii="Times New Roman" w:hAnsi="Times New Roman" w:cs="Times New Roman"/>
          <w:b/>
          <w:sz w:val="24"/>
          <w:szCs w:val="24"/>
        </w:rPr>
        <w:t xml:space="preserve"> de la coloration cutanée chez le nouveau-né ictérique :</w:t>
      </w:r>
    </w:p>
    <w:p w14:paraId="2C84ECCB" w14:textId="4402D79D" w:rsidR="001A7E25"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L’ictère n'est pas discernable pour des </w:t>
      </w:r>
      <w:r w:rsidR="00C77A51" w:rsidRPr="000A4A0F">
        <w:rPr>
          <w:rFonts w:ascii="Times New Roman" w:hAnsi="Times New Roman" w:cs="Times New Roman"/>
          <w:sz w:val="24"/>
          <w:szCs w:val="24"/>
        </w:rPr>
        <w:t xml:space="preserve">bilirubinémies inférieures à 70 </w:t>
      </w:r>
      <w:proofErr w:type="spellStart"/>
      <w:r w:rsidRPr="000A4A0F">
        <w:rPr>
          <w:rFonts w:ascii="Times New Roman" w:hAnsi="Times New Roman" w:cs="Times New Roman"/>
          <w:sz w:val="24"/>
          <w:szCs w:val="24"/>
        </w:rPr>
        <w:t>μmol</w:t>
      </w:r>
      <w:proofErr w:type="spellEnd"/>
      <w:r w:rsidRPr="000A4A0F">
        <w:rPr>
          <w:rFonts w:ascii="Times New Roman" w:hAnsi="Times New Roman" w:cs="Times New Roman"/>
          <w:sz w:val="24"/>
          <w:szCs w:val="24"/>
        </w:rPr>
        <w:t>/l</w:t>
      </w:r>
      <w:r w:rsidR="009873D9" w:rsidRPr="000A4A0F">
        <w:rPr>
          <w:rFonts w:ascii="Times New Roman" w:hAnsi="Times New Roman" w:cs="Times New Roman"/>
          <w:sz w:val="24"/>
          <w:szCs w:val="24"/>
        </w:rPr>
        <w:t xml:space="preserve"> </w:t>
      </w:r>
      <w:r w:rsidR="00DB269C" w:rsidRPr="000A4A0F">
        <w:rPr>
          <w:rFonts w:ascii="Times New Roman" w:hAnsi="Times New Roman" w:cs="Times New Roman"/>
          <w:color w:val="auto"/>
          <w:sz w:val="24"/>
          <w:szCs w:val="24"/>
        </w:rPr>
        <w:t xml:space="preserve">ou </w:t>
      </w:r>
      <w:r w:rsidR="009873D9" w:rsidRPr="000A4A0F">
        <w:rPr>
          <w:rFonts w:ascii="Times New Roman" w:hAnsi="Times New Roman" w:cs="Times New Roman"/>
          <w:color w:val="auto"/>
          <w:sz w:val="24"/>
          <w:szCs w:val="24"/>
        </w:rPr>
        <w:t>mg/dl</w:t>
      </w:r>
      <w:r w:rsidRPr="000A4A0F">
        <w:rPr>
          <w:rFonts w:ascii="Times New Roman" w:hAnsi="Times New Roman" w:cs="Times New Roman"/>
          <w:color w:val="auto"/>
          <w:sz w:val="24"/>
          <w:szCs w:val="24"/>
        </w:rPr>
        <w:t>.</w:t>
      </w:r>
    </w:p>
    <w:p w14:paraId="027CF6A6" w14:textId="77777777" w:rsidR="00B32B57" w:rsidRPr="000A4A0F" w:rsidRDefault="00E10CF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Au-dessus</w:t>
      </w:r>
      <w:r w:rsidR="00B32B57" w:rsidRPr="000A4A0F">
        <w:rPr>
          <w:rFonts w:ascii="Times New Roman" w:hAnsi="Times New Roman" w:cs="Times New Roman"/>
          <w:sz w:val="24"/>
          <w:szCs w:val="24"/>
        </w:rPr>
        <w:t xml:space="preserve"> l’ictère s'accompagne d'une progression céphalo-caudale de</w:t>
      </w:r>
      <w:r w:rsidR="00C77A51" w:rsidRPr="000A4A0F">
        <w:rPr>
          <w:rFonts w:ascii="Times New Roman" w:hAnsi="Times New Roman" w:cs="Times New Roman"/>
          <w:sz w:val="24"/>
          <w:szCs w:val="24"/>
        </w:rPr>
        <w:t xml:space="preserve"> </w:t>
      </w:r>
      <w:r w:rsidR="00B32B57" w:rsidRPr="000A4A0F">
        <w:rPr>
          <w:rFonts w:ascii="Times New Roman" w:hAnsi="Times New Roman" w:cs="Times New Roman"/>
          <w:sz w:val="24"/>
          <w:szCs w:val="24"/>
        </w:rPr>
        <w:t>l’ictère cutané (indépendante de l’étiologie de l’ictère) débutant de la face pour</w:t>
      </w:r>
      <w:r w:rsidR="00C77A51" w:rsidRPr="000A4A0F">
        <w:rPr>
          <w:rFonts w:ascii="Times New Roman" w:hAnsi="Times New Roman" w:cs="Times New Roman"/>
          <w:sz w:val="24"/>
          <w:szCs w:val="24"/>
        </w:rPr>
        <w:t xml:space="preserve"> </w:t>
      </w:r>
      <w:r w:rsidR="00B32B57" w:rsidRPr="000A4A0F">
        <w:rPr>
          <w:rFonts w:ascii="Times New Roman" w:hAnsi="Times New Roman" w:cs="Times New Roman"/>
          <w:sz w:val="24"/>
          <w:szCs w:val="24"/>
        </w:rPr>
        <w:t>s’étendre au tronc, aux extrémités et finalement atteindre les paumes et les plantes.</w:t>
      </w:r>
    </w:p>
    <w:p w14:paraId="0F0EFC0D" w14:textId="13BBDA8F" w:rsidR="00B32B57" w:rsidRPr="000A4A0F" w:rsidRDefault="00B32B57" w:rsidP="000A4A0F">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Kramer et al, ont décrit </w:t>
      </w:r>
      <w:r w:rsidR="00B56FCB" w:rsidRPr="000A4A0F">
        <w:rPr>
          <w:rFonts w:ascii="Times New Roman" w:hAnsi="Times New Roman" w:cs="Times New Roman"/>
          <w:sz w:val="24"/>
          <w:szCs w:val="24"/>
        </w:rPr>
        <w:t xml:space="preserve">cette évolution en 5 stades </w:t>
      </w:r>
      <w:r w:rsidR="006939D3"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{"citationItems":[{"id":"ITEM-1","itemData":{"author":[{"dropping-particle":"","family":"Mohammed","given":"C H U","non-dropping-particle":"","parse-names":false,"suffix":""},{"dropping-particle":"","family":"Tairan","given":"H","non-dropping-particle":"","parse-names":false,"suffix":""},{"dropping-particle":"","family":"Aboussad","given":"A","non-dropping-particle":"","parse-names":false,"suffix":""},{"dropping-particle":"De","family":"Néonatologie","given":"Service","non-dropping-particle":"","parse-names":false,"suffix":""},{"dropping-particle":"","family":"Ibn","given":"Hôpital","non-dropping-particle":"","parse-names":false,"suffix":""},{"dropping-particle":"","family":"Chu","given":"Tofail","non-dropping-particle":"","parse-names":false,"suffix":""},{"dropping-particle":"","family":"Vi","given":"Mohammed","non-dropping-particle":"","parse-names":false,"suffix":""}],"id":"ITEM-1","issued":{"date-parts":[["2009"]]},"page":"1-4","title":"Résultats et analyses","type":"article-journal"},"uris":["http://www.mendeley.com/documents/?uuid=f5bb9f37-49b8-410c-9e80-8bfac239ba31","http://www.mendeley.com/documents/?uuid=ce09b50f-b14c-4775-b1e8-499e37dc6b4c"]}],"mendeley":{"formattedCitation":"(22)","plainTextFormattedCitation":"(22)","previouslyFormattedCitation":"(23)"},"properties":{"noteIndex":0},"schema":"https://github.com/citation-style-language/schema/raw/master/csl-citation.json"}</w:instrText>
      </w:r>
      <w:r w:rsidR="006939D3"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(22)</w:t>
      </w:r>
      <w:r w:rsidR="006939D3"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w:t>
      </w:r>
    </w:p>
    <w:p w14:paraId="4CE8259D" w14:textId="77777777" w:rsidR="007F747C" w:rsidRPr="000A4A0F" w:rsidRDefault="007F747C" w:rsidP="000A4A0F">
      <w:pPr>
        <w:shd w:val="clear" w:color="auto" w:fill="FFFFFF"/>
        <w:spacing w:before="200" w:after="200" w:line="360" w:lineRule="auto"/>
        <w:jc w:val="both"/>
        <w:textAlignment w:val="baseline"/>
        <w:rPr>
          <w:rFonts w:ascii="Times New Roman" w:hAnsi="Times New Roman" w:cs="Times New Roman"/>
          <w:sz w:val="24"/>
          <w:szCs w:val="24"/>
        </w:rPr>
      </w:pPr>
      <w:r w:rsidRPr="000A4A0F">
        <w:rPr>
          <w:rFonts w:ascii="Times New Roman" w:hAnsi="Times New Roman" w:cs="Times New Roman"/>
          <w:noProof/>
          <w:sz w:val="24"/>
          <w:szCs w:val="24"/>
          <w:lang w:eastAsia="fr-FR"/>
        </w:rPr>
        <w:lastRenderedPageBreak/>
        <w:drawing>
          <wp:inline distT="0" distB="0" distL="0" distR="0" wp14:anchorId="31BD0A35" wp14:editId="3C3D5EA2">
            <wp:extent cx="5760720" cy="3617038"/>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617038"/>
                    </a:xfrm>
                    <a:prstGeom prst="rect">
                      <a:avLst/>
                    </a:prstGeom>
                    <a:noFill/>
                    <a:ln>
                      <a:noFill/>
                    </a:ln>
                  </pic:spPr>
                </pic:pic>
              </a:graphicData>
            </a:graphic>
          </wp:inline>
        </w:drawing>
      </w:r>
    </w:p>
    <w:p w14:paraId="00F7CCEF" w14:textId="12BCA833" w:rsidR="00E10CF7" w:rsidRPr="000A4A0F" w:rsidRDefault="007F747C" w:rsidP="000A4A0F">
      <w:pPr>
        <w:shd w:val="clear" w:color="auto" w:fill="FFFFFF"/>
        <w:spacing w:before="200" w:after="200" w:line="360" w:lineRule="auto"/>
        <w:jc w:val="both"/>
        <w:textAlignment w:val="baseline"/>
        <w:rPr>
          <w:rFonts w:ascii="Times New Roman" w:hAnsi="Times New Roman" w:cs="Times New Roman"/>
          <w:b/>
          <w:sz w:val="24"/>
          <w:szCs w:val="24"/>
        </w:rPr>
      </w:pPr>
      <w:r w:rsidRPr="000A4A0F">
        <w:rPr>
          <w:rFonts w:ascii="Times New Roman" w:hAnsi="Times New Roman" w:cs="Times New Roman"/>
          <w:b/>
          <w:sz w:val="24"/>
          <w:szCs w:val="24"/>
        </w:rPr>
        <w:t xml:space="preserve">Corrélation entre les zones ictériques </w:t>
      </w:r>
      <w:r w:rsidR="00643E13" w:rsidRPr="000A4A0F">
        <w:rPr>
          <w:rFonts w:ascii="Times New Roman" w:hAnsi="Times New Roman" w:cs="Times New Roman"/>
          <w:b/>
          <w:sz w:val="24"/>
          <w:szCs w:val="24"/>
        </w:rPr>
        <w:t xml:space="preserve">de Kramer et le taux de BNC </w:t>
      </w:r>
      <w:r w:rsidR="00643E13" w:rsidRPr="000A4A0F">
        <w:rPr>
          <w:rFonts w:ascii="Times New Roman" w:hAnsi="Times New Roman" w:cs="Times New Roman"/>
          <w:b/>
          <w:sz w:val="24"/>
          <w:szCs w:val="24"/>
        </w:rPr>
        <w:fldChar w:fldCharType="begin" w:fldLock="1"/>
      </w:r>
      <w:r w:rsidR="00EE36B6">
        <w:rPr>
          <w:rFonts w:ascii="Times New Roman" w:hAnsi="Times New Roman" w:cs="Times New Roman"/>
          <w:b/>
          <w:sz w:val="24"/>
          <w:szCs w:val="24"/>
        </w:rPr>
        <w:instrText>ADDIN CSL_CITATION {"citationItems":[{"id":"ITEM-1","itemData":{"author":[{"dropping-particle":"","family":"Battisti","given":"Professeur Oreste","non-dropping-particle":"","parse-names":false,"suffix":""},{"dropping-particle":"De","family":"Cours","given":"Chargé","non-dropping-particle":"","parse-names":false,"suffix":""},{"dropping-particle":"De","family":"Médecine","given":"Faculté","non-dropping-particle":"","parse-names":false,"suffix":""},{"dropping-particle":"De","family":"Liège","given":"Université","non-dropping-particle":"","parse-names":false,"suffix":""},{"dropping-particle":"","family":"Définitions","given":"A","non-dropping-particle":"","parse-names":false,"suffix":""}],"id":"ITEM-1","issued":{"date-parts":[["0"]]},"page":"1-26","title":"Diagnostic et prise en charge de l ’ hyperbilirubinémie ( à partir de 35 semaines d ’ âge gestationnel )","type":"article-journal"},"uris":["http://www.mendeley.com/documents/?uuid=593aa58c-b2ee-42ab-be1d-e0b1554d69e5","http://www.mendeley.com/documents/?uuid=8efb4bd5-bce5-46ac-91e0-063c05cc6fba"]}],"mendeley":{"formattedCitation":"(3)","plainTextFormattedCitation":"(3)","previouslyFormattedCitation":"(3)"},"properties":{"noteIndex":0},"schema":"https://github.com/citation-style-language/schema/raw/master/csl-citation.json"}</w:instrText>
      </w:r>
      <w:r w:rsidR="00643E13" w:rsidRPr="000A4A0F">
        <w:rPr>
          <w:rFonts w:ascii="Times New Roman" w:hAnsi="Times New Roman" w:cs="Times New Roman"/>
          <w:b/>
          <w:sz w:val="24"/>
          <w:szCs w:val="24"/>
        </w:rPr>
        <w:fldChar w:fldCharType="separate"/>
      </w:r>
      <w:r w:rsidR="00643E13" w:rsidRPr="000A4A0F">
        <w:rPr>
          <w:rFonts w:ascii="Times New Roman" w:hAnsi="Times New Roman" w:cs="Times New Roman"/>
          <w:noProof/>
          <w:sz w:val="24"/>
          <w:szCs w:val="24"/>
        </w:rPr>
        <w:t>(3)</w:t>
      </w:r>
      <w:r w:rsidR="00643E13" w:rsidRPr="000A4A0F">
        <w:rPr>
          <w:rFonts w:ascii="Times New Roman" w:hAnsi="Times New Roman" w:cs="Times New Roman"/>
          <w:b/>
          <w:sz w:val="24"/>
          <w:szCs w:val="24"/>
        </w:rPr>
        <w:fldChar w:fldCharType="end"/>
      </w:r>
    </w:p>
    <w:p w14:paraId="3D7D9895" w14:textId="5E447163" w:rsidR="00E10CF7" w:rsidRPr="000A4A0F" w:rsidRDefault="000944D7" w:rsidP="006612D9">
      <w:pPr>
        <w:spacing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2</w:t>
      </w:r>
      <w:r w:rsidR="008D2CF2" w:rsidRPr="000A4A0F">
        <w:rPr>
          <w:rFonts w:ascii="Times New Roman" w:hAnsi="Times New Roman" w:cs="Times New Roman"/>
          <w:b/>
          <w:sz w:val="24"/>
          <w:szCs w:val="24"/>
        </w:rPr>
        <w:t>.</w:t>
      </w:r>
      <w:r w:rsidR="00FE1C6D" w:rsidRPr="000A4A0F">
        <w:rPr>
          <w:rFonts w:ascii="Times New Roman" w:hAnsi="Times New Roman" w:cs="Times New Roman"/>
          <w:b/>
          <w:sz w:val="24"/>
          <w:szCs w:val="24"/>
        </w:rPr>
        <w:t>3</w:t>
      </w:r>
      <w:r w:rsidR="00E10CF7" w:rsidRPr="000A4A0F">
        <w:rPr>
          <w:rFonts w:ascii="Times New Roman" w:hAnsi="Times New Roman" w:cs="Times New Roman"/>
          <w:b/>
          <w:sz w:val="24"/>
          <w:szCs w:val="24"/>
        </w:rPr>
        <w:t>. Signes</w:t>
      </w:r>
      <w:r w:rsidR="008D2CF2" w:rsidRPr="000A4A0F">
        <w:rPr>
          <w:rFonts w:ascii="Times New Roman" w:hAnsi="Times New Roman" w:cs="Times New Roman"/>
          <w:b/>
          <w:sz w:val="24"/>
          <w:szCs w:val="24"/>
        </w:rPr>
        <w:t xml:space="preserve"> associés</w:t>
      </w:r>
      <w:r w:rsidR="003908FF" w:rsidRPr="000A4A0F">
        <w:rPr>
          <w:rFonts w:ascii="Times New Roman" w:hAnsi="Times New Roman" w:cs="Times New Roman"/>
          <w:b/>
          <w:sz w:val="24"/>
          <w:szCs w:val="24"/>
        </w:rPr>
        <w:t xml:space="preserve"> </w:t>
      </w:r>
    </w:p>
    <w:p w14:paraId="165368F8" w14:textId="687FF8DA" w:rsidR="003908FF" w:rsidRPr="000A4A0F" w:rsidRDefault="003908FF" w:rsidP="006612D9">
      <w:pPr>
        <w:shd w:val="clear" w:color="auto" w:fill="FFFFFF"/>
        <w:spacing w:after="20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Globalement, dans les ictères intenses, en dehors de l’ictère, le tableau clinique est pauvre, dominé par les signes d’hémolyse (pâleur, SMG...) et les signes digestifs, mais dans la plupart des études les nouveau-nés inclus s</w:t>
      </w:r>
      <w:r w:rsidR="00643E13" w:rsidRPr="000A4A0F">
        <w:rPr>
          <w:rFonts w:ascii="Times New Roman" w:hAnsi="Times New Roman" w:cs="Times New Roman"/>
          <w:sz w:val="24"/>
          <w:szCs w:val="24"/>
        </w:rPr>
        <w:t>ont asymptomatiques.</w:t>
      </w:r>
      <w:r w:rsidR="00643E13"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{"citationItems":[{"id":"ITEM-1","itemData":{"DOI":"10.1038/jp.2012.71","ISSN":"0743-8346","author":[{"dropping-particle":"","family":"Maisels","given":"M J","non-dropping-particle":"","parse-names":false,"suffix":""},{"dropping-particle":"","family":"Watchko","given":"J F","non-dropping-particle":"","parse-names":false,"suffix":""},{"dropping-particle":"","family":"Bhutani","given":"V K","non-dropping-particle":"","parse-names":false,"suffix":""},{"dropping-particle":"","family":"Stevenson","given":"D K","non-dropping-particle":"","parse-names":false,"suffix":""}],"container-title":"Journal of Perinatology","id":"ITEM-1","issue":"June","issued":{"date-parts":[["2012"]]},"page":"660-664","publisher":"Nature Publishing Group","title":"An approach to the management of hyperbilirubinemia in the preterm infant less than 35 weeks of gestation","type":"article-journal"},"uris":["http://www.mendeley.com/documents/?uuid=1ef52658-cb34-46a8-9b48-85342e94c13c","http://www.mendeley.com/documents/?uuid=d1bcb691-ed90-45f8-bd8a-19b68148d2c2"]}],"mendeley":{"formattedCitation":"(12)","plainTextFormattedCitation":"(12)","previouslyFormattedCitation":"(12)"},"properties":{"noteIndex":0},"schema":"https://github.com/citation-style-language/schema/raw/master/csl-citation.json"}</w:instrText>
      </w:r>
      <w:r w:rsidR="00643E13" w:rsidRPr="000A4A0F">
        <w:rPr>
          <w:rFonts w:ascii="Times New Roman" w:hAnsi="Times New Roman" w:cs="Times New Roman"/>
          <w:sz w:val="24"/>
          <w:szCs w:val="24"/>
        </w:rPr>
        <w:fldChar w:fldCharType="separate"/>
      </w:r>
      <w:r w:rsidR="00643E13" w:rsidRPr="000A4A0F">
        <w:rPr>
          <w:rFonts w:ascii="Times New Roman" w:hAnsi="Times New Roman" w:cs="Times New Roman"/>
          <w:noProof/>
          <w:sz w:val="24"/>
          <w:szCs w:val="24"/>
        </w:rPr>
        <w:t>(12)</w:t>
      </w:r>
      <w:r w:rsidR="00643E13" w:rsidRPr="000A4A0F">
        <w:rPr>
          <w:rFonts w:ascii="Times New Roman" w:hAnsi="Times New Roman" w:cs="Times New Roman"/>
          <w:sz w:val="24"/>
          <w:szCs w:val="24"/>
        </w:rPr>
        <w:fldChar w:fldCharType="end"/>
      </w:r>
      <w:r w:rsidR="00643E13"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{"citationItems":[{"id":"ITEM-1","itemData":{"author":[{"dropping-particle":"","family":"Battisti","given":"Professeur Oreste","non-dropping-particle":"","parse-names":false,"suffix":""},{"dropping-particle":"De","family":"Cours","given":"Chargé","non-dropping-particle":"","parse-names":false,"suffix":""},{"dropping-particle":"De","family":"Médecine","given":"Faculté","non-dropping-particle":"","parse-names":false,"suffix":""},{"dropping-particle":"De","family":"Liège","given":"Université","non-dropping-particle":"","parse-names":false,"suffix":""},{"dropping-particle":"","family":"Définitions","given":"A","non-dropping-particle":"","parse-names":false,"suffix":""}],"id":"ITEM-1","issued":{"date-parts":[["0"]]},"page":"1-26","title":"Diagnostic et prise en charge de l ’ hyperbilirubinémie ( à partir de 35 semaines d ’ âge gestationnel )","type":"article-journal"},"uris":["http://www.mendeley.com/documents/?uuid=593aa58c-b2ee-42ab-be1d-e0b1554d69e5","http://www.mendeley.com/documents/?uuid=8efb4bd5-bce5-46ac-91e0-063c05cc6fba"]}],"mendeley":{"formattedCitation":"(3)","plainTextFormattedCitation":"(3)","previouslyFormattedCitation":"(3)"},"properties":{"noteIndex":0},"schema":"https://github.com/citation-style-language/schema/raw/master/csl-citation.json"}</w:instrText>
      </w:r>
      <w:r w:rsidR="00643E13" w:rsidRPr="000A4A0F">
        <w:rPr>
          <w:rFonts w:ascii="Times New Roman" w:hAnsi="Times New Roman" w:cs="Times New Roman"/>
          <w:sz w:val="24"/>
          <w:szCs w:val="24"/>
        </w:rPr>
        <w:fldChar w:fldCharType="separate"/>
      </w:r>
      <w:r w:rsidR="00643E13" w:rsidRPr="000A4A0F">
        <w:rPr>
          <w:rFonts w:ascii="Times New Roman" w:hAnsi="Times New Roman" w:cs="Times New Roman"/>
          <w:noProof/>
          <w:sz w:val="24"/>
          <w:szCs w:val="24"/>
        </w:rPr>
        <w:t>(3)</w:t>
      </w:r>
      <w:r w:rsidR="00643E13" w:rsidRPr="000A4A0F">
        <w:rPr>
          <w:rFonts w:ascii="Times New Roman" w:hAnsi="Times New Roman" w:cs="Times New Roman"/>
          <w:sz w:val="24"/>
          <w:szCs w:val="24"/>
        </w:rPr>
        <w:fldChar w:fldCharType="end"/>
      </w:r>
    </w:p>
    <w:p w14:paraId="18EEB30F" w14:textId="6F4BE3BB" w:rsidR="003908FF" w:rsidRPr="000A4A0F" w:rsidRDefault="000944D7" w:rsidP="006612D9">
      <w:pPr>
        <w:spacing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2</w:t>
      </w:r>
      <w:r w:rsidR="008D2CF2" w:rsidRPr="000A4A0F">
        <w:rPr>
          <w:rFonts w:ascii="Times New Roman" w:hAnsi="Times New Roman" w:cs="Times New Roman"/>
          <w:b/>
          <w:sz w:val="24"/>
          <w:szCs w:val="24"/>
        </w:rPr>
        <w:t>.</w:t>
      </w:r>
      <w:r w:rsidR="00FE1C6D" w:rsidRPr="000A4A0F">
        <w:rPr>
          <w:rFonts w:ascii="Times New Roman" w:hAnsi="Times New Roman" w:cs="Times New Roman"/>
          <w:b/>
          <w:sz w:val="24"/>
          <w:szCs w:val="24"/>
        </w:rPr>
        <w:t>4</w:t>
      </w:r>
      <w:r w:rsidR="00B3692E" w:rsidRPr="000A4A0F">
        <w:rPr>
          <w:rFonts w:ascii="Times New Roman" w:hAnsi="Times New Roman" w:cs="Times New Roman"/>
          <w:b/>
          <w:sz w:val="24"/>
          <w:szCs w:val="24"/>
        </w:rPr>
        <w:t>. Complication</w:t>
      </w:r>
      <w:r w:rsidR="003908FF" w:rsidRPr="000A4A0F">
        <w:rPr>
          <w:rFonts w:ascii="Times New Roman" w:hAnsi="Times New Roman" w:cs="Times New Roman"/>
          <w:b/>
          <w:sz w:val="24"/>
          <w:szCs w:val="24"/>
        </w:rPr>
        <w:t xml:space="preserve"> : Ictère nucléaire : </w:t>
      </w:r>
    </w:p>
    <w:p w14:paraId="18580C6F" w14:textId="4128EEA3" w:rsidR="003908FF" w:rsidRPr="000A4A0F" w:rsidRDefault="003908FF" w:rsidP="006612D9">
      <w:pPr>
        <w:shd w:val="clear" w:color="auto" w:fill="FFFFFF"/>
        <w:spacing w:after="20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Un registre pilote des ictères nucléaires a été mis en place </w:t>
      </w:r>
      <w:r w:rsidR="00C67D5F" w:rsidRPr="000A4A0F">
        <w:rPr>
          <w:rFonts w:ascii="Times New Roman" w:hAnsi="Times New Roman" w:cs="Times New Roman"/>
          <w:sz w:val="24"/>
          <w:szCs w:val="24"/>
        </w:rPr>
        <w:t>aux</w:t>
      </w:r>
      <w:r w:rsidRPr="000A4A0F">
        <w:rPr>
          <w:rFonts w:ascii="Times New Roman" w:hAnsi="Times New Roman" w:cs="Times New Roman"/>
          <w:sz w:val="24"/>
          <w:szCs w:val="24"/>
        </w:rPr>
        <w:t xml:space="preserve"> Etats-Unis à partir</w:t>
      </w:r>
      <w:r w:rsidR="00BD5EE3" w:rsidRPr="000A4A0F">
        <w:rPr>
          <w:rFonts w:ascii="Times New Roman" w:hAnsi="Times New Roman" w:cs="Times New Roman"/>
          <w:sz w:val="24"/>
          <w:szCs w:val="24"/>
        </w:rPr>
        <w:t xml:space="preserve"> </w:t>
      </w:r>
      <w:r w:rsidR="006612D9">
        <w:rPr>
          <w:rFonts w:ascii="Times New Roman" w:hAnsi="Times New Roman" w:cs="Times New Roman"/>
          <w:sz w:val="24"/>
          <w:szCs w:val="24"/>
        </w:rPr>
        <w:t xml:space="preserve">de Mai 1992. </w:t>
      </w:r>
      <w:proofErr w:type="spellStart"/>
      <w:r w:rsidR="006612D9">
        <w:rPr>
          <w:rFonts w:ascii="Times New Roman" w:hAnsi="Times New Roman" w:cs="Times New Roman"/>
          <w:sz w:val="24"/>
          <w:szCs w:val="24"/>
        </w:rPr>
        <w:t>Maisels</w:t>
      </w:r>
      <w:proofErr w:type="spellEnd"/>
      <w:r w:rsidR="006612D9">
        <w:rPr>
          <w:rFonts w:ascii="Times New Roman" w:hAnsi="Times New Roman" w:cs="Times New Roman"/>
          <w:sz w:val="24"/>
          <w:szCs w:val="24"/>
        </w:rPr>
        <w:t xml:space="preserve"> et al o</w:t>
      </w:r>
      <w:r w:rsidR="006612D9" w:rsidRPr="000A4A0F">
        <w:rPr>
          <w:rFonts w:ascii="Times New Roman" w:hAnsi="Times New Roman" w:cs="Times New Roman"/>
          <w:sz w:val="24"/>
          <w:szCs w:val="24"/>
        </w:rPr>
        <w:t>nt</w:t>
      </w:r>
      <w:r w:rsidRPr="000A4A0F">
        <w:rPr>
          <w:rFonts w:ascii="Times New Roman" w:hAnsi="Times New Roman" w:cs="Times New Roman"/>
          <w:sz w:val="24"/>
          <w:szCs w:val="24"/>
        </w:rPr>
        <w:t xml:space="preserve"> étudié 122 enfants atteints d'ictère </w:t>
      </w:r>
      <w:r w:rsidR="00643E13" w:rsidRPr="000A4A0F">
        <w:rPr>
          <w:rFonts w:ascii="Times New Roman" w:hAnsi="Times New Roman" w:cs="Times New Roman"/>
          <w:sz w:val="24"/>
          <w:szCs w:val="24"/>
        </w:rPr>
        <w:t>nucléaire :</w:t>
      </w:r>
      <w:r w:rsidRPr="000A4A0F">
        <w:rPr>
          <w:rFonts w:ascii="Times New Roman" w:hAnsi="Times New Roman" w:cs="Times New Roman"/>
          <w:sz w:val="24"/>
          <w:szCs w:val="24"/>
        </w:rPr>
        <w:t xml:space="preserve"> chez 43% aucune cause n'a été mise en évid</w:t>
      </w:r>
      <w:r w:rsidR="00C67D5F" w:rsidRPr="000A4A0F">
        <w:rPr>
          <w:rFonts w:ascii="Times New Roman" w:hAnsi="Times New Roman" w:cs="Times New Roman"/>
          <w:sz w:val="24"/>
          <w:szCs w:val="24"/>
        </w:rPr>
        <w:t>ence, l</w:t>
      </w:r>
      <w:r w:rsidRPr="000A4A0F">
        <w:rPr>
          <w:rFonts w:ascii="Times New Roman" w:hAnsi="Times New Roman" w:cs="Times New Roman"/>
          <w:sz w:val="24"/>
          <w:szCs w:val="24"/>
        </w:rPr>
        <w:t>a 2ème étiologie retrouvée est le déficit en G6PD qui touche aussi 21% de ces enfants, ensuite on retrouve les autres ictères hémolytiques et les traumatismes obstétricaux.</w:t>
      </w:r>
    </w:p>
    <w:p w14:paraId="04E1CAD4" w14:textId="77777777" w:rsidR="003908FF" w:rsidRPr="000A4A0F" w:rsidRDefault="003908FF" w:rsidP="006612D9">
      <w:pPr>
        <w:shd w:val="clear" w:color="auto" w:fill="FFFFFF"/>
        <w:spacing w:after="20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L’ictère nucléaire fait référence à une pathologie caractérisée par accumulation de la bilirubine dans les noyaux gris centraux chez des enfants ayant présentés des signes d’encéphalopathie </w:t>
      </w:r>
      <w:proofErr w:type="spellStart"/>
      <w:r w:rsidRPr="000A4A0F">
        <w:rPr>
          <w:rFonts w:ascii="Times New Roman" w:hAnsi="Times New Roman" w:cs="Times New Roman"/>
          <w:sz w:val="24"/>
          <w:szCs w:val="24"/>
        </w:rPr>
        <w:t>bilirubinémique</w:t>
      </w:r>
      <w:proofErr w:type="spellEnd"/>
      <w:r w:rsidRPr="000A4A0F">
        <w:rPr>
          <w:rFonts w:ascii="Times New Roman" w:hAnsi="Times New Roman" w:cs="Times New Roman"/>
          <w:sz w:val="24"/>
          <w:szCs w:val="24"/>
        </w:rPr>
        <w:t xml:space="preserve"> aigue ou chronique.</w:t>
      </w:r>
    </w:p>
    <w:p w14:paraId="652EEBF3" w14:textId="77777777" w:rsidR="00C67D5F" w:rsidRPr="000A4A0F" w:rsidRDefault="003908FF" w:rsidP="006612D9">
      <w:pPr>
        <w:shd w:val="clear" w:color="auto" w:fill="FFFFFF"/>
        <w:spacing w:after="0" w:line="360" w:lineRule="auto"/>
        <w:jc w:val="both"/>
        <w:textAlignment w:val="baseline"/>
        <w:rPr>
          <w:rFonts w:ascii="Times New Roman" w:hAnsi="Times New Roman" w:cs="Times New Roman"/>
          <w:sz w:val="24"/>
          <w:szCs w:val="24"/>
        </w:rPr>
      </w:pPr>
      <w:r w:rsidRPr="00281974">
        <w:rPr>
          <w:rFonts w:ascii="Times New Roman" w:hAnsi="Times New Roman" w:cs="Times New Roman"/>
          <w:sz w:val="24"/>
          <w:szCs w:val="24"/>
          <w:highlight w:val="yellow"/>
        </w:rPr>
        <w:t>Le sous-comité travaillant sur l’hyper bilirubinémie de l’AAP</w:t>
      </w:r>
      <w:r w:rsidRPr="000A4A0F">
        <w:rPr>
          <w:rFonts w:ascii="Times New Roman" w:hAnsi="Times New Roman" w:cs="Times New Roman"/>
          <w:sz w:val="24"/>
          <w:szCs w:val="24"/>
        </w:rPr>
        <w:t xml:space="preserve"> a suggéré dans ses recommandations d’utiliser le terme d’encéphalopathie </w:t>
      </w:r>
      <w:proofErr w:type="spellStart"/>
      <w:r w:rsidRPr="000A4A0F">
        <w:rPr>
          <w:rFonts w:ascii="Times New Roman" w:hAnsi="Times New Roman" w:cs="Times New Roman"/>
          <w:sz w:val="24"/>
          <w:szCs w:val="24"/>
        </w:rPr>
        <w:t>bilirubinique</w:t>
      </w:r>
      <w:proofErr w:type="spellEnd"/>
      <w:r w:rsidRPr="000A4A0F">
        <w:rPr>
          <w:rFonts w:ascii="Times New Roman" w:hAnsi="Times New Roman" w:cs="Times New Roman"/>
          <w:sz w:val="24"/>
          <w:szCs w:val="24"/>
        </w:rPr>
        <w:t xml:space="preserve"> aigue pour les atteintes neurologiques induites par la bilirubine lors des manifestations aigues chez le NN, et qui so</w:t>
      </w:r>
      <w:r w:rsidR="00C67D5F" w:rsidRPr="000A4A0F">
        <w:rPr>
          <w:rFonts w:ascii="Times New Roman" w:hAnsi="Times New Roman" w:cs="Times New Roman"/>
          <w:sz w:val="24"/>
          <w:szCs w:val="24"/>
        </w:rPr>
        <w:t>nt potentiellement réversibles.</w:t>
      </w:r>
    </w:p>
    <w:p w14:paraId="541EA750" w14:textId="5BA6E0C9" w:rsidR="003908FF" w:rsidRPr="000A4A0F" w:rsidRDefault="003908FF"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lastRenderedPageBreak/>
        <w:t xml:space="preserve">Le terme d’ictère nucléaire est utilisé pour définir les manifestations chroniques et permanentes liées à la </w:t>
      </w:r>
      <w:r w:rsidR="000158C1" w:rsidRPr="000A4A0F">
        <w:rPr>
          <w:rFonts w:ascii="Times New Roman" w:hAnsi="Times New Roman" w:cs="Times New Roman"/>
          <w:sz w:val="24"/>
          <w:szCs w:val="24"/>
        </w:rPr>
        <w:t>neurotoxique</w:t>
      </w:r>
      <w:r w:rsidR="00643E13" w:rsidRPr="000A4A0F">
        <w:rPr>
          <w:rFonts w:ascii="Times New Roman" w:hAnsi="Times New Roman" w:cs="Times New Roman"/>
          <w:sz w:val="24"/>
          <w:szCs w:val="24"/>
        </w:rPr>
        <w:t xml:space="preserve"> de la bilirubine</w:t>
      </w:r>
      <w:r w:rsidR="00BD5EE3" w:rsidRPr="000A4A0F">
        <w:rPr>
          <w:rFonts w:ascii="Times New Roman" w:hAnsi="Times New Roman" w:cs="Times New Roman"/>
          <w:sz w:val="24"/>
          <w:szCs w:val="24"/>
        </w:rPr>
        <w:t>.</w:t>
      </w:r>
      <w:r w:rsidR="00643E13"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{"citationItems":[{"id":"ITEM-1","itemData":{"DOI":"10.1038/jp.2012.71","ISSN":"0743-8346","author":[{"dropping-particle":"","family":"Maisels","given":"M J","non-dropping-particle":"","parse-names":false,"suffix":""},{"dropping-particle":"","family":"Watchko","given":"J F","non-dropping-particle":"","parse-names":false,"suffix":""},{"dropping-particle":"","family":"Bhutani","given":"V K","non-dropping-particle":"","parse-names":false,"suffix":""},{"dropping-particle":"","family":"Stevenson","given":"D K","non-dropping-particle":"","parse-names":false,"suffix":""}],"container-title":"Journal of Perinatology","id":"ITEM-1","issue":"June","issued":{"date-parts":[["2012"]]},"page":"660-664","publisher":"Nature Publishing Group","title":"An approach to the management of hyperbilirubinemia in the preterm infant less than 35 weeks of gestation","type":"article-journal"},"uris":["http://www.mendeley.com/documents/?uuid=1ef52658-cb34-46a8-9b48-85342e94c13c","http://www.mendeley.com/documents/?uuid=d1bcb691-ed90-45f8-bd8a-19b68148d2c2"]}],"mendeley":{"formattedCitation":"(12)","plainTextFormattedCitation":"(12)","previouslyFormattedCitation":"(12)"},"properties":{"noteIndex":0},"schema":"https://github.com/citation-style-language/schema/raw/master/csl-citation.json"}</w:instrText>
      </w:r>
      <w:r w:rsidR="00643E13" w:rsidRPr="000A4A0F">
        <w:rPr>
          <w:rFonts w:ascii="Times New Roman" w:hAnsi="Times New Roman" w:cs="Times New Roman"/>
          <w:sz w:val="24"/>
          <w:szCs w:val="24"/>
        </w:rPr>
        <w:fldChar w:fldCharType="separate"/>
      </w:r>
      <w:r w:rsidR="00643E13" w:rsidRPr="000A4A0F">
        <w:rPr>
          <w:rFonts w:ascii="Times New Roman" w:hAnsi="Times New Roman" w:cs="Times New Roman"/>
          <w:noProof/>
          <w:sz w:val="24"/>
          <w:szCs w:val="24"/>
        </w:rPr>
        <w:t>(12)</w:t>
      </w:r>
      <w:r w:rsidR="00643E13" w:rsidRPr="000A4A0F">
        <w:rPr>
          <w:rFonts w:ascii="Times New Roman" w:hAnsi="Times New Roman" w:cs="Times New Roman"/>
          <w:sz w:val="24"/>
          <w:szCs w:val="24"/>
        </w:rPr>
        <w:fldChar w:fldCharType="end"/>
      </w:r>
    </w:p>
    <w:p w14:paraId="37058054" w14:textId="77777777" w:rsidR="00B3692E" w:rsidRPr="000A4A0F" w:rsidRDefault="00B3692E"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L’ictère nucléaire provoque une coloration jaune sélective dans les noyaux gris centraux, en particulier le </w:t>
      </w:r>
      <w:proofErr w:type="spellStart"/>
      <w:r w:rsidRPr="000A4A0F">
        <w:rPr>
          <w:rFonts w:ascii="Times New Roman" w:hAnsi="Times New Roman" w:cs="Times New Roman"/>
          <w:sz w:val="24"/>
          <w:szCs w:val="24"/>
        </w:rPr>
        <w:t>globus</w:t>
      </w:r>
      <w:proofErr w:type="spellEnd"/>
      <w:r w:rsidRPr="000A4A0F">
        <w:rPr>
          <w:rFonts w:ascii="Times New Roman" w:hAnsi="Times New Roman" w:cs="Times New Roman"/>
          <w:sz w:val="24"/>
          <w:szCs w:val="24"/>
        </w:rPr>
        <w:t xml:space="preserve"> pallidus et le noyau sous-thalamique, les noyaux du tronc cérébral, en particulier l'auditoire (noyau cochléaire, colliculus inférieur, complexe olivaire supérieur), oculomoteur et les noyaux vestibulaires qui sont particulièrement vulnérables. Les autres zones sensibles sont le cervelet, en particulier les cellules de Purkinje, et l'hippocampe.</w:t>
      </w:r>
    </w:p>
    <w:p w14:paraId="6918EF4E" w14:textId="77777777" w:rsidR="00304D89" w:rsidRPr="000A4A0F" w:rsidRDefault="00B3692E"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Les lésions des noyaux gris centraux sont cliniquement en corrélation avec les troubles du mou</w:t>
      </w:r>
      <w:r w:rsidR="00304D89" w:rsidRPr="000A4A0F">
        <w:rPr>
          <w:rFonts w:ascii="Times New Roman" w:hAnsi="Times New Roman" w:cs="Times New Roman"/>
          <w:sz w:val="24"/>
          <w:szCs w:val="24"/>
        </w:rPr>
        <w:t>vement et la dystonie athétose.</w:t>
      </w:r>
    </w:p>
    <w:p w14:paraId="7CA1668A" w14:textId="77777777" w:rsidR="009D7251" w:rsidRPr="000A4A0F" w:rsidRDefault="00B3692E"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Les anomalies des noyaux du tronc cérébral sont associées à la surdité, et à une entité récemment décrite appelée la neuropathie auditive (NA).</w:t>
      </w:r>
    </w:p>
    <w:p w14:paraId="56E7A8DA" w14:textId="77777777" w:rsidR="006341A1" w:rsidRPr="000A4A0F" w:rsidRDefault="00B3692E"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Les anomalies des noyaux du tronc cérébral oculomoteurs sont </w:t>
      </w:r>
      <w:r w:rsidR="00BD6224" w:rsidRPr="000A4A0F">
        <w:rPr>
          <w:rFonts w:ascii="Times New Roman" w:hAnsi="Times New Roman" w:cs="Times New Roman"/>
          <w:sz w:val="24"/>
          <w:szCs w:val="24"/>
        </w:rPr>
        <w:t>associées</w:t>
      </w:r>
      <w:r w:rsidRPr="000A4A0F">
        <w:rPr>
          <w:rFonts w:ascii="Times New Roman" w:hAnsi="Times New Roman" w:cs="Times New Roman"/>
          <w:sz w:val="24"/>
          <w:szCs w:val="24"/>
        </w:rPr>
        <w:t xml:space="preserve"> à un strabisme et une pa</w:t>
      </w:r>
      <w:r w:rsidR="006341A1" w:rsidRPr="000A4A0F">
        <w:rPr>
          <w:rFonts w:ascii="Times New Roman" w:hAnsi="Times New Roman" w:cs="Times New Roman"/>
          <w:sz w:val="24"/>
          <w:szCs w:val="24"/>
        </w:rPr>
        <w:t>ralysie du regard vers le haut.</w:t>
      </w:r>
    </w:p>
    <w:p w14:paraId="1045A29E" w14:textId="77777777" w:rsidR="00B3692E" w:rsidRPr="000A4A0F" w:rsidRDefault="00B3692E"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Dans le système auditif, la bilirubine ne semble pas affecter les cellules ciliées internes ou externes, mais elle peut affecter les corps cellulaires du nerf auditif dans le ganglion spiralé. La zone la plus sensible dans le système auditif semble être les noyaux du tronc cérébral. Les voies auditives dans le thalamus et le cortex ne semblent pas être affectés. Ces noyaux du tronc cérébral ne peuvent pas être visualisées par les techniques actuellement disponibles, mais peuvent être évalués par des techniques neurophysiologiques.</w:t>
      </w:r>
    </w:p>
    <w:p w14:paraId="5A7C3EB2" w14:textId="77777777" w:rsidR="009D7251" w:rsidRPr="000A4A0F" w:rsidRDefault="00B3692E"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Son évolution est marqu</w:t>
      </w:r>
      <w:r w:rsidR="009D7251" w:rsidRPr="000A4A0F">
        <w:rPr>
          <w:rFonts w:ascii="Times New Roman" w:hAnsi="Times New Roman" w:cs="Times New Roman"/>
          <w:sz w:val="24"/>
          <w:szCs w:val="24"/>
        </w:rPr>
        <w:t>ée par trois phases distinctes :</w:t>
      </w:r>
    </w:p>
    <w:p w14:paraId="6B7E0E73" w14:textId="77777777" w:rsidR="009D7251" w:rsidRPr="000A4A0F" w:rsidRDefault="00B3692E" w:rsidP="006612D9">
      <w:pPr>
        <w:pStyle w:val="Paragraphedeliste"/>
        <w:numPr>
          <w:ilvl w:val="0"/>
          <w:numId w:val="2"/>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La première phase comprend une mauvaise succion, une hypotonie, une léthargie, et une stupeur. </w:t>
      </w:r>
    </w:p>
    <w:p w14:paraId="5DFD3F2C" w14:textId="77777777" w:rsidR="009D7251" w:rsidRPr="000A4A0F" w:rsidRDefault="00B3692E" w:rsidP="006612D9">
      <w:pPr>
        <w:pStyle w:val="Paragraphedeliste"/>
        <w:numPr>
          <w:ilvl w:val="0"/>
          <w:numId w:val="2"/>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Au cours de la deuxième phase, débutant au milieu de la première semaine de vie, apparaissent une hypertonie avec spasmes musculaires en extension, un opisthotonos, qui peuvent alterner avec des périodes d’hypotonie, une fièvre et un cri aigu sont souvent associés. Dans certains cas, on peut voir apparaître un refus alimentaire, des apnées, une stupeur voir un coma </w:t>
      </w:r>
      <w:r w:rsidR="009D7251" w:rsidRPr="000A4A0F">
        <w:rPr>
          <w:rFonts w:ascii="Times New Roman" w:hAnsi="Times New Roman" w:cs="Times New Roman"/>
          <w:sz w:val="24"/>
          <w:szCs w:val="24"/>
        </w:rPr>
        <w:t>et une évolution vers le décès.</w:t>
      </w:r>
    </w:p>
    <w:p w14:paraId="576D5C51" w14:textId="4D301C01" w:rsidR="00B3692E" w:rsidRPr="000A4A0F" w:rsidRDefault="00B3692E" w:rsidP="006612D9">
      <w:pPr>
        <w:pStyle w:val="Paragraphedeliste"/>
        <w:numPr>
          <w:ilvl w:val="0"/>
          <w:numId w:val="2"/>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Une troisième phase hypertonique débute à la fin d</w:t>
      </w:r>
      <w:r w:rsidR="007E6878" w:rsidRPr="000A4A0F">
        <w:rPr>
          <w:rFonts w:ascii="Times New Roman" w:hAnsi="Times New Roman" w:cs="Times New Roman"/>
          <w:sz w:val="24"/>
          <w:szCs w:val="24"/>
        </w:rPr>
        <w:t>e</w:t>
      </w:r>
      <w:r w:rsidR="000158C1" w:rsidRPr="000A4A0F">
        <w:rPr>
          <w:rFonts w:ascii="Times New Roman" w:hAnsi="Times New Roman" w:cs="Times New Roman"/>
          <w:sz w:val="24"/>
          <w:szCs w:val="24"/>
        </w:rPr>
        <w:t xml:space="preserve"> la première semaine de vie </w:t>
      </w:r>
      <w:r w:rsidR="000158C1"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{"citationItems":[{"id":"ITEM-1","itemData":{"author":[{"dropping-particle":"","family":"Senterre T., Minon J.M.","given":"and Rigo J","non-dropping-particle":"","parse-names":false,"suffix":""}],"container-title":"Archives de Pédiatrie,","id":"ITEM-1","issue":"3","issued":{"date-parts":[["2009"]]},"page":"279-282","title":"L'allo-immunisation foeto-maternelle ABO peut être sévère.","type":"article-journal","volume":"18"},"uris":["http://www.mendeley.com/documents/?uuid=24dfa37e-37c1-4867-8c5f-17e59852caa0","http://www.mendeley.com/documents/?uuid=aa61ac2b-9c40-4b33-8ce2-cd020e8f1d02"]}],"mendeley":{"formattedCitation":"(23)","plainTextFormattedCitation":"(23)","previouslyFormattedCitation":"(24)"},"properties":{"noteIndex":0},"schema":"https://github.com/citation-style-language/schema/raw/master/csl-citation.json"}</w:instrText>
      </w:r>
      <w:r w:rsidR="000158C1"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(23)</w:t>
      </w:r>
      <w:r w:rsidR="000158C1" w:rsidRPr="000A4A0F">
        <w:rPr>
          <w:rFonts w:ascii="Times New Roman" w:hAnsi="Times New Roman" w:cs="Times New Roman"/>
          <w:sz w:val="24"/>
          <w:szCs w:val="24"/>
        </w:rPr>
        <w:fldChar w:fldCharType="end"/>
      </w:r>
    </w:p>
    <w:p w14:paraId="197B6765" w14:textId="77777777" w:rsidR="009D7251" w:rsidRPr="000A4A0F" w:rsidRDefault="00B3692E" w:rsidP="006612D9">
      <w:pPr>
        <w:pStyle w:val="Default"/>
        <w:spacing w:line="360" w:lineRule="auto"/>
        <w:jc w:val="both"/>
        <w:rPr>
          <w:rFonts w:ascii="Times New Roman" w:hAnsi="Times New Roman" w:cs="Times New Roman"/>
        </w:rPr>
      </w:pPr>
      <w:r w:rsidRPr="000A4A0F">
        <w:rPr>
          <w:rFonts w:ascii="Times New Roman" w:hAnsi="Times New Roman" w:cs="Times New Roman"/>
        </w:rPr>
        <w:t>L’ictère nucléaire, après une évolution d’un an, associe un</w:t>
      </w:r>
      <w:r w:rsidR="009D7251" w:rsidRPr="000A4A0F">
        <w:rPr>
          <w:rFonts w:ascii="Times New Roman" w:hAnsi="Times New Roman" w:cs="Times New Roman"/>
        </w:rPr>
        <w:t>e tétrade classique faite de :</w:t>
      </w:r>
    </w:p>
    <w:p w14:paraId="2E3A4A9C" w14:textId="77777777" w:rsidR="009D7251" w:rsidRPr="000A4A0F" w:rsidRDefault="00B3692E" w:rsidP="006612D9">
      <w:pPr>
        <w:pStyle w:val="Default"/>
        <w:numPr>
          <w:ilvl w:val="0"/>
          <w:numId w:val="3"/>
        </w:numPr>
        <w:spacing w:line="360" w:lineRule="auto"/>
        <w:jc w:val="both"/>
        <w:rPr>
          <w:rFonts w:ascii="Times New Roman" w:hAnsi="Times New Roman" w:cs="Times New Roman"/>
        </w:rPr>
      </w:pPr>
      <w:r w:rsidRPr="000A4A0F">
        <w:rPr>
          <w:rFonts w:ascii="Times New Roman" w:hAnsi="Times New Roman" w:cs="Times New Roman"/>
        </w:rPr>
        <w:t>une infirmité motrice cérébr</w:t>
      </w:r>
      <w:r w:rsidR="009D7251" w:rsidRPr="000A4A0F">
        <w:rPr>
          <w:rFonts w:ascii="Times New Roman" w:hAnsi="Times New Roman" w:cs="Times New Roman"/>
        </w:rPr>
        <w:t>ale athétosique, une dystonie ;</w:t>
      </w:r>
    </w:p>
    <w:p w14:paraId="0D4D1000" w14:textId="77777777" w:rsidR="009D7251" w:rsidRPr="000A4A0F" w:rsidRDefault="00B3692E" w:rsidP="006612D9">
      <w:pPr>
        <w:pStyle w:val="Default"/>
        <w:numPr>
          <w:ilvl w:val="0"/>
          <w:numId w:val="3"/>
        </w:numPr>
        <w:spacing w:line="360" w:lineRule="auto"/>
        <w:jc w:val="both"/>
        <w:rPr>
          <w:rFonts w:ascii="Times New Roman" w:hAnsi="Times New Roman" w:cs="Times New Roman"/>
        </w:rPr>
      </w:pPr>
      <w:r w:rsidRPr="000A4A0F">
        <w:rPr>
          <w:rFonts w:ascii="Times New Roman" w:hAnsi="Times New Roman" w:cs="Times New Roman"/>
        </w:rPr>
        <w:t>Surdité ou diminution de l’audition pa</w:t>
      </w:r>
      <w:r w:rsidR="009D7251" w:rsidRPr="000A4A0F">
        <w:rPr>
          <w:rFonts w:ascii="Times New Roman" w:hAnsi="Times New Roman" w:cs="Times New Roman"/>
        </w:rPr>
        <w:t>r neuropathie auditive ;</w:t>
      </w:r>
    </w:p>
    <w:p w14:paraId="606B94DC" w14:textId="77777777" w:rsidR="009D7251" w:rsidRPr="000A4A0F" w:rsidRDefault="00B3692E" w:rsidP="006612D9">
      <w:pPr>
        <w:pStyle w:val="Default"/>
        <w:numPr>
          <w:ilvl w:val="0"/>
          <w:numId w:val="3"/>
        </w:numPr>
        <w:spacing w:line="360" w:lineRule="auto"/>
        <w:jc w:val="both"/>
        <w:rPr>
          <w:rFonts w:ascii="Times New Roman" w:hAnsi="Times New Roman" w:cs="Times New Roman"/>
        </w:rPr>
      </w:pPr>
      <w:r w:rsidRPr="000A4A0F">
        <w:rPr>
          <w:rFonts w:ascii="Times New Roman" w:hAnsi="Times New Roman" w:cs="Times New Roman"/>
        </w:rPr>
        <w:t>Atteinte ophtalmologique avec atteinte des mouvements conjugués des yeux (paralysie de la vertic</w:t>
      </w:r>
      <w:r w:rsidR="009D7251" w:rsidRPr="000A4A0F">
        <w:rPr>
          <w:rFonts w:ascii="Times New Roman" w:hAnsi="Times New Roman" w:cs="Times New Roman"/>
        </w:rPr>
        <w:t>alité du regard vers le haut) ;</w:t>
      </w:r>
    </w:p>
    <w:p w14:paraId="1A3A92FE" w14:textId="77777777" w:rsidR="00007400" w:rsidRPr="000A4A0F" w:rsidRDefault="00B3692E" w:rsidP="006612D9">
      <w:pPr>
        <w:pStyle w:val="Default"/>
        <w:numPr>
          <w:ilvl w:val="0"/>
          <w:numId w:val="3"/>
        </w:numPr>
        <w:spacing w:line="360" w:lineRule="auto"/>
        <w:jc w:val="both"/>
        <w:rPr>
          <w:rFonts w:ascii="Times New Roman" w:hAnsi="Times New Roman" w:cs="Times New Roman"/>
        </w:rPr>
      </w:pPr>
      <w:r w:rsidRPr="000A4A0F">
        <w:rPr>
          <w:rFonts w:ascii="Times New Roman" w:hAnsi="Times New Roman" w:cs="Times New Roman"/>
        </w:rPr>
        <w:t xml:space="preserve">Dysplasie de l’émail dentaire. </w:t>
      </w:r>
    </w:p>
    <w:p w14:paraId="5425D04C" w14:textId="2E567D36" w:rsidR="00007400" w:rsidRPr="000A4A0F" w:rsidRDefault="00B3692E" w:rsidP="006612D9">
      <w:pPr>
        <w:pStyle w:val="Default"/>
        <w:spacing w:line="360" w:lineRule="auto"/>
        <w:jc w:val="both"/>
        <w:rPr>
          <w:rFonts w:ascii="Times New Roman" w:hAnsi="Times New Roman" w:cs="Times New Roman"/>
        </w:rPr>
      </w:pPr>
      <w:r w:rsidRPr="000A4A0F">
        <w:rPr>
          <w:rFonts w:ascii="Times New Roman" w:hAnsi="Times New Roman" w:cs="Times New Roman"/>
        </w:rPr>
        <w:lastRenderedPageBreak/>
        <w:t>Ces atteintes correspondent à des pertes neuronales et une gliose des noyaux gris centraux, des noyaux sous-thalamiques, des noyaux oculomoteurs et cochléaires en priorité, le cervelet et l’hippocampe po</w:t>
      </w:r>
      <w:r w:rsidR="002B7F98" w:rsidRPr="000A4A0F">
        <w:rPr>
          <w:rFonts w:ascii="Times New Roman" w:hAnsi="Times New Roman" w:cs="Times New Roman"/>
        </w:rPr>
        <w:t>u</w:t>
      </w:r>
      <w:r w:rsidR="000158C1" w:rsidRPr="000A4A0F">
        <w:rPr>
          <w:rFonts w:ascii="Times New Roman" w:hAnsi="Times New Roman" w:cs="Times New Roman"/>
        </w:rPr>
        <w:t>vant également être touchés</w:t>
      </w:r>
      <w:r w:rsidRPr="000A4A0F">
        <w:rPr>
          <w:rFonts w:ascii="Times New Roman" w:hAnsi="Times New Roman" w:cs="Times New Roman"/>
        </w:rPr>
        <w:t>.</w:t>
      </w:r>
      <w:r w:rsidR="000158C1" w:rsidRPr="000A4A0F">
        <w:rPr>
          <w:rFonts w:ascii="Times New Roman" w:hAnsi="Times New Roman" w:cs="Times New Roman"/>
        </w:rPr>
        <w:fldChar w:fldCharType="begin" w:fldLock="1"/>
      </w:r>
      <w:r w:rsidR="004F4A84">
        <w:rPr>
          <w:rFonts w:ascii="Times New Roman" w:hAnsi="Times New Roman" w:cs="Times New Roman"/>
        </w:rPr>
        <w:instrText>ADDIN CSL_CITATION {"citationItems":[{"id":"ITEM-1","itemData":{"author":[{"dropping-particle":"","family":"Senterre T., Minon J.M.","given":"and Rigo J","non-dropping-particle":"","parse-names":false,"suffix":""}],"container-title":"Archives de Pédiatrie,","id":"ITEM-1","issue":"3","issued":{"date-parts":[["2009"]]},"page":"279-282","title":"L'allo-immunisation foeto-maternelle ABO peut être sévère.","type":"article-journal","volume":"18"},"uris":["http://www.mendeley.com/documents/?uuid=aa61ac2b-9c40-4b33-8ce2-cd020e8f1d02","http://www.mendeley.com/documents/?uuid=24dfa37e-37c1-4867-8c5f-17e59852caa0"]}],"mendeley":{"formattedCitation":"(23)","plainTextFormattedCitation":"(23)","previouslyFormattedCitation":"(24)"},"properties":{"noteIndex":0},"schema":"https://github.com/citation-style-language/schema/raw/master/csl-citation.json"}</w:instrText>
      </w:r>
      <w:r w:rsidR="000158C1" w:rsidRPr="000A4A0F">
        <w:rPr>
          <w:rFonts w:ascii="Times New Roman" w:hAnsi="Times New Roman" w:cs="Times New Roman"/>
        </w:rPr>
        <w:fldChar w:fldCharType="separate"/>
      </w:r>
      <w:r w:rsidR="004F4A84" w:rsidRPr="004F4A84">
        <w:rPr>
          <w:rFonts w:ascii="Times New Roman" w:hAnsi="Times New Roman" w:cs="Times New Roman"/>
          <w:noProof/>
        </w:rPr>
        <w:t>(23)</w:t>
      </w:r>
      <w:r w:rsidR="000158C1" w:rsidRPr="000A4A0F">
        <w:rPr>
          <w:rFonts w:ascii="Times New Roman" w:hAnsi="Times New Roman" w:cs="Times New Roman"/>
        </w:rPr>
        <w:fldChar w:fldCharType="end"/>
      </w:r>
      <w:r w:rsidRPr="000A4A0F">
        <w:rPr>
          <w:rFonts w:ascii="Times New Roman" w:hAnsi="Times New Roman" w:cs="Times New Roman"/>
        </w:rPr>
        <w:t xml:space="preserve"> Ces atteintes sont généralement associées à l’absence totale ou partielle de potentiels évoqués auditifs et à un signal hyper intense des noyaux gris centraux sur l’imagerie </w:t>
      </w:r>
      <w:r w:rsidR="00441237" w:rsidRPr="000A4A0F">
        <w:rPr>
          <w:rFonts w:ascii="Times New Roman" w:hAnsi="Times New Roman" w:cs="Times New Roman"/>
        </w:rPr>
        <w:t>par résonnance ma</w:t>
      </w:r>
      <w:r w:rsidR="000158C1" w:rsidRPr="000A4A0F">
        <w:rPr>
          <w:rFonts w:ascii="Times New Roman" w:hAnsi="Times New Roman" w:cs="Times New Roman"/>
        </w:rPr>
        <w:t>gnétique</w:t>
      </w:r>
      <w:r w:rsidR="009D7251" w:rsidRPr="000A4A0F">
        <w:rPr>
          <w:rFonts w:ascii="Times New Roman" w:hAnsi="Times New Roman" w:cs="Times New Roman"/>
        </w:rPr>
        <w:t>.</w:t>
      </w:r>
      <w:r w:rsidR="000158C1" w:rsidRPr="000A4A0F">
        <w:rPr>
          <w:rFonts w:ascii="Times New Roman" w:hAnsi="Times New Roman" w:cs="Times New Roman"/>
        </w:rPr>
        <w:fldChar w:fldCharType="begin" w:fldLock="1"/>
      </w:r>
      <w:r w:rsidR="004F4A84">
        <w:rPr>
          <w:rFonts w:ascii="Times New Roman" w:hAnsi="Times New Roman" w:cs="Times New Roman"/>
        </w:rPr>
        <w:instrText>ADDIN CSL_CITATION {"citationItems":[{"id":"ITEM-1","itemData":{"author":[{"dropping-particle":"","family":"Senterre T., Minon J.M.","given":"and Rigo J","non-dropping-particle":"","parse-names":false,"suffix":""}],"container-title":"Archives de Pédiatrie,","id":"ITEM-1","issue":"3","issued":{"date-parts":[["2009"]]},"page":"279-282","title":"L'allo-immunisation foeto-maternelle ABO peut être sévère.","type":"article-journal","volume":"18"},"uris":["http://www.mendeley.com/documents/?uuid=aa61ac2b-9c40-4b33-8ce2-cd020e8f1d02","http://www.mendeley.com/documents/?uuid=24dfa37e-37c1-4867-8c5f-17e59852caa0"]}],"mendeley":{"formattedCitation":"(23)","plainTextFormattedCitation":"(23)","previouslyFormattedCitation":"(24)"},"properties":{"noteIndex":0},"schema":"https://github.com/citation-style-language/schema/raw/master/csl-citation.json"}</w:instrText>
      </w:r>
      <w:r w:rsidR="000158C1" w:rsidRPr="000A4A0F">
        <w:rPr>
          <w:rFonts w:ascii="Times New Roman" w:hAnsi="Times New Roman" w:cs="Times New Roman"/>
        </w:rPr>
        <w:fldChar w:fldCharType="separate"/>
      </w:r>
      <w:r w:rsidR="004F4A84" w:rsidRPr="004F4A84">
        <w:rPr>
          <w:rFonts w:ascii="Times New Roman" w:hAnsi="Times New Roman" w:cs="Times New Roman"/>
          <w:noProof/>
        </w:rPr>
        <w:t>(23)</w:t>
      </w:r>
      <w:r w:rsidR="000158C1" w:rsidRPr="000A4A0F">
        <w:rPr>
          <w:rFonts w:ascii="Times New Roman" w:hAnsi="Times New Roman" w:cs="Times New Roman"/>
        </w:rPr>
        <w:fldChar w:fldCharType="end"/>
      </w:r>
      <w:r w:rsidRPr="000A4A0F">
        <w:rPr>
          <w:rFonts w:ascii="Times New Roman" w:hAnsi="Times New Roman" w:cs="Times New Roman"/>
        </w:rPr>
        <w:t>Certains enfants présentent un retard mental modéré et des troubles des fonctions cognitives, mais la plupart ont un quotient intell</w:t>
      </w:r>
      <w:r w:rsidR="00007400" w:rsidRPr="000A4A0F">
        <w:rPr>
          <w:rFonts w:ascii="Times New Roman" w:hAnsi="Times New Roman" w:cs="Times New Roman"/>
        </w:rPr>
        <w:t xml:space="preserve">ectuel </w:t>
      </w:r>
      <w:r w:rsidR="000626C0" w:rsidRPr="000A4A0F">
        <w:rPr>
          <w:rFonts w:ascii="Times New Roman" w:hAnsi="Times New Roman" w:cs="Times New Roman"/>
        </w:rPr>
        <w:t>normal. Cependant</w:t>
      </w:r>
      <w:r w:rsidRPr="000A4A0F">
        <w:rPr>
          <w:rFonts w:ascii="Times New Roman" w:hAnsi="Times New Roman" w:cs="Times New Roman"/>
        </w:rPr>
        <w:t xml:space="preserve">, leurs aptitudes ne sont pas visibles en raison des troubles de coordinations majeurs (syndrome </w:t>
      </w:r>
      <w:proofErr w:type="spellStart"/>
      <w:r w:rsidRPr="000A4A0F">
        <w:rPr>
          <w:rFonts w:ascii="Times New Roman" w:hAnsi="Times New Roman" w:cs="Times New Roman"/>
        </w:rPr>
        <w:t>choréo</w:t>
      </w:r>
      <w:proofErr w:type="spellEnd"/>
      <w:r w:rsidRPr="000A4A0F">
        <w:rPr>
          <w:rFonts w:ascii="Times New Roman" w:hAnsi="Times New Roman" w:cs="Times New Roman"/>
        </w:rPr>
        <w:t xml:space="preserve">-athétosique, ataxie cérébelleuse) empêchant l’écriture, la communication verbale correcte et même l’utilisation d’un ordinateur. </w:t>
      </w:r>
    </w:p>
    <w:p w14:paraId="49B4CC06" w14:textId="6F49FCC0" w:rsidR="00B3692E" w:rsidRPr="000A4A0F" w:rsidRDefault="00B3692E" w:rsidP="006612D9">
      <w:pPr>
        <w:pStyle w:val="Default"/>
        <w:spacing w:line="360" w:lineRule="auto"/>
        <w:jc w:val="both"/>
        <w:rPr>
          <w:rFonts w:ascii="Times New Roman" w:hAnsi="Times New Roman" w:cs="Times New Roman"/>
        </w:rPr>
      </w:pPr>
      <w:r w:rsidRPr="000A4A0F">
        <w:rPr>
          <w:rFonts w:ascii="Times New Roman" w:hAnsi="Times New Roman" w:cs="Times New Roman"/>
        </w:rPr>
        <w:t>Les atteintes visuelles et auditives exacerbent cette situation. Une partie des enfants atteints présente des troubles moins marqués avec parfois seul</w:t>
      </w:r>
      <w:r w:rsidR="000158C1" w:rsidRPr="000A4A0F">
        <w:rPr>
          <w:rFonts w:ascii="Times New Roman" w:hAnsi="Times New Roman" w:cs="Times New Roman"/>
        </w:rPr>
        <w:t>ement une atteinte auditive</w:t>
      </w:r>
      <w:r w:rsidRPr="000A4A0F">
        <w:rPr>
          <w:rFonts w:ascii="Times New Roman" w:hAnsi="Times New Roman" w:cs="Times New Roman"/>
        </w:rPr>
        <w:t>.</w:t>
      </w:r>
      <w:r w:rsidR="009172E0" w:rsidRPr="000A4A0F">
        <w:rPr>
          <w:rFonts w:ascii="Times New Roman" w:hAnsi="Times New Roman" w:cs="Times New Roman"/>
        </w:rPr>
        <w:fldChar w:fldCharType="begin" w:fldLock="1"/>
      </w:r>
      <w:r w:rsidR="00EE36B6">
        <w:rPr>
          <w:rFonts w:ascii="Times New Roman" w:hAnsi="Times New Roman" w:cs="Times New Roman"/>
        </w:rPr>
        <w:instrText>ADDIN CSL_CITATION {"citationItems":[{"id":"ITEM-1","itemData":{"DOI":"10.1038/pr.2013.208","author":[{"dropping-particle":"","family":"Mori","given":"Rintaro","non-dropping-particle":"","parse-names":false,"suffix":""},{"dropping-particle":"","family":"Slusher","given":"Tina M","non-dropping-particle":"","parse-names":false,"suffix":""},{"dropping-particle":"","family":"Fahmy","given":"Nahed","non-dropping-particle":"","parse-names":false,"suffix":""},{"dropping-particle":"","family":"Paul","given":"Vinod K","non-dropping-particle":"","parse-names":false,"suffix":""},{"dropping-particle":"","family":"Du","given":"Lizhong","non-dropping-particle":"","parse-names":false,"suffix":""},{"dropping-particle":"","family":"Okolo","given":"Angela A","non-dropping-particle":"","parse-names":false,"suffix":""},{"dropping-particle":"De","family":"Almeida","given":"Maria-fernanda","non-dropping-particle":"","parse-names":false,"suffix":""}],"id":"ITEM-1","issue":"December","issued":{"date-parts":[["2013"]]},"title":"newborn : incidence and impairment estimates for 2010 at regional and global levels","type":"article-journal","volume":"74"},"uris":["http://www.mendeley.com/documents/?uuid=babb6450-bc83-4ec0-97f2-7a0c2dcbeffa","http://www.mendeley.com/documents/?uuid=d69a48d6-6dbe-4407-bc40-e7e025d32464"]}],"mendeley":{"formattedCitation":"(2)","plainTextFormattedCitation":"(2)","previouslyFormattedCitation":"(2)"},"properties":{"noteIndex":0},"schema":"https://github.com/citation-style-language/schema/raw/master/csl-citation.json"}</w:instrText>
      </w:r>
      <w:r w:rsidR="009172E0" w:rsidRPr="000A4A0F">
        <w:rPr>
          <w:rFonts w:ascii="Times New Roman" w:hAnsi="Times New Roman" w:cs="Times New Roman"/>
        </w:rPr>
        <w:fldChar w:fldCharType="separate"/>
      </w:r>
      <w:r w:rsidR="009172E0" w:rsidRPr="000A4A0F">
        <w:rPr>
          <w:rFonts w:ascii="Times New Roman" w:hAnsi="Times New Roman" w:cs="Times New Roman"/>
          <w:noProof/>
        </w:rPr>
        <w:t>(2)</w:t>
      </w:r>
      <w:r w:rsidR="009172E0" w:rsidRPr="000A4A0F">
        <w:rPr>
          <w:rFonts w:ascii="Times New Roman" w:hAnsi="Times New Roman" w:cs="Times New Roman"/>
        </w:rPr>
        <w:fldChar w:fldCharType="end"/>
      </w:r>
      <w:r w:rsidR="009172E0" w:rsidRPr="000A4A0F">
        <w:rPr>
          <w:rFonts w:ascii="Times New Roman" w:hAnsi="Times New Roman" w:cs="Times New Roman"/>
        </w:rPr>
        <w:t xml:space="preserve"> </w:t>
      </w:r>
    </w:p>
    <w:p w14:paraId="3803E8E8" w14:textId="550F7BB7" w:rsidR="000A072E" w:rsidRPr="000A4A0F" w:rsidRDefault="00AA2197" w:rsidP="006612D9">
      <w:pPr>
        <w:pStyle w:val="Titre2"/>
        <w:spacing w:before="0" w:after="200" w:line="360" w:lineRule="auto"/>
        <w:jc w:val="both"/>
        <w:rPr>
          <w:rFonts w:ascii="Times New Roman" w:hAnsi="Times New Roman" w:cs="Times New Roman"/>
          <w:b/>
          <w:sz w:val="24"/>
          <w:szCs w:val="24"/>
        </w:rPr>
      </w:pPr>
      <w:bookmarkStart w:id="22" w:name="_Toc87049048"/>
      <w:r w:rsidRPr="000A4A0F">
        <w:rPr>
          <w:rFonts w:ascii="Times New Roman" w:hAnsi="Times New Roman" w:cs="Times New Roman"/>
          <w:b/>
          <w:sz w:val="24"/>
          <w:szCs w:val="24"/>
        </w:rPr>
        <w:t>I.</w:t>
      </w:r>
      <w:r w:rsidR="000944D7" w:rsidRPr="000A4A0F">
        <w:rPr>
          <w:rFonts w:ascii="Times New Roman" w:hAnsi="Times New Roman" w:cs="Times New Roman"/>
          <w:b/>
          <w:sz w:val="24"/>
          <w:szCs w:val="24"/>
        </w:rPr>
        <w:t>3</w:t>
      </w:r>
      <w:r w:rsidR="008D2CF2" w:rsidRPr="000A4A0F">
        <w:rPr>
          <w:rFonts w:ascii="Times New Roman" w:hAnsi="Times New Roman" w:cs="Times New Roman"/>
          <w:b/>
          <w:sz w:val="24"/>
          <w:szCs w:val="24"/>
        </w:rPr>
        <w:t>. DIAGNOSTIC PARACLINIQUE</w:t>
      </w:r>
      <w:bookmarkEnd w:id="22"/>
      <w:r w:rsidR="008D2CF2" w:rsidRPr="000A4A0F">
        <w:rPr>
          <w:rFonts w:ascii="Times New Roman" w:hAnsi="Times New Roman" w:cs="Times New Roman"/>
          <w:b/>
          <w:sz w:val="24"/>
          <w:szCs w:val="24"/>
        </w:rPr>
        <w:t xml:space="preserve"> </w:t>
      </w:r>
    </w:p>
    <w:p w14:paraId="090AE73F" w14:textId="687D3217" w:rsidR="00007400" w:rsidRPr="000A4A0F" w:rsidRDefault="00FE1C6D" w:rsidP="006612D9">
      <w:pPr>
        <w:spacing w:after="200"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I.</w:t>
      </w:r>
      <w:r w:rsidR="00AA2197" w:rsidRPr="000A4A0F">
        <w:rPr>
          <w:rFonts w:ascii="Times New Roman" w:hAnsi="Times New Roman" w:cs="Times New Roman"/>
          <w:b/>
          <w:sz w:val="24"/>
          <w:szCs w:val="24"/>
        </w:rPr>
        <w:t>2</w:t>
      </w:r>
      <w:r w:rsidR="008D2CF2" w:rsidRPr="000A4A0F">
        <w:rPr>
          <w:rFonts w:ascii="Times New Roman" w:hAnsi="Times New Roman" w:cs="Times New Roman"/>
          <w:b/>
          <w:sz w:val="24"/>
          <w:szCs w:val="24"/>
        </w:rPr>
        <w:t xml:space="preserve">.1. </w:t>
      </w:r>
      <w:r w:rsidR="000A072E" w:rsidRPr="000A4A0F">
        <w:rPr>
          <w:rFonts w:ascii="Times New Roman" w:hAnsi="Times New Roman" w:cs="Times New Roman"/>
          <w:b/>
          <w:sz w:val="24"/>
          <w:szCs w:val="24"/>
        </w:rPr>
        <w:t xml:space="preserve">Dosage sanguin de la bilirubine : </w:t>
      </w:r>
    </w:p>
    <w:p w14:paraId="025622FF" w14:textId="77777777" w:rsidR="000A072E" w:rsidRPr="000A4A0F" w:rsidRDefault="000A072E" w:rsidP="006612D9">
      <w:pPr>
        <w:pStyle w:val="Default"/>
        <w:spacing w:line="360" w:lineRule="auto"/>
        <w:jc w:val="both"/>
        <w:rPr>
          <w:rFonts w:ascii="Times New Roman" w:hAnsi="Times New Roman" w:cs="Times New Roman"/>
        </w:rPr>
      </w:pPr>
      <w:r w:rsidRPr="000A4A0F">
        <w:rPr>
          <w:rFonts w:ascii="Times New Roman" w:hAnsi="Times New Roman" w:cs="Times New Roman"/>
        </w:rPr>
        <w:t>Une fois le dépistage réalisé, un control sanguin de la bilirubinémie est nécessaire, le dosage de la bilir</w:t>
      </w:r>
      <w:r w:rsidR="000626C0" w:rsidRPr="000A4A0F">
        <w:rPr>
          <w:rFonts w:ascii="Times New Roman" w:hAnsi="Times New Roman" w:cs="Times New Roman"/>
        </w:rPr>
        <w:t>ubine totale reste l’examen clé</w:t>
      </w:r>
      <w:r w:rsidRPr="000A4A0F">
        <w:rPr>
          <w:rFonts w:ascii="Times New Roman" w:hAnsi="Times New Roman" w:cs="Times New Roman"/>
        </w:rPr>
        <w:t xml:space="preserve"> pour le diagnostic de l’ictère </w:t>
      </w:r>
      <w:r w:rsidR="00D90DAD" w:rsidRPr="000A4A0F">
        <w:rPr>
          <w:rFonts w:ascii="Times New Roman" w:hAnsi="Times New Roman" w:cs="Times New Roman"/>
        </w:rPr>
        <w:t xml:space="preserve">néonatal. </w:t>
      </w:r>
    </w:p>
    <w:p w14:paraId="3D895293" w14:textId="77777777" w:rsidR="000A072E" w:rsidRPr="000A4A0F" w:rsidRDefault="000626C0" w:rsidP="006612D9">
      <w:pPr>
        <w:pStyle w:val="Default"/>
        <w:spacing w:after="200" w:line="360" w:lineRule="auto"/>
        <w:jc w:val="both"/>
        <w:rPr>
          <w:rFonts w:ascii="Times New Roman" w:hAnsi="Times New Roman" w:cs="Times New Roman"/>
          <w:b/>
          <w:i/>
        </w:rPr>
      </w:pPr>
      <w:r w:rsidRPr="000A4A0F">
        <w:rPr>
          <w:rFonts w:ascii="Times New Roman" w:hAnsi="Times New Roman" w:cs="Times New Roman"/>
          <w:b/>
          <w:i/>
        </w:rPr>
        <w:t>a. Dosage</w:t>
      </w:r>
      <w:r w:rsidR="000A072E" w:rsidRPr="000A4A0F">
        <w:rPr>
          <w:rFonts w:ascii="Times New Roman" w:hAnsi="Times New Roman" w:cs="Times New Roman"/>
          <w:b/>
          <w:i/>
        </w:rPr>
        <w:t xml:space="preserve"> de la bilirubine totale plasmatique : </w:t>
      </w:r>
    </w:p>
    <w:p w14:paraId="5831A540" w14:textId="77777777" w:rsidR="003655DE" w:rsidRPr="000A4A0F" w:rsidRDefault="000A072E"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En cas d’ictère, un dosage sérique de la bilirubine totale et conjuguée</w:t>
      </w:r>
      <w:r w:rsidR="00007400" w:rsidRPr="000A4A0F">
        <w:rPr>
          <w:rFonts w:ascii="Times New Roman" w:hAnsi="Times New Roman" w:cs="Times New Roman"/>
          <w:sz w:val="24"/>
          <w:szCs w:val="24"/>
        </w:rPr>
        <w:t xml:space="preserve"> est </w:t>
      </w:r>
      <w:r w:rsidRPr="000A4A0F">
        <w:rPr>
          <w:rFonts w:ascii="Times New Roman" w:hAnsi="Times New Roman" w:cs="Times New Roman"/>
          <w:sz w:val="24"/>
          <w:szCs w:val="24"/>
        </w:rPr>
        <w:t xml:space="preserve"> nécessaire avant d’initier tout traitement. Le principe du dosage par diazotation reste la méthode de référence en néonatologie. La valeur de la bilirubine non conjuguée (indirecte) est calculée par soustraction de la bilirubine directe à la bilirubine totale. Ce taux de bilirubine totale est normalement inférieur à 20 </w:t>
      </w:r>
      <w:proofErr w:type="spellStart"/>
      <w:r w:rsidRPr="000A4A0F">
        <w:rPr>
          <w:rFonts w:ascii="Times New Roman" w:hAnsi="Times New Roman" w:cs="Times New Roman"/>
          <w:sz w:val="24"/>
          <w:szCs w:val="24"/>
        </w:rPr>
        <w:t>μmol</w:t>
      </w:r>
      <w:proofErr w:type="spellEnd"/>
      <w:r w:rsidRPr="000A4A0F">
        <w:rPr>
          <w:rFonts w:ascii="Times New Roman" w:hAnsi="Times New Roman" w:cs="Times New Roman"/>
          <w:sz w:val="24"/>
          <w:szCs w:val="24"/>
        </w:rPr>
        <w:t>/l avec une bilirubine</w:t>
      </w:r>
      <w:r w:rsidR="003655DE" w:rsidRPr="000A4A0F">
        <w:rPr>
          <w:rFonts w:ascii="Times New Roman" w:hAnsi="Times New Roman" w:cs="Times New Roman"/>
          <w:sz w:val="24"/>
          <w:szCs w:val="24"/>
        </w:rPr>
        <w:t xml:space="preserve"> directe inférieure à 5 </w:t>
      </w:r>
      <w:proofErr w:type="spellStart"/>
      <w:r w:rsidR="003655DE" w:rsidRPr="000A4A0F">
        <w:rPr>
          <w:rFonts w:ascii="Times New Roman" w:hAnsi="Times New Roman" w:cs="Times New Roman"/>
          <w:sz w:val="24"/>
          <w:szCs w:val="24"/>
        </w:rPr>
        <w:t>μmol</w:t>
      </w:r>
      <w:proofErr w:type="spellEnd"/>
      <w:r w:rsidR="003655DE" w:rsidRPr="000A4A0F">
        <w:rPr>
          <w:rFonts w:ascii="Times New Roman" w:hAnsi="Times New Roman" w:cs="Times New Roman"/>
          <w:sz w:val="24"/>
          <w:szCs w:val="24"/>
        </w:rPr>
        <w:t>/l.</w:t>
      </w:r>
    </w:p>
    <w:p w14:paraId="039D5C8C" w14:textId="62E2EA95" w:rsidR="000A072E" w:rsidRPr="000A4A0F" w:rsidRDefault="000A072E"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Les taux de bilirubine sont exprimés en </w:t>
      </w:r>
      <w:proofErr w:type="spellStart"/>
      <w:r w:rsidRPr="000A4A0F">
        <w:rPr>
          <w:rFonts w:ascii="Times New Roman" w:hAnsi="Times New Roman" w:cs="Times New Roman"/>
          <w:sz w:val="24"/>
          <w:szCs w:val="24"/>
        </w:rPr>
        <w:t>μmol</w:t>
      </w:r>
      <w:proofErr w:type="spellEnd"/>
      <w:r w:rsidRPr="000A4A0F">
        <w:rPr>
          <w:rFonts w:ascii="Times New Roman" w:hAnsi="Times New Roman" w:cs="Times New Roman"/>
          <w:sz w:val="24"/>
          <w:szCs w:val="24"/>
        </w:rPr>
        <w:t>/l ou en mg/dl. La meilleure méthode disponible pour prédire l’hyper-bilirubinémie grave semble être le recours à une mesure de la BST, analysée en tenant compte de l’âge gestationnel du nourrisson. Les nourrissons de moins de 38 semaines d’âge gestationnel dont la concentration de BST dépasse le 75e percentile présentent un risque d’hyper-bilirubi</w:t>
      </w:r>
      <w:r w:rsidR="009172E0" w:rsidRPr="000A4A0F">
        <w:rPr>
          <w:rFonts w:ascii="Times New Roman" w:hAnsi="Times New Roman" w:cs="Times New Roman"/>
          <w:sz w:val="24"/>
          <w:szCs w:val="24"/>
        </w:rPr>
        <w:t>némie grave de plus de 10 %</w:t>
      </w:r>
      <w:r w:rsidRPr="000A4A0F">
        <w:rPr>
          <w:rFonts w:ascii="Times New Roman" w:hAnsi="Times New Roman" w:cs="Times New Roman"/>
          <w:sz w:val="24"/>
          <w:szCs w:val="24"/>
        </w:rPr>
        <w:t>.</w:t>
      </w:r>
      <w:r w:rsidR="009172E0"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{"citationItems":[{"id":"ITEM-1","itemData":{"author":[{"dropping-particle":"","family":"C.","given":"Kaplan M. and Hammerman","non-dropping-particle":"","parse-names":false,"suffix":""}],"container-title":"clin perinatol","id":"ITEM-1","issue":"3","issued":{"date-parts":[["2004"]]},"page":"555-75","title":"Understanding and preventing severe neonatal hyperbilirubinemia: is bilirubin neurotoxity really a concern in the developed world?","type":"article-journal","volume":"31"},"uris":["http://www.mendeley.com/documents/?uuid=d459be26-dc98-4e6f-9997-e75c718406f5","http://www.mendeley.com/documents/?uuid=a14c7a00-5ef6-41b9-be60-7fa9fc366aa5"]}],"mendeley":{"formattedCitation":"(24)","plainTextFormattedCitation":"(24)","previouslyFormattedCitation":"(25)"},"properties":{"noteIndex":0},"schema":"https://github.com/citation-style-language/schema/raw/master/csl-citation.json"}</w:instrText>
      </w:r>
      <w:r w:rsidR="009172E0"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(24)</w:t>
      </w:r>
      <w:r w:rsidR="009172E0"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De même, les nourrissons de 39 à 40 semaines d’âge gestationnel dont la concentration de BST dépasse le 95e percentile présentent un risque de plus de 10</w:t>
      </w:r>
      <w:r w:rsidR="009172E0" w:rsidRPr="000A4A0F">
        <w:rPr>
          <w:rFonts w:ascii="Times New Roman" w:hAnsi="Times New Roman" w:cs="Times New Roman"/>
          <w:sz w:val="24"/>
          <w:szCs w:val="24"/>
        </w:rPr>
        <w:t>.</w:t>
      </w:r>
    </w:p>
    <w:p w14:paraId="3286BA13" w14:textId="77777777" w:rsidR="009172E0" w:rsidRPr="000A4A0F" w:rsidRDefault="009172E0" w:rsidP="006612D9">
      <w:pPr>
        <w:shd w:val="clear" w:color="auto" w:fill="FFFFFF"/>
        <w:spacing w:after="0" w:line="360" w:lineRule="auto"/>
        <w:jc w:val="both"/>
        <w:textAlignment w:val="baseline"/>
        <w:rPr>
          <w:rFonts w:ascii="Times New Roman" w:hAnsi="Times New Roman" w:cs="Times New Roman"/>
          <w:sz w:val="24"/>
          <w:szCs w:val="24"/>
        </w:rPr>
      </w:pPr>
    </w:p>
    <w:p w14:paraId="46F42799" w14:textId="13E9F662" w:rsidR="000A072E" w:rsidRPr="000A4A0F" w:rsidRDefault="00FE1C6D" w:rsidP="006612D9">
      <w:pPr>
        <w:pStyle w:val="Titre2"/>
        <w:spacing w:before="0" w:line="360" w:lineRule="auto"/>
        <w:jc w:val="both"/>
        <w:rPr>
          <w:rFonts w:ascii="Times New Roman" w:hAnsi="Times New Roman" w:cs="Times New Roman"/>
          <w:b/>
          <w:sz w:val="24"/>
          <w:szCs w:val="24"/>
        </w:rPr>
      </w:pPr>
      <w:bookmarkStart w:id="23" w:name="_Toc87049049"/>
      <w:r w:rsidRPr="000A4A0F">
        <w:rPr>
          <w:rFonts w:ascii="Times New Roman" w:hAnsi="Times New Roman" w:cs="Times New Roman"/>
          <w:b/>
          <w:sz w:val="24"/>
          <w:szCs w:val="24"/>
        </w:rPr>
        <w:t>I.4</w:t>
      </w:r>
      <w:r w:rsidR="008D2CF2" w:rsidRPr="000A4A0F">
        <w:rPr>
          <w:rFonts w:ascii="Times New Roman" w:hAnsi="Times New Roman" w:cs="Times New Roman"/>
          <w:b/>
          <w:sz w:val="24"/>
          <w:szCs w:val="24"/>
        </w:rPr>
        <w:t>. ETIOLOGIES</w:t>
      </w:r>
      <w:bookmarkEnd w:id="23"/>
    </w:p>
    <w:p w14:paraId="1F9FF007" w14:textId="2B939B1D" w:rsidR="000A072E" w:rsidRPr="000A4A0F" w:rsidRDefault="000A072E" w:rsidP="006612D9">
      <w:pPr>
        <w:pStyle w:val="Default"/>
        <w:spacing w:line="360" w:lineRule="auto"/>
        <w:jc w:val="both"/>
        <w:rPr>
          <w:rFonts w:ascii="Times New Roman" w:hAnsi="Times New Roman" w:cs="Times New Roman"/>
        </w:rPr>
      </w:pPr>
      <w:r w:rsidRPr="000A4A0F">
        <w:rPr>
          <w:rFonts w:ascii="Times New Roman" w:hAnsi="Times New Roman" w:cs="Times New Roman"/>
        </w:rPr>
        <w:t>Les ictères pathologiques sont évoqués devant le</w:t>
      </w:r>
      <w:r w:rsidR="00937539" w:rsidRPr="000A4A0F">
        <w:rPr>
          <w:rFonts w:ascii="Times New Roman" w:hAnsi="Times New Roman" w:cs="Times New Roman"/>
        </w:rPr>
        <w:t xml:space="preserve">s signes cliniques suivants </w:t>
      </w:r>
      <w:r w:rsidR="007C0BA7" w:rsidRPr="000A4A0F">
        <w:rPr>
          <w:rFonts w:ascii="Times New Roman" w:hAnsi="Times New Roman" w:cs="Times New Roman"/>
        </w:rPr>
        <w:fldChar w:fldCharType="begin" w:fldLock="1"/>
      </w:r>
      <w:r w:rsidR="004F4A84">
        <w:rPr>
          <w:rFonts w:ascii="Times New Roman" w:hAnsi="Times New Roman" w:cs="Times New Roman"/>
        </w:rPr>
        <w:instrText>ADDIN CSL_CITATION {"citationItems":[{"id":"ITEM-1","itemData":{"author":[{"dropping-particle":"","family":"A. Corteya, M. Elzaabib, T. Waegemansb, B. Rochb","given":"Y. Aujardc","non-dropping-particle":"","parse-names":false,"suffix":""}],"container-title":"Meta-analyse Archives de Pediatrie","id":"ITEM-1","issued":{"date-parts":[["2014"]]},"page":"976-983","title":"Efficacite et tolerance des immunoglobulines polyvalentes dans l’hyperbilirubinemie neonatale par incompatibilite´ ABO.","type":"article-journal","volume":"21"},"uris":["http://www.mendeley.com/documents/?uuid=1d488d36-eb10-486c-b56d-13acc247df03","http://www.mendeley.com/documents/?uuid=5b157598-c0de-4e1d-8800-0ba9640fa968"]}],"mendeley":{"formattedCitation":"(25)","plainTextFormattedCitation":"(25)","previouslyFormattedCitation":"(26)"},"properties":{"noteIndex":0},"schema":"https://github.com/citation-style-language/schema/raw/master/csl-citation.json"}</w:instrText>
      </w:r>
      <w:r w:rsidR="007C0BA7" w:rsidRPr="000A4A0F">
        <w:rPr>
          <w:rFonts w:ascii="Times New Roman" w:hAnsi="Times New Roman" w:cs="Times New Roman"/>
        </w:rPr>
        <w:fldChar w:fldCharType="separate"/>
      </w:r>
      <w:r w:rsidR="004F4A84" w:rsidRPr="004F4A84">
        <w:rPr>
          <w:rFonts w:ascii="Times New Roman" w:hAnsi="Times New Roman" w:cs="Times New Roman"/>
          <w:noProof/>
        </w:rPr>
        <w:t>(25)</w:t>
      </w:r>
      <w:r w:rsidR="007C0BA7" w:rsidRPr="000A4A0F">
        <w:rPr>
          <w:rFonts w:ascii="Times New Roman" w:hAnsi="Times New Roman" w:cs="Times New Roman"/>
        </w:rPr>
        <w:fldChar w:fldCharType="end"/>
      </w:r>
      <w:r w:rsidRPr="000A4A0F">
        <w:rPr>
          <w:rFonts w:ascii="Times New Roman" w:hAnsi="Times New Roman" w:cs="Times New Roman"/>
        </w:rPr>
        <w:t xml:space="preserve">: </w:t>
      </w:r>
    </w:p>
    <w:p w14:paraId="55C7EF0B" w14:textId="77777777" w:rsidR="00007400" w:rsidRPr="000A4A0F" w:rsidRDefault="000A072E" w:rsidP="006612D9">
      <w:pPr>
        <w:pStyle w:val="Paragraphedeliste"/>
        <w:numPr>
          <w:ilvl w:val="0"/>
          <w:numId w:val="4"/>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Ictère précoc</w:t>
      </w:r>
      <w:r w:rsidR="00007400" w:rsidRPr="000A4A0F">
        <w:rPr>
          <w:rFonts w:ascii="Times New Roman" w:hAnsi="Times New Roman" w:cs="Times New Roman"/>
          <w:sz w:val="24"/>
          <w:szCs w:val="24"/>
        </w:rPr>
        <w:t>e avant la 24ème heure de vie.</w:t>
      </w:r>
    </w:p>
    <w:p w14:paraId="722A632B" w14:textId="77777777" w:rsidR="00007400" w:rsidRPr="000A4A0F" w:rsidRDefault="000A072E" w:rsidP="006612D9">
      <w:pPr>
        <w:pStyle w:val="Paragraphedeliste"/>
        <w:numPr>
          <w:ilvl w:val="0"/>
          <w:numId w:val="4"/>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 Ictè</w:t>
      </w:r>
      <w:r w:rsidR="00007400" w:rsidRPr="000A4A0F">
        <w:rPr>
          <w:rFonts w:ascii="Times New Roman" w:hAnsi="Times New Roman" w:cs="Times New Roman"/>
          <w:sz w:val="24"/>
          <w:szCs w:val="24"/>
        </w:rPr>
        <w:t xml:space="preserve">re chez un nouveau-né malade. </w:t>
      </w:r>
    </w:p>
    <w:p w14:paraId="5F2B5138" w14:textId="77777777" w:rsidR="00007400" w:rsidRPr="000A4A0F" w:rsidRDefault="000A072E" w:rsidP="006612D9">
      <w:pPr>
        <w:pStyle w:val="Paragraphedeliste"/>
        <w:numPr>
          <w:ilvl w:val="0"/>
          <w:numId w:val="4"/>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lastRenderedPageBreak/>
        <w:t>L'augmentation rap</w:t>
      </w:r>
      <w:r w:rsidR="00007400" w:rsidRPr="000A4A0F">
        <w:rPr>
          <w:rFonts w:ascii="Times New Roman" w:hAnsi="Times New Roman" w:cs="Times New Roman"/>
          <w:sz w:val="24"/>
          <w:szCs w:val="24"/>
        </w:rPr>
        <w:t xml:space="preserve">ide de la bilirubine sérique. </w:t>
      </w:r>
    </w:p>
    <w:p w14:paraId="1BD7C110" w14:textId="1750C25D" w:rsidR="00007400" w:rsidRPr="000A4A0F" w:rsidRDefault="000A072E" w:rsidP="006612D9">
      <w:pPr>
        <w:pStyle w:val="Paragraphedeliste"/>
        <w:numPr>
          <w:ilvl w:val="0"/>
          <w:numId w:val="4"/>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Ictère prolongé plus de 14 jours chez les nourrissons à </w:t>
      </w:r>
      <w:r w:rsidR="007C0BA7" w:rsidRPr="000A4A0F">
        <w:rPr>
          <w:rFonts w:ascii="Times New Roman" w:hAnsi="Times New Roman" w:cs="Times New Roman"/>
          <w:sz w:val="24"/>
          <w:szCs w:val="24"/>
        </w:rPr>
        <w:t>terme ;</w:t>
      </w:r>
      <w:r w:rsidRPr="000A4A0F">
        <w:rPr>
          <w:rFonts w:ascii="Times New Roman" w:hAnsi="Times New Roman" w:cs="Times New Roman"/>
          <w:sz w:val="24"/>
          <w:szCs w:val="24"/>
        </w:rPr>
        <w:t xml:space="preserve"> plus de 21 jours che</w:t>
      </w:r>
      <w:r w:rsidR="00007400" w:rsidRPr="000A4A0F">
        <w:rPr>
          <w:rFonts w:ascii="Times New Roman" w:hAnsi="Times New Roman" w:cs="Times New Roman"/>
          <w:sz w:val="24"/>
          <w:szCs w:val="24"/>
        </w:rPr>
        <w:t>z les nourrissons prématurés.</w:t>
      </w:r>
    </w:p>
    <w:p w14:paraId="3F1655FC" w14:textId="77777777" w:rsidR="00007400" w:rsidRPr="000A4A0F" w:rsidRDefault="000A072E" w:rsidP="006612D9">
      <w:pPr>
        <w:pStyle w:val="Paragraphedeliste"/>
        <w:numPr>
          <w:ilvl w:val="0"/>
          <w:numId w:val="4"/>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bilirubine</w:t>
      </w:r>
      <w:r w:rsidR="00007400" w:rsidRPr="000A4A0F">
        <w:rPr>
          <w:rFonts w:ascii="Times New Roman" w:hAnsi="Times New Roman" w:cs="Times New Roman"/>
          <w:sz w:val="24"/>
          <w:szCs w:val="24"/>
        </w:rPr>
        <w:t xml:space="preserve"> conjuguée &gt; 25 </w:t>
      </w:r>
      <w:proofErr w:type="spellStart"/>
      <w:r w:rsidR="00007400" w:rsidRPr="000A4A0F">
        <w:rPr>
          <w:rFonts w:ascii="Times New Roman" w:hAnsi="Times New Roman" w:cs="Times New Roman"/>
          <w:sz w:val="24"/>
          <w:szCs w:val="24"/>
        </w:rPr>
        <w:t>μmol</w:t>
      </w:r>
      <w:proofErr w:type="spellEnd"/>
      <w:r w:rsidR="00007400" w:rsidRPr="000A4A0F">
        <w:rPr>
          <w:rFonts w:ascii="Times New Roman" w:hAnsi="Times New Roman" w:cs="Times New Roman"/>
          <w:sz w:val="24"/>
          <w:szCs w:val="24"/>
        </w:rPr>
        <w:t xml:space="preserve"> / litre.</w:t>
      </w:r>
    </w:p>
    <w:p w14:paraId="56ED6FD9" w14:textId="77777777" w:rsidR="000A072E" w:rsidRPr="000A4A0F" w:rsidRDefault="000A072E" w:rsidP="006612D9">
      <w:pPr>
        <w:pStyle w:val="Paragraphedeliste"/>
        <w:numPr>
          <w:ilvl w:val="0"/>
          <w:numId w:val="4"/>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Ictère associé à une hépatomégalie ou une splénomégalie, une pâleur ou des urines foncées. </w:t>
      </w:r>
    </w:p>
    <w:p w14:paraId="6DE8C6B9" w14:textId="77777777" w:rsidR="000A072E" w:rsidRPr="000A4A0F" w:rsidRDefault="000A072E"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Dans ces cas, il est relativement aisé de reconnaître un ictère à bilirubine libre avec urines et selles normalement colorées et un ictère à bilirubine conjuguée avec urines foncées et selles décolorées et souvent une hépatomégalie. </w:t>
      </w:r>
    </w:p>
    <w:p w14:paraId="161CA0D2" w14:textId="32E18D95" w:rsidR="00CA28E4" w:rsidRPr="000A4A0F" w:rsidRDefault="000A072E"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L’incompatibilité sanguine </w:t>
      </w:r>
      <w:proofErr w:type="spellStart"/>
      <w:r w:rsidRPr="000A4A0F">
        <w:rPr>
          <w:rFonts w:ascii="Times New Roman" w:hAnsi="Times New Roman" w:cs="Times New Roman"/>
          <w:sz w:val="24"/>
          <w:szCs w:val="24"/>
        </w:rPr>
        <w:t>foeto-maternelle</w:t>
      </w:r>
      <w:proofErr w:type="spellEnd"/>
      <w:r w:rsidRPr="000A4A0F">
        <w:rPr>
          <w:rFonts w:ascii="Times New Roman" w:hAnsi="Times New Roman" w:cs="Times New Roman"/>
          <w:sz w:val="24"/>
          <w:szCs w:val="24"/>
        </w:rPr>
        <w:t xml:space="preserve"> (IFM) constitue l’une des causes majeures d’ictère néonatal sévère dont la principale caractéristique est d’être un ictère à bilirubine indirecte pouvant évolu</w:t>
      </w:r>
      <w:r w:rsidR="00957AAE" w:rsidRPr="000A4A0F">
        <w:rPr>
          <w:rFonts w:ascii="Times New Roman" w:hAnsi="Times New Roman" w:cs="Times New Roman"/>
          <w:sz w:val="24"/>
          <w:szCs w:val="24"/>
        </w:rPr>
        <w:t>e</w:t>
      </w:r>
      <w:r w:rsidR="007C0BA7" w:rsidRPr="000A4A0F">
        <w:rPr>
          <w:rFonts w:ascii="Times New Roman" w:hAnsi="Times New Roman" w:cs="Times New Roman"/>
          <w:sz w:val="24"/>
          <w:szCs w:val="24"/>
        </w:rPr>
        <w:t>r vers l’ictère nucléaire</w:t>
      </w:r>
      <w:r w:rsidR="00CA28E4" w:rsidRPr="000A4A0F">
        <w:rPr>
          <w:rFonts w:ascii="Times New Roman" w:hAnsi="Times New Roman" w:cs="Times New Roman"/>
          <w:sz w:val="24"/>
          <w:szCs w:val="24"/>
        </w:rPr>
        <w:t>.</w:t>
      </w:r>
      <w:r w:rsidR="007C0BA7"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{"citationItems":[{"id":"ITEM-1","itemData":{"author":[{"dropping-particle":"","family":"Heydarian","given":"Farhad","non-dropping-particle":"","parse-names":false,"suffix":""},{"dropping-particle":"","family":"Khatami","given":"Seyedeh Fatemeh","non-dropping-particle":"","parse-names":false,"suffix":""},{"dropping-particle":"","family":"Parvaresh","given":"Pouya","non-dropping-particle":"","parse-names":false,"suffix":""},{"dropping-particle":"","family":"Rezanejad","given":"Masumeh","non-dropping-particle":"","parse-names":false,"suffix":""}],"id":"ITEM-1","issue":"2","issued":{"date-parts":[["2012"]]},"page":"45-49","title":"ABO Hemolytic Disease Leading to Hyperbilirubinemia in Term Newborns : Value of Immunohematological Tests","type":"article-journal","volume":"3"},"uris":["http://www.mendeley.com/documents/?uuid=b280d82d-112b-4e92-a760-1e6f4939c968","http://www.mendeley.com/documents/?uuid=50debc0a-d795-4544-9f7d-f5b224bfdd01"]}],"mendeley":{"formattedCitation":"(4)","plainTextFormattedCitation":"(4)","previouslyFormattedCitation":"(4)"},"properties":{"noteIndex":0},"schema":"https://github.com/citation-style-language/schema/raw/master/csl-citation.json"}</w:instrText>
      </w:r>
      <w:r w:rsidR="007C0BA7" w:rsidRPr="000A4A0F">
        <w:rPr>
          <w:rFonts w:ascii="Times New Roman" w:hAnsi="Times New Roman" w:cs="Times New Roman"/>
          <w:sz w:val="24"/>
          <w:szCs w:val="24"/>
        </w:rPr>
        <w:fldChar w:fldCharType="separate"/>
      </w:r>
      <w:r w:rsidR="007C0BA7" w:rsidRPr="000A4A0F">
        <w:rPr>
          <w:rFonts w:ascii="Times New Roman" w:hAnsi="Times New Roman" w:cs="Times New Roman"/>
          <w:noProof/>
          <w:sz w:val="24"/>
          <w:szCs w:val="24"/>
        </w:rPr>
        <w:t>(4)</w:t>
      </w:r>
      <w:r w:rsidR="007C0BA7" w:rsidRPr="000A4A0F">
        <w:rPr>
          <w:rFonts w:ascii="Times New Roman" w:hAnsi="Times New Roman" w:cs="Times New Roman"/>
          <w:sz w:val="24"/>
          <w:szCs w:val="24"/>
        </w:rPr>
        <w:fldChar w:fldCharType="end"/>
      </w:r>
      <w:r w:rsidR="007C0BA7"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{"citationItems":[{"id":"ITEM-1","itemData":{"author":[{"dropping-particle":"al","family":"Joseph R, Ho LY, Gomez JM","given":"et","non-dropping-particle":"","parse-names":false,"suffix":""}],"container-title":"Southeast Asian J Trop Med Public Health","id":"ITEM-1","issue":"30","issued":{"date-parts":[["1999"]]},"title":"Mass newborn screening for glucose-6-phosphate dehydrogenase deficiency in Singapore","type":"article-journal","volume":"70-1"},"uris":["http://www.mendeley.com/documents/?uuid=335a51ac-6232-4a03-aec2-b257842d5bf4","http://www.mendeley.com/documents/?uuid=91536edf-15f5-4918-a5b4-0ce7589477a4"]}],"mendeley":{"formattedCitation":"(26)","plainTextFormattedCitation":"(26)","previouslyFormattedCitation":"(27)"},"properties":{"noteIndex":0},"schema":"https://github.com/citation-style-language/schema/raw/master/csl-citation.json"}</w:instrText>
      </w:r>
      <w:r w:rsidR="007C0BA7"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(26)</w:t>
      </w:r>
      <w:r w:rsidR="007C0BA7" w:rsidRPr="000A4A0F">
        <w:rPr>
          <w:rFonts w:ascii="Times New Roman" w:hAnsi="Times New Roman" w:cs="Times New Roman"/>
          <w:sz w:val="24"/>
          <w:szCs w:val="24"/>
        </w:rPr>
        <w:fldChar w:fldCharType="end"/>
      </w:r>
    </w:p>
    <w:p w14:paraId="63524445" w14:textId="738AC113" w:rsidR="00054492" w:rsidRPr="000A4A0F" w:rsidRDefault="000A072E"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Plusieurs facteurs sont reconnus comme facteurs de risque d’hyper-bilirubinémie néonatale intense, dont la maladie hémolytique et le déficit en glucose-6-phosphate déshydrogén</w:t>
      </w:r>
      <w:r w:rsidR="007C0BA7" w:rsidRPr="000A4A0F">
        <w:rPr>
          <w:rFonts w:ascii="Times New Roman" w:hAnsi="Times New Roman" w:cs="Times New Roman"/>
          <w:sz w:val="24"/>
          <w:szCs w:val="24"/>
        </w:rPr>
        <w:t xml:space="preserve">ase (G-6-PD) </w:t>
      </w:r>
      <w:r w:rsidR="007C0BA7"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{"citationItems":[{"id":"ITEM-1","itemData":{"author":[{"dropping-particle":"","family":"Battisti","given":"Professeur Oreste","non-dropping-particle":"","parse-names":false,"suffix":""},{"dropping-particle":"De","family":"Cours","given":"Chargé","non-dropping-particle":"","parse-names":false,"suffix":""},{"dropping-particle":"De","family":"Médecine","given":"Faculté","non-dropping-particle":"","parse-names":false,"suffix":""},{"dropping-particle":"De","family":"Liège","given":"Université","non-dropping-particle":"","parse-names":false,"suffix":""},{"dropping-particle":"","family":"Définitions","given":"A","non-dropping-particle":"","parse-names":false,"suffix":""}],"id":"ITEM-1","issued":{"date-parts":[["0"]]},"page":"1-26","title":"Diagnostic et prise en charge de l ’ hyperbilirubinémie ( à partir de 35 semaines d ’ âge gestationnel )","type":"article-journal"},"uris":["http://www.mendeley.com/documents/?uuid=593aa58c-b2ee-42ab-be1d-e0b1554d69e5","http://www.mendeley.com/documents/?uuid=8efb4bd5-bce5-46ac-91e0-063c05cc6fba"]}],"mendeley":{"formattedCitation":"(3)","plainTextFormattedCitation":"(3)","previouslyFormattedCitation":"(3)"},"properties":{"noteIndex":0},"schema":"https://github.com/citation-style-language/schema/raw/master/csl-citation.json"}</w:instrText>
      </w:r>
      <w:r w:rsidR="007C0BA7" w:rsidRPr="000A4A0F">
        <w:rPr>
          <w:rFonts w:ascii="Times New Roman" w:hAnsi="Times New Roman" w:cs="Times New Roman"/>
          <w:sz w:val="24"/>
          <w:szCs w:val="24"/>
        </w:rPr>
        <w:fldChar w:fldCharType="separate"/>
      </w:r>
      <w:r w:rsidR="007C0BA7" w:rsidRPr="000A4A0F">
        <w:rPr>
          <w:rFonts w:ascii="Times New Roman" w:hAnsi="Times New Roman" w:cs="Times New Roman"/>
          <w:noProof/>
          <w:sz w:val="24"/>
          <w:szCs w:val="24"/>
        </w:rPr>
        <w:t>(3)</w:t>
      </w:r>
      <w:r w:rsidR="007C0BA7" w:rsidRPr="000A4A0F">
        <w:rPr>
          <w:rFonts w:ascii="Times New Roman" w:hAnsi="Times New Roman" w:cs="Times New Roman"/>
          <w:sz w:val="24"/>
          <w:szCs w:val="24"/>
        </w:rPr>
        <w:fldChar w:fldCharType="end"/>
      </w:r>
      <w:r w:rsidR="007C0BA7"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DOI":"10.4269/ajtmh.14-0194","author":[{"dropping-particle":"","family":"Larue","given":"Nicole","non-dropping-particle":"","parse-names":false,"suffix":""},{"dropping-particle":"","family":"Kahn","given":"Maria","non-dropping-particle":"","parse-names":false,"suffix":""},{"dropping-particle":"","family":"Murray","given":"Marjorie","non-dropping-particle":"","parse-names":false,"suffix":""},{"dropping-particle":"","family":"Leader","given":"Brandon T","non-dropping-particle":"","parse-names":false,"suffix":""},{"dropping-particle":"","family":"Bansil","given":"Pooja","non-dropping-particle":"","parse-names":false,"suffix":""},{"dropping-particle":"","family":"Mcgray","given":"Sarah","non-dropping-particle":"","parse-names":false,"suffix":""},{"dropping-particle":"","family":"Kalnoky","given":"Michael","non-dropping-particle":"","parse-names":false,"suffix":""},{"dropping-particle":"","family":"Zhang","given":"Hao","non-dropping-particle":"","parse-names":false,"suffix":""},{"dropping-particle":"","family":"Huang","given":"Huiqiang","non-dropping-particle":"","parse-names":false,"suffix":""},{"dropping-particle":"","family":"Jiang","given":"Hui","non-dropping-particle":"","parse-names":false,"suffix":""},{"dropping-particle":"","family":"Domingo","given":"Gonzalo J","non-dropping-particle":"","parse-names":false,"suffix":""}],"id":"ITEM-1","issue":"4","issued":{"date-parts":[["2014"]]},"page":"854-861","title":"Comparison of Quantitative and Qualitative Tests for Glucose-6-Phosphate Dehydrogenase Deficiency","type":"article-journal","volume":"91"},"uris":["http://www.mendeley.com/documents/?uuid=795144b9-ea1c-4e38-9d8a-d1306c611dc4","http://www.mendeley.com/documents/?uuid=b0381848-fd3f-4aae-8ed0-e97ccc518af5"]}],"mendeley":{"formattedCitation":"(27)","plainTextFormattedCitation":"(27)","previouslyFormattedCitation":"(28)"},"properties":{"noteIndex":0},"schema":"https://github.com/citation-style-language/schema/raw/master/csl-citation.json"}</w:instrText>
      </w:r>
      <w:r w:rsidR="007C0BA7"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(27)</w:t>
      </w:r>
      <w:r w:rsidR="007C0BA7" w:rsidRPr="000A4A0F">
        <w:rPr>
          <w:rFonts w:ascii="Times New Roman" w:hAnsi="Times New Roman" w:cs="Times New Roman"/>
          <w:sz w:val="24"/>
          <w:szCs w:val="24"/>
        </w:rPr>
        <w:fldChar w:fldCharType="end"/>
      </w:r>
      <w:r w:rsidR="007C0BA7"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{"citationItems":[{"id":"ITEM-1","itemData":{"abstract":"Résumé Introduction: Une étude transversale et descriptive qui vise l'identification des facteurs de risques associés au déficit en G6PD, sa fréquence et sa distribution géographique à Nouakchott dans l'objectif de fournir des informations utiles pour le contrôler. Comme cette maladie n'a jamais été étudiée auparavant en Mauritanie, nous avons cherché à définir le profil épidémiologique et la charge de morbidité du déficit en G6PD chez une population de nouveaux nés dans deux structures de santé de la ville de Nouakchott. Méthodes: Cette étude a été conduite dans deux hôpitaux de Nouakchott, le Centre Hospitalier Mère-Enfant et le Centre de Santé de Sebkha entre (Août - Octobre, 2015). Elle a concerné un échantillon de 523 nouveau-nés de sexes différents. Le dépistage a été fait à laide de BinaxNow G6PD Test, suivi d'une confirmation quantitative pour les cas positifs. L'analyse statistique a été réalisée par SPSS20. Résultats: Le déficit en G6PD était plus élevé chez les nouveau-nés de sexe masculin (15% vs 7% P = 0,007) et particulièrement chez les enfants d'ethnie noire (15% vs 8 % P = 0,001). La prévalence du phénotype déficient en G6PD dans la population étudiée est 11,09% (58/523). Conclusion: La présente étude est, à notre connaissance, la première de son genre sur le déficit en G6PD chez la population mauritanienne. Elle fournit des informations importantes sur le caractère épidémiologique du déficit en G6PD dans la région de Nouakchott. Elle relève une variabilité dans l'apparition de G6PD au niveau des groupes ethniques.","author":[{"dropping-particle":"","family":"Ghaber Sidi Mohamed1, 2, 3, Salem Mohamed Lemine1, 3, Shagh Cheibetta2, Aminetou Mohamed2","given":"3","non-dropping-particle":"","parse-names":false,"suffix":""}],"container-title":"PAMJ Clinical Medicine","id":"ITEM-1","issued":{"date-parts":[["2018"]]},"title":"Dépistage néonatal du déficit en glucose 6 phosphate déshydrogénase (G6PD) en Mauritanie","type":"article-journal","volume":"ISSN 1937-"},"uris":["http://www.mendeley.com/documents/?uuid=26324457-8fda-4bb4-86c2-9c25f84872d7","http://www.mendeley.com/documents/?uuid=0f377fff-5d3d-478a-a71b-b58a49d7b362"]}],"mendeley":{"formattedCitation":"(28)","plainTextFormattedCitation":"(28)","previouslyFormattedCitation":"(29)"},"properties":{"noteIndex":0},"schema":"https://github.com/citation-style-language/schema/raw/master/csl-citation.json"}</w:instrText>
      </w:r>
      <w:r w:rsidR="007C0BA7"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(28)</w:t>
      </w:r>
      <w:r w:rsidR="007C0BA7" w:rsidRPr="000A4A0F">
        <w:rPr>
          <w:rFonts w:ascii="Times New Roman" w:hAnsi="Times New Roman" w:cs="Times New Roman"/>
          <w:sz w:val="24"/>
          <w:szCs w:val="24"/>
        </w:rPr>
        <w:fldChar w:fldCharType="end"/>
      </w:r>
    </w:p>
    <w:p w14:paraId="6611FCCE" w14:textId="119DBDEF" w:rsidR="00CA28E4" w:rsidRPr="000A4A0F" w:rsidRDefault="00FE1C6D" w:rsidP="006612D9">
      <w:pPr>
        <w:pStyle w:val="Titre3"/>
        <w:spacing w:before="0" w:line="360" w:lineRule="auto"/>
        <w:jc w:val="both"/>
        <w:rPr>
          <w:rFonts w:ascii="Times New Roman" w:hAnsi="Times New Roman" w:cs="Times New Roman"/>
          <w:b/>
        </w:rPr>
      </w:pPr>
      <w:bookmarkStart w:id="24" w:name="_Toc87049050"/>
      <w:r w:rsidRPr="000A4A0F">
        <w:rPr>
          <w:rFonts w:ascii="Times New Roman" w:hAnsi="Times New Roman" w:cs="Times New Roman"/>
          <w:b/>
        </w:rPr>
        <w:t>I.4</w:t>
      </w:r>
      <w:r w:rsidR="006D1592" w:rsidRPr="000A4A0F">
        <w:rPr>
          <w:rFonts w:ascii="Times New Roman" w:hAnsi="Times New Roman" w:cs="Times New Roman"/>
          <w:b/>
        </w:rPr>
        <w:t>.1. Ictères à bilirubine libre</w:t>
      </w:r>
      <w:bookmarkEnd w:id="24"/>
      <w:r w:rsidR="006D1592" w:rsidRPr="000A4A0F">
        <w:rPr>
          <w:rFonts w:ascii="Times New Roman" w:hAnsi="Times New Roman" w:cs="Times New Roman"/>
          <w:b/>
        </w:rPr>
        <w:t xml:space="preserve"> </w:t>
      </w:r>
    </w:p>
    <w:p w14:paraId="5B1C60B2" w14:textId="77777777" w:rsidR="00CA28E4" w:rsidRPr="000A4A0F" w:rsidRDefault="003727F8"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C’est l</w:t>
      </w:r>
      <w:r w:rsidR="00CA28E4" w:rsidRPr="000A4A0F">
        <w:rPr>
          <w:rFonts w:ascii="Times New Roman" w:hAnsi="Times New Roman" w:cs="Times New Roman"/>
          <w:sz w:val="24"/>
          <w:szCs w:val="24"/>
        </w:rPr>
        <w:t xml:space="preserve">a cause la plus fréquente de l'ictère nucléaire. </w:t>
      </w:r>
    </w:p>
    <w:p w14:paraId="6AB68226" w14:textId="6B8C335E" w:rsidR="00CA28E4" w:rsidRPr="000A4A0F" w:rsidRDefault="00FE1C6D" w:rsidP="006612D9">
      <w:pPr>
        <w:pStyle w:val="Titre3"/>
        <w:spacing w:before="0" w:line="360" w:lineRule="auto"/>
        <w:jc w:val="both"/>
        <w:rPr>
          <w:rFonts w:ascii="Times New Roman" w:hAnsi="Times New Roman" w:cs="Times New Roman"/>
          <w:b/>
        </w:rPr>
      </w:pPr>
      <w:bookmarkStart w:id="25" w:name="_Toc87049051"/>
      <w:r w:rsidRPr="000A4A0F">
        <w:rPr>
          <w:rFonts w:ascii="Times New Roman" w:hAnsi="Times New Roman" w:cs="Times New Roman"/>
          <w:b/>
        </w:rPr>
        <w:t>I.4.2</w:t>
      </w:r>
      <w:r w:rsidR="006D1592" w:rsidRPr="000A4A0F">
        <w:rPr>
          <w:rFonts w:ascii="Times New Roman" w:hAnsi="Times New Roman" w:cs="Times New Roman"/>
          <w:b/>
        </w:rPr>
        <w:t xml:space="preserve">. </w:t>
      </w:r>
      <w:r w:rsidR="00CA28E4" w:rsidRPr="000A4A0F">
        <w:rPr>
          <w:rFonts w:ascii="Times New Roman" w:hAnsi="Times New Roman" w:cs="Times New Roman"/>
          <w:b/>
        </w:rPr>
        <w:t>Ictère simple ou physiologique</w:t>
      </w:r>
      <w:bookmarkEnd w:id="25"/>
      <w:r w:rsidR="00CA28E4" w:rsidRPr="000A4A0F">
        <w:rPr>
          <w:rFonts w:ascii="Times New Roman" w:hAnsi="Times New Roman" w:cs="Times New Roman"/>
          <w:b/>
        </w:rPr>
        <w:t xml:space="preserve"> </w:t>
      </w:r>
    </w:p>
    <w:p w14:paraId="76ABE4D0" w14:textId="77777777" w:rsidR="00CA28E4" w:rsidRPr="000A4A0F" w:rsidRDefault="00CA28E4"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C’est le plus fréquent puisqu’il touche 30 à 50% des enfants sains en maternité. Il apparait en général vers le 2ème ou 3ème jour de vie, reste isolé, est d’intensité modérée. Il disparait vers le 5ème ou 6ème jour de vie. Il est la conséquence des particularités du métabolisme de la bilirubine à la période néonatale. Ses caractéristiques sont les suivantes : </w:t>
      </w:r>
    </w:p>
    <w:p w14:paraId="3B75E6D0" w14:textId="68989617" w:rsidR="00CA28E4" w:rsidRPr="000A4A0F" w:rsidRDefault="00CA28E4"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Il apparaît après les premières 24 heures de vie, chez un nouveau-né sain, et disparaît avant le 10e jour de </w:t>
      </w:r>
      <w:r w:rsidR="007C0BA7" w:rsidRPr="000A4A0F">
        <w:rPr>
          <w:rFonts w:ascii="Times New Roman" w:hAnsi="Times New Roman" w:cs="Times New Roman"/>
          <w:sz w:val="24"/>
          <w:szCs w:val="24"/>
        </w:rPr>
        <w:t>vie ;</w:t>
      </w:r>
      <w:r w:rsidRPr="000A4A0F">
        <w:rPr>
          <w:rFonts w:ascii="Times New Roman" w:hAnsi="Times New Roman" w:cs="Times New Roman"/>
          <w:sz w:val="24"/>
          <w:szCs w:val="24"/>
        </w:rPr>
        <w:t xml:space="preserve"> </w:t>
      </w:r>
    </w:p>
    <w:p w14:paraId="35249F17" w14:textId="77777777" w:rsidR="00CA28E4" w:rsidRPr="000A4A0F" w:rsidRDefault="00CA28E4"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Il est nu : il n'existe ni hépatomégalie, ni splénomégalie. Il n'y a pas d'anémie; </w:t>
      </w:r>
    </w:p>
    <w:p w14:paraId="58F813EA" w14:textId="77777777" w:rsidR="00CA28E4" w:rsidRPr="000A4A0F" w:rsidRDefault="00CA28E4"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Les urines sont claires quand l'ictère apparaît. </w:t>
      </w:r>
    </w:p>
    <w:p w14:paraId="4020DAB0" w14:textId="77777777" w:rsidR="00CA28E4" w:rsidRPr="000A4A0F" w:rsidRDefault="00CA28E4"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Les selles sont normalement colorées. </w:t>
      </w:r>
    </w:p>
    <w:p w14:paraId="4772743E" w14:textId="77777777" w:rsidR="00CA28E4" w:rsidRPr="000A4A0F" w:rsidRDefault="00CA28E4"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 taux de bilirubine non conjuguée est en moyenne de 50 à 80 mg/L et ne dépasse pas 150 mg/L. </w:t>
      </w:r>
    </w:p>
    <w:p w14:paraId="0CE2545B" w14:textId="77777777" w:rsidR="00CA28E4" w:rsidRPr="000A4A0F" w:rsidRDefault="00CA28E4"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Le diagnostic est habituellement facile, mais fait par exclusion des autres causes d'ictère.</w:t>
      </w:r>
    </w:p>
    <w:p w14:paraId="61CAD4C3" w14:textId="7C9B8A2A" w:rsidR="00CA28E4" w:rsidRPr="000A4A0F" w:rsidRDefault="00FE1C6D" w:rsidP="006612D9">
      <w:pPr>
        <w:pStyle w:val="Titre3"/>
        <w:spacing w:before="0" w:line="360" w:lineRule="auto"/>
        <w:jc w:val="both"/>
        <w:rPr>
          <w:rFonts w:ascii="Times New Roman" w:hAnsi="Times New Roman" w:cs="Times New Roman"/>
          <w:b/>
        </w:rPr>
      </w:pPr>
      <w:bookmarkStart w:id="26" w:name="_Toc87049052"/>
      <w:r w:rsidRPr="000A4A0F">
        <w:rPr>
          <w:rFonts w:ascii="Times New Roman" w:hAnsi="Times New Roman" w:cs="Times New Roman"/>
          <w:b/>
        </w:rPr>
        <w:t>I.4.3</w:t>
      </w:r>
      <w:r w:rsidR="006D1592" w:rsidRPr="000A4A0F">
        <w:rPr>
          <w:rFonts w:ascii="Times New Roman" w:hAnsi="Times New Roman" w:cs="Times New Roman"/>
          <w:b/>
        </w:rPr>
        <w:t xml:space="preserve">. </w:t>
      </w:r>
      <w:r w:rsidR="00A6476A" w:rsidRPr="000A4A0F">
        <w:rPr>
          <w:rFonts w:ascii="Times New Roman" w:hAnsi="Times New Roman" w:cs="Times New Roman"/>
          <w:b/>
        </w:rPr>
        <w:t>Ictère</w:t>
      </w:r>
      <w:r w:rsidR="00CA28E4" w:rsidRPr="000A4A0F">
        <w:rPr>
          <w:rFonts w:ascii="Times New Roman" w:hAnsi="Times New Roman" w:cs="Times New Roman"/>
          <w:b/>
        </w:rPr>
        <w:t xml:space="preserve"> lié aux hémolyses néonatales</w:t>
      </w:r>
      <w:bookmarkEnd w:id="26"/>
      <w:r w:rsidR="00CA28E4" w:rsidRPr="000A4A0F">
        <w:rPr>
          <w:rFonts w:ascii="Times New Roman" w:hAnsi="Times New Roman" w:cs="Times New Roman"/>
          <w:b/>
        </w:rPr>
        <w:t xml:space="preserve"> </w:t>
      </w:r>
    </w:p>
    <w:p w14:paraId="3D513566" w14:textId="77777777" w:rsidR="00CA28E4" w:rsidRPr="000A4A0F" w:rsidRDefault="00CA28E4"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L’ictère est généralement précoce et intense. Une pâleur cutanée est souvent associée, témoin de l’anémie. Une hépato-splénomégalie est souvent retrouvée, d’importance variable. Deux </w:t>
      </w:r>
      <w:r w:rsidRPr="000A4A0F">
        <w:rPr>
          <w:rFonts w:ascii="Times New Roman" w:hAnsi="Times New Roman" w:cs="Times New Roman"/>
          <w:sz w:val="24"/>
          <w:szCs w:val="24"/>
        </w:rPr>
        <w:lastRenderedPageBreak/>
        <w:t xml:space="preserve">grands groupes d’étiologies sont retrouvées : les incompatibilités </w:t>
      </w:r>
      <w:r w:rsidR="003F758E" w:rsidRPr="000A4A0F">
        <w:rPr>
          <w:rFonts w:ascii="Times New Roman" w:hAnsi="Times New Roman" w:cs="Times New Roman"/>
          <w:sz w:val="24"/>
          <w:szCs w:val="24"/>
        </w:rPr>
        <w:t>fœto-maternelles</w:t>
      </w:r>
      <w:r w:rsidRPr="000A4A0F">
        <w:rPr>
          <w:rFonts w:ascii="Times New Roman" w:hAnsi="Times New Roman" w:cs="Times New Roman"/>
          <w:sz w:val="24"/>
          <w:szCs w:val="24"/>
        </w:rPr>
        <w:t xml:space="preserve"> érythrocytaires et les h</w:t>
      </w:r>
      <w:r w:rsidR="00502385" w:rsidRPr="000A4A0F">
        <w:rPr>
          <w:rFonts w:ascii="Times New Roman" w:hAnsi="Times New Roman" w:cs="Times New Roman"/>
          <w:sz w:val="24"/>
          <w:szCs w:val="24"/>
        </w:rPr>
        <w:t xml:space="preserve">émolyses constitutionnelles. </w:t>
      </w:r>
    </w:p>
    <w:p w14:paraId="6F7A6DDB" w14:textId="4E0A0009" w:rsidR="00A6476A" w:rsidRPr="000A4A0F" w:rsidRDefault="00FE1C6D" w:rsidP="006612D9">
      <w:pPr>
        <w:pStyle w:val="Titre4"/>
        <w:spacing w:before="0" w:after="200" w:line="360" w:lineRule="auto"/>
        <w:jc w:val="both"/>
        <w:rPr>
          <w:rFonts w:ascii="Times New Roman" w:hAnsi="Times New Roman" w:cs="Times New Roman"/>
          <w:b/>
          <w:sz w:val="24"/>
          <w:szCs w:val="24"/>
        </w:rPr>
      </w:pPr>
      <w:bookmarkStart w:id="27" w:name="_Toc87049053"/>
      <w:r w:rsidRPr="000A4A0F">
        <w:rPr>
          <w:rFonts w:ascii="Times New Roman" w:hAnsi="Times New Roman" w:cs="Times New Roman"/>
          <w:b/>
          <w:sz w:val="24"/>
          <w:szCs w:val="24"/>
        </w:rPr>
        <w:t>I.4</w:t>
      </w:r>
      <w:r w:rsidR="006D1592" w:rsidRPr="000A4A0F">
        <w:rPr>
          <w:rFonts w:ascii="Times New Roman" w:hAnsi="Times New Roman" w:cs="Times New Roman"/>
          <w:b/>
          <w:sz w:val="24"/>
          <w:szCs w:val="24"/>
        </w:rPr>
        <w:t>.</w:t>
      </w:r>
      <w:r w:rsidRPr="000A4A0F">
        <w:rPr>
          <w:rFonts w:ascii="Times New Roman" w:hAnsi="Times New Roman" w:cs="Times New Roman"/>
          <w:b/>
          <w:sz w:val="24"/>
          <w:szCs w:val="24"/>
        </w:rPr>
        <w:t>3.</w:t>
      </w:r>
      <w:r w:rsidR="006D1592" w:rsidRPr="000A4A0F">
        <w:rPr>
          <w:rFonts w:ascii="Times New Roman" w:hAnsi="Times New Roman" w:cs="Times New Roman"/>
          <w:b/>
          <w:sz w:val="24"/>
          <w:szCs w:val="24"/>
        </w:rPr>
        <w:t>1.</w:t>
      </w:r>
      <w:r w:rsidR="00A6476A" w:rsidRPr="000A4A0F">
        <w:rPr>
          <w:rFonts w:ascii="Times New Roman" w:hAnsi="Times New Roman" w:cs="Times New Roman"/>
          <w:b/>
          <w:sz w:val="24"/>
          <w:szCs w:val="24"/>
        </w:rPr>
        <w:t xml:space="preserve">Incompatibilités </w:t>
      </w:r>
      <w:r w:rsidR="0013083C" w:rsidRPr="000A4A0F">
        <w:rPr>
          <w:rFonts w:ascii="Times New Roman" w:hAnsi="Times New Roman" w:cs="Times New Roman"/>
          <w:b/>
          <w:sz w:val="24"/>
          <w:szCs w:val="24"/>
        </w:rPr>
        <w:t>fœto-maternelles</w:t>
      </w:r>
      <w:r w:rsidR="00A6476A" w:rsidRPr="000A4A0F">
        <w:rPr>
          <w:rFonts w:ascii="Times New Roman" w:hAnsi="Times New Roman" w:cs="Times New Roman"/>
          <w:b/>
          <w:sz w:val="24"/>
          <w:szCs w:val="24"/>
        </w:rPr>
        <w:t xml:space="preserve"> :</w:t>
      </w:r>
      <w:bookmarkEnd w:id="27"/>
      <w:r w:rsidR="00A6476A" w:rsidRPr="000A4A0F">
        <w:rPr>
          <w:rFonts w:ascii="Times New Roman" w:hAnsi="Times New Roman" w:cs="Times New Roman"/>
          <w:b/>
          <w:sz w:val="24"/>
          <w:szCs w:val="24"/>
        </w:rPr>
        <w:t xml:space="preserve"> </w:t>
      </w:r>
    </w:p>
    <w:p w14:paraId="46D568AA" w14:textId="7822DB5B" w:rsidR="00C77D5F" w:rsidRPr="000A4A0F" w:rsidRDefault="00C77D5F" w:rsidP="006612D9">
      <w:p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0A4A0F">
        <w:rPr>
          <w:rFonts w:ascii="Times New Roman" w:hAnsi="Times New Roman" w:cs="Times New Roman"/>
          <w:color w:val="000000" w:themeColor="text1"/>
          <w:sz w:val="24"/>
          <w:szCs w:val="24"/>
        </w:rPr>
        <w:t>La maladie hémolytique du nouveau-né représente près de 20% des jaunisse néonatale, et elle est causée par l’incompatibilité dans le système ABO et rhésus</w:t>
      </w:r>
      <w:r w:rsidRPr="000A4A0F">
        <w:rPr>
          <w:rFonts w:ascii="Times New Roman" w:eastAsia="Times New Roman" w:hAnsi="Times New Roman" w:cs="Times New Roman"/>
          <w:color w:val="000000" w:themeColor="text1"/>
          <w:sz w:val="24"/>
          <w:szCs w:val="24"/>
          <w:lang w:eastAsia="fr-FR"/>
        </w:rPr>
        <w:t xml:space="preserve"> dans </w:t>
      </w:r>
      <w:r w:rsidRPr="000A4A0F">
        <w:rPr>
          <w:rFonts w:ascii="Times New Roman" w:hAnsi="Times New Roman" w:cs="Times New Roman"/>
          <w:color w:val="000000" w:themeColor="text1"/>
          <w:sz w:val="24"/>
          <w:szCs w:val="24"/>
        </w:rPr>
        <w:t>30% des cas</w:t>
      </w:r>
      <w:r w:rsidR="007C0BA7" w:rsidRPr="000A4A0F">
        <w:rPr>
          <w:rFonts w:ascii="Times New Roman" w:hAnsi="Times New Roman" w:cs="Times New Roman"/>
          <w:color w:val="000000" w:themeColor="text1"/>
          <w:sz w:val="24"/>
          <w:szCs w:val="24"/>
        </w:rPr>
        <w:t>.</w:t>
      </w:r>
      <w:r w:rsidR="007C0BA7" w:rsidRPr="000A4A0F">
        <w:rPr>
          <w:rFonts w:ascii="Times New Roman" w:hAnsi="Times New Roman" w:cs="Times New Roman"/>
          <w:color w:val="000000" w:themeColor="text1"/>
          <w:sz w:val="24"/>
          <w:szCs w:val="24"/>
        </w:rPr>
        <w:fldChar w:fldCharType="begin" w:fldLock="1"/>
      </w:r>
      <w:r w:rsidR="00EE36B6">
        <w:rPr>
          <w:rFonts w:ascii="Times New Roman" w:hAnsi="Times New Roman" w:cs="Times New Roman"/>
          <w:color w:val="000000" w:themeColor="text1"/>
          <w:sz w:val="24"/>
          <w:szCs w:val="24"/>
        </w:rPr>
        <w:instrText>ADDIN CSL_CITATION {"citationItems":[{"id":"ITEM-1","itemData":{"author":[{"dropping-particle":"","family":"Battisti","given":"Professeur Oreste","non-dropping-particle":"","parse-names":false,"suffix":""},{"dropping-particle":"De","family":"Cours","given":"Chargé","non-dropping-particle":"","parse-names":false,"suffix":""},{"dropping-particle":"De","family":"Médecine","given":"Faculté","non-dropping-particle":"","parse-names":false,"suffix":""},{"dropping-particle":"De","family":"Liège","given":"Université","non-dropping-particle":"","parse-names":false,"suffix":""},{"dropping-particle":"","family":"Définitions","given":"A","non-dropping-particle":"","parse-names":false,"suffix":""}],"id":"ITEM-1","issued":{"date-parts":[["0"]]},"page":"1-26","title":"Diagnostic et prise en charge de l ’ hyperbilirubinémie ( à partir de 35 semaines d ’ âge gestationnel )","type":"article-journal"},"uris":["http://www.mendeley.com/documents/?uuid=593aa58c-b2ee-42ab-be1d-e0b1554d69e5","http://www.mendeley.com/documents/?uuid=8efb4bd5-bce5-46ac-91e0-063c05cc6fba"]}],"mendeley":{"formattedCitation":"(3)","plainTextFormattedCitation":"(3)","previouslyFormattedCitation":"(3)"},"properties":{"noteIndex":0},"schema":"https://github.com/citation-style-language/schema/raw/master/csl-citation.json"}</w:instrText>
      </w:r>
      <w:r w:rsidR="007C0BA7" w:rsidRPr="000A4A0F">
        <w:rPr>
          <w:rFonts w:ascii="Times New Roman" w:hAnsi="Times New Roman" w:cs="Times New Roman"/>
          <w:color w:val="000000" w:themeColor="text1"/>
          <w:sz w:val="24"/>
          <w:szCs w:val="24"/>
        </w:rPr>
        <w:fldChar w:fldCharType="separate"/>
      </w:r>
      <w:r w:rsidR="007C0BA7" w:rsidRPr="000A4A0F">
        <w:rPr>
          <w:rFonts w:ascii="Times New Roman" w:hAnsi="Times New Roman" w:cs="Times New Roman"/>
          <w:noProof/>
          <w:color w:val="000000" w:themeColor="text1"/>
          <w:sz w:val="24"/>
          <w:szCs w:val="24"/>
        </w:rPr>
        <w:t>(3)</w:t>
      </w:r>
      <w:r w:rsidR="007C0BA7" w:rsidRPr="000A4A0F">
        <w:rPr>
          <w:rFonts w:ascii="Times New Roman" w:hAnsi="Times New Roman" w:cs="Times New Roman"/>
          <w:color w:val="000000" w:themeColor="text1"/>
          <w:sz w:val="24"/>
          <w:szCs w:val="24"/>
        </w:rPr>
        <w:fldChar w:fldCharType="end"/>
      </w:r>
    </w:p>
    <w:p w14:paraId="041D1036" w14:textId="16D0E6FD" w:rsidR="00C77D5F" w:rsidRPr="000A4A0F" w:rsidRDefault="00C77D5F" w:rsidP="006612D9">
      <w:p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0A4A0F">
        <w:rPr>
          <w:rFonts w:ascii="Times New Roman" w:hAnsi="Times New Roman" w:cs="Times New Roman"/>
          <w:color w:val="000000" w:themeColor="text1"/>
          <w:sz w:val="24"/>
          <w:szCs w:val="24"/>
        </w:rPr>
        <w:t xml:space="preserve">Avec la prévention de l'allo-immunisation </w:t>
      </w:r>
      <w:r w:rsidR="007C0BA7" w:rsidRPr="000A4A0F">
        <w:rPr>
          <w:rFonts w:ascii="Times New Roman" w:hAnsi="Times New Roman" w:cs="Times New Roman"/>
          <w:color w:val="000000" w:themeColor="text1"/>
          <w:sz w:val="24"/>
          <w:szCs w:val="24"/>
        </w:rPr>
        <w:t>rhésus qui</w:t>
      </w:r>
      <w:r w:rsidRPr="000A4A0F">
        <w:rPr>
          <w:rFonts w:ascii="Times New Roman" w:hAnsi="Times New Roman" w:cs="Times New Roman"/>
          <w:color w:val="000000" w:themeColor="text1"/>
          <w:sz w:val="24"/>
          <w:szCs w:val="24"/>
        </w:rPr>
        <w:t xml:space="preserve"> était très répandue, la maladie hémolytique </w:t>
      </w:r>
      <w:r w:rsidR="007C0BA7" w:rsidRPr="000A4A0F">
        <w:rPr>
          <w:rFonts w:ascii="Times New Roman" w:hAnsi="Times New Roman" w:cs="Times New Roman"/>
          <w:color w:val="000000" w:themeColor="text1"/>
          <w:sz w:val="24"/>
          <w:szCs w:val="24"/>
        </w:rPr>
        <w:t>du nouveau</w:t>
      </w:r>
      <w:r w:rsidRPr="000A4A0F">
        <w:rPr>
          <w:rFonts w:ascii="Times New Roman" w:hAnsi="Times New Roman" w:cs="Times New Roman"/>
          <w:color w:val="000000" w:themeColor="text1"/>
          <w:sz w:val="24"/>
          <w:szCs w:val="24"/>
        </w:rPr>
        <w:t>-né dans le système ABO</w:t>
      </w:r>
      <w:r w:rsidRPr="000A4A0F">
        <w:rPr>
          <w:rFonts w:ascii="Times New Roman" w:eastAsia="Times New Roman" w:hAnsi="Times New Roman" w:cs="Times New Roman"/>
          <w:color w:val="000000" w:themeColor="text1"/>
          <w:sz w:val="24"/>
          <w:szCs w:val="24"/>
          <w:lang w:eastAsia="fr-FR"/>
        </w:rPr>
        <w:t xml:space="preserve"> </w:t>
      </w:r>
      <w:r w:rsidRPr="000A4A0F">
        <w:rPr>
          <w:rFonts w:ascii="Times New Roman" w:hAnsi="Times New Roman" w:cs="Times New Roman"/>
          <w:color w:val="000000" w:themeColor="text1"/>
          <w:sz w:val="24"/>
          <w:szCs w:val="24"/>
        </w:rPr>
        <w:t>est devenue plus courante et se produit</w:t>
      </w:r>
      <w:r w:rsidRPr="000A4A0F">
        <w:rPr>
          <w:rFonts w:ascii="Times New Roman" w:eastAsia="Times New Roman" w:hAnsi="Times New Roman" w:cs="Times New Roman"/>
          <w:color w:val="000000" w:themeColor="text1"/>
          <w:sz w:val="24"/>
          <w:szCs w:val="24"/>
          <w:lang w:eastAsia="fr-FR"/>
        </w:rPr>
        <w:t xml:space="preserve"> </w:t>
      </w:r>
      <w:r w:rsidRPr="000A4A0F">
        <w:rPr>
          <w:rFonts w:ascii="Times New Roman" w:hAnsi="Times New Roman" w:cs="Times New Roman"/>
          <w:color w:val="000000" w:themeColor="text1"/>
          <w:sz w:val="24"/>
          <w:szCs w:val="24"/>
        </w:rPr>
        <w:t>presque exclusivement chez les nourrissons du groupe sanguin A ou B nés des mères du groupe sanguin O. En général, 15 à 25% de toutes les paires mères / nouve</w:t>
      </w:r>
      <w:r w:rsidR="007C0BA7" w:rsidRPr="000A4A0F">
        <w:rPr>
          <w:rFonts w:ascii="Times New Roman" w:hAnsi="Times New Roman" w:cs="Times New Roman"/>
          <w:color w:val="000000" w:themeColor="text1"/>
          <w:sz w:val="24"/>
          <w:szCs w:val="24"/>
        </w:rPr>
        <w:t>au-né sont incompatibles ABO</w:t>
      </w:r>
      <w:r w:rsidRPr="000A4A0F">
        <w:rPr>
          <w:rFonts w:ascii="Times New Roman" w:hAnsi="Times New Roman" w:cs="Times New Roman"/>
          <w:color w:val="000000" w:themeColor="text1"/>
          <w:sz w:val="24"/>
          <w:szCs w:val="24"/>
        </w:rPr>
        <w:t>.</w:t>
      </w:r>
      <w:r w:rsidR="007C0BA7" w:rsidRPr="000A4A0F">
        <w:rPr>
          <w:rFonts w:ascii="Times New Roman" w:hAnsi="Times New Roman" w:cs="Times New Roman"/>
          <w:color w:val="000000" w:themeColor="text1"/>
          <w:sz w:val="24"/>
          <w:szCs w:val="24"/>
        </w:rPr>
        <w:fldChar w:fldCharType="begin" w:fldLock="1"/>
      </w:r>
      <w:r w:rsidR="00EE36B6">
        <w:rPr>
          <w:rFonts w:ascii="Times New Roman" w:hAnsi="Times New Roman" w:cs="Times New Roman"/>
          <w:color w:val="000000" w:themeColor="text1"/>
          <w:sz w:val="24"/>
          <w:szCs w:val="24"/>
        </w:rPr>
        <w:instrText>ADDIN CSL_CITATION {"citationItems":[{"id":"ITEM-1","itemData":{"author":[{"dropping-particle":"","family":"Battisti","given":"Professeur Oreste","non-dropping-particle":"","parse-names":false,"suffix":""},{"dropping-particle":"De","family":"Cours","given":"Chargé","non-dropping-particle":"","parse-names":false,"suffix":""},{"dropping-particle":"De","family":"Médecine","given":"Faculté","non-dropping-particle":"","parse-names":false,"suffix":""},{"dropping-particle":"De","family":"Liège","given":"Université","non-dropping-particle":"","parse-names":false,"suffix":""},{"dropping-particle":"","family":"Définitions","given":"A","non-dropping-particle":"","parse-names":false,"suffix":""}],"id":"ITEM-1","issued":{"date-parts":[["0"]]},"page":"1-26","title":"Diagnostic et prise en charge de l ’ hyperbilirubinémie ( à partir de 35 semaines d ’ âge gestationnel )","type":"article-journal"},"uris":["http://www.mendeley.com/documents/?uuid=593aa58c-b2ee-42ab-be1d-e0b1554d69e5","http://www.mendeley.com/documents/?uuid=8efb4bd5-bce5-46ac-91e0-063c05cc6fba"]}],"mendeley":{"formattedCitation":"(3)","plainTextFormattedCitation":"(3)","previouslyFormattedCitation":"(3)"},"properties":{"noteIndex":0},"schema":"https://github.com/citation-style-language/schema/raw/master/csl-citation.json"}</w:instrText>
      </w:r>
      <w:r w:rsidR="007C0BA7" w:rsidRPr="000A4A0F">
        <w:rPr>
          <w:rFonts w:ascii="Times New Roman" w:hAnsi="Times New Roman" w:cs="Times New Roman"/>
          <w:color w:val="000000" w:themeColor="text1"/>
          <w:sz w:val="24"/>
          <w:szCs w:val="24"/>
        </w:rPr>
        <w:fldChar w:fldCharType="separate"/>
      </w:r>
      <w:r w:rsidR="007C0BA7" w:rsidRPr="000A4A0F">
        <w:rPr>
          <w:rFonts w:ascii="Times New Roman" w:hAnsi="Times New Roman" w:cs="Times New Roman"/>
          <w:noProof/>
          <w:color w:val="000000" w:themeColor="text1"/>
          <w:sz w:val="24"/>
          <w:szCs w:val="24"/>
        </w:rPr>
        <w:t>(3)</w:t>
      </w:r>
      <w:r w:rsidR="007C0BA7" w:rsidRPr="000A4A0F">
        <w:rPr>
          <w:rFonts w:ascii="Times New Roman" w:hAnsi="Times New Roman" w:cs="Times New Roman"/>
          <w:color w:val="000000" w:themeColor="text1"/>
          <w:sz w:val="24"/>
          <w:szCs w:val="24"/>
        </w:rPr>
        <w:fldChar w:fldCharType="end"/>
      </w:r>
      <w:r w:rsidRPr="000A4A0F">
        <w:rPr>
          <w:rFonts w:ascii="Times New Roman" w:eastAsia="Times New Roman" w:hAnsi="Times New Roman" w:cs="Times New Roman"/>
          <w:color w:val="000000" w:themeColor="text1"/>
          <w:sz w:val="24"/>
          <w:szCs w:val="24"/>
          <w:lang w:eastAsia="fr-FR"/>
        </w:rPr>
        <w:t xml:space="preserve"> </w:t>
      </w:r>
    </w:p>
    <w:p w14:paraId="6A03A1E9" w14:textId="45A4CA22" w:rsidR="00A6476A" w:rsidRPr="000A4A0F" w:rsidRDefault="00A6476A"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L’allo-immunisation érythrocytaire </w:t>
      </w:r>
      <w:r w:rsidR="0013083C" w:rsidRPr="000A4A0F">
        <w:rPr>
          <w:rFonts w:ascii="Times New Roman" w:hAnsi="Times New Roman" w:cs="Times New Roman"/>
          <w:sz w:val="24"/>
          <w:szCs w:val="24"/>
        </w:rPr>
        <w:t>fœto-maternelle</w:t>
      </w:r>
      <w:r w:rsidRPr="000A4A0F">
        <w:rPr>
          <w:rFonts w:ascii="Times New Roman" w:hAnsi="Times New Roman" w:cs="Times New Roman"/>
          <w:sz w:val="24"/>
          <w:szCs w:val="24"/>
        </w:rPr>
        <w:t xml:space="preserve"> est la principale cause d’ictère sévère en France avec 36% des cas d’ictère sévère dus </w:t>
      </w:r>
      <w:r w:rsidR="007C0BA7" w:rsidRPr="000A4A0F">
        <w:rPr>
          <w:rFonts w:ascii="Times New Roman" w:hAnsi="Times New Roman" w:cs="Times New Roman"/>
          <w:sz w:val="24"/>
          <w:szCs w:val="24"/>
        </w:rPr>
        <w:t>à une incompatibilité ABO</w:t>
      </w:r>
      <w:r w:rsidRPr="000A4A0F">
        <w:rPr>
          <w:rFonts w:ascii="Times New Roman" w:hAnsi="Times New Roman" w:cs="Times New Roman"/>
          <w:sz w:val="24"/>
          <w:szCs w:val="24"/>
        </w:rPr>
        <w:t>.</w:t>
      </w:r>
      <w:r w:rsidR="007C0BA7"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DOI":"10.1016/j.puhe.2007.12.005","author":[{"dropping-particle":"","family":"Tshilolo","given":"L","non-dropping-particle":"","parse-names":false,"suffix":""},{"dropping-particle":"","family":"Kafando","given":"E","non-dropping-particle":"","parse-names":false,"suffix":""},{"dropping-particle":"","family":"Sawadogo","given":"M","non-dropping-particle":"","parse-names":false,"suffix":""},{"dropping-particle":"","family":"Cotton","given":"F","non-dropping-particle":"","parse-names":false,"suffix":""},{"dropping-particle":"","family":"Vertongen","given":"F","non-dropping-particle":"","parse-names":false,"suffix":""}],"id":"ITEM-1","issued":{"date-parts":[["2008"]]},"title":"Neonatal screening and clinical care programmes for sickle cell disorders in sub-Saharan Africa : Lessons from pilot studies","type":"article-journal"},"uris":["http://www.mendeley.com/documents/?uuid=33a715f3-0b64-4e7c-9dc9-0d3dfdb6e8f3","http://www.mendeley.com/documents/?uuid=080b13e6-6fd1-49e6-8228-36d486f89803"]}],"mendeley":{"formattedCitation":"(29)","plainTextFormattedCitation":"(29)","previouslyFormattedCitation":"(30)"},"properties":{"noteIndex":0},"schema":"https://github.com/citation-style-language/schema/raw/master/csl-citation.json"}</w:instrText>
      </w:r>
      <w:r w:rsidR="007C0BA7"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(29)</w:t>
      </w:r>
      <w:r w:rsidR="007C0BA7" w:rsidRPr="000A4A0F">
        <w:rPr>
          <w:rFonts w:ascii="Times New Roman" w:hAnsi="Times New Roman" w:cs="Times New Roman"/>
          <w:sz w:val="24"/>
          <w:szCs w:val="24"/>
        </w:rPr>
        <w:fldChar w:fldCharType="end"/>
      </w:r>
    </w:p>
    <w:p w14:paraId="28674DA0" w14:textId="77777777" w:rsidR="00A6476A" w:rsidRPr="000A4A0F" w:rsidRDefault="00A6476A"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Elle est la première cause d'ictère hémolytique. </w:t>
      </w:r>
    </w:p>
    <w:p w14:paraId="1E19AEC5" w14:textId="77777777" w:rsidR="00745E68" w:rsidRPr="000A4A0F" w:rsidRDefault="00A6476A" w:rsidP="006612D9">
      <w:pPr>
        <w:pStyle w:val="Paragraphedeliste"/>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Incompatibilité </w:t>
      </w:r>
      <w:r w:rsidR="0013083C" w:rsidRPr="000A4A0F">
        <w:rPr>
          <w:rFonts w:ascii="Times New Roman" w:hAnsi="Times New Roman" w:cs="Times New Roman"/>
          <w:sz w:val="24"/>
          <w:szCs w:val="24"/>
        </w:rPr>
        <w:t>fœto-maternelle</w:t>
      </w:r>
      <w:r w:rsidRPr="000A4A0F">
        <w:rPr>
          <w:rFonts w:ascii="Times New Roman" w:hAnsi="Times New Roman" w:cs="Times New Roman"/>
          <w:sz w:val="24"/>
          <w:szCs w:val="24"/>
        </w:rPr>
        <w:t xml:space="preserve"> dans le système rhésus :</w:t>
      </w:r>
    </w:p>
    <w:p w14:paraId="5A528585" w14:textId="77777777" w:rsidR="00A6476A" w:rsidRPr="000A4A0F" w:rsidRDefault="00A6476A"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L'incompatibilité anti-D est de loin la plus rencontrée. Elle s'observe chez l'enfant rhésus positif né d'une mère rhésus négatif. Les femmes rhésus négatif sont susceptibles de fabriquer des anticorps acquis contre le facteur rhésus. L'immunisation peut avoir lieu : </w:t>
      </w:r>
    </w:p>
    <w:p w14:paraId="2AD923DF" w14:textId="77777777" w:rsidR="000628B8" w:rsidRPr="000A4A0F" w:rsidRDefault="00A6476A" w:rsidP="006612D9">
      <w:pPr>
        <w:pStyle w:val="Paragraphedeliste"/>
        <w:numPr>
          <w:ilvl w:val="0"/>
          <w:numId w:val="5"/>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soit au cours d'une transfusion avec erreur de groupe, même dans le jeune âge; </w:t>
      </w:r>
    </w:p>
    <w:p w14:paraId="6741F2B5" w14:textId="77777777" w:rsidR="000628B8" w:rsidRPr="000A4A0F" w:rsidRDefault="00A6476A" w:rsidP="006612D9">
      <w:pPr>
        <w:pStyle w:val="Paragraphedeliste"/>
        <w:numPr>
          <w:ilvl w:val="0"/>
          <w:numId w:val="5"/>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 soit au cours d'une première grossesse, si le </w:t>
      </w:r>
      <w:r w:rsidR="00745E68" w:rsidRPr="000A4A0F">
        <w:rPr>
          <w:rFonts w:ascii="Times New Roman" w:hAnsi="Times New Roman" w:cs="Times New Roman"/>
          <w:sz w:val="24"/>
          <w:szCs w:val="24"/>
        </w:rPr>
        <w:t>fœtus</w:t>
      </w:r>
      <w:r w:rsidRPr="000A4A0F">
        <w:rPr>
          <w:rFonts w:ascii="Times New Roman" w:hAnsi="Times New Roman" w:cs="Times New Roman"/>
          <w:sz w:val="24"/>
          <w:szCs w:val="24"/>
        </w:rPr>
        <w:t xml:space="preserve"> est rhésus positif. </w:t>
      </w:r>
    </w:p>
    <w:p w14:paraId="6808FBA5" w14:textId="77777777" w:rsidR="00A6476A" w:rsidRPr="000A4A0F" w:rsidRDefault="00A6476A"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Des hématies </w:t>
      </w:r>
      <w:r w:rsidR="00745E68" w:rsidRPr="000A4A0F">
        <w:rPr>
          <w:rFonts w:ascii="Times New Roman" w:hAnsi="Times New Roman" w:cs="Times New Roman"/>
          <w:sz w:val="24"/>
          <w:szCs w:val="24"/>
        </w:rPr>
        <w:t>fœtales</w:t>
      </w:r>
      <w:r w:rsidRPr="000A4A0F">
        <w:rPr>
          <w:rFonts w:ascii="Times New Roman" w:hAnsi="Times New Roman" w:cs="Times New Roman"/>
          <w:sz w:val="24"/>
          <w:szCs w:val="24"/>
        </w:rPr>
        <w:t xml:space="preserve"> peuvent passer dans la circulation maternelle et induire la formation d'anticorps. Ce passage se fait surtout en fin de grossesse et lors de l'accouchement. La production d'anticorps sera réactivée lors des grossesses ultérieures, et le risque de maladie rhésus grave augmente lors des grossesses suivantes. </w:t>
      </w:r>
    </w:p>
    <w:p w14:paraId="3BAAC661" w14:textId="77777777" w:rsidR="006222AD" w:rsidRPr="000A4A0F" w:rsidRDefault="00A6476A"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Les anticorps anti-rhésus, de faible poids moléculaire sont susceptibles de passer dans la circulation </w:t>
      </w:r>
      <w:r w:rsidR="00745E68" w:rsidRPr="000A4A0F">
        <w:rPr>
          <w:rFonts w:ascii="Times New Roman" w:hAnsi="Times New Roman" w:cs="Times New Roman"/>
          <w:sz w:val="24"/>
          <w:szCs w:val="24"/>
        </w:rPr>
        <w:t>fœtale</w:t>
      </w:r>
      <w:r w:rsidRPr="000A4A0F">
        <w:rPr>
          <w:rFonts w:ascii="Times New Roman" w:hAnsi="Times New Roman" w:cs="Times New Roman"/>
          <w:sz w:val="24"/>
          <w:szCs w:val="24"/>
        </w:rPr>
        <w:t xml:space="preserve"> et provoquer une hémolys</w:t>
      </w:r>
      <w:r w:rsidR="00FF2736" w:rsidRPr="000A4A0F">
        <w:rPr>
          <w:rFonts w:ascii="Times New Roman" w:hAnsi="Times New Roman" w:cs="Times New Roman"/>
          <w:sz w:val="24"/>
          <w:szCs w:val="24"/>
        </w:rPr>
        <w:t xml:space="preserve">e. </w:t>
      </w:r>
    </w:p>
    <w:p w14:paraId="21893E1F" w14:textId="2E8EBB79" w:rsidR="00745E68" w:rsidRPr="000A4A0F" w:rsidRDefault="006222AD"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La maladie hémolytique sévère se manifeste in utero comme anémie progressive et hypoalbuminémie, conduisant à </w:t>
      </w:r>
      <w:r w:rsidR="000C47EF" w:rsidRPr="000A4A0F">
        <w:rPr>
          <w:rFonts w:ascii="Times New Roman" w:hAnsi="Times New Roman" w:cs="Times New Roman"/>
          <w:sz w:val="24"/>
          <w:szCs w:val="24"/>
        </w:rPr>
        <w:t>une</w:t>
      </w:r>
      <w:r w:rsidRPr="000A4A0F">
        <w:rPr>
          <w:rFonts w:ascii="Times New Roman" w:hAnsi="Times New Roman" w:cs="Times New Roman"/>
          <w:sz w:val="24"/>
          <w:szCs w:val="24"/>
        </w:rPr>
        <w:t xml:space="preserve"> anasarque (œdème) et une insuffisance cardiaque (</w:t>
      </w:r>
      <w:proofErr w:type="spellStart"/>
      <w:r w:rsidRPr="000A4A0F">
        <w:rPr>
          <w:rFonts w:ascii="Times New Roman" w:hAnsi="Times New Roman" w:cs="Times New Roman"/>
          <w:sz w:val="24"/>
          <w:szCs w:val="24"/>
        </w:rPr>
        <w:t>Hydrops</w:t>
      </w:r>
      <w:proofErr w:type="spellEnd"/>
      <w:r w:rsidRPr="000A4A0F">
        <w:rPr>
          <w:rFonts w:ascii="Times New Roman" w:hAnsi="Times New Roman" w:cs="Times New Roman"/>
          <w:sz w:val="24"/>
          <w:szCs w:val="24"/>
        </w:rPr>
        <w:t xml:space="preserve"> </w:t>
      </w:r>
      <w:proofErr w:type="spellStart"/>
      <w:r w:rsidRPr="000A4A0F">
        <w:rPr>
          <w:rFonts w:ascii="Times New Roman" w:hAnsi="Times New Roman" w:cs="Times New Roman"/>
          <w:sz w:val="24"/>
          <w:szCs w:val="24"/>
        </w:rPr>
        <w:t>fetalis</w:t>
      </w:r>
      <w:proofErr w:type="spellEnd"/>
      <w:r w:rsidRPr="000A4A0F">
        <w:rPr>
          <w:rFonts w:ascii="Times New Roman" w:hAnsi="Times New Roman" w:cs="Times New Roman"/>
          <w:sz w:val="24"/>
          <w:szCs w:val="24"/>
        </w:rPr>
        <w:t>), entraînant des mort-nés ou des décès néonataux précoces. Les nourrissons survivants peuvent présenter un ictère grave, une anémie et la mort par ictère nucléaire ou des lésion</w:t>
      </w:r>
      <w:r w:rsidR="00892190" w:rsidRPr="000A4A0F">
        <w:rPr>
          <w:rFonts w:ascii="Times New Roman" w:hAnsi="Times New Roman" w:cs="Times New Roman"/>
          <w:sz w:val="24"/>
          <w:szCs w:val="24"/>
        </w:rPr>
        <w:t>s cérébrales résultant d’une hyper bilirubinémie extrême (</w:t>
      </w:r>
      <w:r w:rsidR="00FF2736" w:rsidRPr="000A4A0F">
        <w:rPr>
          <w:rFonts w:ascii="Times New Roman" w:hAnsi="Times New Roman" w:cs="Times New Roman"/>
          <w:sz w:val="24"/>
          <w:szCs w:val="24"/>
        </w:rPr>
        <w:t>HB</w:t>
      </w:r>
      <w:r w:rsidR="00E37154" w:rsidRPr="000A4A0F">
        <w:rPr>
          <w:rFonts w:ascii="Times New Roman" w:hAnsi="Times New Roman" w:cs="Times New Roman"/>
          <w:sz w:val="24"/>
          <w:szCs w:val="24"/>
        </w:rPr>
        <w:t>E</w:t>
      </w:r>
      <w:r w:rsidR="00303F13" w:rsidRPr="000A4A0F">
        <w:rPr>
          <w:rFonts w:ascii="Times New Roman" w:hAnsi="Times New Roman" w:cs="Times New Roman"/>
          <w:sz w:val="24"/>
          <w:szCs w:val="24"/>
        </w:rPr>
        <w:t>)</w:t>
      </w:r>
      <w:r w:rsidR="00FF2736" w:rsidRPr="000A4A0F">
        <w:rPr>
          <w:rFonts w:ascii="Times New Roman" w:hAnsi="Times New Roman" w:cs="Times New Roman"/>
          <w:sz w:val="24"/>
          <w:szCs w:val="24"/>
        </w:rPr>
        <w:t>.</w:t>
      </w:r>
      <w:r w:rsidR="00303F13"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{"citationItems":[{"id":"ITEM-1","itemData":{"DOI":"10.1038/pr.2013.208","author":[{"dropping-particle":"","family":"Mori","given":"Rintaro","non-dropping-particle":"","parse-names":false,"suffix":""},{"dropping-particle":"","family":"Slusher","given":"Tina M","non-dropping-particle":"","parse-names":false,"suffix":""},{"dropping-particle":"","family":"Fahmy","given":"Nahed","non-dropping-particle":"","parse-names":false,"suffix":""},{"dropping-particle":"","family":"Paul","given":"Vinod K","non-dropping-particle":"","parse-names":false,"suffix":""},{"dropping-particle":"","family":"Du","given":"Lizhong","non-dropping-particle":"","parse-names":false,"suffix":""},{"dropping-particle":"","family":"Okolo","given":"Angela A","non-dropping-particle":"","parse-names":false,"suffix":""},{"dropping-particle":"De","family":"Almeida","given":"Maria-fernanda","non-dropping-particle":"","parse-names":false,"suffix":""}],"id":"ITEM-1","issue":"December","issued":{"date-parts":[["2013"]]},"title":"newborn : incidence and impairment estimates for 2010 at regional and global levels","type":"article-journal","volume":"74"},"uris":["http://www.mendeley.com/documents/?uuid=babb6450-bc83-4ec0-97f2-7a0c2dcbeffa","http://www.mendeley.com/documents/?uuid=d69a48d6-6dbe-4407-bc40-e7e025d32464"]}],"mendeley":{"formattedCitation":"(2)","plainTextFormattedCitation":"(2)","previouslyFormattedCitation":"(2)"},"properties":{"noteIndex":0},"schema":"https://github.com/citation-style-language/schema/raw/master/csl-citation.json"}</w:instrText>
      </w:r>
      <w:r w:rsidR="00303F13" w:rsidRPr="000A4A0F">
        <w:rPr>
          <w:rFonts w:ascii="Times New Roman" w:hAnsi="Times New Roman" w:cs="Times New Roman"/>
          <w:sz w:val="24"/>
          <w:szCs w:val="24"/>
        </w:rPr>
        <w:fldChar w:fldCharType="separate"/>
      </w:r>
      <w:r w:rsidR="00303F13" w:rsidRPr="000A4A0F">
        <w:rPr>
          <w:rFonts w:ascii="Times New Roman" w:hAnsi="Times New Roman" w:cs="Times New Roman"/>
          <w:noProof/>
          <w:sz w:val="24"/>
          <w:szCs w:val="24"/>
        </w:rPr>
        <w:t>(2)</w:t>
      </w:r>
      <w:r w:rsidR="00303F13" w:rsidRPr="000A4A0F">
        <w:rPr>
          <w:rFonts w:ascii="Times New Roman" w:hAnsi="Times New Roman" w:cs="Times New Roman"/>
          <w:sz w:val="24"/>
          <w:szCs w:val="24"/>
        </w:rPr>
        <w:fldChar w:fldCharType="end"/>
      </w:r>
    </w:p>
    <w:p w14:paraId="2920FEA9" w14:textId="77777777" w:rsidR="00F851AA" w:rsidRPr="000A4A0F" w:rsidRDefault="00A6476A"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Si elle est importante dès la période intra-utérine, on peut se trouver devant un tableau d'anasarque </w:t>
      </w:r>
      <w:proofErr w:type="spellStart"/>
      <w:r w:rsidRPr="000A4A0F">
        <w:rPr>
          <w:rFonts w:ascii="Times New Roman" w:hAnsi="Times New Roman" w:cs="Times New Roman"/>
          <w:sz w:val="24"/>
          <w:szCs w:val="24"/>
        </w:rPr>
        <w:t>foeto</w:t>
      </w:r>
      <w:proofErr w:type="spellEnd"/>
      <w:r w:rsidRPr="000A4A0F">
        <w:rPr>
          <w:rFonts w:ascii="Times New Roman" w:hAnsi="Times New Roman" w:cs="Times New Roman"/>
          <w:sz w:val="24"/>
          <w:szCs w:val="24"/>
        </w:rPr>
        <w:t xml:space="preserve">-placentaire. L'enfant est alors jaune pâle, avec des </w:t>
      </w:r>
      <w:r w:rsidR="000628B8" w:rsidRPr="000A4A0F">
        <w:rPr>
          <w:rFonts w:ascii="Times New Roman" w:hAnsi="Times New Roman" w:cs="Times New Roman"/>
          <w:sz w:val="24"/>
          <w:szCs w:val="24"/>
        </w:rPr>
        <w:t>œdèmes</w:t>
      </w:r>
      <w:r w:rsidRPr="000A4A0F">
        <w:rPr>
          <w:rFonts w:ascii="Times New Roman" w:hAnsi="Times New Roman" w:cs="Times New Roman"/>
          <w:sz w:val="24"/>
          <w:szCs w:val="24"/>
        </w:rPr>
        <w:t xml:space="preserve"> généralisés, voire des épanchements séreux, il a une hépato splénomégalie importante.</w:t>
      </w:r>
    </w:p>
    <w:p w14:paraId="71D6533D" w14:textId="77777777" w:rsidR="00A6476A" w:rsidRPr="000A4A0F" w:rsidRDefault="00A6476A"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lastRenderedPageBreak/>
        <w:t xml:space="preserve">Les autres signes de l'incompatibilité </w:t>
      </w:r>
      <w:r w:rsidR="00030205" w:rsidRPr="000A4A0F">
        <w:rPr>
          <w:rFonts w:ascii="Times New Roman" w:hAnsi="Times New Roman" w:cs="Times New Roman"/>
          <w:sz w:val="24"/>
          <w:szCs w:val="24"/>
        </w:rPr>
        <w:t>fœto-maternelle</w:t>
      </w:r>
      <w:r w:rsidRPr="000A4A0F">
        <w:rPr>
          <w:rFonts w:ascii="Times New Roman" w:hAnsi="Times New Roman" w:cs="Times New Roman"/>
          <w:sz w:val="24"/>
          <w:szCs w:val="24"/>
        </w:rPr>
        <w:t xml:space="preserve"> dans le système rhésus sont l’érythrob</w:t>
      </w:r>
      <w:r w:rsidR="006222AD" w:rsidRPr="000A4A0F">
        <w:rPr>
          <w:rFonts w:ascii="Times New Roman" w:hAnsi="Times New Roman" w:cs="Times New Roman"/>
          <w:sz w:val="24"/>
          <w:szCs w:val="24"/>
        </w:rPr>
        <w:t xml:space="preserve">lastose avec réticulocytose. </w:t>
      </w:r>
    </w:p>
    <w:p w14:paraId="46442DB1" w14:textId="39BC3ECE" w:rsidR="00FF2736" w:rsidRPr="000A4A0F" w:rsidRDefault="00030205"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 diagnostic est facile : la mère est du groupe rhésus </w:t>
      </w:r>
      <w:r w:rsidR="00303F13" w:rsidRPr="000A4A0F">
        <w:rPr>
          <w:rFonts w:ascii="Times New Roman" w:hAnsi="Times New Roman" w:cs="Times New Roman"/>
          <w:sz w:val="24"/>
          <w:szCs w:val="24"/>
        </w:rPr>
        <w:t>négatif ;</w:t>
      </w:r>
      <w:r w:rsidRPr="000A4A0F">
        <w:rPr>
          <w:rFonts w:ascii="Times New Roman" w:hAnsi="Times New Roman" w:cs="Times New Roman"/>
          <w:sz w:val="24"/>
          <w:szCs w:val="24"/>
        </w:rPr>
        <w:t xml:space="preserve"> l'enfant du groupe rhésus positif, et a un</w:t>
      </w:r>
      <w:r w:rsidR="00FF2736" w:rsidRPr="000A4A0F">
        <w:rPr>
          <w:rFonts w:ascii="Times New Roman" w:hAnsi="Times New Roman" w:cs="Times New Roman"/>
          <w:sz w:val="24"/>
          <w:szCs w:val="24"/>
        </w:rPr>
        <w:t xml:space="preserve"> test de </w:t>
      </w:r>
      <w:proofErr w:type="spellStart"/>
      <w:r w:rsidR="00FF2736" w:rsidRPr="000A4A0F">
        <w:rPr>
          <w:rFonts w:ascii="Times New Roman" w:hAnsi="Times New Roman" w:cs="Times New Roman"/>
          <w:sz w:val="24"/>
          <w:szCs w:val="24"/>
        </w:rPr>
        <w:t>coombs</w:t>
      </w:r>
      <w:proofErr w:type="spellEnd"/>
      <w:r w:rsidR="00FF2736" w:rsidRPr="000A4A0F">
        <w:rPr>
          <w:rFonts w:ascii="Times New Roman" w:hAnsi="Times New Roman" w:cs="Times New Roman"/>
          <w:sz w:val="24"/>
          <w:szCs w:val="24"/>
        </w:rPr>
        <w:t xml:space="preserve"> direct positif.</w:t>
      </w:r>
    </w:p>
    <w:p w14:paraId="4099B3BF" w14:textId="77777777" w:rsidR="00030205" w:rsidRPr="000A4A0F" w:rsidRDefault="00030205"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 traitement repose essentiellement sur l’exsanguino-transfusion. A côté des incompatibilités rhésus classiques (1iés au facteur D), on décrit des incompatibi1ités rhésus pour les antigènes C et E qui sont moins fréquentes mais donnent également une anémie et un ictère. L'incompatibilité dans le système Kell est rare. Les incompatibilités Duffy, MNS, Kidd sont exceptionnelles. </w:t>
      </w:r>
    </w:p>
    <w:p w14:paraId="6391750F" w14:textId="77777777" w:rsidR="00030205" w:rsidRPr="000A4A0F" w:rsidRDefault="00030205" w:rsidP="006612D9">
      <w:pPr>
        <w:pStyle w:val="Paragraphedeliste"/>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Incompatibilité </w:t>
      </w:r>
      <w:r w:rsidR="00730A38" w:rsidRPr="000A4A0F">
        <w:rPr>
          <w:rFonts w:ascii="Times New Roman" w:hAnsi="Times New Roman" w:cs="Times New Roman"/>
          <w:sz w:val="24"/>
          <w:szCs w:val="24"/>
        </w:rPr>
        <w:t>fœto-maternelle</w:t>
      </w:r>
      <w:r w:rsidRPr="000A4A0F">
        <w:rPr>
          <w:rFonts w:ascii="Times New Roman" w:hAnsi="Times New Roman" w:cs="Times New Roman"/>
          <w:sz w:val="24"/>
          <w:szCs w:val="24"/>
        </w:rPr>
        <w:t xml:space="preserve"> dans le système ABO : </w:t>
      </w:r>
    </w:p>
    <w:p w14:paraId="5E44B603" w14:textId="36E86534" w:rsidR="00030205" w:rsidRPr="000A4A0F" w:rsidRDefault="00030205"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L’iso-immunisation ABO est une cause courante d’hyper-bilirubinémie grave. Les bébés dont le sang de la mère est de groupe O ont un rapport de cotes d’hype</w:t>
      </w:r>
      <w:r w:rsidR="006F678A" w:rsidRPr="000A4A0F">
        <w:rPr>
          <w:rFonts w:ascii="Times New Roman" w:hAnsi="Times New Roman" w:cs="Times New Roman"/>
          <w:sz w:val="24"/>
          <w:szCs w:val="24"/>
        </w:rPr>
        <w:t>r</w:t>
      </w:r>
      <w:r w:rsidR="00303F13" w:rsidRPr="000A4A0F">
        <w:rPr>
          <w:rFonts w:ascii="Times New Roman" w:hAnsi="Times New Roman" w:cs="Times New Roman"/>
          <w:sz w:val="24"/>
          <w:szCs w:val="24"/>
        </w:rPr>
        <w:t>-bilirubinémie grave de 2,9</w:t>
      </w:r>
      <w:r w:rsidRPr="000A4A0F">
        <w:rPr>
          <w:rFonts w:ascii="Times New Roman" w:hAnsi="Times New Roman" w:cs="Times New Roman"/>
          <w:sz w:val="24"/>
          <w:szCs w:val="24"/>
        </w:rPr>
        <w:t>.</w:t>
      </w:r>
      <w:r w:rsidR="00303F13"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{"citationItems":[{"id":"ITEM-1","itemData":{"author":[{"dropping-particle":"","family":"Senterre T., Minon J.M.","given":"and Rigo J","non-dropping-particle":"","parse-names":false,"suffix":""}],"container-title":"Archives de Pédiatrie,","id":"ITEM-1","issue":"3","issued":{"date-parts":[["2009"]]},"page":"279-282","title":"L'allo-immunisation foeto-maternelle ABO peut être sévère.","type":"article-journal","volume":"18"},"uris":["http://www.mendeley.com/documents/?uuid=aa61ac2b-9c40-4b33-8ce2-cd020e8f1d02","http://www.mendeley.com/documents/?uuid=24dfa37e-37c1-4867-8c5f-17e59852caa0"]}],"mendeley":{"formattedCitation":"(23)","plainTextFormattedCitation":"(23)","previouslyFormattedCitation":"(24)"},"properties":{"noteIndex":0},"schema":"https://github.com/citation-style-language/schema/raw/master/csl-citation.json"}</w:instrText>
      </w:r>
      <w:r w:rsidR="00303F13"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(23)</w:t>
      </w:r>
      <w:r w:rsidR="00303F13"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L'incompatibilité dans le système ABO est souvent due à une immunisation A/O (mère de groupe O développant des anticorps anti-A contre son </w:t>
      </w:r>
      <w:r w:rsidR="00AA166E" w:rsidRPr="000A4A0F">
        <w:rPr>
          <w:rFonts w:ascii="Times New Roman" w:hAnsi="Times New Roman" w:cs="Times New Roman"/>
          <w:sz w:val="24"/>
          <w:szCs w:val="24"/>
        </w:rPr>
        <w:t>fœtus</w:t>
      </w:r>
      <w:r w:rsidRPr="000A4A0F">
        <w:rPr>
          <w:rFonts w:ascii="Times New Roman" w:hAnsi="Times New Roman" w:cs="Times New Roman"/>
          <w:sz w:val="24"/>
          <w:szCs w:val="24"/>
        </w:rPr>
        <w:t xml:space="preserve"> du groupe A). Elle donne lieu à un ictère précoce et intense associé à une anémie post natale. Une étude récente, a montré que le type d’incompatibilité ABO (O/A ou O/B) n'a pas d'effet sur la sévérité de l’ictère hémolytiqu</w:t>
      </w:r>
      <w:r w:rsidR="00303F13" w:rsidRPr="000A4A0F">
        <w:rPr>
          <w:rFonts w:ascii="Times New Roman" w:hAnsi="Times New Roman" w:cs="Times New Roman"/>
          <w:sz w:val="24"/>
          <w:szCs w:val="24"/>
        </w:rPr>
        <w:t>e chez les nouveau-nés turcs</w:t>
      </w:r>
      <w:r w:rsidRPr="000A4A0F">
        <w:rPr>
          <w:rFonts w:ascii="Times New Roman" w:hAnsi="Times New Roman" w:cs="Times New Roman"/>
          <w:sz w:val="24"/>
          <w:szCs w:val="24"/>
        </w:rPr>
        <w:t xml:space="preserve">. </w:t>
      </w:r>
      <w:r w:rsidR="00303F13"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{"citationItems":[{"id":"ITEM-1","itemData":{"author":[{"dropping-particle":"","family":"Senterre T., Minon J.M.","given":"and Rigo J","non-dropping-particle":"","parse-names":false,"suffix":""}],"container-title":"Archives de Pédiatrie,","id":"ITEM-1","issue":"3","issued":{"date-parts":[["2009"]]},"page":"279-282","title":"L'allo-immunisation foeto-maternelle ABO peut être sévère.","type":"article-journal","volume":"18"},"uris":["http://www.mendeley.com/documents/?uuid=aa61ac2b-9c40-4b33-8ce2-cd020e8f1d02","http://www.mendeley.com/documents/?uuid=24dfa37e-37c1-4867-8c5f-17e59852caa0"]}],"mendeley":{"formattedCitation":"(23)","plainTextFormattedCitation":"(23)","previouslyFormattedCitation":"(24)"},"properties":{"noteIndex":0},"schema":"https://github.com/citation-style-language/schema/raw/master/csl-citation.json"}</w:instrText>
      </w:r>
      <w:r w:rsidR="00303F13"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(23)</w:t>
      </w:r>
      <w:r w:rsidR="00303F13" w:rsidRPr="000A4A0F">
        <w:rPr>
          <w:rFonts w:ascii="Times New Roman" w:hAnsi="Times New Roman" w:cs="Times New Roman"/>
          <w:sz w:val="24"/>
          <w:szCs w:val="24"/>
        </w:rPr>
        <w:fldChar w:fldCharType="end"/>
      </w:r>
    </w:p>
    <w:p w14:paraId="0D076AB5" w14:textId="77777777" w:rsidR="00AA166E"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En général, il n'y a pas de maladie anténatale. Chez le nouveau-né, elle se résume à un ictère dont le caractère majeur est d'être précoce. Il s'accompagne d'une anémie parfois retardée. Les manifestations sont possibles, et même assez fréquentes dès le premier enfant. Le risque n'augmente pas lors des grossesses successives. Le diagnostic peut être difficile à affirmer, car le test de Coombs est souvent négatif.</w:t>
      </w:r>
    </w:p>
    <w:p w14:paraId="70955E85" w14:textId="70B029F7" w:rsidR="00D22643" w:rsidRPr="000A4A0F" w:rsidRDefault="00FE1C6D" w:rsidP="006612D9">
      <w:pPr>
        <w:pStyle w:val="Titre4"/>
        <w:spacing w:before="0" w:line="360" w:lineRule="auto"/>
        <w:jc w:val="both"/>
        <w:rPr>
          <w:rFonts w:ascii="Times New Roman" w:hAnsi="Times New Roman" w:cs="Times New Roman"/>
          <w:b/>
          <w:sz w:val="24"/>
          <w:szCs w:val="24"/>
        </w:rPr>
      </w:pPr>
      <w:bookmarkStart w:id="28" w:name="_Toc87049054"/>
      <w:r w:rsidRPr="000A4A0F">
        <w:rPr>
          <w:rFonts w:ascii="Times New Roman" w:hAnsi="Times New Roman" w:cs="Times New Roman"/>
          <w:b/>
          <w:sz w:val="24"/>
          <w:szCs w:val="24"/>
        </w:rPr>
        <w:t>I.4</w:t>
      </w:r>
      <w:r w:rsidR="008A2764" w:rsidRPr="000A4A0F">
        <w:rPr>
          <w:rFonts w:ascii="Times New Roman" w:hAnsi="Times New Roman" w:cs="Times New Roman"/>
          <w:b/>
          <w:sz w:val="24"/>
          <w:szCs w:val="24"/>
        </w:rPr>
        <w:t xml:space="preserve">.3.2. </w:t>
      </w:r>
      <w:r w:rsidR="00D22643" w:rsidRPr="000A4A0F">
        <w:rPr>
          <w:rFonts w:ascii="Times New Roman" w:hAnsi="Times New Roman" w:cs="Times New Roman"/>
          <w:b/>
          <w:sz w:val="24"/>
          <w:szCs w:val="24"/>
        </w:rPr>
        <w:t>Hémolyses constitutionnelles :</w:t>
      </w:r>
      <w:bookmarkEnd w:id="28"/>
      <w:r w:rsidR="00D22643" w:rsidRPr="000A4A0F">
        <w:rPr>
          <w:rFonts w:ascii="Times New Roman" w:hAnsi="Times New Roman" w:cs="Times New Roman"/>
          <w:b/>
          <w:sz w:val="24"/>
          <w:szCs w:val="24"/>
        </w:rPr>
        <w:t xml:space="preserve"> </w:t>
      </w:r>
    </w:p>
    <w:p w14:paraId="2D57FA12" w14:textId="77777777" w:rsidR="00D22643" w:rsidRPr="000A4A0F" w:rsidRDefault="00D22643" w:rsidP="006612D9">
      <w:pPr>
        <w:pStyle w:val="Paragraphedeliste"/>
        <w:numPr>
          <w:ilvl w:val="0"/>
          <w:numId w:val="7"/>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Déficits enzymatiques </w:t>
      </w:r>
    </w:p>
    <w:p w14:paraId="232151CB" w14:textId="4226ADAC" w:rsidR="00D22643"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Les anomalies enzymatiques du globule rouge représentent une pathologie fréquente avec notamment le déficit en glucose-6-phosphate déshydrogénase (G6PD). Cette pathologie touche essentiellement les ethnies africaines et du bassin méditerranéen, avec jusqu’à 20% d’atteintes dans ces populations. Cette pathologie liée au chromosome X affecte préférentiellement les garçons mais peut aussi entrainer des ictères néonataux chez des filles hétérozygotes. Le diagnostic, en dehors de l’orientation de l’ethnie et du sexe, repose sur un test direct à l’anti globuline négatif et la recherche d’un déficit qualitatif de la G6PD sur les cellules sanguines périphériques. Ce déficit enzymatique est un facteur de risque très important de l’hyper bilirubinémie sévère dans la période néonatale, en particulier si elle est couplée à un polymorphisme génétique dans le gène </w:t>
      </w:r>
      <w:proofErr w:type="spellStart"/>
      <w:r w:rsidRPr="000A4A0F">
        <w:rPr>
          <w:rFonts w:ascii="Times New Roman" w:hAnsi="Times New Roman" w:cs="Times New Roman"/>
          <w:sz w:val="24"/>
          <w:szCs w:val="24"/>
        </w:rPr>
        <w:t>glucuronosyl</w:t>
      </w:r>
      <w:proofErr w:type="spellEnd"/>
      <w:r w:rsidRPr="000A4A0F">
        <w:rPr>
          <w:rFonts w:ascii="Times New Roman" w:hAnsi="Times New Roman" w:cs="Times New Roman"/>
          <w:sz w:val="24"/>
          <w:szCs w:val="24"/>
        </w:rPr>
        <w:t xml:space="preserve"> transférase, ou si l'hémolyse est </w:t>
      </w:r>
      <w:r w:rsidRPr="000A4A0F">
        <w:rPr>
          <w:rFonts w:ascii="Times New Roman" w:hAnsi="Times New Roman" w:cs="Times New Roman"/>
          <w:sz w:val="24"/>
          <w:szCs w:val="24"/>
        </w:rPr>
        <w:lastRenderedPageBreak/>
        <w:t>déclenchée par des événements intercurrents tels que les infections virales ou bactériennes. Il convient de noter que, dans les populations à forte prévalence du déficit en G6PD, comme en Grèce, la plupart des nourrissons atteints du déficit peuvent être identifiés peu après la naissance par une pratique du dép</w:t>
      </w:r>
      <w:r w:rsidR="00B51D0D" w:rsidRPr="000A4A0F">
        <w:rPr>
          <w:rFonts w:ascii="Times New Roman" w:hAnsi="Times New Roman" w:cs="Times New Roman"/>
          <w:sz w:val="24"/>
          <w:szCs w:val="24"/>
        </w:rPr>
        <w:t>i</w:t>
      </w:r>
      <w:r w:rsidR="00303F13" w:rsidRPr="000A4A0F">
        <w:rPr>
          <w:rFonts w:ascii="Times New Roman" w:hAnsi="Times New Roman" w:cs="Times New Roman"/>
          <w:sz w:val="24"/>
          <w:szCs w:val="24"/>
        </w:rPr>
        <w:t>stage universel de l’enzyme</w:t>
      </w:r>
      <w:r w:rsidRPr="000A4A0F">
        <w:rPr>
          <w:rFonts w:ascii="Times New Roman" w:hAnsi="Times New Roman" w:cs="Times New Roman"/>
          <w:sz w:val="24"/>
          <w:szCs w:val="24"/>
        </w:rPr>
        <w:t>.</w:t>
      </w:r>
      <w:r w:rsidR="00B35E49"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{"citationItems":[{"id":"ITEM-1","itemData":{"author":[{"dropping-particle":"al","family":"Joseph R, Ho LY, Gomez JM","given":"et","non-dropping-particle":"","parse-names":false,"suffix":""}],"container-title":"Southeast Asian J Trop Med Public Health","id":"ITEM-1","issue":"30","issued":{"date-parts":[["1999"]]},"title":"Mass newborn screening for glucose-6-phosphate dehydrogenase deficiency in Singapore","type":"article-journal","volume":"70-1"},"uris":["http://www.mendeley.com/documents/?uuid=91536edf-15f5-4918-a5b4-0ce7589477a4","http://www.mendeley.com/documents/?uuid=335a51ac-6232-4a03-aec2-b257842d5bf4"]}],"mendeley":{"formattedCitation":"(26)","plainTextFormattedCitation":"(26)","previouslyFormattedCitation":"(27)"},"properties":{"noteIndex":0},"schema":"https://github.com/citation-style-language/schema/raw/master/csl-citation.json"}</w:instrText>
      </w:r>
      <w:r w:rsidR="00B35E49"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(26)</w:t>
      </w:r>
      <w:r w:rsidR="00B35E49" w:rsidRPr="000A4A0F">
        <w:rPr>
          <w:rFonts w:ascii="Times New Roman" w:hAnsi="Times New Roman" w:cs="Times New Roman"/>
          <w:sz w:val="24"/>
          <w:szCs w:val="24"/>
        </w:rPr>
        <w:fldChar w:fldCharType="end"/>
      </w:r>
      <w:r w:rsidR="00B35E49"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{"citationItems":[{"id":"ITEM-1","itemData":{"author":[{"dropping-particle":"","family":"Kappas A, Drummond GS","given":"Valaes T","non-dropping-particle":"","parse-names":false,"suffix":""}],"container-title":"Pediatrics","id":"ITEM-1","issue":"26","issued":{"date-parts":[["2001"]]},"page":"1-6,","title":"A single dose of Sn mesoporphyrin prevents development of severe hyperbilirubinemia in glucose-6-phosphate dehydrogenase-deficient newborns.","type":"article-journal","volume":"108"},"uris":["http://www.mendeley.com/documents/?uuid=44d9f5ac-23c8-48d9-9d06-94984a69ceec","http://www.mendeley.com/documents/?uuid=19383fe8-818a-488e-8009-9883e006df87"]}],"mendeley":{"formattedCitation":"(30)","plainTextFormattedCitation":"(30)","previouslyFormattedCitation":"(31)"},"properties":{"noteIndex":0},"schema":"https://github.com/citation-style-language/schema/raw/master/csl-citation.json"}</w:instrText>
      </w:r>
      <w:r w:rsidR="00B35E49"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(30)</w:t>
      </w:r>
      <w:r w:rsidR="00B35E49"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w:t>
      </w:r>
    </w:p>
    <w:p w14:paraId="504B96A3" w14:textId="66488CE0" w:rsidR="008A2764"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Il est à noter que le traitement avec une dose unique de la </w:t>
      </w:r>
      <w:proofErr w:type="spellStart"/>
      <w:r w:rsidRPr="000A4A0F">
        <w:rPr>
          <w:rFonts w:ascii="Times New Roman" w:hAnsi="Times New Roman" w:cs="Times New Roman"/>
          <w:sz w:val="24"/>
          <w:szCs w:val="24"/>
        </w:rPr>
        <w:t>mesoporphyrines</w:t>
      </w:r>
      <w:proofErr w:type="spellEnd"/>
      <w:r w:rsidRPr="000A4A0F">
        <w:rPr>
          <w:rFonts w:ascii="Times New Roman" w:hAnsi="Times New Roman" w:cs="Times New Roman"/>
          <w:sz w:val="24"/>
          <w:szCs w:val="24"/>
        </w:rPr>
        <w:t xml:space="preserve"> peut empêcher l'hyper bilirubinémie grave chez les nourrissons a</w:t>
      </w:r>
      <w:r w:rsidR="007E6878" w:rsidRPr="000A4A0F">
        <w:rPr>
          <w:rFonts w:ascii="Times New Roman" w:hAnsi="Times New Roman" w:cs="Times New Roman"/>
          <w:sz w:val="24"/>
          <w:szCs w:val="24"/>
        </w:rPr>
        <w:t>t</w:t>
      </w:r>
      <w:r w:rsidR="00B35E49" w:rsidRPr="000A4A0F">
        <w:rPr>
          <w:rFonts w:ascii="Times New Roman" w:hAnsi="Times New Roman" w:cs="Times New Roman"/>
          <w:sz w:val="24"/>
          <w:szCs w:val="24"/>
        </w:rPr>
        <w:t>teints d'un déficit en G6PD</w:t>
      </w:r>
      <w:r w:rsidRPr="000A4A0F">
        <w:rPr>
          <w:rFonts w:ascii="Times New Roman" w:hAnsi="Times New Roman" w:cs="Times New Roman"/>
          <w:sz w:val="24"/>
          <w:szCs w:val="24"/>
        </w:rPr>
        <w:t>.</w:t>
      </w:r>
      <w:r w:rsidR="00B35E49"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{"citationItems":[{"id":"ITEM-1","itemData":{"author":[{"dropping-particle":"","family":"W. H. Johnston, Violetta Angara, Ruth Baumal, W. A. Hawke, Robert H. Johnson, Sylvia Keet","given":"Margaret Wood","non-dropping-particle":"","parse-names":false,"suffix":""}],"container-title":"Pediatrics","id":"ITEM-1","issued":{"date-parts":[["1967"]]},"page":"88","title":"ERYTHROBLASTOSIS FETALIS AND HYPERBILIRUBINEMIA: A Five-year Follow-up with Neurological, Psychological, and Audiological Evaluation","type":"article-journal","volume":"39"},"uris":["http://www.mendeley.com/documents/?uuid=b87c1581-114a-40b3-b05c-52f758efde82","http://www.mendeley.com/documents/?uuid=edc6bbc7-6a9d-44f9-a53b-382aa435f1e4"]}],"mendeley":{"formattedCitation":"(31)","plainTextFormattedCitation":"(31)","previouslyFormattedCitation":"(32)"},"properties":{"noteIndex":0},"schema":"https://github.com/citation-style-language/schema/raw/master/csl-citation.json"}</w:instrText>
      </w:r>
      <w:r w:rsidR="00B35E49"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(31)</w:t>
      </w:r>
      <w:r w:rsidR="00B35E49"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w:t>
      </w:r>
    </w:p>
    <w:p w14:paraId="7EDEC666" w14:textId="1773CD2D" w:rsidR="00D22643"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Le déficit en pyruvate kinase est la second</w:t>
      </w:r>
      <w:r w:rsidR="000115C6" w:rsidRPr="000A4A0F">
        <w:rPr>
          <w:rFonts w:ascii="Times New Roman" w:hAnsi="Times New Roman" w:cs="Times New Roman"/>
          <w:sz w:val="24"/>
          <w:szCs w:val="24"/>
        </w:rPr>
        <w:t>e</w:t>
      </w:r>
      <w:r w:rsidR="00B35E49" w:rsidRPr="000A4A0F">
        <w:rPr>
          <w:rFonts w:ascii="Times New Roman" w:hAnsi="Times New Roman" w:cs="Times New Roman"/>
          <w:sz w:val="24"/>
          <w:szCs w:val="24"/>
        </w:rPr>
        <w:t xml:space="preserve"> anomalie la plus fréquente</w:t>
      </w:r>
      <w:r w:rsidRPr="000A4A0F">
        <w:rPr>
          <w:rFonts w:ascii="Times New Roman" w:hAnsi="Times New Roman" w:cs="Times New Roman"/>
          <w:sz w:val="24"/>
          <w:szCs w:val="24"/>
        </w:rPr>
        <w:t>. Cette pathologie autosomique récessive sera dépistée par la mesure de l’activité pyruvat</w:t>
      </w:r>
      <w:r w:rsidR="007E6878" w:rsidRPr="000A4A0F">
        <w:rPr>
          <w:rFonts w:ascii="Times New Roman" w:hAnsi="Times New Roman" w:cs="Times New Roman"/>
          <w:sz w:val="24"/>
          <w:szCs w:val="24"/>
        </w:rPr>
        <w:t>e kinase des globu</w:t>
      </w:r>
      <w:r w:rsidR="004220DF" w:rsidRPr="000A4A0F">
        <w:rPr>
          <w:rFonts w:ascii="Times New Roman" w:hAnsi="Times New Roman" w:cs="Times New Roman"/>
          <w:sz w:val="24"/>
          <w:szCs w:val="24"/>
        </w:rPr>
        <w:t>les rouges</w:t>
      </w:r>
      <w:r w:rsidRPr="000A4A0F">
        <w:rPr>
          <w:rFonts w:ascii="Times New Roman" w:hAnsi="Times New Roman" w:cs="Times New Roman"/>
          <w:sz w:val="24"/>
          <w:szCs w:val="24"/>
        </w:rPr>
        <w:t xml:space="preserve">. </w:t>
      </w:r>
    </w:p>
    <w:p w14:paraId="436E396E" w14:textId="77777777" w:rsidR="00D22643" w:rsidRPr="000A4A0F" w:rsidRDefault="00D22643" w:rsidP="006612D9">
      <w:pPr>
        <w:pStyle w:val="Paragraphedeliste"/>
        <w:numPr>
          <w:ilvl w:val="0"/>
          <w:numId w:val="7"/>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Maladies de la membrane du globule rouge </w:t>
      </w:r>
    </w:p>
    <w:p w14:paraId="5092E73A" w14:textId="77777777" w:rsidR="004220DF" w:rsidRPr="000A4A0F" w:rsidRDefault="004220DF" w:rsidP="006612D9">
      <w:pPr>
        <w:pStyle w:val="Paragraphedeliste"/>
        <w:shd w:val="clear" w:color="auto" w:fill="FFFFFF"/>
        <w:spacing w:after="0" w:line="360" w:lineRule="auto"/>
        <w:jc w:val="both"/>
        <w:textAlignment w:val="baseline"/>
        <w:rPr>
          <w:rFonts w:ascii="Times New Roman" w:hAnsi="Times New Roman" w:cs="Times New Roman"/>
          <w:sz w:val="24"/>
          <w:szCs w:val="24"/>
        </w:rPr>
      </w:pPr>
    </w:p>
    <w:p w14:paraId="769E0CE5" w14:textId="50F8E950" w:rsidR="00D22643"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Une histoire familiale d’hémolyse doit être recherchée. Le test de Coombs direct est négatif avec un frottis sanguin anormal. Parmi les anomalies de la membrane du globule rouge, la sphérocytose héréditaire ou maladie de Minkowski-Chauffard est la plus commune. L’ictère hémolytique est généralement au premier plan, mais parfois l’anémie peut-être sévère justifiant une transfusion. Le diagnostic est le plus souvent réalisé sur le frottis sanguin orien</w:t>
      </w:r>
      <w:r w:rsidR="004220DF" w:rsidRPr="000A4A0F">
        <w:rPr>
          <w:rFonts w:ascii="Times New Roman" w:hAnsi="Times New Roman" w:cs="Times New Roman"/>
          <w:sz w:val="24"/>
          <w:szCs w:val="24"/>
        </w:rPr>
        <w:t>té par l’anamnèse familiale</w:t>
      </w:r>
      <w:r w:rsidRPr="000A4A0F">
        <w:rPr>
          <w:rFonts w:ascii="Times New Roman" w:hAnsi="Times New Roman" w:cs="Times New Roman"/>
          <w:sz w:val="24"/>
          <w:szCs w:val="24"/>
        </w:rPr>
        <w:t>.</w:t>
      </w:r>
      <w:r w:rsidR="004220DF"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{"citationItems":[{"id":"ITEM-1","itemData":{"author":[{"dropping-particle":"","family":"Cynober T, Bader Meunier B","given":"Brossard Y","non-dropping-particle":"","parse-names":false,"suffix":""}],"container-title":"pediatrie maladie infectueuse","id":"ITEM-1","issue":"R-40","issued":{"date-parts":[["2002"]]},"page":"6","title":"anémie hémolytique du nouveau né","type":"article-journal","volume":"4-002"},"uris":["http://www.mendeley.com/documents/?uuid=266d8c6f-35a4-4a5e-8469-5ecba9192e21","http://www.mendeley.com/documents/?uuid=bdb34e25-a7c8-4fea-ad6c-c34bca5d0e13"]}],"mendeley":{"formattedCitation":"(32)","plainTextFormattedCitation":"(32)","previouslyFormattedCitation":"(33)"},"properties":{"noteIndex":0},"schema":"https://github.com/citation-style-language/schema/raw/master/csl-citation.json"}</w:instrText>
      </w:r>
      <w:r w:rsidR="004220DF"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(32)</w:t>
      </w:r>
      <w:r w:rsidR="004220DF"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w:t>
      </w:r>
    </w:p>
    <w:p w14:paraId="2861A886" w14:textId="77777777" w:rsidR="00D22643" w:rsidRPr="000A4A0F" w:rsidRDefault="00D22643" w:rsidP="006612D9">
      <w:pPr>
        <w:pStyle w:val="Paragraphedeliste"/>
        <w:numPr>
          <w:ilvl w:val="0"/>
          <w:numId w:val="7"/>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Hémoglobinopathies </w:t>
      </w:r>
    </w:p>
    <w:p w14:paraId="458AF5EB" w14:textId="77777777" w:rsidR="00D22643"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Les hémoglobinopathies peuvent être liées à un défaut de structure d'une chaine de globine ou à un défaut de synthèse. On se trouve devant une situation unique, car on assiste à un changement rapide des chaines de globines synthétisées durant les dernières semaines de la période </w:t>
      </w:r>
      <w:r w:rsidR="002836FD" w:rsidRPr="000A4A0F">
        <w:rPr>
          <w:rFonts w:ascii="Times New Roman" w:hAnsi="Times New Roman" w:cs="Times New Roman"/>
          <w:sz w:val="24"/>
          <w:szCs w:val="24"/>
        </w:rPr>
        <w:t>fœtale</w:t>
      </w:r>
      <w:r w:rsidRPr="000A4A0F">
        <w:rPr>
          <w:rFonts w:ascii="Times New Roman" w:hAnsi="Times New Roman" w:cs="Times New Roman"/>
          <w:sz w:val="24"/>
          <w:szCs w:val="24"/>
        </w:rPr>
        <w:t>. Les hémoglobinopathies, en dehors de l’alpha-thalassémie majeure ne s’expriment pas ou peu durant la période néonatale. L’alpha-thalassémie majeure survient quand 3 gènes de l’alpha-globine sont mutés. Cela touche préférentiellement les populations originaires de l’Asie et du pourtour méditerranéen. Le diagnostic est suspect sur l’origine ethnique, ainsi que la gravi</w:t>
      </w:r>
      <w:r w:rsidR="00B51D0D" w:rsidRPr="000A4A0F">
        <w:rPr>
          <w:rFonts w:ascii="Times New Roman" w:hAnsi="Times New Roman" w:cs="Times New Roman"/>
          <w:sz w:val="24"/>
          <w:szCs w:val="24"/>
        </w:rPr>
        <w:t xml:space="preserve">té de l’ictère hémolytique. </w:t>
      </w:r>
    </w:p>
    <w:p w14:paraId="7F091F05" w14:textId="561AB2D4" w:rsidR="00D22643"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L’anémie est généralement profonde, microcytaire, hypochrome. Le diagnostic de certitude est fait par l’éle</w:t>
      </w:r>
      <w:r w:rsidR="00852E4F" w:rsidRPr="000A4A0F">
        <w:rPr>
          <w:rFonts w:ascii="Times New Roman" w:hAnsi="Times New Roman" w:cs="Times New Roman"/>
          <w:sz w:val="24"/>
          <w:szCs w:val="24"/>
        </w:rPr>
        <w:t>c</w:t>
      </w:r>
      <w:r w:rsidR="004220DF" w:rsidRPr="000A4A0F">
        <w:rPr>
          <w:rFonts w:ascii="Times New Roman" w:hAnsi="Times New Roman" w:cs="Times New Roman"/>
          <w:sz w:val="24"/>
          <w:szCs w:val="24"/>
        </w:rPr>
        <w:t>trophorèse de l’hémoglobine</w:t>
      </w:r>
      <w:r w:rsidRPr="000A4A0F">
        <w:rPr>
          <w:rFonts w:ascii="Times New Roman" w:hAnsi="Times New Roman" w:cs="Times New Roman"/>
          <w:sz w:val="24"/>
          <w:szCs w:val="24"/>
        </w:rPr>
        <w:t>.</w:t>
      </w:r>
      <w:r w:rsidR="004220DF"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{"citationItems":[{"id":"ITEM-1","itemData":{"author":[{"dropping-particle":"","family":"Cynober T, Bader Meunier B","given":"Brossard Y","non-dropping-particle":"","parse-names":false,"suffix":""}],"container-title":"pediatrie maladie infectueuse","id":"ITEM-1","issue":"R-40","issued":{"date-parts":[["2002"]]},"page":"6","title":"anémie hémolytique du nouveau né","type":"article-journal","volume":"4-002"},"uris":["http://www.mendeley.com/documents/?uuid=bdb34e25-a7c8-4fea-ad6c-c34bca5d0e13","http://www.mendeley.com/documents/?uuid=266d8c6f-35a4-4a5e-8469-5ecba9192e21"]}],"mendeley":{"formattedCitation":"(32)","plainTextFormattedCitation":"(32)","previouslyFormattedCitation":"(33)"},"properties":{"noteIndex":0},"schema":"https://github.com/citation-style-language/schema/raw/master/csl-citation.json"}</w:instrText>
      </w:r>
      <w:r w:rsidR="004220DF"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(32)</w:t>
      </w:r>
      <w:r w:rsidR="004220DF"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Les mutations de la chaine β sont en général asymptomatiques à la naissance et ne s'exprimeront qu'après l'âge de 2 mois, car l'hémoglobine A </w:t>
      </w:r>
      <w:r w:rsidR="00AB7085" w:rsidRPr="000A4A0F">
        <w:rPr>
          <w:rFonts w:ascii="Times New Roman" w:hAnsi="Times New Roman" w:cs="Times New Roman"/>
          <w:sz w:val="24"/>
          <w:szCs w:val="24"/>
        </w:rPr>
        <w:t>constitué</w:t>
      </w:r>
      <w:r w:rsidRPr="000A4A0F">
        <w:rPr>
          <w:rFonts w:ascii="Times New Roman" w:hAnsi="Times New Roman" w:cs="Times New Roman"/>
          <w:sz w:val="24"/>
          <w:szCs w:val="24"/>
        </w:rPr>
        <w:t xml:space="preserve"> moins de 30 % de l'ensemble des hémoglobines à la naissance. C’est le cas notamment pour l’hémoglobine S, variante la plus fréquente responsable de la drépanocytose. Le diagnostic, en revanche, peut se faire dès la naissance sur un ictère prolo</w:t>
      </w:r>
      <w:r w:rsidR="00852E4F" w:rsidRPr="000A4A0F">
        <w:rPr>
          <w:rFonts w:ascii="Times New Roman" w:hAnsi="Times New Roman" w:cs="Times New Roman"/>
          <w:sz w:val="24"/>
          <w:szCs w:val="24"/>
        </w:rPr>
        <w:t>n</w:t>
      </w:r>
      <w:r w:rsidR="004220DF" w:rsidRPr="000A4A0F">
        <w:rPr>
          <w:rFonts w:ascii="Times New Roman" w:hAnsi="Times New Roman" w:cs="Times New Roman"/>
          <w:sz w:val="24"/>
          <w:szCs w:val="24"/>
        </w:rPr>
        <w:t>gé mais restant peu intense</w:t>
      </w:r>
      <w:r w:rsidRPr="000A4A0F">
        <w:rPr>
          <w:rFonts w:ascii="Times New Roman" w:hAnsi="Times New Roman" w:cs="Times New Roman"/>
          <w:sz w:val="24"/>
          <w:szCs w:val="24"/>
        </w:rPr>
        <w:t>.</w:t>
      </w:r>
      <w:r w:rsidR="004220DF"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{"citationItems":[{"id":"ITEM-1","itemData":{"author":[{"dropping-particle":"","family":"W. H. Johnston, Violetta Angara, Ruth Baumal, W. A. Hawke, Robert H. Johnson, Sylvia Keet","given":"Margaret Wood","non-dropping-particle":"","parse-names":false,"suffix":""}],"container-title":"Pediatrics","id":"ITEM-1","issued":{"date-parts":[["1967"]]},"page":"88","title":"ERYTHROBLASTOSIS FETALIS AND HYPERBILIRUBINEMIA: A Five-year Follow-up with Neurological, Psychological, and Audiological Evaluation","type":"article-journal","volume":"39"},"uris":["http://www.mendeley.com/documents/?uuid=edc6bbc7-6a9d-44f9-a53b-382aa435f1e4","http://www.mendeley.com/documents/?uuid=b87c1581-114a-40b3-b05c-52f758efde82"]}],"mendeley":{"formattedCitation":"(31)","plainTextFormattedCitation":"(31)","previouslyFormattedCitation":"(32)"},"properties":{"noteIndex":0},"schema":"https://github.com/citation-style-language/schema/raw/master/csl-citation.json"}</w:instrText>
      </w:r>
      <w:r w:rsidR="004220DF"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(31)</w:t>
      </w:r>
      <w:r w:rsidR="004220DF"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w:t>
      </w:r>
    </w:p>
    <w:p w14:paraId="1BF7FD2D" w14:textId="3146DA9F" w:rsidR="00D22643" w:rsidRPr="000A4A0F" w:rsidRDefault="00FE1C6D" w:rsidP="006612D9">
      <w:pPr>
        <w:pStyle w:val="Titre4"/>
        <w:spacing w:before="0" w:line="360" w:lineRule="auto"/>
        <w:jc w:val="both"/>
        <w:rPr>
          <w:rFonts w:ascii="Times New Roman" w:hAnsi="Times New Roman" w:cs="Times New Roman"/>
          <w:b/>
          <w:sz w:val="24"/>
          <w:szCs w:val="24"/>
        </w:rPr>
      </w:pPr>
      <w:bookmarkStart w:id="29" w:name="_Toc87049055"/>
      <w:r w:rsidRPr="000A4A0F">
        <w:rPr>
          <w:rFonts w:ascii="Times New Roman" w:hAnsi="Times New Roman" w:cs="Times New Roman"/>
          <w:b/>
          <w:sz w:val="24"/>
          <w:szCs w:val="24"/>
        </w:rPr>
        <w:lastRenderedPageBreak/>
        <w:t>I.4.</w:t>
      </w:r>
      <w:r w:rsidR="008A2764" w:rsidRPr="000A4A0F">
        <w:rPr>
          <w:rFonts w:ascii="Times New Roman" w:hAnsi="Times New Roman" w:cs="Times New Roman"/>
          <w:b/>
          <w:sz w:val="24"/>
          <w:szCs w:val="24"/>
        </w:rPr>
        <w:t xml:space="preserve">3.3. </w:t>
      </w:r>
      <w:r w:rsidR="00D22643" w:rsidRPr="000A4A0F">
        <w:rPr>
          <w:rFonts w:ascii="Times New Roman" w:hAnsi="Times New Roman" w:cs="Times New Roman"/>
          <w:b/>
          <w:sz w:val="24"/>
          <w:szCs w:val="24"/>
        </w:rPr>
        <w:t>Hémolyse extravasculaire:</w:t>
      </w:r>
      <w:bookmarkEnd w:id="29"/>
      <w:r w:rsidR="00D22643" w:rsidRPr="000A4A0F">
        <w:rPr>
          <w:rFonts w:ascii="Times New Roman" w:hAnsi="Times New Roman" w:cs="Times New Roman"/>
          <w:b/>
          <w:sz w:val="24"/>
          <w:szCs w:val="24"/>
        </w:rPr>
        <w:t xml:space="preserve"> </w:t>
      </w:r>
    </w:p>
    <w:p w14:paraId="13B872A7" w14:textId="77777777" w:rsidR="00D22643"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La lyse de sang collecté peut être responsable d'ictère néo-natal. Ce phénomène s'observe lors des résorptions d'hématomes (céphalhématomes, hématomes du cuir chevelu), d'ecchymoses multiples, et d'hémorragies digestives. Le diagnostic peut être difficile si la collection sanguine est profonde. </w:t>
      </w:r>
    </w:p>
    <w:p w14:paraId="26133933" w14:textId="7610788C" w:rsidR="00D22643" w:rsidRPr="000A4A0F" w:rsidRDefault="004900D5" w:rsidP="006612D9">
      <w:pPr>
        <w:pStyle w:val="Titre3"/>
        <w:spacing w:before="0" w:after="200" w:line="360" w:lineRule="auto"/>
        <w:jc w:val="both"/>
        <w:rPr>
          <w:rFonts w:ascii="Times New Roman" w:hAnsi="Times New Roman" w:cs="Times New Roman"/>
          <w:b/>
        </w:rPr>
      </w:pPr>
      <w:bookmarkStart w:id="30" w:name="_Toc87049056"/>
      <w:r w:rsidRPr="000A4A0F">
        <w:rPr>
          <w:rFonts w:ascii="Times New Roman" w:hAnsi="Times New Roman" w:cs="Times New Roman"/>
          <w:b/>
        </w:rPr>
        <w:t>I</w:t>
      </w:r>
      <w:r w:rsidR="008A2764" w:rsidRPr="000A4A0F">
        <w:rPr>
          <w:rFonts w:ascii="Times New Roman" w:hAnsi="Times New Roman" w:cs="Times New Roman"/>
          <w:b/>
        </w:rPr>
        <w:t>.4.</w:t>
      </w:r>
      <w:r w:rsidRPr="000A4A0F">
        <w:rPr>
          <w:rFonts w:ascii="Times New Roman" w:hAnsi="Times New Roman" w:cs="Times New Roman"/>
          <w:b/>
        </w:rPr>
        <w:t>4.</w:t>
      </w:r>
      <w:r w:rsidR="008A2764" w:rsidRPr="000A4A0F">
        <w:rPr>
          <w:rFonts w:ascii="Times New Roman" w:hAnsi="Times New Roman" w:cs="Times New Roman"/>
          <w:b/>
        </w:rPr>
        <w:t xml:space="preserve"> </w:t>
      </w:r>
      <w:r w:rsidR="00D22643" w:rsidRPr="000A4A0F">
        <w:rPr>
          <w:rFonts w:ascii="Times New Roman" w:hAnsi="Times New Roman" w:cs="Times New Roman"/>
          <w:b/>
        </w:rPr>
        <w:t>Ictère infectieux :</w:t>
      </w:r>
      <w:bookmarkEnd w:id="30"/>
      <w:r w:rsidR="00D22643" w:rsidRPr="000A4A0F">
        <w:rPr>
          <w:rFonts w:ascii="Times New Roman" w:hAnsi="Times New Roman" w:cs="Times New Roman"/>
          <w:b/>
        </w:rPr>
        <w:t xml:space="preserve"> </w:t>
      </w:r>
    </w:p>
    <w:p w14:paraId="4A862CC6" w14:textId="77777777" w:rsidR="00757E56"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L’ictère peut alors associer un double mécanisme d’hémolyse et d’hépatite. L’ictère est rarement isolé en cas d’infection </w:t>
      </w:r>
      <w:proofErr w:type="spellStart"/>
      <w:r w:rsidRPr="000A4A0F">
        <w:rPr>
          <w:rFonts w:ascii="Times New Roman" w:hAnsi="Times New Roman" w:cs="Times New Roman"/>
          <w:sz w:val="24"/>
          <w:szCs w:val="24"/>
        </w:rPr>
        <w:t>materno-foetale</w:t>
      </w:r>
      <w:proofErr w:type="spellEnd"/>
      <w:r w:rsidRPr="000A4A0F">
        <w:rPr>
          <w:rFonts w:ascii="Times New Roman" w:hAnsi="Times New Roman" w:cs="Times New Roman"/>
          <w:sz w:val="24"/>
          <w:szCs w:val="24"/>
        </w:rPr>
        <w:t xml:space="preserve"> bactérienne. L’infection sera à rechercher en présence d’un ictère hémolytique, surtout si l’ori</w:t>
      </w:r>
      <w:r w:rsidR="00757E56" w:rsidRPr="000A4A0F">
        <w:rPr>
          <w:rFonts w:ascii="Times New Roman" w:hAnsi="Times New Roman" w:cs="Times New Roman"/>
          <w:sz w:val="24"/>
          <w:szCs w:val="24"/>
        </w:rPr>
        <w:t>gine immunologique est écartée.</w:t>
      </w:r>
    </w:p>
    <w:p w14:paraId="18707A34" w14:textId="019BA359" w:rsidR="00D22643"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Dans le cadre des </w:t>
      </w:r>
      <w:proofErr w:type="spellStart"/>
      <w:r w:rsidRPr="000A4A0F">
        <w:rPr>
          <w:rFonts w:ascii="Times New Roman" w:hAnsi="Times New Roman" w:cs="Times New Roman"/>
          <w:sz w:val="24"/>
          <w:szCs w:val="24"/>
        </w:rPr>
        <w:t>embryo-foetopathies</w:t>
      </w:r>
      <w:proofErr w:type="spellEnd"/>
      <w:r w:rsidRPr="000A4A0F">
        <w:rPr>
          <w:rFonts w:ascii="Times New Roman" w:hAnsi="Times New Roman" w:cs="Times New Roman"/>
          <w:sz w:val="24"/>
          <w:szCs w:val="24"/>
        </w:rPr>
        <w:t xml:space="preserve"> (Toxoplasmose, Rubéole, Cytomégalovirus, Herpes)</w:t>
      </w:r>
      <w:r w:rsidR="00E95C8E" w:rsidRPr="000A4A0F">
        <w:rPr>
          <w:rFonts w:ascii="Times New Roman" w:hAnsi="Times New Roman" w:cs="Times New Roman"/>
          <w:sz w:val="24"/>
          <w:szCs w:val="24"/>
        </w:rPr>
        <w:t>, il</w:t>
      </w:r>
      <w:r w:rsidRPr="000A4A0F">
        <w:rPr>
          <w:rFonts w:ascii="Times New Roman" w:hAnsi="Times New Roman" w:cs="Times New Roman"/>
          <w:sz w:val="24"/>
          <w:szCs w:val="24"/>
        </w:rPr>
        <w:t xml:space="preserve"> est volontiers mixte à bilirubine libre et co</w:t>
      </w:r>
      <w:r w:rsidR="004220DF" w:rsidRPr="000A4A0F">
        <w:rPr>
          <w:rFonts w:ascii="Times New Roman" w:hAnsi="Times New Roman" w:cs="Times New Roman"/>
          <w:sz w:val="24"/>
          <w:szCs w:val="24"/>
        </w:rPr>
        <w:t>njuguée et souvent prolongé</w:t>
      </w:r>
      <w:r w:rsidRPr="000A4A0F">
        <w:rPr>
          <w:rFonts w:ascii="Times New Roman" w:hAnsi="Times New Roman" w:cs="Times New Roman"/>
          <w:sz w:val="24"/>
          <w:szCs w:val="24"/>
        </w:rPr>
        <w:t>.</w:t>
      </w:r>
      <w:r w:rsidR="004220DF"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author":[{"dropping-particle":"","family":"A","given":"Bourillon","non-dropping-particle":"","parse-names":false,"suffix":""}],"edition":"4ème","id":"ITEM-1","issued":{"date-parts":[["2003"]]},"number-of-pages":"681","publisher":"Masson","title":"Pédiatrie pour le praticien","type":"book"},"uris":["http://www.mendeley.com/documents/?uuid=b9e5c68e-0f1b-4c89-8a3a-537e3c404793","http://www.mendeley.com/documents/?uuid=c082c76f-5cd3-423e-9036-791814e88de0"]}],"mendeley":{"formattedCitation":"(15)","plainTextFormattedCitation":"(15)","previouslyFormattedCitation":"(15)"},"properties":{"noteIndex":0},"schema":"https://github.com/citation-style-language/schema/raw/master/csl-citation.json"}</w:instrText>
      </w:r>
      <w:r w:rsidR="004220DF" w:rsidRPr="000A4A0F">
        <w:rPr>
          <w:rFonts w:ascii="Times New Roman" w:hAnsi="Times New Roman" w:cs="Times New Roman"/>
          <w:sz w:val="24"/>
          <w:szCs w:val="24"/>
        </w:rPr>
        <w:fldChar w:fldCharType="separate"/>
      </w:r>
      <w:r w:rsidR="004220DF" w:rsidRPr="000A4A0F">
        <w:rPr>
          <w:rFonts w:ascii="Times New Roman" w:hAnsi="Times New Roman" w:cs="Times New Roman"/>
          <w:noProof/>
          <w:sz w:val="24"/>
          <w:szCs w:val="24"/>
        </w:rPr>
        <w:t>(15)</w:t>
      </w:r>
      <w:r w:rsidR="004220DF"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w:t>
      </w:r>
    </w:p>
    <w:p w14:paraId="2E0CE14D" w14:textId="70ED8679" w:rsidR="00D22643" w:rsidRPr="000A4A0F" w:rsidRDefault="004900D5" w:rsidP="006612D9">
      <w:pPr>
        <w:pStyle w:val="Titre3"/>
        <w:spacing w:before="0" w:line="360" w:lineRule="auto"/>
        <w:jc w:val="both"/>
        <w:rPr>
          <w:rFonts w:ascii="Times New Roman" w:hAnsi="Times New Roman" w:cs="Times New Roman"/>
          <w:b/>
        </w:rPr>
      </w:pPr>
      <w:bookmarkStart w:id="31" w:name="_Toc87049057"/>
      <w:r w:rsidRPr="000A4A0F">
        <w:rPr>
          <w:rFonts w:ascii="Times New Roman" w:hAnsi="Times New Roman" w:cs="Times New Roman"/>
          <w:b/>
        </w:rPr>
        <w:t>I</w:t>
      </w:r>
      <w:r w:rsidR="008A2764" w:rsidRPr="000A4A0F">
        <w:rPr>
          <w:rFonts w:ascii="Times New Roman" w:hAnsi="Times New Roman" w:cs="Times New Roman"/>
          <w:b/>
        </w:rPr>
        <w:t>.</w:t>
      </w:r>
      <w:r w:rsidRPr="000A4A0F">
        <w:rPr>
          <w:rFonts w:ascii="Times New Roman" w:hAnsi="Times New Roman" w:cs="Times New Roman"/>
          <w:b/>
        </w:rPr>
        <w:t>4.</w:t>
      </w:r>
      <w:r w:rsidR="008A2764" w:rsidRPr="000A4A0F">
        <w:rPr>
          <w:rFonts w:ascii="Times New Roman" w:hAnsi="Times New Roman" w:cs="Times New Roman"/>
          <w:b/>
        </w:rPr>
        <w:t xml:space="preserve">5. </w:t>
      </w:r>
      <w:r w:rsidR="00D22643" w:rsidRPr="000A4A0F">
        <w:rPr>
          <w:rFonts w:ascii="Times New Roman" w:hAnsi="Times New Roman" w:cs="Times New Roman"/>
          <w:b/>
        </w:rPr>
        <w:t>Ictère secondaire à une hypothyroïdie congénitale</w:t>
      </w:r>
      <w:bookmarkEnd w:id="31"/>
      <w:r w:rsidR="00D22643" w:rsidRPr="000A4A0F">
        <w:rPr>
          <w:rFonts w:ascii="Times New Roman" w:hAnsi="Times New Roman" w:cs="Times New Roman"/>
          <w:b/>
        </w:rPr>
        <w:t xml:space="preserve"> </w:t>
      </w:r>
    </w:p>
    <w:p w14:paraId="3F2C1A98" w14:textId="77777777" w:rsidR="00D22643"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Elle touche environ 1 enfant sur 4000 en France actuellement et cause des ictères prolongés. Elle est dépistée de manière systématique au 3éme jour de vie</w:t>
      </w:r>
      <w:r w:rsidR="00FF2736" w:rsidRPr="000A4A0F">
        <w:rPr>
          <w:rFonts w:ascii="Times New Roman" w:hAnsi="Times New Roman" w:cs="Times New Roman"/>
          <w:sz w:val="24"/>
          <w:szCs w:val="24"/>
        </w:rPr>
        <w:t xml:space="preserve"> chez tous les NN en France. </w:t>
      </w:r>
      <w:r w:rsidRPr="000A4A0F">
        <w:rPr>
          <w:rFonts w:ascii="Times New Roman" w:hAnsi="Times New Roman" w:cs="Times New Roman"/>
          <w:sz w:val="24"/>
          <w:szCs w:val="24"/>
        </w:rPr>
        <w:t xml:space="preserve"> </w:t>
      </w:r>
    </w:p>
    <w:p w14:paraId="1A0507F9" w14:textId="77777777" w:rsidR="00D22643"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L’ictère y est rarement isolé (hypotonie, macroglossie, bradycardie, hypothermie, ralentissement du transit sont souvent associés) et disparait rapidement après la mise en route du traitement hormonal substitutif. </w:t>
      </w:r>
    </w:p>
    <w:p w14:paraId="4E0F8B43" w14:textId="634CB449" w:rsidR="00D22643" w:rsidRPr="000A4A0F" w:rsidRDefault="004900D5" w:rsidP="006612D9">
      <w:pPr>
        <w:pStyle w:val="Titre3"/>
        <w:spacing w:before="0" w:line="360" w:lineRule="auto"/>
        <w:jc w:val="both"/>
        <w:rPr>
          <w:rFonts w:ascii="Times New Roman" w:hAnsi="Times New Roman" w:cs="Times New Roman"/>
          <w:b/>
          <w:lang w:val="es-ES"/>
        </w:rPr>
      </w:pPr>
      <w:bookmarkStart w:id="32" w:name="_Toc87049058"/>
      <w:r w:rsidRPr="000A4A0F">
        <w:rPr>
          <w:rFonts w:ascii="Times New Roman" w:hAnsi="Times New Roman" w:cs="Times New Roman"/>
          <w:b/>
          <w:lang w:val="es-ES"/>
        </w:rPr>
        <w:t>I.4.6</w:t>
      </w:r>
      <w:r w:rsidR="008A2764" w:rsidRPr="000A4A0F">
        <w:rPr>
          <w:rFonts w:ascii="Times New Roman" w:hAnsi="Times New Roman" w:cs="Times New Roman"/>
          <w:b/>
          <w:lang w:val="es-ES"/>
        </w:rPr>
        <w:t xml:space="preserve">. </w:t>
      </w:r>
      <w:proofErr w:type="spellStart"/>
      <w:r w:rsidRPr="000A4A0F">
        <w:rPr>
          <w:rFonts w:ascii="Times New Roman" w:hAnsi="Times New Roman" w:cs="Times New Roman"/>
          <w:b/>
          <w:lang w:val="es-ES"/>
        </w:rPr>
        <w:t>Anomalies</w:t>
      </w:r>
      <w:proofErr w:type="spellEnd"/>
      <w:r w:rsidRPr="000A4A0F">
        <w:rPr>
          <w:rFonts w:ascii="Times New Roman" w:hAnsi="Times New Roman" w:cs="Times New Roman"/>
          <w:b/>
          <w:lang w:val="es-ES"/>
        </w:rPr>
        <w:t xml:space="preserve"> de la </w:t>
      </w:r>
      <w:proofErr w:type="spellStart"/>
      <w:r w:rsidRPr="000A4A0F">
        <w:rPr>
          <w:rFonts w:ascii="Times New Roman" w:hAnsi="Times New Roman" w:cs="Times New Roman"/>
          <w:b/>
          <w:lang w:val="es-ES"/>
        </w:rPr>
        <w:t>glucurono-conjugaison</w:t>
      </w:r>
      <w:bookmarkEnd w:id="32"/>
      <w:proofErr w:type="spellEnd"/>
    </w:p>
    <w:p w14:paraId="455E5ED5" w14:textId="6E4FF357" w:rsidR="00D22643" w:rsidRPr="000A4A0F" w:rsidRDefault="004900D5" w:rsidP="006612D9">
      <w:pPr>
        <w:pStyle w:val="Titre4"/>
        <w:spacing w:before="0" w:line="360" w:lineRule="auto"/>
        <w:jc w:val="both"/>
        <w:rPr>
          <w:rFonts w:ascii="Times New Roman" w:hAnsi="Times New Roman" w:cs="Times New Roman"/>
          <w:b/>
          <w:sz w:val="24"/>
          <w:szCs w:val="24"/>
        </w:rPr>
      </w:pPr>
      <w:bookmarkStart w:id="33" w:name="_Toc87049059"/>
      <w:r w:rsidRPr="000A4A0F">
        <w:rPr>
          <w:rFonts w:ascii="Times New Roman" w:hAnsi="Times New Roman" w:cs="Times New Roman"/>
          <w:b/>
          <w:sz w:val="24"/>
          <w:szCs w:val="24"/>
        </w:rPr>
        <w:t>I.4.6</w:t>
      </w:r>
      <w:r w:rsidR="008A2764" w:rsidRPr="000A4A0F">
        <w:rPr>
          <w:rFonts w:ascii="Times New Roman" w:hAnsi="Times New Roman" w:cs="Times New Roman"/>
          <w:b/>
          <w:sz w:val="24"/>
          <w:szCs w:val="24"/>
        </w:rPr>
        <w:t xml:space="preserve">.1. </w:t>
      </w:r>
      <w:r w:rsidR="00D22643" w:rsidRPr="000A4A0F">
        <w:rPr>
          <w:rFonts w:ascii="Times New Roman" w:hAnsi="Times New Roman" w:cs="Times New Roman"/>
          <w:b/>
          <w:sz w:val="24"/>
          <w:szCs w:val="24"/>
        </w:rPr>
        <w:t>Déficit transitoire de la captation, du transport, de la conjugaison de la bilirubine</w:t>
      </w:r>
      <w:bookmarkEnd w:id="33"/>
      <w:r w:rsidR="00D22643" w:rsidRPr="000A4A0F">
        <w:rPr>
          <w:rFonts w:ascii="Times New Roman" w:hAnsi="Times New Roman" w:cs="Times New Roman"/>
          <w:b/>
          <w:sz w:val="24"/>
          <w:szCs w:val="24"/>
        </w:rPr>
        <w:t xml:space="preserve"> </w:t>
      </w:r>
    </w:p>
    <w:p w14:paraId="5068F4E2" w14:textId="780FBD7B" w:rsidR="00D22643"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C’est par exemple le cas de l’ictère au lait</w:t>
      </w:r>
      <w:r w:rsidR="00266692" w:rsidRPr="000A4A0F">
        <w:rPr>
          <w:rFonts w:ascii="Times New Roman" w:hAnsi="Times New Roman" w:cs="Times New Roman"/>
          <w:sz w:val="24"/>
          <w:szCs w:val="24"/>
        </w:rPr>
        <w:t xml:space="preserve"> de mère. Il apparait vers le 5ème ou 6è</w:t>
      </w:r>
      <w:r w:rsidRPr="000A4A0F">
        <w:rPr>
          <w:rFonts w:ascii="Times New Roman" w:hAnsi="Times New Roman" w:cs="Times New Roman"/>
          <w:sz w:val="24"/>
          <w:szCs w:val="24"/>
        </w:rPr>
        <w:t xml:space="preserve">me jour de vie, reste modéré et isolé, il persiste tant que dure l’allaitement et est parfaitement bénin, ne nécessitant pas de traitement. Il est à distinguer des ictères sévères survenant au cours d’un allaitement maternel mal initié ou s’associent à l’inhibition physiologique de la </w:t>
      </w:r>
      <w:proofErr w:type="spellStart"/>
      <w:r w:rsidRPr="000A4A0F">
        <w:rPr>
          <w:rFonts w:ascii="Times New Roman" w:hAnsi="Times New Roman" w:cs="Times New Roman"/>
          <w:sz w:val="24"/>
          <w:szCs w:val="24"/>
        </w:rPr>
        <w:t>glucurono-conjugaison</w:t>
      </w:r>
      <w:proofErr w:type="spellEnd"/>
      <w:r w:rsidRPr="000A4A0F">
        <w:rPr>
          <w:rFonts w:ascii="Times New Roman" w:hAnsi="Times New Roman" w:cs="Times New Roman"/>
          <w:sz w:val="24"/>
          <w:szCs w:val="24"/>
        </w:rPr>
        <w:t xml:space="preserve"> par l’activité lipoprotéine lipase du lait maternel, un transit lent favorisant le cycle entéro hépatique de la bilirubine et </w:t>
      </w:r>
      <w:r w:rsidR="004220DF" w:rsidRPr="000A4A0F">
        <w:rPr>
          <w:rFonts w:ascii="Times New Roman" w:hAnsi="Times New Roman" w:cs="Times New Roman"/>
          <w:sz w:val="24"/>
          <w:szCs w:val="24"/>
        </w:rPr>
        <w:t>une déshydratation</w:t>
      </w:r>
      <w:r w:rsidRPr="000A4A0F">
        <w:rPr>
          <w:rFonts w:ascii="Times New Roman" w:hAnsi="Times New Roman" w:cs="Times New Roman"/>
          <w:sz w:val="24"/>
          <w:szCs w:val="24"/>
        </w:rPr>
        <w:t>.</w:t>
      </w:r>
      <w:r w:rsidR="004220DF"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{"citationItems":[{"id":"ITEM-1","itemData":{"author":[{"dropping-particle":"al","family":"Bosma PJ, Chowdhury JR, Bakker C","given":"et","non-dropping-particle":"","parse-names":false,"suffix":""}],"container-title":"N Engl J Med","id":"ITEM-1","issued":{"date-parts":[["1995"]]},"page":"1171-5","title":"The genetic basis of the reduced expression of bilirubin UDP-glucuronosyltransferase 1 in Gilbert’s syndrome.","type":"article-journal","volume":"333"},"uris":["http://www.mendeley.com/documents/?uuid=aedb3dca-460a-4416-99a9-781d674160e9","http://www.mendeley.com/documents/?uuid=ded641e4-a5e2-49e4-8eb1-060ee88cbb79"]}],"mendeley":{"formattedCitation":"(33)","plainTextFormattedCitation":"(33)","previouslyFormattedCitation":"(34)"},"properties":{"noteIndex":0},"schema":"https://github.com/citation-style-language/schema/raw/master/csl-citation.json"}</w:instrText>
      </w:r>
      <w:r w:rsidR="004220DF"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(33)</w:t>
      </w:r>
      <w:r w:rsidR="004220DF"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w:t>
      </w:r>
    </w:p>
    <w:p w14:paraId="65876455" w14:textId="0C373324" w:rsidR="00D22643" w:rsidRPr="000A4A0F" w:rsidRDefault="004900D5" w:rsidP="006612D9">
      <w:pPr>
        <w:pStyle w:val="Titre4"/>
        <w:spacing w:before="0" w:line="360" w:lineRule="auto"/>
        <w:jc w:val="both"/>
        <w:rPr>
          <w:rFonts w:ascii="Times New Roman" w:hAnsi="Times New Roman" w:cs="Times New Roman"/>
          <w:b/>
          <w:sz w:val="24"/>
          <w:szCs w:val="24"/>
        </w:rPr>
      </w:pPr>
      <w:bookmarkStart w:id="34" w:name="_Toc87049060"/>
      <w:r w:rsidRPr="000A4A0F">
        <w:rPr>
          <w:rFonts w:ascii="Times New Roman" w:hAnsi="Times New Roman" w:cs="Times New Roman"/>
          <w:b/>
          <w:sz w:val="24"/>
          <w:szCs w:val="24"/>
        </w:rPr>
        <w:t>I.4.6</w:t>
      </w:r>
      <w:r w:rsidR="008A2764" w:rsidRPr="000A4A0F">
        <w:rPr>
          <w:rFonts w:ascii="Times New Roman" w:hAnsi="Times New Roman" w:cs="Times New Roman"/>
          <w:b/>
          <w:sz w:val="24"/>
          <w:szCs w:val="24"/>
        </w:rPr>
        <w:t xml:space="preserve">.2. </w:t>
      </w:r>
      <w:r w:rsidR="00D22643" w:rsidRPr="000A4A0F">
        <w:rPr>
          <w:rFonts w:ascii="Times New Roman" w:hAnsi="Times New Roman" w:cs="Times New Roman"/>
          <w:b/>
          <w:sz w:val="24"/>
          <w:szCs w:val="24"/>
        </w:rPr>
        <w:t xml:space="preserve">Déficits constitutionnels de la </w:t>
      </w:r>
      <w:proofErr w:type="spellStart"/>
      <w:r w:rsidR="00D22643" w:rsidRPr="000A4A0F">
        <w:rPr>
          <w:rFonts w:ascii="Times New Roman" w:hAnsi="Times New Roman" w:cs="Times New Roman"/>
          <w:b/>
          <w:sz w:val="24"/>
          <w:szCs w:val="24"/>
        </w:rPr>
        <w:t>glucurono-conjugaison</w:t>
      </w:r>
      <w:proofErr w:type="spellEnd"/>
      <w:r w:rsidR="00D22643" w:rsidRPr="000A4A0F">
        <w:rPr>
          <w:rFonts w:ascii="Times New Roman" w:hAnsi="Times New Roman" w:cs="Times New Roman"/>
          <w:b/>
          <w:sz w:val="24"/>
          <w:szCs w:val="24"/>
        </w:rPr>
        <w:t xml:space="preserve"> de la bilirubine</w:t>
      </w:r>
      <w:bookmarkEnd w:id="34"/>
      <w:r w:rsidR="00D22643" w:rsidRPr="000A4A0F">
        <w:rPr>
          <w:rFonts w:ascii="Times New Roman" w:hAnsi="Times New Roman" w:cs="Times New Roman"/>
          <w:b/>
          <w:sz w:val="24"/>
          <w:szCs w:val="24"/>
        </w:rPr>
        <w:t xml:space="preserve"> </w:t>
      </w:r>
    </w:p>
    <w:p w14:paraId="1620EFBE" w14:textId="77777777" w:rsidR="00266692"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Ils regroupent la maladie de Gilbert et la maladie de </w:t>
      </w:r>
      <w:proofErr w:type="spellStart"/>
      <w:r w:rsidRPr="000A4A0F">
        <w:rPr>
          <w:rFonts w:ascii="Times New Roman" w:hAnsi="Times New Roman" w:cs="Times New Roman"/>
          <w:sz w:val="24"/>
          <w:szCs w:val="24"/>
        </w:rPr>
        <w:t>Crigler-Najjar</w:t>
      </w:r>
      <w:proofErr w:type="spellEnd"/>
      <w:r w:rsidRPr="000A4A0F">
        <w:rPr>
          <w:rFonts w:ascii="Times New Roman" w:hAnsi="Times New Roman" w:cs="Times New Roman"/>
          <w:sz w:val="24"/>
          <w:szCs w:val="24"/>
        </w:rPr>
        <w:t xml:space="preserve">. La maladie de Gilbert est très fréquente, totalement bénigne. Elle est liée à un déficit partiel de l’activité de la bilirubine </w:t>
      </w:r>
      <w:proofErr w:type="spellStart"/>
      <w:r w:rsidRPr="000A4A0F">
        <w:rPr>
          <w:rFonts w:ascii="Times New Roman" w:hAnsi="Times New Roman" w:cs="Times New Roman"/>
          <w:sz w:val="24"/>
          <w:szCs w:val="24"/>
        </w:rPr>
        <w:t>glucuronosyl</w:t>
      </w:r>
      <w:proofErr w:type="spellEnd"/>
      <w:r w:rsidRPr="000A4A0F">
        <w:rPr>
          <w:rFonts w:ascii="Times New Roman" w:hAnsi="Times New Roman" w:cs="Times New Roman"/>
          <w:sz w:val="24"/>
          <w:szCs w:val="24"/>
        </w:rPr>
        <w:t xml:space="preserve">-transférase. Elle n’entraine pas d’ictère à elle seule, mais accélère le développement de l’ictère néonatal chez le NN à terme et favorise sa persistance au-delà des délais habituels, en augmentant le risque d’ictère intense chez le NN ayant </w:t>
      </w:r>
      <w:r w:rsidR="00266692" w:rsidRPr="000A4A0F">
        <w:rPr>
          <w:rFonts w:ascii="Times New Roman" w:hAnsi="Times New Roman" w:cs="Times New Roman"/>
          <w:sz w:val="24"/>
          <w:szCs w:val="24"/>
        </w:rPr>
        <w:t>une hémolyse constitutionnelle.</w:t>
      </w:r>
    </w:p>
    <w:p w14:paraId="0899FDDB" w14:textId="59AD63A3" w:rsidR="00D22643"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Son incidence dans la population générale</w:t>
      </w:r>
      <w:r w:rsidR="004220DF" w:rsidRPr="000A4A0F">
        <w:rPr>
          <w:rFonts w:ascii="Times New Roman" w:hAnsi="Times New Roman" w:cs="Times New Roman"/>
          <w:sz w:val="24"/>
          <w:szCs w:val="24"/>
        </w:rPr>
        <w:t xml:space="preserve"> est estimée entre 5 et 8 %</w:t>
      </w:r>
      <w:r w:rsidRPr="000A4A0F">
        <w:rPr>
          <w:rFonts w:ascii="Times New Roman" w:hAnsi="Times New Roman" w:cs="Times New Roman"/>
          <w:sz w:val="24"/>
          <w:szCs w:val="24"/>
        </w:rPr>
        <w:t>.</w:t>
      </w:r>
      <w:r w:rsidR="004220DF"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{"citationItems":[{"id":"ITEM-1","itemData":{"author":[{"dropping-particle":"","family":"C.","given":"Kaplan M. and Hammerman","non-dropping-particle":"","parse-names":false,"suffix":""}],"container-title":"clin perinatol","id":"ITEM-1","issue":"3","issued":{"date-parts":[["2004"]]},"page":"555-75","title":"Understanding and preventing severe neonatal hyperbilirubinemia: is bilirubin neurotoxity really a concern in the developed world?","type":"article-journal","volume":"31"},"uris":["http://www.mendeley.com/documents/?uuid=a14c7a00-5ef6-41b9-be60-7fa9fc366aa5","http://www.mendeley.com/documents/?uuid=d459be26-dc98-4e6f-9997-e75c718406f5"]}],"mendeley":{"formattedCitation":"(24)","plainTextFormattedCitation":"(24)","previouslyFormattedCitation":"(25)"},"properties":{"noteIndex":0},"schema":"https://github.com/citation-style-language/schema/raw/master/csl-citation.json"}</w:instrText>
      </w:r>
      <w:r w:rsidR="004220DF"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(24)</w:t>
      </w:r>
      <w:r w:rsidR="004220DF"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La maladie de </w:t>
      </w:r>
      <w:proofErr w:type="spellStart"/>
      <w:r w:rsidRPr="000A4A0F">
        <w:rPr>
          <w:rFonts w:ascii="Times New Roman" w:hAnsi="Times New Roman" w:cs="Times New Roman"/>
          <w:sz w:val="24"/>
          <w:szCs w:val="24"/>
        </w:rPr>
        <w:t>Crigler-Najjar</w:t>
      </w:r>
      <w:proofErr w:type="spellEnd"/>
      <w:r w:rsidRPr="000A4A0F">
        <w:rPr>
          <w:rFonts w:ascii="Times New Roman" w:hAnsi="Times New Roman" w:cs="Times New Roman"/>
          <w:sz w:val="24"/>
          <w:szCs w:val="24"/>
        </w:rPr>
        <w:t xml:space="preserve"> est rare, et sa fréquence est estimée à 1 NN sur 1 million. Sa transmission est autosomique </w:t>
      </w:r>
      <w:r w:rsidRPr="000A4A0F">
        <w:rPr>
          <w:rFonts w:ascii="Times New Roman" w:hAnsi="Times New Roman" w:cs="Times New Roman"/>
          <w:sz w:val="24"/>
          <w:szCs w:val="24"/>
        </w:rPr>
        <w:lastRenderedPageBreak/>
        <w:t>récessive. L’ictère néonatal est habituellement précoce et très intense, nécessitant souvent le recours à l’exsanguino-tr</w:t>
      </w:r>
      <w:r w:rsidR="00720FCB" w:rsidRPr="000A4A0F">
        <w:rPr>
          <w:rFonts w:ascii="Times New Roman" w:hAnsi="Times New Roman" w:cs="Times New Roman"/>
          <w:sz w:val="24"/>
          <w:szCs w:val="24"/>
        </w:rPr>
        <w:t xml:space="preserve">ansfusion chez ces enfants. </w:t>
      </w:r>
    </w:p>
    <w:p w14:paraId="16AC6605" w14:textId="04BA4BB0" w:rsidR="00266692"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Une photothérapie quasi continue est proposée chez ces enfants. Le seul traitement curatif à l’heure actuelle est </w:t>
      </w:r>
      <w:r w:rsidR="00720FCB" w:rsidRPr="000A4A0F">
        <w:rPr>
          <w:rFonts w:ascii="Times New Roman" w:hAnsi="Times New Roman" w:cs="Times New Roman"/>
          <w:sz w:val="24"/>
          <w:szCs w:val="24"/>
        </w:rPr>
        <w:t>l</w:t>
      </w:r>
      <w:r w:rsidR="00346086" w:rsidRPr="000A4A0F">
        <w:rPr>
          <w:rFonts w:ascii="Times New Roman" w:hAnsi="Times New Roman" w:cs="Times New Roman"/>
          <w:sz w:val="24"/>
          <w:szCs w:val="24"/>
        </w:rPr>
        <w:t>a transplantation hépatique</w:t>
      </w:r>
      <w:r w:rsidR="00266692" w:rsidRPr="000A4A0F">
        <w:rPr>
          <w:rFonts w:ascii="Times New Roman" w:hAnsi="Times New Roman" w:cs="Times New Roman"/>
          <w:sz w:val="24"/>
          <w:szCs w:val="24"/>
        </w:rPr>
        <w:t>.</w:t>
      </w:r>
      <w:r w:rsidR="00346086"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{"citationItems":[{"id":"ITEM-1","itemData":{"author":[{"dropping-particle":"","family":"C.","given":"Kaplan M. and Hammerman","non-dropping-particle":"","parse-names":false,"suffix":""}],"container-title":"clin perinatol","id":"ITEM-1","issue":"3","issued":{"date-parts":[["2004"]]},"page":"555-75","title":"Understanding and preventing severe neonatal hyperbilirubinemia: is bilirubin neurotoxity really a concern in the developed world?","type":"article-journal","volume":"31"},"uris":["http://www.mendeley.com/documents/?uuid=a14c7a00-5ef6-41b9-be60-7fa9fc366aa5","http://www.mendeley.com/documents/?uuid=d459be26-dc98-4e6f-9997-e75c718406f5"]}],"mendeley":{"formattedCitation":"(24)","plainTextFormattedCitation":"(24)","previouslyFormattedCitation":"(25)"},"properties":{"noteIndex":0},"schema":"https://github.com/citation-style-language/schema/raw/master/csl-citation.json"}</w:instrText>
      </w:r>
      <w:r w:rsidR="00346086"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(24)</w:t>
      </w:r>
      <w:r w:rsidR="00346086" w:rsidRPr="000A4A0F">
        <w:rPr>
          <w:rFonts w:ascii="Times New Roman" w:hAnsi="Times New Roman" w:cs="Times New Roman"/>
          <w:sz w:val="24"/>
          <w:szCs w:val="24"/>
        </w:rPr>
        <w:fldChar w:fldCharType="end"/>
      </w:r>
    </w:p>
    <w:p w14:paraId="6ED28EC7" w14:textId="53D8B1DC" w:rsidR="00266692"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Les nourrissons atteints du syndrome de Gilbert ont une activité légèrement diminuée de l’uridine diphosphate </w:t>
      </w:r>
      <w:proofErr w:type="spellStart"/>
      <w:r w:rsidRPr="000A4A0F">
        <w:rPr>
          <w:rFonts w:ascii="Times New Roman" w:hAnsi="Times New Roman" w:cs="Times New Roman"/>
          <w:sz w:val="24"/>
          <w:szCs w:val="24"/>
        </w:rPr>
        <w:t>glucuronosyl</w:t>
      </w:r>
      <w:proofErr w:type="spellEnd"/>
      <w:r w:rsidRPr="000A4A0F">
        <w:rPr>
          <w:rFonts w:ascii="Times New Roman" w:hAnsi="Times New Roman" w:cs="Times New Roman"/>
          <w:sz w:val="24"/>
          <w:szCs w:val="24"/>
        </w:rPr>
        <w:t xml:space="preserve"> transférase, cette diminution est due à une expansion thymine adénine répétés da</w:t>
      </w:r>
      <w:r w:rsidR="00941D26" w:rsidRPr="000A4A0F">
        <w:rPr>
          <w:rFonts w:ascii="Times New Roman" w:hAnsi="Times New Roman" w:cs="Times New Roman"/>
          <w:sz w:val="24"/>
          <w:szCs w:val="24"/>
        </w:rPr>
        <w:t>ns</w:t>
      </w:r>
      <w:r w:rsidRPr="000A4A0F">
        <w:rPr>
          <w:rFonts w:ascii="Times New Roman" w:hAnsi="Times New Roman" w:cs="Times New Roman"/>
          <w:sz w:val="24"/>
          <w:szCs w:val="24"/>
        </w:rPr>
        <w:t xml:space="preserve"> la zone promotrice du gène UG1TA, le gène princ</w:t>
      </w:r>
      <w:r w:rsidR="00346086" w:rsidRPr="000A4A0F">
        <w:rPr>
          <w:rFonts w:ascii="Times New Roman" w:hAnsi="Times New Roman" w:cs="Times New Roman"/>
          <w:sz w:val="24"/>
          <w:szCs w:val="24"/>
        </w:rPr>
        <w:t>ipal codant pour cet enzyme</w:t>
      </w:r>
      <w:r w:rsidRPr="000A4A0F">
        <w:rPr>
          <w:rFonts w:ascii="Times New Roman" w:hAnsi="Times New Roman" w:cs="Times New Roman"/>
          <w:sz w:val="24"/>
          <w:szCs w:val="24"/>
        </w:rPr>
        <w:t>.</w:t>
      </w:r>
      <w:r w:rsidR="00346086"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{"citationItems":[{"id":"ITEM-1","itemData":{"author":[{"dropping-particle":"","family":"Beutler E, Gelbart T","given":"Demina A.","non-dropping-particle":"","parse-names":false,"suffix":""}],"container-title":"Proc Natl Acad Sci U S A","id":"ITEM-1","issued":{"date-parts":[["1998"]]},"page":": 8170-4","title":"Racial variability in the UDP-glucuronosyltransferase 1 (UGT1A1) promoter: a balanced polymorphism for regulation of bilirubin metabolism?","type":"article-journal","volume":"95"},"uris":["http://www.mendeley.com/documents/?uuid=00b7f172-69b0-4f36-9026-4a66e0ae46f9","http://www.mendeley.com/documents/?uuid=03005190-0bc3-4bbb-ab86-761b49665685"]}],"mendeley":{"formattedCitation":"(34)","plainTextFormattedCitation":"(34)","previouslyFormattedCitation":"(35)"},"properties":{"noteIndex":0},"schema":"https://github.com/citation-style-language/schema/raw/master/csl-citation.json"}</w:instrText>
      </w:r>
      <w:r w:rsidR="00346086"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(34)</w:t>
      </w:r>
      <w:r w:rsidR="00346086"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Les variations raciales du nombre de répétition TA et leur corrélation avec l’activité </w:t>
      </w:r>
      <w:proofErr w:type="spellStart"/>
      <w:r w:rsidRPr="000A4A0F">
        <w:rPr>
          <w:rFonts w:ascii="Times New Roman" w:hAnsi="Times New Roman" w:cs="Times New Roman"/>
          <w:sz w:val="24"/>
          <w:szCs w:val="24"/>
        </w:rPr>
        <w:t>glucuronyl</w:t>
      </w:r>
      <w:proofErr w:type="spellEnd"/>
      <w:r w:rsidRPr="000A4A0F">
        <w:rPr>
          <w:rFonts w:ascii="Times New Roman" w:hAnsi="Times New Roman" w:cs="Times New Roman"/>
          <w:sz w:val="24"/>
          <w:szCs w:val="24"/>
        </w:rPr>
        <w:t xml:space="preserve"> transférase suggèrent que ces polymorphismes contribuent à des variations dans l</w:t>
      </w:r>
      <w:r w:rsidR="00346086" w:rsidRPr="000A4A0F">
        <w:rPr>
          <w:rFonts w:ascii="Times New Roman" w:hAnsi="Times New Roman" w:cs="Times New Roman"/>
          <w:sz w:val="24"/>
          <w:szCs w:val="24"/>
        </w:rPr>
        <w:t>e métabolisme de bilirubine</w:t>
      </w:r>
      <w:r w:rsidRPr="000A4A0F">
        <w:rPr>
          <w:rFonts w:ascii="Times New Roman" w:hAnsi="Times New Roman" w:cs="Times New Roman"/>
          <w:sz w:val="24"/>
          <w:szCs w:val="24"/>
        </w:rPr>
        <w:t>.</w:t>
      </w:r>
      <w:r w:rsidR="009263D9"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{"citationItems":[{"id":"ITEM-1","itemData":{"author":[{"dropping-particle":"","family":"Akaba K, Kimura T, Sasaki A","given":"et al.","non-dropping-particle":"","parse-names":false,"suffix":""}],"container-title":"Biochem Mol Biol Int","id":"ITEM-1","issued":{"date-parts":[["1998"]]},"page":"21-6","title":"Neonatal hyperbilirubinemia and mutation of the bilirubin uridine diphosphate-glucuronosyltransferase gene: a common missense mutation among Japanese, Koreans and Chinese.","type":"article-journal","volume":"46"},"uris":["http://www.mendeley.com/documents/?uuid=bd737f26-5770-44ee-8630-11933ff2e2a2","http://www.mendeley.com/documents/?uuid=ca461ec4-9618-4465-841b-11a63d21f9d7"]}],"mendeley":{"formattedCitation":"(35)","plainTextFormattedCitation":"(35)","previouslyFormattedCitation":"(36)"},"properties":{"noteIndex":0},"schema":"https://github.com/citation-style-language/schema/raw/master/csl-citation.json"}</w:instrText>
      </w:r>
      <w:r w:rsidR="009263D9"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(35)</w:t>
      </w:r>
      <w:r w:rsidR="009263D9"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Chez les asiatiques, une variante dans la séquence commune d’ADN (Gly71Arg), entraine un changement d’acide aminé dans la protéine </w:t>
      </w:r>
      <w:proofErr w:type="spellStart"/>
      <w:r w:rsidRPr="000A4A0F">
        <w:rPr>
          <w:rFonts w:ascii="Times New Roman" w:hAnsi="Times New Roman" w:cs="Times New Roman"/>
          <w:sz w:val="24"/>
          <w:szCs w:val="24"/>
        </w:rPr>
        <w:t>glucuronyl</w:t>
      </w:r>
      <w:proofErr w:type="spellEnd"/>
      <w:r w:rsidRPr="000A4A0F">
        <w:rPr>
          <w:rFonts w:ascii="Times New Roman" w:hAnsi="Times New Roman" w:cs="Times New Roman"/>
          <w:sz w:val="24"/>
          <w:szCs w:val="24"/>
        </w:rPr>
        <w:t xml:space="preserve"> transférase, est associée à une</w:t>
      </w:r>
      <w:r w:rsidR="000D6804" w:rsidRPr="000A4A0F">
        <w:rPr>
          <w:rFonts w:ascii="Times New Roman" w:hAnsi="Times New Roman" w:cs="Times New Roman"/>
          <w:sz w:val="24"/>
          <w:szCs w:val="24"/>
        </w:rPr>
        <w:t xml:space="preserve"> h</w:t>
      </w:r>
      <w:r w:rsidR="009263D9" w:rsidRPr="000A4A0F">
        <w:rPr>
          <w:rFonts w:ascii="Times New Roman" w:hAnsi="Times New Roman" w:cs="Times New Roman"/>
          <w:sz w:val="24"/>
          <w:szCs w:val="24"/>
        </w:rPr>
        <w:t>yper bilirubinémie néonatale</w:t>
      </w:r>
      <w:r w:rsidR="00266692" w:rsidRPr="000A4A0F">
        <w:rPr>
          <w:rFonts w:ascii="Times New Roman" w:hAnsi="Times New Roman" w:cs="Times New Roman"/>
          <w:sz w:val="24"/>
          <w:szCs w:val="24"/>
        </w:rPr>
        <w:t>.</w:t>
      </w:r>
      <w:r w:rsidR="009263D9"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{"citationItems":[{"id":"ITEM-1","itemData":{"author":[{"dropping-particle":"","family":"Kaplan M, Renbaum P, Levy-Lahad E, Hammerman C, Lahad A","given":"Beutler E.","non-dropping-particle":"","parse-names":false,"suffix":""}],"container-title":"Proc Natl Acad Sci U S A","id":"ITEM-1","issued":{"date-parts":[["1997"]]},"page":"12128-32.","title":"Gilbert syndrome and glucose-6-phosphate dehydrogenase deficiency: a dose-dependent genetic interaction crucial to neonatal hyperbilirubinemia.","type":"article-journal","volume":"94:"},"uris":["http://www.mendeley.com/documents/?uuid=cc7a384b-32d1-4b01-8dda-9b31e024a326","http://www.mendeley.com/documents/?uuid=be263d6b-6774-4001-8186-3051b3549caa"]}],"mendeley":{"formattedCitation":"(36)","plainTextFormattedCitation":"(36)","previouslyFormattedCitation":"(37)"},"properties":{"noteIndex":0},"schema":"https://github.com/citation-style-language/schema/raw/master/csl-citation.json"}</w:instrText>
      </w:r>
      <w:r w:rsidR="009263D9"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(36)</w:t>
      </w:r>
      <w:r w:rsidR="009263D9" w:rsidRPr="000A4A0F">
        <w:rPr>
          <w:rFonts w:ascii="Times New Roman" w:hAnsi="Times New Roman" w:cs="Times New Roman"/>
          <w:sz w:val="24"/>
          <w:szCs w:val="24"/>
        </w:rPr>
        <w:fldChar w:fldCharType="end"/>
      </w:r>
    </w:p>
    <w:p w14:paraId="1EBC54A4" w14:textId="75B1807E" w:rsidR="003D639F" w:rsidRPr="000A4A0F" w:rsidRDefault="00D22643"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En outre, la combinaison du déficit en G6PD et le syndrome de Gilbert augmente la probabilité de </w:t>
      </w:r>
      <w:r w:rsidR="009263D9" w:rsidRPr="000A4A0F">
        <w:rPr>
          <w:rFonts w:ascii="Times New Roman" w:hAnsi="Times New Roman" w:cs="Times New Roman"/>
          <w:sz w:val="24"/>
          <w:szCs w:val="24"/>
        </w:rPr>
        <w:t>l’hyper bilirubinémie grave</w:t>
      </w:r>
      <w:r w:rsidR="000D6804" w:rsidRPr="000A4A0F">
        <w:rPr>
          <w:rFonts w:ascii="Times New Roman" w:hAnsi="Times New Roman" w:cs="Times New Roman"/>
          <w:sz w:val="24"/>
          <w:szCs w:val="24"/>
        </w:rPr>
        <w:t>.</w:t>
      </w:r>
      <w:r w:rsidR="009263D9"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{"citationItems":[{"id":"ITEM-1","itemData":{"author":[{"dropping-particle":"","family":"M Atkinson","given":"1 H Budge2","non-dropping-particle":"","parse-names":false,"suffix":""}],"id":"ITEM-1","issued":{"date-parts":[["0"]]},"title":"Review of the NICE guidance on neonatal jaundice","type":"article-journal"},"uris":["http://www.mendeley.com/documents/?uuid=53764c4d-49c5-402d-a34a-b1531b0ef7de","http://www.mendeley.com/documents/?uuid=958b2ba9-268e-49a1-88b2-43ceb9d0ccfc"]}],"mendeley":{"formattedCitation":"(37)","plainTextFormattedCitation":"(37)","previouslyFormattedCitation":"(38)"},"properties":{"noteIndex":0},"schema":"https://github.com/citation-style-language/schema/raw/master/csl-citation.json"}</w:instrText>
      </w:r>
      <w:r w:rsidR="009263D9"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(37)</w:t>
      </w:r>
      <w:r w:rsidR="009263D9" w:rsidRPr="000A4A0F">
        <w:rPr>
          <w:rFonts w:ascii="Times New Roman" w:hAnsi="Times New Roman" w:cs="Times New Roman"/>
          <w:sz w:val="24"/>
          <w:szCs w:val="24"/>
        </w:rPr>
        <w:fldChar w:fldCharType="end"/>
      </w:r>
    </w:p>
    <w:p w14:paraId="3A07E43B" w14:textId="77777777" w:rsidR="00E37D88" w:rsidRPr="000A4A0F" w:rsidRDefault="00E37D88" w:rsidP="000A4A0F">
      <w:pPr>
        <w:suppressAutoHyphens w:val="0"/>
        <w:spacing w:after="0" w:line="360" w:lineRule="auto"/>
        <w:jc w:val="both"/>
        <w:rPr>
          <w:rFonts w:ascii="Times New Roman" w:hAnsi="Times New Roman" w:cs="Times New Roman"/>
          <w:sz w:val="24"/>
          <w:szCs w:val="24"/>
        </w:rPr>
      </w:pPr>
      <w:r w:rsidRPr="000A4A0F">
        <w:rPr>
          <w:rFonts w:ascii="Times New Roman" w:hAnsi="Times New Roman" w:cs="Times New Roman"/>
          <w:sz w:val="24"/>
          <w:szCs w:val="24"/>
        </w:rPr>
        <w:br w:type="page"/>
      </w:r>
    </w:p>
    <w:p w14:paraId="5BCB7E4E" w14:textId="37BBCCE0" w:rsidR="00D90DAD" w:rsidRPr="000A4A0F" w:rsidRDefault="00E37D88" w:rsidP="000A4A0F">
      <w:pPr>
        <w:pStyle w:val="Titre1"/>
        <w:spacing w:line="360" w:lineRule="auto"/>
        <w:jc w:val="both"/>
        <w:rPr>
          <w:sz w:val="24"/>
          <w:szCs w:val="24"/>
        </w:rPr>
      </w:pPr>
      <w:bookmarkStart w:id="35" w:name="_Toc87049061"/>
      <w:r w:rsidRPr="000A4A0F">
        <w:rPr>
          <w:noProof/>
          <w:sz w:val="24"/>
          <w:szCs w:val="24"/>
        </w:rPr>
        <w:lastRenderedPageBreak/>
        <w:drawing>
          <wp:anchor distT="0" distB="0" distL="114300" distR="114300" simplePos="0" relativeHeight="251667968" behindDoc="0" locked="0" layoutInCell="1" allowOverlap="1" wp14:anchorId="19643C5A" wp14:editId="356C17D2">
            <wp:simplePos x="0" y="0"/>
            <wp:positionH relativeFrom="column">
              <wp:posOffset>-4445</wp:posOffset>
            </wp:positionH>
            <wp:positionV relativeFrom="paragraph">
              <wp:posOffset>538480</wp:posOffset>
            </wp:positionV>
            <wp:extent cx="5760720" cy="133794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337945"/>
                    </a:xfrm>
                    <a:prstGeom prst="rect">
                      <a:avLst/>
                    </a:prstGeom>
                    <a:noFill/>
                    <a:ln>
                      <a:noFill/>
                    </a:ln>
                  </pic:spPr>
                </pic:pic>
              </a:graphicData>
            </a:graphic>
          </wp:anchor>
        </w:drawing>
      </w:r>
      <w:r w:rsidR="00266692" w:rsidRPr="000A4A0F">
        <w:rPr>
          <w:sz w:val="24"/>
          <w:szCs w:val="24"/>
        </w:rPr>
        <w:t xml:space="preserve">ALGORYTHME DU </w:t>
      </w:r>
      <w:r w:rsidR="00D90DAD" w:rsidRPr="000A4A0F">
        <w:rPr>
          <w:sz w:val="24"/>
          <w:szCs w:val="24"/>
        </w:rPr>
        <w:t>DIAGNOSTIC ETIOLOGIQUE DE L’ICTERE NEONATAL</w:t>
      </w:r>
      <w:bookmarkEnd w:id="35"/>
    </w:p>
    <w:p w14:paraId="28B94C21" w14:textId="77777777" w:rsidR="00054492" w:rsidRPr="000A4A0F" w:rsidRDefault="00054492" w:rsidP="000A4A0F">
      <w:pPr>
        <w:shd w:val="clear" w:color="auto" w:fill="FFFFFF"/>
        <w:spacing w:after="0" w:line="360" w:lineRule="auto"/>
        <w:jc w:val="both"/>
        <w:textAlignment w:val="baseline"/>
        <w:rPr>
          <w:rFonts w:ascii="Times New Roman" w:hAnsi="Times New Roman" w:cs="Times New Roman"/>
          <w:sz w:val="24"/>
          <w:szCs w:val="24"/>
        </w:rPr>
      </w:pPr>
    </w:p>
    <w:p w14:paraId="67AA6700" w14:textId="77777777" w:rsidR="00054492" w:rsidRPr="000A4A0F" w:rsidRDefault="00054492" w:rsidP="000A4A0F">
      <w:pPr>
        <w:shd w:val="clear" w:color="auto" w:fill="FFFFFF"/>
        <w:spacing w:after="0" w:line="360" w:lineRule="auto"/>
        <w:jc w:val="both"/>
        <w:textAlignment w:val="baseline"/>
        <w:rPr>
          <w:rFonts w:ascii="Times New Roman" w:hAnsi="Times New Roman" w:cs="Times New Roman"/>
          <w:sz w:val="24"/>
          <w:szCs w:val="24"/>
        </w:rPr>
      </w:pPr>
    </w:p>
    <w:p w14:paraId="0F3E631D" w14:textId="77777777" w:rsidR="00054492" w:rsidRPr="000A4A0F" w:rsidRDefault="00054492" w:rsidP="000A4A0F">
      <w:pPr>
        <w:shd w:val="clear" w:color="auto" w:fill="FFFFFF"/>
        <w:spacing w:after="0" w:line="360" w:lineRule="auto"/>
        <w:jc w:val="both"/>
        <w:textAlignment w:val="baseline"/>
        <w:rPr>
          <w:rFonts w:ascii="Times New Roman" w:hAnsi="Times New Roman" w:cs="Times New Roman"/>
          <w:sz w:val="24"/>
          <w:szCs w:val="24"/>
        </w:rPr>
      </w:pPr>
    </w:p>
    <w:p w14:paraId="676D0987" w14:textId="77777777" w:rsidR="00054492" w:rsidRPr="000A4A0F" w:rsidRDefault="00054492" w:rsidP="000A4A0F">
      <w:pPr>
        <w:shd w:val="clear" w:color="auto" w:fill="FFFFFF"/>
        <w:spacing w:after="0" w:line="360" w:lineRule="auto"/>
        <w:jc w:val="both"/>
        <w:textAlignment w:val="baseline"/>
        <w:rPr>
          <w:rFonts w:ascii="Times New Roman" w:hAnsi="Times New Roman" w:cs="Times New Roman"/>
          <w:sz w:val="24"/>
          <w:szCs w:val="24"/>
        </w:rPr>
      </w:pPr>
    </w:p>
    <w:p w14:paraId="5D137082" w14:textId="77777777" w:rsidR="00FB0C8A" w:rsidRPr="000A4A0F" w:rsidRDefault="00145819"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VI</w:t>
      </w:r>
      <w:r w:rsidR="00FB0C8A" w:rsidRPr="000A4A0F">
        <w:rPr>
          <w:rFonts w:ascii="Times New Roman" w:hAnsi="Times New Roman" w:cs="Times New Roman"/>
          <w:sz w:val="24"/>
          <w:szCs w:val="24"/>
        </w:rPr>
        <w:t>. Prise en charge de l’ictère néonatal intense.</w:t>
      </w:r>
    </w:p>
    <w:p w14:paraId="4DD01DB7" w14:textId="77777777" w:rsidR="004032E6" w:rsidRPr="000A4A0F" w:rsidRDefault="00E37D88"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noProof/>
          <w:sz w:val="24"/>
          <w:szCs w:val="24"/>
          <w:lang w:eastAsia="fr-FR"/>
        </w:rPr>
        <w:drawing>
          <wp:anchor distT="0" distB="0" distL="114300" distR="114300" simplePos="0" relativeHeight="251662848" behindDoc="1" locked="0" layoutInCell="1" allowOverlap="1" wp14:anchorId="0EDAA5F0" wp14:editId="751CA913">
            <wp:simplePos x="0" y="0"/>
            <wp:positionH relativeFrom="column">
              <wp:posOffset>4504055</wp:posOffset>
            </wp:positionH>
            <wp:positionV relativeFrom="margin">
              <wp:posOffset>1681480</wp:posOffset>
            </wp:positionV>
            <wp:extent cx="1932305" cy="4651375"/>
            <wp:effectExtent l="0" t="0" r="0" b="0"/>
            <wp:wrapTight wrapText="bothSides">
              <wp:wrapPolygon edited="0">
                <wp:start x="0" y="0"/>
                <wp:lineTo x="0" y="21497"/>
                <wp:lineTo x="21295" y="21497"/>
                <wp:lineTo x="2129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2305" cy="4651375"/>
                    </a:xfrm>
                    <a:prstGeom prst="rect">
                      <a:avLst/>
                    </a:prstGeom>
                    <a:noFill/>
                    <a:ln>
                      <a:noFill/>
                    </a:ln>
                  </pic:spPr>
                </pic:pic>
              </a:graphicData>
            </a:graphic>
          </wp:anchor>
        </w:drawing>
      </w:r>
      <w:r w:rsidRPr="000A4A0F">
        <w:rPr>
          <w:rFonts w:ascii="Times New Roman" w:hAnsi="Times New Roman" w:cs="Times New Roman"/>
          <w:noProof/>
          <w:sz w:val="24"/>
          <w:szCs w:val="24"/>
          <w:lang w:eastAsia="fr-FR"/>
        </w:rPr>
        <w:drawing>
          <wp:anchor distT="0" distB="0" distL="114300" distR="114300" simplePos="0" relativeHeight="251657728" behindDoc="0" locked="0" layoutInCell="1" allowOverlap="1" wp14:anchorId="678F2347" wp14:editId="794951DA">
            <wp:simplePos x="0" y="0"/>
            <wp:positionH relativeFrom="margin">
              <wp:posOffset>-428625</wp:posOffset>
            </wp:positionH>
            <wp:positionV relativeFrom="page">
              <wp:posOffset>2699385</wp:posOffset>
            </wp:positionV>
            <wp:extent cx="4826635" cy="65913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6635" cy="6591300"/>
                    </a:xfrm>
                    <a:prstGeom prst="rect">
                      <a:avLst/>
                    </a:prstGeom>
                    <a:noFill/>
                    <a:ln>
                      <a:noFill/>
                    </a:ln>
                  </pic:spPr>
                </pic:pic>
              </a:graphicData>
            </a:graphic>
            <wp14:sizeRelV relativeFrom="margin">
              <wp14:pctHeight>0</wp14:pctHeight>
            </wp14:sizeRelV>
          </wp:anchor>
        </w:drawing>
      </w:r>
    </w:p>
    <w:p w14:paraId="57132A40" w14:textId="37C99F02" w:rsidR="006261BF" w:rsidRPr="000A4A0F" w:rsidRDefault="00E37D88" w:rsidP="000A4A0F">
      <w:pPr>
        <w:suppressAutoHyphens w:val="0"/>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br w:type="page"/>
      </w:r>
    </w:p>
    <w:p w14:paraId="208710FB" w14:textId="04792D40" w:rsidR="007E3B33" w:rsidRPr="000A4A0F" w:rsidRDefault="004900D5" w:rsidP="000A4A0F">
      <w:pPr>
        <w:pStyle w:val="Titre2"/>
        <w:spacing w:line="360" w:lineRule="auto"/>
        <w:jc w:val="both"/>
        <w:rPr>
          <w:rFonts w:ascii="Times New Roman" w:hAnsi="Times New Roman" w:cs="Times New Roman"/>
          <w:sz w:val="24"/>
          <w:szCs w:val="24"/>
        </w:rPr>
      </w:pPr>
      <w:bookmarkStart w:id="36" w:name="_Toc87049062"/>
      <w:r w:rsidRPr="000A4A0F">
        <w:rPr>
          <w:rFonts w:ascii="Times New Roman" w:hAnsi="Times New Roman" w:cs="Times New Roman"/>
          <w:sz w:val="24"/>
          <w:szCs w:val="24"/>
        </w:rPr>
        <w:lastRenderedPageBreak/>
        <w:t>I.5.</w:t>
      </w:r>
      <w:r w:rsidR="00660889" w:rsidRPr="000A4A0F">
        <w:rPr>
          <w:rFonts w:ascii="Times New Roman" w:hAnsi="Times New Roman" w:cs="Times New Roman"/>
          <w:sz w:val="24"/>
          <w:szCs w:val="24"/>
        </w:rPr>
        <w:t xml:space="preserve"> </w:t>
      </w:r>
      <w:r w:rsidR="006261BF" w:rsidRPr="000A4A0F">
        <w:rPr>
          <w:rFonts w:ascii="Times New Roman" w:hAnsi="Times New Roman" w:cs="Times New Roman"/>
          <w:sz w:val="24"/>
          <w:szCs w:val="24"/>
        </w:rPr>
        <w:t>Traitement</w:t>
      </w:r>
      <w:r w:rsidR="007E3B33" w:rsidRPr="000A4A0F">
        <w:rPr>
          <w:rFonts w:ascii="Times New Roman" w:hAnsi="Times New Roman" w:cs="Times New Roman"/>
          <w:sz w:val="24"/>
          <w:szCs w:val="24"/>
        </w:rPr>
        <w:t> : Photothérapie</w:t>
      </w:r>
      <w:bookmarkEnd w:id="36"/>
    </w:p>
    <w:p w14:paraId="78A31DF5" w14:textId="77777777" w:rsidR="00FB0C8A" w:rsidRPr="000A4A0F" w:rsidRDefault="00FB0C8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C’est le traitement symptomatique de référence de l’ictère néonatal à bilirubine non conjuguée. Son utilisation permet de diminuer le risque de toxicité cérébrale ainsi que le recours à l’exsanguino-transfusion. Il existe différentes modalités d’administration : intense, conventionnelle, continue ou discontinue.</w:t>
      </w:r>
    </w:p>
    <w:p w14:paraId="263612A7" w14:textId="409DE579" w:rsidR="007E3B33" w:rsidRPr="000A4A0F" w:rsidRDefault="00FB0C8A" w:rsidP="000A4A0F">
      <w:pPr>
        <w:pStyle w:val="Titre3"/>
        <w:numPr>
          <w:ilvl w:val="0"/>
          <w:numId w:val="18"/>
        </w:numPr>
        <w:spacing w:line="360" w:lineRule="auto"/>
        <w:jc w:val="both"/>
        <w:rPr>
          <w:rFonts w:ascii="Times New Roman" w:hAnsi="Times New Roman" w:cs="Times New Roman"/>
        </w:rPr>
      </w:pPr>
      <w:bookmarkStart w:id="37" w:name="_Toc87049063"/>
      <w:r w:rsidRPr="000A4A0F">
        <w:rPr>
          <w:rFonts w:ascii="Times New Roman" w:hAnsi="Times New Roman" w:cs="Times New Roman"/>
        </w:rPr>
        <w:t>Mécanisme d’action</w:t>
      </w:r>
      <w:bookmarkEnd w:id="37"/>
    </w:p>
    <w:p w14:paraId="03765F59" w14:textId="3B641BBE" w:rsidR="00C77A51" w:rsidRPr="000A4A0F" w:rsidRDefault="00FB0C8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 mécanisme d’action consiste, sous l’action d’un rayonnement lumineux, en une photo-isomérisation de la bilirubine non conjuguée en trois isomères facilement éliminables. Ce procédé irréversible, transforme la bilirubine en un isomère structural appelé </w:t>
      </w:r>
      <w:proofErr w:type="spellStart"/>
      <w:r w:rsidRPr="000A4A0F">
        <w:rPr>
          <w:rFonts w:ascii="Times New Roman" w:hAnsi="Times New Roman" w:cs="Times New Roman"/>
          <w:sz w:val="24"/>
          <w:szCs w:val="24"/>
        </w:rPr>
        <w:t>lumirubine</w:t>
      </w:r>
      <w:proofErr w:type="spellEnd"/>
      <w:r w:rsidRPr="000A4A0F">
        <w:rPr>
          <w:rFonts w:ascii="Times New Roman" w:hAnsi="Times New Roman" w:cs="Times New Roman"/>
          <w:sz w:val="24"/>
          <w:szCs w:val="24"/>
        </w:rPr>
        <w:t xml:space="preserve"> qui sera excrète dans la bile et les urines. La </w:t>
      </w:r>
      <w:proofErr w:type="spellStart"/>
      <w:r w:rsidRPr="000A4A0F">
        <w:rPr>
          <w:rFonts w:ascii="Times New Roman" w:hAnsi="Times New Roman" w:cs="Times New Roman"/>
          <w:sz w:val="24"/>
          <w:szCs w:val="24"/>
        </w:rPr>
        <w:t>lumirubine</w:t>
      </w:r>
      <w:proofErr w:type="spellEnd"/>
      <w:r w:rsidRPr="000A4A0F">
        <w:rPr>
          <w:rFonts w:ascii="Times New Roman" w:hAnsi="Times New Roman" w:cs="Times New Roman"/>
          <w:sz w:val="24"/>
          <w:szCs w:val="24"/>
        </w:rPr>
        <w:t xml:space="preserve"> est hydrosoluble et possède un pic d’absorption de 453 nm. Les équipements de photothérapie peuvent être classés selon leur niveau d’irradiance. L’irradiance représente la quantité d’énergie lumineuse délivrée par surface. Elle s’exprime en </w:t>
      </w:r>
      <w:proofErr w:type="spellStart"/>
      <w:r w:rsidRPr="000A4A0F">
        <w:rPr>
          <w:rFonts w:ascii="Times New Roman" w:hAnsi="Times New Roman" w:cs="Times New Roman"/>
          <w:sz w:val="24"/>
          <w:szCs w:val="24"/>
        </w:rPr>
        <w:t>μW</w:t>
      </w:r>
      <w:proofErr w:type="spellEnd"/>
      <w:r w:rsidRPr="000A4A0F">
        <w:rPr>
          <w:rFonts w:ascii="Times New Roman" w:hAnsi="Times New Roman" w:cs="Times New Roman"/>
          <w:sz w:val="24"/>
          <w:szCs w:val="24"/>
        </w:rPr>
        <w:t xml:space="preserve">/cm2/nm. Une photothérapie conventionnelle présente généralement des niveaux d’irradiance de l’ordre de 8 à 10 </w:t>
      </w:r>
      <w:proofErr w:type="spellStart"/>
      <w:r w:rsidRPr="000A4A0F">
        <w:rPr>
          <w:rFonts w:ascii="Times New Roman" w:hAnsi="Times New Roman" w:cs="Times New Roman"/>
          <w:sz w:val="24"/>
          <w:szCs w:val="24"/>
        </w:rPr>
        <w:t>μW</w:t>
      </w:r>
      <w:proofErr w:type="spellEnd"/>
      <w:r w:rsidRPr="000A4A0F">
        <w:rPr>
          <w:rFonts w:ascii="Times New Roman" w:hAnsi="Times New Roman" w:cs="Times New Roman"/>
          <w:sz w:val="24"/>
          <w:szCs w:val="24"/>
        </w:rPr>
        <w:t>/cm</w:t>
      </w:r>
      <w:r w:rsidRPr="000A4A0F">
        <w:rPr>
          <w:rFonts w:ascii="Times New Roman" w:hAnsi="Times New Roman" w:cs="Times New Roman"/>
          <w:sz w:val="24"/>
          <w:szCs w:val="24"/>
          <w:vertAlign w:val="superscript"/>
        </w:rPr>
        <w:t>2</w:t>
      </w:r>
      <w:r w:rsidRPr="000A4A0F">
        <w:rPr>
          <w:rFonts w:ascii="Times New Roman" w:hAnsi="Times New Roman" w:cs="Times New Roman"/>
          <w:sz w:val="24"/>
          <w:szCs w:val="24"/>
        </w:rPr>
        <w:t>/nm. La photothérapie est considérée intensive pour des niveaux d’irradiance supérieurs à 30μW/cm</w:t>
      </w:r>
      <w:r w:rsidRPr="000A4A0F">
        <w:rPr>
          <w:rFonts w:ascii="Times New Roman" w:hAnsi="Times New Roman" w:cs="Times New Roman"/>
          <w:sz w:val="24"/>
          <w:szCs w:val="24"/>
          <w:vertAlign w:val="superscript"/>
        </w:rPr>
        <w:t>2</w:t>
      </w:r>
      <w:r w:rsidR="009263D9" w:rsidRPr="000A4A0F">
        <w:rPr>
          <w:rFonts w:ascii="Times New Roman" w:hAnsi="Times New Roman" w:cs="Times New Roman"/>
          <w:sz w:val="24"/>
          <w:szCs w:val="24"/>
        </w:rPr>
        <w:t>/nm</w:t>
      </w:r>
      <w:r w:rsidRPr="000A4A0F">
        <w:rPr>
          <w:rFonts w:ascii="Times New Roman" w:hAnsi="Times New Roman" w:cs="Times New Roman"/>
          <w:sz w:val="24"/>
          <w:szCs w:val="24"/>
        </w:rPr>
        <w:t xml:space="preserve"> ou d’éclairement énergétique supérieurs à 3 mW/cm</w:t>
      </w:r>
      <w:r w:rsidRPr="000A4A0F">
        <w:rPr>
          <w:rFonts w:ascii="Times New Roman" w:hAnsi="Times New Roman" w:cs="Times New Roman"/>
          <w:sz w:val="24"/>
          <w:szCs w:val="24"/>
          <w:vertAlign w:val="superscript"/>
        </w:rPr>
        <w:t>2</w:t>
      </w:r>
      <w:r w:rsidRPr="000A4A0F">
        <w:rPr>
          <w:rFonts w:ascii="Times New Roman" w:hAnsi="Times New Roman" w:cs="Times New Roman"/>
          <w:sz w:val="24"/>
          <w:szCs w:val="24"/>
        </w:rPr>
        <w:t>.</w:t>
      </w:r>
    </w:p>
    <w:p w14:paraId="6F34822A" w14:textId="77777777" w:rsidR="00C77A51" w:rsidRPr="000A4A0F" w:rsidRDefault="00C77A51" w:rsidP="000A4A0F">
      <w:pPr>
        <w:shd w:val="clear" w:color="auto" w:fill="FFFFFF"/>
        <w:spacing w:after="0" w:line="360" w:lineRule="auto"/>
        <w:jc w:val="both"/>
        <w:textAlignment w:val="baseline"/>
        <w:rPr>
          <w:rFonts w:ascii="Times New Roman" w:hAnsi="Times New Roman" w:cs="Times New Roman"/>
          <w:sz w:val="24"/>
          <w:szCs w:val="24"/>
        </w:rPr>
      </w:pPr>
    </w:p>
    <w:p w14:paraId="4C72853C" w14:textId="77777777" w:rsidR="00C77A51" w:rsidRPr="000A4A0F" w:rsidRDefault="00FB0C8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noProof/>
          <w:sz w:val="24"/>
          <w:szCs w:val="24"/>
          <w:lang w:eastAsia="fr-FR"/>
        </w:rPr>
        <w:drawing>
          <wp:inline distT="0" distB="0" distL="0" distR="0" wp14:anchorId="0CD60A17" wp14:editId="0A4DCB6E">
            <wp:extent cx="5760720" cy="435010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50108"/>
                    </a:xfrm>
                    <a:prstGeom prst="rect">
                      <a:avLst/>
                    </a:prstGeom>
                    <a:noFill/>
                    <a:ln>
                      <a:noFill/>
                    </a:ln>
                  </pic:spPr>
                </pic:pic>
              </a:graphicData>
            </a:graphic>
          </wp:inline>
        </w:drawing>
      </w:r>
    </w:p>
    <w:p w14:paraId="606E31ED" w14:textId="77777777" w:rsidR="00C77A51" w:rsidRPr="000A4A0F" w:rsidRDefault="00C77A51" w:rsidP="000A4A0F">
      <w:pPr>
        <w:shd w:val="clear" w:color="auto" w:fill="FFFFFF"/>
        <w:spacing w:after="0" w:line="360" w:lineRule="auto"/>
        <w:jc w:val="both"/>
        <w:textAlignment w:val="baseline"/>
        <w:rPr>
          <w:rFonts w:ascii="Times New Roman" w:hAnsi="Times New Roman" w:cs="Times New Roman"/>
          <w:sz w:val="24"/>
          <w:szCs w:val="24"/>
        </w:rPr>
      </w:pPr>
    </w:p>
    <w:p w14:paraId="7E7E36D9" w14:textId="77777777" w:rsidR="00FB0C8A" w:rsidRPr="000A4A0F" w:rsidRDefault="00FB0C8A" w:rsidP="000A4A0F">
      <w:pPr>
        <w:pStyle w:val="Titre3"/>
        <w:numPr>
          <w:ilvl w:val="0"/>
          <w:numId w:val="18"/>
        </w:numPr>
        <w:spacing w:line="360" w:lineRule="auto"/>
        <w:jc w:val="both"/>
        <w:rPr>
          <w:rFonts w:ascii="Times New Roman" w:hAnsi="Times New Roman" w:cs="Times New Roman"/>
        </w:rPr>
      </w:pPr>
      <w:bookmarkStart w:id="38" w:name="_Toc87049064"/>
      <w:r w:rsidRPr="000A4A0F">
        <w:rPr>
          <w:rFonts w:ascii="Times New Roman" w:hAnsi="Times New Roman" w:cs="Times New Roman"/>
        </w:rPr>
        <w:t>Facteurs influençant l’efficacité</w:t>
      </w:r>
      <w:bookmarkEnd w:id="38"/>
    </w:p>
    <w:p w14:paraId="4B0B164C" w14:textId="77777777" w:rsidR="005518C3" w:rsidRPr="000A4A0F" w:rsidRDefault="005518C3" w:rsidP="000A4A0F">
      <w:pPr>
        <w:pStyle w:val="Paragraphedeliste"/>
        <w:shd w:val="clear" w:color="auto" w:fill="FFFFFF"/>
        <w:spacing w:after="0" w:line="360" w:lineRule="auto"/>
        <w:jc w:val="both"/>
        <w:textAlignment w:val="baseline"/>
        <w:rPr>
          <w:rFonts w:ascii="Times New Roman" w:hAnsi="Times New Roman" w:cs="Times New Roman"/>
          <w:sz w:val="24"/>
          <w:szCs w:val="24"/>
        </w:rPr>
      </w:pPr>
    </w:p>
    <w:p w14:paraId="03633801" w14:textId="77777777" w:rsidR="00FB0C8A" w:rsidRPr="000A4A0F" w:rsidRDefault="00FB0C8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La rapidité d’élimination de la bilirubine non conjuguée au cours de la photothérapie dépend de trois grands processus :</w:t>
      </w:r>
    </w:p>
    <w:p w14:paraId="10684267" w14:textId="77777777" w:rsidR="00747C7A" w:rsidRPr="000A4A0F" w:rsidRDefault="00FB0C8A" w:rsidP="000A4A0F">
      <w:pPr>
        <w:pStyle w:val="Paragraphedeliste"/>
        <w:numPr>
          <w:ilvl w:val="0"/>
          <w:numId w:val="8"/>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La rapidité d’altération de la bilirubine par la photothérapie.</w:t>
      </w:r>
    </w:p>
    <w:p w14:paraId="0AC81A33" w14:textId="77777777" w:rsidR="00747C7A" w:rsidRPr="000A4A0F" w:rsidRDefault="00FB0C8A" w:rsidP="000A4A0F">
      <w:pPr>
        <w:pStyle w:val="Paragraphedeliste"/>
        <w:numPr>
          <w:ilvl w:val="0"/>
          <w:numId w:val="8"/>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Du transport des photocomposés hydrosolubles de la peau vers la circulation sanguine.</w:t>
      </w:r>
    </w:p>
    <w:p w14:paraId="39A1D385" w14:textId="05B8EF64" w:rsidR="00FB0C8A" w:rsidRPr="000A4A0F" w:rsidRDefault="00FB0C8A" w:rsidP="000A4A0F">
      <w:pPr>
        <w:pStyle w:val="Paragraphedeliste"/>
        <w:numPr>
          <w:ilvl w:val="0"/>
          <w:numId w:val="8"/>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De l’excrétion de ces composés</w:t>
      </w:r>
      <w:r w:rsidR="009263D9" w:rsidRPr="000A4A0F">
        <w:rPr>
          <w:rFonts w:ascii="Times New Roman" w:hAnsi="Times New Roman" w:cs="Times New Roman"/>
          <w:sz w:val="24"/>
          <w:szCs w:val="24"/>
        </w:rPr>
        <w:t xml:space="preserve"> par le foie et par le rein</w:t>
      </w:r>
      <w:r w:rsidRPr="000A4A0F">
        <w:rPr>
          <w:rFonts w:ascii="Times New Roman" w:hAnsi="Times New Roman" w:cs="Times New Roman"/>
          <w:sz w:val="24"/>
          <w:szCs w:val="24"/>
        </w:rPr>
        <w:t>.</w:t>
      </w:r>
      <w:r w:rsidR="009263D9"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{"citationItems":[{"id":"ITEM-1","itemData":{"author":[{"dropping-particle":"","family":"M. Jeffrey Maisels, M.B., B.Ch.","given":"and Antony","non-dropping-particle":"","parse-names":false,"suffix":""}],"container-title":"N Engl J Med","id":"ITEM-1","issued":{"date-parts":[["0"]]},"page":"920-8","title":"Phototherapy for Neonatal Jaundice","type":"article-journal","volume":"358:"},"uris":["http://www.mendeley.com/documents/?uuid=f1a53a22-a76d-4aa6-8da6-7428a0c1d605","http://www.mendeley.com/documents/?uuid=46eda539-692b-4123-a7a5-5e3a4933e179"]}],"mendeley":{"formattedCitation":"(38)","plainTextFormattedCitation":"(38)","previouslyFormattedCitation":"(39)"},"properties":{"noteIndex":0},"schema":"https://github.com/citation-style-language/schema/raw/master/csl-citation.json"}</w:instrText>
      </w:r>
      <w:r w:rsidR="009263D9"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(38)</w:t>
      </w:r>
      <w:r w:rsidR="009263D9" w:rsidRPr="000A4A0F">
        <w:rPr>
          <w:rFonts w:ascii="Times New Roman" w:hAnsi="Times New Roman" w:cs="Times New Roman"/>
          <w:sz w:val="24"/>
          <w:szCs w:val="24"/>
        </w:rPr>
        <w:fldChar w:fldCharType="end"/>
      </w:r>
    </w:p>
    <w:p w14:paraId="103C699D" w14:textId="77777777" w:rsidR="00FB0C8A" w:rsidRPr="000A4A0F" w:rsidRDefault="00FB0C8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Cette élimination de la bilirubine dépendra de plusieurs paramètres techniques :</w:t>
      </w:r>
    </w:p>
    <w:p w14:paraId="78AC6CC5" w14:textId="77777777" w:rsidR="00FB0C8A" w:rsidRPr="000A4A0F" w:rsidRDefault="00747C7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            </w:t>
      </w:r>
      <w:r w:rsidR="00FB0C8A" w:rsidRPr="000A4A0F">
        <w:rPr>
          <w:rFonts w:ascii="Times New Roman" w:hAnsi="Times New Roman" w:cs="Times New Roman"/>
          <w:sz w:val="24"/>
          <w:szCs w:val="24"/>
        </w:rPr>
        <w:t>Des qualités spectrales de la lumière délivrée (longueur d’onde) ;</w:t>
      </w:r>
    </w:p>
    <w:p w14:paraId="09D5BF60" w14:textId="77777777" w:rsidR="00FB0C8A" w:rsidRPr="000A4A0F" w:rsidRDefault="00747C7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            </w:t>
      </w:r>
      <w:r w:rsidR="00FB0C8A" w:rsidRPr="000A4A0F">
        <w:rPr>
          <w:rFonts w:ascii="Times New Roman" w:hAnsi="Times New Roman" w:cs="Times New Roman"/>
          <w:sz w:val="24"/>
          <w:szCs w:val="24"/>
        </w:rPr>
        <w:t>De l’intensité de la lumière ;</w:t>
      </w:r>
    </w:p>
    <w:p w14:paraId="681B7873" w14:textId="77777777" w:rsidR="00FB0C8A" w:rsidRPr="000A4A0F" w:rsidRDefault="00747C7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            </w:t>
      </w:r>
      <w:r w:rsidR="00FB0C8A" w:rsidRPr="000A4A0F">
        <w:rPr>
          <w:rFonts w:ascii="Times New Roman" w:hAnsi="Times New Roman" w:cs="Times New Roman"/>
          <w:sz w:val="24"/>
          <w:szCs w:val="24"/>
        </w:rPr>
        <w:t>De la surface corporelle exposée ;</w:t>
      </w:r>
    </w:p>
    <w:p w14:paraId="00E8C4EC" w14:textId="77777777" w:rsidR="00FB0C8A" w:rsidRPr="000A4A0F" w:rsidRDefault="00747C7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            </w:t>
      </w:r>
      <w:r w:rsidR="00FB0C8A" w:rsidRPr="000A4A0F">
        <w:rPr>
          <w:rFonts w:ascii="Times New Roman" w:hAnsi="Times New Roman" w:cs="Times New Roman"/>
          <w:sz w:val="24"/>
          <w:szCs w:val="24"/>
        </w:rPr>
        <w:t>De l’épaisseur et de la pigmentation de la peau ;</w:t>
      </w:r>
    </w:p>
    <w:p w14:paraId="7CD74FD9" w14:textId="77777777" w:rsidR="00FB0C8A" w:rsidRPr="000A4A0F" w:rsidRDefault="00747C7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            </w:t>
      </w:r>
      <w:r w:rsidR="00FB0C8A" w:rsidRPr="000A4A0F">
        <w:rPr>
          <w:rFonts w:ascii="Times New Roman" w:hAnsi="Times New Roman" w:cs="Times New Roman"/>
          <w:sz w:val="24"/>
          <w:szCs w:val="24"/>
        </w:rPr>
        <w:t>Du taux de bilirubine ;</w:t>
      </w:r>
    </w:p>
    <w:p w14:paraId="6B1F27EC" w14:textId="77777777" w:rsidR="00FB0C8A" w:rsidRPr="000A4A0F" w:rsidRDefault="00747C7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            </w:t>
      </w:r>
      <w:r w:rsidR="00FB0C8A" w:rsidRPr="000A4A0F">
        <w:rPr>
          <w:rFonts w:ascii="Times New Roman" w:hAnsi="Times New Roman" w:cs="Times New Roman"/>
          <w:sz w:val="24"/>
          <w:szCs w:val="24"/>
        </w:rPr>
        <w:t>De la durée d’exposition ;</w:t>
      </w:r>
    </w:p>
    <w:p w14:paraId="254B8A4A" w14:textId="77777777" w:rsidR="00FB0C8A" w:rsidRPr="000A4A0F" w:rsidRDefault="00747C7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            </w:t>
      </w:r>
      <w:r w:rsidR="00FB0C8A" w:rsidRPr="000A4A0F">
        <w:rPr>
          <w:rFonts w:ascii="Times New Roman" w:hAnsi="Times New Roman" w:cs="Times New Roman"/>
          <w:sz w:val="24"/>
          <w:szCs w:val="24"/>
        </w:rPr>
        <w:t>De la cause de l’hyper bilirubinémie ;</w:t>
      </w:r>
    </w:p>
    <w:p w14:paraId="7E429336" w14:textId="29D53497" w:rsidR="00FB0C8A" w:rsidRPr="000A4A0F" w:rsidRDefault="00747C7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            </w:t>
      </w:r>
      <w:r w:rsidR="00FB0C8A" w:rsidRPr="000A4A0F">
        <w:rPr>
          <w:rFonts w:ascii="Times New Roman" w:hAnsi="Times New Roman" w:cs="Times New Roman"/>
          <w:sz w:val="24"/>
          <w:szCs w:val="24"/>
        </w:rPr>
        <w:t>De la distance entre l’enfant et la source lumineuse (une distance de 20 à 30 cm entre la source lumineus</w:t>
      </w:r>
      <w:r w:rsidR="00317294" w:rsidRPr="000A4A0F">
        <w:rPr>
          <w:rFonts w:ascii="Times New Roman" w:hAnsi="Times New Roman" w:cs="Times New Roman"/>
          <w:sz w:val="24"/>
          <w:szCs w:val="24"/>
        </w:rPr>
        <w:t>e et l’enfant est recommandée).</w:t>
      </w:r>
    </w:p>
    <w:p w14:paraId="07B31F8F" w14:textId="2C2D3383" w:rsidR="00747C7A" w:rsidRPr="000A4A0F" w:rsidRDefault="00CA26D4" w:rsidP="000A4A0F">
      <w:pPr>
        <w:pStyle w:val="Titre3"/>
        <w:numPr>
          <w:ilvl w:val="0"/>
          <w:numId w:val="18"/>
        </w:numPr>
        <w:spacing w:line="360" w:lineRule="auto"/>
        <w:jc w:val="both"/>
        <w:rPr>
          <w:rFonts w:ascii="Times New Roman" w:hAnsi="Times New Roman" w:cs="Times New Roman"/>
        </w:rPr>
      </w:pPr>
      <w:bookmarkStart w:id="39" w:name="_Toc87049065"/>
      <w:r w:rsidRPr="000A4A0F">
        <w:rPr>
          <w:rFonts w:ascii="Times New Roman" w:hAnsi="Times New Roman" w:cs="Times New Roman"/>
        </w:rPr>
        <w:t>Méthodes</w:t>
      </w:r>
      <w:r w:rsidR="009263D9" w:rsidRPr="000A4A0F">
        <w:rPr>
          <w:rFonts w:ascii="Times New Roman" w:hAnsi="Times New Roman" w:cs="Times New Roman"/>
        </w:rPr>
        <w:t xml:space="preserve"> </w:t>
      </w:r>
      <w:r w:rsidR="009263D9" w:rsidRPr="000A4A0F">
        <w:rPr>
          <w:rFonts w:ascii="Times New Roman" w:hAnsi="Times New Roman" w:cs="Times New Roman"/>
        </w:rPr>
        <w:fldChar w:fldCharType="begin" w:fldLock="1"/>
      </w:r>
      <w:r w:rsidR="004F4A84">
        <w:rPr>
          <w:rFonts w:ascii="Times New Roman" w:hAnsi="Times New Roman" w:cs="Times New Roman"/>
        </w:rPr>
        <w:instrText>ADDIN CSL_CITATION {"citationItems":[{"id":"ITEM-1","itemData":{"author":[{"dropping-particle":"","family":"Salma Naderi, Fatemeh Safdarian, Davood Mazloomi","given":"Elham Bushehri","non-dropping-particle":"","parse-names":false,"suffix":""}],"container-title":"Pediatr Neonatol","id":"ITEM-1","issued":{"date-parts":[["0"]]},"page":"266−269","title":"Efficacy of Double and Triple Phototherapy in Term Newborns With Hyperbilirubinemia:The First Clinical Trial.itle","type":"article-journal","volume":"50(6):."},"uris":["http://www.mendeley.com/documents/?uuid=17ac39da-033c-406c-b88b-e3bcc616ecbb","http://www.mendeley.com/documents/?uuid=4305ca69-1be4-4112-9cee-94df6a40b1b7"]}],"mendeley":{"formattedCitation":"(39)","plainTextFormattedCitation":"(39)","previouslyFormattedCitation":"(40)"},"properties":{"noteIndex":0},"schema":"https://github.com/citation-style-language/schema/raw/master/csl-citation.json"}</w:instrText>
      </w:r>
      <w:r w:rsidR="009263D9" w:rsidRPr="000A4A0F">
        <w:rPr>
          <w:rFonts w:ascii="Times New Roman" w:hAnsi="Times New Roman" w:cs="Times New Roman"/>
        </w:rPr>
        <w:fldChar w:fldCharType="separate"/>
      </w:r>
      <w:r w:rsidR="004F4A84" w:rsidRPr="004F4A84">
        <w:rPr>
          <w:rFonts w:ascii="Times New Roman" w:hAnsi="Times New Roman" w:cs="Times New Roman"/>
          <w:noProof/>
        </w:rPr>
        <w:t>(39)</w:t>
      </w:r>
      <w:r w:rsidR="009263D9" w:rsidRPr="000A4A0F">
        <w:rPr>
          <w:rFonts w:ascii="Times New Roman" w:hAnsi="Times New Roman" w:cs="Times New Roman"/>
        </w:rPr>
        <w:fldChar w:fldCharType="end"/>
      </w:r>
      <w:r w:rsidRPr="000A4A0F">
        <w:rPr>
          <w:rFonts w:ascii="Times New Roman" w:hAnsi="Times New Roman" w:cs="Times New Roman"/>
        </w:rPr>
        <w:t xml:space="preserve"> : </w:t>
      </w:r>
      <w:bookmarkEnd w:id="39"/>
    </w:p>
    <w:p w14:paraId="72489742" w14:textId="770C1B1F" w:rsidR="005A7768" w:rsidRPr="000A4A0F" w:rsidRDefault="00FB0C8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On distingue deux méthodes de photothérapie :</w:t>
      </w:r>
    </w:p>
    <w:p w14:paraId="65DFB224" w14:textId="77777777" w:rsidR="00FB0C8A" w:rsidRPr="000A4A0F" w:rsidRDefault="00FB0C8A" w:rsidP="000A4A0F">
      <w:pPr>
        <w:pStyle w:val="Paragraphedeliste"/>
        <w:numPr>
          <w:ilvl w:val="0"/>
          <w:numId w:val="19"/>
        </w:numPr>
        <w:shd w:val="clear" w:color="auto" w:fill="FFFFFF"/>
        <w:spacing w:after="0" w:line="360" w:lineRule="auto"/>
        <w:jc w:val="both"/>
        <w:textAlignment w:val="baseline"/>
        <w:rPr>
          <w:rFonts w:ascii="Times New Roman" w:hAnsi="Times New Roman" w:cs="Times New Roman"/>
          <w:b/>
          <w:sz w:val="24"/>
          <w:szCs w:val="24"/>
        </w:rPr>
      </w:pPr>
      <w:r w:rsidRPr="000A4A0F">
        <w:rPr>
          <w:rFonts w:ascii="Times New Roman" w:hAnsi="Times New Roman" w:cs="Times New Roman"/>
          <w:b/>
          <w:sz w:val="24"/>
          <w:szCs w:val="24"/>
        </w:rPr>
        <w:t>Photothérapie conventionnelle :</w:t>
      </w:r>
    </w:p>
    <w:p w14:paraId="51C1EFF6" w14:textId="77777777" w:rsidR="005A7768" w:rsidRPr="000A4A0F" w:rsidRDefault="005A7768" w:rsidP="000A4A0F">
      <w:pPr>
        <w:pStyle w:val="Paragraphedeliste"/>
        <w:shd w:val="clear" w:color="auto" w:fill="FFFFFF"/>
        <w:spacing w:after="0" w:line="360" w:lineRule="auto"/>
        <w:ind w:left="1080"/>
        <w:jc w:val="both"/>
        <w:textAlignment w:val="baseline"/>
        <w:rPr>
          <w:rFonts w:ascii="Times New Roman" w:hAnsi="Times New Roman" w:cs="Times New Roman"/>
          <w:sz w:val="24"/>
          <w:szCs w:val="24"/>
        </w:rPr>
      </w:pPr>
    </w:p>
    <w:p w14:paraId="0C39CE1D" w14:textId="1A8BD962" w:rsidR="00C97116" w:rsidRPr="000A4A0F" w:rsidRDefault="00FB0C8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Dans un lit ou une couveuse avec un « éclairement énergétique » de 2 à 3 mW/cm² ou une « irradiance » de 8-10 W/cm² par nm. Toutes les maternités et services d</w:t>
      </w:r>
      <w:r w:rsidR="004900D5" w:rsidRPr="000A4A0F">
        <w:rPr>
          <w:rFonts w:ascii="Times New Roman" w:hAnsi="Times New Roman" w:cs="Times New Roman"/>
          <w:sz w:val="24"/>
          <w:szCs w:val="24"/>
        </w:rPr>
        <w:t xml:space="preserve">e néonatologie doivent posséder un tel </w:t>
      </w:r>
      <w:r w:rsidRPr="000A4A0F">
        <w:rPr>
          <w:rFonts w:ascii="Times New Roman" w:hAnsi="Times New Roman" w:cs="Times New Roman"/>
          <w:sz w:val="24"/>
          <w:szCs w:val="24"/>
        </w:rPr>
        <w:t>équ</w:t>
      </w:r>
      <w:r w:rsidR="00747C7A" w:rsidRPr="000A4A0F">
        <w:rPr>
          <w:rFonts w:ascii="Times New Roman" w:hAnsi="Times New Roman" w:cs="Times New Roman"/>
          <w:sz w:val="24"/>
          <w:szCs w:val="24"/>
        </w:rPr>
        <w:t>ipement.</w:t>
      </w:r>
    </w:p>
    <w:p w14:paraId="6E49183D" w14:textId="3A7D6157" w:rsidR="00C97116" w:rsidRPr="000A4A0F" w:rsidRDefault="00FB0C8A" w:rsidP="000A4A0F">
      <w:pPr>
        <w:pStyle w:val="Paragraphedeliste"/>
        <w:numPr>
          <w:ilvl w:val="0"/>
          <w:numId w:val="19"/>
        </w:numPr>
        <w:shd w:val="clear" w:color="auto" w:fill="FFFFFF"/>
        <w:spacing w:after="0" w:line="360" w:lineRule="auto"/>
        <w:jc w:val="both"/>
        <w:textAlignment w:val="baseline"/>
        <w:rPr>
          <w:rFonts w:ascii="Times New Roman" w:hAnsi="Times New Roman" w:cs="Times New Roman"/>
          <w:b/>
          <w:sz w:val="24"/>
          <w:szCs w:val="24"/>
        </w:rPr>
      </w:pPr>
      <w:r w:rsidRPr="000A4A0F">
        <w:rPr>
          <w:rFonts w:ascii="Times New Roman" w:hAnsi="Times New Roman" w:cs="Times New Roman"/>
          <w:b/>
          <w:sz w:val="24"/>
          <w:szCs w:val="24"/>
        </w:rPr>
        <w:t>Photothérapie intensive :</w:t>
      </w:r>
    </w:p>
    <w:p w14:paraId="0533BBC6" w14:textId="77777777" w:rsidR="00747C7A" w:rsidRPr="000A4A0F" w:rsidRDefault="00FB0C8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Ensemble de lampes dans la zone bleue du spectre solaire administré sur l’ensemble du corps (360°) « d’éclairement énergétique » &gt; 3 mW/cm² ou une « irradiance » &gt; 30 W/cm² par nm. Elle permet de baisser le taux de bilirubine totale de 20 % en moyenne en 4 heures. Son efficacité permet de limiter le recours à l’EST en cas d’</w:t>
      </w:r>
      <w:r w:rsidR="00747C7A" w:rsidRPr="000A4A0F">
        <w:rPr>
          <w:rFonts w:ascii="Times New Roman" w:hAnsi="Times New Roman" w:cs="Times New Roman"/>
          <w:sz w:val="24"/>
          <w:szCs w:val="24"/>
        </w:rPr>
        <w:t>hémolyse sévère.</w:t>
      </w:r>
    </w:p>
    <w:p w14:paraId="2CB745B7" w14:textId="77777777" w:rsidR="00FB0C8A" w:rsidRPr="000A4A0F" w:rsidRDefault="00FB0C8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Il existe une troisième catégorie de photothérapie appelée photothérapie maternisée, c’est un lit dans lequel l’enfant (« face inférieure ») repose à 5-7 centimètres de tubes émettant un éclairement énergétique faible d’environ 2 mW/cm².L’administration est continue, ne nécessite pas de protection oculaire et permet une photothérapie dans la chambre de la mère sans </w:t>
      </w:r>
      <w:r w:rsidRPr="000A4A0F">
        <w:rPr>
          <w:rFonts w:ascii="Times New Roman" w:hAnsi="Times New Roman" w:cs="Times New Roman"/>
          <w:sz w:val="24"/>
          <w:szCs w:val="24"/>
        </w:rPr>
        <w:lastRenderedPageBreak/>
        <w:t>surveillance particulière. A noter un risque de perte de chaleur (couverture ou vêtements sur une « face »)</w:t>
      </w:r>
      <w:r w:rsidR="00C97116" w:rsidRPr="000A4A0F">
        <w:rPr>
          <w:rFonts w:ascii="Times New Roman" w:hAnsi="Times New Roman" w:cs="Times New Roman"/>
          <w:sz w:val="24"/>
          <w:szCs w:val="24"/>
        </w:rPr>
        <w:t>.</w:t>
      </w:r>
    </w:p>
    <w:p w14:paraId="5653E936" w14:textId="26ED4552" w:rsidR="00FB0C8A" w:rsidRPr="000A4A0F" w:rsidRDefault="00EC4576" w:rsidP="000A4A0F">
      <w:pPr>
        <w:suppressAutoHyphens w:val="0"/>
        <w:spacing w:line="360" w:lineRule="auto"/>
        <w:jc w:val="both"/>
        <w:rPr>
          <w:rFonts w:ascii="Times New Roman" w:hAnsi="Times New Roman" w:cs="Times New Roman"/>
          <w:b/>
          <w:sz w:val="24"/>
          <w:szCs w:val="24"/>
        </w:rPr>
      </w:pPr>
      <w:r w:rsidRPr="000A4A0F">
        <w:rPr>
          <w:rFonts w:ascii="Times New Roman" w:hAnsi="Times New Roman" w:cs="Times New Roman"/>
          <w:sz w:val="24"/>
          <w:szCs w:val="24"/>
        </w:rPr>
        <w:t xml:space="preserve">                      </w:t>
      </w:r>
      <w:r w:rsidR="00FB0C8A" w:rsidRPr="000A4A0F">
        <w:rPr>
          <w:rFonts w:ascii="Times New Roman" w:hAnsi="Times New Roman" w:cs="Times New Roman"/>
          <w:b/>
          <w:sz w:val="24"/>
          <w:szCs w:val="24"/>
        </w:rPr>
        <w:t>Indications</w:t>
      </w:r>
    </w:p>
    <w:p w14:paraId="3478F712" w14:textId="2A526C62" w:rsidR="009873D9" w:rsidRPr="000A4A0F" w:rsidRDefault="00EC4576" w:rsidP="000A4A0F">
      <w:pPr>
        <w:pStyle w:val="Sansinterligne"/>
        <w:spacing w:line="360" w:lineRule="auto"/>
        <w:ind w:left="360"/>
        <w:jc w:val="both"/>
        <w:rPr>
          <w:rFonts w:ascii="Times New Roman" w:hAnsi="Times New Roman" w:cs="Times New Roman"/>
          <w:b/>
          <w:sz w:val="24"/>
          <w:szCs w:val="24"/>
        </w:rPr>
      </w:pPr>
      <w:r w:rsidRPr="000A4A0F">
        <w:rPr>
          <w:rFonts w:ascii="Times New Roman" w:hAnsi="Times New Roman" w:cs="Times New Roman"/>
          <w:noProof/>
          <w:sz w:val="24"/>
          <w:szCs w:val="24"/>
          <w:lang w:eastAsia="fr-FR"/>
        </w:rPr>
        <w:drawing>
          <wp:inline distT="0" distB="0" distL="0" distR="0" wp14:anchorId="333781DE" wp14:editId="3F23A6BE">
            <wp:extent cx="6216949" cy="4263656"/>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47570" cy="4284656"/>
                    </a:xfrm>
                    <a:prstGeom prst="rect">
                      <a:avLst/>
                    </a:prstGeom>
                  </pic:spPr>
                </pic:pic>
              </a:graphicData>
            </a:graphic>
          </wp:inline>
        </w:drawing>
      </w:r>
    </w:p>
    <w:p w14:paraId="04CE3807" w14:textId="1213CA1A" w:rsidR="00EC4576" w:rsidRPr="000A4A0F" w:rsidRDefault="00FB0C8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Les indications de photothérapie sont posées se</w:t>
      </w:r>
      <w:r w:rsidR="005C79F0" w:rsidRPr="000A4A0F">
        <w:rPr>
          <w:rFonts w:ascii="Times New Roman" w:hAnsi="Times New Roman" w:cs="Times New Roman"/>
          <w:sz w:val="24"/>
          <w:szCs w:val="24"/>
        </w:rPr>
        <w:t>l</w:t>
      </w:r>
      <w:r w:rsidR="00362202" w:rsidRPr="000A4A0F">
        <w:rPr>
          <w:rFonts w:ascii="Times New Roman" w:hAnsi="Times New Roman" w:cs="Times New Roman"/>
          <w:sz w:val="24"/>
          <w:szCs w:val="24"/>
        </w:rPr>
        <w:t xml:space="preserve">on les courbes de référence </w:t>
      </w:r>
      <w:r w:rsidR="005C79F0" w:rsidRPr="000A4A0F">
        <w:rPr>
          <w:rFonts w:ascii="Times New Roman" w:hAnsi="Times New Roman" w:cs="Times New Roman"/>
          <w:sz w:val="24"/>
          <w:szCs w:val="24"/>
        </w:rPr>
        <w:t xml:space="preserve"> </w:t>
      </w:r>
      <w:r w:rsidRPr="000A4A0F">
        <w:rPr>
          <w:rFonts w:ascii="Times New Roman" w:hAnsi="Times New Roman" w:cs="Times New Roman"/>
          <w:sz w:val="24"/>
          <w:szCs w:val="24"/>
        </w:rPr>
        <w:t xml:space="preserve">et doivent prendre en compte les facteurs de risque de neurotoxicité tels que l'hémolyse, le déficit en G6PD, l'asphyxie, le sepsis, l'acidose, l'hypo albuminémie, la présence de signes d'encéphalopathie </w:t>
      </w:r>
      <w:r w:rsidR="005C79F0" w:rsidRPr="000A4A0F">
        <w:rPr>
          <w:rFonts w:ascii="Times New Roman" w:hAnsi="Times New Roman" w:cs="Times New Roman"/>
          <w:sz w:val="24"/>
          <w:szCs w:val="24"/>
        </w:rPr>
        <w:t>aiguë et l'</w:t>
      </w:r>
      <w:r w:rsidR="00362202" w:rsidRPr="000A4A0F">
        <w:rPr>
          <w:rFonts w:ascii="Times New Roman" w:hAnsi="Times New Roman" w:cs="Times New Roman"/>
          <w:sz w:val="24"/>
          <w:szCs w:val="24"/>
        </w:rPr>
        <w:t>âge gestationnel</w:t>
      </w:r>
      <w:r w:rsidR="00C97116" w:rsidRPr="000A4A0F">
        <w:rPr>
          <w:rFonts w:ascii="Times New Roman" w:hAnsi="Times New Roman" w:cs="Times New Roman"/>
          <w:sz w:val="24"/>
          <w:szCs w:val="24"/>
        </w:rPr>
        <w:t>.</w:t>
      </w:r>
    </w:p>
    <w:p w14:paraId="44FD9A37" w14:textId="23B1843F" w:rsidR="00C97116" w:rsidRPr="000A4A0F" w:rsidRDefault="00FB0C8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La photothérapie intensive est indiquée en première intention en cas d'HB précoce ou sévère (proche du seuil d'EST), en cas d'ictère hémolytique et particulièrement l'IFME ou en relais d'une photothérapie conventionnelle si la diminution de la biliru</w:t>
      </w:r>
      <w:r w:rsidR="00485743" w:rsidRPr="000A4A0F">
        <w:rPr>
          <w:rFonts w:ascii="Times New Roman" w:hAnsi="Times New Roman" w:cs="Times New Roman"/>
          <w:sz w:val="24"/>
          <w:szCs w:val="24"/>
        </w:rPr>
        <w:t>b</w:t>
      </w:r>
      <w:r w:rsidR="00362202" w:rsidRPr="000A4A0F">
        <w:rPr>
          <w:rFonts w:ascii="Times New Roman" w:hAnsi="Times New Roman" w:cs="Times New Roman"/>
          <w:sz w:val="24"/>
          <w:szCs w:val="24"/>
        </w:rPr>
        <w:t>inémie s'avère trop modérée</w:t>
      </w:r>
      <w:r w:rsidRPr="000A4A0F">
        <w:rPr>
          <w:rFonts w:ascii="Times New Roman" w:hAnsi="Times New Roman" w:cs="Times New Roman"/>
          <w:sz w:val="24"/>
          <w:szCs w:val="24"/>
        </w:rPr>
        <w:t>.</w:t>
      </w:r>
      <w:r w:rsidR="00362202"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{"citationItems":[{"id":"ITEM-1","itemData":{"author":[{"dropping-particle":"","family":"A. Corteya, M. Elzaabib, T. Waegemansb, B. Rochb","given":"Y. Aujardc","non-dropping-particle":"","parse-names":false,"suffix":""}],"container-title":"Meta-analyse Archives de Pediatrie","id":"ITEM-1","issued":{"date-parts":[["2014"]]},"page":"976-983","title":"Efficacite et tolerance des immunoglobulines polyvalentes dans l’hyperbilirubinemie neonatale par incompatibilite´ ABO.","type":"article-journal","volume":"21"},"uris":["http://www.mendeley.com/documents/?uuid=5b157598-c0de-4e1d-8800-0ba9640fa968","http://www.mendeley.com/documents/?uuid=1d488d36-eb10-486c-b56d-13acc247df03"]}],"mendeley":{"formattedCitation":"(25)","plainTextFormattedCitation":"(25)","previouslyFormattedCitation":"(26)"},"properties":{"noteIndex":0},"schema":"https://github.com/citation-style-language/schema/raw/master/csl-citation.json"}</w:instrText>
      </w:r>
      <w:r w:rsidR="00362202"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(25)</w:t>
      </w:r>
      <w:r w:rsidR="00362202" w:rsidRPr="000A4A0F">
        <w:rPr>
          <w:rFonts w:ascii="Times New Roman" w:hAnsi="Times New Roman" w:cs="Times New Roman"/>
          <w:sz w:val="24"/>
          <w:szCs w:val="24"/>
        </w:rPr>
        <w:fldChar w:fldCharType="end"/>
      </w:r>
    </w:p>
    <w:p w14:paraId="5011FE5B" w14:textId="68A99DD3" w:rsidR="00FB0C8A" w:rsidRPr="000A4A0F" w:rsidRDefault="00FB0C8A" w:rsidP="000A4A0F">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L'arrêt de la photothérapie est décidé selon la bilirubinémie obtenue mais dépend aussi de l'âge auquel la photothérapie a été ini</w:t>
      </w:r>
      <w:r w:rsidR="00362202" w:rsidRPr="000A4A0F">
        <w:rPr>
          <w:rFonts w:ascii="Times New Roman" w:hAnsi="Times New Roman" w:cs="Times New Roman"/>
          <w:sz w:val="24"/>
          <w:szCs w:val="24"/>
        </w:rPr>
        <w:t>tiée et de la cause de l'HB</w:t>
      </w:r>
      <w:r w:rsidRPr="000A4A0F">
        <w:rPr>
          <w:rFonts w:ascii="Times New Roman" w:hAnsi="Times New Roman" w:cs="Times New Roman"/>
          <w:sz w:val="24"/>
          <w:szCs w:val="24"/>
        </w:rPr>
        <w:t>.</w:t>
      </w:r>
      <w:r w:rsidR="00362202"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{"citationItems":[{"id":"ITEM-1","itemData":{"author":[{"dropping-particle":"","family":"Langevin","given":"L. Di Maio M. and","non-dropping-particle":"","parse-names":false,"suffix":""}],"container-title":"Archives de Pédiatrie,","id":"ITEM-1","issued":{"date-parts":[["1998"]]},"page":"p. 1156 1161","title":"Prise en charge de l'hyperbilirubinémie du nouveau-né à terme en maternité.","type":"article-journal","volume":"5, 10:"},"uris":["http://www.mendeley.com/documents/?uuid=35559d13-0a92-49aa-b40b-6cb14b2e8a9a","http://www.mendeley.com/documents/?uuid=a83187fb-e6e1-4729-9d3f-b76fbfca1768"]}],"mendeley":{"formattedCitation":"(40)","plainTextFormattedCitation":"(40)","previouslyFormattedCitation":"(41)"},"properties":{"noteIndex":0},"schema":"https://github.com/citation-style-language/schema/raw/master/csl-citation.json"}</w:instrText>
      </w:r>
      <w:r w:rsidR="00362202"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(40)</w:t>
      </w:r>
      <w:r w:rsidR="00362202" w:rsidRPr="000A4A0F">
        <w:rPr>
          <w:rFonts w:ascii="Times New Roman" w:hAnsi="Times New Roman" w:cs="Times New Roman"/>
          <w:sz w:val="24"/>
          <w:szCs w:val="24"/>
        </w:rPr>
        <w:fldChar w:fldCharType="end"/>
      </w:r>
    </w:p>
    <w:p w14:paraId="5D57C2BF" w14:textId="77777777" w:rsidR="008C47D1" w:rsidRPr="000A4A0F" w:rsidRDefault="008C47D1" w:rsidP="000A4A0F">
      <w:pPr>
        <w:pStyle w:val="Titre2"/>
        <w:spacing w:line="360" w:lineRule="auto"/>
        <w:jc w:val="both"/>
        <w:rPr>
          <w:rFonts w:ascii="Times New Roman" w:hAnsi="Times New Roman" w:cs="Times New Roman"/>
          <w:b/>
          <w:sz w:val="24"/>
          <w:szCs w:val="24"/>
        </w:rPr>
      </w:pPr>
    </w:p>
    <w:p w14:paraId="7D67F91D" w14:textId="77777777" w:rsidR="004D0C69" w:rsidRPr="000A4A0F" w:rsidRDefault="004D0C69" w:rsidP="000A4A0F">
      <w:pPr>
        <w:suppressAutoHyphens w:val="0"/>
        <w:spacing w:line="360" w:lineRule="auto"/>
        <w:jc w:val="both"/>
        <w:rPr>
          <w:rFonts w:ascii="Times New Roman" w:hAnsi="Times New Roman" w:cs="Times New Roman"/>
          <w:b/>
          <w:sz w:val="24"/>
          <w:szCs w:val="24"/>
        </w:rPr>
      </w:pPr>
      <w:r w:rsidRPr="000A4A0F">
        <w:rPr>
          <w:rFonts w:ascii="Times New Roman" w:hAnsi="Times New Roman" w:cs="Times New Roman"/>
          <w:b/>
          <w:sz w:val="24"/>
          <w:szCs w:val="24"/>
        </w:rPr>
        <w:br w:type="page"/>
      </w:r>
    </w:p>
    <w:p w14:paraId="0AD7037D" w14:textId="410BD144" w:rsidR="00FB0C8A" w:rsidRPr="000A4A0F" w:rsidRDefault="00FB0C8A" w:rsidP="006612D9">
      <w:pPr>
        <w:pStyle w:val="Sansinterligne"/>
        <w:numPr>
          <w:ilvl w:val="0"/>
          <w:numId w:val="20"/>
        </w:numPr>
        <w:spacing w:line="360" w:lineRule="auto"/>
        <w:jc w:val="both"/>
        <w:rPr>
          <w:rFonts w:ascii="Times New Roman" w:hAnsi="Times New Roman" w:cs="Times New Roman"/>
          <w:b/>
          <w:sz w:val="24"/>
          <w:szCs w:val="24"/>
        </w:rPr>
      </w:pPr>
      <w:r w:rsidRPr="000A4A0F">
        <w:rPr>
          <w:rFonts w:ascii="Times New Roman" w:hAnsi="Times New Roman" w:cs="Times New Roman"/>
          <w:b/>
          <w:sz w:val="24"/>
          <w:szCs w:val="24"/>
        </w:rPr>
        <w:lastRenderedPageBreak/>
        <w:t>Complications</w:t>
      </w:r>
    </w:p>
    <w:p w14:paraId="75AD8DAD" w14:textId="77777777" w:rsidR="008C47D1" w:rsidRPr="000A4A0F" w:rsidRDefault="008C47D1" w:rsidP="006612D9">
      <w:pPr>
        <w:shd w:val="clear" w:color="auto" w:fill="FFFFFF"/>
        <w:spacing w:after="0" w:line="360" w:lineRule="auto"/>
        <w:jc w:val="both"/>
        <w:textAlignment w:val="baseline"/>
        <w:rPr>
          <w:rFonts w:ascii="Times New Roman" w:hAnsi="Times New Roman" w:cs="Times New Roman"/>
          <w:sz w:val="24"/>
          <w:szCs w:val="24"/>
        </w:rPr>
      </w:pPr>
    </w:p>
    <w:p w14:paraId="1E2119B0" w14:textId="77777777" w:rsidR="00FB0C8A" w:rsidRPr="000A4A0F" w:rsidRDefault="00FB0C8A"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Le traitement par photothérapie peut entrainer des complications :</w:t>
      </w:r>
    </w:p>
    <w:p w14:paraId="76E347E1" w14:textId="77777777" w:rsidR="005C79F0" w:rsidRPr="000A4A0F" w:rsidRDefault="00FB0C8A" w:rsidP="006612D9">
      <w:pPr>
        <w:pStyle w:val="Paragraphedeliste"/>
        <w:numPr>
          <w:ilvl w:val="0"/>
          <w:numId w:val="9"/>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Une hyperthermie et une déshydratation peuvent survenir. Le risque est variable selon le type de source lumineuse, l’âge gestationnel du NN et de son alimentation. Une surveillance régulière de la température est nécessaire. Une alimentation efficace est indispensable, vérifiée notamment lors d’un allaitement maternel.</w:t>
      </w:r>
    </w:p>
    <w:p w14:paraId="084985DE" w14:textId="55C7661C" w:rsidR="005C79F0" w:rsidRPr="000A4A0F" w:rsidRDefault="00FB0C8A" w:rsidP="006612D9">
      <w:pPr>
        <w:pStyle w:val="Paragraphedeliste"/>
        <w:numPr>
          <w:ilvl w:val="0"/>
          <w:numId w:val="9"/>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Une protection oculaire sous forme de lunettes doit être utilisée afin de prévenir la survenue d’une kératite ou d’éven</w:t>
      </w:r>
      <w:r w:rsidR="00957AAE" w:rsidRPr="000A4A0F">
        <w:rPr>
          <w:rFonts w:ascii="Times New Roman" w:hAnsi="Times New Roman" w:cs="Times New Roman"/>
          <w:sz w:val="24"/>
          <w:szCs w:val="24"/>
        </w:rPr>
        <w:t>tuelles lésions rétiniennes</w:t>
      </w:r>
      <w:r w:rsidRPr="000A4A0F">
        <w:rPr>
          <w:rFonts w:ascii="Times New Roman" w:hAnsi="Times New Roman" w:cs="Times New Roman"/>
          <w:sz w:val="24"/>
          <w:szCs w:val="24"/>
        </w:rPr>
        <w:t>.</w:t>
      </w:r>
      <w:r w:rsidR="00362202"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{"citationItems":[{"id":"ITEM-1","itemData":{"author":[{"dropping-particle":"","family":"A.","given":"Caldera R. and Sender","non-dropping-particle":"","parse-names":false,"suffix":""}],"container-title":"Archives de Pédiatrie,","id":"ITEM-1","issued":{"date-parts":[["1999"]]},"page":"p. 113-113","title":"Photothérapie et mort subite du nourrisson.","type":"article-journal","volume":", 6, 1."},"uris":["http://www.mendeley.com/documents/?uuid=3135fb02-f73f-411f-9c22-23558a98c0a9","http://www.mendeley.com/documents/?uuid=acd6328e-e95c-40c1-9d4a-b3bcab08fe58"]}],"mendeley":{"formattedCitation":"(41)","plainTextFormattedCitation":"(41)","previouslyFormattedCitation":"(42)"},"properties":{"noteIndex":0},"schema":"https://github.com/citation-style-language/schema/raw/master/csl-citation.json"}</w:instrText>
      </w:r>
      <w:r w:rsidR="00362202"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(41)</w:t>
      </w:r>
      <w:r w:rsidR="00362202" w:rsidRPr="000A4A0F">
        <w:rPr>
          <w:rFonts w:ascii="Times New Roman" w:hAnsi="Times New Roman" w:cs="Times New Roman"/>
          <w:sz w:val="24"/>
          <w:szCs w:val="24"/>
        </w:rPr>
        <w:fldChar w:fldCharType="end"/>
      </w:r>
    </w:p>
    <w:p w14:paraId="07A14455" w14:textId="04C9D938" w:rsidR="005C79F0" w:rsidRPr="000A4A0F" w:rsidRDefault="00FB0C8A" w:rsidP="006612D9">
      <w:pPr>
        <w:pStyle w:val="Paragraphedeliste"/>
        <w:numPr>
          <w:ilvl w:val="0"/>
          <w:numId w:val="9"/>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Un monitorage cardio-respiratoire est obligatoire lors des séances de photothérapie pour le risque de mort subite. Les principaux mécanismes évoqués lors de la survenue de ces accidents de morts subites néonatales sont l’hyperthermie ainsi que l’apnée obstructive par déplacemen</w:t>
      </w:r>
      <w:r w:rsidR="00362202" w:rsidRPr="000A4A0F">
        <w:rPr>
          <w:rFonts w:ascii="Times New Roman" w:hAnsi="Times New Roman" w:cs="Times New Roman"/>
          <w:sz w:val="24"/>
          <w:szCs w:val="24"/>
        </w:rPr>
        <w:t>t des protections oculaires</w:t>
      </w:r>
      <w:r w:rsidRPr="000A4A0F">
        <w:rPr>
          <w:rFonts w:ascii="Times New Roman" w:hAnsi="Times New Roman" w:cs="Times New Roman"/>
          <w:sz w:val="24"/>
          <w:szCs w:val="24"/>
        </w:rPr>
        <w:t>.</w:t>
      </w:r>
      <w:r w:rsidR="0069005B"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{"citationItems":[{"id":"ITEM-1","itemData":{"author":[{"dropping-particle":"De","family":"Lachaux","given":"V.Sender A. and","non-dropping-particle":"","parse-names":false,"suffix":""}],"container-title":"Journal de Pédiatrie et de Puériculture, .","id":"ITEM-1","issued":{"date-parts":[["0"]]},"page":"457-466","title":"Point de vue actuel sur la photothérapie.","type":"article-journal","volume":"3, 8:"},"uris":["http://www.mendeley.com/documents/?uuid=94f9ccb6-67c9-4f03-ba57-895838088738","http://www.mendeley.com/documents/?uuid=1e56adb6-234a-43e9-a928-86e6d8fd574c"]}],"mendeley":{"formattedCitation":"(42)","plainTextFormattedCitation":"(42)","previouslyFormattedCitation":"(43)"},"properties":{"noteIndex":0},"schema":"https://github.com/citation-style-language/schema/raw/master/csl-citation.json"}</w:instrText>
      </w:r>
      <w:r w:rsidR="0069005B"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(42)</w:t>
      </w:r>
      <w:r w:rsidR="0069005B" w:rsidRPr="000A4A0F">
        <w:rPr>
          <w:rFonts w:ascii="Times New Roman" w:hAnsi="Times New Roman" w:cs="Times New Roman"/>
          <w:sz w:val="24"/>
          <w:szCs w:val="24"/>
        </w:rPr>
        <w:fldChar w:fldCharType="end"/>
      </w:r>
    </w:p>
    <w:p w14:paraId="50C72A93" w14:textId="2F8F2E4A" w:rsidR="005C79F0" w:rsidRPr="000A4A0F" w:rsidRDefault="00FB0C8A" w:rsidP="006612D9">
      <w:pPr>
        <w:pStyle w:val="Paragraphedeliste"/>
        <w:numPr>
          <w:ilvl w:val="0"/>
          <w:numId w:val="9"/>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Conséquences gonadiques : une couche est nécessaire en </w:t>
      </w:r>
      <w:r w:rsidR="00957AAE" w:rsidRPr="000A4A0F">
        <w:rPr>
          <w:rFonts w:ascii="Times New Roman" w:hAnsi="Times New Roman" w:cs="Times New Roman"/>
          <w:sz w:val="24"/>
          <w:szCs w:val="24"/>
        </w:rPr>
        <w:t>le</w:t>
      </w:r>
      <w:r w:rsidRPr="000A4A0F">
        <w:rPr>
          <w:rFonts w:ascii="Times New Roman" w:hAnsi="Times New Roman" w:cs="Times New Roman"/>
          <w:sz w:val="24"/>
          <w:szCs w:val="24"/>
        </w:rPr>
        <w:t xml:space="preserve"> pliant pour dimin</w:t>
      </w:r>
      <w:r w:rsidR="0069005B" w:rsidRPr="000A4A0F">
        <w:rPr>
          <w:rFonts w:ascii="Times New Roman" w:hAnsi="Times New Roman" w:cs="Times New Roman"/>
          <w:sz w:val="24"/>
          <w:szCs w:val="24"/>
        </w:rPr>
        <w:t>uer la surface non exposée</w:t>
      </w:r>
      <w:r w:rsidRPr="000A4A0F">
        <w:rPr>
          <w:rFonts w:ascii="Times New Roman" w:hAnsi="Times New Roman" w:cs="Times New Roman"/>
          <w:sz w:val="24"/>
          <w:szCs w:val="24"/>
        </w:rPr>
        <w:t>.</w:t>
      </w:r>
      <w:r w:rsidR="0069005B"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{"citationItems":[{"id":"ITEM-1","itemData":{"author":[{"dropping-particle":"","family":"102. Tatli M.M., Minnet C., Kocyigit A.","given":"et al.","non-dropping-particle":"","parse-names":false,"suffix":""}],"container-title":"Mutat Res,","id":"ITEM-1","issued":{"date-parts":[["2008"]]},"page":"93-5","title":"Phototherapy increases DNA damage in lymphocytes of hyperbilirubinemic neonates","type":"article-journal","volume":"654;1"},"uris":["http://www.mendeley.com/documents/?uuid=189ce52a-4fc7-49dc-8e7f-8669d44a36fd","http://www.mendeley.com/documents/?uuid=373c7c2d-f666-4608-b024-8becf238afab"]}],"mendeley":{"formattedCitation":"(43)","plainTextFormattedCitation":"(43)","previouslyFormattedCitation":"(44)"},"properties":{"noteIndex":0},"schema":"https://github.com/citation-style-language/schema/raw/master/csl-citation.json"}</w:instrText>
      </w:r>
      <w:r w:rsidR="0069005B"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(43)</w:t>
      </w:r>
      <w:r w:rsidR="0069005B" w:rsidRPr="000A4A0F">
        <w:rPr>
          <w:rFonts w:ascii="Times New Roman" w:hAnsi="Times New Roman" w:cs="Times New Roman"/>
          <w:sz w:val="24"/>
          <w:szCs w:val="24"/>
        </w:rPr>
        <w:fldChar w:fldCharType="end"/>
      </w:r>
    </w:p>
    <w:p w14:paraId="03B91E00" w14:textId="3ADDA766" w:rsidR="005C79F0" w:rsidRPr="000A4A0F" w:rsidRDefault="00FB0C8A" w:rsidP="006612D9">
      <w:pPr>
        <w:pStyle w:val="Paragraphedeliste"/>
        <w:numPr>
          <w:ilvl w:val="0"/>
          <w:numId w:val="9"/>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Le risque mutagène est possible. On observe une augmentation des lésions de l’ADN des lymphocytes en rapport avec une augmentation de la durée d’exposition à la photothérapie</w:t>
      </w:r>
      <w:r w:rsidR="0069005B"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AFSSAPS.","given":"","non-dropping-particle":"","parse-names":false,"suffix":""}],"id":"ITEM-1","issue":"http://www.afssaps.fr/var/afssaps_site/storage/original/application/d8b9ffd3b83d066e452dfaf1274dd307.pd","issued":{"date-parts":[["0"]]},"title":"Transfusion de globules rouges homologues : produits, indications, alternatives.","type":"article-journal"},"uris":["http://www.mendeley.com/documents/?uuid=a6adf02a-01c2-4bd5-8f41-9e5bec7317eb","http://www.mendeley.com/documents/?uuid=b309cfb1-0738-4416-b963-e444bdd141be"]}],"mendeley":{"formattedCitation":"(44)","plainTextFormattedCitation":"(44)","previouslyFormattedCitation":"(45)"},"properties":{"noteIndex":0},"schema":"https://github.com/citation-style-language/schema/raw/master/csl-citation.json"}</w:instrText>
      </w:r>
      <w:r w:rsidR="0069005B"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(44)</w:t>
      </w:r>
      <w:r w:rsidR="0069005B" w:rsidRPr="000A4A0F">
        <w:rPr>
          <w:rFonts w:ascii="Times New Roman" w:hAnsi="Times New Roman" w:cs="Times New Roman"/>
          <w:sz w:val="24"/>
          <w:szCs w:val="24"/>
        </w:rPr>
        <w:fldChar w:fldCharType="end"/>
      </w:r>
      <w:r w:rsidRPr="000A4A0F">
        <w:rPr>
          <w:rFonts w:ascii="Times New Roman" w:hAnsi="Times New Roman" w:cs="Times New Roman"/>
          <w:sz w:val="24"/>
          <w:szCs w:val="24"/>
        </w:rPr>
        <w:t>, cependant aucune conséquence chez les NN n’a été décrite depuis l’util</w:t>
      </w:r>
      <w:r w:rsidR="0069005B" w:rsidRPr="000A4A0F">
        <w:rPr>
          <w:rFonts w:ascii="Times New Roman" w:hAnsi="Times New Roman" w:cs="Times New Roman"/>
          <w:sz w:val="24"/>
          <w:szCs w:val="24"/>
        </w:rPr>
        <w:t>isation de la photothérapie</w:t>
      </w:r>
      <w:r w:rsidRPr="000A4A0F">
        <w:rPr>
          <w:rFonts w:ascii="Times New Roman" w:hAnsi="Times New Roman" w:cs="Times New Roman"/>
          <w:sz w:val="24"/>
          <w:szCs w:val="24"/>
        </w:rPr>
        <w:t>.</w:t>
      </w:r>
      <w:r w:rsidR="0069005B"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{"citationItems":[{"id":"ITEM-1","itemData":{"author":[{"dropping-particle":"","family":"M. Jeffrey Maisels, M.B., B.Ch.","given":"and Antony","non-dropping-particle":"","parse-names":false,"suffix":""}],"container-title":"N Engl J Med","id":"ITEM-1","issued":{"date-parts":[["0"]]},"page":"920-8","title":"Phototherapy for Neonatal Jaundice","type":"article-journal","volume":"358:"},"uris":["http://www.mendeley.com/documents/?uuid=46eda539-692b-4123-a7a5-5e3a4933e179","http://www.mendeley.com/documents/?uuid=f1a53a22-a76d-4aa6-8da6-7428a0c1d605"]}],"mendeley":{"formattedCitation":"(38)","plainTextFormattedCitation":"(38)","previouslyFormattedCitation":"(39)"},"properties":{"noteIndex":0},"schema":"https://github.com/citation-style-language/schema/raw/master/csl-citation.json"}</w:instrText>
      </w:r>
      <w:r w:rsidR="0069005B"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(38)</w:t>
      </w:r>
      <w:r w:rsidR="0069005B" w:rsidRPr="000A4A0F">
        <w:rPr>
          <w:rFonts w:ascii="Times New Roman" w:hAnsi="Times New Roman" w:cs="Times New Roman"/>
          <w:sz w:val="24"/>
          <w:szCs w:val="24"/>
        </w:rPr>
        <w:fldChar w:fldCharType="end"/>
      </w:r>
    </w:p>
    <w:p w14:paraId="6FC09C3F" w14:textId="7C1C1FD5" w:rsidR="00FB0C8A" w:rsidRPr="000A4A0F" w:rsidRDefault="00FB0C8A" w:rsidP="006612D9">
      <w:pPr>
        <w:pStyle w:val="Paragraphedeliste"/>
        <w:numPr>
          <w:ilvl w:val="0"/>
          <w:numId w:val="9"/>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 baby bronze syndrome est très rare et ne concerne que les enfants présentant un ictère à bilirubine conjuguée. Il est </w:t>
      </w:r>
      <w:r w:rsidR="00860DCC" w:rsidRPr="000A4A0F">
        <w:rPr>
          <w:rFonts w:ascii="Times New Roman" w:hAnsi="Times New Roman" w:cs="Times New Roman"/>
          <w:sz w:val="24"/>
          <w:szCs w:val="24"/>
        </w:rPr>
        <w:t>dû</w:t>
      </w:r>
      <w:r w:rsidRPr="000A4A0F">
        <w:rPr>
          <w:rFonts w:ascii="Times New Roman" w:hAnsi="Times New Roman" w:cs="Times New Roman"/>
          <w:sz w:val="24"/>
          <w:szCs w:val="24"/>
        </w:rPr>
        <w:t xml:space="preserve"> à la présence dans le sang de polymères provenant de la photo-oxydation et donne une coloration cutanée brune chez le NN, persistant plusieurs mois et impose </w:t>
      </w:r>
      <w:r w:rsidR="0069005B" w:rsidRPr="000A4A0F">
        <w:rPr>
          <w:rFonts w:ascii="Times New Roman" w:hAnsi="Times New Roman" w:cs="Times New Roman"/>
          <w:sz w:val="24"/>
          <w:szCs w:val="24"/>
        </w:rPr>
        <w:t>l’arrêt de la photothérapie</w:t>
      </w:r>
      <w:r w:rsidRPr="000A4A0F">
        <w:rPr>
          <w:rFonts w:ascii="Times New Roman" w:hAnsi="Times New Roman" w:cs="Times New Roman"/>
          <w:sz w:val="24"/>
          <w:szCs w:val="24"/>
        </w:rPr>
        <w:t>.</w:t>
      </w:r>
      <w:r w:rsidR="0069005B"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{"citationItems":[{"id":"ITEM-1","itemData":{"author":[{"dropping-particle":"","family":"102. Tatli M.M., Minnet C., Kocyigit A.","given":"et al.","non-dropping-particle":"","parse-names":false,"suffix":""}],"container-title":"Mutat Res,","id":"ITEM-1","issued":{"date-parts":[["2008"]]},"page":"93-5","title":"Phototherapy increases DNA damage in lymphocytes of hyperbilirubinemic neonates","type":"article-journal","volume":"654;1"},"uris":["http://www.mendeley.com/documents/?uuid=373c7c2d-f666-4608-b024-8becf238afab","http://www.mendeley.com/documents/?uuid=189ce52a-4fc7-49dc-8e7f-8669d44a36fd"]}],"mendeley":{"formattedCitation":"(43)","plainTextFormattedCitation":"(43)","previouslyFormattedCitation":"(44)"},"properties":{"noteIndex":0},"schema":"https://github.com/citation-style-language/schema/raw/master/csl-citation.json"}</w:instrText>
      </w:r>
      <w:r w:rsidR="0069005B"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(43)</w:t>
      </w:r>
      <w:r w:rsidR="0069005B" w:rsidRPr="000A4A0F">
        <w:rPr>
          <w:rFonts w:ascii="Times New Roman" w:hAnsi="Times New Roman" w:cs="Times New Roman"/>
          <w:sz w:val="24"/>
          <w:szCs w:val="24"/>
        </w:rPr>
        <w:fldChar w:fldCharType="end"/>
      </w:r>
    </w:p>
    <w:p w14:paraId="4B370A35" w14:textId="77777777" w:rsidR="00394922" w:rsidRPr="000A4A0F" w:rsidRDefault="00394922" w:rsidP="006612D9">
      <w:pPr>
        <w:pStyle w:val="Paragraphedeliste"/>
        <w:shd w:val="clear" w:color="auto" w:fill="FFFFFF"/>
        <w:spacing w:after="0" w:line="360" w:lineRule="auto"/>
        <w:jc w:val="both"/>
        <w:textAlignment w:val="baseline"/>
        <w:rPr>
          <w:rFonts w:ascii="Times New Roman" w:hAnsi="Times New Roman" w:cs="Times New Roman"/>
          <w:sz w:val="24"/>
          <w:szCs w:val="24"/>
        </w:rPr>
      </w:pPr>
    </w:p>
    <w:p w14:paraId="198F6DB2" w14:textId="77777777" w:rsidR="00FB0C8A" w:rsidRPr="000A4A0F" w:rsidRDefault="00FB0C8A" w:rsidP="006612D9">
      <w:pPr>
        <w:pStyle w:val="Paragraphedeliste"/>
        <w:numPr>
          <w:ilvl w:val="0"/>
          <w:numId w:val="20"/>
        </w:numPr>
        <w:shd w:val="clear" w:color="auto" w:fill="FFFFFF"/>
        <w:spacing w:after="0" w:line="360" w:lineRule="auto"/>
        <w:jc w:val="both"/>
        <w:textAlignment w:val="baseline"/>
        <w:rPr>
          <w:rFonts w:ascii="Times New Roman" w:hAnsi="Times New Roman" w:cs="Times New Roman"/>
          <w:b/>
          <w:sz w:val="24"/>
          <w:szCs w:val="24"/>
        </w:rPr>
      </w:pPr>
      <w:r w:rsidRPr="000A4A0F">
        <w:rPr>
          <w:rFonts w:ascii="Times New Roman" w:hAnsi="Times New Roman" w:cs="Times New Roman"/>
          <w:b/>
          <w:sz w:val="24"/>
          <w:szCs w:val="24"/>
        </w:rPr>
        <w:t>Arrêt de la photothérapie :</w:t>
      </w:r>
    </w:p>
    <w:p w14:paraId="2E70025B" w14:textId="77777777" w:rsidR="00394922" w:rsidRPr="000A4A0F" w:rsidRDefault="00394922" w:rsidP="006612D9">
      <w:pPr>
        <w:pStyle w:val="Paragraphedeliste"/>
        <w:shd w:val="clear" w:color="auto" w:fill="FFFFFF"/>
        <w:spacing w:after="0" w:line="360" w:lineRule="auto"/>
        <w:jc w:val="both"/>
        <w:textAlignment w:val="baseline"/>
        <w:rPr>
          <w:rFonts w:ascii="Times New Roman" w:hAnsi="Times New Roman" w:cs="Times New Roman"/>
          <w:sz w:val="24"/>
          <w:szCs w:val="24"/>
        </w:rPr>
      </w:pPr>
    </w:p>
    <w:p w14:paraId="1A173BD8" w14:textId="77777777" w:rsidR="00FB0C8A" w:rsidRPr="000A4A0F" w:rsidRDefault="00FB0C8A"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L’arrêt de la photothérapie est organisé selon ch</w:t>
      </w:r>
      <w:r w:rsidR="00860DCC" w:rsidRPr="000A4A0F">
        <w:rPr>
          <w:rFonts w:ascii="Times New Roman" w:hAnsi="Times New Roman" w:cs="Times New Roman"/>
          <w:sz w:val="24"/>
          <w:szCs w:val="24"/>
        </w:rPr>
        <w:t xml:space="preserve">aque centre. L’arrêt est décidé </w:t>
      </w:r>
      <w:r w:rsidRPr="000A4A0F">
        <w:rPr>
          <w:rFonts w:ascii="Times New Roman" w:hAnsi="Times New Roman" w:cs="Times New Roman"/>
          <w:sz w:val="24"/>
          <w:szCs w:val="24"/>
        </w:rPr>
        <w:t>lorsque les dosages de bilirubinémie sont au-</w:t>
      </w:r>
      <w:r w:rsidR="00860DCC" w:rsidRPr="000A4A0F">
        <w:rPr>
          <w:rFonts w:ascii="Times New Roman" w:hAnsi="Times New Roman" w:cs="Times New Roman"/>
          <w:sz w:val="24"/>
          <w:szCs w:val="24"/>
        </w:rPr>
        <w:t xml:space="preserve">dessous des courbes. Un nouveau </w:t>
      </w:r>
      <w:r w:rsidRPr="000A4A0F">
        <w:rPr>
          <w:rFonts w:ascii="Times New Roman" w:hAnsi="Times New Roman" w:cs="Times New Roman"/>
          <w:sz w:val="24"/>
          <w:szCs w:val="24"/>
        </w:rPr>
        <w:t>dosage est effectué 24 heures après l’arrêt de la p</w:t>
      </w:r>
      <w:r w:rsidR="00860DCC" w:rsidRPr="000A4A0F">
        <w:rPr>
          <w:rFonts w:ascii="Times New Roman" w:hAnsi="Times New Roman" w:cs="Times New Roman"/>
          <w:sz w:val="24"/>
          <w:szCs w:val="24"/>
        </w:rPr>
        <w:t xml:space="preserve">hotothérapie si l’on veut juger </w:t>
      </w:r>
      <w:r w:rsidRPr="000A4A0F">
        <w:rPr>
          <w:rFonts w:ascii="Times New Roman" w:hAnsi="Times New Roman" w:cs="Times New Roman"/>
          <w:sz w:val="24"/>
          <w:szCs w:val="24"/>
        </w:rPr>
        <w:t>d’un rebond. Un risque de rebond existe et doit être c</w:t>
      </w:r>
      <w:r w:rsidR="00860DCC" w:rsidRPr="000A4A0F">
        <w:rPr>
          <w:rFonts w:ascii="Times New Roman" w:hAnsi="Times New Roman" w:cs="Times New Roman"/>
          <w:sz w:val="24"/>
          <w:szCs w:val="24"/>
        </w:rPr>
        <w:t xml:space="preserve">onnu, en particulier, en cas de </w:t>
      </w:r>
      <w:r w:rsidRPr="000A4A0F">
        <w:rPr>
          <w:rFonts w:ascii="Times New Roman" w:hAnsi="Times New Roman" w:cs="Times New Roman"/>
          <w:sz w:val="24"/>
          <w:szCs w:val="24"/>
        </w:rPr>
        <w:t>sortie précoce.</w:t>
      </w:r>
    </w:p>
    <w:p w14:paraId="085F9EB2" w14:textId="77777777" w:rsidR="00394922" w:rsidRPr="000A4A0F" w:rsidRDefault="00394922" w:rsidP="006612D9">
      <w:pPr>
        <w:shd w:val="clear" w:color="auto" w:fill="FFFFFF"/>
        <w:spacing w:after="0" w:line="360" w:lineRule="auto"/>
        <w:jc w:val="both"/>
        <w:textAlignment w:val="baseline"/>
        <w:rPr>
          <w:rFonts w:ascii="Times New Roman" w:hAnsi="Times New Roman" w:cs="Times New Roman"/>
          <w:sz w:val="24"/>
          <w:szCs w:val="24"/>
        </w:rPr>
      </w:pPr>
    </w:p>
    <w:p w14:paraId="5757C23E" w14:textId="1DEF399D" w:rsidR="00FB0C8A" w:rsidRPr="00281974" w:rsidRDefault="00CA2EB5" w:rsidP="006612D9">
      <w:pPr>
        <w:suppressAutoHyphens w:val="0"/>
        <w:spacing w:after="0" w:line="360" w:lineRule="auto"/>
        <w:jc w:val="both"/>
        <w:rPr>
          <w:rFonts w:ascii="Times New Roman" w:hAnsi="Times New Roman" w:cs="Times New Roman"/>
          <w:b/>
          <w:sz w:val="24"/>
          <w:szCs w:val="24"/>
          <w:highlight w:val="yellow"/>
        </w:rPr>
      </w:pPr>
      <w:r w:rsidRPr="000A4A0F">
        <w:rPr>
          <w:rFonts w:ascii="Times New Roman" w:hAnsi="Times New Roman" w:cs="Times New Roman"/>
          <w:b/>
          <w:sz w:val="24"/>
          <w:szCs w:val="24"/>
        </w:rPr>
        <w:br w:type="page"/>
      </w:r>
      <w:r w:rsidR="00FB0C8A" w:rsidRPr="00281974">
        <w:rPr>
          <w:rFonts w:ascii="Times New Roman" w:hAnsi="Times New Roman" w:cs="Times New Roman"/>
          <w:b/>
          <w:sz w:val="24"/>
          <w:szCs w:val="24"/>
          <w:highlight w:val="yellow"/>
        </w:rPr>
        <w:lastRenderedPageBreak/>
        <w:t>Exsanguino-transfusion</w:t>
      </w:r>
      <w:commentRangeStart w:id="40"/>
      <w:r w:rsidR="00AB736F" w:rsidRPr="00281974">
        <w:rPr>
          <w:rFonts w:ascii="Times New Roman" w:hAnsi="Times New Roman" w:cs="Times New Roman"/>
          <w:b/>
          <w:sz w:val="24"/>
          <w:szCs w:val="24"/>
          <w:highlight w:val="yellow"/>
        </w:rPr>
        <w:fldChar w:fldCharType="begin" w:fldLock="1"/>
      </w:r>
      <w:r w:rsidR="00EE36B6" w:rsidRPr="00281974">
        <w:rPr>
          <w:rFonts w:ascii="Times New Roman" w:hAnsi="Times New Roman" w:cs="Times New Roman"/>
          <w:b/>
          <w:sz w:val="24"/>
          <w:szCs w:val="24"/>
          <w:highlight w:val="yellow"/>
        </w:rPr>
        <w:instrText>ADDIN CSL_CITATION {"citationItems":[{"id":"ITEM-1","itemData":{"DOI":"10.1038/jp.2012.71","ISSN":"0743-8346","author":[{"dropping-particle":"","family":"Maisels","given":"M J","non-dropping-particle":"","parse-names":false,"suffix":""},{"dropping-particle":"","family":"Watchko","given":"J F","non-dropping-particle":"","parse-names":false,"suffix":""},{"dropping-particle":"","family":"Bhutani","given":"V K","non-dropping-particle":"","parse-names":false,"suffix":""},{"dropping-particle":"","family":"Stevenson","given":"D K","non-dropping-particle":"","parse-names":false,"suffix":""}],"container-title":"Journal of Perinatology","id":"ITEM-1","issue":"June","issued":{"date-parts":[["2012"]]},"page":"660-664","publisher":"Nature Publishing Group","title":"An approach to the management of hyperbilirubinemia in the preterm infant less than 35 weeks of gestation","type":"article-journal"},"uris":["http://www.mendeley.com/documents/?uuid=1ef52658-cb34-46a8-9b48-85342e94c13c","http://www.mendeley.com/documents/?uuid=d1bcb691-ed90-45f8-bd8a-19b68148d2c2"]}],"mendeley":{"formattedCitation":"(12)","plainTextFormattedCitation":"(12)","previouslyFormattedCitation":"(12)"},"properties":{"noteIndex":0},"schema":"https://github.com/citation-style-language/schema/raw/master/csl-citation.json"}</w:instrText>
      </w:r>
      <w:r w:rsidR="00AB736F" w:rsidRPr="00281974">
        <w:rPr>
          <w:rFonts w:ascii="Times New Roman" w:hAnsi="Times New Roman" w:cs="Times New Roman"/>
          <w:b/>
          <w:sz w:val="24"/>
          <w:szCs w:val="24"/>
          <w:highlight w:val="yellow"/>
        </w:rPr>
        <w:fldChar w:fldCharType="separate"/>
      </w:r>
      <w:r w:rsidR="00AB736F" w:rsidRPr="00281974">
        <w:rPr>
          <w:rFonts w:ascii="Times New Roman" w:hAnsi="Times New Roman" w:cs="Times New Roman"/>
          <w:noProof/>
          <w:sz w:val="24"/>
          <w:szCs w:val="24"/>
          <w:highlight w:val="yellow"/>
        </w:rPr>
        <w:t>(12)</w:t>
      </w:r>
      <w:r w:rsidR="00AB736F" w:rsidRPr="00281974">
        <w:rPr>
          <w:rFonts w:ascii="Times New Roman" w:hAnsi="Times New Roman" w:cs="Times New Roman"/>
          <w:b/>
          <w:sz w:val="24"/>
          <w:szCs w:val="24"/>
          <w:highlight w:val="yellow"/>
        </w:rPr>
        <w:fldChar w:fldCharType="end"/>
      </w:r>
      <w:commentRangeEnd w:id="40"/>
      <w:r w:rsidR="00281974" w:rsidRPr="00281974">
        <w:rPr>
          <w:rStyle w:val="Marquedecommentaire"/>
          <w:highlight w:val="yellow"/>
        </w:rPr>
        <w:commentReference w:id="40"/>
      </w:r>
    </w:p>
    <w:p w14:paraId="5CC3AB79" w14:textId="19B85DC3" w:rsidR="00394922" w:rsidRPr="00281974" w:rsidRDefault="009C20B3" w:rsidP="006612D9">
      <w:pPr>
        <w:pStyle w:val="Paragraphedeliste"/>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noProof/>
          <w:sz w:val="24"/>
          <w:szCs w:val="24"/>
          <w:highlight w:val="yellow"/>
          <w:lang w:eastAsia="fr-FR"/>
        </w:rPr>
        <w:drawing>
          <wp:inline distT="0" distB="0" distL="0" distR="0" wp14:anchorId="659C6D13" wp14:editId="5F1A944E">
            <wp:extent cx="3933825" cy="2955925"/>
            <wp:effectExtent l="0" t="0" r="9525" b="0"/>
            <wp:docPr id="11" name="Image 11" descr="KTV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VO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3825" cy="2955925"/>
                    </a:xfrm>
                    <a:prstGeom prst="rect">
                      <a:avLst/>
                    </a:prstGeom>
                    <a:noFill/>
                    <a:ln>
                      <a:noFill/>
                    </a:ln>
                  </pic:spPr>
                </pic:pic>
              </a:graphicData>
            </a:graphic>
          </wp:inline>
        </w:drawing>
      </w:r>
    </w:p>
    <w:p w14:paraId="71DBEFC2" w14:textId="6989E60C" w:rsidR="00860DCC" w:rsidRPr="00281974" w:rsidRDefault="00FB0C8A"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Le traitement de référence en cas d’échec de la photothérapie reste l’EST actuellem</w:t>
      </w:r>
      <w:r w:rsidR="00EB6538" w:rsidRPr="00281974">
        <w:rPr>
          <w:rFonts w:ascii="Times New Roman" w:hAnsi="Times New Roman" w:cs="Times New Roman"/>
          <w:sz w:val="24"/>
          <w:szCs w:val="24"/>
          <w:highlight w:val="yellow"/>
        </w:rPr>
        <w:t xml:space="preserve">ent. </w:t>
      </w:r>
    </w:p>
    <w:p w14:paraId="6105F20A" w14:textId="77777777" w:rsidR="009C20B3" w:rsidRPr="00281974" w:rsidRDefault="009C20B3"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Remplacement progressif de 2 volumes sanguins circulants (160ml/kg) permettant :</w:t>
      </w:r>
    </w:p>
    <w:p w14:paraId="3C2353CF" w14:textId="77777777" w:rsidR="009C20B3" w:rsidRPr="00281974" w:rsidRDefault="009C20B3"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Elimination des taux toxiques de bilirubine</w:t>
      </w:r>
    </w:p>
    <w:p w14:paraId="3252EE70" w14:textId="77777777" w:rsidR="009C20B3" w:rsidRPr="00281974" w:rsidRDefault="009C20B3"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Interruption du processus hémolytique sous-jacent, le cas échéant</w:t>
      </w:r>
    </w:p>
    <w:p w14:paraId="3292080B" w14:textId="77777777" w:rsidR="009C20B3" w:rsidRPr="00281974" w:rsidRDefault="009C20B3" w:rsidP="006612D9">
      <w:pPr>
        <w:shd w:val="clear" w:color="auto" w:fill="FFFFFF"/>
        <w:spacing w:after="0" w:line="360" w:lineRule="auto"/>
        <w:jc w:val="both"/>
        <w:textAlignment w:val="baseline"/>
        <w:rPr>
          <w:rFonts w:ascii="Times New Roman" w:hAnsi="Times New Roman" w:cs="Times New Roman"/>
          <w:sz w:val="24"/>
          <w:szCs w:val="24"/>
          <w:highlight w:val="yellow"/>
        </w:rPr>
      </w:pPr>
    </w:p>
    <w:p w14:paraId="274B612B" w14:textId="77777777" w:rsidR="009C20B3" w:rsidRPr="00281974" w:rsidRDefault="009C20B3"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 xml:space="preserve">Techniques : </w:t>
      </w:r>
    </w:p>
    <w:p w14:paraId="2BE141A1" w14:textId="3B668F50" w:rsidR="009C20B3" w:rsidRPr="00281974" w:rsidRDefault="00AB736F"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Iso volumétrique</w:t>
      </w:r>
      <w:r w:rsidR="009C20B3" w:rsidRPr="00281974">
        <w:rPr>
          <w:rFonts w:ascii="Times New Roman" w:hAnsi="Times New Roman" w:cs="Times New Roman"/>
          <w:sz w:val="24"/>
          <w:szCs w:val="24"/>
          <w:highlight w:val="yellow"/>
        </w:rPr>
        <w:t xml:space="preserve"> (in-out</w:t>
      </w:r>
      <w:r w:rsidR="00597543" w:rsidRPr="00281974">
        <w:rPr>
          <w:rFonts w:ascii="Times New Roman" w:hAnsi="Times New Roman" w:cs="Times New Roman"/>
          <w:sz w:val="24"/>
          <w:szCs w:val="24"/>
          <w:highlight w:val="yellow"/>
        </w:rPr>
        <w:t xml:space="preserve"> continu par 2 voies séparées) </w:t>
      </w:r>
      <w:r w:rsidRPr="00281974">
        <w:rPr>
          <w:rFonts w:ascii="Times New Roman" w:hAnsi="Times New Roman" w:cs="Times New Roman"/>
          <w:sz w:val="24"/>
          <w:szCs w:val="24"/>
          <w:highlight w:val="yellow"/>
        </w:rPr>
        <w:t>: peut</w:t>
      </w:r>
      <w:r w:rsidR="009C20B3" w:rsidRPr="00281974">
        <w:rPr>
          <w:rFonts w:ascii="Times New Roman" w:hAnsi="Times New Roman" w:cs="Times New Roman"/>
          <w:sz w:val="24"/>
          <w:szCs w:val="24"/>
          <w:highlight w:val="yellow"/>
        </w:rPr>
        <w:t xml:space="preserve"> se faire en périphérie, p</w:t>
      </w:r>
      <w:r w:rsidR="00597543" w:rsidRPr="00281974">
        <w:rPr>
          <w:rFonts w:ascii="Times New Roman" w:hAnsi="Times New Roman" w:cs="Times New Roman"/>
          <w:sz w:val="24"/>
          <w:szCs w:val="24"/>
          <w:highlight w:val="yellow"/>
        </w:rPr>
        <w:t xml:space="preserve">lus rapide, </w:t>
      </w:r>
      <w:r w:rsidR="009C20B3" w:rsidRPr="00281974">
        <w:rPr>
          <w:rFonts w:ascii="Times New Roman" w:hAnsi="Times New Roman" w:cs="Times New Roman"/>
          <w:sz w:val="24"/>
          <w:szCs w:val="24"/>
          <w:highlight w:val="yellow"/>
        </w:rPr>
        <w:t>moins de manipulations</w:t>
      </w:r>
    </w:p>
    <w:p w14:paraId="5C52FB99" w14:textId="7DFD37B5" w:rsidR="009C20B3" w:rsidRPr="00281974" w:rsidRDefault="009C20B3" w:rsidP="006612D9">
      <w:pPr>
        <w:shd w:val="clear" w:color="auto" w:fill="FFFFFF"/>
        <w:spacing w:after="0" w:line="360" w:lineRule="auto"/>
        <w:jc w:val="both"/>
        <w:textAlignment w:val="baseline"/>
        <w:rPr>
          <w:rFonts w:ascii="Times New Roman" w:hAnsi="Times New Roman" w:cs="Times New Roman"/>
          <w:sz w:val="24"/>
          <w:szCs w:val="24"/>
          <w:highlight w:val="yellow"/>
        </w:rPr>
      </w:pPr>
      <w:proofErr w:type="gramStart"/>
      <w:r w:rsidRPr="00281974">
        <w:rPr>
          <w:rFonts w:ascii="Times New Roman" w:hAnsi="Times New Roman" w:cs="Times New Roman"/>
          <w:sz w:val="24"/>
          <w:szCs w:val="24"/>
          <w:highlight w:val="yellow"/>
        </w:rPr>
        <w:t>d</w:t>
      </w:r>
      <w:r w:rsidR="00597543" w:rsidRPr="00281974">
        <w:rPr>
          <w:rFonts w:ascii="Times New Roman" w:hAnsi="Times New Roman" w:cs="Times New Roman"/>
          <w:sz w:val="24"/>
          <w:szCs w:val="24"/>
          <w:highlight w:val="yellow"/>
        </w:rPr>
        <w:t>iscontinue</w:t>
      </w:r>
      <w:proofErr w:type="gramEnd"/>
      <w:r w:rsidR="00597543" w:rsidRPr="00281974">
        <w:rPr>
          <w:rFonts w:ascii="Times New Roman" w:hAnsi="Times New Roman" w:cs="Times New Roman"/>
          <w:sz w:val="24"/>
          <w:szCs w:val="24"/>
          <w:highlight w:val="yellow"/>
        </w:rPr>
        <w:t xml:space="preserve"> (pas 1 seule voie) </w:t>
      </w:r>
      <w:r w:rsidR="00AB736F" w:rsidRPr="00281974">
        <w:rPr>
          <w:rFonts w:ascii="Times New Roman" w:hAnsi="Times New Roman" w:cs="Times New Roman"/>
          <w:sz w:val="24"/>
          <w:szCs w:val="24"/>
          <w:highlight w:val="yellow"/>
        </w:rPr>
        <w:t>: de</w:t>
      </w:r>
      <w:r w:rsidRPr="00281974">
        <w:rPr>
          <w:rFonts w:ascii="Times New Roman" w:hAnsi="Times New Roman" w:cs="Times New Roman"/>
          <w:sz w:val="24"/>
          <w:szCs w:val="24"/>
          <w:highlight w:val="yellow"/>
        </w:rPr>
        <w:t xml:space="preserve"> 5 en 5cc si &lt;1500g</w:t>
      </w:r>
      <w:r w:rsidR="00597543" w:rsidRPr="00281974">
        <w:rPr>
          <w:rFonts w:ascii="Times New Roman" w:hAnsi="Times New Roman" w:cs="Times New Roman"/>
          <w:sz w:val="24"/>
          <w:szCs w:val="24"/>
          <w:highlight w:val="yellow"/>
        </w:rPr>
        <w:t> </w:t>
      </w:r>
      <w:r w:rsidR="00AB736F" w:rsidRPr="00281974">
        <w:rPr>
          <w:rFonts w:ascii="Times New Roman" w:hAnsi="Times New Roman" w:cs="Times New Roman"/>
          <w:sz w:val="24"/>
          <w:szCs w:val="24"/>
          <w:highlight w:val="yellow"/>
        </w:rPr>
        <w:t>; de</w:t>
      </w:r>
      <w:r w:rsidRPr="00281974">
        <w:rPr>
          <w:rFonts w:ascii="Times New Roman" w:hAnsi="Times New Roman" w:cs="Times New Roman"/>
          <w:sz w:val="24"/>
          <w:szCs w:val="24"/>
          <w:highlight w:val="yellow"/>
        </w:rPr>
        <w:t xml:space="preserve"> 10 en 10cc si &gt;1500g</w:t>
      </w:r>
      <w:r w:rsidR="00597543" w:rsidRPr="00281974">
        <w:rPr>
          <w:rFonts w:ascii="Times New Roman" w:hAnsi="Times New Roman" w:cs="Times New Roman"/>
          <w:sz w:val="24"/>
          <w:szCs w:val="24"/>
          <w:highlight w:val="yellow"/>
        </w:rPr>
        <w:t> ;</w:t>
      </w:r>
      <w:r w:rsidRPr="00281974">
        <w:rPr>
          <w:rFonts w:ascii="Times New Roman" w:hAnsi="Times New Roman" w:cs="Times New Roman"/>
          <w:sz w:val="24"/>
          <w:szCs w:val="24"/>
          <w:highlight w:val="yellow"/>
        </w:rPr>
        <w:t xml:space="preserve">voie veineuse ombilicale </w:t>
      </w:r>
    </w:p>
    <w:p w14:paraId="768AFE23" w14:textId="10D36302" w:rsidR="009C20B3" w:rsidRPr="00281974" w:rsidRDefault="009C20B3"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 xml:space="preserve"> Durée maximale 90’ dans la mesure du possible</w:t>
      </w:r>
    </w:p>
    <w:p w14:paraId="1D89CEE7" w14:textId="52472C7D" w:rsidR="00394922" w:rsidRPr="00281974" w:rsidRDefault="009C20B3"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Sang frais reconstitué (GR concentrés + plasma : aver</w:t>
      </w:r>
      <w:r w:rsidR="006612D9" w:rsidRPr="00281974">
        <w:rPr>
          <w:rFonts w:ascii="Times New Roman" w:hAnsi="Times New Roman" w:cs="Times New Roman"/>
          <w:sz w:val="24"/>
          <w:szCs w:val="24"/>
          <w:highlight w:val="yellow"/>
        </w:rPr>
        <w:t>tir la banque de sang)</w:t>
      </w:r>
    </w:p>
    <w:p w14:paraId="24E2799A" w14:textId="15DB8D85" w:rsidR="00394922" w:rsidRPr="00281974" w:rsidRDefault="00FB0C8A" w:rsidP="006612D9">
      <w:pPr>
        <w:pStyle w:val="Paragraphedeliste"/>
        <w:numPr>
          <w:ilvl w:val="0"/>
          <w:numId w:val="20"/>
        </w:numPr>
        <w:shd w:val="clear" w:color="auto" w:fill="FFFFFF"/>
        <w:spacing w:after="0" w:line="360" w:lineRule="auto"/>
        <w:jc w:val="both"/>
        <w:textAlignment w:val="baseline"/>
        <w:rPr>
          <w:rFonts w:ascii="Times New Roman" w:hAnsi="Times New Roman" w:cs="Times New Roman"/>
          <w:b/>
          <w:sz w:val="24"/>
          <w:szCs w:val="24"/>
          <w:highlight w:val="yellow"/>
        </w:rPr>
      </w:pPr>
      <w:r w:rsidRPr="00281974">
        <w:rPr>
          <w:rFonts w:ascii="Times New Roman" w:hAnsi="Times New Roman" w:cs="Times New Roman"/>
          <w:b/>
          <w:sz w:val="24"/>
          <w:szCs w:val="24"/>
          <w:highlight w:val="yellow"/>
        </w:rPr>
        <w:t>Mécanisme d’action</w:t>
      </w:r>
    </w:p>
    <w:p w14:paraId="1F5FD440" w14:textId="3EC36A7C" w:rsidR="00505512" w:rsidRPr="00281974" w:rsidRDefault="00FB0C8A"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Son but est de soustraire des globules rouges rec</w:t>
      </w:r>
      <w:r w:rsidR="00505512" w:rsidRPr="00281974">
        <w:rPr>
          <w:rFonts w:ascii="Times New Roman" w:hAnsi="Times New Roman" w:cs="Times New Roman"/>
          <w:sz w:val="24"/>
          <w:szCs w:val="24"/>
          <w:highlight w:val="yellow"/>
        </w:rPr>
        <w:t xml:space="preserve">ouverts d’anticorps </w:t>
      </w:r>
      <w:r w:rsidR="004D1366" w:rsidRPr="00281974">
        <w:rPr>
          <w:rFonts w:ascii="Times New Roman" w:hAnsi="Times New Roman" w:cs="Times New Roman"/>
          <w:sz w:val="24"/>
          <w:szCs w:val="24"/>
          <w:highlight w:val="yellow"/>
        </w:rPr>
        <w:t>immuns,</w:t>
      </w:r>
      <w:r w:rsidRPr="00281974">
        <w:rPr>
          <w:rFonts w:ascii="Times New Roman" w:hAnsi="Times New Roman" w:cs="Times New Roman"/>
          <w:sz w:val="24"/>
          <w:szCs w:val="24"/>
          <w:highlight w:val="yellow"/>
        </w:rPr>
        <w:t xml:space="preserve"> d’épurer la bilirubine libre et de corriger l’anémie. Cette technique remplace le sang du malade par un sang provenant d’un ou plusieurs donneurs, par soustractions et injections successives de petits volumes de sang dans la veine ombilicale. Les modalités de réalisation sont bien définies : le sang total ou reconstitué à partir de CGR conservés moins de 3 à 5 jours et de plasma frais congelé peut être utilisé. Il est recommandé (circulaire de l’Agence Française de Sécurité Sanitaire des Produits </w:t>
      </w:r>
      <w:r w:rsidR="00AB736F" w:rsidRPr="00281974">
        <w:rPr>
          <w:rFonts w:ascii="Times New Roman" w:hAnsi="Times New Roman" w:cs="Times New Roman"/>
          <w:sz w:val="24"/>
          <w:szCs w:val="24"/>
          <w:highlight w:val="yellow"/>
        </w:rPr>
        <w:t xml:space="preserve">de Santé (AFSSAPS) de 2002 </w:t>
      </w:r>
      <w:r w:rsidRPr="00281974">
        <w:rPr>
          <w:rFonts w:ascii="Times New Roman" w:hAnsi="Times New Roman" w:cs="Times New Roman"/>
          <w:sz w:val="24"/>
          <w:szCs w:val="24"/>
          <w:highlight w:val="yellow"/>
        </w:rPr>
        <w:t xml:space="preserve"> de recourir à des concentrés de globules rouges de groupe sanguin et de phénotype compatibles avec les groupes sanguins du NN et de sa mère, phénotypes Rh-KELL, CMV négatifs, déleucocytés et irradiés.</w:t>
      </w:r>
      <w:r w:rsidR="00AB736F" w:rsidRPr="00281974">
        <w:rPr>
          <w:rFonts w:ascii="Times New Roman" w:hAnsi="Times New Roman" w:cs="Times New Roman"/>
          <w:sz w:val="24"/>
          <w:szCs w:val="24"/>
          <w:highlight w:val="yellow"/>
        </w:rPr>
        <w:fldChar w:fldCharType="begin" w:fldLock="1"/>
      </w:r>
      <w:r w:rsidR="004F4A84" w:rsidRPr="00281974">
        <w:rPr>
          <w:rFonts w:ascii="Times New Roman" w:hAnsi="Times New Roman" w:cs="Times New Roman"/>
          <w:sz w:val="24"/>
          <w:szCs w:val="24"/>
          <w:highlight w:val="yellow"/>
        </w:rPr>
        <w:instrText>ADDIN CSL_CITATION {"citationItems":[{"id":"ITEM-1","itemData":{"author":[{"dropping-particle":"","family":"Soulié J.C., Larsen M., Andreu G.","given":"et al.","non-dropping-particle":"","parse-names":false,"suffix":""}],"container-title":"Clinique et Biologique","id":"ITEM-1","issued":{"date-parts":[["1999"]]},"page":"166-173.","title":"Étude rétrospective de l'exsanguinotransfusion du nouveau-né au moyen de sang reconstitué. Bilan de 60 échanges. Transfusion","type":"article-journal","volume":"6, 3:"},"uris":["http://www.mendeley.com/documents/?uuid=d64f785f-9e26-4442-9024-df46e728d3ac","http://www.mendeley.com/documents/?uuid=e18d4149-526a-4788-94bf-9c867a8dab75"]}],"mendeley":{"formattedCitation":"(45)","plainTextFormattedCitation":"(45)","previouslyFormattedCitation":"(46)"},"properties":{"noteIndex":0},"schema":"https://github.com/citation-style-language/schema/raw/master/csl-citation.json"}</w:instrText>
      </w:r>
      <w:r w:rsidR="00AB736F" w:rsidRPr="00281974">
        <w:rPr>
          <w:rFonts w:ascii="Times New Roman" w:hAnsi="Times New Roman" w:cs="Times New Roman"/>
          <w:sz w:val="24"/>
          <w:szCs w:val="24"/>
          <w:highlight w:val="yellow"/>
        </w:rPr>
        <w:fldChar w:fldCharType="separate"/>
      </w:r>
      <w:r w:rsidR="004F4A84" w:rsidRPr="00281974">
        <w:rPr>
          <w:rFonts w:ascii="Times New Roman" w:hAnsi="Times New Roman" w:cs="Times New Roman"/>
          <w:noProof/>
          <w:sz w:val="24"/>
          <w:szCs w:val="24"/>
          <w:highlight w:val="yellow"/>
        </w:rPr>
        <w:t>(45)</w:t>
      </w:r>
      <w:r w:rsidR="00AB736F" w:rsidRPr="00281974">
        <w:rPr>
          <w:rFonts w:ascii="Times New Roman" w:hAnsi="Times New Roman" w:cs="Times New Roman"/>
          <w:sz w:val="24"/>
          <w:szCs w:val="24"/>
          <w:highlight w:val="yellow"/>
        </w:rPr>
        <w:fldChar w:fldCharType="end"/>
      </w:r>
      <w:r w:rsidRPr="00281974">
        <w:rPr>
          <w:rFonts w:ascii="Times New Roman" w:hAnsi="Times New Roman" w:cs="Times New Roman"/>
          <w:sz w:val="24"/>
          <w:szCs w:val="24"/>
          <w:highlight w:val="yellow"/>
        </w:rPr>
        <w:t xml:space="preserve"> Le plasma frais </w:t>
      </w:r>
      <w:r w:rsidRPr="00281974">
        <w:rPr>
          <w:rFonts w:ascii="Times New Roman" w:hAnsi="Times New Roman" w:cs="Times New Roman"/>
          <w:sz w:val="24"/>
          <w:szCs w:val="24"/>
          <w:highlight w:val="yellow"/>
        </w:rPr>
        <w:lastRenderedPageBreak/>
        <w:t>utilisé est solidarisé (provenant du même donneur) ou à défaut, sécurisé, du groupe AB. Le volume d’échange doit être égal à 2 à 2,5 fois le volume sanguin total de l’enfant. La volémie du NN étant habituellement considérée de 80 ml/kg. On effectue des cycles successifs avec des échanges de 3 à 5 ml/kg ; ces échanges doivent être effectués lentement. Au cours de sa réalisation, il est nécessaire d’injecter du gluconate de calcium régulièremen</w:t>
      </w:r>
      <w:r w:rsidR="00505512" w:rsidRPr="00281974">
        <w:rPr>
          <w:rFonts w:ascii="Times New Roman" w:hAnsi="Times New Roman" w:cs="Times New Roman"/>
          <w:sz w:val="24"/>
          <w:szCs w:val="24"/>
          <w:highlight w:val="yellow"/>
        </w:rPr>
        <w:t>t afin d’éviter l’hypocalcémie.</w:t>
      </w:r>
    </w:p>
    <w:p w14:paraId="5226C2E7" w14:textId="22D0E835" w:rsidR="00394922" w:rsidRPr="00281974" w:rsidRDefault="00FB0C8A"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La première soustr</w:t>
      </w:r>
      <w:r w:rsidR="00590410" w:rsidRPr="00281974">
        <w:rPr>
          <w:rFonts w:ascii="Times New Roman" w:hAnsi="Times New Roman" w:cs="Times New Roman"/>
          <w:sz w:val="24"/>
          <w:szCs w:val="24"/>
          <w:highlight w:val="yellow"/>
        </w:rPr>
        <w:t>action permet la réalisation d’e</w:t>
      </w:r>
      <w:r w:rsidRPr="00281974">
        <w:rPr>
          <w:rFonts w:ascii="Times New Roman" w:hAnsi="Times New Roman" w:cs="Times New Roman"/>
          <w:sz w:val="24"/>
          <w:szCs w:val="24"/>
          <w:highlight w:val="yellow"/>
        </w:rPr>
        <w:t>xamens biologiques. L’exsanguino-transfusion se termine toujours</w:t>
      </w:r>
      <w:r w:rsidR="00AA79D2" w:rsidRPr="00281974">
        <w:rPr>
          <w:rFonts w:ascii="Times New Roman" w:hAnsi="Times New Roman" w:cs="Times New Roman"/>
          <w:sz w:val="24"/>
          <w:szCs w:val="24"/>
          <w:highlight w:val="yellow"/>
        </w:rPr>
        <w:t xml:space="preserve"> par une injection de sang.</w:t>
      </w:r>
    </w:p>
    <w:p w14:paraId="61981E35" w14:textId="42F6B1CB" w:rsidR="00394922" w:rsidRPr="00281974" w:rsidRDefault="00BA4256" w:rsidP="006612D9">
      <w:pPr>
        <w:pStyle w:val="Paragraphedeliste"/>
        <w:numPr>
          <w:ilvl w:val="0"/>
          <w:numId w:val="20"/>
        </w:numPr>
        <w:shd w:val="clear" w:color="auto" w:fill="FFFFFF"/>
        <w:spacing w:after="0" w:line="360" w:lineRule="auto"/>
        <w:jc w:val="both"/>
        <w:textAlignment w:val="baseline"/>
        <w:rPr>
          <w:rFonts w:ascii="Times New Roman" w:hAnsi="Times New Roman" w:cs="Times New Roman"/>
          <w:b/>
          <w:sz w:val="24"/>
          <w:szCs w:val="24"/>
          <w:highlight w:val="yellow"/>
        </w:rPr>
      </w:pPr>
      <w:r w:rsidRPr="00281974">
        <w:rPr>
          <w:rFonts w:ascii="Times New Roman" w:hAnsi="Times New Roman" w:cs="Times New Roman"/>
          <w:b/>
          <w:sz w:val="24"/>
          <w:szCs w:val="24"/>
          <w:highlight w:val="yellow"/>
        </w:rPr>
        <w:t>Efficacité</w:t>
      </w:r>
    </w:p>
    <w:p w14:paraId="5D26DFE9" w14:textId="0D0F8E2B" w:rsidR="00394922" w:rsidRPr="00281974" w:rsidRDefault="00BA4256"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Cette technique permettrait de faire baisser le taux de bilirubine totale de 50% rapidement lors d’un échang</w:t>
      </w:r>
      <w:r w:rsidR="00AB736F" w:rsidRPr="00281974">
        <w:rPr>
          <w:rFonts w:ascii="Times New Roman" w:hAnsi="Times New Roman" w:cs="Times New Roman"/>
          <w:sz w:val="24"/>
          <w:szCs w:val="24"/>
          <w:highlight w:val="yellow"/>
        </w:rPr>
        <w:t>e de deux masses sanguines</w:t>
      </w:r>
      <w:r w:rsidRPr="00281974">
        <w:rPr>
          <w:rFonts w:ascii="Times New Roman" w:hAnsi="Times New Roman" w:cs="Times New Roman"/>
          <w:sz w:val="24"/>
          <w:szCs w:val="24"/>
          <w:highlight w:val="yellow"/>
        </w:rPr>
        <w:t>.</w:t>
      </w:r>
      <w:r w:rsidR="00AB736F" w:rsidRPr="00281974">
        <w:rPr>
          <w:rFonts w:ascii="Times New Roman" w:hAnsi="Times New Roman" w:cs="Times New Roman"/>
          <w:sz w:val="24"/>
          <w:szCs w:val="24"/>
          <w:highlight w:val="yellow"/>
        </w:rPr>
        <w:fldChar w:fldCharType="begin" w:fldLock="1"/>
      </w:r>
      <w:r w:rsidR="004F4A84" w:rsidRPr="00281974">
        <w:rPr>
          <w:rFonts w:ascii="Times New Roman" w:hAnsi="Times New Roman" w:cs="Times New Roman"/>
          <w:sz w:val="24"/>
          <w:szCs w:val="24"/>
          <w:highlight w:val="yellow"/>
        </w:rPr>
        <w:instrText>ADDIN CSL_CITATION {"citationItems":[{"id":"ITEM-1","itemData":{"author":[{"dropping-particle":"","family":"Caldera R, Maynier M, Sender A, Brossard Y","given":"Tortrat D","non-dropping-particle":"","parse-names":false,"suffix":""}],"container-title":"Arch Fr Pediatr","id":"ITEM-1","issued":{"date-parts":[["1993"]]},"page":"399-402","title":"The effect of human albumin in association with intensive phototherapy in the management of neonatal jaundice","type":"article-journal","volume":"50(5)"},"uris":["http://www.mendeley.com/documents/?uuid=9f1dc9b6-6f77-4aeb-8faf-4ad0402f1481","http://www.mendeley.com/documents/?uuid=28a7fc03-a92f-4fb7-adaf-6abfae4063cd"]}],"mendeley":{"formattedCitation":"(46)","plainTextFormattedCitation":"(46)","previouslyFormattedCitation":"(47)"},"properties":{"noteIndex":0},"schema":"https://github.com/citation-style-language/schema/raw/master/csl-citation.json"}</w:instrText>
      </w:r>
      <w:r w:rsidR="00AB736F" w:rsidRPr="00281974">
        <w:rPr>
          <w:rFonts w:ascii="Times New Roman" w:hAnsi="Times New Roman" w:cs="Times New Roman"/>
          <w:sz w:val="24"/>
          <w:szCs w:val="24"/>
          <w:highlight w:val="yellow"/>
        </w:rPr>
        <w:fldChar w:fldCharType="separate"/>
      </w:r>
      <w:r w:rsidR="004F4A84" w:rsidRPr="00281974">
        <w:rPr>
          <w:rFonts w:ascii="Times New Roman" w:hAnsi="Times New Roman" w:cs="Times New Roman"/>
          <w:noProof/>
          <w:sz w:val="24"/>
          <w:szCs w:val="24"/>
          <w:highlight w:val="yellow"/>
        </w:rPr>
        <w:t>(46)</w:t>
      </w:r>
      <w:r w:rsidR="00AB736F" w:rsidRPr="00281974">
        <w:rPr>
          <w:rFonts w:ascii="Times New Roman" w:hAnsi="Times New Roman" w:cs="Times New Roman"/>
          <w:sz w:val="24"/>
          <w:szCs w:val="24"/>
          <w:highlight w:val="yellow"/>
        </w:rPr>
        <w:fldChar w:fldCharType="end"/>
      </w:r>
    </w:p>
    <w:p w14:paraId="492CD80E" w14:textId="2C5ECB9B" w:rsidR="00394922" w:rsidRPr="00281974" w:rsidRDefault="00BA4256" w:rsidP="006612D9">
      <w:pPr>
        <w:pStyle w:val="Paragraphedeliste"/>
        <w:numPr>
          <w:ilvl w:val="0"/>
          <w:numId w:val="20"/>
        </w:numPr>
        <w:spacing w:after="0" w:line="360" w:lineRule="auto"/>
        <w:jc w:val="both"/>
        <w:rPr>
          <w:rFonts w:ascii="Times New Roman" w:hAnsi="Times New Roman" w:cs="Times New Roman"/>
          <w:b/>
          <w:sz w:val="24"/>
          <w:szCs w:val="24"/>
          <w:highlight w:val="yellow"/>
        </w:rPr>
      </w:pPr>
      <w:r w:rsidRPr="00281974">
        <w:rPr>
          <w:rFonts w:ascii="Times New Roman" w:hAnsi="Times New Roman" w:cs="Times New Roman"/>
          <w:b/>
          <w:sz w:val="24"/>
          <w:szCs w:val="24"/>
          <w:highlight w:val="yellow"/>
        </w:rPr>
        <w:t>Indications</w:t>
      </w:r>
    </w:p>
    <w:p w14:paraId="06CC61BD" w14:textId="4BB5C117" w:rsidR="009C20B3" w:rsidRPr="00281974" w:rsidRDefault="00BA4256"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 xml:space="preserve">Ce traitement est de moins en moins utilisé devant les progrès de la photothérapie en particulier avec les dispositifs avec lampes intensives de type tunnel. Le recours à l’EST est indiqué lorsque le taux de bilirubine est très élevé, dépassant les seuils </w:t>
      </w:r>
      <w:r w:rsidR="00EB6538" w:rsidRPr="00281974">
        <w:rPr>
          <w:rFonts w:ascii="Times New Roman" w:hAnsi="Times New Roman" w:cs="Times New Roman"/>
          <w:sz w:val="24"/>
          <w:szCs w:val="24"/>
          <w:highlight w:val="yellow"/>
        </w:rPr>
        <w:t>de traitements. En pratique, l</w:t>
      </w:r>
      <w:r w:rsidRPr="00281974">
        <w:rPr>
          <w:rFonts w:ascii="Times New Roman" w:hAnsi="Times New Roman" w:cs="Times New Roman"/>
          <w:sz w:val="24"/>
          <w:szCs w:val="24"/>
          <w:highlight w:val="yellow"/>
        </w:rPr>
        <w:t xml:space="preserve">’AAP a réactualisé des courbes de traitement en 2004. Ces courbes définissent un seuil de traitement par EST. En fonction du contexte clinique et de l’âge de l’enfant comprenant les principaux facteurs de risques de gravité de l’ictère (âge gestationnel faible, l’âge post-natal de l’enfant, déficit en G6PD, incompatibilités </w:t>
      </w:r>
      <w:r w:rsidR="00590410" w:rsidRPr="00281974">
        <w:rPr>
          <w:rFonts w:ascii="Times New Roman" w:hAnsi="Times New Roman" w:cs="Times New Roman"/>
          <w:sz w:val="24"/>
          <w:szCs w:val="24"/>
          <w:highlight w:val="yellow"/>
        </w:rPr>
        <w:t>fœto-maternelles</w:t>
      </w:r>
      <w:r w:rsidRPr="00281974">
        <w:rPr>
          <w:rFonts w:ascii="Times New Roman" w:hAnsi="Times New Roman" w:cs="Times New Roman"/>
          <w:sz w:val="24"/>
          <w:szCs w:val="24"/>
          <w:highlight w:val="yellow"/>
        </w:rPr>
        <w:t>, troubles de vigilance, acidose, instabilité thermique, infection, signes d’atteinte neurologique) trois pri</w:t>
      </w:r>
      <w:r w:rsidR="00AB736F" w:rsidRPr="00281974">
        <w:rPr>
          <w:rFonts w:ascii="Times New Roman" w:hAnsi="Times New Roman" w:cs="Times New Roman"/>
          <w:sz w:val="24"/>
          <w:szCs w:val="24"/>
          <w:highlight w:val="yellow"/>
        </w:rPr>
        <w:t>ncipaux seuils sont définis</w:t>
      </w:r>
      <w:r w:rsidRPr="00281974">
        <w:rPr>
          <w:rFonts w:ascii="Times New Roman" w:hAnsi="Times New Roman" w:cs="Times New Roman"/>
          <w:sz w:val="24"/>
          <w:szCs w:val="24"/>
          <w:highlight w:val="yellow"/>
        </w:rPr>
        <w:t>.</w:t>
      </w:r>
    </w:p>
    <w:p w14:paraId="1B967BCA" w14:textId="569F0B9F" w:rsidR="00394922" w:rsidRPr="00281974" w:rsidRDefault="009C20B3"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w:t>
      </w:r>
      <w:r w:rsidR="00BA4256" w:rsidRPr="00281974">
        <w:rPr>
          <w:rFonts w:ascii="Times New Roman" w:hAnsi="Times New Roman" w:cs="Times New Roman"/>
          <w:b/>
          <w:sz w:val="24"/>
          <w:szCs w:val="24"/>
          <w:highlight w:val="yellow"/>
        </w:rPr>
        <w:t xml:space="preserve">Effets secondaires </w:t>
      </w:r>
      <w:r w:rsidR="00AB736F" w:rsidRPr="00281974">
        <w:rPr>
          <w:rFonts w:ascii="Times New Roman" w:hAnsi="Times New Roman" w:cs="Times New Roman"/>
          <w:b/>
          <w:sz w:val="24"/>
          <w:szCs w:val="24"/>
          <w:highlight w:val="yellow"/>
        </w:rPr>
        <w:t>éventuels :</w:t>
      </w:r>
    </w:p>
    <w:p w14:paraId="7717B558" w14:textId="77777777" w:rsidR="002718DB" w:rsidRPr="00281974" w:rsidRDefault="00BA4256"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Depuis l’avènement de la photothérapie intensive, la pratique de l’</w:t>
      </w:r>
      <w:proofErr w:type="spellStart"/>
      <w:r w:rsidRPr="00281974">
        <w:rPr>
          <w:rFonts w:ascii="Times New Roman" w:hAnsi="Times New Roman" w:cs="Times New Roman"/>
          <w:sz w:val="24"/>
          <w:szCs w:val="24"/>
          <w:highlight w:val="yellow"/>
        </w:rPr>
        <w:t>exsanguino</w:t>
      </w:r>
      <w:proofErr w:type="spellEnd"/>
      <w:r w:rsidRPr="00281974">
        <w:rPr>
          <w:rFonts w:ascii="Times New Roman" w:hAnsi="Times New Roman" w:cs="Times New Roman"/>
          <w:sz w:val="24"/>
          <w:szCs w:val="24"/>
          <w:highlight w:val="yellow"/>
        </w:rPr>
        <w:t xml:space="preserve">- transfusion est devenue rare. Ses risques de mortalité et de morbidité sont donc difficiles à quantifier : </w:t>
      </w:r>
    </w:p>
    <w:p w14:paraId="6394DD50" w14:textId="77777777" w:rsidR="002718DB" w:rsidRPr="00281974" w:rsidRDefault="00BA4256"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-Risque de septicémie ou d’abcès de la paroi par l’utilisation d’un matériel non stérile, il faut éviter de suturer à la fin de l’opération, il vaut mieux comprimer jusqu’à l’obtention d’une bonne hémostase.</w:t>
      </w:r>
    </w:p>
    <w:p w14:paraId="60FB3913" w14:textId="77777777" w:rsidR="002718DB" w:rsidRPr="00281974" w:rsidRDefault="00BA4256"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 xml:space="preserve"> -Risque thromboembolique surtout au niveau des m</w:t>
      </w:r>
      <w:r w:rsidR="002718DB" w:rsidRPr="00281974">
        <w:rPr>
          <w:rFonts w:ascii="Times New Roman" w:hAnsi="Times New Roman" w:cs="Times New Roman"/>
          <w:sz w:val="24"/>
          <w:szCs w:val="24"/>
          <w:highlight w:val="yellow"/>
        </w:rPr>
        <w:t xml:space="preserve">embres inférieurs et de l’aorte </w:t>
      </w:r>
      <w:r w:rsidRPr="00281974">
        <w:rPr>
          <w:rFonts w:ascii="Times New Roman" w:hAnsi="Times New Roman" w:cs="Times New Roman"/>
          <w:sz w:val="24"/>
          <w:szCs w:val="24"/>
          <w:highlight w:val="yellow"/>
        </w:rPr>
        <w:t xml:space="preserve">abdominale dû à l’utilisation de cathéters artériels à demeure. </w:t>
      </w:r>
    </w:p>
    <w:p w14:paraId="20C98723" w14:textId="77777777" w:rsidR="002718DB" w:rsidRPr="00281974" w:rsidRDefault="00BA4256" w:rsidP="006612D9">
      <w:pPr>
        <w:shd w:val="clear" w:color="auto" w:fill="FFFFFF"/>
        <w:spacing w:after="0" w:line="360" w:lineRule="auto"/>
        <w:jc w:val="both"/>
        <w:textAlignment w:val="baseline"/>
        <w:rPr>
          <w:rFonts w:ascii="Times New Roman" w:hAnsi="Times New Roman" w:cs="Times New Roman"/>
          <w:sz w:val="24"/>
          <w:szCs w:val="24"/>
          <w:highlight w:val="yellow"/>
        </w:rPr>
      </w:pPr>
      <w:r w:rsidRPr="00281974">
        <w:rPr>
          <w:rFonts w:ascii="Times New Roman" w:hAnsi="Times New Roman" w:cs="Times New Roman"/>
          <w:sz w:val="24"/>
          <w:szCs w:val="24"/>
          <w:highlight w:val="yellow"/>
        </w:rPr>
        <w:t xml:space="preserve">-L’introduction accidentelle de cathéter au niveau du foie peut être responsable d’une nécrose hépatique et d’une entérocolite </w:t>
      </w:r>
      <w:proofErr w:type="spellStart"/>
      <w:r w:rsidRPr="00281974">
        <w:rPr>
          <w:rFonts w:ascii="Times New Roman" w:hAnsi="Times New Roman" w:cs="Times New Roman"/>
          <w:sz w:val="24"/>
          <w:szCs w:val="24"/>
          <w:highlight w:val="yellow"/>
        </w:rPr>
        <w:t>ulcéro</w:t>
      </w:r>
      <w:proofErr w:type="spellEnd"/>
      <w:r w:rsidRPr="00281974">
        <w:rPr>
          <w:rFonts w:ascii="Times New Roman" w:hAnsi="Times New Roman" w:cs="Times New Roman"/>
          <w:sz w:val="24"/>
          <w:szCs w:val="24"/>
          <w:highlight w:val="yellow"/>
        </w:rPr>
        <w:t>-nécrotique.</w:t>
      </w:r>
    </w:p>
    <w:p w14:paraId="6E521F81" w14:textId="77777777" w:rsidR="00BA4256" w:rsidRPr="000A4A0F" w:rsidRDefault="002718DB" w:rsidP="006612D9">
      <w:pPr>
        <w:shd w:val="clear" w:color="auto" w:fill="FFFFFF"/>
        <w:spacing w:after="0" w:line="360" w:lineRule="auto"/>
        <w:jc w:val="both"/>
        <w:textAlignment w:val="baseline"/>
        <w:rPr>
          <w:rFonts w:ascii="Times New Roman" w:hAnsi="Times New Roman" w:cs="Times New Roman"/>
          <w:sz w:val="24"/>
          <w:szCs w:val="24"/>
        </w:rPr>
      </w:pPr>
      <w:r w:rsidRPr="00281974">
        <w:rPr>
          <w:rFonts w:ascii="Times New Roman" w:hAnsi="Times New Roman" w:cs="Times New Roman"/>
          <w:sz w:val="24"/>
          <w:szCs w:val="24"/>
          <w:highlight w:val="yellow"/>
        </w:rPr>
        <w:t xml:space="preserve">- </w:t>
      </w:r>
      <w:r w:rsidR="00BA4256" w:rsidRPr="00281974">
        <w:rPr>
          <w:rFonts w:ascii="Times New Roman" w:hAnsi="Times New Roman" w:cs="Times New Roman"/>
          <w:sz w:val="24"/>
          <w:szCs w:val="24"/>
          <w:highlight w:val="yellow"/>
        </w:rPr>
        <w:t>Episode bénins d’apnée et de bradycardie à la suite de l’injection de gluconate de sodium.</w:t>
      </w:r>
    </w:p>
    <w:p w14:paraId="5F8F973D" w14:textId="77777777" w:rsidR="00394922" w:rsidRDefault="00394922" w:rsidP="006612D9">
      <w:pPr>
        <w:shd w:val="clear" w:color="auto" w:fill="FFFFFF"/>
        <w:spacing w:after="0" w:line="360" w:lineRule="auto"/>
        <w:jc w:val="both"/>
        <w:textAlignment w:val="baseline"/>
        <w:rPr>
          <w:rFonts w:ascii="Times New Roman" w:hAnsi="Times New Roman" w:cs="Times New Roman"/>
          <w:sz w:val="24"/>
          <w:szCs w:val="24"/>
        </w:rPr>
      </w:pPr>
    </w:p>
    <w:p w14:paraId="601C63AD" w14:textId="77777777" w:rsidR="0067373A" w:rsidRPr="000A4A0F" w:rsidRDefault="0067373A" w:rsidP="006612D9">
      <w:pPr>
        <w:shd w:val="clear" w:color="auto" w:fill="FFFFFF"/>
        <w:spacing w:after="0" w:line="360" w:lineRule="auto"/>
        <w:jc w:val="both"/>
        <w:textAlignment w:val="baseline"/>
        <w:rPr>
          <w:rFonts w:ascii="Times New Roman" w:hAnsi="Times New Roman" w:cs="Times New Roman"/>
          <w:sz w:val="24"/>
          <w:szCs w:val="24"/>
        </w:rPr>
      </w:pPr>
    </w:p>
    <w:p w14:paraId="22A9F746" w14:textId="77777777" w:rsidR="00BA4256" w:rsidRPr="000A4A0F" w:rsidRDefault="00BA4256" w:rsidP="006612D9">
      <w:pPr>
        <w:pStyle w:val="Paragraphedeliste"/>
        <w:numPr>
          <w:ilvl w:val="0"/>
          <w:numId w:val="20"/>
        </w:numPr>
        <w:shd w:val="clear" w:color="auto" w:fill="FFFFFF"/>
        <w:spacing w:after="0" w:line="360" w:lineRule="auto"/>
        <w:jc w:val="both"/>
        <w:textAlignment w:val="baseline"/>
        <w:rPr>
          <w:rFonts w:ascii="Times New Roman" w:hAnsi="Times New Roman" w:cs="Times New Roman"/>
          <w:b/>
          <w:sz w:val="24"/>
          <w:szCs w:val="24"/>
        </w:rPr>
      </w:pPr>
      <w:r w:rsidRPr="000A4A0F">
        <w:rPr>
          <w:rFonts w:ascii="Times New Roman" w:hAnsi="Times New Roman" w:cs="Times New Roman"/>
          <w:b/>
          <w:sz w:val="24"/>
          <w:szCs w:val="24"/>
        </w:rPr>
        <w:lastRenderedPageBreak/>
        <w:t>Perfusion d'albumine.</w:t>
      </w:r>
    </w:p>
    <w:p w14:paraId="6D7FF26C" w14:textId="77777777" w:rsidR="00394922" w:rsidRPr="000A4A0F" w:rsidRDefault="00394922" w:rsidP="006612D9">
      <w:pPr>
        <w:pStyle w:val="Paragraphedeliste"/>
        <w:shd w:val="clear" w:color="auto" w:fill="FFFFFF"/>
        <w:spacing w:after="0" w:line="360" w:lineRule="auto"/>
        <w:jc w:val="both"/>
        <w:textAlignment w:val="baseline"/>
        <w:rPr>
          <w:rFonts w:ascii="Times New Roman" w:hAnsi="Times New Roman" w:cs="Times New Roman"/>
          <w:sz w:val="24"/>
          <w:szCs w:val="24"/>
        </w:rPr>
      </w:pPr>
    </w:p>
    <w:p w14:paraId="608409B3" w14:textId="17BCC4B6" w:rsidR="00BA4256" w:rsidRPr="000A4A0F" w:rsidRDefault="00AB736F"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Plusieurs auteurs français</w:t>
      </w:r>
      <w:r w:rsidR="00BA4256" w:rsidRPr="000A4A0F">
        <w:rPr>
          <w:rFonts w:ascii="Times New Roman" w:hAnsi="Times New Roman" w:cs="Times New Roman"/>
          <w:sz w:val="24"/>
          <w:szCs w:val="24"/>
        </w:rPr>
        <w:t xml:space="preserve"> contrairement aux recommandations américaines, conseillent l'administration de perfusion d'albumine en association à la photothérapie intensive dans le traitement de l'ictère sévère.</w:t>
      </w:r>
      <w:r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{"citationItems":[{"id":"ITEM-1","itemData":{"author":[{"dropping-particle":"","family":"Nakamura","given":"S. M. Shapiro and H.","non-dropping-particle":"","parse-names":false,"suffix":""}],"container-title":"Journal of Perinatology, , pp.","id":"ITEM-1","issued":{"date-parts":[["2001"]]},"page":"S52–S55,","title":"Bilirubin and the auditory system","type":"article-journal","volume":"vol. 21, n"},"uris":["http://www.mendeley.com/documents/?uuid=dab0c15a-9386-4678-a06f-00f467574b25","http://www.mendeley.com/documents/?uuid=a2aebd81-93e7-4f9b-bea6-bdacac8a7e54"]}],"mendeley":{"formattedCitation":"(47)","plainTextFormattedCitation":"(47)","previouslyFormattedCitation":"(48)"},"properties":{"noteIndex":0},"schema":"https://github.com/citation-style-language/schema/raw/master/csl-citation.json"}</w:instrText>
      </w:r>
      <w:r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(47)</w:t>
      </w:r>
      <w:r w:rsidRPr="000A4A0F">
        <w:rPr>
          <w:rFonts w:ascii="Times New Roman" w:hAnsi="Times New Roman" w:cs="Times New Roman"/>
          <w:sz w:val="24"/>
          <w:szCs w:val="24"/>
        </w:rPr>
        <w:fldChar w:fldCharType="end"/>
      </w:r>
      <w:r w:rsidR="00BA4256" w:rsidRPr="000A4A0F">
        <w:rPr>
          <w:rFonts w:ascii="Times New Roman" w:hAnsi="Times New Roman" w:cs="Times New Roman"/>
          <w:sz w:val="24"/>
          <w:szCs w:val="24"/>
        </w:rPr>
        <w:t xml:space="preserve"> On utilise de l'albumine à 20% diluée de moitié dans du sérum glucosé à 5% à la dose de 1 à 1,5g/kg. L’albumine est utilisée en cas d’hyper bilirubinémie sévère, persistante malgré le traitement par photothérapie intensive. Une diminution rapide et précoce de la bilirubine non conjuguée</w:t>
      </w:r>
      <w:r w:rsidR="006D0712" w:rsidRPr="000A4A0F">
        <w:rPr>
          <w:rFonts w:ascii="Times New Roman" w:hAnsi="Times New Roman" w:cs="Times New Roman"/>
          <w:sz w:val="24"/>
          <w:szCs w:val="24"/>
        </w:rPr>
        <w:t xml:space="preserve"> et non liée est </w:t>
      </w:r>
      <w:r w:rsidR="00505512" w:rsidRPr="000A4A0F">
        <w:rPr>
          <w:rFonts w:ascii="Times New Roman" w:hAnsi="Times New Roman" w:cs="Times New Roman"/>
          <w:sz w:val="24"/>
          <w:szCs w:val="24"/>
        </w:rPr>
        <w:t xml:space="preserve">retrouvée. </w:t>
      </w:r>
      <w:r w:rsidR="00BA4256" w:rsidRPr="000A4A0F">
        <w:rPr>
          <w:rFonts w:ascii="Times New Roman" w:hAnsi="Times New Roman" w:cs="Times New Roman"/>
          <w:sz w:val="24"/>
          <w:szCs w:val="24"/>
        </w:rPr>
        <w:t>Une étude sur l’utilisation de l’albumine à la d</w:t>
      </w:r>
      <w:r w:rsidR="000A04AC" w:rsidRPr="000A4A0F">
        <w:rPr>
          <w:rFonts w:ascii="Times New Roman" w:hAnsi="Times New Roman" w:cs="Times New Roman"/>
          <w:sz w:val="24"/>
          <w:szCs w:val="24"/>
        </w:rPr>
        <w:t xml:space="preserve">ose de 1 g/kg chez des NN hyper </w:t>
      </w:r>
      <w:proofErr w:type="spellStart"/>
      <w:r w:rsidR="00BA4256" w:rsidRPr="000A4A0F">
        <w:rPr>
          <w:rFonts w:ascii="Times New Roman" w:hAnsi="Times New Roman" w:cs="Times New Roman"/>
          <w:sz w:val="24"/>
          <w:szCs w:val="24"/>
        </w:rPr>
        <w:t>bilirubinémiques</w:t>
      </w:r>
      <w:proofErr w:type="spellEnd"/>
      <w:r w:rsidR="00BA4256" w:rsidRPr="000A4A0F">
        <w:rPr>
          <w:rFonts w:ascii="Times New Roman" w:hAnsi="Times New Roman" w:cs="Times New Roman"/>
          <w:sz w:val="24"/>
          <w:szCs w:val="24"/>
        </w:rPr>
        <w:t>, une heure avant la réalisation d’une EST, montre une diminution significative du taux de bilirubine totale sérique à 6 et 24h post-EST. Une réduction de la durée de photothérapie est également constatée chez ces NN ayant reçus une perfusion</w:t>
      </w:r>
      <w:r w:rsidRPr="000A4A0F">
        <w:rPr>
          <w:rFonts w:ascii="Times New Roman" w:hAnsi="Times New Roman" w:cs="Times New Roman"/>
          <w:sz w:val="24"/>
          <w:szCs w:val="24"/>
        </w:rPr>
        <w:t xml:space="preserve"> d’albumine avant leur EST</w:t>
      </w:r>
      <w:r w:rsidR="00BA4256" w:rsidRPr="000A4A0F">
        <w:rPr>
          <w:rFonts w:ascii="Times New Roman" w:hAnsi="Times New Roman" w:cs="Times New Roman"/>
          <w:sz w:val="24"/>
          <w:szCs w:val="24"/>
        </w:rPr>
        <w:t>.</w:t>
      </w:r>
      <w:r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{"citationItems":[{"id":"ITEM-1","itemData":{"author":[{"dropping-particle":"","family":"Nakamura","given":"S. M. Shapiro and H.","non-dropping-particle":"","parse-names":false,"suffix":""}],"container-title":"Journal of Perinatology, , pp.","id":"ITEM-1","issued":{"date-parts":[["2001"]]},"page":"S52–S55,","title":"Bilirubin and the auditory system","type":"article-journal","volume":"vol. 21, n"},"uris":["http://www.mendeley.com/documents/?uuid=a2aebd81-93e7-4f9b-bea6-bdacac8a7e54","http://www.mendeley.com/documents/?uuid=dab0c15a-9386-4678-a06f-00f467574b25"]}],"mendeley":{"formattedCitation":"(47)","plainTextFormattedCitation":"(47)","previouslyFormattedCitation":"(48)"},"properties":{"noteIndex":0},"schema":"https://github.com/citation-style-language/schema/raw/master/csl-citation.json"}</w:instrText>
      </w:r>
      <w:r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(47)</w:t>
      </w:r>
      <w:r w:rsidRPr="000A4A0F">
        <w:rPr>
          <w:rFonts w:ascii="Times New Roman" w:hAnsi="Times New Roman" w:cs="Times New Roman"/>
          <w:sz w:val="24"/>
          <w:szCs w:val="24"/>
        </w:rPr>
        <w:fldChar w:fldCharType="end"/>
      </w:r>
    </w:p>
    <w:p w14:paraId="44750A98" w14:textId="77777777" w:rsidR="00505512" w:rsidRPr="000A4A0F" w:rsidRDefault="00505512" w:rsidP="006612D9">
      <w:pPr>
        <w:shd w:val="clear" w:color="auto" w:fill="FFFFFF"/>
        <w:spacing w:after="0" w:line="360" w:lineRule="auto"/>
        <w:jc w:val="both"/>
        <w:textAlignment w:val="baseline"/>
        <w:rPr>
          <w:rFonts w:ascii="Times New Roman" w:hAnsi="Times New Roman" w:cs="Times New Roman"/>
          <w:sz w:val="24"/>
          <w:szCs w:val="24"/>
        </w:rPr>
      </w:pPr>
    </w:p>
    <w:p w14:paraId="5D9DDA19" w14:textId="6233FA9B" w:rsidR="00B71B7E" w:rsidRPr="0067373A" w:rsidRDefault="00BA4256" w:rsidP="0067373A">
      <w:pPr>
        <w:pStyle w:val="Paragraphedeliste"/>
        <w:numPr>
          <w:ilvl w:val="0"/>
          <w:numId w:val="20"/>
        </w:numPr>
        <w:shd w:val="clear" w:color="auto" w:fill="FFFFFF"/>
        <w:spacing w:after="0" w:line="360" w:lineRule="auto"/>
        <w:jc w:val="both"/>
        <w:textAlignment w:val="baseline"/>
        <w:rPr>
          <w:rFonts w:ascii="Times New Roman" w:hAnsi="Times New Roman" w:cs="Times New Roman"/>
          <w:b/>
          <w:sz w:val="24"/>
          <w:szCs w:val="24"/>
        </w:rPr>
      </w:pPr>
      <w:r w:rsidRPr="000A4A0F">
        <w:rPr>
          <w:rFonts w:ascii="Times New Roman" w:hAnsi="Times New Roman" w:cs="Times New Roman"/>
          <w:b/>
          <w:sz w:val="24"/>
          <w:szCs w:val="24"/>
        </w:rPr>
        <w:t>Immunoglobulines polyvalentes intraveineuses : (</w:t>
      </w:r>
      <w:proofErr w:type="spellStart"/>
      <w:r w:rsidRPr="000A4A0F">
        <w:rPr>
          <w:rFonts w:ascii="Times New Roman" w:hAnsi="Times New Roman" w:cs="Times New Roman"/>
          <w:b/>
          <w:sz w:val="24"/>
          <w:szCs w:val="24"/>
        </w:rPr>
        <w:t>Ig</w:t>
      </w:r>
      <w:proofErr w:type="spellEnd"/>
      <w:r w:rsidRPr="000A4A0F">
        <w:rPr>
          <w:rFonts w:ascii="Times New Roman" w:hAnsi="Times New Roman" w:cs="Times New Roman"/>
          <w:b/>
          <w:sz w:val="24"/>
          <w:szCs w:val="24"/>
        </w:rPr>
        <w:t xml:space="preserve"> IV)</w:t>
      </w:r>
    </w:p>
    <w:p w14:paraId="0BC4C7DA" w14:textId="39423BE7" w:rsidR="00BA4256" w:rsidRPr="000A4A0F" w:rsidRDefault="00BA4256" w:rsidP="006612D9">
      <w:pPr>
        <w:shd w:val="clear" w:color="auto" w:fill="FFFFFF"/>
        <w:spacing w:after="0" w:line="360" w:lineRule="auto"/>
        <w:ind w:left="142" w:hanging="142"/>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Les </w:t>
      </w:r>
      <w:proofErr w:type="spellStart"/>
      <w:r w:rsidRPr="000A4A0F">
        <w:rPr>
          <w:rFonts w:ascii="Times New Roman" w:hAnsi="Times New Roman" w:cs="Times New Roman"/>
          <w:sz w:val="24"/>
          <w:szCs w:val="24"/>
        </w:rPr>
        <w:t>Ig</w:t>
      </w:r>
      <w:proofErr w:type="spellEnd"/>
      <w:r w:rsidRPr="000A4A0F">
        <w:rPr>
          <w:rFonts w:ascii="Times New Roman" w:hAnsi="Times New Roman" w:cs="Times New Roman"/>
          <w:sz w:val="24"/>
          <w:szCs w:val="24"/>
        </w:rPr>
        <w:t xml:space="preserve"> IV conjuguées à la photothérapie sont efficaces dans la prise en charge des ictères sévères du nouveau-né liés à une incompatibilité érythrocytaire. Leur tolérance est excellente. Plusieurs travaux ont montré qu’elles réduisaient la nécessité du recours à l’EST, la durée de photothérapie et d’hospitalisation. Les données concernant l’accroissement du risque nécessaire de transfusion tardive qu’elles engendr</w:t>
      </w:r>
      <w:r w:rsidR="00AB736F" w:rsidRPr="000A4A0F">
        <w:rPr>
          <w:rFonts w:ascii="Times New Roman" w:hAnsi="Times New Roman" w:cs="Times New Roman"/>
          <w:sz w:val="24"/>
          <w:szCs w:val="24"/>
        </w:rPr>
        <w:t>eraient sont controversées</w:t>
      </w:r>
      <w:r w:rsidRPr="000A4A0F">
        <w:rPr>
          <w:rFonts w:ascii="Times New Roman" w:hAnsi="Times New Roman" w:cs="Times New Roman"/>
          <w:sz w:val="24"/>
          <w:szCs w:val="24"/>
        </w:rPr>
        <w:t>.</w:t>
      </w:r>
      <w:r w:rsidR="00D375D7"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{"citationItems":[{"id":"ITEM-1","itemData":{"author":[{"dropping-particle":"","family":"PLoS ONE","given":"","non-dropping-particle":"","parse-names":false,"suffix":""}],"container-title":"vol. 7, no. 1,","id":"ITEM-1","issued":{"date-parts":[["2012"]]},"title":"Hyperbilirubinemia and neurodevelopmental outcome of very low birthweight infants: results from the lift cohort,","type":"article-journal","volume":"article e3"},"uris":["http://www.mendeley.com/documents/?uuid=a073c2e5-d7e3-4837-8c6d-db541f74984f","http://www.mendeley.com/documents/?uuid=a8e269d5-7af2-4e52-8045-c4adf93795ac"]}],"mendeley":{"formattedCitation":"(48)","plainTextFormattedCitation":"(48)","previouslyFormattedCitation":"(49)"},"properties":{"noteIndex":0},"schema":"https://github.com/citation-style-language/schema/raw/master/csl-citation.json"}</w:instrText>
      </w:r>
      <w:r w:rsidR="00D375D7"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(48)</w:t>
      </w:r>
      <w:r w:rsidR="00D375D7"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Les </w:t>
      </w:r>
      <w:proofErr w:type="spellStart"/>
      <w:r w:rsidRPr="000A4A0F">
        <w:rPr>
          <w:rFonts w:ascii="Times New Roman" w:hAnsi="Times New Roman" w:cs="Times New Roman"/>
          <w:sz w:val="24"/>
          <w:szCs w:val="24"/>
        </w:rPr>
        <w:t>Ig</w:t>
      </w:r>
      <w:proofErr w:type="spellEnd"/>
      <w:r w:rsidRPr="000A4A0F">
        <w:rPr>
          <w:rFonts w:ascii="Times New Roman" w:hAnsi="Times New Roman" w:cs="Times New Roman"/>
          <w:sz w:val="24"/>
          <w:szCs w:val="24"/>
        </w:rPr>
        <w:t xml:space="preserve"> IV associées à la PT permettent une réduction du recours à l’EST et de la durée de PT. Elles sont bien tolérées et peuvent être un adjuvant thérapeutique dans l’ictère n</w:t>
      </w:r>
      <w:r w:rsidR="00AA79D2" w:rsidRPr="000A4A0F">
        <w:rPr>
          <w:rFonts w:ascii="Times New Roman" w:hAnsi="Times New Roman" w:cs="Times New Roman"/>
          <w:sz w:val="24"/>
          <w:szCs w:val="24"/>
        </w:rPr>
        <w:t>éon</w:t>
      </w:r>
      <w:r w:rsidR="00D375D7" w:rsidRPr="000A4A0F">
        <w:rPr>
          <w:rFonts w:ascii="Times New Roman" w:hAnsi="Times New Roman" w:cs="Times New Roman"/>
          <w:sz w:val="24"/>
          <w:szCs w:val="24"/>
        </w:rPr>
        <w:t>atal sévère par IFME ABO</w:t>
      </w:r>
      <w:r w:rsidRPr="000A4A0F">
        <w:rPr>
          <w:rFonts w:ascii="Times New Roman" w:hAnsi="Times New Roman" w:cs="Times New Roman"/>
          <w:sz w:val="24"/>
          <w:szCs w:val="24"/>
        </w:rPr>
        <w:t>.</w:t>
      </w:r>
      <w:r w:rsidR="00D375D7" w:rsidRPr="000A4A0F">
        <w:rPr>
          <w:rFonts w:ascii="Times New Roman" w:hAnsi="Times New Roman" w:cs="Times New Roman"/>
          <w:sz w:val="24"/>
          <w:szCs w:val="24"/>
        </w:rPr>
        <w:fldChar w:fldCharType="begin" w:fldLock="1"/>
      </w:r>
      <w:r w:rsidR="00EE36B6">
        <w:rPr>
          <w:rFonts w:ascii="Times New Roman" w:hAnsi="Times New Roman" w:cs="Times New Roman"/>
          <w:sz w:val="24"/>
          <w:szCs w:val="24"/>
        </w:rPr>
        <w:instrText>ADDIN CSL_CITATION {"citationItems":[{"id":"ITEM-1","itemData":{"author":[{"dropping-particle":"","family":"Heydarian","given":"Farhad","non-dropping-particle":"","parse-names":false,"suffix":""},{"dropping-particle":"","family":"Khatami","given":"Seyedeh Fatemeh","non-dropping-particle":"","parse-names":false,"suffix":""},{"dropping-particle":"","family":"Parvaresh","given":"Pouya","non-dropping-particle":"","parse-names":false,"suffix":""},{"dropping-particle":"","family":"Rezanejad","given":"Masumeh","non-dropping-particle":"","parse-names":false,"suffix":""}],"id":"ITEM-1","issue":"2","issued":{"date-parts":[["2012"]]},"page":"45-49","title":"ABO Hemolytic Disease Leading to Hyperbilirubinemia in Term Newborns : Value of Immunohematological Tests","type":"article-journal","volume":"3"},"uris":["http://www.mendeley.com/documents/?uuid=b280d82d-112b-4e92-a760-1e6f4939c968","http://www.mendeley.com/documents/?uuid=50debc0a-d795-4544-9f7d-f5b224bfdd01"]}],"mendeley":{"formattedCitation":"(4)","plainTextFormattedCitation":"(4)","previouslyFormattedCitation":"(4)"},"properties":{"noteIndex":0},"schema":"https://github.com/citation-style-language/schema/raw/master/csl-citation.json"}</w:instrText>
      </w:r>
      <w:r w:rsidR="00D375D7" w:rsidRPr="000A4A0F">
        <w:rPr>
          <w:rFonts w:ascii="Times New Roman" w:hAnsi="Times New Roman" w:cs="Times New Roman"/>
          <w:sz w:val="24"/>
          <w:szCs w:val="24"/>
        </w:rPr>
        <w:fldChar w:fldCharType="separate"/>
      </w:r>
      <w:r w:rsidR="00D375D7" w:rsidRPr="000A4A0F">
        <w:rPr>
          <w:rFonts w:ascii="Times New Roman" w:hAnsi="Times New Roman" w:cs="Times New Roman"/>
          <w:noProof/>
          <w:sz w:val="24"/>
          <w:szCs w:val="24"/>
        </w:rPr>
        <w:t>(4)</w:t>
      </w:r>
      <w:r w:rsidR="00D375D7" w:rsidRPr="000A4A0F">
        <w:rPr>
          <w:rFonts w:ascii="Times New Roman" w:hAnsi="Times New Roman" w:cs="Times New Roman"/>
          <w:sz w:val="24"/>
          <w:szCs w:val="24"/>
        </w:rPr>
        <w:fldChar w:fldCharType="end"/>
      </w:r>
      <w:r w:rsidR="00D375D7"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{"citationItems":[{"id":"ITEM-1","itemData":{"author":[{"dropping-particle":"al","family":"Joseph R, Ho LY, Gomez JM","given":"et","non-dropping-particle":"","parse-names":false,"suffix":""}],"container-title":"Southeast Asian J Trop Med Public Health","id":"ITEM-1","issue":"30","issued":{"date-parts":[["1999"]]},"title":"Mass newborn screening for glucose-6-phosphate dehydrogenase deficiency in Singapore","type":"article-journal","volume":"70-1"},"uris":["http://www.mendeley.com/documents/?uuid=91536edf-15f5-4918-a5b4-0ce7589477a4","http://www.mendeley.com/documents/?uuid=335a51ac-6232-4a03-aec2-b257842d5bf4"]}],"mendeley":{"formattedCitation":"(26)","plainTextFormattedCitation":"(26)","previouslyFormattedCitation":"(27)"},"properties":{"noteIndex":0},"schema":"https://github.com/citation-style-language/schema/raw/master/csl-citation.json"}</w:instrText>
      </w:r>
      <w:r w:rsidR="00D375D7"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(26)</w:t>
      </w:r>
      <w:r w:rsidR="00D375D7" w:rsidRPr="000A4A0F">
        <w:rPr>
          <w:rFonts w:ascii="Times New Roman" w:hAnsi="Times New Roman" w:cs="Times New Roman"/>
          <w:sz w:val="24"/>
          <w:szCs w:val="24"/>
        </w:rPr>
        <w:fldChar w:fldCharType="end"/>
      </w:r>
    </w:p>
    <w:p w14:paraId="3AD2D840" w14:textId="45BED469" w:rsidR="00D00245" w:rsidRPr="000A4A0F" w:rsidRDefault="00D00245" w:rsidP="006612D9">
      <w:pPr>
        <w:shd w:val="clear" w:color="auto" w:fill="FFFFFF"/>
        <w:spacing w:after="0" w:line="360" w:lineRule="auto"/>
        <w:jc w:val="both"/>
        <w:textAlignment w:val="baseline"/>
        <w:rPr>
          <w:rFonts w:ascii="Times New Roman" w:hAnsi="Times New Roman" w:cs="Times New Roman"/>
          <w:sz w:val="24"/>
          <w:szCs w:val="24"/>
        </w:rPr>
      </w:pPr>
    </w:p>
    <w:p w14:paraId="2E8DE7BA" w14:textId="77777777" w:rsidR="001C501A" w:rsidRPr="000A4A0F" w:rsidRDefault="001C501A" w:rsidP="006612D9">
      <w:pPr>
        <w:shd w:val="clear" w:color="auto" w:fill="FFFFFF"/>
        <w:spacing w:after="0" w:line="360" w:lineRule="auto"/>
        <w:jc w:val="both"/>
        <w:textAlignment w:val="baseline"/>
        <w:rPr>
          <w:rFonts w:ascii="Times New Roman" w:hAnsi="Times New Roman" w:cs="Times New Roman"/>
          <w:sz w:val="24"/>
          <w:szCs w:val="24"/>
        </w:rPr>
      </w:pPr>
    </w:p>
    <w:p w14:paraId="5459B3B3" w14:textId="77777777" w:rsidR="00C465DE" w:rsidRPr="000A4A0F" w:rsidRDefault="00C465DE" w:rsidP="006612D9">
      <w:pPr>
        <w:shd w:val="clear" w:color="auto" w:fill="FFFFFF"/>
        <w:spacing w:after="0" w:line="360" w:lineRule="auto"/>
        <w:jc w:val="both"/>
        <w:textAlignment w:val="baseline"/>
        <w:rPr>
          <w:rFonts w:ascii="Times New Roman" w:hAnsi="Times New Roman" w:cs="Times New Roman"/>
          <w:b/>
          <w:color w:val="auto"/>
          <w:sz w:val="24"/>
          <w:szCs w:val="24"/>
        </w:rPr>
      </w:pPr>
      <w:r w:rsidRPr="000A4A0F">
        <w:rPr>
          <w:rFonts w:ascii="Times New Roman" w:hAnsi="Times New Roman" w:cs="Times New Roman"/>
          <w:b/>
          <w:color w:val="auto"/>
          <w:sz w:val="24"/>
          <w:szCs w:val="24"/>
        </w:rPr>
        <w:t xml:space="preserve">     -Le phénobarbital</w:t>
      </w:r>
    </w:p>
    <w:p w14:paraId="44E78CB9" w14:textId="6C02CC15" w:rsidR="00D00245" w:rsidRPr="000A4A0F" w:rsidRDefault="00C465DE" w:rsidP="006612D9">
      <w:pPr>
        <w:shd w:val="clear" w:color="auto" w:fill="FFFFFF"/>
        <w:spacing w:after="0" w:line="360" w:lineRule="auto"/>
        <w:jc w:val="both"/>
        <w:textAlignment w:val="baseline"/>
        <w:rPr>
          <w:rFonts w:ascii="Times New Roman" w:hAnsi="Times New Roman" w:cs="Times New Roman"/>
          <w:color w:val="auto"/>
          <w:sz w:val="24"/>
          <w:szCs w:val="24"/>
        </w:rPr>
      </w:pPr>
      <w:r w:rsidRPr="000A4A0F">
        <w:rPr>
          <w:rFonts w:ascii="Times New Roman" w:hAnsi="Times New Roman" w:cs="Times New Roman"/>
          <w:color w:val="auto"/>
          <w:sz w:val="24"/>
          <w:szCs w:val="24"/>
        </w:rPr>
        <w:t>C’est un inducteur enzymatique qui permet l’augmentation et l’excrétion de la bilirubine, il est rarement utilisé en pratique courante en raison de ses effets secondaires.</w:t>
      </w:r>
    </w:p>
    <w:p w14:paraId="1733B6B6" w14:textId="77777777" w:rsidR="000A04AC" w:rsidRPr="000A4A0F" w:rsidRDefault="000A04AC" w:rsidP="006612D9">
      <w:pPr>
        <w:shd w:val="clear" w:color="auto" w:fill="FFFFFF"/>
        <w:spacing w:after="0" w:line="360" w:lineRule="auto"/>
        <w:jc w:val="both"/>
        <w:textAlignment w:val="baseline"/>
        <w:rPr>
          <w:rFonts w:ascii="Times New Roman" w:hAnsi="Times New Roman" w:cs="Times New Roman"/>
          <w:sz w:val="24"/>
          <w:szCs w:val="24"/>
        </w:rPr>
      </w:pPr>
    </w:p>
    <w:p w14:paraId="35F526A8" w14:textId="56C55961" w:rsidR="00BA4256" w:rsidRPr="000A4A0F" w:rsidRDefault="00C465DE" w:rsidP="006612D9">
      <w:pPr>
        <w:shd w:val="clear" w:color="auto" w:fill="FFFFFF"/>
        <w:spacing w:after="0" w:line="360" w:lineRule="auto"/>
        <w:jc w:val="both"/>
        <w:textAlignment w:val="baseline"/>
        <w:rPr>
          <w:rFonts w:ascii="Times New Roman" w:hAnsi="Times New Roman" w:cs="Times New Roman"/>
          <w:b/>
          <w:sz w:val="24"/>
          <w:szCs w:val="24"/>
        </w:rPr>
      </w:pPr>
      <w:r w:rsidRPr="000A4A0F">
        <w:rPr>
          <w:rFonts w:ascii="Times New Roman" w:hAnsi="Times New Roman" w:cs="Times New Roman"/>
          <w:b/>
          <w:sz w:val="24"/>
          <w:szCs w:val="24"/>
        </w:rPr>
        <w:t xml:space="preserve">    -</w:t>
      </w:r>
      <w:r w:rsidR="00BA4256" w:rsidRPr="000A4A0F">
        <w:rPr>
          <w:rFonts w:ascii="Times New Roman" w:hAnsi="Times New Roman" w:cs="Times New Roman"/>
          <w:b/>
          <w:sz w:val="24"/>
          <w:szCs w:val="24"/>
        </w:rPr>
        <w:t>Traitement de l’anémie associée</w:t>
      </w:r>
    </w:p>
    <w:p w14:paraId="18D8B9E6" w14:textId="77777777" w:rsidR="000A04AC" w:rsidRPr="000A4A0F" w:rsidRDefault="000A04AC" w:rsidP="006612D9">
      <w:pPr>
        <w:shd w:val="clear" w:color="auto" w:fill="FFFFFF"/>
        <w:spacing w:after="0" w:line="360" w:lineRule="auto"/>
        <w:jc w:val="both"/>
        <w:textAlignment w:val="baseline"/>
        <w:rPr>
          <w:rFonts w:ascii="Times New Roman" w:hAnsi="Times New Roman" w:cs="Times New Roman"/>
          <w:sz w:val="24"/>
          <w:szCs w:val="24"/>
        </w:rPr>
      </w:pPr>
    </w:p>
    <w:p w14:paraId="4D606F3E" w14:textId="77777777" w:rsidR="00BA4256"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Les seuils transfusionnels sont différents de ceux habituels et tiennent comptent de différents facteurs : le taux d’hémoglobine et l’hématocrite selon l’âge gestationnel, l’existence de signes de régénération médullaire, de la rapidité d’installation de l’anémie, des signes de mauvaise tolérance, des pathologies ou facteurs de risque associés (détresse respiratoire, prématurité…).</w:t>
      </w:r>
    </w:p>
    <w:p w14:paraId="07986A54" w14:textId="208BDED0" w:rsidR="00BA4256"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lastRenderedPageBreak/>
        <w:t xml:space="preserve">Selon les recommandations de l’Agence nationale d’Accréditation et d’Evaluation en </w:t>
      </w:r>
      <w:r w:rsidR="000A04AC" w:rsidRPr="000A4A0F">
        <w:rPr>
          <w:rFonts w:ascii="Times New Roman" w:hAnsi="Times New Roman" w:cs="Times New Roman"/>
          <w:sz w:val="24"/>
          <w:szCs w:val="24"/>
        </w:rPr>
        <w:t>Santé</w:t>
      </w:r>
      <w:r w:rsidRPr="000A4A0F">
        <w:rPr>
          <w:rFonts w:ascii="Times New Roman" w:hAnsi="Times New Roman" w:cs="Times New Roman"/>
          <w:sz w:val="24"/>
          <w:szCs w:val="24"/>
        </w:rPr>
        <w:t xml:space="preserve"> (ANAES) et l’AFSSAPS, il n’y a pas d’indication transfusionnelle si le taux d’</w:t>
      </w:r>
      <w:proofErr w:type="spellStart"/>
      <w:r w:rsidRPr="000A4A0F">
        <w:rPr>
          <w:rFonts w:ascii="Times New Roman" w:hAnsi="Times New Roman" w:cs="Times New Roman"/>
          <w:sz w:val="24"/>
          <w:szCs w:val="24"/>
        </w:rPr>
        <w:t>Hb</w:t>
      </w:r>
      <w:proofErr w:type="spellEnd"/>
      <w:r w:rsidRPr="000A4A0F">
        <w:rPr>
          <w:rFonts w:ascii="Times New Roman" w:hAnsi="Times New Roman" w:cs="Times New Roman"/>
          <w:sz w:val="24"/>
          <w:szCs w:val="24"/>
        </w:rPr>
        <w:t xml:space="preserve"> est</w:t>
      </w:r>
      <w:r w:rsidR="00F1658B" w:rsidRPr="000A4A0F">
        <w:rPr>
          <w:rFonts w:ascii="Times New Roman" w:hAnsi="Times New Roman" w:cs="Times New Roman"/>
          <w:sz w:val="24"/>
          <w:szCs w:val="24"/>
        </w:rPr>
        <w:t xml:space="preserve"> &gt; 12g/dl initialement puis &gt;10</w:t>
      </w:r>
      <w:r w:rsidRPr="000A4A0F">
        <w:rPr>
          <w:rFonts w:ascii="Times New Roman" w:hAnsi="Times New Roman" w:cs="Times New Roman"/>
          <w:sz w:val="24"/>
          <w:szCs w:val="24"/>
        </w:rPr>
        <w:t>g/dl pendant les deux premières semaines de vie. En dehors de pathologies aigues, le seuil est fixé à 7-8 g/dl ou hématocrite à 22-24% si la réticulocytose est &lt;100 000/mm³. Il y a une indication à transfuser s’il y a une perte brutale de</w:t>
      </w:r>
      <w:r w:rsidR="001C501A" w:rsidRPr="000A4A0F">
        <w:rPr>
          <w:rFonts w:ascii="Times New Roman" w:hAnsi="Times New Roman" w:cs="Times New Roman"/>
          <w:sz w:val="24"/>
          <w:szCs w:val="24"/>
        </w:rPr>
        <w:t xml:space="preserve"> 10% du volume circulant</w:t>
      </w:r>
      <w:r w:rsidRPr="000A4A0F">
        <w:rPr>
          <w:rFonts w:ascii="Times New Roman" w:hAnsi="Times New Roman" w:cs="Times New Roman"/>
          <w:sz w:val="24"/>
          <w:szCs w:val="24"/>
        </w:rPr>
        <w:t>.</w:t>
      </w:r>
      <w:r w:rsidR="001C501A"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{"citationItems":[{"id":"ITEM-1","itemData":{"author":[{"dropping-particle":"","family":"Soulié J.C., Larsen M., Andreu G.","given":"et al.","non-dropping-particle":"","parse-names":false,"suffix":""}],"container-title":"Clinique et Biologique","id":"ITEM-1","issued":{"date-parts":[["1999"]]},"page":"166-173.","title":"Étude rétrospective de l'exsanguinotransfusion du nouveau-né au moyen de sang reconstitué. Bilan de 60 échanges. Transfusion","type":"article-journal","volume":"6, 3:"},"uris":["http://www.mendeley.com/documents/?uuid=e18d4149-526a-4788-94bf-9c867a8dab75","http://www.mendeley.com/documents/?uuid=d64f785f-9e26-4442-9024-df46e728d3ac"]}],"mendeley":{"formattedCitation":"(45)","plainTextFormattedCitation":"(45)","previouslyFormattedCitation":"(46)"},"properties":{"noteIndex":0},"schema":"https://github.com/citation-style-language/schema/raw/master/csl-citation.json"}</w:instrText>
      </w:r>
      <w:r w:rsidR="001C501A"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(45)</w:t>
      </w:r>
      <w:r w:rsidR="001C501A" w:rsidRPr="000A4A0F">
        <w:rPr>
          <w:rFonts w:ascii="Times New Roman" w:hAnsi="Times New Roman" w:cs="Times New Roman"/>
          <w:sz w:val="24"/>
          <w:szCs w:val="24"/>
        </w:rPr>
        <w:fldChar w:fldCharType="end"/>
      </w:r>
    </w:p>
    <w:p w14:paraId="7D33D2F5" w14:textId="77777777" w:rsidR="000A04AC" w:rsidRPr="000A4A0F" w:rsidRDefault="000A04AC" w:rsidP="006612D9">
      <w:pPr>
        <w:shd w:val="clear" w:color="auto" w:fill="FFFFFF"/>
        <w:spacing w:after="0" w:line="360" w:lineRule="auto"/>
        <w:jc w:val="both"/>
        <w:textAlignment w:val="baseline"/>
        <w:rPr>
          <w:rFonts w:ascii="Times New Roman" w:hAnsi="Times New Roman" w:cs="Times New Roman"/>
          <w:sz w:val="24"/>
          <w:szCs w:val="24"/>
        </w:rPr>
      </w:pPr>
    </w:p>
    <w:p w14:paraId="4830F4EB" w14:textId="77777777" w:rsidR="00BA4256" w:rsidRPr="000A4A0F" w:rsidRDefault="00BA4256" w:rsidP="006612D9">
      <w:pPr>
        <w:pStyle w:val="Paragraphedeliste"/>
        <w:numPr>
          <w:ilvl w:val="0"/>
          <w:numId w:val="20"/>
        </w:numPr>
        <w:shd w:val="clear" w:color="auto" w:fill="FFFFFF"/>
        <w:spacing w:after="0" w:line="360" w:lineRule="auto"/>
        <w:jc w:val="both"/>
        <w:textAlignment w:val="baseline"/>
        <w:rPr>
          <w:rFonts w:ascii="Times New Roman" w:hAnsi="Times New Roman" w:cs="Times New Roman"/>
          <w:b/>
          <w:sz w:val="24"/>
          <w:szCs w:val="24"/>
        </w:rPr>
      </w:pPr>
      <w:r w:rsidRPr="000A4A0F">
        <w:rPr>
          <w:rFonts w:ascii="Times New Roman" w:hAnsi="Times New Roman" w:cs="Times New Roman"/>
          <w:b/>
          <w:sz w:val="24"/>
          <w:szCs w:val="24"/>
        </w:rPr>
        <w:t>Devenir de l’ictère néonatal intense</w:t>
      </w:r>
      <w:r w:rsidR="00197A8D" w:rsidRPr="000A4A0F">
        <w:rPr>
          <w:rFonts w:ascii="Times New Roman" w:hAnsi="Times New Roman" w:cs="Times New Roman"/>
          <w:b/>
          <w:sz w:val="24"/>
          <w:szCs w:val="24"/>
        </w:rPr>
        <w:t>.</w:t>
      </w:r>
    </w:p>
    <w:p w14:paraId="7CA4AA49" w14:textId="64E79CCE" w:rsidR="003E0ED3"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Les complications neurologiques les plus invalidantes dans l’ictère nucléaire sont auditives et motrices. Les séquelles auditives sont presque exclusivement une neuropathie auditive. Les séquelles motrices impliquent principalement des anomalies du tonus, qu’on appelle la dystonie. L’hyper-bilirubinémie néonatale sévère est une cause fréquente de perte auditive neurosensorielle (surdité de perception) et </w:t>
      </w:r>
      <w:r w:rsidR="006D0712" w:rsidRPr="000A4A0F">
        <w:rPr>
          <w:rFonts w:ascii="Times New Roman" w:hAnsi="Times New Roman" w:cs="Times New Roman"/>
          <w:sz w:val="24"/>
          <w:szCs w:val="24"/>
        </w:rPr>
        <w:t>d</w:t>
      </w:r>
      <w:r w:rsidR="001C501A" w:rsidRPr="000A4A0F">
        <w:rPr>
          <w:rFonts w:ascii="Times New Roman" w:hAnsi="Times New Roman" w:cs="Times New Roman"/>
          <w:sz w:val="24"/>
          <w:szCs w:val="24"/>
        </w:rPr>
        <w:t>e neuropathie auditive (NA)</w:t>
      </w:r>
      <w:r w:rsidRPr="000A4A0F">
        <w:rPr>
          <w:rFonts w:ascii="Times New Roman" w:hAnsi="Times New Roman" w:cs="Times New Roman"/>
          <w:sz w:val="24"/>
          <w:szCs w:val="24"/>
        </w:rPr>
        <w:t>.</w:t>
      </w:r>
      <w:r w:rsidR="001C501A"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{"citationItems":[{"id":"ITEM-1","itemData":{"author":[{"dropping-particle":"","family":"J. Busa, J. Harrison","given":"J. Chappell et al.","non-dropping-particle":"","parse-names":false,"suffix":""}],"container-title":"Pediatrics,","id":"ITEM-1","issued":{"date-parts":[["2007"]]},"page":"898–921","title":"Year 2007 position statement: principles and guidelines for early hearing detection and intervention programs","type":"article-journal","volume":"vol. 120, "},"uris":["http://www.mendeley.com/documents/?uuid=bbbce55c-dfbe-4ed3-8014-d1e890f1162a","http://www.mendeley.com/documents/?uuid=1e9a14c8-169e-4633-957a-754ed8d6d867"]}],"mendeley":{"formattedCitation":"(49)","plainTextFormattedCitation":"(49)","previouslyFormattedCitation":"(50)"},"properties":{"noteIndex":0},"schema":"https://github.com/citation-style-language/schema/raw/master/csl-citation.json"}</w:instrText>
      </w:r>
      <w:r w:rsidR="001C501A"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(49)</w:t>
      </w:r>
      <w:r w:rsidR="001C501A"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w:t>
      </w:r>
    </w:p>
    <w:p w14:paraId="5425B245" w14:textId="3112CB5C" w:rsidR="00C227E9"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Si l’hyper-bilirubinémie néonatale n’est pas contrôlée, elle peut conduire à l’encéphalopathie </w:t>
      </w:r>
      <w:proofErr w:type="spellStart"/>
      <w:r w:rsidRPr="000A4A0F">
        <w:rPr>
          <w:rFonts w:ascii="Times New Roman" w:hAnsi="Times New Roman" w:cs="Times New Roman"/>
          <w:sz w:val="24"/>
          <w:szCs w:val="24"/>
        </w:rPr>
        <w:t>bilirubinique</w:t>
      </w:r>
      <w:proofErr w:type="spellEnd"/>
      <w:r w:rsidRPr="000A4A0F">
        <w:rPr>
          <w:rFonts w:ascii="Times New Roman" w:hAnsi="Times New Roman" w:cs="Times New Roman"/>
          <w:sz w:val="24"/>
          <w:szCs w:val="24"/>
        </w:rPr>
        <w:t>, ou à la mort néonatale. En outre, les nourrissons qui échappent à la mort néonatale sont à risque élevé de séquelles neurologiques, qui peuvent se manifester par la paralysie cérébrale, l'épilepsie, la surdité de perception,</w:t>
      </w:r>
      <w:r w:rsidR="001C501A" w:rsidRPr="000A4A0F">
        <w:rPr>
          <w:rFonts w:ascii="Times New Roman" w:hAnsi="Times New Roman" w:cs="Times New Roman"/>
          <w:sz w:val="24"/>
          <w:szCs w:val="24"/>
        </w:rPr>
        <w:t xml:space="preserve"> ou déficits cognitifs</w:t>
      </w:r>
      <w:r w:rsidRPr="000A4A0F">
        <w:rPr>
          <w:rFonts w:ascii="Times New Roman" w:hAnsi="Times New Roman" w:cs="Times New Roman"/>
          <w:sz w:val="24"/>
          <w:szCs w:val="24"/>
        </w:rPr>
        <w:t>.</w:t>
      </w:r>
      <w:r w:rsidR="001C501A"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{"citationItems":[{"id":"ITEM-1","itemData":{"author":[{"dropping-particle":"","family":"Bhutani VK","given":"Johnson L","non-dropping-particle":"","parse-names":false,"suffix":""}],"container-title":"Registry. J Perinatol.","id":"ITEM-1","issued":{"date-parts":[["2009"]]},"page":"S4–S7","title":"Synopsis report from the pilot USA Kernicterus","type":"article-journal","volume":"29(suppl 1"},"uris":["http://www.mendeley.com/documents/?uuid=872393cd-0629-4d87-a990-2a92bdbcbd29","http://www.mendeley.com/documents/?uuid=b2c5dfb1-7f84-4c47-97e9-e641b0f8b9e6"]}],"mendeley":{"formattedCitation":"(50)","plainTextFormattedCitation":"(50)","previouslyFormattedCitation":"(51)"},"properties":{"noteIndex":0},"schema":"https://github.com/citation-style-language/schema/raw/master/csl-citation.json"}</w:instrText>
      </w:r>
      <w:r w:rsidR="001C501A"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(50)</w:t>
      </w:r>
      <w:r w:rsidR="001C501A"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Il est bien décrit que les nouveau-nés avec hyper-bilirubinémie intense présentant une encéphalopathie </w:t>
      </w:r>
      <w:proofErr w:type="spellStart"/>
      <w:r w:rsidRPr="000A4A0F">
        <w:rPr>
          <w:rFonts w:ascii="Times New Roman" w:hAnsi="Times New Roman" w:cs="Times New Roman"/>
          <w:sz w:val="24"/>
          <w:szCs w:val="24"/>
        </w:rPr>
        <w:t>bilirubinique</w:t>
      </w:r>
      <w:proofErr w:type="spellEnd"/>
      <w:r w:rsidRPr="000A4A0F">
        <w:rPr>
          <w:rFonts w:ascii="Times New Roman" w:hAnsi="Times New Roman" w:cs="Times New Roman"/>
          <w:sz w:val="24"/>
          <w:szCs w:val="24"/>
        </w:rPr>
        <w:t xml:space="preserve"> aiguë dans la période néonatale sont à risque accru de développer des séq</w:t>
      </w:r>
      <w:r w:rsidR="001C501A" w:rsidRPr="000A4A0F">
        <w:rPr>
          <w:rFonts w:ascii="Times New Roman" w:hAnsi="Times New Roman" w:cs="Times New Roman"/>
          <w:sz w:val="24"/>
          <w:szCs w:val="24"/>
        </w:rPr>
        <w:t>uelles neurologiques</w:t>
      </w:r>
      <w:r w:rsidRPr="000A4A0F">
        <w:rPr>
          <w:rFonts w:ascii="Times New Roman" w:hAnsi="Times New Roman" w:cs="Times New Roman"/>
          <w:sz w:val="24"/>
          <w:szCs w:val="24"/>
        </w:rPr>
        <w:t>.</w:t>
      </w:r>
      <w:r w:rsidR="001C501A"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{"citationItems":[{"id":"ITEM-1","itemData":{"author":[{"dropping-particle":"","family":"Powers KM, Miller S","given":"Shapiro SM","non-dropping-particle":"","parse-names":false,"suffix":""}],"container-title":"Annals of Neurology","id":"ITEM-1","issued":{"date-parts":[["2008"]]},"page":"S105","title":"Exposure to excessive hyperbilirubinemia earlier in neurodevelopment is associated with auditory-predominant kernicterus subtype.","type":"article-journal","volume":"64(Suppl.1"},"uris":["http://www.mendeley.com/documents/?uuid=1a7509be-5e1a-4950-9ef3-38d7f9fc728a","http://www.mendeley.com/documents/?uuid=291e37cd-0cdb-4842-b579-797d7e8fb5aa"]}],"mendeley":{"formattedCitation":"(51)","plainTextFormattedCitation":"(51)","previouslyFormattedCitation":"(52)"},"properties":{"noteIndex":0},"schema":"https://github.com/citation-style-language/schema/raw/master/csl-citation.json"}</w:instrText>
      </w:r>
      <w:r w:rsidR="001C501A"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(51)</w:t>
      </w:r>
      <w:r w:rsidR="001C501A"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w:t>
      </w:r>
    </w:p>
    <w:p w14:paraId="670A3076" w14:textId="77777777" w:rsidR="009C20B3" w:rsidRPr="000A4A0F" w:rsidRDefault="009C20B3" w:rsidP="006612D9">
      <w:pPr>
        <w:shd w:val="clear" w:color="auto" w:fill="FFFFFF"/>
        <w:spacing w:after="0" w:line="360" w:lineRule="auto"/>
        <w:jc w:val="both"/>
        <w:textAlignment w:val="baseline"/>
        <w:rPr>
          <w:rFonts w:ascii="Times New Roman" w:hAnsi="Times New Roman" w:cs="Times New Roman"/>
          <w:sz w:val="24"/>
          <w:szCs w:val="24"/>
        </w:rPr>
      </w:pPr>
    </w:p>
    <w:p w14:paraId="4534F5BB" w14:textId="3A5016F8" w:rsidR="00BA4256" w:rsidRPr="00281974" w:rsidRDefault="00BA4256" w:rsidP="006612D9">
      <w:pPr>
        <w:pStyle w:val="Paragraphedeliste"/>
        <w:numPr>
          <w:ilvl w:val="0"/>
          <w:numId w:val="20"/>
        </w:numPr>
        <w:shd w:val="clear" w:color="auto" w:fill="FFFFFF"/>
        <w:spacing w:after="0" w:line="360" w:lineRule="auto"/>
        <w:jc w:val="both"/>
        <w:textAlignment w:val="baseline"/>
        <w:rPr>
          <w:rFonts w:ascii="Times New Roman" w:hAnsi="Times New Roman" w:cs="Times New Roman"/>
          <w:b/>
          <w:sz w:val="24"/>
          <w:szCs w:val="24"/>
          <w:highlight w:val="yellow"/>
        </w:rPr>
      </w:pPr>
      <w:r w:rsidRPr="00281974">
        <w:rPr>
          <w:rFonts w:ascii="Times New Roman" w:hAnsi="Times New Roman" w:cs="Times New Roman"/>
          <w:b/>
          <w:sz w:val="24"/>
          <w:szCs w:val="24"/>
          <w:highlight w:val="yellow"/>
        </w:rPr>
        <w:t>Classification de l’ictère nucl</w:t>
      </w:r>
      <w:r w:rsidR="001C501A" w:rsidRPr="00281974">
        <w:rPr>
          <w:rFonts w:ascii="Times New Roman" w:hAnsi="Times New Roman" w:cs="Times New Roman"/>
          <w:b/>
          <w:sz w:val="24"/>
          <w:szCs w:val="24"/>
          <w:highlight w:val="yellow"/>
        </w:rPr>
        <w:t>éaire selon la localisation</w:t>
      </w:r>
      <w:r w:rsidR="00C07E42" w:rsidRPr="00281974">
        <w:rPr>
          <w:rFonts w:ascii="Times New Roman" w:hAnsi="Times New Roman" w:cs="Times New Roman"/>
          <w:b/>
          <w:sz w:val="24"/>
          <w:szCs w:val="24"/>
          <w:highlight w:val="yellow"/>
        </w:rPr>
        <w:t>.</w:t>
      </w:r>
      <w:commentRangeStart w:id="41"/>
      <w:r w:rsidR="001C501A" w:rsidRPr="00281974">
        <w:rPr>
          <w:rFonts w:ascii="Times New Roman" w:hAnsi="Times New Roman" w:cs="Times New Roman"/>
          <w:b/>
          <w:sz w:val="24"/>
          <w:szCs w:val="24"/>
          <w:highlight w:val="yellow"/>
        </w:rPr>
        <w:fldChar w:fldCharType="begin" w:fldLock="1"/>
      </w:r>
      <w:r w:rsidR="004F4A84" w:rsidRPr="00281974">
        <w:rPr>
          <w:rFonts w:ascii="Times New Roman" w:hAnsi="Times New Roman" w:cs="Times New Roman"/>
          <w:b/>
          <w:sz w:val="24"/>
          <w:szCs w:val="24"/>
          <w:highlight w:val="yellow"/>
        </w:rPr>
        <w:instrText>ADDIN CSL_CITATION {"citationItems":[{"id":"ITEM-1","itemData":{"author":[{"dropping-particle":"","family":"Senterre T., Minon J.M.","given":"and Rigo J","non-dropping-particle":"","parse-names":false,"suffix":""}],"container-title":"Archives de Pédiatrie,","id":"ITEM-1","issue":"3","issued":{"date-parts":[["2009"]]},"page":"279-282","title":"L'allo-immunisation foeto-maternelle ABO peut être sévère.","type":"article-journal","volume":"18"},"uris":["http://www.mendeley.com/documents/?uuid=aa61ac2b-9c40-4b33-8ce2-cd020e8f1d02","http://www.mendeley.com/documents/?uuid=24dfa37e-37c1-4867-8c5f-17e59852caa0"]}],"mendeley":{"formattedCitation":"(23)","plainTextFormattedCitation":"(23)","previouslyFormattedCitation":"(24)"},"properties":{"noteIndex":0},"schema":"https://github.com/citation-style-language/schema/raw/master/csl-citation.json"}</w:instrText>
      </w:r>
      <w:r w:rsidR="001C501A" w:rsidRPr="00281974">
        <w:rPr>
          <w:rFonts w:ascii="Times New Roman" w:hAnsi="Times New Roman" w:cs="Times New Roman"/>
          <w:b/>
          <w:sz w:val="24"/>
          <w:szCs w:val="24"/>
          <w:highlight w:val="yellow"/>
        </w:rPr>
        <w:fldChar w:fldCharType="separate"/>
      </w:r>
      <w:r w:rsidR="004F4A84" w:rsidRPr="00281974">
        <w:rPr>
          <w:rFonts w:ascii="Times New Roman" w:hAnsi="Times New Roman" w:cs="Times New Roman"/>
          <w:noProof/>
          <w:sz w:val="24"/>
          <w:szCs w:val="24"/>
          <w:highlight w:val="yellow"/>
        </w:rPr>
        <w:t>(23)</w:t>
      </w:r>
      <w:r w:rsidR="001C501A" w:rsidRPr="00281974">
        <w:rPr>
          <w:rFonts w:ascii="Times New Roman" w:hAnsi="Times New Roman" w:cs="Times New Roman"/>
          <w:b/>
          <w:sz w:val="24"/>
          <w:szCs w:val="24"/>
          <w:highlight w:val="yellow"/>
        </w:rPr>
        <w:fldChar w:fldCharType="end"/>
      </w:r>
      <w:commentRangeEnd w:id="41"/>
      <w:r w:rsidR="00281974">
        <w:rPr>
          <w:rStyle w:val="Marquedecommentaire"/>
        </w:rPr>
        <w:commentReference w:id="41"/>
      </w:r>
    </w:p>
    <w:p w14:paraId="4381C9E3" w14:textId="77777777" w:rsidR="00BA4256"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S.M. Shapiro avait proposé une classification des séquelles de l’encéphalopathie </w:t>
      </w:r>
      <w:proofErr w:type="spellStart"/>
      <w:r w:rsidRPr="000A4A0F">
        <w:rPr>
          <w:rFonts w:ascii="Times New Roman" w:hAnsi="Times New Roman" w:cs="Times New Roman"/>
          <w:sz w:val="24"/>
          <w:szCs w:val="24"/>
        </w:rPr>
        <w:t>bilirubinique</w:t>
      </w:r>
      <w:proofErr w:type="spellEnd"/>
      <w:r w:rsidRPr="000A4A0F">
        <w:rPr>
          <w:rFonts w:ascii="Times New Roman" w:hAnsi="Times New Roman" w:cs="Times New Roman"/>
          <w:sz w:val="24"/>
          <w:szCs w:val="24"/>
        </w:rPr>
        <w:t xml:space="preserve"> aigue en fonction de la localisation de l’atteinte ainsi que son intensité.</w:t>
      </w:r>
    </w:p>
    <w:p w14:paraId="652AEAB8" w14:textId="77777777" w:rsidR="00C227E9" w:rsidRPr="000A4A0F" w:rsidRDefault="00C227E9" w:rsidP="006612D9">
      <w:pPr>
        <w:shd w:val="clear" w:color="auto" w:fill="FFFFFF"/>
        <w:spacing w:after="0" w:line="360" w:lineRule="auto"/>
        <w:jc w:val="both"/>
        <w:textAlignment w:val="baseline"/>
        <w:rPr>
          <w:rFonts w:ascii="Times New Roman" w:hAnsi="Times New Roman" w:cs="Times New Roman"/>
          <w:sz w:val="24"/>
          <w:szCs w:val="24"/>
        </w:rPr>
      </w:pPr>
    </w:p>
    <w:p w14:paraId="3A7B8C35" w14:textId="77777777" w:rsidR="00BA4256" w:rsidRPr="000A4A0F" w:rsidRDefault="00BA4256" w:rsidP="006612D9">
      <w:pPr>
        <w:pStyle w:val="Paragraphedeliste"/>
        <w:numPr>
          <w:ilvl w:val="0"/>
          <w:numId w:val="21"/>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Ictère nucléaire classique :</w:t>
      </w:r>
    </w:p>
    <w:p w14:paraId="30BE8E4B" w14:textId="77777777" w:rsidR="00C227E9" w:rsidRPr="000A4A0F" w:rsidRDefault="00C227E9" w:rsidP="006612D9">
      <w:pPr>
        <w:pStyle w:val="Paragraphedeliste"/>
        <w:shd w:val="clear" w:color="auto" w:fill="FFFFFF"/>
        <w:spacing w:after="0" w:line="360" w:lineRule="auto"/>
        <w:jc w:val="both"/>
        <w:textAlignment w:val="baseline"/>
        <w:rPr>
          <w:rFonts w:ascii="Times New Roman" w:hAnsi="Times New Roman" w:cs="Times New Roman"/>
          <w:sz w:val="24"/>
          <w:szCs w:val="24"/>
        </w:rPr>
      </w:pPr>
    </w:p>
    <w:p w14:paraId="1965A033" w14:textId="77777777" w:rsidR="00BA4256"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L’ictère nucléaire classique se réfère à des personnes ayant la triade classique ou tétrade composée de : la neuropathie auditive (la surdité ou la perte d'audition), les symptômes moteurs (la dystonie ou athétose), les parésies oculomotrices, et la dysplasie de l'émail dentaire.</w:t>
      </w:r>
    </w:p>
    <w:p w14:paraId="6ABF8CE8" w14:textId="77777777" w:rsidR="00C227E9" w:rsidRPr="000A4A0F" w:rsidRDefault="00C227E9" w:rsidP="006612D9">
      <w:pPr>
        <w:shd w:val="clear" w:color="auto" w:fill="FFFFFF"/>
        <w:spacing w:after="0" w:line="360" w:lineRule="auto"/>
        <w:jc w:val="both"/>
        <w:textAlignment w:val="baseline"/>
        <w:rPr>
          <w:rFonts w:ascii="Times New Roman" w:hAnsi="Times New Roman" w:cs="Times New Roman"/>
          <w:sz w:val="24"/>
          <w:szCs w:val="24"/>
        </w:rPr>
      </w:pPr>
    </w:p>
    <w:p w14:paraId="518D8BF4" w14:textId="77777777" w:rsidR="00BA4256" w:rsidRPr="000A4A0F" w:rsidRDefault="00BA4256" w:rsidP="006612D9">
      <w:pPr>
        <w:pStyle w:val="Paragraphedeliste"/>
        <w:numPr>
          <w:ilvl w:val="0"/>
          <w:numId w:val="21"/>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Ictère nucléaire avec prédominance motrice</w:t>
      </w:r>
    </w:p>
    <w:p w14:paraId="3E3EEA28" w14:textId="77777777" w:rsidR="00C227E9" w:rsidRPr="000A4A0F" w:rsidRDefault="00C227E9" w:rsidP="006612D9">
      <w:pPr>
        <w:pStyle w:val="Paragraphedeliste"/>
        <w:shd w:val="clear" w:color="auto" w:fill="FFFFFF"/>
        <w:spacing w:after="0" w:line="360" w:lineRule="auto"/>
        <w:jc w:val="both"/>
        <w:textAlignment w:val="baseline"/>
        <w:rPr>
          <w:rFonts w:ascii="Times New Roman" w:hAnsi="Times New Roman" w:cs="Times New Roman"/>
          <w:sz w:val="24"/>
          <w:szCs w:val="24"/>
        </w:rPr>
      </w:pPr>
    </w:p>
    <w:p w14:paraId="0EA9C432" w14:textId="77777777" w:rsidR="00BA4256"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lastRenderedPageBreak/>
        <w:t xml:space="preserve">Il s’agit de personnes ayant principalement des symptômes moteurs avec des symptômes auditifs minimes. Les séquelles motrices comme la dystonie peuvent être liée à des lésions sélectives dans le </w:t>
      </w:r>
      <w:proofErr w:type="spellStart"/>
      <w:r w:rsidRPr="000A4A0F">
        <w:rPr>
          <w:rFonts w:ascii="Times New Roman" w:hAnsi="Times New Roman" w:cs="Times New Roman"/>
          <w:sz w:val="24"/>
          <w:szCs w:val="24"/>
        </w:rPr>
        <w:t>globulus</w:t>
      </w:r>
      <w:proofErr w:type="spellEnd"/>
      <w:r w:rsidRPr="000A4A0F">
        <w:rPr>
          <w:rFonts w:ascii="Times New Roman" w:hAnsi="Times New Roman" w:cs="Times New Roman"/>
          <w:sz w:val="24"/>
          <w:szCs w:val="24"/>
        </w:rPr>
        <w:t xml:space="preserve"> pallidus externe (GPE), le </w:t>
      </w:r>
      <w:proofErr w:type="spellStart"/>
      <w:r w:rsidRPr="000A4A0F">
        <w:rPr>
          <w:rFonts w:ascii="Times New Roman" w:hAnsi="Times New Roman" w:cs="Times New Roman"/>
          <w:sz w:val="24"/>
          <w:szCs w:val="24"/>
        </w:rPr>
        <w:t>globulus</w:t>
      </w:r>
      <w:proofErr w:type="spellEnd"/>
      <w:r w:rsidRPr="000A4A0F">
        <w:rPr>
          <w:rFonts w:ascii="Times New Roman" w:hAnsi="Times New Roman" w:cs="Times New Roman"/>
          <w:sz w:val="24"/>
          <w:szCs w:val="24"/>
        </w:rPr>
        <w:t xml:space="preserve"> pallidus interne(GPI) et le noyau sous thalamique (STN) .Toutefois, une coordination anormale et une hypotonie peuvent être liées à des lésions </w:t>
      </w:r>
      <w:proofErr w:type="spellStart"/>
      <w:r w:rsidRPr="000A4A0F">
        <w:rPr>
          <w:rFonts w:ascii="Times New Roman" w:hAnsi="Times New Roman" w:cs="Times New Roman"/>
          <w:sz w:val="24"/>
          <w:szCs w:val="24"/>
        </w:rPr>
        <w:t>neuropathologiques</w:t>
      </w:r>
      <w:proofErr w:type="spellEnd"/>
      <w:r w:rsidRPr="000A4A0F">
        <w:rPr>
          <w:rFonts w:ascii="Times New Roman" w:hAnsi="Times New Roman" w:cs="Times New Roman"/>
          <w:sz w:val="24"/>
          <w:szCs w:val="24"/>
        </w:rPr>
        <w:t xml:space="preserve"> sélectives dans le cervelet, en particulier dans la couche des cellules de Purkinje du cervelet, qui sont trop petites pour être vues à l'IRM. De même, les lésions des noyaux du tronc cérébral sont trop petites pour être vu sur l'IRM classique.</w:t>
      </w:r>
    </w:p>
    <w:p w14:paraId="21D86677" w14:textId="77777777" w:rsidR="00C227E9" w:rsidRPr="000A4A0F" w:rsidRDefault="00C227E9" w:rsidP="006612D9">
      <w:pPr>
        <w:shd w:val="clear" w:color="auto" w:fill="FFFFFF"/>
        <w:spacing w:after="0" w:line="360" w:lineRule="auto"/>
        <w:jc w:val="both"/>
        <w:textAlignment w:val="baseline"/>
        <w:rPr>
          <w:rFonts w:ascii="Times New Roman" w:hAnsi="Times New Roman" w:cs="Times New Roman"/>
          <w:sz w:val="24"/>
          <w:szCs w:val="24"/>
        </w:rPr>
      </w:pPr>
    </w:p>
    <w:p w14:paraId="05DFB4D5" w14:textId="77777777" w:rsidR="00BA4256" w:rsidRPr="000A4A0F" w:rsidRDefault="00BA4256" w:rsidP="006612D9">
      <w:pPr>
        <w:pStyle w:val="Paragraphedeliste"/>
        <w:numPr>
          <w:ilvl w:val="0"/>
          <w:numId w:val="20"/>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Ictère nucléaire avec prédominance des séquelles auditives</w:t>
      </w:r>
    </w:p>
    <w:p w14:paraId="7228FB6F" w14:textId="77777777" w:rsidR="00C227E9" w:rsidRPr="000A4A0F" w:rsidRDefault="00C227E9" w:rsidP="006612D9">
      <w:pPr>
        <w:pStyle w:val="Paragraphedeliste"/>
        <w:shd w:val="clear" w:color="auto" w:fill="FFFFFF"/>
        <w:spacing w:after="0" w:line="360" w:lineRule="auto"/>
        <w:jc w:val="both"/>
        <w:textAlignment w:val="baseline"/>
        <w:rPr>
          <w:rFonts w:ascii="Times New Roman" w:hAnsi="Times New Roman" w:cs="Times New Roman"/>
          <w:sz w:val="24"/>
          <w:szCs w:val="24"/>
        </w:rPr>
      </w:pPr>
    </w:p>
    <w:p w14:paraId="2942CA09" w14:textId="77777777" w:rsidR="00BA4256"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Il s’agit de personnes avec des symptômes principalement auditifs, soit une perte auditive ou surdité avec symptômes moteurs relativement minimes. Pratiquement tous les patients vus par l'auteur avec une neuropathie auditive secondaire à l'hyper-bilirubinémie néonatale ont eu des anomalies de tonus ou de mouvement, bien que la constatation soit parfois diffi</w:t>
      </w:r>
      <w:r w:rsidR="00502385" w:rsidRPr="000A4A0F">
        <w:rPr>
          <w:rFonts w:ascii="Times New Roman" w:hAnsi="Times New Roman" w:cs="Times New Roman"/>
          <w:sz w:val="24"/>
          <w:szCs w:val="24"/>
        </w:rPr>
        <w:t>cile.</w:t>
      </w:r>
    </w:p>
    <w:p w14:paraId="024D86BA" w14:textId="77777777" w:rsidR="007E332C" w:rsidRPr="000A4A0F" w:rsidRDefault="007E332C" w:rsidP="006612D9">
      <w:pPr>
        <w:shd w:val="clear" w:color="auto" w:fill="FFFFFF"/>
        <w:spacing w:after="0" w:line="360" w:lineRule="auto"/>
        <w:jc w:val="both"/>
        <w:textAlignment w:val="baseline"/>
        <w:rPr>
          <w:rFonts w:ascii="Times New Roman" w:hAnsi="Times New Roman" w:cs="Times New Roman"/>
          <w:sz w:val="24"/>
          <w:szCs w:val="24"/>
        </w:rPr>
      </w:pPr>
    </w:p>
    <w:p w14:paraId="73363DAC" w14:textId="77777777" w:rsidR="00AA539E" w:rsidRPr="000A4A0F" w:rsidRDefault="00BA4256" w:rsidP="006612D9">
      <w:pPr>
        <w:pStyle w:val="Paragraphedeliste"/>
        <w:numPr>
          <w:ilvl w:val="0"/>
          <w:numId w:val="20"/>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Dysfonctionnement neurologique subtile induit par la bilirubine</w:t>
      </w:r>
      <w:proofErr w:type="gramStart"/>
      <w:r w:rsidRPr="000A4A0F">
        <w:rPr>
          <w:rFonts w:ascii="Times New Roman" w:hAnsi="Times New Roman" w:cs="Times New Roman"/>
          <w:sz w:val="24"/>
          <w:szCs w:val="24"/>
        </w:rPr>
        <w:t xml:space="preserve"> :</w:t>
      </w:r>
      <w:proofErr w:type="spellStart"/>
      <w:r w:rsidR="00AA539E" w:rsidRPr="000A4A0F">
        <w:rPr>
          <w:rFonts w:ascii="Times New Roman" w:hAnsi="Times New Roman" w:cs="Times New Roman"/>
          <w:sz w:val="24"/>
          <w:szCs w:val="24"/>
        </w:rPr>
        <w:t>B</w:t>
      </w:r>
      <w:r w:rsidRPr="000A4A0F">
        <w:rPr>
          <w:rFonts w:ascii="Times New Roman" w:hAnsi="Times New Roman" w:cs="Times New Roman"/>
          <w:sz w:val="24"/>
          <w:szCs w:val="24"/>
        </w:rPr>
        <w:t>ilirubin</w:t>
      </w:r>
      <w:proofErr w:type="spellEnd"/>
      <w:proofErr w:type="gramEnd"/>
      <w:r w:rsidRPr="000A4A0F">
        <w:rPr>
          <w:rFonts w:ascii="Times New Roman" w:hAnsi="Times New Roman" w:cs="Times New Roman"/>
          <w:sz w:val="24"/>
          <w:szCs w:val="24"/>
        </w:rPr>
        <w:t xml:space="preserve"> </w:t>
      </w:r>
      <w:proofErr w:type="spellStart"/>
      <w:r w:rsidRPr="000A4A0F">
        <w:rPr>
          <w:rFonts w:ascii="Times New Roman" w:hAnsi="Times New Roman" w:cs="Times New Roman"/>
          <w:sz w:val="24"/>
          <w:szCs w:val="24"/>
        </w:rPr>
        <w:t>induced</w:t>
      </w:r>
      <w:proofErr w:type="spellEnd"/>
      <w:r w:rsidRPr="000A4A0F">
        <w:rPr>
          <w:rFonts w:ascii="Times New Roman" w:hAnsi="Times New Roman" w:cs="Times New Roman"/>
          <w:sz w:val="24"/>
          <w:szCs w:val="24"/>
        </w:rPr>
        <w:t xml:space="preserve"> </w:t>
      </w:r>
      <w:proofErr w:type="spellStart"/>
      <w:r w:rsidRPr="000A4A0F">
        <w:rPr>
          <w:rFonts w:ascii="Times New Roman" w:hAnsi="Times New Roman" w:cs="Times New Roman"/>
          <w:sz w:val="24"/>
          <w:szCs w:val="24"/>
        </w:rPr>
        <w:t>neurological</w:t>
      </w:r>
      <w:proofErr w:type="spellEnd"/>
      <w:r w:rsidRPr="000A4A0F">
        <w:rPr>
          <w:rFonts w:ascii="Times New Roman" w:hAnsi="Times New Roman" w:cs="Times New Roman"/>
          <w:sz w:val="24"/>
          <w:szCs w:val="24"/>
        </w:rPr>
        <w:t xml:space="preserve"> damage (BIND) </w:t>
      </w:r>
      <w:r w:rsidR="00AA539E" w:rsidRPr="000A4A0F">
        <w:rPr>
          <w:rFonts w:ascii="Times New Roman" w:hAnsi="Times New Roman" w:cs="Times New Roman"/>
          <w:sz w:val="24"/>
          <w:szCs w:val="24"/>
        </w:rPr>
        <w:t>.</w:t>
      </w:r>
    </w:p>
    <w:p w14:paraId="02E8E0DB" w14:textId="77777777" w:rsidR="00BA4256"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Cette entité se réfère à des anomalies du développement neurologique sans résultats classiques de l'ictère nucléaire qui, après une évaluation minutieuse, semblent être en raison de la neurotoxicité la bilirubine. Ceux-ci peuvent inclure des troubles de l'intégration sensorielle et </w:t>
      </w:r>
      <w:proofErr w:type="spellStart"/>
      <w:r w:rsidRPr="000A4A0F">
        <w:rPr>
          <w:rFonts w:ascii="Times New Roman" w:hAnsi="Times New Roman" w:cs="Times New Roman"/>
          <w:sz w:val="24"/>
          <w:szCs w:val="24"/>
        </w:rPr>
        <w:t>sensorio-motrice</w:t>
      </w:r>
      <w:proofErr w:type="spellEnd"/>
      <w:r w:rsidRPr="000A4A0F">
        <w:rPr>
          <w:rFonts w:ascii="Times New Roman" w:hAnsi="Times New Roman" w:cs="Times New Roman"/>
          <w:sz w:val="24"/>
          <w:szCs w:val="24"/>
        </w:rPr>
        <w:t>, de l’audition centrale, de la coordination et du tonus musculaire.</w:t>
      </w:r>
    </w:p>
    <w:p w14:paraId="3B06F538" w14:textId="77777777" w:rsidR="00C87F47" w:rsidRPr="000A4A0F" w:rsidRDefault="00C87F47" w:rsidP="006612D9">
      <w:pPr>
        <w:shd w:val="clear" w:color="auto" w:fill="FFFFFF"/>
        <w:spacing w:after="0" w:line="360" w:lineRule="auto"/>
        <w:jc w:val="both"/>
        <w:textAlignment w:val="baseline"/>
        <w:rPr>
          <w:rFonts w:ascii="Times New Roman" w:hAnsi="Times New Roman" w:cs="Times New Roman"/>
          <w:sz w:val="24"/>
          <w:szCs w:val="24"/>
        </w:rPr>
      </w:pPr>
    </w:p>
    <w:p w14:paraId="14FA4003" w14:textId="5BC30146" w:rsidR="00BA4256" w:rsidRPr="000A4A0F" w:rsidRDefault="00BA4256" w:rsidP="006612D9">
      <w:pPr>
        <w:pStyle w:val="Paragraphedeliste"/>
        <w:numPr>
          <w:ilvl w:val="0"/>
          <w:numId w:val="20"/>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Classification des séquelles en </w:t>
      </w:r>
      <w:r w:rsidR="001C501A" w:rsidRPr="000A4A0F">
        <w:rPr>
          <w:rFonts w:ascii="Times New Roman" w:hAnsi="Times New Roman" w:cs="Times New Roman"/>
          <w:sz w:val="24"/>
          <w:szCs w:val="24"/>
        </w:rPr>
        <w:t>fonction de leurs sévérités</w:t>
      </w:r>
      <w:r w:rsidR="001C501A"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{"citationItems":[{"id":"ITEM-1","itemData":{"author":[{"dropping-particle":"","family":"Senterre T., Minon J.M.","given":"and Rigo J","non-dropping-particle":"","parse-names":false,"suffix":""}],"container-title":"Archives de Pédiatrie,","id":"ITEM-1","issue":"3","issued":{"date-parts":[["2009"]]},"page":"279-282","title":"L'allo-immunisation foeto-maternelle ABO peut être sévère.","type":"article-journal","volume":"18"},"uris":["http://www.mendeley.com/documents/?uuid=aa61ac2b-9c40-4b33-8ce2-cd020e8f1d02","http://www.mendeley.com/documents/?uuid=24dfa37e-37c1-4867-8c5f-17e59852caa0"]}],"mendeley":{"formattedCitation":"(23)","plainTextFormattedCitation":"(23)","previouslyFormattedCitation":"(24)"},"properties":{"noteIndex":0},"schema":"https://github.com/citation-style-language/schema/raw/master/csl-citation.json"}</w:instrText>
      </w:r>
      <w:r w:rsidR="001C501A"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(23)</w:t>
      </w:r>
      <w:r w:rsidR="001C501A" w:rsidRPr="000A4A0F">
        <w:rPr>
          <w:rFonts w:ascii="Times New Roman" w:hAnsi="Times New Roman" w:cs="Times New Roman"/>
          <w:sz w:val="24"/>
          <w:szCs w:val="24"/>
        </w:rPr>
        <w:fldChar w:fldCharType="end"/>
      </w:r>
    </w:p>
    <w:p w14:paraId="5F767553" w14:textId="77777777" w:rsidR="00297144" w:rsidRPr="000A4A0F" w:rsidRDefault="00297144" w:rsidP="006612D9">
      <w:pPr>
        <w:pStyle w:val="Paragraphedeliste"/>
        <w:shd w:val="clear" w:color="auto" w:fill="FFFFFF"/>
        <w:spacing w:after="0" w:line="360" w:lineRule="auto"/>
        <w:jc w:val="both"/>
        <w:textAlignment w:val="baseline"/>
        <w:rPr>
          <w:rFonts w:ascii="Times New Roman" w:hAnsi="Times New Roman" w:cs="Times New Roman"/>
          <w:sz w:val="24"/>
          <w:szCs w:val="24"/>
        </w:rPr>
      </w:pPr>
    </w:p>
    <w:p w14:paraId="5E7FE0DE" w14:textId="77777777" w:rsidR="00C87F47"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La gravité de l'ictère nucléaire varie largement de légère à sévère chez les enfants et les adultes.</w:t>
      </w:r>
    </w:p>
    <w:p w14:paraId="6AE29E2E" w14:textId="77777777" w:rsidR="00C87F47"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Les individus touchés légèrement n’ont pas d’handicap, mais peuvent avoir d'importants problèmes d’apprentissage, des troubles de mouvement en particulier dans des conditions stressantes, et des cram</w:t>
      </w:r>
      <w:r w:rsidR="00C87F47" w:rsidRPr="000A4A0F">
        <w:rPr>
          <w:rFonts w:ascii="Times New Roman" w:hAnsi="Times New Roman" w:cs="Times New Roman"/>
          <w:sz w:val="24"/>
          <w:szCs w:val="24"/>
        </w:rPr>
        <w:t>pes musculaires occasionnelles.</w:t>
      </w:r>
    </w:p>
    <w:p w14:paraId="12DB3C61" w14:textId="77777777" w:rsidR="00C87F47"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Les personnes touchées modérément ont une dystonie plus important, peut-être avec des mouvements </w:t>
      </w:r>
      <w:proofErr w:type="spellStart"/>
      <w:r w:rsidRPr="000A4A0F">
        <w:rPr>
          <w:rFonts w:ascii="Times New Roman" w:hAnsi="Times New Roman" w:cs="Times New Roman"/>
          <w:sz w:val="24"/>
          <w:szCs w:val="24"/>
        </w:rPr>
        <w:t>athétoïdes</w:t>
      </w:r>
      <w:proofErr w:type="spellEnd"/>
      <w:r w:rsidRPr="000A4A0F">
        <w:rPr>
          <w:rFonts w:ascii="Times New Roman" w:hAnsi="Times New Roman" w:cs="Times New Roman"/>
          <w:sz w:val="24"/>
          <w:szCs w:val="24"/>
        </w:rPr>
        <w:t>, mais éventuellement sont en mesure de parler avec assez de clarté, se nourrir, et de marcher sans aide mais maladroitem</w:t>
      </w:r>
      <w:r w:rsidR="00C87F47" w:rsidRPr="000A4A0F">
        <w:rPr>
          <w:rFonts w:ascii="Times New Roman" w:hAnsi="Times New Roman" w:cs="Times New Roman"/>
          <w:sz w:val="24"/>
          <w:szCs w:val="24"/>
        </w:rPr>
        <w:t>ent et avec mauvaise stabilité.</w:t>
      </w:r>
    </w:p>
    <w:p w14:paraId="7FA81DD7" w14:textId="77777777" w:rsidR="00C87F47"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Les personnes gravement touchées ont une dystonie plus invalidante, soit ne peuvent marcher qu'avec aide, ou pour des périodes limitées avec grande difficulté. Leur discours est dysarthrique et difficilement compréh</w:t>
      </w:r>
      <w:r w:rsidR="00C87F47" w:rsidRPr="000A4A0F">
        <w:rPr>
          <w:rFonts w:ascii="Times New Roman" w:hAnsi="Times New Roman" w:cs="Times New Roman"/>
          <w:sz w:val="24"/>
          <w:szCs w:val="24"/>
        </w:rPr>
        <w:t>ensible.</w:t>
      </w:r>
    </w:p>
    <w:p w14:paraId="6F8DC1AE" w14:textId="77777777" w:rsidR="00BA4256"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lastRenderedPageBreak/>
        <w:t xml:space="preserve">Les personnes profondément touchées sont toujours en fauteuil roulant, ne parlent pas ou ne parlent que très difficilement. Ils ont une dysfonction auditive ou une surdité sévère, et ont une dystonie souvent avec des crampes musculaires douloureuses fréquentes ou constantes. La gravité de </w:t>
      </w:r>
      <w:proofErr w:type="spellStart"/>
      <w:r w:rsidR="00B5495F" w:rsidRPr="000A4A0F">
        <w:rPr>
          <w:rFonts w:ascii="Times New Roman" w:hAnsi="Times New Roman" w:cs="Times New Roman"/>
          <w:sz w:val="24"/>
          <w:szCs w:val="24"/>
        </w:rPr>
        <w:t>l’handicape</w:t>
      </w:r>
      <w:proofErr w:type="spellEnd"/>
      <w:r w:rsidRPr="000A4A0F">
        <w:rPr>
          <w:rFonts w:ascii="Times New Roman" w:hAnsi="Times New Roman" w:cs="Times New Roman"/>
          <w:sz w:val="24"/>
          <w:szCs w:val="24"/>
        </w:rPr>
        <w:t xml:space="preserve"> peut peu changer avec l'âge et la maturation, m</w:t>
      </w:r>
      <w:r w:rsidR="00502385" w:rsidRPr="000A4A0F">
        <w:rPr>
          <w:rFonts w:ascii="Times New Roman" w:hAnsi="Times New Roman" w:cs="Times New Roman"/>
          <w:sz w:val="24"/>
          <w:szCs w:val="24"/>
        </w:rPr>
        <w:t>ais pas de façon spectaculaire.</w:t>
      </w:r>
    </w:p>
    <w:p w14:paraId="2C4C24BA" w14:textId="77777777" w:rsidR="00C87F47"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La sévérité des symptômes auditifs varie de problèmes de perception auditive légère à la surdité profonde, et peut corréler ou pas avec la sévér</w:t>
      </w:r>
      <w:r w:rsidR="00C87F47" w:rsidRPr="000A4A0F">
        <w:rPr>
          <w:rFonts w:ascii="Times New Roman" w:hAnsi="Times New Roman" w:cs="Times New Roman"/>
          <w:sz w:val="24"/>
          <w:szCs w:val="24"/>
        </w:rPr>
        <w:t>ité des symptômes neuromoteurs.</w:t>
      </w:r>
    </w:p>
    <w:p w14:paraId="0029B86F" w14:textId="77777777" w:rsidR="00C87F47"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Des problèmes d’élocution expressive sont généralement secondaires à des anomalies de la fonction au</w:t>
      </w:r>
      <w:r w:rsidR="00C87F47" w:rsidRPr="000A4A0F">
        <w:rPr>
          <w:rFonts w:ascii="Times New Roman" w:hAnsi="Times New Roman" w:cs="Times New Roman"/>
          <w:sz w:val="24"/>
          <w:szCs w:val="24"/>
        </w:rPr>
        <w:t>ditive ou à un handicap moteur.</w:t>
      </w:r>
    </w:p>
    <w:p w14:paraId="5B952B07" w14:textId="77777777" w:rsidR="00C87F47"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Théoriquement, le traitement précoce de neuropathie auditive grave ou de la surdité avec un implant cochléaire et programmes éducatifs peut préserver le langage. </w:t>
      </w:r>
    </w:p>
    <w:p w14:paraId="04A087EF" w14:textId="77777777" w:rsidR="009A24FF" w:rsidRPr="000A4A0F" w:rsidRDefault="009A24FF" w:rsidP="006612D9">
      <w:pPr>
        <w:shd w:val="clear" w:color="auto" w:fill="FFFFFF"/>
        <w:spacing w:after="0" w:line="360" w:lineRule="auto"/>
        <w:jc w:val="both"/>
        <w:textAlignment w:val="baseline"/>
        <w:rPr>
          <w:rFonts w:ascii="Times New Roman" w:hAnsi="Times New Roman" w:cs="Times New Roman"/>
          <w:sz w:val="24"/>
          <w:szCs w:val="24"/>
        </w:rPr>
      </w:pPr>
    </w:p>
    <w:p w14:paraId="1D8B9C44" w14:textId="77777777" w:rsidR="00BA4256" w:rsidRPr="000A4A0F" w:rsidRDefault="00BA4256" w:rsidP="006612D9">
      <w:pPr>
        <w:pStyle w:val="Paragraphedeliste"/>
        <w:numPr>
          <w:ilvl w:val="0"/>
          <w:numId w:val="21"/>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Devenir de l’encéphalopathie </w:t>
      </w:r>
      <w:proofErr w:type="spellStart"/>
      <w:r w:rsidRPr="000A4A0F">
        <w:rPr>
          <w:rFonts w:ascii="Times New Roman" w:hAnsi="Times New Roman" w:cs="Times New Roman"/>
          <w:sz w:val="24"/>
          <w:szCs w:val="24"/>
        </w:rPr>
        <w:t>bilirubinique</w:t>
      </w:r>
      <w:proofErr w:type="spellEnd"/>
      <w:r w:rsidRPr="000A4A0F">
        <w:rPr>
          <w:rFonts w:ascii="Times New Roman" w:hAnsi="Times New Roman" w:cs="Times New Roman"/>
          <w:sz w:val="24"/>
          <w:szCs w:val="24"/>
        </w:rPr>
        <w:t xml:space="preserve"> chronique</w:t>
      </w:r>
    </w:p>
    <w:p w14:paraId="0FF69846" w14:textId="77777777" w:rsidR="00C87F47" w:rsidRPr="000A4A0F" w:rsidRDefault="00C87F47" w:rsidP="006612D9">
      <w:pPr>
        <w:pStyle w:val="Paragraphedeliste"/>
        <w:shd w:val="clear" w:color="auto" w:fill="FFFFFF"/>
        <w:spacing w:after="0" w:line="360" w:lineRule="auto"/>
        <w:jc w:val="both"/>
        <w:textAlignment w:val="baseline"/>
        <w:rPr>
          <w:rFonts w:ascii="Times New Roman" w:hAnsi="Times New Roman" w:cs="Times New Roman"/>
          <w:sz w:val="24"/>
          <w:szCs w:val="24"/>
        </w:rPr>
      </w:pPr>
    </w:p>
    <w:p w14:paraId="023C786B" w14:textId="77777777" w:rsidR="00BA4256" w:rsidRPr="000A4A0F" w:rsidRDefault="00BA4256" w:rsidP="006612D9">
      <w:pPr>
        <w:pStyle w:val="Paragraphedeliste"/>
        <w:numPr>
          <w:ilvl w:val="0"/>
          <w:numId w:val="20"/>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Prévision du devenir de l’ictère nucléaire :</w:t>
      </w:r>
    </w:p>
    <w:p w14:paraId="64E4632E" w14:textId="77777777" w:rsidR="00C87F47" w:rsidRPr="000A4A0F" w:rsidRDefault="00C87F47" w:rsidP="006612D9">
      <w:pPr>
        <w:shd w:val="clear" w:color="auto" w:fill="FFFFFF"/>
        <w:spacing w:after="0" w:line="360" w:lineRule="auto"/>
        <w:jc w:val="both"/>
        <w:textAlignment w:val="baseline"/>
        <w:rPr>
          <w:rFonts w:ascii="Times New Roman" w:hAnsi="Times New Roman" w:cs="Times New Roman"/>
          <w:sz w:val="24"/>
          <w:szCs w:val="24"/>
        </w:rPr>
      </w:pPr>
    </w:p>
    <w:p w14:paraId="28BDD267" w14:textId="298664D4" w:rsidR="00BA4256"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Il n'y a pas de données de littérature qui permettent de dire si l'histoire, l’examen ou les résultats biologiques peuvent prédire la gravité des séquelles. Certes, selon S.M. Shapiro une exposition excessive à une hyper-bilirubinémie sévère avec une encéphalopathie </w:t>
      </w:r>
      <w:proofErr w:type="spellStart"/>
      <w:r w:rsidRPr="000A4A0F">
        <w:rPr>
          <w:rFonts w:ascii="Times New Roman" w:hAnsi="Times New Roman" w:cs="Times New Roman"/>
          <w:sz w:val="24"/>
          <w:szCs w:val="24"/>
        </w:rPr>
        <w:t>bilirubinique</w:t>
      </w:r>
      <w:proofErr w:type="spellEnd"/>
      <w:r w:rsidRPr="000A4A0F">
        <w:rPr>
          <w:rFonts w:ascii="Times New Roman" w:hAnsi="Times New Roman" w:cs="Times New Roman"/>
          <w:sz w:val="24"/>
          <w:szCs w:val="24"/>
        </w:rPr>
        <w:t xml:space="preserve"> aiguë, et des anomalies des PEA et d'IRM, peuvent prédire le devenir des nouveau-n</w:t>
      </w:r>
      <w:r w:rsidR="001C501A" w:rsidRPr="000A4A0F">
        <w:rPr>
          <w:rFonts w:ascii="Times New Roman" w:hAnsi="Times New Roman" w:cs="Times New Roman"/>
          <w:sz w:val="24"/>
          <w:szCs w:val="24"/>
        </w:rPr>
        <w:t>és avec HB néonatale sévère</w:t>
      </w:r>
      <w:r w:rsidRPr="000A4A0F">
        <w:rPr>
          <w:rFonts w:ascii="Times New Roman" w:hAnsi="Times New Roman" w:cs="Times New Roman"/>
          <w:sz w:val="24"/>
          <w:szCs w:val="24"/>
        </w:rPr>
        <w:t>.</w:t>
      </w:r>
      <w:r w:rsidR="001C501A"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{"citationItems":[{"id":"ITEM-1","itemData":{"author":[{"dropping-particle":"","family":"Senterre T., Minon J.M.","given":"and Rigo J","non-dropping-particle":"","parse-names":false,"suffix":""}],"container-title":"Archives de Pédiatrie,","id":"ITEM-1","issue":"3","issued":{"date-parts":[["2009"]]},"page":"279-282","title":"L'allo-immunisation foeto-maternelle ABO peut être sévère.","type":"article-journal","volume":"18"},"uris":["http://www.mendeley.com/documents/?uuid=aa61ac2b-9c40-4b33-8ce2-cd020e8f1d02","http://www.mendeley.com/documents/?uuid=24dfa37e-37c1-4867-8c5f-17e59852caa0"]}],"mendeley":{"formattedCitation":"(23)","plainTextFormattedCitation":"(23)","previouslyFormattedCitation":"(24)"},"properties":{"noteIndex":0},"schema":"https://github.com/citation-style-language/schema/raw/master/csl-citation.json"}</w:instrText>
      </w:r>
      <w:r w:rsidR="001C501A"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(23)</w:t>
      </w:r>
      <w:r w:rsidR="001C501A"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Il existe des preuves préliminaires d'une corrélation de la sévérité de l’hyper-bilirubinémie néonatale et du développement neurologique, ainsi que la sévérité des séquelles de l’HB néon</w:t>
      </w:r>
      <w:r w:rsidR="001C501A" w:rsidRPr="000A4A0F">
        <w:rPr>
          <w:rFonts w:ascii="Times New Roman" w:hAnsi="Times New Roman" w:cs="Times New Roman"/>
          <w:sz w:val="24"/>
          <w:szCs w:val="24"/>
        </w:rPr>
        <w:t>atale à l’âge d’exposition</w:t>
      </w:r>
      <w:r w:rsidRPr="000A4A0F">
        <w:rPr>
          <w:rFonts w:ascii="Times New Roman" w:hAnsi="Times New Roman" w:cs="Times New Roman"/>
          <w:sz w:val="24"/>
          <w:szCs w:val="24"/>
        </w:rPr>
        <w:t>.</w:t>
      </w:r>
      <w:r w:rsidR="001C501A"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{"citationItems":[{"id":"ITEM-1","itemData":{"author":[{"dropping-particle":"","family":"V.K. Bhutani","given":"L. Johnson","non-dropping-particle":"","parse-names":false,"suffix":""}],"container-title":"Semin. Perinatol","id":"ITEM-1","issued":{"date-parts":[["2006"]]},"page":"89–97","title":"Kernicterus in late preterm infants cared for as term healthy infants, Semin. Perinatol","type":"article-journal","volume":"30 (2)"},"uris":["http://www.mendeley.com/documents/?uuid=a352fbcb-968d-43f2-a22b-c8acf661cd34","http://www.mendeley.com/documents/?uuid=ec52625c-8d70-4034-a609-31c6be0255f2"]}],"mendeley":{"formattedCitation":"(52)","plainTextFormattedCitation":"(52)","previouslyFormattedCitation":"(53)"},"properties":{"noteIndex":0},"schema":"https://github.com/citation-style-language/schema/raw/master/csl-citation.json"}</w:instrText>
      </w:r>
      <w:r w:rsidR="001C501A"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(52)</w:t>
      </w:r>
      <w:r w:rsidR="001C501A" w:rsidRPr="000A4A0F">
        <w:rPr>
          <w:rFonts w:ascii="Times New Roman" w:hAnsi="Times New Roman" w:cs="Times New Roman"/>
          <w:sz w:val="24"/>
          <w:szCs w:val="24"/>
        </w:rPr>
        <w:fldChar w:fldCharType="end"/>
      </w:r>
    </w:p>
    <w:p w14:paraId="153D791C" w14:textId="0438333E" w:rsidR="00BA4256"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Shapiro avait remarqué que les enfants qui ont un ictère nucléaire avec prédominance des séquelles auditives, étaient plus prématurés et avaient une BST à des niveaux les plus élevés que ceux avec ictère nucléaire classique, ou ictère nucléaire c</w:t>
      </w:r>
      <w:r w:rsidR="001C501A" w:rsidRPr="000A4A0F">
        <w:rPr>
          <w:rFonts w:ascii="Times New Roman" w:hAnsi="Times New Roman" w:cs="Times New Roman"/>
          <w:sz w:val="24"/>
          <w:szCs w:val="24"/>
        </w:rPr>
        <w:t>lassique et moteur combinés</w:t>
      </w:r>
      <w:r w:rsidRPr="000A4A0F">
        <w:rPr>
          <w:rFonts w:ascii="Times New Roman" w:hAnsi="Times New Roman" w:cs="Times New Roman"/>
          <w:sz w:val="24"/>
          <w:szCs w:val="24"/>
        </w:rPr>
        <w:t>.</w:t>
      </w:r>
      <w:r w:rsidR="001C501A"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{"citationItems":[{"id":"ITEM-1","itemData":{"author":[{"dropping-particle":"","family":"Senterre T., Minon J.M.","given":"and Rigo J","non-dropping-particle":"","parse-names":false,"suffix":""}],"container-title":"Archives de Pédiatrie,","id":"ITEM-1","issue":"3","issued":{"date-parts":[["2009"]]},"page":"279-282","title":"L'allo-immunisation foeto-maternelle ABO peut être sévère.","type":"article-journal","volume":"18"},"uris":["http://www.mendeley.com/documents/?uuid=aa61ac2b-9c40-4b33-8ce2-cd020e8f1d02","http://www.mendeley.com/documents/?uuid=24dfa37e-37c1-4867-8c5f-17e59852caa0"]}],"mendeley":{"formattedCitation":"(23)","plainTextFormattedCitation":"(23)","previouslyFormattedCitation":"(24)"},"properties":{"noteIndex":0},"schema":"https://github.com/citation-style-language/schema/raw/master/csl-citation.json"}</w:instrText>
      </w:r>
      <w:r w:rsidR="001C501A"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(23)</w:t>
      </w:r>
      <w:r w:rsidR="001C501A"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La plu</w:t>
      </w:r>
      <w:r w:rsidR="00C07E42" w:rsidRPr="000A4A0F">
        <w:rPr>
          <w:rFonts w:ascii="Times New Roman" w:hAnsi="Times New Roman" w:cs="Times New Roman"/>
          <w:sz w:val="24"/>
          <w:szCs w:val="24"/>
        </w:rPr>
        <w:t xml:space="preserve">part des cas d'ictère nucléaire </w:t>
      </w:r>
      <w:r w:rsidRPr="000A4A0F">
        <w:rPr>
          <w:rFonts w:ascii="Times New Roman" w:hAnsi="Times New Roman" w:cs="Times New Roman"/>
          <w:sz w:val="24"/>
          <w:szCs w:val="24"/>
        </w:rPr>
        <w:t>avec prédominance auditive étaient à 34SA avec des niveaux de</w:t>
      </w:r>
      <w:r w:rsidR="001C501A" w:rsidRPr="000A4A0F">
        <w:rPr>
          <w:rFonts w:ascii="Times New Roman" w:hAnsi="Times New Roman" w:cs="Times New Roman"/>
          <w:sz w:val="24"/>
          <w:szCs w:val="24"/>
        </w:rPr>
        <w:t xml:space="preserve"> BST de pointe de 240 mg /l</w:t>
      </w:r>
      <w:r w:rsidRPr="000A4A0F">
        <w:rPr>
          <w:rFonts w:ascii="Times New Roman" w:hAnsi="Times New Roman" w:cs="Times New Roman"/>
          <w:sz w:val="24"/>
          <w:szCs w:val="24"/>
        </w:rPr>
        <w:t>.</w:t>
      </w:r>
    </w:p>
    <w:p w14:paraId="725BE9C8" w14:textId="77777777" w:rsidR="00C87F47" w:rsidRPr="000A4A0F" w:rsidRDefault="00C87F47" w:rsidP="006612D9">
      <w:pPr>
        <w:shd w:val="clear" w:color="auto" w:fill="FFFFFF"/>
        <w:spacing w:after="0" w:line="360" w:lineRule="auto"/>
        <w:jc w:val="both"/>
        <w:textAlignment w:val="baseline"/>
        <w:rPr>
          <w:rFonts w:ascii="Times New Roman" w:hAnsi="Times New Roman" w:cs="Times New Roman"/>
          <w:sz w:val="24"/>
          <w:szCs w:val="24"/>
        </w:rPr>
      </w:pPr>
    </w:p>
    <w:p w14:paraId="4B2489DA" w14:textId="77777777" w:rsidR="00BA4256" w:rsidRPr="000A4A0F" w:rsidRDefault="00BA4256" w:rsidP="006612D9">
      <w:pPr>
        <w:pStyle w:val="Paragraphedeliste"/>
        <w:numPr>
          <w:ilvl w:val="0"/>
          <w:numId w:val="20"/>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Neuropathie auditive :</w:t>
      </w:r>
    </w:p>
    <w:p w14:paraId="53C9551F" w14:textId="77777777" w:rsidR="00C87F47" w:rsidRPr="000A4A0F" w:rsidRDefault="00C87F47" w:rsidP="006612D9">
      <w:pPr>
        <w:shd w:val="clear" w:color="auto" w:fill="FFFFFF"/>
        <w:spacing w:after="0" w:line="360" w:lineRule="auto"/>
        <w:jc w:val="both"/>
        <w:textAlignment w:val="baseline"/>
        <w:rPr>
          <w:rFonts w:ascii="Times New Roman" w:hAnsi="Times New Roman" w:cs="Times New Roman"/>
          <w:sz w:val="24"/>
          <w:szCs w:val="24"/>
        </w:rPr>
      </w:pPr>
    </w:p>
    <w:p w14:paraId="6DD379CC" w14:textId="4BA401CE" w:rsidR="00BA4256"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Il y</w:t>
      </w:r>
      <w:r w:rsidR="00344004" w:rsidRPr="000A4A0F">
        <w:rPr>
          <w:rFonts w:ascii="Times New Roman" w:hAnsi="Times New Roman" w:cs="Times New Roman"/>
          <w:sz w:val="24"/>
          <w:szCs w:val="24"/>
        </w:rPr>
        <w:t xml:space="preserve"> </w:t>
      </w:r>
      <w:r w:rsidRPr="000A4A0F">
        <w:rPr>
          <w:rFonts w:ascii="Times New Roman" w:hAnsi="Times New Roman" w:cs="Times New Roman"/>
          <w:sz w:val="24"/>
          <w:szCs w:val="24"/>
        </w:rPr>
        <w:t>a plusieurs preuves qui suggèrent que le système nerveux auditif est le système nerveux le plus sensible à la toxicité de la bilir</w:t>
      </w:r>
      <w:r w:rsidR="001C501A" w:rsidRPr="000A4A0F">
        <w:rPr>
          <w:rFonts w:ascii="Times New Roman" w:hAnsi="Times New Roman" w:cs="Times New Roman"/>
          <w:sz w:val="24"/>
          <w:szCs w:val="24"/>
        </w:rPr>
        <w:t>ubine chez les nouveau-nés</w:t>
      </w:r>
      <w:r w:rsidRPr="000A4A0F">
        <w:rPr>
          <w:rFonts w:ascii="Times New Roman" w:hAnsi="Times New Roman" w:cs="Times New Roman"/>
          <w:sz w:val="24"/>
          <w:szCs w:val="24"/>
        </w:rPr>
        <w:t>.</w:t>
      </w:r>
      <w:r w:rsidR="001C501A"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{"citationItems":[{"id":"ITEM-1","itemData":{"author":[{"dropping-particle":"","family":"Satish Saluja, Asha Agarwal","given":"Neelam Kler","non-dropping-particle":"","parse-names":false,"suffix":""}],"container-title":"International Journal of Pediatric Otorhinolaryngology","id":"ITEM-1","issued":{"date-parts":[["2010"]]},"page":"1292–1297","title":"Auditory neuropathy spectrum disorder in late preterm and term infants with severe jaundice","type":"article-journal","volume":"74"},"uris":["http://www.mendeley.com/documents/?uuid=9e938dce-0d05-4390-a4c2-a12d71a260c0","http://www.mendeley.com/documents/?uuid=9fa78316-09d8-4da1-a44e-b64e6ce48314"]}],"mendeley":{"formattedCitation":"(53)","plainTextFormattedCitation":"(53)","previouslyFormattedCitation":"(54)"},"properties":{"noteIndex":0},"schema":"https://github.com/citation-style-language/schema/raw/master/csl-citation.json"}</w:instrText>
      </w:r>
      <w:r w:rsidR="001C501A"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(53)</w:t>
      </w:r>
      <w:r w:rsidR="001C501A"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une étude suggère que les troubles du spectre de la neuropathie auditive peuvent être vu en l'absence de manifestations </w:t>
      </w:r>
      <w:r w:rsidRPr="000A4A0F">
        <w:rPr>
          <w:rFonts w:ascii="Times New Roman" w:hAnsi="Times New Roman" w:cs="Times New Roman"/>
          <w:sz w:val="24"/>
          <w:szCs w:val="24"/>
        </w:rPr>
        <w:lastRenderedPageBreak/>
        <w:t>cliniques de l’encéphalopa</w:t>
      </w:r>
      <w:r w:rsidR="001C501A" w:rsidRPr="000A4A0F">
        <w:rPr>
          <w:rFonts w:ascii="Times New Roman" w:hAnsi="Times New Roman" w:cs="Times New Roman"/>
          <w:sz w:val="24"/>
          <w:szCs w:val="24"/>
        </w:rPr>
        <w:t xml:space="preserve">thie </w:t>
      </w:r>
      <w:proofErr w:type="spellStart"/>
      <w:r w:rsidR="001C501A" w:rsidRPr="000A4A0F">
        <w:rPr>
          <w:rFonts w:ascii="Times New Roman" w:hAnsi="Times New Roman" w:cs="Times New Roman"/>
          <w:sz w:val="24"/>
          <w:szCs w:val="24"/>
        </w:rPr>
        <w:t>bilirubinique</w:t>
      </w:r>
      <w:proofErr w:type="spellEnd"/>
      <w:r w:rsidR="001C501A" w:rsidRPr="000A4A0F">
        <w:rPr>
          <w:rFonts w:ascii="Times New Roman" w:hAnsi="Times New Roman" w:cs="Times New Roman"/>
          <w:sz w:val="24"/>
          <w:szCs w:val="24"/>
        </w:rPr>
        <w:t xml:space="preserve"> aiguë</w:t>
      </w:r>
      <w:r w:rsidRPr="000A4A0F">
        <w:rPr>
          <w:rFonts w:ascii="Times New Roman" w:hAnsi="Times New Roman" w:cs="Times New Roman"/>
          <w:sz w:val="24"/>
          <w:szCs w:val="24"/>
        </w:rPr>
        <w:t>.</w:t>
      </w:r>
      <w:r w:rsidR="001C501A"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{"citationItems":[{"id":"ITEM-1","itemData":{"author":[{"dropping-particle":"","family":"A. Oulmaatia, *, F. Hmamia , M. Hidab","given":"A. Bouharrou","non-dropping-particle":"","parse-names":false,"suffix":""}],"id":"ITEM-1","issued":{"date-parts":[["0"]]},"title":"High prevalence of hypothyroidism among children hospitalized in a neonatal intensive care unit in Morocco","type":"article-journal"},"uris":["http://www.mendeley.com/documents/?uuid=407ef1f9-2f74-4e4e-973d-391ca78098af","http://www.mendeley.com/documents/?uuid=2ce89d7c-11b3-494b-8210-b1be58c8d082"]}],"mendeley":{"formattedCitation":"(54)","plainTextFormattedCitation":"(54)","previouslyFormattedCitation":"(55)"},"properties":{"noteIndex":0},"schema":"https://github.com/citation-style-language/schema/raw/master/csl-citation.json"}</w:instrText>
      </w:r>
      <w:r w:rsidR="001C501A"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(54)</w:t>
      </w:r>
      <w:r w:rsidR="001C501A"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Par conséquent, l'évaluation des troubles du spectre de la neuropathie auditive peut être nécessaire chez tous les nouveau-nés admis avec ictère grave, même en l'absence de manifestations cliniques de l'encéphalopathie </w:t>
      </w:r>
      <w:proofErr w:type="spellStart"/>
      <w:r w:rsidRPr="000A4A0F">
        <w:rPr>
          <w:rFonts w:ascii="Times New Roman" w:hAnsi="Times New Roman" w:cs="Times New Roman"/>
          <w:sz w:val="24"/>
          <w:szCs w:val="24"/>
        </w:rPr>
        <w:t>bilirubinique</w:t>
      </w:r>
      <w:proofErr w:type="spellEnd"/>
      <w:r w:rsidRPr="000A4A0F">
        <w:rPr>
          <w:rFonts w:ascii="Times New Roman" w:hAnsi="Times New Roman" w:cs="Times New Roman"/>
          <w:sz w:val="24"/>
          <w:szCs w:val="24"/>
        </w:rPr>
        <w:t xml:space="preserve"> aiguë pour l'évaluation de la neurotoxicité induite par la bilirubine. Bien que le - joint </w:t>
      </w:r>
      <w:proofErr w:type="spellStart"/>
      <w:r w:rsidRPr="000A4A0F">
        <w:rPr>
          <w:rFonts w:ascii="Times New Roman" w:hAnsi="Times New Roman" w:cs="Times New Roman"/>
          <w:sz w:val="24"/>
          <w:szCs w:val="24"/>
        </w:rPr>
        <w:t>committee</w:t>
      </w:r>
      <w:proofErr w:type="spellEnd"/>
      <w:r w:rsidRPr="000A4A0F">
        <w:rPr>
          <w:rFonts w:ascii="Times New Roman" w:hAnsi="Times New Roman" w:cs="Times New Roman"/>
          <w:sz w:val="24"/>
          <w:szCs w:val="24"/>
        </w:rPr>
        <w:t xml:space="preserve"> on infant </w:t>
      </w:r>
      <w:proofErr w:type="spellStart"/>
      <w:r w:rsidRPr="000A4A0F">
        <w:rPr>
          <w:rFonts w:ascii="Times New Roman" w:hAnsi="Times New Roman" w:cs="Times New Roman"/>
          <w:sz w:val="24"/>
          <w:szCs w:val="24"/>
        </w:rPr>
        <w:t>hearing</w:t>
      </w:r>
      <w:proofErr w:type="spellEnd"/>
      <w:r w:rsidRPr="000A4A0F">
        <w:rPr>
          <w:rFonts w:ascii="Times New Roman" w:hAnsi="Times New Roman" w:cs="Times New Roman"/>
          <w:sz w:val="24"/>
          <w:szCs w:val="24"/>
        </w:rPr>
        <w:t xml:space="preserve"> -JCIH recommande l'évaluation auditive pour les nourrissons qui ont des concentrations totales de bilirubine sérique qui répondent aux critère</w:t>
      </w:r>
      <w:r w:rsidR="008C47D1" w:rsidRPr="000A4A0F">
        <w:rPr>
          <w:rFonts w:ascii="Times New Roman" w:hAnsi="Times New Roman" w:cs="Times New Roman"/>
          <w:sz w:val="24"/>
          <w:szCs w:val="24"/>
        </w:rPr>
        <w:t>s d’exsanguino-transfusion</w:t>
      </w:r>
      <w:r w:rsidRPr="000A4A0F">
        <w:rPr>
          <w:rFonts w:ascii="Times New Roman" w:hAnsi="Times New Roman" w:cs="Times New Roman"/>
          <w:sz w:val="24"/>
          <w:szCs w:val="24"/>
        </w:rPr>
        <w:t>. Cependant, plusieurs études ont montré que la bilirubine sérique totale est un mauvais prédicateur de la neurotoxicité induite par la bilirubine, à</w:t>
      </w:r>
      <w:r w:rsidR="00DF01AC" w:rsidRPr="000A4A0F">
        <w:rPr>
          <w:rFonts w:ascii="Times New Roman" w:hAnsi="Times New Roman" w:cs="Times New Roman"/>
          <w:sz w:val="24"/>
          <w:szCs w:val="24"/>
        </w:rPr>
        <w:t xml:space="preserve"> court et à long terme</w:t>
      </w:r>
      <w:r w:rsidRPr="000A4A0F">
        <w:rPr>
          <w:rFonts w:ascii="Times New Roman" w:hAnsi="Times New Roman" w:cs="Times New Roman"/>
          <w:sz w:val="24"/>
          <w:szCs w:val="24"/>
        </w:rPr>
        <w:t>.</w:t>
      </w:r>
      <w:r w:rsidR="005B707C" w:rsidRPr="000A4A0F">
        <w:rPr>
          <w:rFonts w:ascii="Times New Roman" w:hAnsi="Times New Roman" w:cs="Times New Roman"/>
          <w:sz w:val="24"/>
          <w:szCs w:val="24"/>
        </w:rPr>
        <w:t xml:space="preserve"> </w:t>
      </w:r>
      <w:r w:rsidRPr="000A4A0F">
        <w:rPr>
          <w:rFonts w:ascii="Times New Roman" w:hAnsi="Times New Roman" w:cs="Times New Roman"/>
          <w:sz w:val="24"/>
          <w:szCs w:val="24"/>
        </w:rPr>
        <w:t xml:space="preserve">De ce fait, Il est possible que les nourrissons avec un taux BST inférieurs à ceux indiquant une exsanguino-transfusion </w:t>
      </w:r>
      <w:r w:rsidR="00344004" w:rsidRPr="000A4A0F">
        <w:rPr>
          <w:rFonts w:ascii="Times New Roman" w:hAnsi="Times New Roman" w:cs="Times New Roman"/>
          <w:sz w:val="24"/>
          <w:szCs w:val="24"/>
        </w:rPr>
        <w:t>puissent</w:t>
      </w:r>
      <w:r w:rsidRPr="000A4A0F">
        <w:rPr>
          <w:rFonts w:ascii="Times New Roman" w:hAnsi="Times New Roman" w:cs="Times New Roman"/>
          <w:sz w:val="24"/>
          <w:szCs w:val="24"/>
        </w:rPr>
        <w:t xml:space="preserve"> développ</w:t>
      </w:r>
      <w:r w:rsidR="001C501A" w:rsidRPr="000A4A0F">
        <w:rPr>
          <w:rFonts w:ascii="Times New Roman" w:hAnsi="Times New Roman" w:cs="Times New Roman"/>
          <w:sz w:val="24"/>
          <w:szCs w:val="24"/>
        </w:rPr>
        <w:t>er une neuropathie auditive</w:t>
      </w:r>
      <w:r w:rsidRPr="000A4A0F">
        <w:rPr>
          <w:rFonts w:ascii="Times New Roman" w:hAnsi="Times New Roman" w:cs="Times New Roman"/>
          <w:sz w:val="24"/>
          <w:szCs w:val="24"/>
        </w:rPr>
        <w:t>.</w:t>
      </w:r>
      <w:r w:rsidR="001C501A"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{"citationItems":[{"id":"ITEM-1","itemData":{"author":[{"dropping-particle":"","family":"A. Oulmaatia, *, F. Hmamia , M. Hidab","given":"A. Bouharrou","non-dropping-particle":"","parse-names":false,"suffix":""}],"id":"ITEM-1","issued":{"date-parts":[["0"]]},"title":"High prevalence of hypothyroidism among children hospitalized in a neonatal intensive care unit in Morocco","type":"article-journal"},"uris":["http://www.mendeley.com/documents/?uuid=2ce89d7c-11b3-494b-8210-b1be58c8d082","http://www.mendeley.com/documents/?uuid=407ef1f9-2f74-4e4e-973d-391ca78098af"]}],"mendeley":{"formattedCitation":"(54)","plainTextFormattedCitation":"(54)","previouslyFormattedCitation":"(55)"},"properties":{"noteIndex":0},"schema":"https://github.com/citation-style-language/schema/raw/master/csl-citation.json"}</w:instrText>
      </w:r>
      <w:r w:rsidR="001C501A"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(54)</w:t>
      </w:r>
      <w:r w:rsidR="001C501A" w:rsidRPr="000A4A0F">
        <w:rPr>
          <w:rFonts w:ascii="Times New Roman" w:hAnsi="Times New Roman" w:cs="Times New Roman"/>
          <w:sz w:val="24"/>
          <w:szCs w:val="24"/>
        </w:rPr>
        <w:fldChar w:fldCharType="end"/>
      </w:r>
      <w:r w:rsidRPr="000A4A0F">
        <w:rPr>
          <w:rFonts w:ascii="Times New Roman" w:hAnsi="Times New Roman" w:cs="Times New Roman"/>
          <w:sz w:val="24"/>
          <w:szCs w:val="24"/>
        </w:rPr>
        <w:t xml:space="preserve"> En attendant des preuves supplémentaires d'un niveau de sécurité de bilirubine sérique totale pouvant induire une toxicité auditive, il peut être plus prudent d'utiliser une concentration totale de la bilirubine sérique de 200mg/l, et/ou de la concentration totale de la bilirubine sérique à laquelle une exsanguino-transfusion peut être indiquée comme une limite pour l'évaluat</w:t>
      </w:r>
      <w:r w:rsidR="001C501A" w:rsidRPr="000A4A0F">
        <w:rPr>
          <w:rFonts w:ascii="Times New Roman" w:hAnsi="Times New Roman" w:cs="Times New Roman"/>
          <w:sz w:val="24"/>
          <w:szCs w:val="24"/>
        </w:rPr>
        <w:t>ion auditive complète</w:t>
      </w:r>
      <w:r w:rsidR="00502385" w:rsidRPr="000A4A0F">
        <w:rPr>
          <w:rFonts w:ascii="Times New Roman" w:hAnsi="Times New Roman" w:cs="Times New Roman"/>
          <w:sz w:val="24"/>
          <w:szCs w:val="24"/>
        </w:rPr>
        <w:t>.</w:t>
      </w:r>
      <w:r w:rsidR="001C501A"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{"citationItems":[{"id":"ITEM-1","itemData":{"author":[{"dropping-particle":"","family":"A. Oulmaatia, *, F. Hmamia , M. Hidab","given":"A. Bouharrou","non-dropping-particle":"","parse-names":false,"suffix":""}],"id":"ITEM-1","issued":{"date-parts":[["0"]]},"title":"High prevalence of hypothyroidism among children hospitalized in a neonatal intensive care unit in Morocco","type":"article-journal"},"uris":["http://www.mendeley.com/documents/?uuid=2ce89d7c-11b3-494b-8210-b1be58c8d082","http://www.mendeley.com/documents/?uuid=407ef1f9-2f74-4e4e-973d-391ca78098af"]}],"mendeley":{"formattedCitation":"(54)","plainTextFormattedCitation":"(54)","previouslyFormattedCitation":"(55)"},"properties":{"noteIndex":0},"schema":"https://github.com/citation-style-language/schema/raw/master/csl-citation.json"}</w:instrText>
      </w:r>
      <w:r w:rsidR="001C501A"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(54)</w:t>
      </w:r>
      <w:r w:rsidR="001C501A" w:rsidRPr="000A4A0F">
        <w:rPr>
          <w:rFonts w:ascii="Times New Roman" w:hAnsi="Times New Roman" w:cs="Times New Roman"/>
          <w:sz w:val="24"/>
          <w:szCs w:val="24"/>
        </w:rPr>
        <w:fldChar w:fldCharType="end"/>
      </w:r>
    </w:p>
    <w:p w14:paraId="64F48AC2" w14:textId="6B98F191" w:rsidR="001A7F2C"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Une étude récente a dévoilé une fréquence élevée de surdité de perception et d’anomalies du développement neurologique chez les enfants atteints d’HB néonatale traités par EST ou ayant des anomalies neurologiques à l’admission, cependant, aucun cas de neuropathie auditive n’a été observé. La fréquence de la surdité de perception chez les enfants ayant des antécédents d’HB traités dans un hôpital de niveau 3 à</w:t>
      </w:r>
      <w:r w:rsidR="001C501A" w:rsidRPr="000A4A0F">
        <w:rPr>
          <w:rFonts w:ascii="Times New Roman" w:hAnsi="Times New Roman" w:cs="Times New Roman"/>
          <w:sz w:val="24"/>
          <w:szCs w:val="24"/>
        </w:rPr>
        <w:t xml:space="preserve"> Mexico était élevée (15%)</w:t>
      </w:r>
      <w:r w:rsidRPr="000A4A0F">
        <w:rPr>
          <w:rFonts w:ascii="Times New Roman" w:hAnsi="Times New Roman" w:cs="Times New Roman"/>
          <w:sz w:val="24"/>
          <w:szCs w:val="24"/>
        </w:rPr>
        <w:t xml:space="preserve">. Une revue récente de la littérature sur le risque auditif de l’hyper-bilirubinémie a </w:t>
      </w:r>
      <w:r w:rsidR="001A7F2C" w:rsidRPr="000A4A0F">
        <w:rPr>
          <w:rFonts w:ascii="Times New Roman" w:hAnsi="Times New Roman" w:cs="Times New Roman"/>
          <w:sz w:val="24"/>
          <w:szCs w:val="24"/>
        </w:rPr>
        <w:t>conclu</w:t>
      </w:r>
      <w:r w:rsidRPr="000A4A0F">
        <w:rPr>
          <w:rFonts w:ascii="Times New Roman" w:hAnsi="Times New Roman" w:cs="Times New Roman"/>
          <w:sz w:val="24"/>
          <w:szCs w:val="24"/>
        </w:rPr>
        <w:t xml:space="preserve"> que de grandes anomalies auditives ont été observées avec l’augmentation des taux de la bilirubine sérique, que le traitement de l'hyper-bilirubinémie conduit à une diminution considérable de l'incidence de la perte auditive, et que les PEA devraient faire partie du bilan du nouveau-né avec des niveaux élevés de bilirubin</w:t>
      </w:r>
      <w:r w:rsidR="00E65A11" w:rsidRPr="000A4A0F">
        <w:rPr>
          <w:rFonts w:ascii="Times New Roman" w:hAnsi="Times New Roman" w:cs="Times New Roman"/>
          <w:sz w:val="24"/>
          <w:szCs w:val="24"/>
        </w:rPr>
        <w:t xml:space="preserve">e sérique après traitement. </w:t>
      </w:r>
      <w:r w:rsidRPr="000A4A0F">
        <w:rPr>
          <w:rFonts w:ascii="Times New Roman" w:hAnsi="Times New Roman" w:cs="Times New Roman"/>
          <w:sz w:val="24"/>
          <w:szCs w:val="24"/>
        </w:rPr>
        <w:t>Cependant, il semble qu'il n'y ait pas de relation claire et directe entre les niveaux de bilirubine sérique et des seuils d'audition. Par conséquent, les seuils d'audition et les troubles du système auditif ne peuvent être estimés uniquement sur la base des taux de bilirubine</w:t>
      </w:r>
      <w:r w:rsidR="00E65A11" w:rsidRPr="000A4A0F">
        <w:rPr>
          <w:rFonts w:ascii="Times New Roman" w:hAnsi="Times New Roman" w:cs="Times New Roman"/>
          <w:sz w:val="24"/>
          <w:szCs w:val="24"/>
        </w:rPr>
        <w:t>s maximales à la naissance.</w:t>
      </w:r>
    </w:p>
    <w:p w14:paraId="147C13DD" w14:textId="77777777" w:rsidR="001A7F2C" w:rsidRPr="000A4A0F" w:rsidRDefault="001A7F2C" w:rsidP="006612D9">
      <w:pPr>
        <w:shd w:val="clear" w:color="auto" w:fill="FFFFFF"/>
        <w:spacing w:after="0" w:line="360" w:lineRule="auto"/>
        <w:jc w:val="both"/>
        <w:textAlignment w:val="baseline"/>
        <w:rPr>
          <w:rFonts w:ascii="Times New Roman" w:hAnsi="Times New Roman" w:cs="Times New Roman"/>
          <w:sz w:val="24"/>
          <w:szCs w:val="24"/>
        </w:rPr>
      </w:pPr>
    </w:p>
    <w:p w14:paraId="7712C186" w14:textId="5C9FE6AF" w:rsidR="004A7E88" w:rsidRPr="000A4A0F" w:rsidRDefault="00BA4256" w:rsidP="006612D9">
      <w:pPr>
        <w:pStyle w:val="Paragraphedeliste"/>
        <w:numPr>
          <w:ilvl w:val="0"/>
          <w:numId w:val="20"/>
        </w:num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Devenir neurocomportemental de</w:t>
      </w:r>
      <w:r w:rsidR="004A7E88" w:rsidRPr="000A4A0F">
        <w:rPr>
          <w:rFonts w:ascii="Times New Roman" w:hAnsi="Times New Roman" w:cs="Times New Roman"/>
          <w:sz w:val="24"/>
          <w:szCs w:val="24"/>
        </w:rPr>
        <w:t xml:space="preserve">s nouveau-nés avec HB néonatale </w:t>
      </w:r>
      <w:r w:rsidR="00594316" w:rsidRPr="000A4A0F">
        <w:rPr>
          <w:rFonts w:ascii="Times New Roman" w:hAnsi="Times New Roman" w:cs="Times New Roman"/>
          <w:sz w:val="24"/>
          <w:szCs w:val="24"/>
        </w:rPr>
        <w:t>intense.</w:t>
      </w:r>
      <w:r w:rsidR="00594316" w:rsidRPr="000A4A0F">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{"citationItems":[{"id":"ITEM-1","itemData":{"author":[{"dropping-particle":"","family":"Nevenka Bujandric1","given":"Jasmina Grujic","non-dropping-particle":"","parse-names":false,"suffix":""}],"container-title":"Indian J Hematol Blood Transfus","id":"ITEM-1","issued":{"date-parts":[["0"]]},"page":"208–214","title":"Exchange Transfusion for Severe Neonatal Hyperbilirubinemia:17 Years’ Experience from Vojvodina, Serbia, Indian J Hematol Blood Transfus","type":"article-journal","volume":"32(2)"},"uris":["http://www.mendeley.com/documents/?uuid=11631f5c-9bc8-411a-bb9c-52fcdab4103a","http://www.mendeley.com/documents/?uuid=c8840839-04d1-453e-9f58-215854c6892d"]}],"mendeley":{"formattedCitation":"(55)","plainTextFormattedCitation":"(55)","previouslyFormattedCitation":"(56)"},"properties":{"noteIndex":0},"schema":"https://github.com/citation-style-language/schema/raw/master/csl-citation.json"}</w:instrText>
      </w:r>
      <w:r w:rsidR="00594316" w:rsidRPr="000A4A0F">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(55)</w:t>
      </w:r>
      <w:r w:rsidR="00594316" w:rsidRPr="000A4A0F">
        <w:rPr>
          <w:rFonts w:ascii="Times New Roman" w:hAnsi="Times New Roman" w:cs="Times New Roman"/>
          <w:sz w:val="24"/>
          <w:szCs w:val="24"/>
        </w:rPr>
        <w:fldChar w:fldCharType="end"/>
      </w:r>
    </w:p>
    <w:p w14:paraId="349AFA43" w14:textId="77777777" w:rsidR="00BA4256" w:rsidRPr="000A4A0F" w:rsidRDefault="00BA425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La gravité des effets de l’hyper-bilirubinémie ont surtout été étudiés dans des études de suivi relativement courtes allant jusqu'à l'âge de l'école, où l’HB néonatale semble être relativement légère à modérée, sinon totalement, bénigne. Cependant, Il existe toujours une controverse sur les risques pour les troubles du développement neurologique à plus long terme. </w:t>
      </w:r>
    </w:p>
    <w:p w14:paraId="387FB701" w14:textId="414A407A" w:rsidR="0019637D" w:rsidRDefault="00B5495F" w:rsidP="006612D9">
      <w:pPr>
        <w:pStyle w:val="Titre1"/>
        <w:spacing w:before="0" w:beforeAutospacing="0" w:after="0" w:afterAutospacing="0" w:line="360" w:lineRule="auto"/>
        <w:jc w:val="both"/>
        <w:rPr>
          <w:sz w:val="24"/>
          <w:szCs w:val="24"/>
        </w:rPr>
      </w:pPr>
      <w:r w:rsidRPr="000A4A0F">
        <w:rPr>
          <w:sz w:val="24"/>
          <w:szCs w:val="24"/>
        </w:rPr>
        <w:br w:type="page"/>
      </w:r>
      <w:r w:rsidR="0053061E" w:rsidRPr="000A4A0F">
        <w:rPr>
          <w:sz w:val="24"/>
          <w:szCs w:val="24"/>
        </w:rPr>
        <w:lastRenderedPageBreak/>
        <w:t xml:space="preserve">    </w:t>
      </w:r>
      <w:bookmarkStart w:id="42" w:name="_Toc87049066"/>
      <w:r w:rsidR="00D459E3" w:rsidRPr="000A4A0F">
        <w:rPr>
          <w:sz w:val="24"/>
          <w:szCs w:val="24"/>
        </w:rPr>
        <w:t xml:space="preserve">Chapitre II : </w:t>
      </w:r>
      <w:r w:rsidR="0019637D" w:rsidRPr="000A4A0F">
        <w:rPr>
          <w:sz w:val="24"/>
          <w:szCs w:val="24"/>
        </w:rPr>
        <w:t>MATERIEL ET METHODES</w:t>
      </w:r>
      <w:bookmarkEnd w:id="42"/>
    </w:p>
    <w:p w14:paraId="5AE00EC3" w14:textId="6907A8B0" w:rsidR="00281974" w:rsidRPr="00281974" w:rsidRDefault="00281974" w:rsidP="006612D9">
      <w:pPr>
        <w:pStyle w:val="Titre1"/>
        <w:spacing w:before="0" w:beforeAutospacing="0" w:after="0" w:afterAutospacing="0" w:line="360" w:lineRule="auto"/>
        <w:jc w:val="both"/>
        <w:rPr>
          <w:color w:val="FF0000"/>
          <w:sz w:val="24"/>
          <w:szCs w:val="24"/>
        </w:rPr>
      </w:pPr>
      <w:r w:rsidRPr="00281974">
        <w:rPr>
          <w:color w:val="FF0000"/>
          <w:sz w:val="24"/>
          <w:szCs w:val="24"/>
        </w:rPr>
        <w:t>Je te propose cette suite</w:t>
      </w:r>
      <w:r w:rsidR="00DB4384">
        <w:rPr>
          <w:color w:val="FF0000"/>
          <w:sz w:val="24"/>
          <w:szCs w:val="24"/>
        </w:rPr>
        <w:t xml:space="preserve"> : </w:t>
      </w:r>
    </w:p>
    <w:p w14:paraId="6D87B673" w14:textId="47E5E9E3" w:rsidR="00281974" w:rsidRPr="00281974" w:rsidRDefault="00281974" w:rsidP="006612D9">
      <w:pPr>
        <w:pStyle w:val="Titre1"/>
        <w:spacing w:before="0" w:beforeAutospacing="0" w:after="0" w:afterAutospacing="0" w:line="360" w:lineRule="auto"/>
        <w:jc w:val="both"/>
        <w:rPr>
          <w:color w:val="FF0000"/>
          <w:sz w:val="24"/>
          <w:szCs w:val="24"/>
        </w:rPr>
      </w:pPr>
      <w:r w:rsidRPr="00281974">
        <w:rPr>
          <w:color w:val="FF0000"/>
          <w:sz w:val="24"/>
          <w:szCs w:val="24"/>
        </w:rPr>
        <w:t>Milieu d’étude</w:t>
      </w:r>
    </w:p>
    <w:p w14:paraId="0688C478" w14:textId="46D495E9" w:rsidR="00281974" w:rsidRPr="00281974" w:rsidRDefault="00281974" w:rsidP="006612D9">
      <w:pPr>
        <w:pStyle w:val="Titre1"/>
        <w:spacing w:before="0" w:beforeAutospacing="0" w:after="0" w:afterAutospacing="0" w:line="360" w:lineRule="auto"/>
        <w:jc w:val="both"/>
        <w:rPr>
          <w:color w:val="FF0000"/>
          <w:sz w:val="24"/>
          <w:szCs w:val="24"/>
        </w:rPr>
      </w:pPr>
      <w:r w:rsidRPr="00281974">
        <w:rPr>
          <w:color w:val="FF0000"/>
          <w:sz w:val="24"/>
          <w:szCs w:val="24"/>
        </w:rPr>
        <w:t>Instrument</w:t>
      </w:r>
      <w:r w:rsidR="00DB4384">
        <w:rPr>
          <w:color w:val="FF0000"/>
          <w:sz w:val="24"/>
          <w:szCs w:val="24"/>
        </w:rPr>
        <w:t>s</w:t>
      </w:r>
      <w:r w:rsidRPr="00281974">
        <w:rPr>
          <w:color w:val="FF0000"/>
          <w:sz w:val="24"/>
          <w:szCs w:val="24"/>
        </w:rPr>
        <w:t xml:space="preserve"> de récoltes des données</w:t>
      </w:r>
      <w:r w:rsidR="00DB4384">
        <w:rPr>
          <w:color w:val="FF0000"/>
          <w:sz w:val="24"/>
          <w:szCs w:val="24"/>
        </w:rPr>
        <w:t xml:space="preserve"> </w:t>
      </w:r>
    </w:p>
    <w:p w14:paraId="796DC40E" w14:textId="0CA5971C" w:rsidR="00281974" w:rsidRPr="00281974" w:rsidRDefault="00281974" w:rsidP="006612D9">
      <w:pPr>
        <w:pStyle w:val="Titre1"/>
        <w:spacing w:before="0" w:beforeAutospacing="0" w:after="0" w:afterAutospacing="0" w:line="360" w:lineRule="auto"/>
        <w:jc w:val="both"/>
        <w:rPr>
          <w:color w:val="FF0000"/>
          <w:sz w:val="24"/>
          <w:szCs w:val="24"/>
        </w:rPr>
      </w:pPr>
      <w:r w:rsidRPr="00281974">
        <w:rPr>
          <w:color w:val="FF0000"/>
          <w:sz w:val="24"/>
          <w:szCs w:val="24"/>
        </w:rPr>
        <w:t>Population d’étude</w:t>
      </w:r>
    </w:p>
    <w:p w14:paraId="5585E4C1" w14:textId="4C77F5A9" w:rsidR="00281974" w:rsidRPr="00281974" w:rsidRDefault="00281974" w:rsidP="006612D9">
      <w:pPr>
        <w:pStyle w:val="Titre1"/>
        <w:spacing w:before="0" w:beforeAutospacing="0" w:after="0" w:afterAutospacing="0" w:line="360" w:lineRule="auto"/>
        <w:jc w:val="both"/>
        <w:rPr>
          <w:color w:val="FF0000"/>
          <w:sz w:val="24"/>
          <w:szCs w:val="24"/>
        </w:rPr>
      </w:pPr>
      <w:proofErr w:type="spellStart"/>
      <w:r w:rsidRPr="00281974">
        <w:rPr>
          <w:color w:val="FF0000"/>
          <w:sz w:val="24"/>
          <w:szCs w:val="24"/>
        </w:rPr>
        <w:t>Echantillonage</w:t>
      </w:r>
      <w:proofErr w:type="spellEnd"/>
    </w:p>
    <w:p w14:paraId="37300D73" w14:textId="40699790" w:rsidR="00281974" w:rsidRPr="00281974" w:rsidRDefault="00281974" w:rsidP="006612D9">
      <w:pPr>
        <w:pStyle w:val="Titre1"/>
        <w:spacing w:before="0" w:beforeAutospacing="0" w:after="0" w:afterAutospacing="0" w:line="360" w:lineRule="auto"/>
        <w:jc w:val="both"/>
        <w:rPr>
          <w:color w:val="FF0000"/>
          <w:sz w:val="24"/>
          <w:szCs w:val="24"/>
        </w:rPr>
      </w:pPr>
      <w:r w:rsidRPr="00281974">
        <w:rPr>
          <w:color w:val="FF0000"/>
          <w:sz w:val="24"/>
          <w:szCs w:val="24"/>
        </w:rPr>
        <w:tab/>
        <w:t>- critères d’inclusion</w:t>
      </w:r>
    </w:p>
    <w:p w14:paraId="2DE84A6D" w14:textId="24959FAF" w:rsidR="00281974" w:rsidRPr="00281974" w:rsidRDefault="00281974" w:rsidP="006612D9">
      <w:pPr>
        <w:pStyle w:val="Titre1"/>
        <w:spacing w:before="0" w:beforeAutospacing="0" w:after="0" w:afterAutospacing="0" w:line="360" w:lineRule="auto"/>
        <w:jc w:val="both"/>
        <w:rPr>
          <w:color w:val="FF0000"/>
          <w:sz w:val="24"/>
          <w:szCs w:val="24"/>
        </w:rPr>
      </w:pPr>
      <w:r w:rsidRPr="00281974">
        <w:rPr>
          <w:color w:val="FF0000"/>
          <w:sz w:val="24"/>
          <w:szCs w:val="24"/>
        </w:rPr>
        <w:tab/>
        <w:t>- critères d’exclusion</w:t>
      </w:r>
    </w:p>
    <w:p w14:paraId="616CC385" w14:textId="167EC8CE" w:rsidR="00281974" w:rsidRPr="00281974" w:rsidRDefault="00281974" w:rsidP="006612D9">
      <w:pPr>
        <w:pStyle w:val="Titre1"/>
        <w:spacing w:before="0" w:beforeAutospacing="0" w:after="0" w:afterAutospacing="0" w:line="360" w:lineRule="auto"/>
        <w:jc w:val="both"/>
        <w:rPr>
          <w:color w:val="FF0000"/>
          <w:sz w:val="24"/>
          <w:szCs w:val="24"/>
        </w:rPr>
      </w:pPr>
      <w:r w:rsidRPr="00281974">
        <w:rPr>
          <w:color w:val="FF0000"/>
          <w:sz w:val="24"/>
          <w:szCs w:val="24"/>
        </w:rPr>
        <w:t xml:space="preserve">Méthode </w:t>
      </w:r>
    </w:p>
    <w:p w14:paraId="758E689E" w14:textId="3A9DE488" w:rsidR="00281974" w:rsidRPr="00281974" w:rsidRDefault="00281974" w:rsidP="006612D9">
      <w:pPr>
        <w:pStyle w:val="Titre1"/>
        <w:spacing w:before="0" w:beforeAutospacing="0" w:after="0" w:afterAutospacing="0" w:line="360" w:lineRule="auto"/>
        <w:jc w:val="both"/>
        <w:rPr>
          <w:color w:val="FF0000"/>
          <w:sz w:val="24"/>
          <w:szCs w:val="24"/>
        </w:rPr>
      </w:pPr>
      <w:r w:rsidRPr="00281974">
        <w:rPr>
          <w:color w:val="FF0000"/>
          <w:sz w:val="24"/>
          <w:szCs w:val="24"/>
        </w:rPr>
        <w:tab/>
        <w:t>- Type et Période d’étude</w:t>
      </w:r>
    </w:p>
    <w:p w14:paraId="565517A3" w14:textId="49DC9BED" w:rsidR="00281974" w:rsidRPr="00281974" w:rsidRDefault="00281974" w:rsidP="006612D9">
      <w:pPr>
        <w:pStyle w:val="Titre1"/>
        <w:spacing w:before="0" w:beforeAutospacing="0" w:after="0" w:afterAutospacing="0" w:line="360" w:lineRule="auto"/>
        <w:jc w:val="both"/>
        <w:rPr>
          <w:color w:val="FF0000"/>
          <w:sz w:val="24"/>
          <w:szCs w:val="24"/>
        </w:rPr>
      </w:pPr>
      <w:r w:rsidRPr="00281974">
        <w:rPr>
          <w:color w:val="FF0000"/>
          <w:sz w:val="24"/>
          <w:szCs w:val="24"/>
        </w:rPr>
        <w:tab/>
        <w:t>- Procédure de collecte des données</w:t>
      </w:r>
    </w:p>
    <w:p w14:paraId="2AA65376" w14:textId="5CE214D5" w:rsidR="00281974" w:rsidRPr="00281974" w:rsidRDefault="00281974" w:rsidP="006612D9">
      <w:pPr>
        <w:pStyle w:val="Titre1"/>
        <w:spacing w:before="0" w:beforeAutospacing="0" w:after="0" w:afterAutospacing="0" w:line="360" w:lineRule="auto"/>
        <w:jc w:val="both"/>
        <w:rPr>
          <w:color w:val="FF0000"/>
          <w:sz w:val="24"/>
          <w:szCs w:val="24"/>
        </w:rPr>
      </w:pPr>
      <w:r w:rsidRPr="00281974">
        <w:rPr>
          <w:color w:val="FF0000"/>
          <w:sz w:val="24"/>
          <w:szCs w:val="24"/>
        </w:rPr>
        <w:tab/>
        <w:t>- Définitions opérationnelles</w:t>
      </w:r>
    </w:p>
    <w:p w14:paraId="08448C46" w14:textId="02A65BFB" w:rsidR="00281974" w:rsidRPr="00281974" w:rsidRDefault="00281974" w:rsidP="006612D9">
      <w:pPr>
        <w:pStyle w:val="Titre1"/>
        <w:spacing w:before="0" w:beforeAutospacing="0" w:after="0" w:afterAutospacing="0" w:line="360" w:lineRule="auto"/>
        <w:jc w:val="both"/>
        <w:rPr>
          <w:color w:val="FF0000"/>
          <w:sz w:val="24"/>
          <w:szCs w:val="24"/>
        </w:rPr>
      </w:pPr>
      <w:r w:rsidRPr="00281974">
        <w:rPr>
          <w:color w:val="FF0000"/>
          <w:sz w:val="24"/>
          <w:szCs w:val="24"/>
        </w:rPr>
        <w:tab/>
        <w:t>- Variables d’étude</w:t>
      </w:r>
    </w:p>
    <w:p w14:paraId="692D1C5F" w14:textId="16F78630" w:rsidR="00281974" w:rsidRPr="00281974" w:rsidRDefault="00281974" w:rsidP="006612D9">
      <w:pPr>
        <w:pStyle w:val="Titre1"/>
        <w:spacing w:before="0" w:beforeAutospacing="0" w:after="0" w:afterAutospacing="0" w:line="360" w:lineRule="auto"/>
        <w:jc w:val="both"/>
        <w:rPr>
          <w:color w:val="FF0000"/>
          <w:sz w:val="24"/>
          <w:szCs w:val="24"/>
        </w:rPr>
      </w:pPr>
      <w:r w:rsidRPr="00281974">
        <w:rPr>
          <w:color w:val="FF0000"/>
          <w:sz w:val="24"/>
          <w:szCs w:val="24"/>
        </w:rPr>
        <w:tab/>
        <w:t xml:space="preserve">-Analyse des données </w:t>
      </w:r>
    </w:p>
    <w:p w14:paraId="169C72F7" w14:textId="77777777" w:rsidR="006474DB" w:rsidRPr="000A4A0F" w:rsidRDefault="00192A7B" w:rsidP="006612D9">
      <w:pPr>
        <w:pStyle w:val="Titre2"/>
        <w:spacing w:before="0" w:line="360" w:lineRule="auto"/>
        <w:jc w:val="both"/>
        <w:rPr>
          <w:rFonts w:ascii="Times New Roman" w:eastAsia="Times New Roman" w:hAnsi="Times New Roman" w:cs="Times New Roman"/>
          <w:b/>
          <w:color w:val="000000"/>
          <w:sz w:val="24"/>
          <w:szCs w:val="24"/>
          <w:lang w:eastAsia="fr-FR"/>
        </w:rPr>
      </w:pPr>
      <w:bookmarkStart w:id="43" w:name="_Toc87049067"/>
      <w:r w:rsidRPr="000A4A0F">
        <w:rPr>
          <w:rFonts w:ascii="Times New Roman" w:hAnsi="Times New Roman" w:cs="Times New Roman"/>
          <w:b/>
          <w:sz w:val="24"/>
          <w:szCs w:val="24"/>
        </w:rPr>
        <w:t>1. MILIEU D’ETUDE</w:t>
      </w:r>
      <w:bookmarkEnd w:id="43"/>
    </w:p>
    <w:p w14:paraId="0AF319CB" w14:textId="77777777" w:rsidR="00BA1766" w:rsidRPr="000A4A0F" w:rsidRDefault="00BA1766" w:rsidP="006612D9">
      <w:pPr>
        <w:shd w:val="clear" w:color="auto" w:fill="FFFFFF"/>
        <w:spacing w:after="0" w:line="360" w:lineRule="auto"/>
        <w:jc w:val="both"/>
        <w:textAlignment w:val="baseline"/>
        <w:rPr>
          <w:rFonts w:ascii="Times New Roman" w:hAnsi="Times New Roman" w:cs="Times New Roman"/>
          <w:sz w:val="24"/>
          <w:szCs w:val="24"/>
        </w:rPr>
      </w:pPr>
    </w:p>
    <w:p w14:paraId="2B312CBB" w14:textId="77777777" w:rsidR="006474DB" w:rsidRPr="000A4A0F" w:rsidRDefault="00FF3258"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Notre étude s’est déroulée</w:t>
      </w:r>
      <w:r w:rsidR="008312CF" w:rsidRPr="000A4A0F">
        <w:rPr>
          <w:rFonts w:ascii="Times New Roman" w:hAnsi="Times New Roman" w:cs="Times New Roman"/>
          <w:sz w:val="24"/>
          <w:szCs w:val="24"/>
        </w:rPr>
        <w:t xml:space="preserve"> à l’Hôpital Provincial Général de Référence de Bukavu (HPGRB) dans la Province du Sud-Kivu, </w:t>
      </w:r>
      <w:r w:rsidR="00476CB8" w:rsidRPr="000A4A0F">
        <w:rPr>
          <w:rFonts w:ascii="Times New Roman" w:hAnsi="Times New Roman" w:cs="Times New Roman"/>
          <w:sz w:val="24"/>
          <w:szCs w:val="24"/>
        </w:rPr>
        <w:t>à</w:t>
      </w:r>
      <w:r w:rsidR="005A7099" w:rsidRPr="000A4A0F">
        <w:rPr>
          <w:rFonts w:ascii="Times New Roman" w:hAnsi="Times New Roman" w:cs="Times New Roman"/>
          <w:sz w:val="24"/>
          <w:szCs w:val="24"/>
        </w:rPr>
        <w:t xml:space="preserve"> l’</w:t>
      </w:r>
      <w:r w:rsidR="008312CF" w:rsidRPr="000A4A0F">
        <w:rPr>
          <w:rFonts w:ascii="Times New Roman" w:hAnsi="Times New Roman" w:cs="Times New Roman"/>
          <w:sz w:val="24"/>
          <w:szCs w:val="24"/>
        </w:rPr>
        <w:t>Est de la Républiq</w:t>
      </w:r>
      <w:r w:rsidRPr="000A4A0F">
        <w:rPr>
          <w:rFonts w:ascii="Times New Roman" w:hAnsi="Times New Roman" w:cs="Times New Roman"/>
          <w:sz w:val="24"/>
          <w:szCs w:val="24"/>
        </w:rPr>
        <w:t>ue Démocratique du Congo (RDC) au sein du département de Pédiatrie.</w:t>
      </w:r>
    </w:p>
    <w:p w14:paraId="188DCD50" w14:textId="0DE6A2AA" w:rsidR="00B40245" w:rsidRPr="000A4A0F" w:rsidRDefault="008312CF"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Le Sud-Kivu compte actuell</w:t>
      </w:r>
      <w:r w:rsidR="00FF3258" w:rsidRPr="000A4A0F">
        <w:rPr>
          <w:rFonts w:ascii="Times New Roman" w:hAnsi="Times New Roman" w:cs="Times New Roman"/>
          <w:sz w:val="24"/>
          <w:szCs w:val="24"/>
        </w:rPr>
        <w:t xml:space="preserve">ement 6.5 millions d’habitants. </w:t>
      </w:r>
      <w:r w:rsidRPr="000A4A0F">
        <w:rPr>
          <w:rFonts w:ascii="Times New Roman" w:hAnsi="Times New Roman" w:cs="Times New Roman"/>
          <w:sz w:val="24"/>
          <w:szCs w:val="24"/>
        </w:rPr>
        <w:t>La ville de Bukavu, prend à elle seule à p</w:t>
      </w:r>
      <w:r w:rsidR="00FF3258" w:rsidRPr="000A4A0F">
        <w:rPr>
          <w:rFonts w:ascii="Times New Roman" w:hAnsi="Times New Roman" w:cs="Times New Roman"/>
          <w:sz w:val="24"/>
          <w:szCs w:val="24"/>
        </w:rPr>
        <w:t>eu près 1 millions</w:t>
      </w:r>
      <w:r w:rsidR="000E73B4" w:rsidRPr="000A4A0F">
        <w:rPr>
          <w:rFonts w:ascii="Times New Roman" w:hAnsi="Times New Roman" w:cs="Times New Roman"/>
          <w:sz w:val="24"/>
          <w:szCs w:val="24"/>
        </w:rPr>
        <w:t xml:space="preserve"> d’habitants, estimation de 2018</w:t>
      </w:r>
      <w:r w:rsidR="00281974">
        <w:rPr>
          <w:rFonts w:ascii="Times New Roman" w:hAnsi="Times New Roman" w:cs="Times New Roman"/>
          <w:sz w:val="24"/>
          <w:szCs w:val="24"/>
        </w:rPr>
        <w:t xml:space="preserve"> </w:t>
      </w:r>
      <w:r w:rsidR="00281974" w:rsidRPr="00281974">
        <w:rPr>
          <w:rFonts w:ascii="Times New Roman" w:hAnsi="Times New Roman" w:cs="Times New Roman"/>
          <w:color w:val="FF0000"/>
          <w:sz w:val="24"/>
          <w:szCs w:val="24"/>
        </w:rPr>
        <w:t>(Référence)</w:t>
      </w:r>
      <w:r w:rsidRPr="00281974">
        <w:rPr>
          <w:rFonts w:ascii="Times New Roman" w:hAnsi="Times New Roman" w:cs="Times New Roman"/>
          <w:color w:val="FF0000"/>
          <w:sz w:val="24"/>
          <w:szCs w:val="24"/>
        </w:rPr>
        <w:t xml:space="preserve">. </w:t>
      </w:r>
      <w:r w:rsidRPr="000A4A0F">
        <w:rPr>
          <w:rFonts w:ascii="Times New Roman" w:hAnsi="Times New Roman" w:cs="Times New Roman"/>
          <w:sz w:val="24"/>
          <w:szCs w:val="24"/>
        </w:rPr>
        <w:t>Cette ville comprend 3 communes, et au carrefour de ces trois communes se trouve</w:t>
      </w:r>
      <w:r w:rsidR="00F96154" w:rsidRPr="000A4A0F">
        <w:rPr>
          <w:rFonts w:ascii="Times New Roman" w:hAnsi="Times New Roman" w:cs="Times New Roman"/>
          <w:sz w:val="24"/>
          <w:szCs w:val="24"/>
        </w:rPr>
        <w:t xml:space="preserve"> </w:t>
      </w:r>
      <w:r w:rsidR="00C00E3D" w:rsidRPr="000A4A0F">
        <w:rPr>
          <w:rFonts w:ascii="Times New Roman" w:hAnsi="Times New Roman" w:cs="Times New Roman"/>
          <w:sz w:val="24"/>
          <w:szCs w:val="24"/>
        </w:rPr>
        <w:t>l’HPGRB.</w:t>
      </w:r>
    </w:p>
    <w:p w14:paraId="130A4591" w14:textId="079B3D73" w:rsidR="00F96154" w:rsidRPr="000A4A0F" w:rsidRDefault="00F96154"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C’est un hôpital de 500 lits sous la gestion de l’Archidiocèse de Bukavu après sa cession par le gouvernement congolais depuis </w:t>
      </w:r>
      <w:r w:rsidRPr="000A4A0F">
        <w:rPr>
          <w:rFonts w:ascii="Times New Roman" w:eastAsia="Times New Roman" w:hAnsi="Times New Roman" w:cs="Times New Roman"/>
          <w:color w:val="323232"/>
          <w:sz w:val="24"/>
          <w:szCs w:val="24"/>
          <w:lang w:eastAsia="fr-FR"/>
        </w:rPr>
        <w:t>du 24 Avril 1995</w:t>
      </w:r>
      <w:r w:rsidRPr="000A4A0F">
        <w:rPr>
          <w:rFonts w:ascii="Times New Roman" w:hAnsi="Times New Roman" w:cs="Times New Roman"/>
          <w:sz w:val="24"/>
          <w:szCs w:val="24"/>
        </w:rPr>
        <w:t>.</w:t>
      </w:r>
    </w:p>
    <w:p w14:paraId="0C1B7471" w14:textId="77777777" w:rsidR="006474DB" w:rsidRPr="000A4A0F" w:rsidRDefault="008312C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hAnsi="Times New Roman" w:cs="Times New Roman"/>
          <w:sz w:val="24"/>
          <w:szCs w:val="24"/>
        </w:rPr>
        <w:t>Cet hôpital sert de référence pour toute la province, mais reçoit aussi certains patients provenant des villes voisines</w:t>
      </w:r>
      <w:r w:rsidR="00192A7B" w:rsidRPr="000A4A0F">
        <w:rPr>
          <w:rFonts w:ascii="Times New Roman" w:hAnsi="Times New Roman" w:cs="Times New Roman"/>
          <w:sz w:val="24"/>
          <w:szCs w:val="24"/>
        </w:rPr>
        <w:t xml:space="preserve"> comme la ville de Goma, </w:t>
      </w:r>
      <w:proofErr w:type="spellStart"/>
      <w:r w:rsidR="00192A7B" w:rsidRPr="000A4A0F">
        <w:rPr>
          <w:rFonts w:ascii="Times New Roman" w:hAnsi="Times New Roman" w:cs="Times New Roman"/>
          <w:sz w:val="24"/>
          <w:szCs w:val="24"/>
        </w:rPr>
        <w:t>kindu</w:t>
      </w:r>
      <w:proofErr w:type="spellEnd"/>
      <w:r w:rsidR="00192A7B" w:rsidRPr="000A4A0F">
        <w:rPr>
          <w:rFonts w:ascii="Times New Roman" w:hAnsi="Times New Roman" w:cs="Times New Roman"/>
          <w:sz w:val="24"/>
          <w:szCs w:val="24"/>
        </w:rPr>
        <w:t>.</w:t>
      </w:r>
      <w:r w:rsidRPr="000A4A0F">
        <w:rPr>
          <w:rFonts w:ascii="Times New Roman" w:hAnsi="Times New Roman" w:cs="Times New Roman"/>
          <w:sz w:val="24"/>
          <w:szCs w:val="24"/>
        </w:rPr>
        <w:t xml:space="preserve"> Il compte au total 6 départements (Pédiatrie, Chirurgie, Médecine interne, Gynéco-obstétrique, Sp</w:t>
      </w:r>
      <w:r w:rsidR="005A7099" w:rsidRPr="000A4A0F">
        <w:rPr>
          <w:rFonts w:ascii="Times New Roman" w:hAnsi="Times New Roman" w:cs="Times New Roman"/>
          <w:sz w:val="24"/>
          <w:szCs w:val="24"/>
        </w:rPr>
        <w:t>écialités et Biologie médicale</w:t>
      </w:r>
      <w:r w:rsidRPr="000A4A0F">
        <w:rPr>
          <w:rFonts w:ascii="Times New Roman" w:hAnsi="Times New Roman" w:cs="Times New Roman"/>
          <w:sz w:val="24"/>
          <w:szCs w:val="24"/>
        </w:rPr>
        <w:t>)</w:t>
      </w:r>
      <w:r w:rsidR="00384E95" w:rsidRPr="000A4A0F">
        <w:rPr>
          <w:rFonts w:ascii="Times New Roman" w:hAnsi="Times New Roman" w:cs="Times New Roman"/>
          <w:sz w:val="24"/>
          <w:szCs w:val="24"/>
        </w:rPr>
        <w:t>.</w:t>
      </w:r>
    </w:p>
    <w:p w14:paraId="144EBF56" w14:textId="77777777" w:rsidR="00B40245" w:rsidRPr="000A4A0F" w:rsidRDefault="008312CF"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Le département</w:t>
      </w:r>
      <w:r w:rsidR="005A7099" w:rsidRPr="000A4A0F">
        <w:rPr>
          <w:rFonts w:ascii="Times New Roman" w:hAnsi="Times New Roman" w:cs="Times New Roman"/>
          <w:sz w:val="24"/>
          <w:szCs w:val="24"/>
        </w:rPr>
        <w:t xml:space="preserve"> de</w:t>
      </w:r>
      <w:r w:rsidRPr="000A4A0F">
        <w:rPr>
          <w:rFonts w:ascii="Times New Roman" w:hAnsi="Times New Roman" w:cs="Times New Roman"/>
          <w:sz w:val="24"/>
          <w:szCs w:val="24"/>
        </w:rPr>
        <w:t xml:space="preserve"> pédiatrie compte à son tour 3 services : la pédiatrie générale, la Néonatologie et le centre nutritionnel. Ce dernier fonctionne en étroite collaboration avec le service d’obstétrique. </w:t>
      </w:r>
    </w:p>
    <w:p w14:paraId="2C0F0722" w14:textId="77777777" w:rsidR="00B40245" w:rsidRPr="00FA0F3C" w:rsidRDefault="00B40245" w:rsidP="006612D9">
      <w:pPr>
        <w:shd w:val="clear" w:color="auto" w:fill="FFFFFF"/>
        <w:spacing w:after="0" w:line="360" w:lineRule="auto"/>
        <w:jc w:val="both"/>
        <w:textAlignment w:val="baseline"/>
        <w:rPr>
          <w:rFonts w:ascii="Times New Roman" w:hAnsi="Times New Roman" w:cs="Times New Roman"/>
          <w:strike/>
          <w:sz w:val="24"/>
          <w:szCs w:val="24"/>
        </w:rPr>
      </w:pPr>
      <w:r w:rsidRPr="00FA0F3C">
        <w:rPr>
          <w:rFonts w:ascii="Times New Roman" w:hAnsi="Times New Roman" w:cs="Times New Roman"/>
          <w:strike/>
          <w:sz w:val="24"/>
          <w:szCs w:val="24"/>
          <w:highlight w:val="yellow"/>
        </w:rPr>
        <w:t xml:space="preserve">La Néonatologie est située à </w:t>
      </w:r>
      <w:r w:rsidR="00EA2705" w:rsidRPr="00FA0F3C">
        <w:rPr>
          <w:rFonts w:ascii="Times New Roman" w:hAnsi="Times New Roman" w:cs="Times New Roman"/>
          <w:strike/>
          <w:sz w:val="24"/>
          <w:szCs w:val="24"/>
          <w:highlight w:val="yellow"/>
        </w:rPr>
        <w:t>côté</w:t>
      </w:r>
      <w:r w:rsidRPr="00FA0F3C">
        <w:rPr>
          <w:rFonts w:ascii="Times New Roman" w:hAnsi="Times New Roman" w:cs="Times New Roman"/>
          <w:strike/>
          <w:sz w:val="24"/>
          <w:szCs w:val="24"/>
          <w:highlight w:val="yellow"/>
        </w:rPr>
        <w:t xml:space="preserve"> de la maternité.</w:t>
      </w:r>
    </w:p>
    <w:p w14:paraId="2693F07E" w14:textId="797214E2" w:rsidR="001A499F" w:rsidRPr="000A4A0F" w:rsidRDefault="005A7099"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 service de néonatologie est en étroite collaboration avec l’obstétrique et tout </w:t>
      </w:r>
      <w:r w:rsidR="002A3447" w:rsidRPr="000A4A0F">
        <w:rPr>
          <w:rFonts w:ascii="Times New Roman" w:hAnsi="Times New Roman" w:cs="Times New Roman"/>
          <w:sz w:val="24"/>
          <w:szCs w:val="24"/>
        </w:rPr>
        <w:t>nouveau-né</w:t>
      </w:r>
      <w:r w:rsidRPr="000A4A0F">
        <w:rPr>
          <w:rFonts w:ascii="Times New Roman" w:hAnsi="Times New Roman" w:cs="Times New Roman"/>
          <w:sz w:val="24"/>
          <w:szCs w:val="24"/>
        </w:rPr>
        <w:t xml:space="preserve"> avant sa sortie de l’</w:t>
      </w:r>
      <w:r w:rsidR="007A40C4" w:rsidRPr="000A4A0F">
        <w:rPr>
          <w:rFonts w:ascii="Times New Roman" w:hAnsi="Times New Roman" w:cs="Times New Roman"/>
          <w:sz w:val="24"/>
          <w:szCs w:val="24"/>
        </w:rPr>
        <w:t>hôpital</w:t>
      </w:r>
      <w:r w:rsidRPr="000A4A0F">
        <w:rPr>
          <w:rFonts w:ascii="Times New Roman" w:hAnsi="Times New Roman" w:cs="Times New Roman"/>
          <w:sz w:val="24"/>
          <w:szCs w:val="24"/>
        </w:rPr>
        <w:t xml:space="preserve"> doit </w:t>
      </w:r>
      <w:r w:rsidR="007A40C4" w:rsidRPr="000A4A0F">
        <w:rPr>
          <w:rFonts w:ascii="Times New Roman" w:hAnsi="Times New Roman" w:cs="Times New Roman"/>
          <w:sz w:val="24"/>
          <w:szCs w:val="24"/>
        </w:rPr>
        <w:t xml:space="preserve">être </w:t>
      </w:r>
      <w:r w:rsidR="002A3447" w:rsidRPr="000A4A0F">
        <w:rPr>
          <w:rFonts w:ascii="Times New Roman" w:hAnsi="Times New Roman" w:cs="Times New Roman"/>
          <w:sz w:val="24"/>
          <w:szCs w:val="24"/>
        </w:rPr>
        <w:t>évalué</w:t>
      </w:r>
      <w:r w:rsidR="007A40C4" w:rsidRPr="000A4A0F">
        <w:rPr>
          <w:rFonts w:ascii="Times New Roman" w:hAnsi="Times New Roman" w:cs="Times New Roman"/>
          <w:sz w:val="24"/>
          <w:szCs w:val="24"/>
        </w:rPr>
        <w:t xml:space="preserve"> par un pédiatre</w:t>
      </w:r>
      <w:r w:rsidRPr="000A4A0F">
        <w:rPr>
          <w:rFonts w:ascii="Times New Roman" w:hAnsi="Times New Roman" w:cs="Times New Roman"/>
          <w:sz w:val="24"/>
          <w:szCs w:val="24"/>
        </w:rPr>
        <w:t xml:space="preserve"> et un 2</w:t>
      </w:r>
      <w:r w:rsidR="002E2FBA" w:rsidRPr="000A4A0F">
        <w:rPr>
          <w:rFonts w:ascii="Times New Roman" w:hAnsi="Times New Roman" w:cs="Times New Roman"/>
          <w:sz w:val="24"/>
          <w:szCs w:val="24"/>
          <w:vertAlign w:val="superscript"/>
        </w:rPr>
        <w:t>eme</w:t>
      </w:r>
      <w:r w:rsidR="002E2FBA" w:rsidRPr="000A4A0F">
        <w:rPr>
          <w:rFonts w:ascii="Times New Roman" w:hAnsi="Times New Roman" w:cs="Times New Roman"/>
          <w:sz w:val="24"/>
          <w:szCs w:val="24"/>
        </w:rPr>
        <w:t xml:space="preserve"> </w:t>
      </w:r>
      <w:r w:rsidR="00594316" w:rsidRPr="000A4A0F">
        <w:rPr>
          <w:rFonts w:ascii="Times New Roman" w:hAnsi="Times New Roman" w:cs="Times New Roman"/>
          <w:sz w:val="24"/>
          <w:szCs w:val="24"/>
        </w:rPr>
        <w:t>examen est</w:t>
      </w:r>
      <w:r w:rsidR="002E2FBA" w:rsidRPr="000A4A0F">
        <w:rPr>
          <w:rFonts w:ascii="Times New Roman" w:hAnsi="Times New Roman" w:cs="Times New Roman"/>
          <w:sz w:val="24"/>
          <w:szCs w:val="24"/>
        </w:rPr>
        <w:t xml:space="preserve"> planifié</w:t>
      </w:r>
      <w:r w:rsidRPr="000A4A0F">
        <w:rPr>
          <w:rFonts w:ascii="Times New Roman" w:hAnsi="Times New Roman" w:cs="Times New Roman"/>
          <w:sz w:val="24"/>
          <w:szCs w:val="24"/>
        </w:rPr>
        <w:t xml:space="preserve"> </w:t>
      </w:r>
      <w:r w:rsidR="002E2FBA" w:rsidRPr="000A4A0F">
        <w:rPr>
          <w:rFonts w:ascii="Times New Roman" w:hAnsi="Times New Roman" w:cs="Times New Roman"/>
          <w:sz w:val="24"/>
          <w:szCs w:val="24"/>
        </w:rPr>
        <w:t>à</w:t>
      </w:r>
      <w:r w:rsidR="001A499F" w:rsidRPr="000A4A0F">
        <w:rPr>
          <w:rFonts w:ascii="Times New Roman" w:hAnsi="Times New Roman" w:cs="Times New Roman"/>
          <w:sz w:val="24"/>
          <w:szCs w:val="24"/>
        </w:rPr>
        <w:t xml:space="preserve"> 2 semaines de vie.</w:t>
      </w:r>
    </w:p>
    <w:p w14:paraId="147DCD0B" w14:textId="77777777" w:rsidR="009B4107" w:rsidRPr="000A4A0F" w:rsidRDefault="001A499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lastRenderedPageBreak/>
        <w:t>Il reçoit des nouveau-nés amenés de la maternité de l’hôpital a</w:t>
      </w:r>
      <w:r w:rsidR="002A3447" w:rsidRPr="000A4A0F">
        <w:rPr>
          <w:rFonts w:ascii="Times New Roman" w:eastAsia="Times New Roman" w:hAnsi="Times New Roman" w:cs="Times New Roman"/>
          <w:color w:val="000000"/>
          <w:sz w:val="24"/>
          <w:szCs w:val="24"/>
          <w:lang w:eastAsia="fr-FR"/>
        </w:rPr>
        <w:t xml:space="preserve">insi que ceux référés d’autres </w:t>
      </w:r>
      <w:r w:rsidR="0019637D" w:rsidRPr="000A4A0F">
        <w:rPr>
          <w:rFonts w:ascii="Times New Roman" w:eastAsia="Times New Roman" w:hAnsi="Times New Roman" w:cs="Times New Roman"/>
          <w:color w:val="000000"/>
          <w:sz w:val="24"/>
          <w:szCs w:val="24"/>
          <w:lang w:eastAsia="fr-FR"/>
        </w:rPr>
        <w:t>Hôpitaux</w:t>
      </w:r>
      <w:r w:rsidR="009B4107" w:rsidRPr="000A4A0F">
        <w:rPr>
          <w:rFonts w:ascii="Times New Roman" w:eastAsia="Times New Roman" w:hAnsi="Times New Roman" w:cs="Times New Roman"/>
          <w:color w:val="000000"/>
          <w:sz w:val="24"/>
          <w:szCs w:val="24"/>
          <w:lang w:eastAsia="fr-FR"/>
        </w:rPr>
        <w:t>.</w:t>
      </w:r>
    </w:p>
    <w:p w14:paraId="55285361" w14:textId="5B98434A" w:rsidR="00317294" w:rsidRPr="000A4A0F" w:rsidRDefault="00C56F0C"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Le service de </w:t>
      </w:r>
      <w:r w:rsidR="00594316" w:rsidRPr="000A4A0F">
        <w:rPr>
          <w:rFonts w:ascii="Times New Roman" w:eastAsia="Times New Roman" w:hAnsi="Times New Roman" w:cs="Times New Roman"/>
          <w:color w:val="000000"/>
          <w:sz w:val="24"/>
          <w:szCs w:val="24"/>
          <w:lang w:eastAsia="fr-FR"/>
        </w:rPr>
        <w:t>néonatologie comprend</w:t>
      </w:r>
      <w:r w:rsidRPr="000A4A0F">
        <w:rPr>
          <w:rFonts w:ascii="Times New Roman" w:eastAsia="Times New Roman" w:hAnsi="Times New Roman" w:cs="Times New Roman"/>
          <w:color w:val="000000"/>
          <w:sz w:val="24"/>
          <w:szCs w:val="24"/>
          <w:lang w:eastAsia="fr-FR"/>
        </w:rPr>
        <w:t xml:space="preserve"> l’unité de soins intensifs néonatals et l’unité de nouveau-né stable.</w:t>
      </w:r>
    </w:p>
    <w:p w14:paraId="273F87C2" w14:textId="63FB055C" w:rsidR="00DC5989" w:rsidRPr="000A4A0F" w:rsidRDefault="00C1794F" w:rsidP="006612D9">
      <w:pPr>
        <w:pStyle w:val="Titre2"/>
        <w:spacing w:before="0"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2. PROCEDURE</w:t>
      </w:r>
      <w:r w:rsidR="00027B06" w:rsidRPr="000A4A0F">
        <w:rPr>
          <w:rFonts w:ascii="Times New Roman" w:hAnsi="Times New Roman" w:cs="Times New Roman"/>
          <w:b/>
          <w:sz w:val="24"/>
          <w:szCs w:val="24"/>
        </w:rPr>
        <w:t xml:space="preserve"> DE LA COLLECTE DES </w:t>
      </w:r>
      <w:commentRangeStart w:id="44"/>
      <w:r w:rsidR="00027B06" w:rsidRPr="000A4A0F">
        <w:rPr>
          <w:rFonts w:ascii="Times New Roman" w:hAnsi="Times New Roman" w:cs="Times New Roman"/>
          <w:b/>
          <w:sz w:val="24"/>
          <w:szCs w:val="24"/>
        </w:rPr>
        <w:t>DONNEES</w:t>
      </w:r>
      <w:commentRangeEnd w:id="44"/>
      <w:r w:rsidR="00281974">
        <w:rPr>
          <w:rStyle w:val="Marquedecommentaire"/>
          <w:rFonts w:ascii="Calibri" w:eastAsia="DejaVu Sans" w:hAnsi="Calibri" w:cs="Calibri"/>
          <w:color w:val="00000A"/>
        </w:rPr>
        <w:commentReference w:id="44"/>
      </w:r>
      <w:r w:rsidR="00027B06" w:rsidRPr="000A4A0F">
        <w:rPr>
          <w:rFonts w:ascii="Times New Roman" w:hAnsi="Times New Roman" w:cs="Times New Roman"/>
          <w:b/>
          <w:sz w:val="24"/>
          <w:szCs w:val="24"/>
        </w:rPr>
        <w:t>.</w:t>
      </w:r>
      <w:r w:rsidR="00281974">
        <w:rPr>
          <w:rFonts w:ascii="Times New Roman" w:hAnsi="Times New Roman" w:cs="Times New Roman"/>
          <w:b/>
          <w:sz w:val="24"/>
          <w:szCs w:val="24"/>
        </w:rPr>
        <w:t xml:space="preserve"> </w:t>
      </w:r>
    </w:p>
    <w:p w14:paraId="4471770E" w14:textId="59853BF2" w:rsidR="00D43E08" w:rsidRPr="000A4A0F" w:rsidRDefault="00DC5989" w:rsidP="006612D9">
      <w:pPr>
        <w:spacing w:after="0"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Les échantillons ont </w:t>
      </w:r>
      <w:r w:rsidR="00594316" w:rsidRPr="000A4A0F">
        <w:rPr>
          <w:rFonts w:ascii="Times New Roman" w:hAnsi="Times New Roman" w:cs="Times New Roman"/>
          <w:sz w:val="24"/>
          <w:szCs w:val="24"/>
        </w:rPr>
        <w:t>été collectés en</w:t>
      </w:r>
      <w:r w:rsidRPr="000A4A0F">
        <w:rPr>
          <w:rFonts w:ascii="Times New Roman" w:hAnsi="Times New Roman" w:cs="Times New Roman"/>
          <w:sz w:val="24"/>
          <w:szCs w:val="24"/>
        </w:rPr>
        <w:t xml:space="preserve"> collaboration avec l’équipe des médecins et infirmiers de </w:t>
      </w:r>
      <w:r w:rsidR="00594316" w:rsidRPr="000A4A0F">
        <w:rPr>
          <w:rFonts w:ascii="Times New Roman" w:hAnsi="Times New Roman" w:cs="Times New Roman"/>
          <w:sz w:val="24"/>
          <w:szCs w:val="24"/>
        </w:rPr>
        <w:t>néonatologie de</w:t>
      </w:r>
      <w:r w:rsidRPr="000A4A0F">
        <w:rPr>
          <w:rFonts w:ascii="Times New Roman" w:hAnsi="Times New Roman" w:cs="Times New Roman"/>
          <w:sz w:val="24"/>
          <w:szCs w:val="24"/>
        </w:rPr>
        <w:t xml:space="preserve"> l’HPGRB, après une formation sur le formulaire de suivi.</w:t>
      </w:r>
    </w:p>
    <w:p w14:paraId="71311DA4" w14:textId="229678DF" w:rsidR="00D43E08" w:rsidRPr="000A4A0F" w:rsidRDefault="00D43E08" w:rsidP="006612D9">
      <w:pPr>
        <w:spacing w:after="0"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Au départ les parents de nouveau-nés avec ictère étaient </w:t>
      </w:r>
      <w:r w:rsidR="00A44EE6" w:rsidRPr="000A4A0F">
        <w:rPr>
          <w:rFonts w:ascii="Times New Roman" w:hAnsi="Times New Roman" w:cs="Times New Roman"/>
          <w:sz w:val="24"/>
          <w:szCs w:val="24"/>
        </w:rPr>
        <w:t>éclairés</w:t>
      </w:r>
      <w:r w:rsidRPr="000A4A0F">
        <w:rPr>
          <w:rFonts w:ascii="Times New Roman" w:hAnsi="Times New Roman" w:cs="Times New Roman"/>
          <w:sz w:val="24"/>
          <w:szCs w:val="24"/>
        </w:rPr>
        <w:t xml:space="preserve"> sur le rôle de l’étude et on solliciter leur accord pour participer </w:t>
      </w:r>
      <w:r w:rsidR="00A44EE6" w:rsidRPr="000A4A0F">
        <w:rPr>
          <w:rFonts w:ascii="Times New Roman" w:hAnsi="Times New Roman" w:cs="Times New Roman"/>
          <w:sz w:val="24"/>
          <w:szCs w:val="24"/>
        </w:rPr>
        <w:t>à</w:t>
      </w:r>
      <w:r w:rsidRPr="000A4A0F">
        <w:rPr>
          <w:rFonts w:ascii="Times New Roman" w:hAnsi="Times New Roman" w:cs="Times New Roman"/>
          <w:sz w:val="24"/>
          <w:szCs w:val="24"/>
        </w:rPr>
        <w:t xml:space="preserve"> l’étude.</w:t>
      </w:r>
    </w:p>
    <w:p w14:paraId="17BC4FC4" w14:textId="3A891A76" w:rsidR="00A44EE6" w:rsidRPr="000A4A0F" w:rsidRDefault="00A44EE6" w:rsidP="006612D9">
      <w:pPr>
        <w:spacing w:after="0" w:line="360" w:lineRule="auto"/>
        <w:jc w:val="both"/>
        <w:rPr>
          <w:rFonts w:ascii="Times New Roman" w:hAnsi="Times New Roman" w:cs="Times New Roman"/>
          <w:sz w:val="24"/>
          <w:szCs w:val="24"/>
        </w:rPr>
      </w:pPr>
      <w:r w:rsidRPr="000A4A0F">
        <w:rPr>
          <w:rFonts w:ascii="Times New Roman" w:hAnsi="Times New Roman" w:cs="Times New Roman"/>
          <w:sz w:val="24"/>
          <w:szCs w:val="24"/>
        </w:rPr>
        <w:t>Apres consentement, les données sur l’anamnèse gestationnel gestations étaient recueillies sur la fiche d’enquête.</w:t>
      </w:r>
    </w:p>
    <w:p w14:paraId="38C8FBFB" w14:textId="22591F79" w:rsidR="00A44EE6" w:rsidRPr="000A4A0F" w:rsidRDefault="00A44EE6" w:rsidP="006612D9">
      <w:pPr>
        <w:spacing w:after="0" w:line="360" w:lineRule="auto"/>
        <w:jc w:val="both"/>
        <w:rPr>
          <w:rFonts w:ascii="Times New Roman" w:hAnsi="Times New Roman" w:cs="Times New Roman"/>
          <w:sz w:val="24"/>
          <w:szCs w:val="24"/>
        </w:rPr>
      </w:pPr>
      <w:r w:rsidRPr="000A4A0F">
        <w:rPr>
          <w:rFonts w:ascii="Times New Roman" w:hAnsi="Times New Roman" w:cs="Times New Roman"/>
          <w:sz w:val="24"/>
          <w:szCs w:val="24"/>
        </w:rPr>
        <w:t>La voie principale de recrutement était autours de l’examen systématique avant sortie de l’Hôpital.</w:t>
      </w:r>
    </w:p>
    <w:p w14:paraId="4C8DAE8C" w14:textId="3B17EB98" w:rsidR="00A44EE6" w:rsidRPr="000A4A0F" w:rsidRDefault="00A44EE6" w:rsidP="006612D9">
      <w:pPr>
        <w:spacing w:after="0"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L’autre voie d’entrée </w:t>
      </w:r>
      <w:r w:rsidR="00594316" w:rsidRPr="000A4A0F">
        <w:rPr>
          <w:rFonts w:ascii="Times New Roman" w:hAnsi="Times New Roman" w:cs="Times New Roman"/>
          <w:sz w:val="24"/>
          <w:szCs w:val="24"/>
        </w:rPr>
        <w:t>était via</w:t>
      </w:r>
      <w:r w:rsidR="009118AD" w:rsidRPr="000A4A0F">
        <w:rPr>
          <w:rFonts w:ascii="Times New Roman" w:hAnsi="Times New Roman" w:cs="Times New Roman"/>
          <w:sz w:val="24"/>
          <w:szCs w:val="24"/>
        </w:rPr>
        <w:t xml:space="preserve"> le service de Gynéco-obsté</w:t>
      </w:r>
      <w:r w:rsidRPr="000A4A0F">
        <w:rPr>
          <w:rFonts w:ascii="Times New Roman" w:hAnsi="Times New Roman" w:cs="Times New Roman"/>
          <w:sz w:val="24"/>
          <w:szCs w:val="24"/>
        </w:rPr>
        <w:t>trique pour une prise en charge des nouveau-nés naissant à la maternité avec ictère. En fin pour l’ictère tardifs, ils étaient découvert soit lors de l’examen contrôle a 2 semaine de vie soit qu’il était transféré.</w:t>
      </w:r>
    </w:p>
    <w:p w14:paraId="6778A2F0" w14:textId="470D0D74" w:rsidR="00E63FF5" w:rsidRPr="000A4A0F" w:rsidRDefault="00E63FF5" w:rsidP="006612D9">
      <w:pPr>
        <w:spacing w:after="0" w:line="360" w:lineRule="auto"/>
        <w:jc w:val="both"/>
        <w:rPr>
          <w:rFonts w:ascii="Times New Roman" w:hAnsi="Times New Roman" w:cs="Times New Roman"/>
          <w:sz w:val="24"/>
          <w:szCs w:val="24"/>
        </w:rPr>
      </w:pPr>
      <w:r w:rsidRPr="000A4A0F">
        <w:rPr>
          <w:rFonts w:ascii="Times New Roman" w:hAnsi="Times New Roman" w:cs="Times New Roman"/>
          <w:sz w:val="24"/>
          <w:szCs w:val="24"/>
        </w:rPr>
        <w:t>Une fois compléter les données anamnesti</w:t>
      </w:r>
      <w:r w:rsidR="009118AD" w:rsidRPr="000A4A0F">
        <w:rPr>
          <w:rFonts w:ascii="Times New Roman" w:hAnsi="Times New Roman" w:cs="Times New Roman"/>
          <w:sz w:val="24"/>
          <w:szCs w:val="24"/>
        </w:rPr>
        <w:t xml:space="preserve">ques, l’examen </w:t>
      </w:r>
      <w:r w:rsidR="00594316" w:rsidRPr="000A4A0F">
        <w:rPr>
          <w:rFonts w:ascii="Times New Roman" w:hAnsi="Times New Roman" w:cs="Times New Roman"/>
          <w:sz w:val="24"/>
          <w:szCs w:val="24"/>
        </w:rPr>
        <w:t>clinique complet</w:t>
      </w:r>
      <w:r w:rsidRPr="000A4A0F">
        <w:rPr>
          <w:rFonts w:ascii="Times New Roman" w:hAnsi="Times New Roman" w:cs="Times New Roman"/>
          <w:sz w:val="24"/>
          <w:szCs w:val="24"/>
        </w:rPr>
        <w:t xml:space="preserve"> du nouveau-né était réalisé par un médecin de la néonatologie.</w:t>
      </w:r>
    </w:p>
    <w:p w14:paraId="7D22DC80" w14:textId="1309D8DD" w:rsidR="00E63FF5" w:rsidRPr="000A4A0F" w:rsidRDefault="009A3EFA" w:rsidP="006612D9">
      <w:pPr>
        <w:spacing w:after="0" w:line="360" w:lineRule="auto"/>
        <w:jc w:val="both"/>
        <w:rPr>
          <w:rFonts w:ascii="Times New Roman" w:hAnsi="Times New Roman" w:cs="Times New Roman"/>
          <w:sz w:val="24"/>
          <w:szCs w:val="24"/>
        </w:rPr>
      </w:pPr>
      <w:r w:rsidRPr="000A4A0F">
        <w:rPr>
          <w:rFonts w:ascii="Times New Roman" w:hAnsi="Times New Roman" w:cs="Times New Roman"/>
          <w:sz w:val="24"/>
          <w:szCs w:val="24"/>
        </w:rPr>
        <w:t>Aprè</w:t>
      </w:r>
      <w:r w:rsidR="00E63FF5" w:rsidRPr="000A4A0F">
        <w:rPr>
          <w:rFonts w:ascii="Times New Roman" w:hAnsi="Times New Roman" w:cs="Times New Roman"/>
          <w:sz w:val="24"/>
          <w:szCs w:val="24"/>
        </w:rPr>
        <w:t>s examen clinique, différents bil</w:t>
      </w:r>
      <w:r w:rsidRPr="000A4A0F">
        <w:rPr>
          <w:rFonts w:ascii="Times New Roman" w:hAnsi="Times New Roman" w:cs="Times New Roman"/>
          <w:sz w:val="24"/>
          <w:szCs w:val="24"/>
        </w:rPr>
        <w:t xml:space="preserve">ans biologiques </w:t>
      </w:r>
      <w:r w:rsidR="00594316" w:rsidRPr="000A4A0F">
        <w:rPr>
          <w:rFonts w:ascii="Times New Roman" w:hAnsi="Times New Roman" w:cs="Times New Roman"/>
          <w:sz w:val="24"/>
          <w:szCs w:val="24"/>
        </w:rPr>
        <w:t>étaient analysé</w:t>
      </w:r>
      <w:r w:rsidR="00E63FF5" w:rsidRPr="000A4A0F">
        <w:rPr>
          <w:rFonts w:ascii="Times New Roman" w:hAnsi="Times New Roman" w:cs="Times New Roman"/>
          <w:sz w:val="24"/>
          <w:szCs w:val="24"/>
        </w:rPr>
        <w:t xml:space="preserve"> au niveau du laboratoire de l’HPGRB comp</w:t>
      </w:r>
      <w:r w:rsidR="00F87FC5" w:rsidRPr="000A4A0F">
        <w:rPr>
          <w:rFonts w:ascii="Times New Roman" w:hAnsi="Times New Roman" w:cs="Times New Roman"/>
          <w:sz w:val="24"/>
          <w:szCs w:val="24"/>
        </w:rPr>
        <w:t xml:space="preserve">renant la BT et </w:t>
      </w:r>
      <w:r w:rsidRPr="000A4A0F">
        <w:rPr>
          <w:rFonts w:ascii="Times New Roman" w:hAnsi="Times New Roman" w:cs="Times New Roman"/>
          <w:sz w:val="24"/>
          <w:szCs w:val="24"/>
        </w:rPr>
        <w:t xml:space="preserve">C, NFS, CRP, PCT. </w:t>
      </w:r>
    </w:p>
    <w:p w14:paraId="7206E1DB" w14:textId="0D138147" w:rsidR="00E63FF5" w:rsidRPr="000A4A0F" w:rsidRDefault="00E63FF5" w:rsidP="006612D9">
      <w:pPr>
        <w:shd w:val="clear" w:color="auto" w:fill="FFFFFF"/>
        <w:spacing w:after="0" w:line="360" w:lineRule="auto"/>
        <w:jc w:val="both"/>
        <w:textAlignment w:val="baseline"/>
        <w:rPr>
          <w:rFonts w:ascii="Times New Roman" w:eastAsia="Times New Roman" w:hAnsi="Times New Roman" w:cs="Times New Roman"/>
          <w:color w:val="FF0000"/>
          <w:sz w:val="24"/>
          <w:szCs w:val="24"/>
          <w:lang w:eastAsia="fr-FR"/>
        </w:rPr>
      </w:pPr>
      <w:r w:rsidRPr="000A4A0F">
        <w:rPr>
          <w:rFonts w:ascii="Times New Roman" w:eastAsia="Times New Roman" w:hAnsi="Times New Roman" w:cs="Times New Roman"/>
          <w:color w:val="000000"/>
          <w:sz w:val="24"/>
          <w:szCs w:val="24"/>
          <w:lang w:eastAsia="fr-FR"/>
        </w:rPr>
        <w:t xml:space="preserve">Le prélèvement était fait dans des tubes secs protégés de la lumière et immédiatement envoyés au laboratoire pour le dosage pour le dosage de la bilirubine. La méthode utilisée était le dosage par </w:t>
      </w:r>
      <w:r w:rsidRPr="000A4A0F">
        <w:rPr>
          <w:rFonts w:ascii="Times New Roman" w:eastAsia="Times New Roman" w:hAnsi="Times New Roman" w:cs="Times New Roman"/>
          <w:color w:val="auto"/>
          <w:sz w:val="24"/>
          <w:szCs w:val="24"/>
          <w:lang w:eastAsia="fr-FR"/>
        </w:rPr>
        <w:t>diazotation</w:t>
      </w:r>
      <w:r w:rsidRPr="000A4A0F">
        <w:rPr>
          <w:rFonts w:ascii="Times New Roman" w:eastAsia="Times New Roman" w:hAnsi="Times New Roman" w:cs="Times New Roman"/>
          <w:color w:val="FF0000"/>
          <w:sz w:val="24"/>
          <w:szCs w:val="24"/>
          <w:lang w:eastAsia="fr-FR"/>
        </w:rPr>
        <w:t>.</w:t>
      </w:r>
    </w:p>
    <w:p w14:paraId="183A2C62" w14:textId="7BD158F8" w:rsidR="00F87FC5" w:rsidRPr="000A4A0F" w:rsidRDefault="00F87FC5"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En dehors du dosage de la bilirubine, les nouveau-nés bénéficiaient selon le cas d’un bilan biologique à visée étiologique comprenant le groupage sanguin et le facteur rhésus, le dosage du glucose-6-phosphate </w:t>
      </w:r>
      <w:r w:rsidR="009A3EFA" w:rsidRPr="000A4A0F">
        <w:rPr>
          <w:rFonts w:ascii="Times New Roman" w:eastAsia="Times New Roman" w:hAnsi="Times New Roman" w:cs="Times New Roman"/>
          <w:color w:val="000000"/>
          <w:sz w:val="24"/>
          <w:szCs w:val="24"/>
          <w:lang w:eastAsia="fr-FR"/>
        </w:rPr>
        <w:t>déshydrogénase (</w:t>
      </w:r>
      <w:r w:rsidR="00FC4BB6" w:rsidRPr="000A4A0F">
        <w:rPr>
          <w:rFonts w:ascii="Times New Roman" w:eastAsia="Times New Roman" w:hAnsi="Times New Roman" w:cs="Times New Roman"/>
          <w:color w:val="000000"/>
          <w:sz w:val="24"/>
          <w:szCs w:val="24"/>
          <w:lang w:eastAsia="fr-FR"/>
        </w:rPr>
        <w:t>134 patients)</w:t>
      </w:r>
      <w:r w:rsidRPr="000A4A0F">
        <w:rPr>
          <w:rFonts w:ascii="Times New Roman" w:eastAsia="Times New Roman" w:hAnsi="Times New Roman" w:cs="Times New Roman"/>
          <w:color w:val="000000"/>
          <w:sz w:val="24"/>
          <w:szCs w:val="24"/>
          <w:lang w:eastAsia="fr-FR"/>
        </w:rPr>
        <w:t>, la protéine C réactive, la numération formule sanguine.</w:t>
      </w:r>
    </w:p>
    <w:p w14:paraId="70680FA7" w14:textId="6ED0177F" w:rsidR="00F87FC5" w:rsidRPr="000A4A0F" w:rsidRDefault="00027B06"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La BT et C était analysé par </w:t>
      </w:r>
      <w:r w:rsidR="001605F6" w:rsidRPr="000A4A0F">
        <w:rPr>
          <w:rFonts w:ascii="Times New Roman" w:eastAsia="Times New Roman" w:hAnsi="Times New Roman" w:cs="Times New Roman"/>
          <w:color w:val="000000"/>
          <w:sz w:val="24"/>
          <w:szCs w:val="24"/>
          <w:lang w:eastAsia="fr-FR"/>
        </w:rPr>
        <w:t>spectrophotométrie, la</w:t>
      </w:r>
      <w:r w:rsidR="00F87FC5" w:rsidRPr="000A4A0F">
        <w:rPr>
          <w:rFonts w:ascii="Times New Roman" w:eastAsia="Times New Roman" w:hAnsi="Times New Roman" w:cs="Times New Roman"/>
          <w:color w:val="000000"/>
          <w:sz w:val="24"/>
          <w:szCs w:val="24"/>
          <w:lang w:eastAsia="fr-FR"/>
        </w:rPr>
        <w:t xml:space="preserve"> CRP et PCT par la méthode </w:t>
      </w:r>
      <w:proofErr w:type="spellStart"/>
      <w:r w:rsidR="00F87FC5" w:rsidRPr="000A4A0F">
        <w:rPr>
          <w:rFonts w:ascii="Times New Roman" w:eastAsia="Times New Roman" w:hAnsi="Times New Roman" w:cs="Times New Roman"/>
          <w:color w:val="000000"/>
          <w:sz w:val="24"/>
          <w:szCs w:val="24"/>
          <w:lang w:eastAsia="fr-FR"/>
        </w:rPr>
        <w:t>immuno-essay</w:t>
      </w:r>
      <w:proofErr w:type="spellEnd"/>
      <w:r w:rsidR="00F87FC5" w:rsidRPr="000A4A0F">
        <w:rPr>
          <w:rFonts w:ascii="Times New Roman" w:eastAsia="Times New Roman" w:hAnsi="Times New Roman" w:cs="Times New Roman"/>
          <w:color w:val="000000"/>
          <w:sz w:val="24"/>
          <w:szCs w:val="24"/>
          <w:lang w:eastAsia="fr-FR"/>
        </w:rPr>
        <w:t xml:space="preserve"> </w:t>
      </w:r>
      <w:r w:rsidR="005B1261" w:rsidRPr="000A4A0F">
        <w:rPr>
          <w:rFonts w:ascii="Times New Roman" w:eastAsia="Times New Roman" w:hAnsi="Times New Roman" w:cs="Times New Roman"/>
          <w:color w:val="000000"/>
          <w:sz w:val="24"/>
          <w:szCs w:val="24"/>
          <w:lang w:eastAsia="fr-FR"/>
        </w:rPr>
        <w:t>à</w:t>
      </w:r>
      <w:r w:rsidR="00F87FC5" w:rsidRPr="000A4A0F">
        <w:rPr>
          <w:rFonts w:ascii="Times New Roman" w:eastAsia="Times New Roman" w:hAnsi="Times New Roman" w:cs="Times New Roman"/>
          <w:color w:val="000000"/>
          <w:sz w:val="24"/>
          <w:szCs w:val="24"/>
          <w:lang w:eastAsia="fr-FR"/>
        </w:rPr>
        <w:t xml:space="preserve"> partir de l’apparei</w:t>
      </w:r>
      <w:r w:rsidR="005B1261" w:rsidRPr="000A4A0F">
        <w:rPr>
          <w:rFonts w:ascii="Times New Roman" w:eastAsia="Times New Roman" w:hAnsi="Times New Roman" w:cs="Times New Roman"/>
          <w:color w:val="000000"/>
          <w:sz w:val="24"/>
          <w:szCs w:val="24"/>
          <w:lang w:eastAsia="fr-FR"/>
        </w:rPr>
        <w:t>l</w:t>
      </w:r>
      <w:r w:rsidR="00F87FC5" w:rsidRPr="000A4A0F">
        <w:rPr>
          <w:rFonts w:ascii="Times New Roman" w:eastAsia="Times New Roman" w:hAnsi="Times New Roman" w:cs="Times New Roman"/>
          <w:color w:val="000000"/>
          <w:sz w:val="24"/>
          <w:szCs w:val="24"/>
          <w:lang w:eastAsia="fr-FR"/>
        </w:rPr>
        <w:t xml:space="preserve"> de marque </w:t>
      </w:r>
      <w:proofErr w:type="spellStart"/>
      <w:r w:rsidR="00F87FC5" w:rsidRPr="000A4A0F">
        <w:rPr>
          <w:rFonts w:ascii="Times New Roman" w:eastAsia="Times New Roman" w:hAnsi="Times New Roman" w:cs="Times New Roman"/>
          <w:color w:val="000000"/>
          <w:sz w:val="24"/>
          <w:szCs w:val="24"/>
          <w:lang w:eastAsia="fr-FR"/>
        </w:rPr>
        <w:t>Genru</w:t>
      </w:r>
      <w:proofErr w:type="spellEnd"/>
      <w:r w:rsidR="00F87FC5" w:rsidRPr="000A4A0F">
        <w:rPr>
          <w:rFonts w:ascii="Times New Roman" w:eastAsia="Times New Roman" w:hAnsi="Times New Roman" w:cs="Times New Roman"/>
          <w:color w:val="000000"/>
          <w:sz w:val="24"/>
          <w:szCs w:val="24"/>
          <w:lang w:eastAsia="fr-FR"/>
        </w:rPr>
        <w:t xml:space="preserve"> PA 120.</w:t>
      </w:r>
    </w:p>
    <w:p w14:paraId="67C8B10A" w14:textId="50237D71" w:rsidR="00027B06" w:rsidRPr="000A4A0F" w:rsidRDefault="00027B06"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Les </w:t>
      </w:r>
      <w:r w:rsidR="00594316" w:rsidRPr="000A4A0F">
        <w:rPr>
          <w:rFonts w:ascii="Times New Roman" w:eastAsia="Times New Roman" w:hAnsi="Times New Roman" w:cs="Times New Roman"/>
          <w:color w:val="000000"/>
          <w:sz w:val="24"/>
          <w:szCs w:val="24"/>
          <w:lang w:eastAsia="fr-FR"/>
        </w:rPr>
        <w:t>résultats pour</w:t>
      </w:r>
      <w:r w:rsidRPr="000A4A0F">
        <w:rPr>
          <w:rFonts w:ascii="Times New Roman" w:eastAsia="Times New Roman" w:hAnsi="Times New Roman" w:cs="Times New Roman"/>
          <w:color w:val="000000"/>
          <w:sz w:val="24"/>
          <w:szCs w:val="24"/>
          <w:lang w:eastAsia="fr-FR"/>
        </w:rPr>
        <w:t xml:space="preserve"> la BT et c ; NFS étaient obtenus dans un délai d’une heure</w:t>
      </w:r>
    </w:p>
    <w:p w14:paraId="4ACE2036" w14:textId="539D1132" w:rsidR="00027B06" w:rsidRPr="000A4A0F" w:rsidRDefault="00027B06"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La valeur de la bilir</w:t>
      </w:r>
      <w:r w:rsidR="00373586" w:rsidRPr="000A4A0F">
        <w:rPr>
          <w:rFonts w:ascii="Times New Roman" w:eastAsia="Times New Roman" w:hAnsi="Times New Roman" w:cs="Times New Roman"/>
          <w:color w:val="000000"/>
          <w:sz w:val="24"/>
          <w:szCs w:val="24"/>
          <w:lang w:eastAsia="fr-FR"/>
        </w:rPr>
        <w:t xml:space="preserve">ubine non conjuguée </w:t>
      </w:r>
      <w:r w:rsidRPr="000A4A0F">
        <w:rPr>
          <w:rFonts w:ascii="Times New Roman" w:eastAsia="Times New Roman" w:hAnsi="Times New Roman" w:cs="Times New Roman"/>
          <w:color w:val="000000"/>
          <w:sz w:val="24"/>
          <w:szCs w:val="24"/>
          <w:lang w:eastAsia="fr-FR"/>
        </w:rPr>
        <w:t xml:space="preserve">était calculée par soustraction de la bilirubine directe de la bilirubine totale. </w:t>
      </w:r>
    </w:p>
    <w:p w14:paraId="44ED517A" w14:textId="60B69CFE" w:rsidR="00027B06" w:rsidRPr="000A4A0F" w:rsidRDefault="00027B06" w:rsidP="006612D9">
      <w:pPr>
        <w:shd w:val="clear" w:color="auto" w:fill="FFFFFF"/>
        <w:spacing w:after="0" w:line="360" w:lineRule="auto"/>
        <w:jc w:val="both"/>
        <w:textAlignment w:val="baseline"/>
        <w:rPr>
          <w:rFonts w:ascii="Times New Roman" w:eastAsia="Times New Roman" w:hAnsi="Times New Roman" w:cs="Times New Roman"/>
          <w:color w:val="FF0000"/>
          <w:sz w:val="24"/>
          <w:szCs w:val="24"/>
          <w:lang w:eastAsia="fr-FR"/>
        </w:rPr>
      </w:pPr>
      <w:r w:rsidRPr="000A4A0F">
        <w:rPr>
          <w:rFonts w:ascii="Times New Roman" w:eastAsia="Times New Roman" w:hAnsi="Times New Roman" w:cs="Times New Roman"/>
          <w:color w:val="000000"/>
          <w:sz w:val="24"/>
          <w:szCs w:val="24"/>
          <w:lang w:eastAsia="fr-FR"/>
        </w:rPr>
        <w:t>L’intensité de la coloration était appréciée toutes les 24 heures avec un dosage de la bilirubine toutes les 24 heures.</w:t>
      </w:r>
    </w:p>
    <w:p w14:paraId="7150ECE5" w14:textId="46D2D817" w:rsidR="005C7F4F" w:rsidRPr="000A4A0F" w:rsidRDefault="00F87FC5"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lastRenderedPageBreak/>
        <w:t>Pour le bilan non réalisable </w:t>
      </w:r>
      <w:r w:rsidR="000A4A0F" w:rsidRPr="000A4A0F">
        <w:rPr>
          <w:rFonts w:ascii="Times New Roman" w:eastAsia="Times New Roman" w:hAnsi="Times New Roman" w:cs="Times New Roman"/>
          <w:color w:val="000000"/>
          <w:sz w:val="24"/>
          <w:szCs w:val="24"/>
          <w:lang w:eastAsia="fr-FR"/>
        </w:rPr>
        <w:t>sur place</w:t>
      </w:r>
      <w:r w:rsidR="005C7F4F" w:rsidRPr="000A4A0F">
        <w:rPr>
          <w:rFonts w:ascii="Times New Roman" w:eastAsia="Times New Roman" w:hAnsi="Times New Roman" w:cs="Times New Roman"/>
          <w:color w:val="000000"/>
          <w:sz w:val="24"/>
          <w:szCs w:val="24"/>
          <w:lang w:eastAsia="fr-FR"/>
        </w:rPr>
        <w:t>, le</w:t>
      </w:r>
      <w:r w:rsidRPr="000A4A0F">
        <w:rPr>
          <w:rFonts w:ascii="Times New Roman" w:eastAsia="Times New Roman" w:hAnsi="Times New Roman" w:cs="Times New Roman"/>
          <w:color w:val="000000"/>
          <w:sz w:val="24"/>
          <w:szCs w:val="24"/>
          <w:lang w:eastAsia="fr-FR"/>
        </w:rPr>
        <w:t xml:space="preserve"> </w:t>
      </w:r>
      <w:r w:rsidR="00373586" w:rsidRPr="000A4A0F">
        <w:rPr>
          <w:rFonts w:ascii="Times New Roman" w:eastAsia="Times New Roman" w:hAnsi="Times New Roman" w:cs="Times New Roman"/>
          <w:color w:val="000000"/>
          <w:sz w:val="24"/>
          <w:szCs w:val="24"/>
          <w:lang w:eastAsia="fr-FR"/>
        </w:rPr>
        <w:t xml:space="preserve">prélèvement était fait </w:t>
      </w:r>
      <w:r w:rsidR="001605F6" w:rsidRPr="000A4A0F">
        <w:rPr>
          <w:rFonts w:ascii="Times New Roman" w:eastAsia="Times New Roman" w:hAnsi="Times New Roman" w:cs="Times New Roman"/>
          <w:color w:val="000000"/>
          <w:sz w:val="24"/>
          <w:szCs w:val="24"/>
          <w:lang w:eastAsia="fr-FR"/>
        </w:rPr>
        <w:t>sur</w:t>
      </w:r>
      <w:r w:rsidR="005C7F4F" w:rsidRPr="000A4A0F">
        <w:rPr>
          <w:rFonts w:ascii="Times New Roman" w:eastAsia="Times New Roman" w:hAnsi="Times New Roman" w:cs="Times New Roman"/>
          <w:color w:val="000000"/>
          <w:sz w:val="24"/>
          <w:szCs w:val="24"/>
          <w:lang w:eastAsia="fr-FR"/>
        </w:rPr>
        <w:t xml:space="preserve"> papier buvard puis </w:t>
      </w:r>
      <w:r w:rsidR="005B1261" w:rsidRPr="000A4A0F">
        <w:rPr>
          <w:rFonts w:ascii="Times New Roman" w:eastAsia="Times New Roman" w:hAnsi="Times New Roman" w:cs="Times New Roman"/>
          <w:color w:val="000000"/>
          <w:sz w:val="24"/>
          <w:szCs w:val="24"/>
          <w:lang w:eastAsia="fr-FR"/>
        </w:rPr>
        <w:t>séché</w:t>
      </w:r>
      <w:r w:rsidR="005C7F4F" w:rsidRPr="000A4A0F">
        <w:rPr>
          <w:rFonts w:ascii="Times New Roman" w:eastAsia="Times New Roman" w:hAnsi="Times New Roman" w:cs="Times New Roman"/>
          <w:color w:val="000000"/>
          <w:sz w:val="24"/>
          <w:szCs w:val="24"/>
          <w:lang w:eastAsia="fr-FR"/>
        </w:rPr>
        <w:t xml:space="preserve"> san</w:t>
      </w:r>
      <w:r w:rsidR="001605F6" w:rsidRPr="000A4A0F">
        <w:rPr>
          <w:rFonts w:ascii="Times New Roman" w:eastAsia="Times New Roman" w:hAnsi="Times New Roman" w:cs="Times New Roman"/>
          <w:color w:val="000000"/>
          <w:sz w:val="24"/>
          <w:szCs w:val="24"/>
          <w:lang w:eastAsia="fr-FR"/>
        </w:rPr>
        <w:t>s contact avec la poussière et conserver dans une enveloppe à</w:t>
      </w:r>
      <w:r w:rsidR="005C7F4F" w:rsidRPr="000A4A0F">
        <w:rPr>
          <w:rFonts w:ascii="Times New Roman" w:eastAsia="Times New Roman" w:hAnsi="Times New Roman" w:cs="Times New Roman"/>
          <w:color w:val="000000"/>
          <w:sz w:val="24"/>
          <w:szCs w:val="24"/>
          <w:lang w:eastAsia="fr-FR"/>
        </w:rPr>
        <w:t xml:space="preserve"> lettre e</w:t>
      </w:r>
      <w:r w:rsidR="001605F6" w:rsidRPr="000A4A0F">
        <w:rPr>
          <w:rFonts w:ascii="Times New Roman" w:eastAsia="Times New Roman" w:hAnsi="Times New Roman" w:cs="Times New Roman"/>
          <w:color w:val="000000"/>
          <w:sz w:val="24"/>
          <w:szCs w:val="24"/>
          <w:lang w:eastAsia="fr-FR"/>
        </w:rPr>
        <w:t>n attendant qu’il soit acheminé</w:t>
      </w:r>
      <w:r w:rsidR="005C7F4F" w:rsidRPr="000A4A0F">
        <w:rPr>
          <w:rFonts w:ascii="Times New Roman" w:eastAsia="Times New Roman" w:hAnsi="Times New Roman" w:cs="Times New Roman"/>
          <w:color w:val="000000"/>
          <w:sz w:val="24"/>
          <w:szCs w:val="24"/>
          <w:lang w:eastAsia="fr-FR"/>
        </w:rPr>
        <w:t xml:space="preserve"> </w:t>
      </w:r>
      <w:r w:rsidR="005C7F4F" w:rsidRPr="00FA0F3C">
        <w:rPr>
          <w:rFonts w:ascii="Times New Roman" w:eastAsia="Times New Roman" w:hAnsi="Times New Roman" w:cs="Times New Roman"/>
          <w:color w:val="000000"/>
          <w:sz w:val="24"/>
          <w:szCs w:val="24"/>
          <w:highlight w:val="yellow"/>
          <w:lang w:eastAsia="fr-FR"/>
        </w:rPr>
        <w:t>au laboratoire de Génétique de liège pour</w:t>
      </w:r>
      <w:r w:rsidR="005C7F4F" w:rsidRPr="000A4A0F">
        <w:rPr>
          <w:rFonts w:ascii="Times New Roman" w:eastAsia="Times New Roman" w:hAnsi="Times New Roman" w:cs="Times New Roman"/>
          <w:color w:val="000000"/>
          <w:sz w:val="24"/>
          <w:szCs w:val="24"/>
          <w:lang w:eastAsia="fr-FR"/>
        </w:rPr>
        <w:t xml:space="preserve"> </w:t>
      </w:r>
      <w:r w:rsidR="00373586" w:rsidRPr="000A4A0F">
        <w:rPr>
          <w:rFonts w:ascii="Times New Roman" w:eastAsia="Times New Roman" w:hAnsi="Times New Roman" w:cs="Times New Roman"/>
          <w:color w:val="000000"/>
          <w:sz w:val="24"/>
          <w:szCs w:val="24"/>
          <w:lang w:eastAsia="fr-FR"/>
        </w:rPr>
        <w:t>analyse.</w:t>
      </w:r>
    </w:p>
    <w:p w14:paraId="7506C5DB" w14:textId="47572ED4" w:rsidR="00380BDD" w:rsidRPr="000A4A0F" w:rsidRDefault="00380BDD"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Dès que les résultats de </w:t>
      </w:r>
      <w:r w:rsidR="000A4A0F" w:rsidRPr="000A4A0F">
        <w:rPr>
          <w:rFonts w:ascii="Times New Roman" w:eastAsia="Times New Roman" w:hAnsi="Times New Roman" w:cs="Times New Roman"/>
          <w:color w:val="000000"/>
          <w:sz w:val="24"/>
          <w:szCs w:val="24"/>
          <w:lang w:eastAsia="fr-FR"/>
        </w:rPr>
        <w:t>laboratoire disponible</w:t>
      </w:r>
      <w:r w:rsidRPr="000A4A0F">
        <w:rPr>
          <w:rFonts w:ascii="Times New Roman" w:eastAsia="Times New Roman" w:hAnsi="Times New Roman" w:cs="Times New Roman"/>
          <w:color w:val="000000"/>
          <w:sz w:val="24"/>
          <w:szCs w:val="24"/>
          <w:lang w:eastAsia="fr-FR"/>
        </w:rPr>
        <w:t>, la BID était obtenue en faisant la différence de la BT et direct.</w:t>
      </w:r>
    </w:p>
    <w:p w14:paraId="459AAC3F" w14:textId="6CA36DE3" w:rsidR="00380BDD" w:rsidRPr="000A4A0F" w:rsidRDefault="00380BDD" w:rsidP="006612D9">
      <w:pPr>
        <w:shd w:val="clear" w:color="auto" w:fill="FFFFFF"/>
        <w:spacing w:after="0" w:line="360" w:lineRule="auto"/>
        <w:jc w:val="both"/>
        <w:textAlignment w:val="baseline"/>
        <w:rPr>
          <w:rFonts w:ascii="Times New Roman" w:eastAsia="Times New Roman" w:hAnsi="Times New Roman" w:cs="Times New Roman"/>
          <w:color w:val="FF0000"/>
          <w:sz w:val="24"/>
          <w:szCs w:val="24"/>
          <w:lang w:eastAsia="fr-FR"/>
        </w:rPr>
      </w:pPr>
      <w:r w:rsidRPr="000A4A0F">
        <w:rPr>
          <w:rFonts w:ascii="Times New Roman" w:hAnsi="Times New Roman" w:cs="Times New Roman"/>
          <w:sz w:val="24"/>
          <w:szCs w:val="24"/>
        </w:rPr>
        <w:t xml:space="preserve">Chez le Nouveau-né avec Hyper bilirubinémie à prédominance indirecte, le taux de la bilirubine </w:t>
      </w:r>
      <w:r w:rsidR="000A4A0F" w:rsidRPr="000A4A0F">
        <w:rPr>
          <w:rFonts w:ascii="Times New Roman" w:hAnsi="Times New Roman" w:cs="Times New Roman"/>
          <w:sz w:val="24"/>
          <w:szCs w:val="24"/>
        </w:rPr>
        <w:t>était projeté</w:t>
      </w:r>
      <w:r w:rsidRPr="000A4A0F">
        <w:rPr>
          <w:rFonts w:ascii="Times New Roman" w:hAnsi="Times New Roman" w:cs="Times New Roman"/>
          <w:sz w:val="24"/>
          <w:szCs w:val="24"/>
        </w:rPr>
        <w:t xml:space="preserve"> sur les courbes de photothérapie de l’Académie Américaine de pédiatrie qui tient compte </w:t>
      </w:r>
      <w:r w:rsidR="000A4A0F" w:rsidRPr="000A4A0F">
        <w:rPr>
          <w:rFonts w:ascii="Times New Roman" w:hAnsi="Times New Roman" w:cs="Times New Roman"/>
          <w:sz w:val="24"/>
          <w:szCs w:val="24"/>
        </w:rPr>
        <w:t>du terme</w:t>
      </w:r>
      <w:r w:rsidRPr="000A4A0F">
        <w:rPr>
          <w:rFonts w:ascii="Times New Roman" w:hAnsi="Times New Roman" w:cs="Times New Roman"/>
          <w:sz w:val="24"/>
          <w:szCs w:val="24"/>
        </w:rPr>
        <w:t xml:space="preserve"> du nouveau-né, son âge en heures et le taux de bilirubine.</w:t>
      </w:r>
    </w:p>
    <w:p w14:paraId="1D98D5F3" w14:textId="6926E20F" w:rsidR="00380BDD" w:rsidRPr="000A4A0F" w:rsidRDefault="00380BDD"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Ces courbes nous permettaient de savoir si le nouveau-né est éligible à la photothérapie et sa durée, l’exsanguino-transfusion ou être hors zone de la photothérapie.</w:t>
      </w:r>
    </w:p>
    <w:p w14:paraId="551D1539" w14:textId="77777777" w:rsidR="008F2250" w:rsidRPr="00DB4384" w:rsidRDefault="008F2250" w:rsidP="006612D9">
      <w:pPr>
        <w:shd w:val="clear" w:color="auto" w:fill="FFFFFF"/>
        <w:spacing w:after="0" w:line="360" w:lineRule="auto"/>
        <w:jc w:val="both"/>
        <w:textAlignment w:val="baseline"/>
        <w:rPr>
          <w:rFonts w:ascii="Times New Roman" w:eastAsia="Times New Roman" w:hAnsi="Times New Roman" w:cs="Times New Roman"/>
          <w:color w:val="FF0000"/>
          <w:sz w:val="24"/>
          <w:szCs w:val="24"/>
          <w:highlight w:val="yellow"/>
          <w:lang w:eastAsia="fr-FR"/>
        </w:rPr>
      </w:pPr>
      <w:r w:rsidRPr="00DB4384">
        <w:rPr>
          <w:rFonts w:ascii="Times New Roman" w:eastAsia="Times New Roman" w:hAnsi="Times New Roman" w:cs="Times New Roman"/>
          <w:color w:val="000000"/>
          <w:sz w:val="24"/>
          <w:szCs w:val="24"/>
          <w:highlight w:val="yellow"/>
          <w:lang w:eastAsia="fr-FR"/>
        </w:rPr>
        <w:t>En dehors de la photothérapie et de la prise en charge de l’anémie, le traitement de la cause était fait lorsqu’une cause curable était identifiée.</w:t>
      </w:r>
    </w:p>
    <w:p w14:paraId="7F17F4F3" w14:textId="16DED47B" w:rsidR="008F2250" w:rsidRPr="000A4A0F" w:rsidRDefault="008F2250" w:rsidP="006612D9">
      <w:pPr>
        <w:shd w:val="clear" w:color="auto" w:fill="FFFFFF"/>
        <w:spacing w:after="0" w:line="360" w:lineRule="auto"/>
        <w:jc w:val="both"/>
        <w:textAlignment w:val="baseline"/>
        <w:rPr>
          <w:rFonts w:ascii="Times New Roman" w:eastAsia="Times New Roman" w:hAnsi="Times New Roman" w:cs="Times New Roman"/>
          <w:color w:val="FF0000"/>
          <w:sz w:val="24"/>
          <w:szCs w:val="24"/>
          <w:lang w:eastAsia="fr-FR"/>
        </w:rPr>
      </w:pPr>
      <w:r w:rsidRPr="00DB4384">
        <w:rPr>
          <w:rFonts w:ascii="Times New Roman" w:eastAsia="Times New Roman" w:hAnsi="Times New Roman" w:cs="Times New Roman"/>
          <w:color w:val="000000"/>
          <w:sz w:val="24"/>
          <w:szCs w:val="24"/>
          <w:highlight w:val="yellow"/>
          <w:lang w:eastAsia="fr-FR"/>
        </w:rPr>
        <w:t xml:space="preserve">L’évolution était favorable lorsqu’il y avait une régression de l’ictère et la guérison sans séquelles ; ou le </w:t>
      </w:r>
      <w:commentRangeStart w:id="45"/>
      <w:r w:rsidRPr="00DB4384">
        <w:rPr>
          <w:rFonts w:ascii="Times New Roman" w:eastAsia="Times New Roman" w:hAnsi="Times New Roman" w:cs="Times New Roman"/>
          <w:color w:val="000000"/>
          <w:sz w:val="24"/>
          <w:szCs w:val="24"/>
          <w:highlight w:val="yellow"/>
          <w:lang w:eastAsia="fr-FR"/>
        </w:rPr>
        <w:t>décès</w:t>
      </w:r>
      <w:commentRangeEnd w:id="45"/>
      <w:r w:rsidR="00DB4384">
        <w:rPr>
          <w:rStyle w:val="Marquedecommentaire"/>
        </w:rPr>
        <w:commentReference w:id="45"/>
      </w:r>
      <w:r w:rsidRPr="00DB4384">
        <w:rPr>
          <w:rFonts w:ascii="Times New Roman" w:eastAsia="Times New Roman" w:hAnsi="Times New Roman" w:cs="Times New Roman"/>
          <w:color w:val="000000"/>
          <w:sz w:val="24"/>
          <w:szCs w:val="24"/>
          <w:highlight w:val="yellow"/>
          <w:lang w:eastAsia="fr-FR"/>
        </w:rPr>
        <w:t>.</w:t>
      </w:r>
      <w:r w:rsidRPr="000A4A0F">
        <w:rPr>
          <w:rFonts w:ascii="Times New Roman" w:eastAsia="Times New Roman" w:hAnsi="Times New Roman" w:cs="Times New Roman"/>
          <w:color w:val="000000"/>
          <w:sz w:val="24"/>
          <w:szCs w:val="24"/>
          <w:lang w:eastAsia="fr-FR"/>
        </w:rPr>
        <w:t xml:space="preserve"> </w:t>
      </w:r>
    </w:p>
    <w:p w14:paraId="00AF458D" w14:textId="0C9FD935" w:rsidR="00DC5989" w:rsidRPr="000A4A0F" w:rsidRDefault="005C7F4F" w:rsidP="006612D9">
      <w:pPr>
        <w:shd w:val="clear" w:color="auto" w:fill="FFFFFF"/>
        <w:spacing w:after="0" w:line="360" w:lineRule="auto"/>
        <w:jc w:val="both"/>
        <w:textAlignment w:val="baseline"/>
        <w:rPr>
          <w:rFonts w:ascii="Times New Roman" w:eastAsia="Times New Roman" w:hAnsi="Times New Roman" w:cs="Times New Roman"/>
          <w:color w:val="auto"/>
          <w:sz w:val="24"/>
          <w:szCs w:val="24"/>
          <w:lang w:eastAsia="fr-FR"/>
        </w:rPr>
      </w:pPr>
      <w:r w:rsidRPr="000A4A0F">
        <w:rPr>
          <w:rFonts w:ascii="Times New Roman" w:eastAsia="Times New Roman" w:hAnsi="Times New Roman" w:cs="Times New Roman"/>
          <w:color w:val="auto"/>
          <w:sz w:val="24"/>
          <w:szCs w:val="24"/>
          <w:lang w:eastAsia="fr-FR"/>
        </w:rPr>
        <w:t>Pour l</w:t>
      </w:r>
      <w:r w:rsidR="00204B3C" w:rsidRPr="000A4A0F">
        <w:rPr>
          <w:rFonts w:ascii="Times New Roman" w:eastAsia="Times New Roman" w:hAnsi="Times New Roman" w:cs="Times New Roman"/>
          <w:color w:val="auto"/>
          <w:sz w:val="24"/>
          <w:szCs w:val="24"/>
          <w:lang w:eastAsia="fr-FR"/>
        </w:rPr>
        <w:t>es résultats du laboratoire de L</w:t>
      </w:r>
      <w:r w:rsidRPr="000A4A0F">
        <w:rPr>
          <w:rFonts w:ascii="Times New Roman" w:eastAsia="Times New Roman" w:hAnsi="Times New Roman" w:cs="Times New Roman"/>
          <w:color w:val="auto"/>
          <w:sz w:val="24"/>
          <w:szCs w:val="24"/>
          <w:lang w:eastAsia="fr-FR"/>
        </w:rPr>
        <w:t xml:space="preserve">iège en </w:t>
      </w:r>
      <w:r w:rsidR="00907648" w:rsidRPr="000A4A0F">
        <w:rPr>
          <w:rFonts w:ascii="Times New Roman" w:eastAsia="Times New Roman" w:hAnsi="Times New Roman" w:cs="Times New Roman"/>
          <w:color w:val="auto"/>
          <w:sz w:val="24"/>
          <w:szCs w:val="24"/>
          <w:lang w:eastAsia="fr-FR"/>
        </w:rPr>
        <w:t>Belgique (Déficit en G6PD,</w:t>
      </w:r>
      <w:r w:rsidR="00204B3C" w:rsidRPr="000A4A0F">
        <w:rPr>
          <w:rFonts w:ascii="Times New Roman" w:eastAsia="Times New Roman" w:hAnsi="Times New Roman" w:cs="Times New Roman"/>
          <w:color w:val="auto"/>
          <w:sz w:val="24"/>
          <w:szCs w:val="24"/>
          <w:lang w:eastAsia="fr-FR"/>
        </w:rPr>
        <w:t xml:space="preserve"> </w:t>
      </w:r>
      <w:proofErr w:type="spellStart"/>
      <w:proofErr w:type="gramStart"/>
      <w:r w:rsidR="00204B3C" w:rsidRPr="000A4A0F">
        <w:rPr>
          <w:rFonts w:ascii="Times New Roman" w:eastAsia="Times New Roman" w:hAnsi="Times New Roman" w:cs="Times New Roman"/>
          <w:color w:val="auto"/>
          <w:sz w:val="24"/>
          <w:szCs w:val="24"/>
          <w:lang w:eastAsia="fr-FR"/>
        </w:rPr>
        <w:t>TSH,gé</w:t>
      </w:r>
      <w:r w:rsidR="00907648" w:rsidRPr="000A4A0F">
        <w:rPr>
          <w:rFonts w:ascii="Times New Roman" w:eastAsia="Times New Roman" w:hAnsi="Times New Roman" w:cs="Times New Roman"/>
          <w:color w:val="auto"/>
          <w:sz w:val="24"/>
          <w:szCs w:val="24"/>
          <w:lang w:eastAsia="fr-FR"/>
        </w:rPr>
        <w:t>notype</w:t>
      </w:r>
      <w:proofErr w:type="spellEnd"/>
      <w:proofErr w:type="gramEnd"/>
      <w:r w:rsidR="00907648" w:rsidRPr="000A4A0F">
        <w:rPr>
          <w:rFonts w:ascii="Times New Roman" w:eastAsia="Times New Roman" w:hAnsi="Times New Roman" w:cs="Times New Roman"/>
          <w:color w:val="auto"/>
          <w:sz w:val="24"/>
          <w:szCs w:val="24"/>
          <w:lang w:eastAsia="fr-FR"/>
        </w:rPr>
        <w:t xml:space="preserve"> de l’</w:t>
      </w:r>
      <w:proofErr w:type="spellStart"/>
      <w:r w:rsidR="00907648" w:rsidRPr="000A4A0F">
        <w:rPr>
          <w:rFonts w:ascii="Times New Roman" w:eastAsia="Times New Roman" w:hAnsi="Times New Roman" w:cs="Times New Roman"/>
          <w:color w:val="auto"/>
          <w:sz w:val="24"/>
          <w:szCs w:val="24"/>
          <w:lang w:eastAsia="fr-FR"/>
        </w:rPr>
        <w:t>Hb,IRT</w:t>
      </w:r>
      <w:proofErr w:type="spellEnd"/>
      <w:r w:rsidR="00907648" w:rsidRPr="000A4A0F">
        <w:rPr>
          <w:rFonts w:ascii="Times New Roman" w:eastAsia="Times New Roman" w:hAnsi="Times New Roman" w:cs="Times New Roman"/>
          <w:color w:val="auto"/>
          <w:sz w:val="24"/>
          <w:szCs w:val="24"/>
          <w:lang w:eastAsia="fr-FR"/>
        </w:rPr>
        <w:t>)</w:t>
      </w:r>
      <w:r w:rsidRPr="000A4A0F">
        <w:rPr>
          <w:rFonts w:ascii="Times New Roman" w:eastAsia="Times New Roman" w:hAnsi="Times New Roman" w:cs="Times New Roman"/>
          <w:color w:val="auto"/>
          <w:sz w:val="24"/>
          <w:szCs w:val="24"/>
          <w:lang w:eastAsia="fr-FR"/>
        </w:rPr>
        <w:t xml:space="preserve"> ils nous étaient </w:t>
      </w:r>
      <w:r w:rsidR="00907648" w:rsidRPr="000A4A0F">
        <w:rPr>
          <w:rFonts w:ascii="Times New Roman" w:eastAsia="Times New Roman" w:hAnsi="Times New Roman" w:cs="Times New Roman"/>
          <w:color w:val="auto"/>
          <w:sz w:val="24"/>
          <w:szCs w:val="24"/>
          <w:lang w:eastAsia="fr-FR"/>
        </w:rPr>
        <w:t>r</w:t>
      </w:r>
      <w:r w:rsidRPr="000A4A0F">
        <w:rPr>
          <w:rFonts w:ascii="Times New Roman" w:eastAsia="Times New Roman" w:hAnsi="Times New Roman" w:cs="Times New Roman"/>
          <w:color w:val="auto"/>
          <w:sz w:val="24"/>
          <w:szCs w:val="24"/>
          <w:lang w:eastAsia="fr-FR"/>
        </w:rPr>
        <w:t xml:space="preserve">envoyés par mail après qu’ils aient </w:t>
      </w:r>
      <w:r w:rsidR="005B1261" w:rsidRPr="000A4A0F">
        <w:rPr>
          <w:rFonts w:ascii="Times New Roman" w:eastAsia="Times New Roman" w:hAnsi="Times New Roman" w:cs="Times New Roman"/>
          <w:color w:val="auto"/>
          <w:sz w:val="24"/>
          <w:szCs w:val="24"/>
          <w:lang w:eastAsia="fr-FR"/>
        </w:rPr>
        <w:t>complété</w:t>
      </w:r>
      <w:r w:rsidRPr="000A4A0F">
        <w:rPr>
          <w:rFonts w:ascii="Times New Roman" w:eastAsia="Times New Roman" w:hAnsi="Times New Roman" w:cs="Times New Roman"/>
          <w:color w:val="auto"/>
          <w:sz w:val="24"/>
          <w:szCs w:val="24"/>
          <w:lang w:eastAsia="fr-FR"/>
        </w:rPr>
        <w:t xml:space="preserve"> les résultats de chaque patient </w:t>
      </w:r>
      <w:r w:rsidR="005B1261" w:rsidRPr="000A4A0F">
        <w:rPr>
          <w:rFonts w:ascii="Times New Roman" w:eastAsia="Times New Roman" w:hAnsi="Times New Roman" w:cs="Times New Roman"/>
          <w:color w:val="auto"/>
          <w:sz w:val="24"/>
          <w:szCs w:val="24"/>
          <w:lang w:eastAsia="fr-FR"/>
        </w:rPr>
        <w:t xml:space="preserve">dans notre base des données </w:t>
      </w:r>
      <w:commentRangeStart w:id="46"/>
      <w:commentRangeStart w:id="47"/>
      <w:r w:rsidR="005B1261" w:rsidRPr="000A4A0F">
        <w:rPr>
          <w:rFonts w:ascii="Times New Roman" w:eastAsia="Times New Roman" w:hAnsi="Times New Roman" w:cs="Times New Roman"/>
          <w:color w:val="auto"/>
          <w:sz w:val="24"/>
          <w:szCs w:val="24"/>
          <w:lang w:eastAsia="fr-FR"/>
        </w:rPr>
        <w:t>Excel</w:t>
      </w:r>
      <w:commentRangeEnd w:id="46"/>
      <w:r w:rsidR="00DB4384">
        <w:rPr>
          <w:rStyle w:val="Marquedecommentaire"/>
        </w:rPr>
        <w:commentReference w:id="46"/>
      </w:r>
      <w:commentRangeEnd w:id="47"/>
      <w:r w:rsidR="00DB4384">
        <w:rPr>
          <w:rStyle w:val="Marquedecommentaire"/>
        </w:rPr>
        <w:commentReference w:id="47"/>
      </w:r>
      <w:r w:rsidR="005B1261" w:rsidRPr="000A4A0F">
        <w:rPr>
          <w:rFonts w:ascii="Times New Roman" w:eastAsia="Times New Roman" w:hAnsi="Times New Roman" w:cs="Times New Roman"/>
          <w:color w:val="auto"/>
          <w:sz w:val="24"/>
          <w:szCs w:val="24"/>
          <w:lang w:eastAsia="fr-FR"/>
        </w:rPr>
        <w:t>.</w:t>
      </w:r>
    </w:p>
    <w:p w14:paraId="28E9AA85" w14:textId="469D4C3E" w:rsidR="00DC5989" w:rsidRPr="000A4A0F" w:rsidRDefault="00C1794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noProof/>
          <w:color w:val="000000"/>
          <w:sz w:val="24"/>
          <w:szCs w:val="24"/>
          <w:lang w:eastAsia="fr-FR"/>
        </w:rPr>
        <w:drawing>
          <wp:inline distT="0" distB="0" distL="0" distR="0" wp14:anchorId="65D36C1F" wp14:editId="6C5AF09E">
            <wp:extent cx="3216505" cy="2433955"/>
            <wp:effectExtent l="0" t="0" r="3175" b="4445"/>
            <wp:docPr id="15" name="Image 15" descr="C:\Users\pc\AppData\Local\Temp\Rar$DIa0.814\IMG_20211107_13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Rar$DIa0.814\IMG_20211107_1300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1344" cy="2452751"/>
                    </a:xfrm>
                    <a:prstGeom prst="rect">
                      <a:avLst/>
                    </a:prstGeom>
                    <a:noFill/>
                    <a:ln>
                      <a:noFill/>
                    </a:ln>
                  </pic:spPr>
                </pic:pic>
              </a:graphicData>
            </a:graphic>
          </wp:inline>
        </w:drawing>
      </w:r>
      <w:r w:rsidRPr="000A4A0F">
        <w:rPr>
          <w:rFonts w:ascii="Times New Roman" w:eastAsia="Times New Roman" w:hAnsi="Times New Roman" w:cs="Times New Roman"/>
          <w:noProof/>
          <w:color w:val="000000"/>
          <w:sz w:val="24"/>
          <w:szCs w:val="24"/>
          <w:lang w:eastAsia="fr-FR"/>
        </w:rPr>
        <w:drawing>
          <wp:inline distT="0" distB="0" distL="0" distR="0" wp14:anchorId="72A6A427" wp14:editId="47560BBC">
            <wp:extent cx="2398497" cy="2421255"/>
            <wp:effectExtent l="0" t="0" r="1905" b="0"/>
            <wp:docPr id="16" name="Image 16" descr="C:\Users\pc\AppData\Local\Temp\Rar$DIa0.291\IMG_20211107_13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Temp\Rar$DIa0.291\IMG_20211107_1301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7932" cy="2440874"/>
                    </a:xfrm>
                    <a:prstGeom prst="rect">
                      <a:avLst/>
                    </a:prstGeom>
                    <a:noFill/>
                    <a:ln>
                      <a:noFill/>
                    </a:ln>
                  </pic:spPr>
                </pic:pic>
              </a:graphicData>
            </a:graphic>
          </wp:inline>
        </w:drawing>
      </w:r>
    </w:p>
    <w:p w14:paraId="392FEC79" w14:textId="77777777" w:rsidR="00A87D7F" w:rsidRPr="000A4A0F" w:rsidRDefault="00A87D7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7E8FB0C0" w14:textId="79C9ACC2" w:rsidR="006474DB" w:rsidRPr="000A4A0F" w:rsidRDefault="0033000A" w:rsidP="006612D9">
      <w:pPr>
        <w:pStyle w:val="Titre2"/>
        <w:numPr>
          <w:ilvl w:val="0"/>
          <w:numId w:val="22"/>
        </w:numPr>
        <w:spacing w:before="0" w:line="360" w:lineRule="auto"/>
        <w:jc w:val="both"/>
        <w:rPr>
          <w:rFonts w:ascii="Times New Roman" w:hAnsi="Times New Roman" w:cs="Times New Roman"/>
          <w:b/>
          <w:sz w:val="24"/>
          <w:szCs w:val="24"/>
        </w:rPr>
      </w:pPr>
      <w:bookmarkStart w:id="48" w:name="_Toc87049069"/>
      <w:r w:rsidRPr="000A4A0F">
        <w:rPr>
          <w:rFonts w:ascii="Times New Roman" w:hAnsi="Times New Roman" w:cs="Times New Roman"/>
          <w:b/>
          <w:sz w:val="24"/>
          <w:szCs w:val="24"/>
        </w:rPr>
        <w:t>TYPE ET PERIODE D’ETUDE</w:t>
      </w:r>
      <w:bookmarkEnd w:id="48"/>
      <w:r w:rsidRPr="000A4A0F">
        <w:rPr>
          <w:rFonts w:ascii="Times New Roman" w:hAnsi="Times New Roman" w:cs="Times New Roman"/>
          <w:b/>
          <w:sz w:val="24"/>
          <w:szCs w:val="24"/>
        </w:rPr>
        <w:t xml:space="preserve"> </w:t>
      </w:r>
    </w:p>
    <w:p w14:paraId="6EB69652" w14:textId="73BEF622" w:rsidR="006474DB" w:rsidRPr="000A4A0F" w:rsidRDefault="008312CF"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Il s’agit d’une </w:t>
      </w:r>
      <w:r w:rsidR="000A4A0F" w:rsidRPr="000A4A0F">
        <w:rPr>
          <w:rFonts w:ascii="Times New Roman" w:hAnsi="Times New Roman" w:cs="Times New Roman"/>
          <w:sz w:val="24"/>
          <w:szCs w:val="24"/>
        </w:rPr>
        <w:t>étude transversale réalisée</w:t>
      </w:r>
      <w:r w:rsidRPr="000A4A0F">
        <w:rPr>
          <w:rFonts w:ascii="Times New Roman" w:hAnsi="Times New Roman" w:cs="Times New Roman"/>
          <w:sz w:val="24"/>
          <w:szCs w:val="24"/>
        </w:rPr>
        <w:t xml:space="preserve"> au cours de la période </w:t>
      </w:r>
      <w:r w:rsidR="006D62C1" w:rsidRPr="000A4A0F">
        <w:rPr>
          <w:rFonts w:ascii="Times New Roman" w:hAnsi="Times New Roman" w:cs="Times New Roman"/>
          <w:sz w:val="24"/>
          <w:szCs w:val="24"/>
        </w:rPr>
        <w:t xml:space="preserve">allant de Décembre </w:t>
      </w:r>
      <w:r w:rsidR="000A4A0F" w:rsidRPr="000A4A0F">
        <w:rPr>
          <w:rFonts w:ascii="Times New Roman" w:hAnsi="Times New Roman" w:cs="Times New Roman"/>
          <w:sz w:val="24"/>
          <w:szCs w:val="24"/>
        </w:rPr>
        <w:t>2019 en</w:t>
      </w:r>
      <w:r w:rsidR="006D62C1" w:rsidRPr="000A4A0F">
        <w:rPr>
          <w:rFonts w:ascii="Times New Roman" w:hAnsi="Times New Roman" w:cs="Times New Roman"/>
          <w:sz w:val="24"/>
          <w:szCs w:val="24"/>
        </w:rPr>
        <w:t xml:space="preserve"> Mai</w:t>
      </w:r>
      <w:r w:rsidRPr="000A4A0F">
        <w:rPr>
          <w:rFonts w:ascii="Times New Roman" w:hAnsi="Times New Roman" w:cs="Times New Roman"/>
          <w:sz w:val="24"/>
          <w:szCs w:val="24"/>
        </w:rPr>
        <w:t xml:space="preserve"> 2021.</w:t>
      </w:r>
    </w:p>
    <w:p w14:paraId="6DB1BF86" w14:textId="15F42DAF" w:rsidR="006474DB" w:rsidRPr="000A4A0F" w:rsidRDefault="008312CF" w:rsidP="006612D9">
      <w:pPr>
        <w:suppressAutoHyphens w:val="0"/>
        <w:spacing w:after="0"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 xml:space="preserve">Population </w:t>
      </w:r>
      <w:r w:rsidR="00C56F0C" w:rsidRPr="000A4A0F">
        <w:rPr>
          <w:rFonts w:ascii="Times New Roman" w:hAnsi="Times New Roman" w:cs="Times New Roman"/>
          <w:b/>
          <w:sz w:val="24"/>
          <w:szCs w:val="24"/>
        </w:rPr>
        <w:t xml:space="preserve">et échantillon </w:t>
      </w:r>
      <w:r w:rsidRPr="000A4A0F">
        <w:rPr>
          <w:rFonts w:ascii="Times New Roman" w:hAnsi="Times New Roman" w:cs="Times New Roman"/>
          <w:b/>
          <w:sz w:val="24"/>
          <w:szCs w:val="24"/>
        </w:rPr>
        <w:t>d’étude :</w:t>
      </w:r>
    </w:p>
    <w:p w14:paraId="48719ACF" w14:textId="177A45A8" w:rsidR="00CA2EB5" w:rsidRPr="000A4A0F" w:rsidRDefault="000D285E"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Notre population d’étude est</w:t>
      </w:r>
      <w:r w:rsidR="008312CF" w:rsidRPr="000A4A0F">
        <w:rPr>
          <w:rFonts w:ascii="Times New Roman" w:hAnsi="Times New Roman" w:cs="Times New Roman"/>
          <w:sz w:val="24"/>
          <w:szCs w:val="24"/>
        </w:rPr>
        <w:t xml:space="preserve"> faite de nouveau- nés, admis en néonatologie de l’HPGRB po</w:t>
      </w:r>
      <w:r w:rsidR="007A40C4" w:rsidRPr="000A4A0F">
        <w:rPr>
          <w:rFonts w:ascii="Times New Roman" w:hAnsi="Times New Roman" w:cs="Times New Roman"/>
          <w:sz w:val="24"/>
          <w:szCs w:val="24"/>
        </w:rPr>
        <w:t xml:space="preserve">ur un ictère néonatal durant notre </w:t>
      </w:r>
      <w:r w:rsidR="008312CF" w:rsidRPr="000A4A0F">
        <w:rPr>
          <w:rFonts w:ascii="Times New Roman" w:hAnsi="Times New Roman" w:cs="Times New Roman"/>
          <w:sz w:val="24"/>
          <w:szCs w:val="24"/>
        </w:rPr>
        <w:t>période d’étude.</w:t>
      </w:r>
      <w:r w:rsidR="00C56F0C" w:rsidRPr="000A4A0F">
        <w:rPr>
          <w:rFonts w:ascii="Times New Roman" w:hAnsi="Times New Roman" w:cs="Times New Roman"/>
          <w:sz w:val="24"/>
          <w:szCs w:val="24"/>
        </w:rPr>
        <w:t xml:space="preserve"> Nous avions </w:t>
      </w:r>
      <w:r w:rsidR="00D43E08" w:rsidRPr="000A4A0F">
        <w:rPr>
          <w:rFonts w:ascii="Times New Roman" w:hAnsi="Times New Roman" w:cs="Times New Roman"/>
          <w:sz w:val="24"/>
          <w:szCs w:val="24"/>
        </w:rPr>
        <w:t>procédé</w:t>
      </w:r>
      <w:r w:rsidR="00C56F0C" w:rsidRPr="000A4A0F">
        <w:rPr>
          <w:rFonts w:ascii="Times New Roman" w:hAnsi="Times New Roman" w:cs="Times New Roman"/>
          <w:sz w:val="24"/>
          <w:szCs w:val="24"/>
        </w:rPr>
        <w:t xml:space="preserve"> à un échantillonnage </w:t>
      </w:r>
      <w:r w:rsidR="00C56F0C" w:rsidRPr="000A4A0F">
        <w:rPr>
          <w:rFonts w:ascii="Times New Roman" w:hAnsi="Times New Roman" w:cs="Times New Roman"/>
          <w:sz w:val="24"/>
          <w:szCs w:val="24"/>
        </w:rPr>
        <w:lastRenderedPageBreak/>
        <w:t>exhaustif durant la période d’étude. Au total 136 nouveau-nés ictériques ont été recrutes pour la présente étude dont les procédures de recrutements</w:t>
      </w:r>
      <w:r w:rsidR="009D4829" w:rsidRPr="000A4A0F">
        <w:rPr>
          <w:rFonts w:ascii="Times New Roman" w:hAnsi="Times New Roman" w:cs="Times New Roman"/>
          <w:sz w:val="24"/>
          <w:szCs w:val="24"/>
        </w:rPr>
        <w:t xml:space="preserve"> sont décrits ci-</w:t>
      </w:r>
      <w:r w:rsidR="00A5480A" w:rsidRPr="000A4A0F">
        <w:rPr>
          <w:rFonts w:ascii="Times New Roman" w:hAnsi="Times New Roman" w:cs="Times New Roman"/>
          <w:sz w:val="24"/>
          <w:szCs w:val="24"/>
        </w:rPr>
        <w:t>après.</w:t>
      </w:r>
    </w:p>
    <w:p w14:paraId="2F47DC24" w14:textId="72D51FD3" w:rsidR="00C5317A" w:rsidRPr="000A4A0F" w:rsidRDefault="00C5317A"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noProof/>
          <w:color w:val="000000"/>
          <w:sz w:val="24"/>
          <w:szCs w:val="24"/>
          <w:lang w:eastAsia="fr-FR"/>
        </w:rPr>
        <w:drawing>
          <wp:inline distT="0" distB="0" distL="0" distR="0" wp14:anchorId="7532DE2E" wp14:editId="049177FB">
            <wp:extent cx="6400800" cy="6203315"/>
            <wp:effectExtent l="0" t="0" r="0" b="0"/>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6841B7A" w14:textId="77777777" w:rsidR="003B6321" w:rsidRPr="000A4A0F" w:rsidRDefault="00192A7B" w:rsidP="006612D9">
      <w:pPr>
        <w:pStyle w:val="Titre2"/>
        <w:numPr>
          <w:ilvl w:val="0"/>
          <w:numId w:val="22"/>
        </w:numPr>
        <w:spacing w:before="0" w:line="360" w:lineRule="auto"/>
        <w:jc w:val="both"/>
        <w:rPr>
          <w:rFonts w:ascii="Times New Roman" w:hAnsi="Times New Roman" w:cs="Times New Roman"/>
          <w:b/>
          <w:sz w:val="24"/>
          <w:szCs w:val="24"/>
        </w:rPr>
      </w:pPr>
      <w:bookmarkStart w:id="49" w:name="_Toc87049070"/>
      <w:r w:rsidRPr="000A4A0F">
        <w:rPr>
          <w:rFonts w:ascii="Times New Roman" w:hAnsi="Times New Roman" w:cs="Times New Roman"/>
          <w:b/>
          <w:sz w:val="24"/>
          <w:szCs w:val="24"/>
        </w:rPr>
        <w:t>CRITERES D’INCLUSIONS</w:t>
      </w:r>
      <w:bookmarkEnd w:id="49"/>
    </w:p>
    <w:p w14:paraId="051EE04E" w14:textId="77777777" w:rsidR="003B6321" w:rsidRPr="000A4A0F" w:rsidRDefault="008312C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hAnsi="Times New Roman" w:cs="Times New Roman"/>
          <w:sz w:val="24"/>
          <w:szCs w:val="24"/>
        </w:rPr>
        <w:t>Tout nouveau-né avec un diagnostic clinique et biologique d’un ictère néona</w:t>
      </w:r>
      <w:r w:rsidR="00E52E33" w:rsidRPr="000A4A0F">
        <w:rPr>
          <w:rFonts w:ascii="Times New Roman" w:hAnsi="Times New Roman" w:cs="Times New Roman"/>
          <w:sz w:val="24"/>
          <w:szCs w:val="24"/>
        </w:rPr>
        <w:t xml:space="preserve">tal éligible à la photothérapie après projection de la BT sur la courbe de photothérapie de l’Académie Américaine de pédiatrie (AAP). </w:t>
      </w:r>
    </w:p>
    <w:p w14:paraId="0C8FC0AB" w14:textId="77777777" w:rsidR="003B6321" w:rsidRPr="000A4A0F" w:rsidRDefault="008312CF"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Tout nouveau-né ictérique chez qui on a le consentement des parents. </w:t>
      </w:r>
    </w:p>
    <w:p w14:paraId="01DF19AC" w14:textId="77777777" w:rsidR="00A2707F" w:rsidRPr="000A4A0F" w:rsidRDefault="00A2707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66E87BC7" w14:textId="77777777" w:rsidR="003B6321" w:rsidRPr="000A4A0F" w:rsidRDefault="00192A7B" w:rsidP="006612D9">
      <w:pPr>
        <w:pStyle w:val="Titre2"/>
        <w:numPr>
          <w:ilvl w:val="0"/>
          <w:numId w:val="22"/>
        </w:numPr>
        <w:spacing w:before="0" w:line="360" w:lineRule="auto"/>
        <w:jc w:val="both"/>
        <w:rPr>
          <w:rFonts w:ascii="Times New Roman" w:hAnsi="Times New Roman" w:cs="Times New Roman"/>
          <w:b/>
          <w:sz w:val="24"/>
          <w:szCs w:val="24"/>
        </w:rPr>
      </w:pPr>
      <w:bookmarkStart w:id="50" w:name="_Toc87049071"/>
      <w:r w:rsidRPr="000A4A0F">
        <w:rPr>
          <w:rFonts w:ascii="Times New Roman" w:hAnsi="Times New Roman" w:cs="Times New Roman"/>
          <w:b/>
          <w:sz w:val="24"/>
          <w:szCs w:val="24"/>
        </w:rPr>
        <w:t>CRITERES D’EXCLUSIONS</w:t>
      </w:r>
      <w:bookmarkEnd w:id="50"/>
    </w:p>
    <w:p w14:paraId="7FE16625" w14:textId="77777777" w:rsidR="00D7674D" w:rsidRPr="000A4A0F" w:rsidRDefault="00D7674D"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05189D05" w14:textId="7B33E1F1" w:rsidR="008312CF" w:rsidRPr="000A4A0F" w:rsidRDefault="008312CF"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lastRenderedPageBreak/>
        <w:t>Tout nouveau-né avec un diagnostic clinique de l’ict</w:t>
      </w:r>
      <w:r w:rsidR="00B448B5" w:rsidRPr="000A4A0F">
        <w:rPr>
          <w:rFonts w:ascii="Times New Roman" w:hAnsi="Times New Roman" w:cs="Times New Roman"/>
          <w:sz w:val="24"/>
          <w:szCs w:val="24"/>
        </w:rPr>
        <w:t>ère non éligible à la photothérapie.</w:t>
      </w:r>
    </w:p>
    <w:p w14:paraId="106FD403" w14:textId="7C8FB8EA" w:rsidR="00B448B5" w:rsidRPr="000A4A0F" w:rsidRDefault="00B448B5"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Nouveau-né ictériques chez qui les parents ont refusé la photothérapie.</w:t>
      </w:r>
    </w:p>
    <w:p w14:paraId="70772E54" w14:textId="2B605DCE" w:rsidR="00C5317A" w:rsidRPr="000A4A0F" w:rsidRDefault="00B448B5"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Nouveau-né ave</w:t>
      </w:r>
      <w:r w:rsidR="00C3237C" w:rsidRPr="000A4A0F">
        <w:rPr>
          <w:rFonts w:ascii="Times New Roman" w:hAnsi="Times New Roman" w:cs="Times New Roman"/>
          <w:sz w:val="24"/>
          <w:szCs w:val="24"/>
        </w:rPr>
        <w:t>c ictère à hyper bilirubinémie indirect</w:t>
      </w:r>
      <w:r w:rsidRPr="000A4A0F">
        <w:rPr>
          <w:rFonts w:ascii="Times New Roman" w:hAnsi="Times New Roman" w:cs="Times New Roman"/>
          <w:sz w:val="24"/>
          <w:szCs w:val="24"/>
        </w:rPr>
        <w:t>.</w:t>
      </w:r>
    </w:p>
    <w:p w14:paraId="3D0F9D81" w14:textId="34DEE3E9" w:rsidR="007A42A6" w:rsidRPr="000A4A0F" w:rsidRDefault="00D459E3" w:rsidP="006612D9">
      <w:pPr>
        <w:pStyle w:val="Titre2"/>
        <w:numPr>
          <w:ilvl w:val="0"/>
          <w:numId w:val="22"/>
        </w:numPr>
        <w:spacing w:before="0" w:line="360" w:lineRule="auto"/>
        <w:jc w:val="both"/>
        <w:rPr>
          <w:rFonts w:ascii="Times New Roman" w:hAnsi="Times New Roman" w:cs="Times New Roman"/>
          <w:b/>
          <w:sz w:val="24"/>
          <w:szCs w:val="24"/>
        </w:rPr>
      </w:pPr>
      <w:bookmarkStart w:id="51" w:name="_Toc87049072"/>
      <w:r w:rsidRPr="000A4A0F">
        <w:rPr>
          <w:rFonts w:ascii="Times New Roman" w:hAnsi="Times New Roman" w:cs="Times New Roman"/>
          <w:b/>
          <w:sz w:val="24"/>
          <w:szCs w:val="24"/>
        </w:rPr>
        <w:t>VARIABLE</w:t>
      </w:r>
      <w:r w:rsidR="00DB4384" w:rsidRPr="00DB4384">
        <w:rPr>
          <w:rFonts w:ascii="Times New Roman" w:hAnsi="Times New Roman" w:cs="Times New Roman"/>
          <w:b/>
          <w:color w:val="FF0000"/>
          <w:sz w:val="24"/>
          <w:szCs w:val="24"/>
        </w:rPr>
        <w:t>S</w:t>
      </w:r>
      <w:r w:rsidRPr="000A4A0F">
        <w:rPr>
          <w:rFonts w:ascii="Times New Roman" w:hAnsi="Times New Roman" w:cs="Times New Roman"/>
          <w:b/>
          <w:sz w:val="24"/>
          <w:szCs w:val="24"/>
        </w:rPr>
        <w:t xml:space="preserve"> D’ETUDE</w:t>
      </w:r>
      <w:bookmarkEnd w:id="51"/>
      <w:r w:rsidRPr="000A4A0F">
        <w:rPr>
          <w:rFonts w:ascii="Times New Roman" w:hAnsi="Times New Roman" w:cs="Times New Roman"/>
          <w:b/>
          <w:sz w:val="24"/>
          <w:szCs w:val="24"/>
        </w:rPr>
        <w:t xml:space="preserve"> </w:t>
      </w:r>
    </w:p>
    <w:p w14:paraId="1B1A3CF3" w14:textId="77777777" w:rsidR="009877AE" w:rsidRPr="000A4A0F" w:rsidRDefault="009877AE" w:rsidP="006612D9">
      <w:pPr>
        <w:spacing w:after="0" w:line="360" w:lineRule="auto"/>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3681"/>
        <w:gridCol w:w="5380"/>
      </w:tblGrid>
      <w:tr w:rsidR="00E54542" w:rsidRPr="000A4A0F" w14:paraId="196EE050" w14:textId="77777777" w:rsidTr="009877AE">
        <w:tc>
          <w:tcPr>
            <w:tcW w:w="3681" w:type="dxa"/>
          </w:tcPr>
          <w:p w14:paraId="58A0FD02" w14:textId="77777777" w:rsidR="00E54542" w:rsidRPr="000A4A0F" w:rsidRDefault="00E54542" w:rsidP="006612D9">
            <w:pPr>
              <w:spacing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Variables Quantitatives</w:t>
            </w:r>
          </w:p>
        </w:tc>
        <w:tc>
          <w:tcPr>
            <w:tcW w:w="5381" w:type="dxa"/>
          </w:tcPr>
          <w:p w14:paraId="3317218D" w14:textId="77777777" w:rsidR="00E54542" w:rsidRPr="000A4A0F" w:rsidRDefault="00E54542" w:rsidP="006612D9">
            <w:pPr>
              <w:spacing w:line="360" w:lineRule="auto"/>
              <w:jc w:val="both"/>
              <w:rPr>
                <w:rFonts w:ascii="Times New Roman" w:hAnsi="Times New Roman" w:cs="Times New Roman"/>
                <w:b/>
                <w:sz w:val="24"/>
                <w:szCs w:val="24"/>
              </w:rPr>
            </w:pPr>
            <w:r w:rsidRPr="000A4A0F">
              <w:rPr>
                <w:rFonts w:ascii="Times New Roman" w:hAnsi="Times New Roman" w:cs="Times New Roman"/>
                <w:b/>
                <w:sz w:val="24"/>
                <w:szCs w:val="24"/>
              </w:rPr>
              <w:t>Variables Qualitatives</w:t>
            </w:r>
          </w:p>
        </w:tc>
      </w:tr>
      <w:tr w:rsidR="00E54542" w:rsidRPr="000A4A0F" w14:paraId="26D543A3" w14:textId="77777777" w:rsidTr="009877AE">
        <w:tc>
          <w:tcPr>
            <w:tcW w:w="3681" w:type="dxa"/>
          </w:tcPr>
          <w:p w14:paraId="4DA0187B" w14:textId="77777777" w:rsidR="00E54542" w:rsidRPr="000A4A0F" w:rsidRDefault="00E54542"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Ages du </w:t>
            </w:r>
            <w:proofErr w:type="spellStart"/>
            <w:r w:rsidRPr="000A4A0F">
              <w:rPr>
                <w:rFonts w:ascii="Times New Roman" w:hAnsi="Times New Roman" w:cs="Times New Roman"/>
                <w:sz w:val="24"/>
                <w:szCs w:val="24"/>
              </w:rPr>
              <w:t>NNe</w:t>
            </w:r>
            <w:proofErr w:type="spellEnd"/>
            <w:r w:rsidR="000C018A" w:rsidRPr="000A4A0F">
              <w:rPr>
                <w:rFonts w:ascii="Times New Roman" w:hAnsi="Times New Roman" w:cs="Times New Roman"/>
                <w:sz w:val="24"/>
                <w:szCs w:val="24"/>
              </w:rPr>
              <w:t xml:space="preserve"> </w:t>
            </w:r>
            <w:r w:rsidRPr="000A4A0F">
              <w:rPr>
                <w:rFonts w:ascii="Times New Roman" w:hAnsi="Times New Roman" w:cs="Times New Roman"/>
                <w:sz w:val="24"/>
                <w:szCs w:val="24"/>
              </w:rPr>
              <w:t>(</w:t>
            </w:r>
            <w:r w:rsidR="0024019E" w:rsidRPr="000A4A0F">
              <w:rPr>
                <w:rFonts w:ascii="Times New Roman" w:hAnsi="Times New Roman" w:cs="Times New Roman"/>
                <w:sz w:val="24"/>
                <w:szCs w:val="24"/>
              </w:rPr>
              <w:t>Heures, Jours</w:t>
            </w:r>
            <w:r w:rsidRPr="000A4A0F">
              <w:rPr>
                <w:rFonts w:ascii="Times New Roman" w:hAnsi="Times New Roman" w:cs="Times New Roman"/>
                <w:sz w:val="24"/>
                <w:szCs w:val="24"/>
              </w:rPr>
              <w:t>)</w:t>
            </w:r>
          </w:p>
        </w:tc>
        <w:tc>
          <w:tcPr>
            <w:tcW w:w="5381" w:type="dxa"/>
          </w:tcPr>
          <w:p w14:paraId="11D80219" w14:textId="77777777" w:rsidR="0024019E" w:rsidRPr="000A4A0F" w:rsidRDefault="0024019E"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ATCD </w:t>
            </w:r>
            <w:r w:rsidR="009877AE" w:rsidRPr="000A4A0F">
              <w:rPr>
                <w:rFonts w:ascii="Times New Roman" w:hAnsi="Times New Roman" w:cs="Times New Roman"/>
                <w:sz w:val="24"/>
                <w:szCs w:val="24"/>
              </w:rPr>
              <w:t>d’ictère (Frère et sœur)</w:t>
            </w:r>
            <w:r w:rsidR="00071763" w:rsidRPr="000A4A0F">
              <w:rPr>
                <w:rFonts w:ascii="Times New Roman" w:hAnsi="Times New Roman" w:cs="Times New Roman"/>
                <w:sz w:val="24"/>
                <w:szCs w:val="24"/>
              </w:rPr>
              <w:t>, ATCD</w:t>
            </w:r>
            <w:r w:rsidR="009877AE" w:rsidRPr="000A4A0F">
              <w:rPr>
                <w:rFonts w:ascii="Times New Roman" w:hAnsi="Times New Roman" w:cs="Times New Roman"/>
                <w:sz w:val="24"/>
                <w:szCs w:val="24"/>
              </w:rPr>
              <w:t xml:space="preserve"> transfusion</w:t>
            </w:r>
          </w:p>
        </w:tc>
      </w:tr>
      <w:tr w:rsidR="00E54542" w:rsidRPr="000A4A0F" w14:paraId="08D450D9" w14:textId="77777777" w:rsidTr="009877AE">
        <w:tc>
          <w:tcPr>
            <w:tcW w:w="3681" w:type="dxa"/>
          </w:tcPr>
          <w:p w14:paraId="5E9093CA" w14:textId="57BB9596" w:rsidR="00E54542" w:rsidRPr="000A4A0F" w:rsidRDefault="00E54542"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Poids e</w:t>
            </w:r>
            <w:r w:rsidR="00071763" w:rsidRPr="000A4A0F">
              <w:rPr>
                <w:rFonts w:ascii="Times New Roman" w:hAnsi="Times New Roman" w:cs="Times New Roman"/>
                <w:sz w:val="24"/>
                <w:szCs w:val="24"/>
              </w:rPr>
              <w:t xml:space="preserve">n </w:t>
            </w:r>
            <w:r w:rsidR="0024019E" w:rsidRPr="000A4A0F">
              <w:rPr>
                <w:rFonts w:ascii="Times New Roman" w:hAnsi="Times New Roman" w:cs="Times New Roman"/>
                <w:sz w:val="24"/>
                <w:szCs w:val="24"/>
              </w:rPr>
              <w:t>(Gramme</w:t>
            </w:r>
            <w:r w:rsidR="00DB4384" w:rsidRPr="00DB4384">
              <w:rPr>
                <w:rFonts w:ascii="Times New Roman" w:hAnsi="Times New Roman" w:cs="Times New Roman"/>
                <w:color w:val="FF0000"/>
                <w:sz w:val="24"/>
                <w:szCs w:val="24"/>
              </w:rPr>
              <w:t>s</w:t>
            </w:r>
            <w:r w:rsidRPr="000A4A0F">
              <w:rPr>
                <w:rFonts w:ascii="Times New Roman" w:hAnsi="Times New Roman" w:cs="Times New Roman"/>
                <w:sz w:val="24"/>
                <w:szCs w:val="24"/>
              </w:rPr>
              <w:t>)</w:t>
            </w:r>
          </w:p>
        </w:tc>
        <w:tc>
          <w:tcPr>
            <w:tcW w:w="5381" w:type="dxa"/>
          </w:tcPr>
          <w:p w14:paraId="6B828279" w14:textId="77777777" w:rsidR="00E54542" w:rsidRPr="000A4A0F" w:rsidRDefault="0024019E"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Infection durant la grossesse</w:t>
            </w:r>
          </w:p>
        </w:tc>
      </w:tr>
      <w:tr w:rsidR="00E54542" w:rsidRPr="000A4A0F" w14:paraId="5A1AC1C8" w14:textId="77777777" w:rsidTr="009877AE">
        <w:tc>
          <w:tcPr>
            <w:tcW w:w="3681" w:type="dxa"/>
          </w:tcPr>
          <w:p w14:paraId="542E5618" w14:textId="77777777" w:rsidR="00E54542" w:rsidRPr="000A4A0F" w:rsidRDefault="0024019E"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Taille (cm)</w:t>
            </w:r>
          </w:p>
        </w:tc>
        <w:tc>
          <w:tcPr>
            <w:tcW w:w="5381" w:type="dxa"/>
          </w:tcPr>
          <w:p w14:paraId="10A9B894" w14:textId="77777777" w:rsidR="00E54542" w:rsidRPr="000A4A0F" w:rsidRDefault="0024019E"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Pathologie maternelle</w:t>
            </w:r>
          </w:p>
        </w:tc>
      </w:tr>
      <w:tr w:rsidR="00E54542" w:rsidRPr="000A4A0F" w14:paraId="078100EE" w14:textId="77777777" w:rsidTr="009877AE">
        <w:tc>
          <w:tcPr>
            <w:tcW w:w="3681" w:type="dxa"/>
          </w:tcPr>
          <w:p w14:paraId="4F890274" w14:textId="77777777" w:rsidR="00E54542" w:rsidRPr="000A4A0F" w:rsidRDefault="0024019E"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PC(Cm)</w:t>
            </w:r>
          </w:p>
        </w:tc>
        <w:tc>
          <w:tcPr>
            <w:tcW w:w="5381" w:type="dxa"/>
          </w:tcPr>
          <w:p w14:paraId="562FEC17" w14:textId="0146CC26" w:rsidR="00E54542" w:rsidRPr="000A4A0F" w:rsidRDefault="0024019E" w:rsidP="006612D9">
            <w:pPr>
              <w:spacing w:line="360" w:lineRule="auto"/>
              <w:jc w:val="both"/>
              <w:rPr>
                <w:rFonts w:ascii="Times New Roman" w:hAnsi="Times New Roman" w:cs="Times New Roman"/>
                <w:sz w:val="24"/>
                <w:szCs w:val="24"/>
              </w:rPr>
            </w:pPr>
            <w:proofErr w:type="spellStart"/>
            <w:r w:rsidRPr="000A4A0F">
              <w:rPr>
                <w:rFonts w:ascii="Times New Roman" w:hAnsi="Times New Roman" w:cs="Times New Roman"/>
                <w:sz w:val="24"/>
                <w:szCs w:val="24"/>
              </w:rPr>
              <w:t>Gpe</w:t>
            </w:r>
            <w:proofErr w:type="spellEnd"/>
            <w:r w:rsidRPr="000A4A0F">
              <w:rPr>
                <w:rFonts w:ascii="Times New Roman" w:hAnsi="Times New Roman" w:cs="Times New Roman"/>
                <w:sz w:val="24"/>
                <w:szCs w:val="24"/>
              </w:rPr>
              <w:t xml:space="preserve"> sanguin du </w:t>
            </w:r>
            <w:proofErr w:type="spellStart"/>
            <w:r w:rsidRPr="000A4A0F">
              <w:rPr>
                <w:rFonts w:ascii="Times New Roman" w:hAnsi="Times New Roman" w:cs="Times New Roman"/>
                <w:sz w:val="24"/>
                <w:szCs w:val="24"/>
              </w:rPr>
              <w:t>NNe</w:t>
            </w:r>
            <w:proofErr w:type="spellEnd"/>
            <w:r w:rsidRPr="000A4A0F">
              <w:rPr>
                <w:rFonts w:ascii="Times New Roman" w:hAnsi="Times New Roman" w:cs="Times New Roman"/>
                <w:sz w:val="24"/>
                <w:szCs w:val="24"/>
              </w:rPr>
              <w:t xml:space="preserve"> et de la </w:t>
            </w:r>
            <w:r w:rsidR="009877AE" w:rsidRPr="000A4A0F">
              <w:rPr>
                <w:rFonts w:ascii="Times New Roman" w:hAnsi="Times New Roman" w:cs="Times New Roman"/>
                <w:sz w:val="24"/>
                <w:szCs w:val="24"/>
              </w:rPr>
              <w:t>mère</w:t>
            </w:r>
            <w:r w:rsidR="00B448B5" w:rsidRPr="000A4A0F">
              <w:rPr>
                <w:rFonts w:ascii="Times New Roman" w:hAnsi="Times New Roman" w:cs="Times New Roman"/>
                <w:sz w:val="24"/>
                <w:szCs w:val="24"/>
              </w:rPr>
              <w:t>, Sexe (F ou M)</w:t>
            </w:r>
          </w:p>
        </w:tc>
      </w:tr>
      <w:tr w:rsidR="00B448B5" w:rsidRPr="000A4A0F" w14:paraId="236510E9" w14:textId="77777777" w:rsidTr="009877AE">
        <w:tc>
          <w:tcPr>
            <w:tcW w:w="3681" w:type="dxa"/>
          </w:tcPr>
          <w:p w14:paraId="7B0D6461" w14:textId="2A568F24" w:rsidR="00B448B5" w:rsidRPr="000A4A0F" w:rsidRDefault="00B448B5"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Formule obstétricale (G, P, EV, D)</w:t>
            </w:r>
          </w:p>
        </w:tc>
        <w:tc>
          <w:tcPr>
            <w:tcW w:w="5381" w:type="dxa"/>
          </w:tcPr>
          <w:p w14:paraId="4BD0C6BD" w14:textId="77777777" w:rsidR="00B448B5" w:rsidRPr="000A4A0F" w:rsidRDefault="00B448B5"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Clinique à l’entrée puis sortie</w:t>
            </w:r>
          </w:p>
        </w:tc>
      </w:tr>
      <w:tr w:rsidR="00B448B5" w:rsidRPr="000A4A0F" w14:paraId="3532A639" w14:textId="77777777" w:rsidTr="009877AE">
        <w:tc>
          <w:tcPr>
            <w:tcW w:w="3681" w:type="dxa"/>
          </w:tcPr>
          <w:p w14:paraId="774682B9" w14:textId="55BE33DD" w:rsidR="00B448B5" w:rsidRPr="000A4A0F" w:rsidRDefault="00B448B5"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Suivi de la grossesse (Nbre CPN)</w:t>
            </w:r>
          </w:p>
        </w:tc>
        <w:tc>
          <w:tcPr>
            <w:tcW w:w="5381" w:type="dxa"/>
          </w:tcPr>
          <w:p w14:paraId="6711E95E" w14:textId="77777777" w:rsidR="00B448B5" w:rsidRPr="000A4A0F" w:rsidRDefault="00B448B5"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Voie d’accouchement (eutocique ou dystocique)</w:t>
            </w:r>
          </w:p>
        </w:tc>
      </w:tr>
      <w:tr w:rsidR="00B448B5" w:rsidRPr="000A4A0F" w14:paraId="03A6DB42" w14:textId="77777777" w:rsidTr="009877AE">
        <w:tc>
          <w:tcPr>
            <w:tcW w:w="3681" w:type="dxa"/>
          </w:tcPr>
          <w:p w14:paraId="731FA1D6" w14:textId="7CD892AD" w:rsidR="00B448B5" w:rsidRPr="000A4A0F" w:rsidRDefault="00B448B5"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Age gestationnel(Semaine)</w:t>
            </w:r>
          </w:p>
        </w:tc>
        <w:tc>
          <w:tcPr>
            <w:tcW w:w="5381" w:type="dxa"/>
          </w:tcPr>
          <w:p w14:paraId="1F907360" w14:textId="7987D5FF" w:rsidR="00B448B5" w:rsidRPr="000A4A0F" w:rsidRDefault="00B448B5" w:rsidP="006612D9">
            <w:pPr>
              <w:spacing w:line="360" w:lineRule="auto"/>
              <w:jc w:val="both"/>
              <w:rPr>
                <w:rFonts w:ascii="Times New Roman" w:hAnsi="Times New Roman" w:cs="Times New Roman"/>
                <w:sz w:val="24"/>
                <w:szCs w:val="24"/>
              </w:rPr>
            </w:pPr>
            <w:r w:rsidRPr="00DB4384">
              <w:rPr>
                <w:rFonts w:ascii="Times New Roman" w:hAnsi="Times New Roman" w:cs="Times New Roman"/>
                <w:sz w:val="24"/>
                <w:szCs w:val="24"/>
                <w:highlight w:val="yellow"/>
              </w:rPr>
              <w:t>Hémoculture</w:t>
            </w:r>
          </w:p>
        </w:tc>
      </w:tr>
      <w:tr w:rsidR="00B448B5" w:rsidRPr="000A4A0F" w14:paraId="123318AF" w14:textId="77777777" w:rsidTr="009877AE">
        <w:tc>
          <w:tcPr>
            <w:tcW w:w="3681" w:type="dxa"/>
          </w:tcPr>
          <w:p w14:paraId="33361AFD" w14:textId="1B7FFE8C" w:rsidR="00B448B5" w:rsidRPr="000A4A0F" w:rsidRDefault="00B448B5"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BT et C</w:t>
            </w:r>
          </w:p>
        </w:tc>
        <w:tc>
          <w:tcPr>
            <w:tcW w:w="5381" w:type="dxa"/>
          </w:tcPr>
          <w:p w14:paraId="3DB6359A" w14:textId="35DB230B" w:rsidR="00B448B5" w:rsidRPr="000A4A0F" w:rsidRDefault="00B448B5"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G6PD, </w:t>
            </w:r>
            <w:commentRangeStart w:id="52"/>
            <w:r w:rsidRPr="00DB4384">
              <w:rPr>
                <w:rFonts w:ascii="Times New Roman" w:hAnsi="Times New Roman" w:cs="Times New Roman"/>
                <w:sz w:val="24"/>
                <w:szCs w:val="24"/>
                <w:highlight w:val="yellow"/>
              </w:rPr>
              <w:t>HT</w:t>
            </w:r>
            <w:commentRangeEnd w:id="52"/>
            <w:r w:rsidR="00DB4384">
              <w:rPr>
                <w:rStyle w:val="Marquedecommentaire"/>
                <w:lang w:eastAsia="en-US"/>
              </w:rPr>
              <w:commentReference w:id="52"/>
            </w:r>
            <w:r w:rsidRPr="000A4A0F">
              <w:rPr>
                <w:rFonts w:ascii="Times New Roman" w:hAnsi="Times New Roman" w:cs="Times New Roman"/>
                <w:sz w:val="24"/>
                <w:szCs w:val="24"/>
              </w:rPr>
              <w:t xml:space="preserve">, Génotype de </w:t>
            </w:r>
            <w:proofErr w:type="gramStart"/>
            <w:r w:rsidRPr="000A4A0F">
              <w:rPr>
                <w:rFonts w:ascii="Times New Roman" w:hAnsi="Times New Roman" w:cs="Times New Roman"/>
                <w:sz w:val="24"/>
                <w:szCs w:val="24"/>
              </w:rPr>
              <w:t>l’</w:t>
            </w:r>
            <w:proofErr w:type="spellStart"/>
            <w:r w:rsidRPr="000A4A0F">
              <w:rPr>
                <w:rFonts w:ascii="Times New Roman" w:hAnsi="Times New Roman" w:cs="Times New Roman"/>
                <w:sz w:val="24"/>
                <w:szCs w:val="24"/>
              </w:rPr>
              <w:t>Hb,Mucoviscidose</w:t>
            </w:r>
            <w:proofErr w:type="gramEnd"/>
            <w:r w:rsidRPr="000A4A0F">
              <w:rPr>
                <w:rFonts w:ascii="Times New Roman" w:hAnsi="Times New Roman" w:cs="Times New Roman"/>
                <w:sz w:val="24"/>
                <w:szCs w:val="24"/>
              </w:rPr>
              <w:t>,</w:t>
            </w:r>
            <w:r w:rsidRPr="00DB4384">
              <w:rPr>
                <w:rFonts w:ascii="Times New Roman" w:hAnsi="Times New Roman" w:cs="Times New Roman"/>
                <w:color w:val="FF0000"/>
                <w:sz w:val="24"/>
                <w:szCs w:val="24"/>
              </w:rPr>
              <w:t>IRT</w:t>
            </w:r>
            <w:proofErr w:type="spellEnd"/>
          </w:p>
        </w:tc>
      </w:tr>
      <w:tr w:rsidR="00B448B5" w:rsidRPr="000A4A0F" w14:paraId="5C74C1B5" w14:textId="77777777" w:rsidTr="009877AE">
        <w:tc>
          <w:tcPr>
            <w:tcW w:w="3681" w:type="dxa"/>
          </w:tcPr>
          <w:p w14:paraId="4D46ACD8" w14:textId="1854F28A" w:rsidR="00B448B5" w:rsidRPr="000A4A0F" w:rsidRDefault="00B448B5"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NFS, CRP, PCT</w:t>
            </w:r>
          </w:p>
        </w:tc>
        <w:tc>
          <w:tcPr>
            <w:tcW w:w="5381" w:type="dxa"/>
          </w:tcPr>
          <w:p w14:paraId="2B61A7F2" w14:textId="4347D766" w:rsidR="00B448B5" w:rsidRPr="000A4A0F" w:rsidRDefault="00B448B5" w:rsidP="006612D9">
            <w:pPr>
              <w:spacing w:line="360" w:lineRule="auto"/>
              <w:jc w:val="both"/>
              <w:rPr>
                <w:rFonts w:ascii="Times New Roman" w:hAnsi="Times New Roman" w:cs="Times New Roman"/>
                <w:sz w:val="24"/>
                <w:szCs w:val="24"/>
              </w:rPr>
            </w:pPr>
            <w:r w:rsidRPr="00DB4384">
              <w:rPr>
                <w:rFonts w:ascii="Times New Roman" w:hAnsi="Times New Roman" w:cs="Times New Roman"/>
                <w:sz w:val="24"/>
                <w:szCs w:val="24"/>
                <w:highlight w:val="yellow"/>
              </w:rPr>
              <w:t>Autres bilans : Imagerie,</w:t>
            </w:r>
          </w:p>
        </w:tc>
      </w:tr>
      <w:tr w:rsidR="00B448B5" w:rsidRPr="000A4A0F" w14:paraId="2E597C50" w14:textId="77777777" w:rsidTr="009877AE">
        <w:tc>
          <w:tcPr>
            <w:tcW w:w="3681" w:type="dxa"/>
          </w:tcPr>
          <w:p w14:paraId="063831F2" w14:textId="0DE95C05" w:rsidR="00B448B5" w:rsidRPr="000A4A0F" w:rsidRDefault="00B448B5"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Formule obstétricale (G, P, EV, D)</w:t>
            </w:r>
          </w:p>
        </w:tc>
        <w:tc>
          <w:tcPr>
            <w:tcW w:w="5381" w:type="dxa"/>
          </w:tcPr>
          <w:p w14:paraId="34E0C7B0" w14:textId="69063B4F" w:rsidR="00B448B5" w:rsidRPr="000A4A0F" w:rsidRDefault="00B448B5" w:rsidP="006612D9">
            <w:pPr>
              <w:spacing w:line="360" w:lineRule="auto"/>
              <w:jc w:val="both"/>
              <w:rPr>
                <w:rFonts w:ascii="Times New Roman" w:hAnsi="Times New Roman" w:cs="Times New Roman"/>
                <w:sz w:val="24"/>
                <w:szCs w:val="24"/>
              </w:rPr>
            </w:pPr>
            <w:commentRangeStart w:id="53"/>
            <w:proofErr w:type="spellStart"/>
            <w:r w:rsidRPr="00DB4384">
              <w:rPr>
                <w:rFonts w:ascii="Times New Roman" w:hAnsi="Times New Roman" w:cs="Times New Roman"/>
                <w:sz w:val="24"/>
                <w:szCs w:val="24"/>
                <w:highlight w:val="yellow"/>
              </w:rPr>
              <w:t>PEC</w:t>
            </w:r>
            <w:commentRangeEnd w:id="53"/>
            <w:r w:rsidR="00DB4384">
              <w:rPr>
                <w:rStyle w:val="Marquedecommentaire"/>
                <w:lang w:eastAsia="en-US"/>
              </w:rPr>
              <w:commentReference w:id="53"/>
            </w:r>
            <w:r w:rsidRPr="000A4A0F">
              <w:rPr>
                <w:rFonts w:ascii="Times New Roman" w:hAnsi="Times New Roman" w:cs="Times New Roman"/>
                <w:sz w:val="24"/>
                <w:szCs w:val="24"/>
              </w:rPr>
              <w:t>,Evolution,Complication</w:t>
            </w:r>
            <w:proofErr w:type="spellEnd"/>
          </w:p>
        </w:tc>
      </w:tr>
      <w:tr w:rsidR="00B448B5" w:rsidRPr="000A4A0F" w14:paraId="7CFDE492" w14:textId="77777777" w:rsidTr="009877AE">
        <w:tc>
          <w:tcPr>
            <w:tcW w:w="3681" w:type="dxa"/>
          </w:tcPr>
          <w:p w14:paraId="3A02C694" w14:textId="4C7BF505" w:rsidR="00B448B5" w:rsidRPr="000A4A0F" w:rsidRDefault="00B448B5"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Suivi de la grossesse (Nbre CPN)</w:t>
            </w:r>
          </w:p>
        </w:tc>
        <w:tc>
          <w:tcPr>
            <w:tcW w:w="5381" w:type="dxa"/>
          </w:tcPr>
          <w:p w14:paraId="1788FA7A" w14:textId="330B7307" w:rsidR="00B448B5" w:rsidRPr="000A4A0F" w:rsidRDefault="00B448B5"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Mode d’alimentation et délais.</w:t>
            </w:r>
          </w:p>
        </w:tc>
      </w:tr>
      <w:tr w:rsidR="00816C0C" w:rsidRPr="000A4A0F" w14:paraId="29B29DF8" w14:textId="77777777" w:rsidTr="009877AE">
        <w:tc>
          <w:tcPr>
            <w:tcW w:w="3681" w:type="dxa"/>
          </w:tcPr>
          <w:p w14:paraId="3336B578" w14:textId="77777777" w:rsidR="00816C0C" w:rsidRPr="000A4A0F" w:rsidRDefault="00816C0C" w:rsidP="006612D9">
            <w:pPr>
              <w:spacing w:line="360" w:lineRule="auto"/>
              <w:jc w:val="both"/>
              <w:rPr>
                <w:rFonts w:ascii="Times New Roman" w:hAnsi="Times New Roman" w:cs="Times New Roman"/>
                <w:sz w:val="24"/>
                <w:szCs w:val="24"/>
              </w:rPr>
            </w:pPr>
          </w:p>
        </w:tc>
        <w:tc>
          <w:tcPr>
            <w:tcW w:w="5381" w:type="dxa"/>
          </w:tcPr>
          <w:p w14:paraId="54DC7CF5" w14:textId="5383E208" w:rsidR="00816C0C" w:rsidRPr="00DB4384" w:rsidRDefault="00816C0C" w:rsidP="006612D9">
            <w:pPr>
              <w:spacing w:line="360" w:lineRule="auto"/>
              <w:jc w:val="both"/>
              <w:rPr>
                <w:rFonts w:ascii="Times New Roman" w:hAnsi="Times New Roman" w:cs="Times New Roman"/>
                <w:sz w:val="24"/>
                <w:szCs w:val="24"/>
                <w:highlight w:val="yellow"/>
              </w:rPr>
            </w:pPr>
            <w:r w:rsidRPr="00DB4384">
              <w:rPr>
                <w:rFonts w:ascii="Times New Roman" w:hAnsi="Times New Roman" w:cs="Times New Roman"/>
                <w:sz w:val="24"/>
                <w:szCs w:val="24"/>
                <w:highlight w:val="yellow"/>
              </w:rPr>
              <w:t>Hémoculture</w:t>
            </w:r>
          </w:p>
        </w:tc>
      </w:tr>
    </w:tbl>
    <w:p w14:paraId="04836960" w14:textId="021FC18E" w:rsidR="00C762FB" w:rsidRPr="000A4A0F" w:rsidRDefault="00C762FB" w:rsidP="006612D9">
      <w:pPr>
        <w:shd w:val="clear" w:color="auto" w:fill="FFFFFF"/>
        <w:spacing w:after="0" w:line="360" w:lineRule="auto"/>
        <w:jc w:val="both"/>
        <w:textAlignment w:val="baseline"/>
        <w:rPr>
          <w:rFonts w:ascii="Times New Roman" w:eastAsia="Times New Roman" w:hAnsi="Times New Roman" w:cs="Times New Roman"/>
          <w:color w:val="FF0000"/>
          <w:sz w:val="24"/>
          <w:szCs w:val="24"/>
          <w:lang w:eastAsia="fr-FR"/>
        </w:rPr>
      </w:pPr>
    </w:p>
    <w:p w14:paraId="4CEF3041" w14:textId="77777777" w:rsidR="00CD4A84" w:rsidRPr="000A4A0F" w:rsidRDefault="00CD4A84" w:rsidP="006612D9">
      <w:pPr>
        <w:shd w:val="clear" w:color="auto" w:fill="FFFFFF"/>
        <w:spacing w:after="0" w:line="360" w:lineRule="auto"/>
        <w:jc w:val="both"/>
        <w:textAlignment w:val="baseline"/>
        <w:rPr>
          <w:rFonts w:ascii="Times New Roman" w:hAnsi="Times New Roman" w:cs="Times New Roman"/>
          <w:sz w:val="24"/>
          <w:szCs w:val="24"/>
        </w:rPr>
      </w:pPr>
    </w:p>
    <w:p w14:paraId="3E4D3F43" w14:textId="04470D89" w:rsidR="00A15746" w:rsidRPr="000A4A0F" w:rsidRDefault="00D459E3" w:rsidP="006612D9">
      <w:pPr>
        <w:pStyle w:val="Titre2"/>
        <w:numPr>
          <w:ilvl w:val="0"/>
          <w:numId w:val="22"/>
        </w:numPr>
        <w:spacing w:before="0" w:line="360" w:lineRule="auto"/>
        <w:jc w:val="both"/>
        <w:rPr>
          <w:rFonts w:ascii="Times New Roman" w:hAnsi="Times New Roman" w:cs="Times New Roman"/>
          <w:b/>
          <w:sz w:val="24"/>
          <w:szCs w:val="24"/>
        </w:rPr>
      </w:pPr>
      <w:bookmarkStart w:id="54" w:name="_Toc87049074"/>
      <w:r w:rsidRPr="000A4A0F">
        <w:rPr>
          <w:rFonts w:ascii="Times New Roman" w:hAnsi="Times New Roman" w:cs="Times New Roman"/>
          <w:b/>
          <w:sz w:val="24"/>
          <w:szCs w:val="24"/>
        </w:rPr>
        <w:t>DEFINITION</w:t>
      </w:r>
      <w:r w:rsidR="00DB4384" w:rsidRPr="00DB4384">
        <w:rPr>
          <w:rFonts w:ascii="Times New Roman" w:hAnsi="Times New Roman" w:cs="Times New Roman"/>
          <w:b/>
          <w:color w:val="FF0000"/>
          <w:sz w:val="24"/>
          <w:szCs w:val="24"/>
        </w:rPr>
        <w:t>S</w:t>
      </w:r>
      <w:r w:rsidRPr="000A4A0F">
        <w:rPr>
          <w:rFonts w:ascii="Times New Roman" w:hAnsi="Times New Roman" w:cs="Times New Roman"/>
          <w:b/>
          <w:sz w:val="24"/>
          <w:szCs w:val="24"/>
        </w:rPr>
        <w:t xml:space="preserve"> OPERATIONNELL</w:t>
      </w:r>
      <w:r w:rsidR="00D43E08" w:rsidRPr="000A4A0F">
        <w:rPr>
          <w:rFonts w:ascii="Times New Roman" w:hAnsi="Times New Roman" w:cs="Times New Roman"/>
          <w:b/>
          <w:sz w:val="24"/>
          <w:szCs w:val="24"/>
        </w:rPr>
        <w:t>E</w:t>
      </w:r>
      <w:bookmarkEnd w:id="54"/>
      <w:r w:rsidR="00DB4384" w:rsidRPr="00DB4384">
        <w:rPr>
          <w:rFonts w:ascii="Times New Roman" w:hAnsi="Times New Roman" w:cs="Times New Roman"/>
          <w:b/>
          <w:color w:val="FF0000"/>
          <w:sz w:val="24"/>
          <w:szCs w:val="24"/>
        </w:rPr>
        <w:t>S</w:t>
      </w:r>
    </w:p>
    <w:p w14:paraId="3480CB9A" w14:textId="25CE580B" w:rsidR="00A15746" w:rsidRPr="000A4A0F" w:rsidRDefault="00A15746"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4C0F99C1" w14:textId="77777777" w:rsidR="00A15746" w:rsidRPr="000A4A0F" w:rsidRDefault="00137111"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Ictère précoce : ictère survenant avant 24 heures de vie de la naissance du nouveau</w:t>
      </w:r>
      <w:r w:rsidR="00E520B0" w:rsidRPr="000A4A0F">
        <w:rPr>
          <w:rFonts w:ascii="Times New Roman" w:eastAsia="Times New Roman" w:hAnsi="Times New Roman" w:cs="Times New Roman"/>
          <w:color w:val="000000"/>
          <w:sz w:val="24"/>
          <w:szCs w:val="24"/>
          <w:lang w:eastAsia="fr-FR"/>
        </w:rPr>
        <w:t>-</w:t>
      </w:r>
      <w:r w:rsidR="00A15746" w:rsidRPr="000A4A0F">
        <w:rPr>
          <w:rFonts w:ascii="Times New Roman" w:eastAsia="Times New Roman" w:hAnsi="Times New Roman" w:cs="Times New Roman"/>
          <w:color w:val="000000"/>
          <w:sz w:val="24"/>
          <w:szCs w:val="24"/>
          <w:lang w:eastAsia="fr-FR"/>
        </w:rPr>
        <w:t>né.</w:t>
      </w:r>
    </w:p>
    <w:p w14:paraId="0D8A4D8B" w14:textId="77777777" w:rsidR="00137111" w:rsidRPr="000A4A0F" w:rsidRDefault="00137111"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Ictère modéré : ictère qui survient entre le 3e et 7e jour.</w:t>
      </w:r>
    </w:p>
    <w:p w14:paraId="0DCD8B77" w14:textId="77777777" w:rsidR="00137111" w:rsidRPr="000A4A0F" w:rsidRDefault="00137111"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Ictère tardif : ictère apparu au-delà la du 7</w:t>
      </w:r>
      <w:r w:rsidRPr="000A4A0F">
        <w:rPr>
          <w:rFonts w:ascii="Times New Roman" w:eastAsia="Times New Roman" w:hAnsi="Times New Roman" w:cs="Times New Roman"/>
          <w:color w:val="000000"/>
          <w:sz w:val="24"/>
          <w:szCs w:val="24"/>
          <w:vertAlign w:val="superscript"/>
          <w:lang w:eastAsia="fr-FR"/>
        </w:rPr>
        <w:t>e</w:t>
      </w:r>
      <w:r w:rsidRPr="000A4A0F">
        <w:rPr>
          <w:rFonts w:ascii="Times New Roman" w:eastAsia="Times New Roman" w:hAnsi="Times New Roman" w:cs="Times New Roman"/>
          <w:color w:val="000000"/>
          <w:sz w:val="24"/>
          <w:szCs w:val="24"/>
          <w:lang w:eastAsia="fr-FR"/>
        </w:rPr>
        <w:t xml:space="preserve"> jour.</w:t>
      </w:r>
    </w:p>
    <w:p w14:paraId="216C1007" w14:textId="77777777" w:rsidR="00137111" w:rsidRPr="000A4A0F" w:rsidRDefault="00137111"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Ictère prolongé : ictère persistant au-delà de 10e 15e jours de vie du nouveau-né.</w:t>
      </w:r>
    </w:p>
    <w:p w14:paraId="49AF8E12" w14:textId="77777777" w:rsidR="003B6321" w:rsidRPr="000A4A0F" w:rsidRDefault="00137111"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eastAsia="Times New Roman" w:hAnsi="Times New Roman" w:cs="Times New Roman"/>
          <w:color w:val="000000"/>
          <w:sz w:val="24"/>
          <w:szCs w:val="24"/>
          <w:lang w:eastAsia="fr-FR"/>
        </w:rPr>
        <w:t>- Ictère nucléaire : lésion cérébrale provoquée par un dépôt de bilirubine non</w:t>
      </w:r>
      <w:r w:rsidR="00BE487E" w:rsidRPr="000A4A0F">
        <w:rPr>
          <w:rFonts w:ascii="Times New Roman" w:eastAsia="Times New Roman" w:hAnsi="Times New Roman" w:cs="Times New Roman"/>
          <w:color w:val="000000"/>
          <w:sz w:val="24"/>
          <w:szCs w:val="24"/>
          <w:lang w:eastAsia="fr-FR"/>
        </w:rPr>
        <w:t xml:space="preserve"> </w:t>
      </w:r>
      <w:r w:rsidRPr="000A4A0F">
        <w:rPr>
          <w:rFonts w:ascii="Times New Roman" w:eastAsia="Times New Roman" w:hAnsi="Times New Roman" w:cs="Times New Roman"/>
          <w:color w:val="000000"/>
          <w:sz w:val="24"/>
          <w:szCs w:val="24"/>
          <w:lang w:eastAsia="fr-FR"/>
        </w:rPr>
        <w:t>conjuguée dans les noyaux gris centraux et</w:t>
      </w:r>
      <w:r w:rsidR="00AE0718" w:rsidRPr="000A4A0F">
        <w:rPr>
          <w:rFonts w:ascii="Times New Roman" w:eastAsia="Times New Roman" w:hAnsi="Times New Roman" w:cs="Times New Roman"/>
          <w:color w:val="000000"/>
          <w:sz w:val="24"/>
          <w:szCs w:val="24"/>
          <w:lang w:eastAsia="fr-FR"/>
        </w:rPr>
        <w:t xml:space="preserve"> l</w:t>
      </w:r>
      <w:r w:rsidR="006474DB" w:rsidRPr="000A4A0F">
        <w:rPr>
          <w:rFonts w:ascii="Times New Roman" w:hAnsi="Times New Roman" w:cs="Times New Roman"/>
          <w:sz w:val="24"/>
          <w:szCs w:val="24"/>
        </w:rPr>
        <w:t>’ictère précoce sera défini sur base de tout ictère survenue dans les 24 heures après accouchement ou même observé au moment de l’accouchement.</w:t>
      </w:r>
    </w:p>
    <w:p w14:paraId="6EEA24D9" w14:textId="7CD1735C" w:rsidR="003B6321" w:rsidRPr="000A4A0F" w:rsidRDefault="00B448B5"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hAnsi="Times New Roman" w:cs="Times New Roman"/>
          <w:sz w:val="24"/>
          <w:szCs w:val="24"/>
        </w:rPr>
        <w:t xml:space="preserve"> A</w:t>
      </w:r>
      <w:r w:rsidR="006474DB" w:rsidRPr="000A4A0F">
        <w:rPr>
          <w:rFonts w:ascii="Times New Roman" w:hAnsi="Times New Roman" w:cs="Times New Roman"/>
          <w:sz w:val="24"/>
          <w:szCs w:val="24"/>
        </w:rPr>
        <w:t xml:space="preserve">némie grave tout </w:t>
      </w:r>
      <w:r w:rsidRPr="000A4A0F">
        <w:rPr>
          <w:rFonts w:ascii="Times New Roman" w:hAnsi="Times New Roman" w:cs="Times New Roman"/>
          <w:sz w:val="24"/>
          <w:szCs w:val="24"/>
        </w:rPr>
        <w:t>n</w:t>
      </w:r>
      <w:r w:rsidR="00BF7E58" w:rsidRPr="000A4A0F">
        <w:rPr>
          <w:rFonts w:ascii="Times New Roman" w:hAnsi="Times New Roman" w:cs="Times New Roman"/>
          <w:sz w:val="24"/>
          <w:szCs w:val="24"/>
        </w:rPr>
        <w:t>ouveau-né avec un taux d’</w:t>
      </w:r>
      <w:proofErr w:type="spellStart"/>
      <w:r w:rsidR="00BF7E58" w:rsidRPr="000A4A0F">
        <w:rPr>
          <w:rFonts w:ascii="Times New Roman" w:hAnsi="Times New Roman" w:cs="Times New Roman"/>
          <w:sz w:val="24"/>
          <w:szCs w:val="24"/>
        </w:rPr>
        <w:t>Hb</w:t>
      </w:r>
      <w:proofErr w:type="spellEnd"/>
      <w:r w:rsidR="00BF7E58" w:rsidRPr="000A4A0F">
        <w:rPr>
          <w:rFonts w:ascii="Times New Roman" w:hAnsi="Times New Roman" w:cs="Times New Roman"/>
          <w:sz w:val="24"/>
          <w:szCs w:val="24"/>
        </w:rPr>
        <w:t xml:space="preserve"> &lt;12</w:t>
      </w:r>
      <w:r w:rsidR="006474DB" w:rsidRPr="000A4A0F">
        <w:rPr>
          <w:rFonts w:ascii="Times New Roman" w:hAnsi="Times New Roman" w:cs="Times New Roman"/>
          <w:sz w:val="24"/>
          <w:szCs w:val="24"/>
        </w:rPr>
        <w:t>gr/dl associé à un ictère.</w:t>
      </w:r>
    </w:p>
    <w:p w14:paraId="279490A5" w14:textId="1EFA8496" w:rsidR="003B6321" w:rsidRPr="000A4A0F" w:rsidRDefault="00B448B5"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hAnsi="Times New Roman" w:cs="Times New Roman"/>
          <w:sz w:val="24"/>
          <w:szCs w:val="24"/>
        </w:rPr>
        <w:t>Le génotype de l’</w:t>
      </w:r>
      <w:proofErr w:type="spellStart"/>
      <w:r w:rsidRPr="000A4A0F">
        <w:rPr>
          <w:rFonts w:ascii="Times New Roman" w:hAnsi="Times New Roman" w:cs="Times New Roman"/>
          <w:sz w:val="24"/>
          <w:szCs w:val="24"/>
        </w:rPr>
        <w:t>Hb</w:t>
      </w:r>
      <w:proofErr w:type="spellEnd"/>
      <w:r w:rsidRPr="000A4A0F">
        <w:rPr>
          <w:rFonts w:ascii="Times New Roman" w:hAnsi="Times New Roman" w:cs="Times New Roman"/>
          <w:sz w:val="24"/>
          <w:szCs w:val="24"/>
        </w:rPr>
        <w:t xml:space="preserve"> </w:t>
      </w:r>
      <w:r w:rsidR="000A4A0F" w:rsidRPr="000A4A0F">
        <w:rPr>
          <w:rFonts w:ascii="Times New Roman" w:hAnsi="Times New Roman" w:cs="Times New Roman"/>
          <w:sz w:val="24"/>
          <w:szCs w:val="24"/>
        </w:rPr>
        <w:t>était soit</w:t>
      </w:r>
      <w:r w:rsidR="006474DB" w:rsidRPr="000A4A0F">
        <w:rPr>
          <w:rFonts w:ascii="Times New Roman" w:hAnsi="Times New Roman" w:cs="Times New Roman"/>
          <w:sz w:val="24"/>
          <w:szCs w:val="24"/>
        </w:rPr>
        <w:t xml:space="preserve"> AA</w:t>
      </w:r>
      <w:r w:rsidR="00696AA7" w:rsidRPr="000A4A0F">
        <w:rPr>
          <w:rFonts w:ascii="Times New Roman" w:hAnsi="Times New Roman" w:cs="Times New Roman"/>
          <w:sz w:val="24"/>
          <w:szCs w:val="24"/>
        </w:rPr>
        <w:t>, AS</w:t>
      </w:r>
      <w:r w:rsidR="006474DB" w:rsidRPr="000A4A0F">
        <w:rPr>
          <w:rFonts w:ascii="Times New Roman" w:hAnsi="Times New Roman" w:cs="Times New Roman"/>
          <w:sz w:val="24"/>
          <w:szCs w:val="24"/>
        </w:rPr>
        <w:t xml:space="preserve"> ou SS </w:t>
      </w:r>
      <w:r w:rsidR="00696AA7" w:rsidRPr="000A4A0F">
        <w:rPr>
          <w:rFonts w:ascii="Times New Roman" w:hAnsi="Times New Roman" w:cs="Times New Roman"/>
          <w:sz w:val="24"/>
          <w:szCs w:val="24"/>
        </w:rPr>
        <w:t>; l’hypothyroïdie</w:t>
      </w:r>
      <w:r w:rsidRPr="000A4A0F">
        <w:rPr>
          <w:rFonts w:ascii="Times New Roman" w:hAnsi="Times New Roman" w:cs="Times New Roman"/>
          <w:sz w:val="24"/>
          <w:szCs w:val="24"/>
        </w:rPr>
        <w:t xml:space="preserve"> a été </w:t>
      </w:r>
      <w:r w:rsidR="006474DB" w:rsidRPr="000A4A0F">
        <w:rPr>
          <w:rFonts w:ascii="Times New Roman" w:hAnsi="Times New Roman" w:cs="Times New Roman"/>
          <w:sz w:val="24"/>
          <w:szCs w:val="24"/>
        </w:rPr>
        <w:t xml:space="preserve"> définie par</w:t>
      </w:r>
      <w:r w:rsidRPr="000A4A0F">
        <w:rPr>
          <w:rFonts w:ascii="Times New Roman" w:hAnsi="Times New Roman" w:cs="Times New Roman"/>
          <w:sz w:val="24"/>
          <w:szCs w:val="24"/>
        </w:rPr>
        <w:t xml:space="preserve"> un dosage du TSH avec un seuil </w:t>
      </w:r>
      <w:r w:rsidR="00D43E08" w:rsidRPr="000A4A0F">
        <w:rPr>
          <w:rFonts w:ascii="Times New Roman" w:hAnsi="Times New Roman" w:cs="Times New Roman"/>
          <w:sz w:val="24"/>
          <w:szCs w:val="24"/>
        </w:rPr>
        <w:t>inférieur</w:t>
      </w:r>
      <w:r w:rsidRPr="000A4A0F">
        <w:rPr>
          <w:rFonts w:ascii="Times New Roman" w:hAnsi="Times New Roman" w:cs="Times New Roman"/>
          <w:sz w:val="24"/>
          <w:szCs w:val="24"/>
        </w:rPr>
        <w:t xml:space="preserve"> </w:t>
      </w:r>
      <w:r w:rsidR="006474DB" w:rsidRPr="000A4A0F">
        <w:rPr>
          <w:rFonts w:ascii="Times New Roman" w:hAnsi="Times New Roman" w:cs="Times New Roman"/>
          <w:sz w:val="24"/>
          <w:szCs w:val="24"/>
        </w:rPr>
        <w:t>8.6mU/l.</w:t>
      </w:r>
    </w:p>
    <w:p w14:paraId="097DCE81" w14:textId="754530CD" w:rsidR="003B6321" w:rsidRPr="000A4A0F" w:rsidRDefault="000A4A0F"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hAnsi="Times New Roman" w:cs="Times New Roman"/>
          <w:sz w:val="24"/>
          <w:szCs w:val="24"/>
        </w:rPr>
        <w:t>Le G6PD</w:t>
      </w:r>
      <w:r w:rsidR="006474DB" w:rsidRPr="000A4A0F">
        <w:rPr>
          <w:rFonts w:ascii="Times New Roman" w:hAnsi="Times New Roman" w:cs="Times New Roman"/>
          <w:sz w:val="24"/>
          <w:szCs w:val="24"/>
        </w:rPr>
        <w:t xml:space="preserve"> sera défini soit comme déficient ou Négatif (absence du déficit).</w:t>
      </w:r>
    </w:p>
    <w:p w14:paraId="3A67E60F" w14:textId="77777777" w:rsidR="003B6321" w:rsidRPr="000A4A0F" w:rsidRDefault="006474DB"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hAnsi="Times New Roman" w:cs="Times New Roman"/>
          <w:sz w:val="24"/>
          <w:szCs w:val="24"/>
        </w:rPr>
        <w:lastRenderedPageBreak/>
        <w:t>Une incompatibilité dans le système ABO sera défini comme étant un nouveau-né avec un groupe sanguin A ou B et mère avec un groupe sanguin O et l’incompatibilité rhésus un nouveau-né avec un Rhésus positif et mère Rhésus négatif.</w:t>
      </w:r>
    </w:p>
    <w:p w14:paraId="3EF193F5" w14:textId="77777777" w:rsidR="00A15746" w:rsidRPr="000A4A0F" w:rsidRDefault="006474DB"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Une bactériémie sera définie comme étant un germ</w:t>
      </w:r>
      <w:r w:rsidR="001B57BD" w:rsidRPr="000A4A0F">
        <w:rPr>
          <w:rFonts w:ascii="Times New Roman" w:hAnsi="Times New Roman" w:cs="Times New Roman"/>
          <w:sz w:val="24"/>
          <w:szCs w:val="24"/>
        </w:rPr>
        <w:t>e non contaminant ayant poussé dans</w:t>
      </w:r>
      <w:r w:rsidRPr="000A4A0F">
        <w:rPr>
          <w:rFonts w:ascii="Times New Roman" w:hAnsi="Times New Roman" w:cs="Times New Roman"/>
          <w:sz w:val="24"/>
          <w:szCs w:val="24"/>
        </w:rPr>
        <w:t xml:space="preserve"> une ou deux hémoculture</w:t>
      </w:r>
      <w:r w:rsidR="001B57BD" w:rsidRPr="000A4A0F">
        <w:rPr>
          <w:rFonts w:ascii="Times New Roman" w:hAnsi="Times New Roman" w:cs="Times New Roman"/>
          <w:sz w:val="24"/>
          <w:szCs w:val="24"/>
        </w:rPr>
        <w:t>(s)</w:t>
      </w:r>
      <w:r w:rsidRPr="000A4A0F">
        <w:rPr>
          <w:rFonts w:ascii="Times New Roman" w:hAnsi="Times New Roman" w:cs="Times New Roman"/>
          <w:sz w:val="24"/>
          <w:szCs w:val="24"/>
        </w:rPr>
        <w:t>.</w:t>
      </w:r>
    </w:p>
    <w:p w14:paraId="54C5F4EB" w14:textId="7D3C5D23" w:rsidR="00A15746" w:rsidRPr="000A4A0F" w:rsidRDefault="00A15746"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eastAsia="Times New Roman" w:hAnsi="Times New Roman" w:cs="Times New Roman"/>
          <w:color w:val="000000"/>
          <w:sz w:val="24"/>
          <w:szCs w:val="24"/>
          <w:lang w:eastAsia="fr-FR"/>
        </w:rPr>
        <w:t>Une étiologie infectieuse était probable lorsqu’il existait des arguments cliniques d’infection bactérienne néonatale associée à une CRP &gt; 10 mg/</w:t>
      </w:r>
      <w:r w:rsidR="00AF695B" w:rsidRPr="000A4A0F">
        <w:rPr>
          <w:rFonts w:ascii="Times New Roman" w:eastAsia="Times New Roman" w:hAnsi="Times New Roman" w:cs="Times New Roman"/>
          <w:color w:val="000000"/>
          <w:sz w:val="24"/>
          <w:szCs w:val="24"/>
          <w:lang w:eastAsia="fr-FR"/>
        </w:rPr>
        <w:t>l, PCT</w:t>
      </w:r>
      <w:r w:rsidR="00C73C43" w:rsidRPr="000A4A0F">
        <w:rPr>
          <w:rFonts w:ascii="Times New Roman" w:eastAsia="Times New Roman" w:hAnsi="Times New Roman" w:cs="Times New Roman"/>
          <w:color w:val="000000"/>
          <w:sz w:val="24"/>
          <w:szCs w:val="24"/>
          <w:lang w:eastAsia="fr-FR"/>
        </w:rPr>
        <w:t xml:space="preserve"> &gt;0.5microgramme/l </w:t>
      </w:r>
      <w:r w:rsidRPr="000A4A0F">
        <w:rPr>
          <w:rFonts w:ascii="Times New Roman" w:eastAsia="Times New Roman" w:hAnsi="Times New Roman" w:cs="Times New Roman"/>
          <w:color w:val="000000"/>
          <w:sz w:val="24"/>
          <w:szCs w:val="24"/>
          <w:lang w:eastAsia="fr-FR"/>
        </w:rPr>
        <w:t>et/ou à une leucopénie &lt; 5000 globules blancs /mm3 ou une hyperleucocytose &gt; 25000 globules blancs /mm3</w:t>
      </w:r>
      <w:r w:rsidR="00C73C43" w:rsidRPr="000A4A0F">
        <w:rPr>
          <w:rFonts w:ascii="Times New Roman" w:eastAsia="Times New Roman" w:hAnsi="Times New Roman" w:cs="Times New Roman"/>
          <w:color w:val="000000"/>
          <w:sz w:val="24"/>
          <w:szCs w:val="24"/>
          <w:lang w:eastAsia="fr-FR"/>
        </w:rPr>
        <w:t xml:space="preserve"> et </w:t>
      </w:r>
    </w:p>
    <w:p w14:paraId="4951D02F" w14:textId="77777777" w:rsidR="00A15746" w:rsidRPr="000A4A0F" w:rsidRDefault="00A15746" w:rsidP="006612D9">
      <w:pPr>
        <w:shd w:val="clear" w:color="auto" w:fill="FFFFFF"/>
        <w:spacing w:after="0" w:line="360" w:lineRule="auto"/>
        <w:jc w:val="both"/>
        <w:textAlignment w:val="baseline"/>
        <w:rPr>
          <w:rFonts w:ascii="Times New Roman" w:hAnsi="Times New Roman" w:cs="Times New Roman"/>
          <w:sz w:val="24"/>
          <w:szCs w:val="24"/>
        </w:rPr>
      </w:pPr>
    </w:p>
    <w:p w14:paraId="62AC7BBB" w14:textId="3E9A145F" w:rsidR="00CD4A84" w:rsidRPr="000A4A0F" w:rsidRDefault="00CD4A84" w:rsidP="006612D9">
      <w:pPr>
        <w:shd w:val="clear" w:color="auto" w:fill="FFFFFF"/>
        <w:spacing w:after="0" w:line="360" w:lineRule="auto"/>
        <w:jc w:val="both"/>
        <w:textAlignment w:val="baseline"/>
        <w:rPr>
          <w:rFonts w:ascii="Times New Roman" w:hAnsi="Times New Roman" w:cs="Times New Roman"/>
          <w:b/>
          <w:sz w:val="24"/>
          <w:szCs w:val="24"/>
        </w:rPr>
      </w:pPr>
      <w:r w:rsidRPr="000A4A0F">
        <w:rPr>
          <w:rFonts w:ascii="Times New Roman" w:hAnsi="Times New Roman" w:cs="Times New Roman"/>
          <w:b/>
          <w:sz w:val="24"/>
          <w:szCs w:val="24"/>
        </w:rPr>
        <w:t>Analyse</w:t>
      </w:r>
      <w:r w:rsidR="00E0777E" w:rsidRPr="00E0777E">
        <w:rPr>
          <w:rFonts w:ascii="Times New Roman" w:hAnsi="Times New Roman" w:cs="Times New Roman"/>
          <w:b/>
          <w:color w:val="FF0000"/>
          <w:sz w:val="24"/>
          <w:szCs w:val="24"/>
        </w:rPr>
        <w:t>s</w:t>
      </w:r>
      <w:r w:rsidRPr="000A4A0F">
        <w:rPr>
          <w:rFonts w:ascii="Times New Roman" w:hAnsi="Times New Roman" w:cs="Times New Roman"/>
          <w:b/>
          <w:sz w:val="24"/>
          <w:szCs w:val="24"/>
        </w:rPr>
        <w:t xml:space="preserve"> statistique</w:t>
      </w:r>
      <w:r w:rsidR="00E0777E" w:rsidRPr="00E0777E">
        <w:rPr>
          <w:rFonts w:ascii="Times New Roman" w:hAnsi="Times New Roman" w:cs="Times New Roman"/>
          <w:b/>
          <w:color w:val="FF0000"/>
          <w:sz w:val="24"/>
          <w:szCs w:val="24"/>
        </w:rPr>
        <w:t>s</w:t>
      </w:r>
    </w:p>
    <w:p w14:paraId="0E139AEA" w14:textId="77777777" w:rsidR="00CD4A84" w:rsidRPr="000A4A0F" w:rsidRDefault="00CD4A84"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p>
    <w:p w14:paraId="212ABEA7" w14:textId="77777777" w:rsidR="003B6321" w:rsidRPr="000A4A0F" w:rsidRDefault="006474DB"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hAnsi="Times New Roman" w:cs="Times New Roman"/>
          <w:sz w:val="24"/>
          <w:szCs w:val="24"/>
        </w:rPr>
        <w:t>Les données seront recueillies à base d’une fiche d’enquête individuelle, encodée dans une base Epi-Info version 7.</w:t>
      </w:r>
    </w:p>
    <w:p w14:paraId="7FE0D69E" w14:textId="77777777" w:rsidR="003B6321" w:rsidRPr="000A4A0F" w:rsidRDefault="006474DB"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eastAsia="Times New Roman" w:hAnsi="Times New Roman" w:cs="Times New Roman"/>
          <w:color w:val="000000"/>
          <w:sz w:val="24"/>
          <w:szCs w:val="24"/>
          <w:lang w:eastAsia="fr-FR"/>
        </w:rPr>
        <w:t>L'analyse statistique sera réalisée ave</w:t>
      </w:r>
      <w:r w:rsidR="008D6522" w:rsidRPr="000A4A0F">
        <w:rPr>
          <w:rFonts w:ascii="Times New Roman" w:eastAsia="Times New Roman" w:hAnsi="Times New Roman" w:cs="Times New Roman"/>
          <w:color w:val="000000"/>
          <w:sz w:val="24"/>
          <w:szCs w:val="24"/>
          <w:lang w:eastAsia="fr-FR"/>
        </w:rPr>
        <w:t xml:space="preserve">c SPSS version 25. Les variables qualitatives </w:t>
      </w:r>
      <w:r w:rsidR="003E2B15" w:rsidRPr="000A4A0F">
        <w:rPr>
          <w:rFonts w:ascii="Times New Roman" w:eastAsia="Times New Roman" w:hAnsi="Times New Roman" w:cs="Times New Roman"/>
          <w:color w:val="000000"/>
          <w:sz w:val="24"/>
          <w:szCs w:val="24"/>
          <w:lang w:eastAsia="fr-FR"/>
        </w:rPr>
        <w:t>catégorielles</w:t>
      </w:r>
      <w:r w:rsidR="008D6522" w:rsidRPr="000A4A0F">
        <w:rPr>
          <w:rFonts w:ascii="Times New Roman" w:eastAsia="Times New Roman" w:hAnsi="Times New Roman" w:cs="Times New Roman"/>
          <w:color w:val="000000"/>
          <w:sz w:val="24"/>
          <w:szCs w:val="24"/>
          <w:lang w:eastAsia="fr-FR"/>
        </w:rPr>
        <w:t xml:space="preserve"> ont été </w:t>
      </w:r>
      <w:r w:rsidR="001176F1" w:rsidRPr="000A4A0F">
        <w:rPr>
          <w:rFonts w:ascii="Times New Roman" w:eastAsia="Times New Roman" w:hAnsi="Times New Roman" w:cs="Times New Roman"/>
          <w:color w:val="000000"/>
          <w:sz w:val="24"/>
          <w:szCs w:val="24"/>
          <w:lang w:eastAsia="fr-FR"/>
        </w:rPr>
        <w:t>décrites</w:t>
      </w:r>
      <w:r w:rsidR="008D6522" w:rsidRPr="000A4A0F">
        <w:rPr>
          <w:rFonts w:ascii="Times New Roman" w:eastAsia="Times New Roman" w:hAnsi="Times New Roman" w:cs="Times New Roman"/>
          <w:color w:val="000000"/>
          <w:sz w:val="24"/>
          <w:szCs w:val="24"/>
          <w:lang w:eastAsia="fr-FR"/>
        </w:rPr>
        <w:t xml:space="preserve"> par </w:t>
      </w:r>
      <w:r w:rsidR="003E2B15" w:rsidRPr="000A4A0F">
        <w:rPr>
          <w:rFonts w:ascii="Times New Roman" w:eastAsia="Times New Roman" w:hAnsi="Times New Roman" w:cs="Times New Roman"/>
          <w:color w:val="000000"/>
          <w:sz w:val="24"/>
          <w:szCs w:val="24"/>
          <w:lang w:eastAsia="fr-FR"/>
        </w:rPr>
        <w:t xml:space="preserve">leurs effectifs et </w:t>
      </w:r>
      <w:r w:rsidRPr="000A4A0F">
        <w:rPr>
          <w:rFonts w:ascii="Times New Roman" w:eastAsia="Times New Roman" w:hAnsi="Times New Roman" w:cs="Times New Roman"/>
          <w:color w:val="000000"/>
          <w:sz w:val="24"/>
          <w:szCs w:val="24"/>
          <w:lang w:eastAsia="fr-FR"/>
        </w:rPr>
        <w:t>proportions</w:t>
      </w:r>
      <w:r w:rsidR="003E2B15" w:rsidRPr="000A4A0F">
        <w:rPr>
          <w:rFonts w:ascii="Times New Roman" w:eastAsia="Times New Roman" w:hAnsi="Times New Roman" w:cs="Times New Roman"/>
          <w:color w:val="000000"/>
          <w:sz w:val="24"/>
          <w:szCs w:val="24"/>
          <w:lang w:eastAsia="fr-FR"/>
        </w:rPr>
        <w:t> </w:t>
      </w:r>
      <w:r w:rsidR="004473F0" w:rsidRPr="000A4A0F">
        <w:rPr>
          <w:rFonts w:ascii="Times New Roman" w:eastAsia="Times New Roman" w:hAnsi="Times New Roman" w:cs="Times New Roman"/>
          <w:color w:val="000000"/>
          <w:sz w:val="24"/>
          <w:szCs w:val="24"/>
          <w:lang w:eastAsia="fr-FR"/>
        </w:rPr>
        <w:t>; les</w:t>
      </w:r>
      <w:r w:rsidR="003E2B15" w:rsidRPr="000A4A0F">
        <w:rPr>
          <w:rFonts w:ascii="Times New Roman" w:eastAsia="Times New Roman" w:hAnsi="Times New Roman" w:cs="Times New Roman"/>
          <w:color w:val="000000"/>
          <w:sz w:val="24"/>
          <w:szCs w:val="24"/>
          <w:lang w:eastAsia="fr-FR"/>
        </w:rPr>
        <w:t xml:space="preserve"> variables quantitatives par leur moyenne </w:t>
      </w:r>
      <w:r w:rsidR="004473F0" w:rsidRPr="000A4A0F">
        <w:rPr>
          <w:rFonts w:ascii="Times New Roman" w:eastAsia="Times New Roman" w:hAnsi="Times New Roman" w:cs="Times New Roman"/>
          <w:color w:val="000000"/>
          <w:sz w:val="24"/>
          <w:szCs w:val="24"/>
          <w:lang w:eastAsia="fr-FR"/>
        </w:rPr>
        <w:t>avec déviation standard ou médiane avec les extrêmes ou les quartiles (P25-P75 selon leur distribution (symétrique et normalité)</w:t>
      </w:r>
      <w:r w:rsidRPr="000A4A0F">
        <w:rPr>
          <w:rFonts w:ascii="Times New Roman" w:eastAsia="Times New Roman" w:hAnsi="Times New Roman" w:cs="Times New Roman"/>
          <w:color w:val="000000"/>
          <w:sz w:val="24"/>
          <w:szCs w:val="24"/>
          <w:lang w:eastAsia="fr-FR"/>
        </w:rPr>
        <w:t xml:space="preserve"> seront utilisés pour décrire les données qualitatives catégorielles et la médiane, l’espace interquartile, la moyenne et la déviation standard pour la description de variables quantitatives continues. </w:t>
      </w:r>
    </w:p>
    <w:p w14:paraId="6F967650" w14:textId="43322AD4" w:rsidR="00B30448" w:rsidRPr="000A4A0F" w:rsidRDefault="004473F0"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Nous avons </w:t>
      </w:r>
      <w:r w:rsidR="006D5A50" w:rsidRPr="000A4A0F">
        <w:rPr>
          <w:rFonts w:ascii="Times New Roman" w:eastAsia="Times New Roman" w:hAnsi="Times New Roman" w:cs="Times New Roman"/>
          <w:color w:val="000000"/>
          <w:sz w:val="24"/>
          <w:szCs w:val="24"/>
          <w:lang w:eastAsia="fr-FR"/>
        </w:rPr>
        <w:t>utilisés</w:t>
      </w:r>
      <w:r w:rsidRPr="000A4A0F">
        <w:rPr>
          <w:rFonts w:ascii="Times New Roman" w:eastAsia="Times New Roman" w:hAnsi="Times New Roman" w:cs="Times New Roman"/>
          <w:color w:val="000000"/>
          <w:sz w:val="24"/>
          <w:szCs w:val="24"/>
          <w:lang w:eastAsia="fr-FR"/>
        </w:rPr>
        <w:t xml:space="preserve"> </w:t>
      </w:r>
      <w:r w:rsidR="006D5A50" w:rsidRPr="000A4A0F">
        <w:rPr>
          <w:rFonts w:ascii="Times New Roman" w:eastAsia="Times New Roman" w:hAnsi="Times New Roman" w:cs="Times New Roman"/>
          <w:color w:val="000000"/>
          <w:sz w:val="24"/>
          <w:szCs w:val="24"/>
          <w:lang w:eastAsia="fr-FR"/>
        </w:rPr>
        <w:t>les tests non paramétriques</w:t>
      </w:r>
      <w:r w:rsidRPr="000A4A0F">
        <w:rPr>
          <w:rFonts w:ascii="Times New Roman" w:eastAsia="Times New Roman" w:hAnsi="Times New Roman" w:cs="Times New Roman"/>
          <w:color w:val="000000"/>
          <w:sz w:val="24"/>
          <w:szCs w:val="24"/>
          <w:lang w:eastAsia="fr-FR"/>
        </w:rPr>
        <w:t xml:space="preserve"> pour comparer les </w:t>
      </w:r>
      <w:r w:rsidR="006D5A50" w:rsidRPr="000A4A0F">
        <w:rPr>
          <w:rFonts w:ascii="Times New Roman" w:eastAsia="Times New Roman" w:hAnsi="Times New Roman" w:cs="Times New Roman"/>
          <w:color w:val="000000"/>
          <w:sz w:val="24"/>
          <w:szCs w:val="24"/>
          <w:lang w:eastAsia="fr-FR"/>
        </w:rPr>
        <w:t>médianes (Mann-</w:t>
      </w:r>
      <w:r w:rsidR="00B30448" w:rsidRPr="000A4A0F">
        <w:rPr>
          <w:rFonts w:ascii="Times New Roman" w:eastAsia="Times New Roman" w:hAnsi="Times New Roman" w:cs="Times New Roman"/>
          <w:color w:val="000000"/>
          <w:sz w:val="24"/>
          <w:szCs w:val="24"/>
          <w:lang w:eastAsia="fr-FR"/>
        </w:rPr>
        <w:t>Whitney</w:t>
      </w:r>
      <w:r w:rsidR="006D5A50" w:rsidRPr="000A4A0F">
        <w:rPr>
          <w:rFonts w:ascii="Times New Roman" w:eastAsia="Times New Roman" w:hAnsi="Times New Roman" w:cs="Times New Roman"/>
          <w:color w:val="000000"/>
          <w:sz w:val="24"/>
          <w:szCs w:val="24"/>
          <w:lang w:eastAsia="fr-FR"/>
        </w:rPr>
        <w:t xml:space="preserve"> pour 2 médiane</w:t>
      </w:r>
      <w:r w:rsidR="006F2E9B" w:rsidRPr="000A4A0F">
        <w:rPr>
          <w:rFonts w:ascii="Times New Roman" w:eastAsia="Times New Roman" w:hAnsi="Times New Roman" w:cs="Times New Roman"/>
          <w:color w:val="000000"/>
          <w:sz w:val="24"/>
          <w:szCs w:val="24"/>
          <w:lang w:eastAsia="fr-FR"/>
        </w:rPr>
        <w:t xml:space="preserve">s et </w:t>
      </w:r>
      <w:proofErr w:type="spellStart"/>
      <w:r w:rsidR="006F2E9B" w:rsidRPr="000A4A0F">
        <w:rPr>
          <w:rFonts w:ascii="Times New Roman" w:eastAsia="Times New Roman" w:hAnsi="Times New Roman" w:cs="Times New Roman"/>
          <w:color w:val="000000"/>
          <w:sz w:val="24"/>
          <w:szCs w:val="24"/>
          <w:lang w:eastAsia="fr-FR"/>
        </w:rPr>
        <w:t>Kruska</w:t>
      </w:r>
      <w:r w:rsidR="006D5A50" w:rsidRPr="000A4A0F">
        <w:rPr>
          <w:rFonts w:ascii="Times New Roman" w:eastAsia="Times New Roman" w:hAnsi="Times New Roman" w:cs="Times New Roman"/>
          <w:color w:val="000000"/>
          <w:sz w:val="24"/>
          <w:szCs w:val="24"/>
          <w:lang w:eastAsia="fr-FR"/>
        </w:rPr>
        <w:t>l</w:t>
      </w:r>
      <w:proofErr w:type="spellEnd"/>
      <w:r w:rsidR="006D5A50" w:rsidRPr="000A4A0F">
        <w:rPr>
          <w:rFonts w:ascii="Times New Roman" w:eastAsia="Times New Roman" w:hAnsi="Times New Roman" w:cs="Times New Roman"/>
          <w:color w:val="000000"/>
          <w:sz w:val="24"/>
          <w:szCs w:val="24"/>
          <w:lang w:eastAsia="fr-FR"/>
        </w:rPr>
        <w:t xml:space="preserve"> Wallis pour plus de 2 médianes</w:t>
      </w:r>
      <w:r w:rsidR="00B30448" w:rsidRPr="000A4A0F">
        <w:rPr>
          <w:rFonts w:ascii="Times New Roman" w:eastAsia="Times New Roman" w:hAnsi="Times New Roman" w:cs="Times New Roman"/>
          <w:color w:val="000000"/>
          <w:sz w:val="24"/>
          <w:szCs w:val="24"/>
          <w:lang w:eastAsia="fr-FR"/>
        </w:rPr>
        <w:t>.</w:t>
      </w:r>
    </w:p>
    <w:p w14:paraId="7A45D245" w14:textId="399530A7" w:rsidR="003B6321" w:rsidRPr="000A4A0F" w:rsidRDefault="006474DB" w:rsidP="006612D9">
      <w:pPr>
        <w:shd w:val="clear" w:color="auto" w:fill="FFFFFF"/>
        <w:spacing w:after="0" w:line="360" w:lineRule="auto"/>
        <w:jc w:val="both"/>
        <w:textAlignment w:val="baseline"/>
        <w:rPr>
          <w:rFonts w:ascii="Times New Roman" w:eastAsia="Times New Roman" w:hAnsi="Times New Roman" w:cs="Times New Roman"/>
          <w:iCs/>
          <w:color w:val="000000"/>
          <w:sz w:val="24"/>
          <w:szCs w:val="24"/>
          <w:lang w:eastAsia="fr-FR"/>
        </w:rPr>
      </w:pPr>
      <w:r w:rsidRPr="000A4A0F">
        <w:rPr>
          <w:rFonts w:ascii="Times New Roman" w:eastAsia="Times New Roman" w:hAnsi="Times New Roman" w:cs="Times New Roman"/>
          <w:iCs/>
          <w:color w:val="000000"/>
          <w:sz w:val="24"/>
          <w:szCs w:val="24"/>
          <w:lang w:eastAsia="fr-FR"/>
        </w:rPr>
        <w:t xml:space="preserve">Les </w:t>
      </w:r>
      <w:r w:rsidR="00A7459C" w:rsidRPr="000A4A0F">
        <w:rPr>
          <w:rFonts w:ascii="Times New Roman" w:eastAsia="Times New Roman" w:hAnsi="Times New Roman" w:cs="Times New Roman"/>
          <w:iCs/>
          <w:color w:val="000000"/>
          <w:sz w:val="24"/>
          <w:szCs w:val="24"/>
          <w:lang w:eastAsia="fr-FR"/>
        </w:rPr>
        <w:t>modèles</w:t>
      </w:r>
      <w:r w:rsidRPr="000A4A0F">
        <w:rPr>
          <w:rFonts w:ascii="Times New Roman" w:eastAsia="Times New Roman" w:hAnsi="Times New Roman" w:cs="Times New Roman"/>
          <w:iCs/>
          <w:color w:val="000000"/>
          <w:sz w:val="24"/>
          <w:szCs w:val="24"/>
          <w:lang w:eastAsia="fr-FR"/>
        </w:rPr>
        <w:t xml:space="preserve"> de régressions logistiques uni et multivariées seront construits pour déterminer les facteurs associés aux ictères en utilisant dans le modèle multivarié les facteurs plausibles ou qui auront un seuil de </w:t>
      </w:r>
      <w:r w:rsidR="003F0BB7" w:rsidRPr="000A4A0F">
        <w:rPr>
          <w:rFonts w:ascii="Times New Roman" w:eastAsia="Times New Roman" w:hAnsi="Times New Roman" w:cs="Times New Roman"/>
          <w:iCs/>
          <w:color w:val="000000"/>
          <w:sz w:val="24"/>
          <w:szCs w:val="24"/>
          <w:lang w:eastAsia="fr-FR"/>
        </w:rPr>
        <w:t>signification p≥</w:t>
      </w:r>
      <w:r w:rsidRPr="000A4A0F">
        <w:rPr>
          <w:rFonts w:ascii="Times New Roman" w:eastAsia="Times New Roman" w:hAnsi="Times New Roman" w:cs="Times New Roman"/>
          <w:iCs/>
          <w:color w:val="000000"/>
          <w:sz w:val="24"/>
          <w:szCs w:val="24"/>
          <w:lang w:eastAsia="fr-FR"/>
        </w:rPr>
        <w:t>0,02. Le seuil de significat</w:t>
      </w:r>
      <w:r w:rsidR="003F0BB7" w:rsidRPr="000A4A0F">
        <w:rPr>
          <w:rFonts w:ascii="Times New Roman" w:eastAsia="Times New Roman" w:hAnsi="Times New Roman" w:cs="Times New Roman"/>
          <w:iCs/>
          <w:color w:val="000000"/>
          <w:sz w:val="24"/>
          <w:szCs w:val="24"/>
          <w:lang w:eastAsia="fr-FR"/>
        </w:rPr>
        <w:t>ion sera fixé à une valeur de p≤</w:t>
      </w:r>
      <w:r w:rsidRPr="000A4A0F">
        <w:rPr>
          <w:rFonts w:ascii="Times New Roman" w:eastAsia="Times New Roman" w:hAnsi="Times New Roman" w:cs="Times New Roman"/>
          <w:iCs/>
          <w:color w:val="000000"/>
          <w:sz w:val="24"/>
          <w:szCs w:val="24"/>
          <w:lang w:eastAsia="fr-FR"/>
        </w:rPr>
        <w:t>0,05</w:t>
      </w:r>
    </w:p>
    <w:p w14:paraId="793CB47D" w14:textId="77777777" w:rsidR="003F0BB7" w:rsidRPr="000A4A0F" w:rsidRDefault="003F0BB7" w:rsidP="006612D9">
      <w:pPr>
        <w:shd w:val="clear" w:color="auto" w:fill="FFFFFF"/>
        <w:spacing w:after="0" w:line="360" w:lineRule="auto"/>
        <w:jc w:val="both"/>
        <w:textAlignment w:val="baseline"/>
        <w:rPr>
          <w:rFonts w:ascii="Times New Roman" w:hAnsi="Times New Roman" w:cs="Times New Roman"/>
          <w:b/>
          <w:sz w:val="24"/>
          <w:szCs w:val="24"/>
        </w:rPr>
      </w:pPr>
    </w:p>
    <w:p w14:paraId="1867555C" w14:textId="4E2F3224" w:rsidR="00CD4A84" w:rsidRPr="000A4A0F" w:rsidRDefault="006474DB" w:rsidP="006612D9">
      <w:pPr>
        <w:shd w:val="clear" w:color="auto" w:fill="FFFFFF"/>
        <w:spacing w:after="0" w:line="360" w:lineRule="auto"/>
        <w:jc w:val="both"/>
        <w:textAlignment w:val="baseline"/>
        <w:rPr>
          <w:rFonts w:ascii="Times New Roman" w:hAnsi="Times New Roman" w:cs="Times New Roman"/>
          <w:b/>
          <w:sz w:val="24"/>
          <w:szCs w:val="24"/>
        </w:rPr>
      </w:pPr>
      <w:r w:rsidRPr="000A4A0F">
        <w:rPr>
          <w:rFonts w:ascii="Times New Roman" w:hAnsi="Times New Roman" w:cs="Times New Roman"/>
          <w:b/>
          <w:sz w:val="24"/>
          <w:szCs w:val="24"/>
        </w:rPr>
        <w:t>Considération</w:t>
      </w:r>
      <w:r w:rsidR="00E0777E" w:rsidRPr="00E0777E">
        <w:rPr>
          <w:rFonts w:ascii="Times New Roman" w:hAnsi="Times New Roman" w:cs="Times New Roman"/>
          <w:b/>
          <w:color w:val="FF0000"/>
          <w:sz w:val="24"/>
          <w:szCs w:val="24"/>
        </w:rPr>
        <w:t>s</w:t>
      </w:r>
      <w:r w:rsidRPr="000A4A0F">
        <w:rPr>
          <w:rFonts w:ascii="Times New Roman" w:hAnsi="Times New Roman" w:cs="Times New Roman"/>
          <w:b/>
          <w:sz w:val="24"/>
          <w:szCs w:val="24"/>
        </w:rPr>
        <w:t xml:space="preserve"> éthique</w:t>
      </w:r>
      <w:r w:rsidR="00E0777E" w:rsidRPr="00E0777E">
        <w:rPr>
          <w:rFonts w:ascii="Times New Roman" w:hAnsi="Times New Roman" w:cs="Times New Roman"/>
          <w:b/>
          <w:color w:val="FF0000"/>
          <w:sz w:val="24"/>
          <w:szCs w:val="24"/>
        </w:rPr>
        <w:t>s</w:t>
      </w:r>
    </w:p>
    <w:p w14:paraId="4F427307" w14:textId="49918701" w:rsidR="00FC3FF5" w:rsidRPr="000A4A0F" w:rsidRDefault="00DC5989"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hAnsi="Times New Roman" w:cs="Times New Roman"/>
          <w:sz w:val="24"/>
          <w:szCs w:val="24"/>
        </w:rPr>
        <w:t xml:space="preserve">Le protocole d’étude a </w:t>
      </w:r>
      <w:r w:rsidR="000A4A0F" w:rsidRPr="000A4A0F">
        <w:rPr>
          <w:rFonts w:ascii="Times New Roman" w:hAnsi="Times New Roman" w:cs="Times New Roman"/>
          <w:sz w:val="24"/>
          <w:szCs w:val="24"/>
        </w:rPr>
        <w:t>été soumis</w:t>
      </w:r>
      <w:r w:rsidR="006474DB" w:rsidRPr="000A4A0F">
        <w:rPr>
          <w:rFonts w:ascii="Times New Roman" w:hAnsi="Times New Roman" w:cs="Times New Roman"/>
          <w:sz w:val="24"/>
          <w:szCs w:val="24"/>
        </w:rPr>
        <w:t xml:space="preserve"> au comité d’éthique de l’université Catholique de Bukavu pour approbation et suivi. Les parents de chaque nouveau-né inclus seront informés des objectifs de l’étude, de bénéfices pour le nouveau nés de dangers et incidents possibles. Il n’y aura aucune forme de rémunération pour les nouveau-nés ou le parent consentant. L’adhé</w:t>
      </w:r>
      <w:r w:rsidR="006F3B8A" w:rsidRPr="000A4A0F">
        <w:rPr>
          <w:rFonts w:ascii="Times New Roman" w:hAnsi="Times New Roman" w:cs="Times New Roman"/>
          <w:sz w:val="24"/>
          <w:szCs w:val="24"/>
        </w:rPr>
        <w:t xml:space="preserve">sion des parents à l’étude été </w:t>
      </w:r>
      <w:r w:rsidR="00FB7489" w:rsidRPr="000A4A0F">
        <w:rPr>
          <w:rFonts w:ascii="Times New Roman" w:hAnsi="Times New Roman" w:cs="Times New Roman"/>
          <w:sz w:val="24"/>
          <w:szCs w:val="24"/>
        </w:rPr>
        <w:t>volontaire et écrit</w:t>
      </w:r>
      <w:r w:rsidR="006474DB" w:rsidRPr="000A4A0F">
        <w:rPr>
          <w:rFonts w:ascii="Times New Roman" w:hAnsi="Times New Roman" w:cs="Times New Roman"/>
          <w:sz w:val="24"/>
          <w:szCs w:val="24"/>
        </w:rPr>
        <w:t>.</w:t>
      </w:r>
    </w:p>
    <w:p w14:paraId="4343ADC2" w14:textId="77777777" w:rsidR="00B64F8B" w:rsidRPr="000A4A0F" w:rsidRDefault="00B64F8B" w:rsidP="006612D9">
      <w:pPr>
        <w:shd w:val="clear" w:color="auto" w:fill="FFFFFF"/>
        <w:spacing w:after="0" w:line="360" w:lineRule="auto"/>
        <w:jc w:val="both"/>
        <w:textAlignment w:val="baseline"/>
        <w:rPr>
          <w:rFonts w:ascii="Times New Roman" w:hAnsi="Times New Roman" w:cs="Times New Roman"/>
          <w:sz w:val="24"/>
          <w:szCs w:val="24"/>
          <w:lang w:eastAsia="fr-FR"/>
        </w:rPr>
      </w:pPr>
    </w:p>
    <w:p w14:paraId="35E2CCC3" w14:textId="1C20D2C4" w:rsidR="00E87246" w:rsidRPr="006F6219" w:rsidRDefault="009D18B6" w:rsidP="006F6219">
      <w:pPr>
        <w:suppressAutoHyphens w:val="0"/>
        <w:spacing w:after="0" w:line="360" w:lineRule="auto"/>
        <w:jc w:val="both"/>
        <w:rPr>
          <w:rFonts w:ascii="Times New Roman" w:eastAsia="Times New Roman" w:hAnsi="Times New Roman" w:cs="Times New Roman"/>
          <w:b/>
          <w:bCs/>
          <w:color w:val="auto"/>
          <w:kern w:val="36"/>
          <w:sz w:val="24"/>
          <w:szCs w:val="24"/>
          <w:lang w:eastAsia="fr-FR"/>
        </w:rPr>
      </w:pPr>
      <w:r w:rsidRPr="000A4A0F">
        <w:rPr>
          <w:rFonts w:ascii="Times New Roman" w:hAnsi="Times New Roman" w:cs="Times New Roman"/>
          <w:sz w:val="24"/>
          <w:szCs w:val="24"/>
        </w:rPr>
        <w:br w:type="page"/>
      </w:r>
      <w:bookmarkStart w:id="55" w:name="_Toc87049075"/>
      <w:r w:rsidR="0033000A" w:rsidRPr="000A4A0F">
        <w:rPr>
          <w:sz w:val="24"/>
          <w:szCs w:val="24"/>
        </w:rPr>
        <w:lastRenderedPageBreak/>
        <w:t xml:space="preserve">Chapitre III.  </w:t>
      </w:r>
      <w:proofErr w:type="spellStart"/>
      <w:r w:rsidR="003F4129" w:rsidRPr="000A4A0F">
        <w:rPr>
          <w:sz w:val="24"/>
          <w:szCs w:val="24"/>
        </w:rPr>
        <w:t>RESULTAT</w:t>
      </w:r>
      <w:bookmarkEnd w:id="55"/>
      <w:r w:rsidR="00E0777E" w:rsidRPr="00E0777E">
        <w:rPr>
          <w:rFonts w:ascii="Times New Roman" w:hAnsi="Times New Roman" w:cs="Times New Roman"/>
          <w:b/>
          <w:color w:val="FF0000"/>
          <w:sz w:val="24"/>
          <w:szCs w:val="24"/>
        </w:rPr>
        <w:t>s</w:t>
      </w:r>
      <w:proofErr w:type="spellEnd"/>
    </w:p>
    <w:p w14:paraId="631145CE" w14:textId="2FF9C5AA" w:rsidR="0052158F" w:rsidRPr="000A4A0F" w:rsidRDefault="00163EB5" w:rsidP="006612D9">
      <w:pPr>
        <w:spacing w:after="0" w:line="360" w:lineRule="auto"/>
        <w:jc w:val="both"/>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Au total, 728 nouveau-nés ont été admis dans l’unité de soins intensifs néonatals du mois de Décembre 2019 au mois de Mai 2021.De ce</w:t>
      </w:r>
      <w:r w:rsidR="00E0777E" w:rsidRPr="00E0777E">
        <w:rPr>
          <w:rFonts w:ascii="Times New Roman" w:hAnsi="Times New Roman" w:cs="Times New Roman"/>
          <w:b/>
          <w:color w:val="FF0000"/>
          <w:sz w:val="24"/>
          <w:szCs w:val="24"/>
        </w:rPr>
        <w:t>s</w:t>
      </w:r>
      <w:r w:rsidRPr="000A4A0F">
        <w:rPr>
          <w:rFonts w:ascii="Times New Roman" w:eastAsia="Times New Roman" w:hAnsi="Times New Roman" w:cs="Times New Roman"/>
          <w:color w:val="000000"/>
          <w:sz w:val="24"/>
          <w:szCs w:val="24"/>
          <w:lang w:eastAsia="fr-FR"/>
        </w:rPr>
        <w:t xml:space="preserve"> 728 nouveau-nés</w:t>
      </w:r>
      <w:r w:rsidR="00E0777E" w:rsidRPr="00E0777E">
        <w:rPr>
          <w:rFonts w:ascii="Times New Roman" w:eastAsia="Times New Roman" w:hAnsi="Times New Roman" w:cs="Times New Roman"/>
          <w:color w:val="FF0000"/>
          <w:sz w:val="24"/>
          <w:szCs w:val="24"/>
          <w:lang w:eastAsia="fr-FR"/>
        </w:rPr>
        <w:t>,</w:t>
      </w:r>
      <w:r w:rsidRPr="00E0777E">
        <w:rPr>
          <w:rFonts w:ascii="Times New Roman" w:eastAsia="Times New Roman" w:hAnsi="Times New Roman" w:cs="Times New Roman"/>
          <w:color w:val="FF0000"/>
          <w:sz w:val="24"/>
          <w:szCs w:val="24"/>
          <w:lang w:eastAsia="fr-FR"/>
        </w:rPr>
        <w:t xml:space="preserve"> </w:t>
      </w:r>
      <w:r w:rsidRPr="000A4A0F">
        <w:rPr>
          <w:rFonts w:ascii="Times New Roman" w:eastAsia="Times New Roman" w:hAnsi="Times New Roman" w:cs="Times New Roman"/>
          <w:color w:val="000000"/>
          <w:sz w:val="24"/>
          <w:szCs w:val="24"/>
          <w:lang w:eastAsia="fr-FR"/>
        </w:rPr>
        <w:t xml:space="preserve">136 ont </w:t>
      </w:r>
      <w:r w:rsidR="00D83257" w:rsidRPr="000A4A0F">
        <w:rPr>
          <w:rFonts w:ascii="Times New Roman" w:eastAsia="Times New Roman" w:hAnsi="Times New Roman" w:cs="Times New Roman"/>
          <w:color w:val="000000"/>
          <w:sz w:val="24"/>
          <w:szCs w:val="24"/>
          <w:lang w:eastAsia="fr-FR"/>
        </w:rPr>
        <w:t>été</w:t>
      </w:r>
      <w:r w:rsidRPr="000A4A0F">
        <w:rPr>
          <w:rFonts w:ascii="Times New Roman" w:eastAsia="Times New Roman" w:hAnsi="Times New Roman" w:cs="Times New Roman"/>
          <w:color w:val="000000"/>
          <w:sz w:val="24"/>
          <w:szCs w:val="24"/>
          <w:lang w:eastAsia="fr-FR"/>
        </w:rPr>
        <w:t xml:space="preserve"> retenu dans notre </w:t>
      </w:r>
      <w:r w:rsidR="000A4A0F" w:rsidRPr="000A4A0F">
        <w:rPr>
          <w:rFonts w:ascii="Times New Roman" w:eastAsia="Times New Roman" w:hAnsi="Times New Roman" w:cs="Times New Roman"/>
          <w:color w:val="000000"/>
          <w:sz w:val="24"/>
          <w:szCs w:val="24"/>
          <w:lang w:eastAsia="fr-FR"/>
        </w:rPr>
        <w:t>étude lesquels</w:t>
      </w:r>
      <w:r w:rsidRPr="000A4A0F">
        <w:rPr>
          <w:rFonts w:ascii="Times New Roman" w:eastAsia="Times New Roman" w:hAnsi="Times New Roman" w:cs="Times New Roman"/>
          <w:color w:val="000000"/>
          <w:sz w:val="24"/>
          <w:szCs w:val="24"/>
          <w:lang w:eastAsia="fr-FR"/>
        </w:rPr>
        <w:t xml:space="preserve"> ont </w:t>
      </w:r>
      <w:r w:rsidR="00D83257" w:rsidRPr="000A4A0F">
        <w:rPr>
          <w:rFonts w:ascii="Times New Roman" w:eastAsia="Times New Roman" w:hAnsi="Times New Roman" w:cs="Times New Roman"/>
          <w:color w:val="000000"/>
          <w:sz w:val="24"/>
          <w:szCs w:val="24"/>
          <w:lang w:eastAsia="fr-FR"/>
        </w:rPr>
        <w:t>présenté</w:t>
      </w:r>
      <w:r w:rsidRPr="000A4A0F">
        <w:rPr>
          <w:rFonts w:ascii="Times New Roman" w:eastAsia="Times New Roman" w:hAnsi="Times New Roman" w:cs="Times New Roman"/>
          <w:color w:val="000000"/>
          <w:sz w:val="24"/>
          <w:szCs w:val="24"/>
          <w:lang w:eastAsia="fr-FR"/>
        </w:rPr>
        <w:t xml:space="preserve"> une </w:t>
      </w:r>
      <w:r w:rsidR="00D83257" w:rsidRPr="000A4A0F">
        <w:rPr>
          <w:rFonts w:ascii="Times New Roman" w:eastAsia="Times New Roman" w:hAnsi="Times New Roman" w:cs="Times New Roman"/>
          <w:color w:val="000000"/>
          <w:sz w:val="24"/>
          <w:szCs w:val="24"/>
          <w:lang w:eastAsia="fr-FR"/>
        </w:rPr>
        <w:t>hyper bilirubinémie à</w:t>
      </w:r>
      <w:r w:rsidRPr="000A4A0F">
        <w:rPr>
          <w:rFonts w:ascii="Times New Roman" w:eastAsia="Times New Roman" w:hAnsi="Times New Roman" w:cs="Times New Roman"/>
          <w:color w:val="000000"/>
          <w:sz w:val="24"/>
          <w:szCs w:val="24"/>
          <w:lang w:eastAsia="fr-FR"/>
        </w:rPr>
        <w:t xml:space="preserve"> </w:t>
      </w:r>
      <w:r w:rsidR="00D83257" w:rsidRPr="000A4A0F">
        <w:rPr>
          <w:rFonts w:ascii="Times New Roman" w:eastAsia="Times New Roman" w:hAnsi="Times New Roman" w:cs="Times New Roman"/>
          <w:color w:val="000000"/>
          <w:sz w:val="24"/>
          <w:szCs w:val="24"/>
          <w:lang w:eastAsia="fr-FR"/>
        </w:rPr>
        <w:t>prédominance</w:t>
      </w:r>
      <w:r w:rsidRPr="000A4A0F">
        <w:rPr>
          <w:rFonts w:ascii="Times New Roman" w:eastAsia="Times New Roman" w:hAnsi="Times New Roman" w:cs="Times New Roman"/>
          <w:color w:val="000000"/>
          <w:sz w:val="24"/>
          <w:szCs w:val="24"/>
          <w:lang w:eastAsia="fr-FR"/>
        </w:rPr>
        <w:t xml:space="preserve"> indirect</w:t>
      </w:r>
      <w:r w:rsidR="00D83257" w:rsidRPr="000A4A0F">
        <w:rPr>
          <w:rFonts w:ascii="Times New Roman" w:eastAsia="Times New Roman" w:hAnsi="Times New Roman" w:cs="Times New Roman"/>
          <w:color w:val="000000"/>
          <w:sz w:val="24"/>
          <w:szCs w:val="24"/>
          <w:lang w:eastAsia="fr-FR"/>
        </w:rPr>
        <w:t xml:space="preserve"> et éligible à la photothérapie après projection sur les courbes de l’AAP.</w:t>
      </w:r>
    </w:p>
    <w:p w14:paraId="48267BB4" w14:textId="77777777" w:rsidR="00C304FB" w:rsidRPr="000A4A0F" w:rsidRDefault="00C304FB" w:rsidP="006612D9">
      <w:pPr>
        <w:pStyle w:val="Titre2"/>
        <w:spacing w:before="0" w:line="360" w:lineRule="auto"/>
        <w:jc w:val="both"/>
        <w:rPr>
          <w:rFonts w:ascii="Times New Roman" w:hAnsi="Times New Roman" w:cs="Times New Roman"/>
          <w:b/>
          <w:sz w:val="24"/>
          <w:szCs w:val="24"/>
          <w:lang w:eastAsia="fr-FR"/>
        </w:rPr>
      </w:pPr>
      <w:bookmarkStart w:id="56" w:name="_Toc87049076"/>
      <w:r w:rsidRPr="000A4A0F">
        <w:rPr>
          <w:rFonts w:ascii="Times New Roman" w:hAnsi="Times New Roman" w:cs="Times New Roman"/>
          <w:b/>
          <w:sz w:val="24"/>
          <w:szCs w:val="24"/>
          <w:lang w:eastAsia="fr-FR"/>
        </w:rPr>
        <w:t>FREQUENCE</w:t>
      </w:r>
      <w:bookmarkEnd w:id="56"/>
    </w:p>
    <w:p w14:paraId="4EE5276E" w14:textId="58E7CD81" w:rsidR="00C304FB" w:rsidRPr="000A4A0F" w:rsidRDefault="00C304FB" w:rsidP="006612D9">
      <w:pPr>
        <w:shd w:val="clear" w:color="auto" w:fill="FFFFFF"/>
        <w:spacing w:after="0" w:line="360" w:lineRule="auto"/>
        <w:jc w:val="both"/>
        <w:textAlignment w:val="baseline"/>
        <w:rPr>
          <w:rFonts w:ascii="Times New Roman" w:hAnsi="Times New Roman" w:cs="Times New Roman"/>
          <w:sz w:val="24"/>
          <w:szCs w:val="24"/>
          <w:lang w:eastAsia="fr-FR"/>
        </w:rPr>
      </w:pPr>
      <w:r w:rsidRPr="000A4A0F">
        <w:rPr>
          <w:rFonts w:ascii="Times New Roman" w:hAnsi="Times New Roman" w:cs="Times New Roman"/>
          <w:sz w:val="24"/>
          <w:szCs w:val="24"/>
          <w:lang w:eastAsia="fr-FR"/>
        </w:rPr>
        <w:t>Sur 728 nouveau-</w:t>
      </w:r>
      <w:r w:rsidR="000A4A0F" w:rsidRPr="000A4A0F">
        <w:rPr>
          <w:rFonts w:ascii="Times New Roman" w:hAnsi="Times New Roman" w:cs="Times New Roman"/>
          <w:sz w:val="24"/>
          <w:szCs w:val="24"/>
          <w:lang w:eastAsia="fr-FR"/>
        </w:rPr>
        <w:t>nés qui</w:t>
      </w:r>
      <w:r w:rsidRPr="000A4A0F">
        <w:rPr>
          <w:rFonts w:ascii="Times New Roman" w:hAnsi="Times New Roman" w:cs="Times New Roman"/>
          <w:sz w:val="24"/>
          <w:szCs w:val="24"/>
          <w:lang w:eastAsia="fr-FR"/>
        </w:rPr>
        <w:t xml:space="preserve"> ont été hospitalisés au SIN, durant la période couverte par l’étude, 136 </w:t>
      </w:r>
      <w:r w:rsidRPr="00E0777E">
        <w:rPr>
          <w:rFonts w:ascii="Times New Roman" w:hAnsi="Times New Roman" w:cs="Times New Roman"/>
          <w:strike/>
          <w:color w:val="FF0000"/>
          <w:sz w:val="24"/>
          <w:szCs w:val="24"/>
          <w:lang w:eastAsia="fr-FR"/>
        </w:rPr>
        <w:t>nouveau-</w:t>
      </w:r>
      <w:r w:rsidR="000A4A0F" w:rsidRPr="00E0777E">
        <w:rPr>
          <w:rFonts w:ascii="Times New Roman" w:hAnsi="Times New Roman" w:cs="Times New Roman"/>
          <w:strike/>
          <w:color w:val="FF0000"/>
          <w:sz w:val="24"/>
          <w:szCs w:val="24"/>
          <w:lang w:eastAsia="fr-FR"/>
        </w:rPr>
        <w:t>nés</w:t>
      </w:r>
      <w:r w:rsidR="000A4A0F" w:rsidRPr="00E0777E">
        <w:rPr>
          <w:rFonts w:ascii="Times New Roman" w:hAnsi="Times New Roman" w:cs="Times New Roman"/>
          <w:color w:val="FF0000"/>
          <w:sz w:val="24"/>
          <w:szCs w:val="24"/>
          <w:lang w:eastAsia="fr-FR"/>
        </w:rPr>
        <w:t xml:space="preserve"> </w:t>
      </w:r>
      <w:r w:rsidR="000A4A0F" w:rsidRPr="000A4A0F">
        <w:rPr>
          <w:rFonts w:ascii="Times New Roman" w:hAnsi="Times New Roman" w:cs="Times New Roman"/>
          <w:sz w:val="24"/>
          <w:szCs w:val="24"/>
          <w:lang w:eastAsia="fr-FR"/>
        </w:rPr>
        <w:t>ont</w:t>
      </w:r>
      <w:r w:rsidRPr="000A4A0F">
        <w:rPr>
          <w:rFonts w:ascii="Times New Roman" w:hAnsi="Times New Roman" w:cs="Times New Roman"/>
          <w:sz w:val="24"/>
          <w:szCs w:val="24"/>
          <w:lang w:eastAsia="fr-FR"/>
        </w:rPr>
        <w:t xml:space="preserve"> présenté un ictère</w:t>
      </w:r>
      <w:r w:rsidRPr="000A4A0F">
        <w:rPr>
          <w:rFonts w:ascii="Times New Roman" w:eastAsia="Times New Roman" w:hAnsi="Times New Roman" w:cs="Times New Roman"/>
          <w:b/>
          <w:color w:val="000000"/>
          <w:sz w:val="24"/>
          <w:szCs w:val="24"/>
          <w:lang w:eastAsia="fr-FR"/>
        </w:rPr>
        <w:t xml:space="preserve"> </w:t>
      </w:r>
      <w:r w:rsidRPr="000A4A0F">
        <w:rPr>
          <w:rFonts w:ascii="Times New Roman" w:hAnsi="Times New Roman" w:cs="Times New Roman"/>
          <w:sz w:val="24"/>
          <w:szCs w:val="24"/>
          <w:lang w:eastAsia="fr-FR"/>
        </w:rPr>
        <w:t>intense soit 18.6%.</w:t>
      </w:r>
    </w:p>
    <w:p w14:paraId="28AFE600" w14:textId="22296042" w:rsidR="0052158F" w:rsidRPr="000A4A0F" w:rsidRDefault="00FC4BB6" w:rsidP="006612D9">
      <w:pPr>
        <w:spacing w:after="0" w:line="360" w:lineRule="auto"/>
        <w:jc w:val="both"/>
        <w:rPr>
          <w:rFonts w:ascii="Times New Roman" w:eastAsia="Times New Roman" w:hAnsi="Times New Roman" w:cs="Times New Roman"/>
          <w:b/>
          <w:color w:val="000000"/>
          <w:sz w:val="24"/>
          <w:szCs w:val="24"/>
          <w:lang w:eastAsia="fr-FR"/>
        </w:rPr>
      </w:pPr>
      <w:r w:rsidRPr="000A4A0F">
        <w:rPr>
          <w:rFonts w:ascii="Times New Roman" w:eastAsia="Times New Roman" w:hAnsi="Times New Roman" w:cs="Times New Roman"/>
          <w:b/>
          <w:color w:val="000000"/>
          <w:sz w:val="24"/>
          <w:szCs w:val="24"/>
          <w:lang w:eastAsia="fr-FR"/>
        </w:rPr>
        <w:t>Tableau 1</w:t>
      </w:r>
      <w:r w:rsidR="0052158F" w:rsidRPr="000A4A0F">
        <w:rPr>
          <w:rFonts w:ascii="Times New Roman" w:eastAsia="Times New Roman" w:hAnsi="Times New Roman" w:cs="Times New Roman"/>
          <w:b/>
          <w:color w:val="000000"/>
          <w:sz w:val="24"/>
          <w:szCs w:val="24"/>
          <w:lang w:eastAsia="fr-FR"/>
        </w:rPr>
        <w:t xml:space="preserve">. </w:t>
      </w:r>
      <w:r w:rsidR="0052158F" w:rsidRPr="00E0777E">
        <w:rPr>
          <w:rFonts w:ascii="Times New Roman" w:eastAsia="Times New Roman" w:hAnsi="Times New Roman" w:cs="Times New Roman"/>
          <w:b/>
          <w:color w:val="000000"/>
          <w:sz w:val="24"/>
          <w:szCs w:val="24"/>
          <w:highlight w:val="yellow"/>
          <w:lang w:eastAsia="fr-FR"/>
        </w:rPr>
        <w:t>Caractéristiques gé</w:t>
      </w:r>
      <w:r w:rsidR="00272E07" w:rsidRPr="00E0777E">
        <w:rPr>
          <w:rFonts w:ascii="Times New Roman" w:eastAsia="Times New Roman" w:hAnsi="Times New Roman" w:cs="Times New Roman"/>
          <w:b/>
          <w:color w:val="000000"/>
          <w:sz w:val="24"/>
          <w:szCs w:val="24"/>
          <w:highlight w:val="yellow"/>
          <w:lang w:eastAsia="fr-FR"/>
        </w:rPr>
        <w:t xml:space="preserve">nérales de la </w:t>
      </w:r>
      <w:commentRangeStart w:id="57"/>
      <w:r w:rsidR="00A04259" w:rsidRPr="00E0777E">
        <w:rPr>
          <w:rFonts w:ascii="Times New Roman" w:eastAsia="Times New Roman" w:hAnsi="Times New Roman" w:cs="Times New Roman"/>
          <w:b/>
          <w:color w:val="000000"/>
          <w:sz w:val="24"/>
          <w:szCs w:val="24"/>
          <w:highlight w:val="yellow"/>
          <w:lang w:eastAsia="fr-FR"/>
        </w:rPr>
        <w:t>mère</w:t>
      </w:r>
      <w:commentRangeEnd w:id="57"/>
      <w:r w:rsidR="00E0777E">
        <w:rPr>
          <w:rStyle w:val="Marquedecommentaire"/>
        </w:rPr>
        <w:commentReference w:id="57"/>
      </w:r>
      <w:r w:rsidR="00272E07" w:rsidRPr="00E0777E">
        <w:rPr>
          <w:rFonts w:ascii="Times New Roman" w:eastAsia="Times New Roman" w:hAnsi="Times New Roman" w:cs="Times New Roman"/>
          <w:b/>
          <w:color w:val="000000"/>
          <w:sz w:val="24"/>
          <w:szCs w:val="24"/>
          <w:highlight w:val="yellow"/>
          <w:lang w:eastAsia="fr-FR"/>
        </w:rPr>
        <w:t>.</w:t>
      </w:r>
      <w:r w:rsidR="0052158F" w:rsidRPr="000A4A0F">
        <w:rPr>
          <w:rFonts w:ascii="Times New Roman" w:eastAsia="Times New Roman" w:hAnsi="Times New Roman" w:cs="Times New Roman"/>
          <w:b/>
          <w:color w:val="000000"/>
          <w:sz w:val="24"/>
          <w:szCs w:val="24"/>
          <w:lang w:eastAsia="fr-FR"/>
        </w:rPr>
        <w:t> </w:t>
      </w:r>
    </w:p>
    <w:tbl>
      <w:tblPr>
        <w:tblStyle w:val="TableauListe6Couleur-Accentuation3"/>
        <w:tblW w:w="9204" w:type="dxa"/>
        <w:tblLook w:val="04A0" w:firstRow="1" w:lastRow="0" w:firstColumn="1" w:lastColumn="0" w:noHBand="0" w:noVBand="1"/>
      </w:tblPr>
      <w:tblGrid>
        <w:gridCol w:w="1124"/>
        <w:gridCol w:w="2591"/>
        <w:gridCol w:w="945"/>
        <w:gridCol w:w="1771"/>
        <w:gridCol w:w="2773"/>
      </w:tblGrid>
      <w:tr w:rsidR="0052158F" w:rsidRPr="000A4A0F" w14:paraId="760FEAB0" w14:textId="77777777" w:rsidTr="00CA4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gridSpan w:val="2"/>
            <w:hideMark/>
          </w:tcPr>
          <w:p w14:paraId="7F1752A1"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Paramètres</w:t>
            </w:r>
          </w:p>
        </w:tc>
        <w:tc>
          <w:tcPr>
            <w:tcW w:w="945" w:type="dxa"/>
            <w:hideMark/>
          </w:tcPr>
          <w:p w14:paraId="3CC9F961" w14:textId="77777777" w:rsidR="0052158F" w:rsidRPr="000A4A0F" w:rsidRDefault="0052158F" w:rsidP="006612D9">
            <w:pPr>
              <w:pStyle w:val="Sansinterligne"/>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w:t>
            </w:r>
          </w:p>
        </w:tc>
        <w:tc>
          <w:tcPr>
            <w:tcW w:w="1771" w:type="dxa"/>
            <w:hideMark/>
          </w:tcPr>
          <w:p w14:paraId="2B70C0B4" w14:textId="31131D07" w:rsidR="0052158F" w:rsidRPr="000A4A0F" w:rsidRDefault="003F53BA" w:rsidP="006612D9">
            <w:pPr>
              <w:pStyle w:val="Sansinterligne"/>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Moyen ±</w:t>
            </w:r>
            <w:r w:rsidR="0052158F" w:rsidRPr="000A4A0F">
              <w:rPr>
                <w:rFonts w:ascii="Times New Roman" w:hAnsi="Times New Roman" w:cs="Times New Roman"/>
                <w:sz w:val="24"/>
                <w:szCs w:val="24"/>
                <w:lang w:eastAsia="fr-FR"/>
              </w:rPr>
              <w:t>DS</w:t>
            </w:r>
          </w:p>
        </w:tc>
        <w:tc>
          <w:tcPr>
            <w:tcW w:w="2773" w:type="dxa"/>
            <w:hideMark/>
          </w:tcPr>
          <w:p w14:paraId="1F9D714A" w14:textId="77777777" w:rsidR="0052158F" w:rsidRPr="000A4A0F" w:rsidRDefault="0052158F" w:rsidP="006612D9">
            <w:pPr>
              <w:pStyle w:val="Sansinterligne"/>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Médiane (Min-Max)</w:t>
            </w:r>
          </w:p>
        </w:tc>
      </w:tr>
      <w:tr w:rsidR="0052158F" w:rsidRPr="000A4A0F" w14:paraId="7FC55309"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gridSpan w:val="2"/>
            <w:hideMark/>
          </w:tcPr>
          <w:p w14:paraId="5BAB54BA"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Age de la mère (n=128)</w:t>
            </w:r>
          </w:p>
        </w:tc>
        <w:tc>
          <w:tcPr>
            <w:tcW w:w="945" w:type="dxa"/>
            <w:hideMark/>
          </w:tcPr>
          <w:p w14:paraId="56DE47E6"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1771" w:type="dxa"/>
            <w:hideMark/>
          </w:tcPr>
          <w:p w14:paraId="287924B6" w14:textId="75767FB8" w:rsidR="0052158F" w:rsidRPr="000A4A0F" w:rsidRDefault="003F53BA"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28.88 ±</w:t>
            </w:r>
            <w:r w:rsidR="0052158F" w:rsidRPr="000A4A0F">
              <w:rPr>
                <w:rFonts w:ascii="Times New Roman" w:hAnsi="Times New Roman" w:cs="Times New Roman"/>
                <w:sz w:val="24"/>
                <w:szCs w:val="24"/>
                <w:lang w:eastAsia="fr-FR"/>
              </w:rPr>
              <w:t>5.75</w:t>
            </w:r>
          </w:p>
        </w:tc>
        <w:tc>
          <w:tcPr>
            <w:tcW w:w="2773" w:type="dxa"/>
            <w:hideMark/>
          </w:tcPr>
          <w:p w14:paraId="4A823202" w14:textId="213BC004" w:rsidR="0052158F" w:rsidRPr="000A4A0F" w:rsidRDefault="00643EA1"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28.5 (</w:t>
            </w:r>
            <w:r w:rsidR="0052158F" w:rsidRPr="000A4A0F">
              <w:rPr>
                <w:rFonts w:ascii="Times New Roman" w:hAnsi="Times New Roman" w:cs="Times New Roman"/>
                <w:sz w:val="24"/>
                <w:szCs w:val="24"/>
                <w:lang w:eastAsia="fr-FR"/>
              </w:rPr>
              <w:t>17-43)</w:t>
            </w:r>
          </w:p>
        </w:tc>
      </w:tr>
      <w:tr w:rsidR="0052158F" w:rsidRPr="000A4A0F" w14:paraId="1FBD26A8" w14:textId="77777777" w:rsidTr="00CA42D1">
        <w:tc>
          <w:tcPr>
            <w:cnfStyle w:val="001000000000" w:firstRow="0" w:lastRow="0" w:firstColumn="1" w:lastColumn="0" w:oddVBand="0" w:evenVBand="0" w:oddHBand="0" w:evenHBand="0" w:firstRowFirstColumn="0" w:firstRowLastColumn="0" w:lastRowFirstColumn="0" w:lastRowLastColumn="0"/>
            <w:tcW w:w="1124" w:type="dxa"/>
            <w:hideMark/>
          </w:tcPr>
          <w:p w14:paraId="500F7814"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591" w:type="dxa"/>
            <w:hideMark/>
          </w:tcPr>
          <w:p w14:paraId="7C7E822F"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&lt; 25</w:t>
            </w:r>
          </w:p>
        </w:tc>
        <w:tc>
          <w:tcPr>
            <w:tcW w:w="945" w:type="dxa"/>
            <w:hideMark/>
          </w:tcPr>
          <w:p w14:paraId="1C554CFF"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33.8</w:t>
            </w:r>
          </w:p>
        </w:tc>
        <w:tc>
          <w:tcPr>
            <w:tcW w:w="1771" w:type="dxa"/>
            <w:hideMark/>
          </w:tcPr>
          <w:p w14:paraId="0F77994C"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7A40B719"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4D321C1C"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hideMark/>
          </w:tcPr>
          <w:p w14:paraId="3680B627"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591" w:type="dxa"/>
            <w:hideMark/>
          </w:tcPr>
          <w:p w14:paraId="02D8B5B6"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26-30</w:t>
            </w:r>
          </w:p>
        </w:tc>
        <w:tc>
          <w:tcPr>
            <w:tcW w:w="945" w:type="dxa"/>
            <w:hideMark/>
          </w:tcPr>
          <w:p w14:paraId="4EBFBBCB"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25</w:t>
            </w:r>
          </w:p>
        </w:tc>
        <w:tc>
          <w:tcPr>
            <w:tcW w:w="1771" w:type="dxa"/>
            <w:hideMark/>
          </w:tcPr>
          <w:p w14:paraId="2C9428D3"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4AEEFB79"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0897D7E6" w14:textId="77777777" w:rsidTr="00CA42D1">
        <w:tc>
          <w:tcPr>
            <w:cnfStyle w:val="001000000000" w:firstRow="0" w:lastRow="0" w:firstColumn="1" w:lastColumn="0" w:oddVBand="0" w:evenVBand="0" w:oddHBand="0" w:evenHBand="0" w:firstRowFirstColumn="0" w:firstRowLastColumn="0" w:lastRowFirstColumn="0" w:lastRowLastColumn="0"/>
            <w:tcW w:w="1124" w:type="dxa"/>
            <w:hideMark/>
          </w:tcPr>
          <w:p w14:paraId="166D3F22"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591" w:type="dxa"/>
            <w:hideMark/>
          </w:tcPr>
          <w:p w14:paraId="781BB079"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31-35</w:t>
            </w:r>
          </w:p>
        </w:tc>
        <w:tc>
          <w:tcPr>
            <w:tcW w:w="945" w:type="dxa"/>
            <w:hideMark/>
          </w:tcPr>
          <w:p w14:paraId="594E09D7"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23.5</w:t>
            </w:r>
          </w:p>
        </w:tc>
        <w:tc>
          <w:tcPr>
            <w:tcW w:w="1771" w:type="dxa"/>
            <w:hideMark/>
          </w:tcPr>
          <w:p w14:paraId="21DC6EEC"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20982A34"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1F3AE1ED"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hideMark/>
          </w:tcPr>
          <w:p w14:paraId="44423F36"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591" w:type="dxa"/>
            <w:hideMark/>
          </w:tcPr>
          <w:p w14:paraId="3C7FDE59"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&gt;35</w:t>
            </w:r>
          </w:p>
        </w:tc>
        <w:tc>
          <w:tcPr>
            <w:tcW w:w="945" w:type="dxa"/>
            <w:hideMark/>
          </w:tcPr>
          <w:p w14:paraId="1081CD1C"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11.8</w:t>
            </w:r>
          </w:p>
        </w:tc>
        <w:tc>
          <w:tcPr>
            <w:tcW w:w="1771" w:type="dxa"/>
            <w:hideMark/>
          </w:tcPr>
          <w:p w14:paraId="5EA6574E"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2E7024A7"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21CAF8A3" w14:textId="77777777" w:rsidTr="00CA42D1">
        <w:tc>
          <w:tcPr>
            <w:cnfStyle w:val="001000000000" w:firstRow="0" w:lastRow="0" w:firstColumn="1" w:lastColumn="0" w:oddVBand="0" w:evenVBand="0" w:oddHBand="0" w:evenHBand="0" w:firstRowFirstColumn="0" w:firstRowLastColumn="0" w:lastRowFirstColumn="0" w:lastRowLastColumn="0"/>
            <w:tcW w:w="3715" w:type="dxa"/>
            <w:gridSpan w:val="2"/>
            <w:hideMark/>
          </w:tcPr>
          <w:p w14:paraId="30FA10F9"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proofErr w:type="spellStart"/>
            <w:r w:rsidRPr="000A4A0F">
              <w:rPr>
                <w:rFonts w:ascii="Times New Roman" w:hAnsi="Times New Roman" w:cs="Times New Roman"/>
                <w:sz w:val="24"/>
                <w:szCs w:val="24"/>
                <w:lang w:eastAsia="fr-FR"/>
              </w:rPr>
              <w:t>Gestité</w:t>
            </w:r>
            <w:proofErr w:type="spellEnd"/>
            <w:r w:rsidRPr="000A4A0F">
              <w:rPr>
                <w:rFonts w:ascii="Times New Roman" w:hAnsi="Times New Roman" w:cs="Times New Roman"/>
                <w:sz w:val="24"/>
                <w:szCs w:val="24"/>
                <w:lang w:eastAsia="fr-FR"/>
              </w:rPr>
              <w:t xml:space="preserve"> (n=129)</w:t>
            </w:r>
          </w:p>
        </w:tc>
        <w:tc>
          <w:tcPr>
            <w:tcW w:w="945" w:type="dxa"/>
            <w:hideMark/>
          </w:tcPr>
          <w:p w14:paraId="0469EC10"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1771" w:type="dxa"/>
            <w:hideMark/>
          </w:tcPr>
          <w:p w14:paraId="6E91DFDA" w14:textId="36B3115E" w:rsidR="0052158F" w:rsidRPr="000A4A0F" w:rsidRDefault="003F53BA"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3.78 ±</w:t>
            </w:r>
            <w:r w:rsidR="0052158F" w:rsidRPr="000A4A0F">
              <w:rPr>
                <w:rFonts w:ascii="Times New Roman" w:hAnsi="Times New Roman" w:cs="Times New Roman"/>
                <w:sz w:val="24"/>
                <w:szCs w:val="24"/>
                <w:lang w:eastAsia="fr-FR"/>
              </w:rPr>
              <w:t>4.44</w:t>
            </w:r>
          </w:p>
        </w:tc>
        <w:tc>
          <w:tcPr>
            <w:tcW w:w="2773" w:type="dxa"/>
            <w:hideMark/>
          </w:tcPr>
          <w:p w14:paraId="6D459751"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3(1-11)</w:t>
            </w:r>
          </w:p>
        </w:tc>
      </w:tr>
      <w:tr w:rsidR="0052158F" w:rsidRPr="000A4A0F" w14:paraId="0D88E8F5"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hideMark/>
          </w:tcPr>
          <w:p w14:paraId="02B14296"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591" w:type="dxa"/>
            <w:hideMark/>
          </w:tcPr>
          <w:p w14:paraId="65541EE6"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1</w:t>
            </w:r>
          </w:p>
        </w:tc>
        <w:tc>
          <w:tcPr>
            <w:tcW w:w="945" w:type="dxa"/>
            <w:hideMark/>
          </w:tcPr>
          <w:p w14:paraId="6732566A"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24.8</w:t>
            </w:r>
          </w:p>
        </w:tc>
        <w:tc>
          <w:tcPr>
            <w:tcW w:w="1771" w:type="dxa"/>
            <w:hideMark/>
          </w:tcPr>
          <w:p w14:paraId="112A10D4"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15D45336"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017A99C0" w14:textId="77777777" w:rsidTr="00CA42D1">
        <w:tc>
          <w:tcPr>
            <w:cnfStyle w:val="001000000000" w:firstRow="0" w:lastRow="0" w:firstColumn="1" w:lastColumn="0" w:oddVBand="0" w:evenVBand="0" w:oddHBand="0" w:evenHBand="0" w:firstRowFirstColumn="0" w:firstRowLastColumn="0" w:lastRowFirstColumn="0" w:lastRowLastColumn="0"/>
            <w:tcW w:w="1124" w:type="dxa"/>
            <w:hideMark/>
          </w:tcPr>
          <w:p w14:paraId="585DA42B"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591" w:type="dxa"/>
            <w:hideMark/>
          </w:tcPr>
          <w:p w14:paraId="1B6FE30F"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2+</w:t>
            </w:r>
          </w:p>
        </w:tc>
        <w:tc>
          <w:tcPr>
            <w:tcW w:w="945" w:type="dxa"/>
            <w:hideMark/>
          </w:tcPr>
          <w:p w14:paraId="2E667D55"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75.2</w:t>
            </w:r>
          </w:p>
        </w:tc>
        <w:tc>
          <w:tcPr>
            <w:tcW w:w="1771" w:type="dxa"/>
            <w:hideMark/>
          </w:tcPr>
          <w:p w14:paraId="2CE2F947"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1A81D2A4"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1A4D0142"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gridSpan w:val="2"/>
            <w:hideMark/>
          </w:tcPr>
          <w:p w14:paraId="576908C1"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Parité (n=129)</w:t>
            </w:r>
          </w:p>
        </w:tc>
        <w:tc>
          <w:tcPr>
            <w:tcW w:w="945" w:type="dxa"/>
            <w:hideMark/>
          </w:tcPr>
          <w:p w14:paraId="7381C22E"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1771" w:type="dxa"/>
            <w:hideMark/>
          </w:tcPr>
          <w:p w14:paraId="540363DC" w14:textId="3716FCA3" w:rsidR="0052158F" w:rsidRPr="000A4A0F" w:rsidRDefault="003F53BA"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3.50 ±</w:t>
            </w:r>
            <w:r w:rsidR="0052158F" w:rsidRPr="000A4A0F">
              <w:rPr>
                <w:rFonts w:ascii="Times New Roman" w:hAnsi="Times New Roman" w:cs="Times New Roman"/>
                <w:sz w:val="24"/>
                <w:szCs w:val="24"/>
                <w:lang w:eastAsia="fr-FR"/>
              </w:rPr>
              <w:t>2.11</w:t>
            </w:r>
          </w:p>
        </w:tc>
        <w:tc>
          <w:tcPr>
            <w:tcW w:w="2773" w:type="dxa"/>
            <w:hideMark/>
          </w:tcPr>
          <w:p w14:paraId="211AC039"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3(1-10)</w:t>
            </w:r>
          </w:p>
        </w:tc>
      </w:tr>
      <w:tr w:rsidR="0052158F" w:rsidRPr="000A4A0F" w14:paraId="049BD12C" w14:textId="77777777" w:rsidTr="00CA42D1">
        <w:tc>
          <w:tcPr>
            <w:cnfStyle w:val="001000000000" w:firstRow="0" w:lastRow="0" w:firstColumn="1" w:lastColumn="0" w:oddVBand="0" w:evenVBand="0" w:oddHBand="0" w:evenHBand="0" w:firstRowFirstColumn="0" w:firstRowLastColumn="0" w:lastRowFirstColumn="0" w:lastRowLastColumn="0"/>
            <w:tcW w:w="1124" w:type="dxa"/>
            <w:hideMark/>
          </w:tcPr>
          <w:p w14:paraId="1735FD72"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591" w:type="dxa"/>
            <w:hideMark/>
          </w:tcPr>
          <w:p w14:paraId="0D48C84C"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1</w:t>
            </w:r>
          </w:p>
        </w:tc>
        <w:tc>
          <w:tcPr>
            <w:tcW w:w="945" w:type="dxa"/>
            <w:hideMark/>
          </w:tcPr>
          <w:p w14:paraId="3C38C2D5"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23.3</w:t>
            </w:r>
          </w:p>
        </w:tc>
        <w:tc>
          <w:tcPr>
            <w:tcW w:w="1771" w:type="dxa"/>
            <w:hideMark/>
          </w:tcPr>
          <w:p w14:paraId="68973A32"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0CA081AF"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34A8ADB1"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hideMark/>
          </w:tcPr>
          <w:p w14:paraId="68B43A1B"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591" w:type="dxa"/>
            <w:hideMark/>
          </w:tcPr>
          <w:p w14:paraId="652615B1"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2+</w:t>
            </w:r>
          </w:p>
        </w:tc>
        <w:tc>
          <w:tcPr>
            <w:tcW w:w="945" w:type="dxa"/>
            <w:hideMark/>
          </w:tcPr>
          <w:p w14:paraId="011B191F"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76.7</w:t>
            </w:r>
          </w:p>
        </w:tc>
        <w:tc>
          <w:tcPr>
            <w:tcW w:w="1771" w:type="dxa"/>
            <w:hideMark/>
          </w:tcPr>
          <w:p w14:paraId="079F6A5F"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09C06328"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50CE0490" w14:textId="77777777" w:rsidTr="00CA42D1">
        <w:tc>
          <w:tcPr>
            <w:cnfStyle w:val="001000000000" w:firstRow="0" w:lastRow="0" w:firstColumn="1" w:lastColumn="0" w:oddVBand="0" w:evenVBand="0" w:oddHBand="0" w:evenHBand="0" w:firstRowFirstColumn="0" w:firstRowLastColumn="0" w:lastRowFirstColumn="0" w:lastRowLastColumn="0"/>
            <w:tcW w:w="3715" w:type="dxa"/>
            <w:gridSpan w:val="2"/>
            <w:hideMark/>
          </w:tcPr>
          <w:p w14:paraId="461C2B51"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Milieu d’origine (n=136)</w:t>
            </w:r>
          </w:p>
        </w:tc>
        <w:tc>
          <w:tcPr>
            <w:tcW w:w="945" w:type="dxa"/>
            <w:hideMark/>
          </w:tcPr>
          <w:p w14:paraId="41B6939C"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1771" w:type="dxa"/>
            <w:hideMark/>
          </w:tcPr>
          <w:p w14:paraId="1449AD47"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69893BF5"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4523CE12"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hideMark/>
          </w:tcPr>
          <w:p w14:paraId="0A91EAFF"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591" w:type="dxa"/>
            <w:hideMark/>
          </w:tcPr>
          <w:p w14:paraId="1AF0F495"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Urbain</w:t>
            </w:r>
          </w:p>
        </w:tc>
        <w:tc>
          <w:tcPr>
            <w:tcW w:w="945" w:type="dxa"/>
            <w:hideMark/>
          </w:tcPr>
          <w:p w14:paraId="28E3B798"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79,4</w:t>
            </w:r>
          </w:p>
        </w:tc>
        <w:tc>
          <w:tcPr>
            <w:tcW w:w="1771" w:type="dxa"/>
            <w:hideMark/>
          </w:tcPr>
          <w:p w14:paraId="4307164A"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01EEE715"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465839B5" w14:textId="77777777" w:rsidTr="00CA42D1">
        <w:tc>
          <w:tcPr>
            <w:cnfStyle w:val="001000000000" w:firstRow="0" w:lastRow="0" w:firstColumn="1" w:lastColumn="0" w:oddVBand="0" w:evenVBand="0" w:oddHBand="0" w:evenHBand="0" w:firstRowFirstColumn="0" w:firstRowLastColumn="0" w:lastRowFirstColumn="0" w:lastRowLastColumn="0"/>
            <w:tcW w:w="1124" w:type="dxa"/>
            <w:hideMark/>
          </w:tcPr>
          <w:p w14:paraId="09A56049"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591" w:type="dxa"/>
            <w:hideMark/>
          </w:tcPr>
          <w:p w14:paraId="286B8F89"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Rural</w:t>
            </w:r>
          </w:p>
        </w:tc>
        <w:tc>
          <w:tcPr>
            <w:tcW w:w="945" w:type="dxa"/>
            <w:hideMark/>
          </w:tcPr>
          <w:p w14:paraId="416E4B65"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20,6</w:t>
            </w:r>
          </w:p>
        </w:tc>
        <w:tc>
          <w:tcPr>
            <w:tcW w:w="1771" w:type="dxa"/>
            <w:hideMark/>
          </w:tcPr>
          <w:p w14:paraId="3F4F2640"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5A7B46CE"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4617E723"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gridSpan w:val="2"/>
            <w:hideMark/>
          </w:tcPr>
          <w:p w14:paraId="38791525"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Groupe Sanguin mère ABO (n=109)</w:t>
            </w:r>
          </w:p>
        </w:tc>
        <w:tc>
          <w:tcPr>
            <w:tcW w:w="945" w:type="dxa"/>
            <w:hideMark/>
          </w:tcPr>
          <w:p w14:paraId="182CFEF1"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1771" w:type="dxa"/>
            <w:hideMark/>
          </w:tcPr>
          <w:p w14:paraId="113D1681"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6F951A1E"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1195650F" w14:textId="77777777" w:rsidTr="00CA42D1">
        <w:tc>
          <w:tcPr>
            <w:cnfStyle w:val="001000000000" w:firstRow="0" w:lastRow="0" w:firstColumn="1" w:lastColumn="0" w:oddVBand="0" w:evenVBand="0" w:oddHBand="0" w:evenHBand="0" w:firstRowFirstColumn="0" w:firstRowLastColumn="0" w:lastRowFirstColumn="0" w:lastRowLastColumn="0"/>
            <w:tcW w:w="1124" w:type="dxa"/>
            <w:hideMark/>
          </w:tcPr>
          <w:p w14:paraId="1E0AF578"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591" w:type="dxa"/>
            <w:hideMark/>
          </w:tcPr>
          <w:p w14:paraId="2577C893"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A</w:t>
            </w:r>
          </w:p>
        </w:tc>
        <w:tc>
          <w:tcPr>
            <w:tcW w:w="945" w:type="dxa"/>
            <w:hideMark/>
          </w:tcPr>
          <w:p w14:paraId="7F5669EB"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19.3</w:t>
            </w:r>
          </w:p>
        </w:tc>
        <w:tc>
          <w:tcPr>
            <w:tcW w:w="1771" w:type="dxa"/>
            <w:hideMark/>
          </w:tcPr>
          <w:p w14:paraId="312A5741"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40622E42"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5222494D"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hideMark/>
          </w:tcPr>
          <w:p w14:paraId="2B52A414"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591" w:type="dxa"/>
            <w:hideMark/>
          </w:tcPr>
          <w:p w14:paraId="1C6D4C83"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B</w:t>
            </w:r>
          </w:p>
        </w:tc>
        <w:tc>
          <w:tcPr>
            <w:tcW w:w="945" w:type="dxa"/>
            <w:hideMark/>
          </w:tcPr>
          <w:p w14:paraId="281D0EBD"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11.9</w:t>
            </w:r>
          </w:p>
        </w:tc>
        <w:tc>
          <w:tcPr>
            <w:tcW w:w="1771" w:type="dxa"/>
            <w:hideMark/>
          </w:tcPr>
          <w:p w14:paraId="7DCB37A2"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78222CEC"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20587161" w14:textId="77777777" w:rsidTr="00CA42D1">
        <w:tc>
          <w:tcPr>
            <w:cnfStyle w:val="001000000000" w:firstRow="0" w:lastRow="0" w:firstColumn="1" w:lastColumn="0" w:oddVBand="0" w:evenVBand="0" w:oddHBand="0" w:evenHBand="0" w:firstRowFirstColumn="0" w:firstRowLastColumn="0" w:lastRowFirstColumn="0" w:lastRowLastColumn="0"/>
            <w:tcW w:w="1124" w:type="dxa"/>
            <w:hideMark/>
          </w:tcPr>
          <w:p w14:paraId="0862FAA6"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591" w:type="dxa"/>
            <w:hideMark/>
          </w:tcPr>
          <w:p w14:paraId="58366674"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AB</w:t>
            </w:r>
          </w:p>
        </w:tc>
        <w:tc>
          <w:tcPr>
            <w:tcW w:w="945" w:type="dxa"/>
            <w:hideMark/>
          </w:tcPr>
          <w:p w14:paraId="3A055A2A"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6.4</w:t>
            </w:r>
          </w:p>
        </w:tc>
        <w:tc>
          <w:tcPr>
            <w:tcW w:w="1771" w:type="dxa"/>
            <w:hideMark/>
          </w:tcPr>
          <w:p w14:paraId="7A60D7EB"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70484A54"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26DF6FE0"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hideMark/>
          </w:tcPr>
          <w:p w14:paraId="7C024943"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591" w:type="dxa"/>
            <w:hideMark/>
          </w:tcPr>
          <w:p w14:paraId="7EC183ED"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0</w:t>
            </w:r>
          </w:p>
        </w:tc>
        <w:tc>
          <w:tcPr>
            <w:tcW w:w="945" w:type="dxa"/>
            <w:hideMark/>
          </w:tcPr>
          <w:p w14:paraId="60EF0D36"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62.4</w:t>
            </w:r>
          </w:p>
        </w:tc>
        <w:tc>
          <w:tcPr>
            <w:tcW w:w="1771" w:type="dxa"/>
            <w:hideMark/>
          </w:tcPr>
          <w:p w14:paraId="4DDAC308"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5C78F1C1"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5B0FD2C8" w14:textId="77777777" w:rsidTr="00CA42D1">
        <w:tc>
          <w:tcPr>
            <w:cnfStyle w:val="001000000000" w:firstRow="0" w:lastRow="0" w:firstColumn="1" w:lastColumn="0" w:oddVBand="0" w:evenVBand="0" w:oddHBand="0" w:evenHBand="0" w:firstRowFirstColumn="0" w:firstRowLastColumn="0" w:lastRowFirstColumn="0" w:lastRowLastColumn="0"/>
            <w:tcW w:w="3715" w:type="dxa"/>
            <w:gridSpan w:val="2"/>
            <w:hideMark/>
          </w:tcPr>
          <w:p w14:paraId="64D3BA64"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Groupe Sanguin Mère Rh (n=109)</w:t>
            </w:r>
          </w:p>
        </w:tc>
        <w:tc>
          <w:tcPr>
            <w:tcW w:w="945" w:type="dxa"/>
            <w:hideMark/>
          </w:tcPr>
          <w:p w14:paraId="29A27C40"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1771" w:type="dxa"/>
            <w:hideMark/>
          </w:tcPr>
          <w:p w14:paraId="598568A2"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6E0BF055"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2777C929"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hideMark/>
          </w:tcPr>
          <w:p w14:paraId="09161DB3"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591" w:type="dxa"/>
            <w:hideMark/>
          </w:tcPr>
          <w:p w14:paraId="307E03BE"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Rh+</w:t>
            </w:r>
          </w:p>
        </w:tc>
        <w:tc>
          <w:tcPr>
            <w:tcW w:w="945" w:type="dxa"/>
            <w:hideMark/>
          </w:tcPr>
          <w:p w14:paraId="6D624DD6"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91.7</w:t>
            </w:r>
          </w:p>
        </w:tc>
        <w:tc>
          <w:tcPr>
            <w:tcW w:w="1771" w:type="dxa"/>
            <w:hideMark/>
          </w:tcPr>
          <w:p w14:paraId="6F510553"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1246214A"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453E43F0" w14:textId="77777777" w:rsidTr="00CA42D1">
        <w:tc>
          <w:tcPr>
            <w:cnfStyle w:val="001000000000" w:firstRow="0" w:lastRow="0" w:firstColumn="1" w:lastColumn="0" w:oddVBand="0" w:evenVBand="0" w:oddHBand="0" w:evenHBand="0" w:firstRowFirstColumn="0" w:firstRowLastColumn="0" w:lastRowFirstColumn="0" w:lastRowLastColumn="0"/>
            <w:tcW w:w="1124" w:type="dxa"/>
            <w:hideMark/>
          </w:tcPr>
          <w:p w14:paraId="396CE2FE"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591" w:type="dxa"/>
            <w:hideMark/>
          </w:tcPr>
          <w:p w14:paraId="214CED7C"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Rh-</w:t>
            </w:r>
          </w:p>
        </w:tc>
        <w:tc>
          <w:tcPr>
            <w:tcW w:w="945" w:type="dxa"/>
            <w:hideMark/>
          </w:tcPr>
          <w:p w14:paraId="1F3F8544"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8.3</w:t>
            </w:r>
          </w:p>
        </w:tc>
        <w:tc>
          <w:tcPr>
            <w:tcW w:w="1771" w:type="dxa"/>
            <w:hideMark/>
          </w:tcPr>
          <w:p w14:paraId="62E845A9"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03C55AEF"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1797936A"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gridSpan w:val="2"/>
            <w:hideMark/>
          </w:tcPr>
          <w:p w14:paraId="00C1221D"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E0777E">
              <w:rPr>
                <w:rFonts w:ascii="Times New Roman" w:hAnsi="Times New Roman" w:cs="Times New Roman"/>
                <w:sz w:val="24"/>
                <w:szCs w:val="24"/>
                <w:highlight w:val="yellow"/>
                <w:lang w:eastAsia="fr-FR"/>
              </w:rPr>
              <w:lastRenderedPageBreak/>
              <w:t xml:space="preserve">ATCD Ictère dans la </w:t>
            </w:r>
            <w:commentRangeStart w:id="58"/>
            <w:r w:rsidRPr="00E0777E">
              <w:rPr>
                <w:rFonts w:ascii="Times New Roman" w:hAnsi="Times New Roman" w:cs="Times New Roman"/>
                <w:sz w:val="24"/>
                <w:szCs w:val="24"/>
                <w:highlight w:val="yellow"/>
                <w:lang w:eastAsia="fr-FR"/>
              </w:rPr>
              <w:t>fratrie</w:t>
            </w:r>
            <w:commentRangeEnd w:id="58"/>
            <w:r w:rsidR="00E0777E">
              <w:rPr>
                <w:rStyle w:val="Marquedecommentaire"/>
                <w:b w:val="0"/>
                <w:bCs w:val="0"/>
              </w:rPr>
              <w:commentReference w:id="58"/>
            </w:r>
            <w:r w:rsidRPr="000A4A0F">
              <w:rPr>
                <w:rFonts w:ascii="Times New Roman" w:hAnsi="Times New Roman" w:cs="Times New Roman"/>
                <w:sz w:val="24"/>
                <w:szCs w:val="24"/>
                <w:lang w:eastAsia="fr-FR"/>
              </w:rPr>
              <w:t xml:space="preserve"> (n=118)</w:t>
            </w:r>
          </w:p>
        </w:tc>
        <w:tc>
          <w:tcPr>
            <w:tcW w:w="945" w:type="dxa"/>
            <w:hideMark/>
          </w:tcPr>
          <w:p w14:paraId="0C46506F"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12.7</w:t>
            </w:r>
          </w:p>
        </w:tc>
        <w:tc>
          <w:tcPr>
            <w:tcW w:w="1771" w:type="dxa"/>
            <w:hideMark/>
          </w:tcPr>
          <w:p w14:paraId="00887803"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0E70C739"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3E4E4963" w14:textId="77777777" w:rsidTr="00CA42D1">
        <w:tc>
          <w:tcPr>
            <w:cnfStyle w:val="001000000000" w:firstRow="0" w:lastRow="0" w:firstColumn="1" w:lastColumn="0" w:oddVBand="0" w:evenVBand="0" w:oddHBand="0" w:evenHBand="0" w:firstRowFirstColumn="0" w:firstRowLastColumn="0" w:lastRowFirstColumn="0" w:lastRowLastColumn="0"/>
            <w:tcW w:w="3715" w:type="dxa"/>
            <w:gridSpan w:val="2"/>
            <w:hideMark/>
          </w:tcPr>
          <w:p w14:paraId="2CFF0B99"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Mère HTA (n=124)</w:t>
            </w:r>
          </w:p>
        </w:tc>
        <w:tc>
          <w:tcPr>
            <w:tcW w:w="945" w:type="dxa"/>
            <w:hideMark/>
          </w:tcPr>
          <w:p w14:paraId="4F6CA800"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7.3</w:t>
            </w:r>
          </w:p>
        </w:tc>
        <w:tc>
          <w:tcPr>
            <w:tcW w:w="1771" w:type="dxa"/>
            <w:hideMark/>
          </w:tcPr>
          <w:p w14:paraId="1675E36A"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43A22410" w14:textId="77777777" w:rsidR="0052158F" w:rsidRPr="000A4A0F" w:rsidRDefault="0052158F"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52158F" w:rsidRPr="000A4A0F" w14:paraId="15163C6E"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gridSpan w:val="2"/>
            <w:hideMark/>
          </w:tcPr>
          <w:p w14:paraId="5C62310E" w14:textId="77777777" w:rsidR="0052158F" w:rsidRPr="000A4A0F" w:rsidRDefault="0052158F" w:rsidP="006612D9">
            <w:pPr>
              <w:pStyle w:val="Sansinterligne"/>
              <w:spacing w:line="360" w:lineRule="auto"/>
              <w:jc w:val="both"/>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Mère Diabétique (n=125)</w:t>
            </w:r>
          </w:p>
        </w:tc>
        <w:tc>
          <w:tcPr>
            <w:tcW w:w="945" w:type="dxa"/>
            <w:hideMark/>
          </w:tcPr>
          <w:p w14:paraId="3E00DAF9"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0.8</w:t>
            </w:r>
          </w:p>
        </w:tc>
        <w:tc>
          <w:tcPr>
            <w:tcW w:w="1771" w:type="dxa"/>
            <w:hideMark/>
          </w:tcPr>
          <w:p w14:paraId="41DD6A15"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c>
          <w:tcPr>
            <w:tcW w:w="2773" w:type="dxa"/>
            <w:hideMark/>
          </w:tcPr>
          <w:p w14:paraId="663B897C" w14:textId="77777777" w:rsidR="0052158F" w:rsidRPr="000A4A0F" w:rsidRDefault="0052158F"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BE" w:eastAsia="fr-FR"/>
              </w:rPr>
            </w:pPr>
            <w:r w:rsidRPr="000A4A0F">
              <w:rPr>
                <w:rFonts w:ascii="Times New Roman" w:hAnsi="Times New Roman" w:cs="Times New Roman"/>
                <w:sz w:val="24"/>
                <w:szCs w:val="24"/>
                <w:lang w:eastAsia="fr-FR"/>
              </w:rPr>
              <w:t> </w:t>
            </w:r>
          </w:p>
        </w:tc>
      </w:tr>
      <w:tr w:rsidR="00B47118" w:rsidRPr="000A4A0F" w14:paraId="3866B542" w14:textId="77777777" w:rsidTr="00CA42D1">
        <w:tc>
          <w:tcPr>
            <w:cnfStyle w:val="001000000000" w:firstRow="0" w:lastRow="0" w:firstColumn="1" w:lastColumn="0" w:oddVBand="0" w:evenVBand="0" w:oddHBand="0" w:evenHBand="0" w:firstRowFirstColumn="0" w:firstRowLastColumn="0" w:lastRowFirstColumn="0" w:lastRowLastColumn="0"/>
            <w:tcW w:w="3715" w:type="dxa"/>
            <w:gridSpan w:val="2"/>
          </w:tcPr>
          <w:p w14:paraId="138DB462" w14:textId="668D0467" w:rsidR="00B47118" w:rsidRPr="000A4A0F" w:rsidRDefault="00B47118" w:rsidP="006612D9">
            <w:pPr>
              <w:pStyle w:val="Sansinterligne"/>
              <w:spacing w:line="360" w:lineRule="auto"/>
              <w:jc w:val="both"/>
              <w:rPr>
                <w:rFonts w:ascii="Times New Roman" w:hAnsi="Times New Roman" w:cs="Times New Roman"/>
                <w:sz w:val="24"/>
                <w:szCs w:val="24"/>
                <w:lang w:eastAsia="fr-FR"/>
              </w:rPr>
            </w:pPr>
            <w:proofErr w:type="spellStart"/>
            <w:r w:rsidRPr="000A4A0F">
              <w:rPr>
                <w:rFonts w:ascii="Times New Roman" w:hAnsi="Times New Roman" w:cs="Times New Roman"/>
                <w:sz w:val="24"/>
                <w:szCs w:val="24"/>
                <w:lang w:eastAsia="fr-FR"/>
              </w:rPr>
              <w:t>Cpn</w:t>
            </w:r>
            <w:proofErr w:type="spellEnd"/>
            <w:r w:rsidRPr="000A4A0F">
              <w:rPr>
                <w:rFonts w:ascii="Times New Roman" w:hAnsi="Times New Roman" w:cs="Times New Roman"/>
                <w:sz w:val="24"/>
                <w:szCs w:val="24"/>
                <w:lang w:eastAsia="fr-FR"/>
              </w:rPr>
              <w:t xml:space="preserve"> n=128</w:t>
            </w:r>
          </w:p>
        </w:tc>
        <w:tc>
          <w:tcPr>
            <w:tcW w:w="945" w:type="dxa"/>
          </w:tcPr>
          <w:p w14:paraId="3E4DC37B" w14:textId="4AEEC37A" w:rsidR="00B47118" w:rsidRPr="000A4A0F" w:rsidRDefault="00B4711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fr-FR"/>
              </w:rPr>
            </w:pPr>
            <w:r w:rsidRPr="000A4A0F">
              <w:rPr>
                <w:rFonts w:ascii="Times New Roman" w:hAnsi="Times New Roman" w:cs="Times New Roman"/>
                <w:sz w:val="24"/>
                <w:szCs w:val="24"/>
                <w:lang w:eastAsia="fr-FR"/>
              </w:rPr>
              <w:t>80.5</w:t>
            </w:r>
          </w:p>
        </w:tc>
        <w:tc>
          <w:tcPr>
            <w:tcW w:w="1771" w:type="dxa"/>
          </w:tcPr>
          <w:p w14:paraId="48512225" w14:textId="77777777" w:rsidR="00B47118" w:rsidRPr="000A4A0F" w:rsidRDefault="00B4711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fr-FR"/>
              </w:rPr>
            </w:pPr>
          </w:p>
        </w:tc>
        <w:tc>
          <w:tcPr>
            <w:tcW w:w="2773" w:type="dxa"/>
          </w:tcPr>
          <w:p w14:paraId="6B97C4D3" w14:textId="77777777" w:rsidR="00B47118" w:rsidRPr="000A4A0F" w:rsidRDefault="00B4711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fr-FR"/>
              </w:rPr>
            </w:pPr>
          </w:p>
        </w:tc>
      </w:tr>
      <w:tr w:rsidR="00B47118" w:rsidRPr="000A4A0F" w14:paraId="307014BB"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gridSpan w:val="2"/>
          </w:tcPr>
          <w:p w14:paraId="4D79A194" w14:textId="7AC83334" w:rsidR="00B47118" w:rsidRPr="000A4A0F" w:rsidRDefault="00B47118" w:rsidP="006612D9">
            <w:pPr>
              <w:pStyle w:val="Sansinterligne"/>
              <w:spacing w:line="360" w:lineRule="auto"/>
              <w:jc w:val="both"/>
              <w:rPr>
                <w:rFonts w:ascii="Times New Roman" w:hAnsi="Times New Roman" w:cs="Times New Roman"/>
                <w:sz w:val="24"/>
                <w:szCs w:val="24"/>
                <w:lang w:eastAsia="fr-FR"/>
              </w:rPr>
            </w:pPr>
            <w:r w:rsidRPr="00E0777E">
              <w:rPr>
                <w:rFonts w:ascii="Times New Roman" w:hAnsi="Times New Roman" w:cs="Times New Roman"/>
                <w:sz w:val="24"/>
                <w:szCs w:val="24"/>
                <w:highlight w:val="yellow"/>
                <w:lang w:eastAsia="fr-FR"/>
              </w:rPr>
              <w:t>Infection t3</w:t>
            </w:r>
            <w:r w:rsidRPr="000A4A0F">
              <w:rPr>
                <w:rFonts w:ascii="Times New Roman" w:hAnsi="Times New Roman" w:cs="Times New Roman"/>
                <w:sz w:val="24"/>
                <w:szCs w:val="24"/>
                <w:lang w:eastAsia="fr-FR"/>
              </w:rPr>
              <w:t xml:space="preserve"> n=128</w:t>
            </w:r>
          </w:p>
        </w:tc>
        <w:tc>
          <w:tcPr>
            <w:tcW w:w="945" w:type="dxa"/>
          </w:tcPr>
          <w:p w14:paraId="4E387C83" w14:textId="697DA231" w:rsidR="00B47118" w:rsidRPr="000A4A0F" w:rsidRDefault="00B4711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fr-FR"/>
              </w:rPr>
            </w:pPr>
            <w:r w:rsidRPr="000A4A0F">
              <w:rPr>
                <w:rFonts w:ascii="Times New Roman" w:hAnsi="Times New Roman" w:cs="Times New Roman"/>
                <w:sz w:val="24"/>
                <w:szCs w:val="24"/>
                <w:lang w:eastAsia="fr-FR"/>
              </w:rPr>
              <w:t>28.9</w:t>
            </w:r>
          </w:p>
        </w:tc>
        <w:tc>
          <w:tcPr>
            <w:tcW w:w="1771" w:type="dxa"/>
          </w:tcPr>
          <w:p w14:paraId="680D8DF2" w14:textId="77777777" w:rsidR="00B47118" w:rsidRPr="000A4A0F" w:rsidRDefault="00B4711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fr-FR"/>
              </w:rPr>
            </w:pPr>
          </w:p>
        </w:tc>
        <w:tc>
          <w:tcPr>
            <w:tcW w:w="2773" w:type="dxa"/>
          </w:tcPr>
          <w:p w14:paraId="6B0B6D61" w14:textId="77777777" w:rsidR="00B47118" w:rsidRPr="000A4A0F" w:rsidRDefault="00B4711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fr-FR"/>
              </w:rPr>
            </w:pPr>
          </w:p>
        </w:tc>
      </w:tr>
      <w:tr w:rsidR="00B47118" w:rsidRPr="000A4A0F" w14:paraId="3FD0F2B9" w14:textId="77777777" w:rsidTr="00CA42D1">
        <w:tc>
          <w:tcPr>
            <w:cnfStyle w:val="001000000000" w:firstRow="0" w:lastRow="0" w:firstColumn="1" w:lastColumn="0" w:oddVBand="0" w:evenVBand="0" w:oddHBand="0" w:evenHBand="0" w:firstRowFirstColumn="0" w:firstRowLastColumn="0" w:lastRowFirstColumn="0" w:lastRowLastColumn="0"/>
            <w:tcW w:w="3715" w:type="dxa"/>
            <w:gridSpan w:val="2"/>
          </w:tcPr>
          <w:p w14:paraId="672AFFBD" w14:textId="49F33054" w:rsidR="00B47118" w:rsidRPr="000A4A0F" w:rsidRDefault="00B47118" w:rsidP="006612D9">
            <w:pPr>
              <w:pStyle w:val="Sansinterligne"/>
              <w:spacing w:line="360" w:lineRule="auto"/>
              <w:jc w:val="both"/>
              <w:rPr>
                <w:rFonts w:ascii="Times New Roman" w:hAnsi="Times New Roman" w:cs="Times New Roman"/>
                <w:sz w:val="24"/>
                <w:szCs w:val="24"/>
                <w:lang w:eastAsia="fr-FR"/>
              </w:rPr>
            </w:pPr>
            <w:proofErr w:type="spellStart"/>
            <w:r w:rsidRPr="00E0777E">
              <w:rPr>
                <w:rFonts w:ascii="Times New Roman" w:hAnsi="Times New Roman" w:cs="Times New Roman"/>
                <w:sz w:val="24"/>
                <w:szCs w:val="24"/>
                <w:highlight w:val="yellow"/>
                <w:lang w:eastAsia="fr-FR"/>
              </w:rPr>
              <w:t>antiD</w:t>
            </w:r>
            <w:proofErr w:type="spellEnd"/>
            <w:r w:rsidRPr="000A4A0F">
              <w:rPr>
                <w:rFonts w:ascii="Times New Roman" w:hAnsi="Times New Roman" w:cs="Times New Roman"/>
                <w:sz w:val="24"/>
                <w:szCs w:val="24"/>
                <w:lang w:eastAsia="fr-FR"/>
              </w:rPr>
              <w:t xml:space="preserve"> n=126</w:t>
            </w:r>
          </w:p>
        </w:tc>
        <w:tc>
          <w:tcPr>
            <w:tcW w:w="945" w:type="dxa"/>
          </w:tcPr>
          <w:p w14:paraId="77A1D903" w14:textId="1191D62B" w:rsidR="00B47118" w:rsidRPr="000A4A0F" w:rsidRDefault="00B4711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fr-FR"/>
              </w:rPr>
            </w:pPr>
            <w:r w:rsidRPr="000A4A0F">
              <w:rPr>
                <w:rFonts w:ascii="Times New Roman" w:hAnsi="Times New Roman" w:cs="Times New Roman"/>
                <w:sz w:val="24"/>
                <w:szCs w:val="24"/>
                <w:lang w:eastAsia="fr-FR"/>
              </w:rPr>
              <w:t>4.8</w:t>
            </w:r>
          </w:p>
        </w:tc>
        <w:tc>
          <w:tcPr>
            <w:tcW w:w="1771" w:type="dxa"/>
          </w:tcPr>
          <w:p w14:paraId="170F42C0" w14:textId="77777777" w:rsidR="00B47118" w:rsidRPr="000A4A0F" w:rsidRDefault="00B4711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fr-FR"/>
              </w:rPr>
            </w:pPr>
          </w:p>
        </w:tc>
        <w:tc>
          <w:tcPr>
            <w:tcW w:w="2773" w:type="dxa"/>
          </w:tcPr>
          <w:p w14:paraId="3F808090" w14:textId="77777777" w:rsidR="00B47118" w:rsidRPr="000A4A0F" w:rsidRDefault="00B4711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fr-FR"/>
              </w:rPr>
            </w:pPr>
          </w:p>
        </w:tc>
      </w:tr>
    </w:tbl>
    <w:p w14:paraId="24A0010A" w14:textId="536D3FDA" w:rsidR="000A4A0F" w:rsidRPr="00556715" w:rsidRDefault="0052158F" w:rsidP="006612D9">
      <w:pPr>
        <w:spacing w:after="0" w:line="360" w:lineRule="auto"/>
        <w:contextualSpacing/>
        <w:jc w:val="both"/>
        <w:rPr>
          <w:rFonts w:ascii="Times New Roman" w:eastAsia="Times New Roman" w:hAnsi="Times New Roman" w:cs="Times New Roman"/>
          <w:color w:val="000000"/>
          <w:sz w:val="24"/>
          <w:szCs w:val="24"/>
          <w:lang w:val="fr-BE" w:eastAsia="fr-FR"/>
        </w:rPr>
      </w:pPr>
      <w:r w:rsidRPr="000A4A0F">
        <w:rPr>
          <w:rFonts w:ascii="Times New Roman" w:eastAsia="Times New Roman" w:hAnsi="Times New Roman" w:cs="Times New Roman"/>
          <w:color w:val="000000"/>
          <w:sz w:val="24"/>
          <w:szCs w:val="24"/>
          <w:lang w:eastAsia="fr-FR"/>
        </w:rPr>
        <w:t>DS=Déviation Standard, ATCD=Antécédent, HTA=Hypertension artérielle</w:t>
      </w:r>
      <w:r w:rsidR="00B47118" w:rsidRPr="000A4A0F">
        <w:rPr>
          <w:rFonts w:ascii="Times New Roman" w:eastAsia="Times New Roman" w:hAnsi="Times New Roman" w:cs="Times New Roman"/>
          <w:color w:val="000000"/>
          <w:sz w:val="24"/>
          <w:szCs w:val="24"/>
          <w:lang w:eastAsia="fr-FR"/>
        </w:rPr>
        <w:t>, CPN=Consultations prénatales</w:t>
      </w:r>
    </w:p>
    <w:p w14:paraId="6FA40712" w14:textId="77777777" w:rsidR="00576A79" w:rsidRPr="000A4A0F" w:rsidRDefault="00576A79"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eastAsia="Times New Roman" w:hAnsi="Times New Roman" w:cs="Times New Roman"/>
          <w:b/>
          <w:color w:val="000000"/>
          <w:sz w:val="24"/>
          <w:szCs w:val="24"/>
          <w:lang w:eastAsia="fr-FR"/>
        </w:rPr>
        <w:t>Caractéristiques maternelles.</w:t>
      </w:r>
    </w:p>
    <w:p w14:paraId="5502C050" w14:textId="08C58E4A" w:rsidR="00576A79" w:rsidRPr="000A4A0F" w:rsidRDefault="007F74A7"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 L’âge moyen</w:t>
      </w:r>
      <w:r w:rsidR="00576A79" w:rsidRPr="000A4A0F">
        <w:rPr>
          <w:rFonts w:ascii="Times New Roman" w:eastAsia="Times New Roman" w:hAnsi="Times New Roman" w:cs="Times New Roman"/>
          <w:color w:val="000000"/>
          <w:sz w:val="24"/>
          <w:szCs w:val="24"/>
          <w:lang w:eastAsia="fr-FR"/>
        </w:rPr>
        <w:t xml:space="preserve"> maternel est de </w:t>
      </w:r>
      <w:r w:rsidR="00576A79" w:rsidRPr="000A4A0F">
        <w:rPr>
          <w:rFonts w:ascii="Times New Roman" w:eastAsia="Times New Roman" w:hAnsi="Times New Roman" w:cs="Times New Roman"/>
          <w:sz w:val="24"/>
          <w:szCs w:val="24"/>
          <w:lang w:eastAsia="fr-FR"/>
        </w:rPr>
        <w:t xml:space="preserve">28.5 </w:t>
      </w:r>
      <w:commentRangeStart w:id="59"/>
      <w:r w:rsidR="00576A79" w:rsidRPr="000A4A0F">
        <w:rPr>
          <w:rFonts w:ascii="Times New Roman" w:eastAsia="Times New Roman" w:hAnsi="Times New Roman" w:cs="Times New Roman"/>
          <w:color w:val="000000"/>
          <w:sz w:val="24"/>
          <w:szCs w:val="24"/>
          <w:lang w:eastAsia="fr-FR"/>
        </w:rPr>
        <w:t>ans</w:t>
      </w:r>
      <w:commentRangeEnd w:id="59"/>
      <w:r w:rsidR="00E0777E">
        <w:rPr>
          <w:rStyle w:val="Marquedecommentaire"/>
        </w:rPr>
        <w:commentReference w:id="59"/>
      </w:r>
      <w:r w:rsidR="00576A79" w:rsidRPr="000A4A0F">
        <w:rPr>
          <w:rFonts w:ascii="Times New Roman" w:eastAsia="Times New Roman" w:hAnsi="Times New Roman" w:cs="Times New Roman"/>
          <w:color w:val="000000"/>
          <w:sz w:val="24"/>
          <w:szCs w:val="24"/>
          <w:lang w:eastAsia="fr-FR"/>
        </w:rPr>
        <w:t xml:space="preserve"> avec une tranche d’âge qui varie entre </w:t>
      </w:r>
      <w:r w:rsidR="00576A79" w:rsidRPr="000A4A0F">
        <w:rPr>
          <w:rFonts w:ascii="Times New Roman" w:eastAsia="Times New Roman" w:hAnsi="Times New Roman" w:cs="Times New Roman"/>
          <w:sz w:val="24"/>
          <w:szCs w:val="24"/>
          <w:lang w:eastAsia="fr-FR"/>
        </w:rPr>
        <w:t>17-</w:t>
      </w:r>
      <w:r w:rsidR="000A4A0F" w:rsidRPr="000A4A0F">
        <w:rPr>
          <w:rFonts w:ascii="Times New Roman" w:eastAsia="Times New Roman" w:hAnsi="Times New Roman" w:cs="Times New Roman"/>
          <w:sz w:val="24"/>
          <w:szCs w:val="24"/>
          <w:lang w:eastAsia="fr-FR"/>
        </w:rPr>
        <w:t>43</w:t>
      </w:r>
      <w:r w:rsidR="000A4A0F" w:rsidRPr="000A4A0F">
        <w:rPr>
          <w:rFonts w:ascii="Times New Roman" w:eastAsia="Times New Roman" w:hAnsi="Times New Roman" w:cs="Times New Roman"/>
          <w:color w:val="000000"/>
          <w:sz w:val="24"/>
          <w:szCs w:val="24"/>
          <w:lang w:eastAsia="fr-FR"/>
        </w:rPr>
        <w:t xml:space="preserve"> ans</w:t>
      </w:r>
    </w:p>
    <w:p w14:paraId="01B43A60" w14:textId="54FD874C" w:rsidR="00576A79" w:rsidRPr="000A4A0F" w:rsidRDefault="00576A79" w:rsidP="006612D9">
      <w:pPr>
        <w:shd w:val="clear" w:color="auto" w:fill="FFFFFF"/>
        <w:spacing w:after="0" w:line="360" w:lineRule="auto"/>
        <w:jc w:val="both"/>
        <w:textAlignment w:val="baseline"/>
        <w:rPr>
          <w:rFonts w:ascii="Times New Roman" w:eastAsia="Times New Roman" w:hAnsi="Times New Roman" w:cs="Times New Roman"/>
          <w:sz w:val="24"/>
          <w:szCs w:val="24"/>
          <w:lang w:eastAsia="fr-FR"/>
        </w:rPr>
      </w:pPr>
      <w:r w:rsidRPr="000A4A0F">
        <w:rPr>
          <w:rFonts w:ascii="Times New Roman" w:eastAsia="Times New Roman" w:hAnsi="Times New Roman" w:cs="Times New Roman"/>
          <w:sz w:val="24"/>
          <w:szCs w:val="24"/>
          <w:lang w:eastAsia="fr-FR"/>
        </w:rPr>
        <w:t>24.8%</w:t>
      </w:r>
      <w:r w:rsidRPr="000A4A0F">
        <w:rPr>
          <w:rFonts w:ascii="Times New Roman" w:eastAsia="Times New Roman" w:hAnsi="Times New Roman" w:cs="Times New Roman"/>
          <w:color w:val="000000"/>
          <w:sz w:val="24"/>
          <w:szCs w:val="24"/>
          <w:lang w:eastAsia="fr-FR"/>
        </w:rPr>
        <w:t xml:space="preserve"> des mères sont primigestes, </w:t>
      </w:r>
      <w:r w:rsidRPr="000A4A0F">
        <w:rPr>
          <w:rFonts w:ascii="Times New Roman" w:eastAsia="Times New Roman" w:hAnsi="Times New Roman" w:cs="Times New Roman"/>
          <w:sz w:val="24"/>
          <w:szCs w:val="24"/>
          <w:lang w:eastAsia="fr-FR"/>
        </w:rPr>
        <w:t>75.2% sont de</w:t>
      </w:r>
      <w:r w:rsidR="00E0777E" w:rsidRPr="00E0777E">
        <w:rPr>
          <w:rFonts w:ascii="Times New Roman" w:hAnsi="Times New Roman" w:cs="Times New Roman"/>
          <w:b/>
          <w:color w:val="FF0000"/>
          <w:sz w:val="24"/>
          <w:szCs w:val="24"/>
        </w:rPr>
        <w:t>s</w:t>
      </w:r>
      <w:r w:rsidRPr="000A4A0F">
        <w:rPr>
          <w:rFonts w:ascii="Times New Roman" w:eastAsia="Times New Roman" w:hAnsi="Times New Roman" w:cs="Times New Roman"/>
          <w:sz w:val="24"/>
          <w:szCs w:val="24"/>
          <w:lang w:eastAsia="fr-FR"/>
        </w:rPr>
        <w:t xml:space="preserve"> multi-geste</w:t>
      </w:r>
      <w:r w:rsidR="00E0777E" w:rsidRPr="00E0777E">
        <w:rPr>
          <w:rFonts w:ascii="Times New Roman" w:hAnsi="Times New Roman" w:cs="Times New Roman"/>
          <w:b/>
          <w:color w:val="FF0000"/>
          <w:sz w:val="24"/>
          <w:szCs w:val="24"/>
        </w:rPr>
        <w:t>s</w:t>
      </w:r>
      <w:r w:rsidRPr="000A4A0F">
        <w:rPr>
          <w:rFonts w:ascii="Times New Roman" w:eastAsia="Times New Roman" w:hAnsi="Times New Roman" w:cs="Times New Roman"/>
          <w:sz w:val="24"/>
          <w:szCs w:val="24"/>
          <w:lang w:eastAsia="fr-FR"/>
        </w:rPr>
        <w:t xml:space="preserve"> </w:t>
      </w:r>
      <w:r w:rsidRPr="000A4A0F">
        <w:rPr>
          <w:rFonts w:ascii="Times New Roman" w:eastAsia="Times New Roman" w:hAnsi="Times New Roman" w:cs="Times New Roman"/>
          <w:color w:val="000000"/>
          <w:sz w:val="24"/>
          <w:szCs w:val="24"/>
          <w:lang w:eastAsia="fr-FR"/>
        </w:rPr>
        <w:t xml:space="preserve">avec des extrêmes variant entre </w:t>
      </w:r>
      <w:r w:rsidR="007F74A7" w:rsidRPr="000A4A0F">
        <w:rPr>
          <w:rFonts w:ascii="Times New Roman" w:eastAsia="Times New Roman" w:hAnsi="Times New Roman" w:cs="Times New Roman"/>
          <w:sz w:val="24"/>
          <w:szCs w:val="24"/>
          <w:lang w:eastAsia="fr-FR"/>
        </w:rPr>
        <w:t xml:space="preserve">1-11 ; </w:t>
      </w:r>
      <w:r w:rsidRPr="000A4A0F">
        <w:rPr>
          <w:rFonts w:ascii="Times New Roman" w:eastAsia="Times New Roman" w:hAnsi="Times New Roman" w:cs="Times New Roman"/>
          <w:sz w:val="24"/>
          <w:szCs w:val="24"/>
          <w:lang w:eastAsia="fr-FR"/>
        </w:rPr>
        <w:t>23.3%</w:t>
      </w:r>
      <w:r w:rsidRPr="000A4A0F">
        <w:rPr>
          <w:rFonts w:ascii="Times New Roman" w:eastAsia="Times New Roman" w:hAnsi="Times New Roman" w:cs="Times New Roman"/>
          <w:color w:val="000000"/>
          <w:sz w:val="24"/>
          <w:szCs w:val="24"/>
          <w:lang w:eastAsia="fr-FR"/>
        </w:rPr>
        <w:t xml:space="preserve"> des mères sont primipares, </w:t>
      </w:r>
      <w:r w:rsidRPr="000A4A0F">
        <w:rPr>
          <w:rFonts w:ascii="Times New Roman" w:eastAsia="Times New Roman" w:hAnsi="Times New Roman" w:cs="Times New Roman"/>
          <w:sz w:val="24"/>
          <w:szCs w:val="24"/>
          <w:lang w:eastAsia="fr-FR"/>
        </w:rPr>
        <w:t xml:space="preserve">76.7% sont de multi-part </w:t>
      </w:r>
      <w:r w:rsidRPr="000A4A0F">
        <w:rPr>
          <w:rFonts w:ascii="Times New Roman" w:eastAsia="Times New Roman" w:hAnsi="Times New Roman" w:cs="Times New Roman"/>
          <w:color w:val="000000"/>
          <w:sz w:val="24"/>
          <w:szCs w:val="24"/>
          <w:lang w:eastAsia="fr-FR"/>
        </w:rPr>
        <w:t>avec des extrêmes variant entre 1 et 10.</w:t>
      </w:r>
    </w:p>
    <w:p w14:paraId="3FB369E4" w14:textId="2AD86DA5" w:rsidR="00576A79" w:rsidRPr="000A4A0F" w:rsidRDefault="00576A79"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Les antécédents d’ictère néonatal dans la frat</w:t>
      </w:r>
      <w:r w:rsidR="00423223" w:rsidRPr="000A4A0F">
        <w:rPr>
          <w:rFonts w:ascii="Times New Roman" w:eastAsia="Times New Roman" w:hAnsi="Times New Roman" w:cs="Times New Roman"/>
          <w:color w:val="000000"/>
          <w:sz w:val="24"/>
          <w:szCs w:val="24"/>
          <w:lang w:eastAsia="fr-FR"/>
        </w:rPr>
        <w:t>rie ont été notés chez 12,7</w:t>
      </w:r>
      <w:r w:rsidR="000A4A0F" w:rsidRPr="000A4A0F">
        <w:rPr>
          <w:rFonts w:ascii="Times New Roman" w:eastAsia="Times New Roman" w:hAnsi="Times New Roman" w:cs="Times New Roman"/>
          <w:color w:val="000000"/>
          <w:sz w:val="24"/>
          <w:szCs w:val="24"/>
          <w:lang w:eastAsia="fr-FR"/>
        </w:rPr>
        <w:t>%.</w:t>
      </w:r>
    </w:p>
    <w:p w14:paraId="10C0F8FA" w14:textId="1DD25215" w:rsidR="00576A79" w:rsidRPr="000A4A0F" w:rsidRDefault="00576A79"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 </w:t>
      </w:r>
      <w:r w:rsidRPr="00E0777E">
        <w:rPr>
          <w:rFonts w:ascii="Times New Roman" w:eastAsia="Times New Roman" w:hAnsi="Times New Roman" w:cs="Times New Roman"/>
          <w:color w:val="000000"/>
          <w:sz w:val="24"/>
          <w:szCs w:val="24"/>
          <w:highlight w:val="yellow"/>
          <w:lang w:eastAsia="fr-FR"/>
        </w:rPr>
        <w:t xml:space="preserve">80.5% des </w:t>
      </w:r>
      <w:r w:rsidR="00423223" w:rsidRPr="00E0777E">
        <w:rPr>
          <w:rFonts w:ascii="Times New Roman" w:eastAsia="Times New Roman" w:hAnsi="Times New Roman" w:cs="Times New Roman"/>
          <w:color w:val="000000"/>
          <w:sz w:val="24"/>
          <w:szCs w:val="24"/>
          <w:highlight w:val="yellow"/>
          <w:lang w:eastAsia="fr-FR"/>
        </w:rPr>
        <w:t>femmes ont fait des CPN</w:t>
      </w:r>
      <w:r w:rsidRPr="00E0777E">
        <w:rPr>
          <w:rFonts w:ascii="Times New Roman" w:eastAsia="Times New Roman" w:hAnsi="Times New Roman" w:cs="Times New Roman"/>
          <w:color w:val="000000"/>
          <w:sz w:val="24"/>
          <w:szCs w:val="24"/>
          <w:highlight w:val="yellow"/>
          <w:lang w:eastAsia="fr-FR"/>
        </w:rPr>
        <w:t>.</w:t>
      </w:r>
    </w:p>
    <w:p w14:paraId="420486A9" w14:textId="532F7C2F" w:rsidR="00576A79" w:rsidRPr="000A4A0F" w:rsidRDefault="007F74A7"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L’anamnèse infectieuse </w:t>
      </w:r>
      <w:r w:rsidR="000A4A0F" w:rsidRPr="000A4A0F">
        <w:rPr>
          <w:rFonts w:ascii="Times New Roman" w:eastAsia="Times New Roman" w:hAnsi="Times New Roman" w:cs="Times New Roman"/>
          <w:color w:val="000000"/>
          <w:sz w:val="24"/>
          <w:szCs w:val="24"/>
          <w:lang w:eastAsia="fr-FR"/>
        </w:rPr>
        <w:t>était négative</w:t>
      </w:r>
      <w:r w:rsidR="00576A79" w:rsidRPr="000A4A0F">
        <w:rPr>
          <w:rFonts w:ascii="Times New Roman" w:eastAsia="Times New Roman" w:hAnsi="Times New Roman" w:cs="Times New Roman"/>
          <w:color w:val="000000"/>
          <w:sz w:val="24"/>
          <w:szCs w:val="24"/>
          <w:lang w:eastAsia="fr-FR"/>
        </w:rPr>
        <w:t xml:space="preserve"> dans </w:t>
      </w:r>
      <w:r w:rsidR="00576A79" w:rsidRPr="000A4A0F">
        <w:rPr>
          <w:rFonts w:ascii="Times New Roman" w:eastAsia="Times New Roman" w:hAnsi="Times New Roman" w:cs="Times New Roman"/>
          <w:sz w:val="24"/>
          <w:szCs w:val="24"/>
          <w:lang w:eastAsia="fr-FR"/>
        </w:rPr>
        <w:t>71.1</w:t>
      </w:r>
      <w:r w:rsidR="00576A79" w:rsidRPr="000A4A0F">
        <w:rPr>
          <w:rFonts w:ascii="Times New Roman" w:eastAsia="Times New Roman" w:hAnsi="Times New Roman" w:cs="Times New Roman"/>
          <w:color w:val="000000"/>
          <w:sz w:val="24"/>
          <w:szCs w:val="24"/>
          <w:lang w:eastAsia="fr-FR"/>
        </w:rPr>
        <w:t xml:space="preserve">% et </w:t>
      </w:r>
      <w:r w:rsidR="00576A79" w:rsidRPr="000A4A0F">
        <w:rPr>
          <w:rFonts w:ascii="Times New Roman" w:eastAsia="Times New Roman" w:hAnsi="Times New Roman" w:cs="Times New Roman"/>
          <w:sz w:val="24"/>
          <w:szCs w:val="24"/>
          <w:lang w:eastAsia="fr-FR"/>
        </w:rPr>
        <w:t>28.9 % ont une infection au troisième trimestre traité.</w:t>
      </w:r>
    </w:p>
    <w:p w14:paraId="4981F9F1" w14:textId="64C2B8F4" w:rsidR="00576A79" w:rsidRPr="000A4A0F" w:rsidRDefault="00576A79"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 9 dames ont présenté une toxémie gravidique </w:t>
      </w:r>
      <w:r w:rsidR="000A4A0F" w:rsidRPr="000A4A0F">
        <w:rPr>
          <w:rFonts w:ascii="Times New Roman" w:eastAsia="Times New Roman" w:hAnsi="Times New Roman" w:cs="Times New Roman"/>
          <w:color w:val="000000"/>
          <w:sz w:val="24"/>
          <w:szCs w:val="24"/>
          <w:lang w:eastAsia="fr-FR"/>
        </w:rPr>
        <w:t>soit 7.3</w:t>
      </w:r>
      <w:r w:rsidRPr="000A4A0F">
        <w:rPr>
          <w:rFonts w:ascii="Times New Roman" w:eastAsia="Times New Roman" w:hAnsi="Times New Roman" w:cs="Times New Roman"/>
          <w:color w:val="000000"/>
          <w:sz w:val="24"/>
          <w:szCs w:val="24"/>
          <w:lang w:eastAsia="fr-FR"/>
        </w:rPr>
        <w:t>%.</w:t>
      </w:r>
    </w:p>
    <w:p w14:paraId="4B097696" w14:textId="7BF31309" w:rsidR="00576A79" w:rsidRPr="000A4A0F" w:rsidRDefault="00576A79"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sz w:val="24"/>
          <w:szCs w:val="24"/>
          <w:lang w:eastAsia="fr-FR"/>
        </w:rPr>
        <w:t>0.8%</w:t>
      </w:r>
      <w:r w:rsidRPr="000A4A0F">
        <w:rPr>
          <w:rFonts w:ascii="Times New Roman" w:eastAsia="Times New Roman" w:hAnsi="Times New Roman" w:cs="Times New Roman"/>
          <w:color w:val="000000"/>
          <w:sz w:val="24"/>
          <w:szCs w:val="24"/>
          <w:lang w:eastAsia="fr-FR"/>
        </w:rPr>
        <w:t xml:space="preserve">   </w:t>
      </w:r>
      <w:r w:rsidR="000A4A0F" w:rsidRPr="000A4A0F">
        <w:rPr>
          <w:rFonts w:ascii="Times New Roman" w:eastAsia="Times New Roman" w:hAnsi="Times New Roman" w:cs="Times New Roman"/>
          <w:color w:val="000000"/>
          <w:sz w:val="24"/>
          <w:szCs w:val="24"/>
          <w:lang w:eastAsia="fr-FR"/>
        </w:rPr>
        <w:t>de mère</w:t>
      </w:r>
      <w:r w:rsidR="007F74A7" w:rsidRPr="000A4A0F">
        <w:rPr>
          <w:rFonts w:ascii="Times New Roman" w:eastAsia="Times New Roman" w:hAnsi="Times New Roman" w:cs="Times New Roman"/>
          <w:color w:val="000000"/>
          <w:sz w:val="24"/>
          <w:szCs w:val="24"/>
          <w:lang w:eastAsia="fr-FR"/>
        </w:rPr>
        <w:t xml:space="preserve"> avait un diabète gestationne</w:t>
      </w:r>
      <w:r w:rsidR="003D22D2" w:rsidRPr="000A4A0F">
        <w:rPr>
          <w:rFonts w:ascii="Times New Roman" w:eastAsia="Times New Roman" w:hAnsi="Times New Roman" w:cs="Times New Roman"/>
          <w:color w:val="000000"/>
          <w:sz w:val="24"/>
          <w:szCs w:val="24"/>
          <w:lang w:eastAsia="fr-FR"/>
        </w:rPr>
        <w:t>l</w:t>
      </w:r>
    </w:p>
    <w:p w14:paraId="22BB2D08" w14:textId="526C8E40" w:rsidR="00576A79" w:rsidRPr="000A4A0F" w:rsidRDefault="00576A79"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Tous les accouchements se sont déroulés dans des structures médicalisées soit 100% dont 74.2% dans notre structure sanitaire et 25.8% des nouveau-nés étaient de transfert.</w:t>
      </w:r>
    </w:p>
    <w:p w14:paraId="361A6064" w14:textId="104DD208" w:rsidR="00576A79" w:rsidRPr="000A4A0F" w:rsidRDefault="00576A79"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60.9% </w:t>
      </w:r>
      <w:r w:rsidR="000A4A0F" w:rsidRPr="000A4A0F">
        <w:rPr>
          <w:rFonts w:ascii="Times New Roman" w:eastAsia="Times New Roman" w:hAnsi="Times New Roman" w:cs="Times New Roman"/>
          <w:color w:val="000000"/>
          <w:sz w:val="24"/>
          <w:szCs w:val="24"/>
          <w:lang w:eastAsia="fr-FR"/>
        </w:rPr>
        <w:t>des femmes</w:t>
      </w:r>
      <w:r w:rsidRPr="000A4A0F">
        <w:rPr>
          <w:rFonts w:ascii="Times New Roman" w:eastAsia="Times New Roman" w:hAnsi="Times New Roman" w:cs="Times New Roman"/>
          <w:color w:val="000000"/>
          <w:sz w:val="24"/>
          <w:szCs w:val="24"/>
          <w:lang w:eastAsia="fr-FR"/>
        </w:rPr>
        <w:t xml:space="preserve"> ont accouché par voie basse, 22.9% ont accouché après stimulation, alors que </w:t>
      </w:r>
      <w:r w:rsidR="000A4A0F" w:rsidRPr="000A4A0F">
        <w:rPr>
          <w:rFonts w:ascii="Times New Roman" w:eastAsia="Times New Roman" w:hAnsi="Times New Roman" w:cs="Times New Roman"/>
          <w:color w:val="000000"/>
          <w:sz w:val="24"/>
          <w:szCs w:val="24"/>
          <w:lang w:eastAsia="fr-FR"/>
        </w:rPr>
        <w:t>la césarienne</w:t>
      </w:r>
      <w:r w:rsidRPr="000A4A0F">
        <w:rPr>
          <w:rFonts w:ascii="Times New Roman" w:eastAsia="Times New Roman" w:hAnsi="Times New Roman" w:cs="Times New Roman"/>
          <w:color w:val="000000"/>
          <w:sz w:val="24"/>
          <w:szCs w:val="24"/>
          <w:lang w:eastAsia="fr-FR"/>
        </w:rPr>
        <w:t xml:space="preserve"> a ét</w:t>
      </w:r>
      <w:r w:rsidR="007F74A7" w:rsidRPr="000A4A0F">
        <w:rPr>
          <w:rFonts w:ascii="Times New Roman" w:eastAsia="Times New Roman" w:hAnsi="Times New Roman" w:cs="Times New Roman"/>
          <w:color w:val="000000"/>
          <w:sz w:val="24"/>
          <w:szCs w:val="24"/>
          <w:lang w:eastAsia="fr-FR"/>
        </w:rPr>
        <w:t>é réalisée chez 39% des femmes.</w:t>
      </w:r>
      <w:r w:rsidR="000A4A0F" w:rsidRPr="000A4A0F">
        <w:rPr>
          <w:rFonts w:ascii="Times New Roman" w:eastAsia="Times New Roman" w:hAnsi="Times New Roman" w:cs="Times New Roman"/>
          <w:color w:val="000000"/>
          <w:sz w:val="24"/>
          <w:szCs w:val="24"/>
          <w:lang w:eastAsia="fr-FR"/>
        </w:rPr>
        <w:t xml:space="preserve"> </w:t>
      </w:r>
      <w:r w:rsidRPr="000A4A0F">
        <w:rPr>
          <w:rFonts w:ascii="Times New Roman" w:eastAsia="Times New Roman" w:hAnsi="Times New Roman" w:cs="Times New Roman"/>
          <w:sz w:val="24"/>
          <w:szCs w:val="24"/>
          <w:lang w:eastAsia="fr-FR"/>
        </w:rPr>
        <w:t>58.6</w:t>
      </w:r>
      <w:r w:rsidRPr="000A4A0F">
        <w:rPr>
          <w:rFonts w:ascii="Times New Roman" w:hAnsi="Times New Roman" w:cs="Times New Roman"/>
          <w:sz w:val="24"/>
          <w:szCs w:val="24"/>
        </w:rPr>
        <w:t xml:space="preserve">% des nouveau-nés sont nés à terme, </w:t>
      </w:r>
      <w:r w:rsidRPr="000A4A0F">
        <w:rPr>
          <w:rFonts w:ascii="Times New Roman" w:eastAsia="Times New Roman" w:hAnsi="Times New Roman" w:cs="Times New Roman"/>
          <w:sz w:val="24"/>
          <w:szCs w:val="24"/>
          <w:lang w:eastAsia="fr-FR"/>
        </w:rPr>
        <w:t>41.4</w:t>
      </w:r>
      <w:r w:rsidRPr="000A4A0F">
        <w:rPr>
          <w:rFonts w:ascii="Times New Roman" w:hAnsi="Times New Roman" w:cs="Times New Roman"/>
          <w:sz w:val="24"/>
          <w:szCs w:val="24"/>
        </w:rPr>
        <w:t xml:space="preserve">% des cas sont des prématurés. </w:t>
      </w:r>
    </w:p>
    <w:p w14:paraId="76C5912D" w14:textId="77777777" w:rsidR="00344791" w:rsidRDefault="00344791" w:rsidP="006612D9">
      <w:pPr>
        <w:suppressAutoHyphens w:val="0"/>
        <w:spacing w:after="0" w:line="360" w:lineRule="auto"/>
        <w:jc w:val="both"/>
        <w:rPr>
          <w:rFonts w:ascii="Times New Roman" w:hAnsi="Times New Roman" w:cs="Times New Roman"/>
          <w:b/>
          <w:sz w:val="24"/>
          <w:szCs w:val="24"/>
          <w:lang w:eastAsia="fr-FR"/>
        </w:rPr>
      </w:pPr>
    </w:p>
    <w:p w14:paraId="145F6FD3" w14:textId="77777777" w:rsidR="00344791" w:rsidRDefault="00344791" w:rsidP="006612D9">
      <w:pPr>
        <w:suppressAutoHyphens w:val="0"/>
        <w:spacing w:after="0" w:line="360" w:lineRule="auto"/>
        <w:jc w:val="both"/>
        <w:rPr>
          <w:rFonts w:ascii="Times New Roman" w:hAnsi="Times New Roman" w:cs="Times New Roman"/>
          <w:b/>
          <w:sz w:val="24"/>
          <w:szCs w:val="24"/>
          <w:lang w:eastAsia="fr-FR"/>
        </w:rPr>
      </w:pPr>
    </w:p>
    <w:p w14:paraId="2C51AA86" w14:textId="77777777" w:rsidR="00344791" w:rsidRDefault="00344791" w:rsidP="006612D9">
      <w:pPr>
        <w:suppressAutoHyphens w:val="0"/>
        <w:spacing w:after="0" w:line="360" w:lineRule="auto"/>
        <w:jc w:val="both"/>
        <w:rPr>
          <w:rFonts w:ascii="Times New Roman" w:hAnsi="Times New Roman" w:cs="Times New Roman"/>
          <w:b/>
          <w:sz w:val="24"/>
          <w:szCs w:val="24"/>
          <w:lang w:eastAsia="fr-FR"/>
        </w:rPr>
      </w:pPr>
    </w:p>
    <w:p w14:paraId="58D61C3F" w14:textId="77777777" w:rsidR="00E87246" w:rsidRDefault="00E87246" w:rsidP="006612D9">
      <w:pPr>
        <w:suppressAutoHyphens w:val="0"/>
        <w:spacing w:after="0" w:line="360" w:lineRule="auto"/>
        <w:jc w:val="both"/>
        <w:rPr>
          <w:rFonts w:ascii="Times New Roman" w:hAnsi="Times New Roman" w:cs="Times New Roman"/>
          <w:b/>
          <w:sz w:val="24"/>
          <w:szCs w:val="24"/>
          <w:lang w:eastAsia="fr-FR"/>
        </w:rPr>
      </w:pPr>
    </w:p>
    <w:p w14:paraId="29067AB3" w14:textId="77777777" w:rsidR="00E87246" w:rsidRDefault="00E87246" w:rsidP="006612D9">
      <w:pPr>
        <w:suppressAutoHyphens w:val="0"/>
        <w:spacing w:after="0" w:line="360" w:lineRule="auto"/>
        <w:jc w:val="both"/>
        <w:rPr>
          <w:rFonts w:ascii="Times New Roman" w:hAnsi="Times New Roman" w:cs="Times New Roman"/>
          <w:b/>
          <w:sz w:val="24"/>
          <w:szCs w:val="24"/>
          <w:lang w:eastAsia="fr-FR"/>
        </w:rPr>
      </w:pPr>
    </w:p>
    <w:p w14:paraId="789DE862" w14:textId="77777777" w:rsidR="00E87246" w:rsidRDefault="00E87246" w:rsidP="006612D9">
      <w:pPr>
        <w:suppressAutoHyphens w:val="0"/>
        <w:spacing w:after="0" w:line="360" w:lineRule="auto"/>
        <w:jc w:val="both"/>
        <w:rPr>
          <w:rFonts w:ascii="Times New Roman" w:hAnsi="Times New Roman" w:cs="Times New Roman"/>
          <w:b/>
          <w:sz w:val="24"/>
          <w:szCs w:val="24"/>
          <w:lang w:eastAsia="fr-FR"/>
        </w:rPr>
      </w:pPr>
    </w:p>
    <w:p w14:paraId="5CE9031E" w14:textId="77777777" w:rsidR="00E87246" w:rsidRDefault="00E87246" w:rsidP="006612D9">
      <w:pPr>
        <w:suppressAutoHyphens w:val="0"/>
        <w:spacing w:after="0" w:line="360" w:lineRule="auto"/>
        <w:jc w:val="both"/>
        <w:rPr>
          <w:rFonts w:ascii="Times New Roman" w:hAnsi="Times New Roman" w:cs="Times New Roman"/>
          <w:b/>
          <w:sz w:val="24"/>
          <w:szCs w:val="24"/>
          <w:lang w:eastAsia="fr-FR"/>
        </w:rPr>
      </w:pPr>
    </w:p>
    <w:p w14:paraId="72297820" w14:textId="77777777" w:rsidR="00E87246" w:rsidRDefault="00E87246" w:rsidP="006612D9">
      <w:pPr>
        <w:suppressAutoHyphens w:val="0"/>
        <w:spacing w:after="0" w:line="360" w:lineRule="auto"/>
        <w:jc w:val="both"/>
        <w:rPr>
          <w:rFonts w:ascii="Times New Roman" w:hAnsi="Times New Roman" w:cs="Times New Roman"/>
          <w:b/>
          <w:sz w:val="24"/>
          <w:szCs w:val="24"/>
          <w:lang w:eastAsia="fr-FR"/>
        </w:rPr>
      </w:pPr>
    </w:p>
    <w:p w14:paraId="5DAD252C" w14:textId="77777777" w:rsidR="00E87246" w:rsidRDefault="00E87246" w:rsidP="006612D9">
      <w:pPr>
        <w:suppressAutoHyphens w:val="0"/>
        <w:spacing w:after="0" w:line="360" w:lineRule="auto"/>
        <w:jc w:val="both"/>
        <w:rPr>
          <w:rFonts w:ascii="Times New Roman" w:hAnsi="Times New Roman" w:cs="Times New Roman"/>
          <w:b/>
          <w:sz w:val="24"/>
          <w:szCs w:val="24"/>
          <w:lang w:eastAsia="fr-FR"/>
        </w:rPr>
      </w:pPr>
    </w:p>
    <w:p w14:paraId="11D9061A" w14:textId="63B6CC39" w:rsidR="00C304FB" w:rsidRPr="006F6219" w:rsidRDefault="00FC4BB6" w:rsidP="006612D9">
      <w:pPr>
        <w:suppressAutoHyphens w:val="0"/>
        <w:spacing w:after="0" w:line="360" w:lineRule="auto"/>
        <w:jc w:val="both"/>
        <w:rPr>
          <w:rFonts w:ascii="Times New Roman" w:eastAsiaTheme="majorEastAsia" w:hAnsi="Times New Roman" w:cs="Times New Roman"/>
          <w:b/>
          <w:color w:val="2E74B5" w:themeColor="accent1" w:themeShade="BF"/>
          <w:lang w:eastAsia="fr-FR"/>
        </w:rPr>
      </w:pPr>
      <w:r w:rsidRPr="006F6219">
        <w:rPr>
          <w:rFonts w:ascii="Times New Roman" w:hAnsi="Times New Roman" w:cs="Times New Roman"/>
          <w:b/>
        </w:rPr>
        <w:lastRenderedPageBreak/>
        <w:t>Tableau 2</w:t>
      </w:r>
      <w:r w:rsidR="00C304FB" w:rsidRPr="006F6219">
        <w:rPr>
          <w:rFonts w:ascii="Times New Roman" w:hAnsi="Times New Roman" w:cs="Times New Roman"/>
          <w:b/>
        </w:rPr>
        <w:t>. Caractéristiques de nouveau-nés ictériques</w:t>
      </w:r>
    </w:p>
    <w:tbl>
      <w:tblPr>
        <w:tblStyle w:val="TableauListe6Couleur-Accentuation3"/>
        <w:tblW w:w="10060" w:type="dxa"/>
        <w:tblLook w:val="04A0" w:firstRow="1" w:lastRow="0" w:firstColumn="1" w:lastColumn="0" w:noHBand="0" w:noVBand="1"/>
      </w:tblPr>
      <w:tblGrid>
        <w:gridCol w:w="1678"/>
        <w:gridCol w:w="3249"/>
        <w:gridCol w:w="750"/>
        <w:gridCol w:w="1973"/>
        <w:gridCol w:w="2410"/>
      </w:tblGrid>
      <w:tr w:rsidR="00C304FB" w:rsidRPr="006F6219" w14:paraId="64F32EFB" w14:textId="77777777" w:rsidTr="00CA4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gridSpan w:val="2"/>
            <w:hideMark/>
          </w:tcPr>
          <w:p w14:paraId="4DCBBDB4"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Paramètres</w:t>
            </w:r>
          </w:p>
        </w:tc>
        <w:tc>
          <w:tcPr>
            <w:tcW w:w="750" w:type="dxa"/>
            <w:hideMark/>
          </w:tcPr>
          <w:p w14:paraId="1C398D51" w14:textId="77777777" w:rsidR="00C304FB" w:rsidRPr="006F6219" w:rsidRDefault="00C304FB" w:rsidP="006612D9">
            <w:pPr>
              <w:pStyle w:val="Sansinterligne"/>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w:t>
            </w:r>
          </w:p>
        </w:tc>
        <w:tc>
          <w:tcPr>
            <w:tcW w:w="1973" w:type="dxa"/>
            <w:hideMark/>
          </w:tcPr>
          <w:p w14:paraId="66EF179E" w14:textId="08A8CDBB" w:rsidR="00C304FB" w:rsidRPr="006F6219" w:rsidRDefault="003F53BA" w:rsidP="006612D9">
            <w:pPr>
              <w:pStyle w:val="Sansinterligne"/>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Moyen ±</w:t>
            </w:r>
            <w:r w:rsidR="00C304FB" w:rsidRPr="006F6219">
              <w:rPr>
                <w:rFonts w:ascii="Times New Roman" w:hAnsi="Times New Roman" w:cs="Times New Roman"/>
                <w:lang w:eastAsia="fr-FR"/>
              </w:rPr>
              <w:t>DS</w:t>
            </w:r>
          </w:p>
        </w:tc>
        <w:tc>
          <w:tcPr>
            <w:tcW w:w="2410" w:type="dxa"/>
            <w:hideMark/>
          </w:tcPr>
          <w:p w14:paraId="7D69F544" w14:textId="483CFAFF" w:rsidR="00C304FB" w:rsidRPr="006F6219" w:rsidRDefault="00C304FB" w:rsidP="006612D9">
            <w:pPr>
              <w:pStyle w:val="Sansinterligne"/>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p>
        </w:tc>
      </w:tr>
      <w:tr w:rsidR="00C304FB" w:rsidRPr="006F6219" w14:paraId="37435770"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gridSpan w:val="2"/>
            <w:hideMark/>
          </w:tcPr>
          <w:p w14:paraId="605E47FF"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val="fr-BE" w:eastAsia="fr-FR"/>
              </w:rPr>
              <w:t>Age à l’admission/ictère (heure de vie) n=131</w:t>
            </w:r>
          </w:p>
        </w:tc>
        <w:tc>
          <w:tcPr>
            <w:tcW w:w="750" w:type="dxa"/>
            <w:hideMark/>
          </w:tcPr>
          <w:p w14:paraId="1BFCE24C"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c>
          <w:tcPr>
            <w:tcW w:w="1973" w:type="dxa"/>
            <w:hideMark/>
          </w:tcPr>
          <w:p w14:paraId="4F823D39" w14:textId="1800AFAB" w:rsidR="00C304FB" w:rsidRPr="006F6219" w:rsidRDefault="003F53BA"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100.15 ±</w:t>
            </w:r>
            <w:r w:rsidR="00C304FB" w:rsidRPr="006F6219">
              <w:rPr>
                <w:rFonts w:ascii="Times New Roman" w:hAnsi="Times New Roman" w:cs="Times New Roman"/>
                <w:lang w:eastAsia="fr-FR"/>
              </w:rPr>
              <w:t>99.99</w:t>
            </w:r>
          </w:p>
        </w:tc>
        <w:tc>
          <w:tcPr>
            <w:tcW w:w="2410" w:type="dxa"/>
            <w:hideMark/>
          </w:tcPr>
          <w:p w14:paraId="527395B6" w14:textId="609B7DFB" w:rsidR="00C304FB" w:rsidRPr="006F6219" w:rsidRDefault="008814A5"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r>
      <w:tr w:rsidR="00C304FB" w:rsidRPr="006F6219" w14:paraId="6DC59E82" w14:textId="77777777" w:rsidTr="00CA42D1">
        <w:tc>
          <w:tcPr>
            <w:cnfStyle w:val="001000000000" w:firstRow="0" w:lastRow="0" w:firstColumn="1" w:lastColumn="0" w:oddVBand="0" w:evenVBand="0" w:oddHBand="0" w:evenHBand="0" w:firstRowFirstColumn="0" w:firstRowLastColumn="0" w:lastRowFirstColumn="0" w:lastRowLastColumn="0"/>
            <w:tcW w:w="1678" w:type="dxa"/>
            <w:hideMark/>
          </w:tcPr>
          <w:p w14:paraId="2D7E21E1"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 </w:t>
            </w:r>
          </w:p>
        </w:tc>
        <w:tc>
          <w:tcPr>
            <w:tcW w:w="3249" w:type="dxa"/>
            <w:hideMark/>
          </w:tcPr>
          <w:p w14:paraId="5AE6856F"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&lt;24</w:t>
            </w:r>
          </w:p>
        </w:tc>
        <w:tc>
          <w:tcPr>
            <w:tcW w:w="750" w:type="dxa"/>
            <w:hideMark/>
          </w:tcPr>
          <w:p w14:paraId="5899E537"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22.1</w:t>
            </w:r>
          </w:p>
        </w:tc>
        <w:tc>
          <w:tcPr>
            <w:tcW w:w="1973" w:type="dxa"/>
            <w:hideMark/>
          </w:tcPr>
          <w:p w14:paraId="22FB4C6B"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c>
          <w:tcPr>
            <w:tcW w:w="2410" w:type="dxa"/>
            <w:hideMark/>
          </w:tcPr>
          <w:p w14:paraId="1DAF6BC1"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r>
      <w:tr w:rsidR="00C304FB" w:rsidRPr="006F6219" w14:paraId="43F1D6CB"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hideMark/>
          </w:tcPr>
          <w:p w14:paraId="515EC16F"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 </w:t>
            </w:r>
          </w:p>
        </w:tc>
        <w:tc>
          <w:tcPr>
            <w:tcW w:w="3249" w:type="dxa"/>
            <w:hideMark/>
          </w:tcPr>
          <w:p w14:paraId="3B2FA1DB"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24-48</w:t>
            </w:r>
          </w:p>
        </w:tc>
        <w:tc>
          <w:tcPr>
            <w:tcW w:w="750" w:type="dxa"/>
            <w:hideMark/>
          </w:tcPr>
          <w:p w14:paraId="2D6122EE"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11.5</w:t>
            </w:r>
          </w:p>
        </w:tc>
        <w:tc>
          <w:tcPr>
            <w:tcW w:w="1973" w:type="dxa"/>
            <w:hideMark/>
          </w:tcPr>
          <w:p w14:paraId="0285CC2C"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c>
          <w:tcPr>
            <w:tcW w:w="2410" w:type="dxa"/>
            <w:hideMark/>
          </w:tcPr>
          <w:p w14:paraId="61F660F1"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r>
      <w:tr w:rsidR="00C304FB" w:rsidRPr="006F6219" w14:paraId="4CABD5D0" w14:textId="77777777" w:rsidTr="00CA42D1">
        <w:tc>
          <w:tcPr>
            <w:cnfStyle w:val="001000000000" w:firstRow="0" w:lastRow="0" w:firstColumn="1" w:lastColumn="0" w:oddVBand="0" w:evenVBand="0" w:oddHBand="0" w:evenHBand="0" w:firstRowFirstColumn="0" w:firstRowLastColumn="0" w:lastRowFirstColumn="0" w:lastRowLastColumn="0"/>
            <w:tcW w:w="1678" w:type="dxa"/>
          </w:tcPr>
          <w:p w14:paraId="2FCA010A" w14:textId="77777777" w:rsidR="00C304FB" w:rsidRPr="006F6219" w:rsidRDefault="00C304FB" w:rsidP="006612D9">
            <w:pPr>
              <w:pStyle w:val="Sansinterligne"/>
              <w:spacing w:line="360" w:lineRule="auto"/>
              <w:jc w:val="both"/>
              <w:rPr>
                <w:rFonts w:ascii="Times New Roman" w:hAnsi="Times New Roman" w:cs="Times New Roman"/>
                <w:lang w:eastAsia="fr-FR"/>
              </w:rPr>
            </w:pPr>
          </w:p>
        </w:tc>
        <w:tc>
          <w:tcPr>
            <w:tcW w:w="3249" w:type="dxa"/>
          </w:tcPr>
          <w:p w14:paraId="7396A78F"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48-72</w:t>
            </w:r>
          </w:p>
        </w:tc>
        <w:tc>
          <w:tcPr>
            <w:tcW w:w="750" w:type="dxa"/>
          </w:tcPr>
          <w:p w14:paraId="75A70B5D"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19.8</w:t>
            </w:r>
          </w:p>
        </w:tc>
        <w:tc>
          <w:tcPr>
            <w:tcW w:w="1973" w:type="dxa"/>
          </w:tcPr>
          <w:p w14:paraId="246BD6B6"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410" w:type="dxa"/>
          </w:tcPr>
          <w:p w14:paraId="5818DB8F"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C304FB" w:rsidRPr="006F6219" w14:paraId="044CA9BB"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73676BC" w14:textId="77777777" w:rsidR="00C304FB" w:rsidRPr="006F6219" w:rsidRDefault="00C304FB" w:rsidP="006612D9">
            <w:pPr>
              <w:pStyle w:val="Sansinterligne"/>
              <w:spacing w:line="360" w:lineRule="auto"/>
              <w:jc w:val="both"/>
              <w:rPr>
                <w:rFonts w:ascii="Times New Roman" w:hAnsi="Times New Roman" w:cs="Times New Roman"/>
                <w:lang w:eastAsia="fr-FR"/>
              </w:rPr>
            </w:pPr>
          </w:p>
        </w:tc>
        <w:tc>
          <w:tcPr>
            <w:tcW w:w="3249" w:type="dxa"/>
          </w:tcPr>
          <w:p w14:paraId="7F75F2E5"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&gt;72</w:t>
            </w:r>
          </w:p>
        </w:tc>
        <w:tc>
          <w:tcPr>
            <w:tcW w:w="750" w:type="dxa"/>
          </w:tcPr>
          <w:p w14:paraId="6AF42AE8"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46.6</w:t>
            </w:r>
          </w:p>
        </w:tc>
        <w:tc>
          <w:tcPr>
            <w:tcW w:w="1973" w:type="dxa"/>
          </w:tcPr>
          <w:p w14:paraId="341EFFE4"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410" w:type="dxa"/>
          </w:tcPr>
          <w:p w14:paraId="244BA02D"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C304FB" w:rsidRPr="006F6219" w14:paraId="7B2D48A5" w14:textId="77777777" w:rsidTr="00CA42D1">
        <w:tc>
          <w:tcPr>
            <w:cnfStyle w:val="001000000000" w:firstRow="0" w:lastRow="0" w:firstColumn="1" w:lastColumn="0" w:oddVBand="0" w:evenVBand="0" w:oddHBand="0" w:evenHBand="0" w:firstRowFirstColumn="0" w:firstRowLastColumn="0" w:lastRowFirstColumn="0" w:lastRowLastColumn="0"/>
            <w:tcW w:w="4927" w:type="dxa"/>
            <w:gridSpan w:val="2"/>
          </w:tcPr>
          <w:p w14:paraId="0C181413"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Sexe (n=136)</w:t>
            </w:r>
          </w:p>
        </w:tc>
        <w:tc>
          <w:tcPr>
            <w:tcW w:w="750" w:type="dxa"/>
          </w:tcPr>
          <w:p w14:paraId="12C6C5AB"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1973" w:type="dxa"/>
          </w:tcPr>
          <w:p w14:paraId="6E99DD67"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410" w:type="dxa"/>
          </w:tcPr>
          <w:p w14:paraId="1FCF9FAC"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C304FB" w:rsidRPr="006F6219" w14:paraId="13077709"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1348E6DE" w14:textId="77777777" w:rsidR="00C304FB" w:rsidRPr="006F6219" w:rsidRDefault="00C304FB" w:rsidP="006612D9">
            <w:pPr>
              <w:pStyle w:val="Sansinterligne"/>
              <w:spacing w:line="360" w:lineRule="auto"/>
              <w:jc w:val="both"/>
              <w:rPr>
                <w:rFonts w:ascii="Times New Roman" w:hAnsi="Times New Roman" w:cs="Times New Roman"/>
                <w:lang w:eastAsia="fr-FR"/>
              </w:rPr>
            </w:pPr>
          </w:p>
        </w:tc>
        <w:tc>
          <w:tcPr>
            <w:tcW w:w="3249" w:type="dxa"/>
          </w:tcPr>
          <w:p w14:paraId="6ECD8F1D"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Masculin</w:t>
            </w:r>
          </w:p>
        </w:tc>
        <w:tc>
          <w:tcPr>
            <w:tcW w:w="750" w:type="dxa"/>
          </w:tcPr>
          <w:p w14:paraId="5EF83BC7"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53.7</w:t>
            </w:r>
          </w:p>
        </w:tc>
        <w:tc>
          <w:tcPr>
            <w:tcW w:w="1973" w:type="dxa"/>
          </w:tcPr>
          <w:p w14:paraId="741A1F07"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410" w:type="dxa"/>
          </w:tcPr>
          <w:p w14:paraId="2925324D"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C304FB" w:rsidRPr="006F6219" w14:paraId="6F34B2C0" w14:textId="77777777" w:rsidTr="00CA42D1">
        <w:tc>
          <w:tcPr>
            <w:cnfStyle w:val="001000000000" w:firstRow="0" w:lastRow="0" w:firstColumn="1" w:lastColumn="0" w:oddVBand="0" w:evenVBand="0" w:oddHBand="0" w:evenHBand="0" w:firstRowFirstColumn="0" w:firstRowLastColumn="0" w:lastRowFirstColumn="0" w:lastRowLastColumn="0"/>
            <w:tcW w:w="1678" w:type="dxa"/>
          </w:tcPr>
          <w:p w14:paraId="206E5D8D" w14:textId="77777777" w:rsidR="00C304FB" w:rsidRPr="006F6219" w:rsidRDefault="00C304FB" w:rsidP="006612D9">
            <w:pPr>
              <w:pStyle w:val="Sansinterligne"/>
              <w:spacing w:line="360" w:lineRule="auto"/>
              <w:jc w:val="both"/>
              <w:rPr>
                <w:rFonts w:ascii="Times New Roman" w:hAnsi="Times New Roman" w:cs="Times New Roman"/>
                <w:lang w:eastAsia="fr-FR"/>
              </w:rPr>
            </w:pPr>
          </w:p>
        </w:tc>
        <w:tc>
          <w:tcPr>
            <w:tcW w:w="3249" w:type="dxa"/>
          </w:tcPr>
          <w:p w14:paraId="4507B66D"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Féminin</w:t>
            </w:r>
          </w:p>
        </w:tc>
        <w:tc>
          <w:tcPr>
            <w:tcW w:w="750" w:type="dxa"/>
          </w:tcPr>
          <w:p w14:paraId="53EE4305"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46.3</w:t>
            </w:r>
          </w:p>
        </w:tc>
        <w:tc>
          <w:tcPr>
            <w:tcW w:w="1973" w:type="dxa"/>
          </w:tcPr>
          <w:p w14:paraId="768E0555"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410" w:type="dxa"/>
          </w:tcPr>
          <w:p w14:paraId="416F8B02"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C304FB" w:rsidRPr="006F6219" w14:paraId="2124582F"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gridSpan w:val="2"/>
          </w:tcPr>
          <w:p w14:paraId="53BA6696"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Lieu de naissance (n=128)</w:t>
            </w:r>
          </w:p>
        </w:tc>
        <w:tc>
          <w:tcPr>
            <w:tcW w:w="750" w:type="dxa"/>
          </w:tcPr>
          <w:p w14:paraId="30FE65A1"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1973" w:type="dxa"/>
          </w:tcPr>
          <w:p w14:paraId="2A8DA2DD"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410" w:type="dxa"/>
          </w:tcPr>
          <w:p w14:paraId="16ADB5CE"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C304FB" w:rsidRPr="006F6219" w14:paraId="34E4F519" w14:textId="77777777" w:rsidTr="00CA42D1">
        <w:tc>
          <w:tcPr>
            <w:cnfStyle w:val="001000000000" w:firstRow="0" w:lastRow="0" w:firstColumn="1" w:lastColumn="0" w:oddVBand="0" w:evenVBand="0" w:oddHBand="0" w:evenHBand="0" w:firstRowFirstColumn="0" w:firstRowLastColumn="0" w:lastRowFirstColumn="0" w:lastRowLastColumn="0"/>
            <w:tcW w:w="1678" w:type="dxa"/>
          </w:tcPr>
          <w:p w14:paraId="0A57CD55" w14:textId="77777777" w:rsidR="00C304FB" w:rsidRPr="006F6219" w:rsidRDefault="00C304FB" w:rsidP="006612D9">
            <w:pPr>
              <w:pStyle w:val="Sansinterligne"/>
              <w:spacing w:line="360" w:lineRule="auto"/>
              <w:jc w:val="both"/>
              <w:rPr>
                <w:rFonts w:ascii="Times New Roman" w:hAnsi="Times New Roman" w:cs="Times New Roman"/>
                <w:lang w:eastAsia="fr-FR"/>
              </w:rPr>
            </w:pPr>
          </w:p>
        </w:tc>
        <w:tc>
          <w:tcPr>
            <w:tcW w:w="3249" w:type="dxa"/>
          </w:tcPr>
          <w:p w14:paraId="656CE994"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HPGRB</w:t>
            </w:r>
          </w:p>
        </w:tc>
        <w:tc>
          <w:tcPr>
            <w:tcW w:w="750" w:type="dxa"/>
          </w:tcPr>
          <w:p w14:paraId="1E49B958"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74.2</w:t>
            </w:r>
          </w:p>
        </w:tc>
        <w:tc>
          <w:tcPr>
            <w:tcW w:w="1973" w:type="dxa"/>
          </w:tcPr>
          <w:p w14:paraId="0D583200"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410" w:type="dxa"/>
          </w:tcPr>
          <w:p w14:paraId="0B82D2FD"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C304FB" w:rsidRPr="006F6219" w14:paraId="68726D2D"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E9B9AF8" w14:textId="77777777" w:rsidR="00C304FB" w:rsidRPr="006F6219" w:rsidRDefault="00C304FB" w:rsidP="006612D9">
            <w:pPr>
              <w:pStyle w:val="Sansinterligne"/>
              <w:spacing w:line="360" w:lineRule="auto"/>
              <w:jc w:val="both"/>
              <w:rPr>
                <w:rFonts w:ascii="Times New Roman" w:hAnsi="Times New Roman" w:cs="Times New Roman"/>
                <w:lang w:eastAsia="fr-FR"/>
              </w:rPr>
            </w:pPr>
          </w:p>
        </w:tc>
        <w:tc>
          <w:tcPr>
            <w:tcW w:w="3249" w:type="dxa"/>
          </w:tcPr>
          <w:p w14:paraId="42950299"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Hors HPGRB</w:t>
            </w:r>
          </w:p>
        </w:tc>
        <w:tc>
          <w:tcPr>
            <w:tcW w:w="750" w:type="dxa"/>
          </w:tcPr>
          <w:p w14:paraId="69916DA3"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25.8</w:t>
            </w:r>
          </w:p>
        </w:tc>
        <w:tc>
          <w:tcPr>
            <w:tcW w:w="1973" w:type="dxa"/>
          </w:tcPr>
          <w:p w14:paraId="0B28000D"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410" w:type="dxa"/>
          </w:tcPr>
          <w:p w14:paraId="1896B38A"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C304FB" w:rsidRPr="006F6219" w14:paraId="0A7F4EB9" w14:textId="77777777" w:rsidTr="00CA42D1">
        <w:tc>
          <w:tcPr>
            <w:cnfStyle w:val="001000000000" w:firstRow="0" w:lastRow="0" w:firstColumn="1" w:lastColumn="0" w:oddVBand="0" w:evenVBand="0" w:oddHBand="0" w:evenHBand="0" w:firstRowFirstColumn="0" w:firstRowLastColumn="0" w:lastRowFirstColumn="0" w:lastRowLastColumn="0"/>
            <w:tcW w:w="4927" w:type="dxa"/>
            <w:gridSpan w:val="2"/>
          </w:tcPr>
          <w:p w14:paraId="08D35275"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Prématurité n=116</w:t>
            </w:r>
          </w:p>
        </w:tc>
        <w:tc>
          <w:tcPr>
            <w:tcW w:w="750" w:type="dxa"/>
          </w:tcPr>
          <w:p w14:paraId="2E0F16B1"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41.4</w:t>
            </w:r>
          </w:p>
        </w:tc>
        <w:tc>
          <w:tcPr>
            <w:tcW w:w="1973" w:type="dxa"/>
          </w:tcPr>
          <w:p w14:paraId="13E64305"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410" w:type="dxa"/>
          </w:tcPr>
          <w:p w14:paraId="03A5CB92"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C304FB" w:rsidRPr="006F6219" w14:paraId="44B87C32"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gridSpan w:val="2"/>
          </w:tcPr>
          <w:p w14:paraId="50FBC8E7"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 xml:space="preserve">Malformation congénitale </w:t>
            </w:r>
            <w:r w:rsidRPr="00E0777E">
              <w:rPr>
                <w:rFonts w:ascii="Times New Roman" w:hAnsi="Times New Roman" w:cs="Times New Roman"/>
                <w:highlight w:val="yellow"/>
                <w:lang w:eastAsia="fr-FR"/>
              </w:rPr>
              <w:t>(n=</w:t>
            </w:r>
            <w:commentRangeStart w:id="60"/>
            <w:r w:rsidRPr="00E0777E">
              <w:rPr>
                <w:rFonts w:ascii="Times New Roman" w:hAnsi="Times New Roman" w:cs="Times New Roman"/>
                <w:highlight w:val="yellow"/>
                <w:lang w:eastAsia="fr-FR"/>
              </w:rPr>
              <w:t>79</w:t>
            </w:r>
            <w:commentRangeEnd w:id="60"/>
            <w:r w:rsidR="00E0777E">
              <w:rPr>
                <w:rStyle w:val="Marquedecommentaire"/>
                <w:b w:val="0"/>
                <w:bCs w:val="0"/>
              </w:rPr>
              <w:commentReference w:id="60"/>
            </w:r>
            <w:r w:rsidRPr="00E0777E">
              <w:rPr>
                <w:rFonts w:ascii="Times New Roman" w:hAnsi="Times New Roman" w:cs="Times New Roman"/>
                <w:highlight w:val="yellow"/>
                <w:lang w:eastAsia="fr-FR"/>
              </w:rPr>
              <w:t>)</w:t>
            </w:r>
          </w:p>
        </w:tc>
        <w:tc>
          <w:tcPr>
            <w:tcW w:w="750" w:type="dxa"/>
          </w:tcPr>
          <w:p w14:paraId="66571A83"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3.8</w:t>
            </w:r>
          </w:p>
        </w:tc>
        <w:tc>
          <w:tcPr>
            <w:tcW w:w="1973" w:type="dxa"/>
          </w:tcPr>
          <w:p w14:paraId="36A0F034"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410" w:type="dxa"/>
          </w:tcPr>
          <w:p w14:paraId="572BC1D9"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C304FB" w:rsidRPr="006F6219" w14:paraId="2CAC9796" w14:textId="77777777" w:rsidTr="00CA42D1">
        <w:tc>
          <w:tcPr>
            <w:cnfStyle w:val="001000000000" w:firstRow="0" w:lastRow="0" w:firstColumn="1" w:lastColumn="0" w:oddVBand="0" w:evenVBand="0" w:oddHBand="0" w:evenHBand="0" w:firstRowFirstColumn="0" w:firstRowLastColumn="0" w:lastRowFirstColumn="0" w:lastRowLastColumn="0"/>
            <w:tcW w:w="4927" w:type="dxa"/>
            <w:gridSpan w:val="2"/>
            <w:hideMark/>
          </w:tcPr>
          <w:p w14:paraId="74816640"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APGAR 5</w:t>
            </w:r>
            <w:r w:rsidRPr="006F6219">
              <w:rPr>
                <w:rFonts w:ascii="Times New Roman" w:hAnsi="Times New Roman" w:cs="Times New Roman"/>
                <w:vertAlign w:val="superscript"/>
                <w:lang w:eastAsia="fr-FR"/>
              </w:rPr>
              <w:t>ème</w:t>
            </w:r>
            <w:r w:rsidRPr="006F6219">
              <w:rPr>
                <w:rFonts w:ascii="Times New Roman" w:hAnsi="Times New Roman" w:cs="Times New Roman"/>
                <w:lang w:eastAsia="fr-FR"/>
              </w:rPr>
              <w:t> Minute (n=136)</w:t>
            </w:r>
          </w:p>
        </w:tc>
        <w:tc>
          <w:tcPr>
            <w:tcW w:w="750" w:type="dxa"/>
            <w:hideMark/>
          </w:tcPr>
          <w:p w14:paraId="233C8828"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c>
          <w:tcPr>
            <w:tcW w:w="1973" w:type="dxa"/>
            <w:hideMark/>
          </w:tcPr>
          <w:p w14:paraId="64403761"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c>
          <w:tcPr>
            <w:tcW w:w="2410" w:type="dxa"/>
            <w:hideMark/>
          </w:tcPr>
          <w:p w14:paraId="0E995DB5"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r>
      <w:tr w:rsidR="00C304FB" w:rsidRPr="006F6219" w14:paraId="2A8B00A3"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hideMark/>
          </w:tcPr>
          <w:p w14:paraId="74401D1F"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 </w:t>
            </w:r>
          </w:p>
        </w:tc>
        <w:tc>
          <w:tcPr>
            <w:tcW w:w="3249" w:type="dxa"/>
            <w:hideMark/>
          </w:tcPr>
          <w:p w14:paraId="5AAA20FA"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=&lt; 7</w:t>
            </w:r>
          </w:p>
        </w:tc>
        <w:tc>
          <w:tcPr>
            <w:tcW w:w="750" w:type="dxa"/>
            <w:hideMark/>
          </w:tcPr>
          <w:p w14:paraId="4BBFF441"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13.8</w:t>
            </w:r>
          </w:p>
        </w:tc>
        <w:tc>
          <w:tcPr>
            <w:tcW w:w="1973" w:type="dxa"/>
            <w:hideMark/>
          </w:tcPr>
          <w:p w14:paraId="1E0A4EDC"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c>
          <w:tcPr>
            <w:tcW w:w="2410" w:type="dxa"/>
            <w:hideMark/>
          </w:tcPr>
          <w:p w14:paraId="0C802152"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r>
      <w:tr w:rsidR="00C304FB" w:rsidRPr="006F6219" w14:paraId="5566FE50" w14:textId="77777777" w:rsidTr="00CA42D1">
        <w:tc>
          <w:tcPr>
            <w:cnfStyle w:val="001000000000" w:firstRow="0" w:lastRow="0" w:firstColumn="1" w:lastColumn="0" w:oddVBand="0" w:evenVBand="0" w:oddHBand="0" w:evenHBand="0" w:firstRowFirstColumn="0" w:firstRowLastColumn="0" w:lastRowFirstColumn="0" w:lastRowLastColumn="0"/>
            <w:tcW w:w="1678" w:type="dxa"/>
            <w:hideMark/>
          </w:tcPr>
          <w:p w14:paraId="31A42962"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 </w:t>
            </w:r>
          </w:p>
        </w:tc>
        <w:tc>
          <w:tcPr>
            <w:tcW w:w="3249" w:type="dxa"/>
            <w:hideMark/>
          </w:tcPr>
          <w:p w14:paraId="01D468FA"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&gt;7</w:t>
            </w:r>
          </w:p>
        </w:tc>
        <w:tc>
          <w:tcPr>
            <w:tcW w:w="750" w:type="dxa"/>
            <w:hideMark/>
          </w:tcPr>
          <w:p w14:paraId="4CCBE02A"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86.2</w:t>
            </w:r>
          </w:p>
        </w:tc>
        <w:tc>
          <w:tcPr>
            <w:tcW w:w="1973" w:type="dxa"/>
            <w:hideMark/>
          </w:tcPr>
          <w:p w14:paraId="44637E95"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c>
          <w:tcPr>
            <w:tcW w:w="2410" w:type="dxa"/>
            <w:hideMark/>
          </w:tcPr>
          <w:p w14:paraId="37FBE402"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r>
      <w:tr w:rsidR="00C304FB" w:rsidRPr="006F6219" w14:paraId="3F81E49B"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gridSpan w:val="2"/>
            <w:hideMark/>
          </w:tcPr>
          <w:p w14:paraId="6B3717E1"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Réanimation à la naissance (n=118)</w:t>
            </w:r>
          </w:p>
        </w:tc>
        <w:tc>
          <w:tcPr>
            <w:tcW w:w="750" w:type="dxa"/>
            <w:hideMark/>
          </w:tcPr>
          <w:p w14:paraId="3B9C0441"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c>
          <w:tcPr>
            <w:tcW w:w="1973" w:type="dxa"/>
            <w:hideMark/>
          </w:tcPr>
          <w:p w14:paraId="6B5C12A5"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c>
          <w:tcPr>
            <w:tcW w:w="2410" w:type="dxa"/>
            <w:hideMark/>
          </w:tcPr>
          <w:p w14:paraId="46442666"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r>
      <w:tr w:rsidR="00C304FB" w:rsidRPr="006F6219" w14:paraId="4037D57B" w14:textId="77777777" w:rsidTr="00CA42D1">
        <w:tc>
          <w:tcPr>
            <w:cnfStyle w:val="001000000000" w:firstRow="0" w:lastRow="0" w:firstColumn="1" w:lastColumn="0" w:oddVBand="0" w:evenVBand="0" w:oddHBand="0" w:evenHBand="0" w:firstRowFirstColumn="0" w:firstRowLastColumn="0" w:lastRowFirstColumn="0" w:lastRowLastColumn="0"/>
            <w:tcW w:w="1678" w:type="dxa"/>
            <w:hideMark/>
          </w:tcPr>
          <w:p w14:paraId="752BE812"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 </w:t>
            </w:r>
          </w:p>
        </w:tc>
        <w:tc>
          <w:tcPr>
            <w:tcW w:w="3249" w:type="dxa"/>
            <w:hideMark/>
          </w:tcPr>
          <w:p w14:paraId="3072EB9B"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Oui</w:t>
            </w:r>
          </w:p>
        </w:tc>
        <w:tc>
          <w:tcPr>
            <w:tcW w:w="750" w:type="dxa"/>
            <w:hideMark/>
          </w:tcPr>
          <w:p w14:paraId="43C576E5"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10.2</w:t>
            </w:r>
          </w:p>
        </w:tc>
        <w:tc>
          <w:tcPr>
            <w:tcW w:w="1973" w:type="dxa"/>
            <w:hideMark/>
          </w:tcPr>
          <w:p w14:paraId="096F0404"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c>
          <w:tcPr>
            <w:tcW w:w="2410" w:type="dxa"/>
            <w:hideMark/>
          </w:tcPr>
          <w:p w14:paraId="02F9B23F"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r>
      <w:tr w:rsidR="00C304FB" w:rsidRPr="006F6219" w14:paraId="3AD85449"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hideMark/>
          </w:tcPr>
          <w:p w14:paraId="3905AB2D"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 </w:t>
            </w:r>
          </w:p>
        </w:tc>
        <w:tc>
          <w:tcPr>
            <w:tcW w:w="3249" w:type="dxa"/>
            <w:hideMark/>
          </w:tcPr>
          <w:p w14:paraId="29849F83"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Non</w:t>
            </w:r>
          </w:p>
        </w:tc>
        <w:tc>
          <w:tcPr>
            <w:tcW w:w="750" w:type="dxa"/>
            <w:hideMark/>
          </w:tcPr>
          <w:p w14:paraId="5FE826FA"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89.8</w:t>
            </w:r>
          </w:p>
        </w:tc>
        <w:tc>
          <w:tcPr>
            <w:tcW w:w="1973" w:type="dxa"/>
            <w:hideMark/>
          </w:tcPr>
          <w:p w14:paraId="682C1C1C"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c>
          <w:tcPr>
            <w:tcW w:w="2410" w:type="dxa"/>
            <w:hideMark/>
          </w:tcPr>
          <w:p w14:paraId="7F3F4F76"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r>
      <w:tr w:rsidR="00C304FB" w:rsidRPr="006F6219" w14:paraId="7710B840" w14:textId="77777777" w:rsidTr="00CA42D1">
        <w:tc>
          <w:tcPr>
            <w:cnfStyle w:val="001000000000" w:firstRow="0" w:lastRow="0" w:firstColumn="1" w:lastColumn="0" w:oddVBand="0" w:evenVBand="0" w:oddHBand="0" w:evenHBand="0" w:firstRowFirstColumn="0" w:firstRowLastColumn="0" w:lastRowFirstColumn="0" w:lastRowLastColumn="0"/>
            <w:tcW w:w="4927" w:type="dxa"/>
            <w:gridSpan w:val="2"/>
            <w:hideMark/>
          </w:tcPr>
          <w:p w14:paraId="18263616"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Poids à la naissance (n=122)</w:t>
            </w:r>
          </w:p>
        </w:tc>
        <w:tc>
          <w:tcPr>
            <w:tcW w:w="750" w:type="dxa"/>
            <w:hideMark/>
          </w:tcPr>
          <w:p w14:paraId="0CF59B00"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c>
          <w:tcPr>
            <w:tcW w:w="1973" w:type="dxa"/>
            <w:hideMark/>
          </w:tcPr>
          <w:p w14:paraId="4547FA89" w14:textId="602F0E6E" w:rsidR="00C304FB" w:rsidRPr="006F6219" w:rsidRDefault="00273B52"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2597.0 ±</w:t>
            </w:r>
            <w:r w:rsidR="00C304FB" w:rsidRPr="006F6219">
              <w:rPr>
                <w:rFonts w:ascii="Times New Roman" w:hAnsi="Times New Roman" w:cs="Times New Roman"/>
                <w:lang w:eastAsia="fr-FR"/>
              </w:rPr>
              <w:t>839.8</w:t>
            </w:r>
          </w:p>
        </w:tc>
        <w:tc>
          <w:tcPr>
            <w:tcW w:w="2410" w:type="dxa"/>
            <w:hideMark/>
          </w:tcPr>
          <w:p w14:paraId="756321B3"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2672.5 (810-4150)</w:t>
            </w:r>
          </w:p>
        </w:tc>
      </w:tr>
      <w:tr w:rsidR="00C304FB" w:rsidRPr="006F6219" w14:paraId="1D6816CE"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hideMark/>
          </w:tcPr>
          <w:p w14:paraId="57796290"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 </w:t>
            </w:r>
          </w:p>
        </w:tc>
        <w:tc>
          <w:tcPr>
            <w:tcW w:w="3249" w:type="dxa"/>
            <w:hideMark/>
          </w:tcPr>
          <w:p w14:paraId="66C71D21"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&lt;2500</w:t>
            </w:r>
          </w:p>
        </w:tc>
        <w:tc>
          <w:tcPr>
            <w:tcW w:w="750" w:type="dxa"/>
            <w:hideMark/>
          </w:tcPr>
          <w:p w14:paraId="7FB56DA0"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45.9</w:t>
            </w:r>
          </w:p>
        </w:tc>
        <w:tc>
          <w:tcPr>
            <w:tcW w:w="1973" w:type="dxa"/>
            <w:hideMark/>
          </w:tcPr>
          <w:p w14:paraId="6E3B8FE1"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c>
          <w:tcPr>
            <w:tcW w:w="2410" w:type="dxa"/>
            <w:hideMark/>
          </w:tcPr>
          <w:p w14:paraId="7E0B9535"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r>
      <w:tr w:rsidR="00C304FB" w:rsidRPr="006F6219" w14:paraId="17DEB18A" w14:textId="77777777" w:rsidTr="00CA42D1">
        <w:tc>
          <w:tcPr>
            <w:cnfStyle w:val="001000000000" w:firstRow="0" w:lastRow="0" w:firstColumn="1" w:lastColumn="0" w:oddVBand="0" w:evenVBand="0" w:oddHBand="0" w:evenHBand="0" w:firstRowFirstColumn="0" w:firstRowLastColumn="0" w:lastRowFirstColumn="0" w:lastRowLastColumn="0"/>
            <w:tcW w:w="1678" w:type="dxa"/>
            <w:hideMark/>
          </w:tcPr>
          <w:p w14:paraId="3D3F9CC0"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 </w:t>
            </w:r>
          </w:p>
        </w:tc>
        <w:tc>
          <w:tcPr>
            <w:tcW w:w="3249" w:type="dxa"/>
            <w:hideMark/>
          </w:tcPr>
          <w:p w14:paraId="4C6D4944"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2500-3500</w:t>
            </w:r>
          </w:p>
        </w:tc>
        <w:tc>
          <w:tcPr>
            <w:tcW w:w="750" w:type="dxa"/>
            <w:hideMark/>
          </w:tcPr>
          <w:p w14:paraId="17A0958A"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36.9</w:t>
            </w:r>
          </w:p>
        </w:tc>
        <w:tc>
          <w:tcPr>
            <w:tcW w:w="1973" w:type="dxa"/>
            <w:hideMark/>
          </w:tcPr>
          <w:p w14:paraId="06958ED3"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c>
          <w:tcPr>
            <w:tcW w:w="2410" w:type="dxa"/>
            <w:hideMark/>
          </w:tcPr>
          <w:p w14:paraId="3294F744"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r>
      <w:tr w:rsidR="00C304FB" w:rsidRPr="006F6219" w14:paraId="07A7D995"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hideMark/>
          </w:tcPr>
          <w:p w14:paraId="554DB9B2"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 </w:t>
            </w:r>
          </w:p>
        </w:tc>
        <w:tc>
          <w:tcPr>
            <w:tcW w:w="3249" w:type="dxa"/>
            <w:hideMark/>
          </w:tcPr>
          <w:p w14:paraId="21D9D535"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&gt;3500</w:t>
            </w:r>
          </w:p>
        </w:tc>
        <w:tc>
          <w:tcPr>
            <w:tcW w:w="750" w:type="dxa"/>
            <w:hideMark/>
          </w:tcPr>
          <w:p w14:paraId="3CD5092D"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17.2</w:t>
            </w:r>
          </w:p>
        </w:tc>
        <w:tc>
          <w:tcPr>
            <w:tcW w:w="1973" w:type="dxa"/>
            <w:hideMark/>
          </w:tcPr>
          <w:p w14:paraId="53CDE2A8"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c>
          <w:tcPr>
            <w:tcW w:w="2410" w:type="dxa"/>
            <w:hideMark/>
          </w:tcPr>
          <w:p w14:paraId="1C7D22AC"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 </w:t>
            </w:r>
          </w:p>
        </w:tc>
      </w:tr>
      <w:tr w:rsidR="00C304FB" w:rsidRPr="006F6219" w14:paraId="708D7D31" w14:textId="77777777" w:rsidTr="00CA42D1">
        <w:tc>
          <w:tcPr>
            <w:cnfStyle w:val="001000000000" w:firstRow="0" w:lastRow="0" w:firstColumn="1" w:lastColumn="0" w:oddVBand="0" w:evenVBand="0" w:oddHBand="0" w:evenHBand="0" w:firstRowFirstColumn="0" w:firstRowLastColumn="0" w:lastRowFirstColumn="0" w:lastRowLastColumn="0"/>
            <w:tcW w:w="4927" w:type="dxa"/>
            <w:gridSpan w:val="2"/>
          </w:tcPr>
          <w:p w14:paraId="4D52EC57"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Groupe Sanguin ABO (n=127)</w:t>
            </w:r>
          </w:p>
        </w:tc>
        <w:tc>
          <w:tcPr>
            <w:tcW w:w="750" w:type="dxa"/>
          </w:tcPr>
          <w:p w14:paraId="01419CD3"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1973" w:type="dxa"/>
          </w:tcPr>
          <w:p w14:paraId="4D2A0E9D"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410" w:type="dxa"/>
          </w:tcPr>
          <w:p w14:paraId="617F6D35"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C304FB" w:rsidRPr="006F6219" w14:paraId="4581E9E7"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F08B310" w14:textId="77777777" w:rsidR="00C304FB" w:rsidRPr="006F6219" w:rsidRDefault="00C304FB" w:rsidP="006612D9">
            <w:pPr>
              <w:pStyle w:val="Sansinterligne"/>
              <w:spacing w:line="360" w:lineRule="auto"/>
              <w:jc w:val="both"/>
              <w:rPr>
                <w:rFonts w:ascii="Times New Roman" w:hAnsi="Times New Roman" w:cs="Times New Roman"/>
                <w:lang w:eastAsia="fr-FR"/>
              </w:rPr>
            </w:pPr>
          </w:p>
        </w:tc>
        <w:tc>
          <w:tcPr>
            <w:tcW w:w="3249" w:type="dxa"/>
          </w:tcPr>
          <w:p w14:paraId="0BCA6D2B"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A</w:t>
            </w:r>
          </w:p>
        </w:tc>
        <w:tc>
          <w:tcPr>
            <w:tcW w:w="750" w:type="dxa"/>
          </w:tcPr>
          <w:p w14:paraId="6FCAC3F0"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19.7</w:t>
            </w:r>
          </w:p>
        </w:tc>
        <w:tc>
          <w:tcPr>
            <w:tcW w:w="1973" w:type="dxa"/>
          </w:tcPr>
          <w:p w14:paraId="50CBCCAA"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410" w:type="dxa"/>
          </w:tcPr>
          <w:p w14:paraId="357786FA"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C304FB" w:rsidRPr="006F6219" w14:paraId="60C75A56" w14:textId="77777777" w:rsidTr="00CA42D1">
        <w:tc>
          <w:tcPr>
            <w:cnfStyle w:val="001000000000" w:firstRow="0" w:lastRow="0" w:firstColumn="1" w:lastColumn="0" w:oddVBand="0" w:evenVBand="0" w:oddHBand="0" w:evenHBand="0" w:firstRowFirstColumn="0" w:firstRowLastColumn="0" w:lastRowFirstColumn="0" w:lastRowLastColumn="0"/>
            <w:tcW w:w="1678" w:type="dxa"/>
          </w:tcPr>
          <w:p w14:paraId="23F72EE4" w14:textId="77777777" w:rsidR="00C304FB" w:rsidRPr="006F6219" w:rsidRDefault="00C304FB" w:rsidP="006612D9">
            <w:pPr>
              <w:pStyle w:val="Sansinterligne"/>
              <w:spacing w:line="360" w:lineRule="auto"/>
              <w:jc w:val="both"/>
              <w:rPr>
                <w:rFonts w:ascii="Times New Roman" w:hAnsi="Times New Roman" w:cs="Times New Roman"/>
                <w:lang w:eastAsia="fr-FR"/>
              </w:rPr>
            </w:pPr>
          </w:p>
        </w:tc>
        <w:tc>
          <w:tcPr>
            <w:tcW w:w="3249" w:type="dxa"/>
          </w:tcPr>
          <w:p w14:paraId="5CCEB0DA"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B</w:t>
            </w:r>
          </w:p>
        </w:tc>
        <w:tc>
          <w:tcPr>
            <w:tcW w:w="750" w:type="dxa"/>
          </w:tcPr>
          <w:p w14:paraId="006374BD"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37.8</w:t>
            </w:r>
          </w:p>
        </w:tc>
        <w:tc>
          <w:tcPr>
            <w:tcW w:w="1973" w:type="dxa"/>
          </w:tcPr>
          <w:p w14:paraId="02822C76"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410" w:type="dxa"/>
          </w:tcPr>
          <w:p w14:paraId="56F06E61"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C304FB" w:rsidRPr="006F6219" w14:paraId="5E449070"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5AE190B9" w14:textId="77777777" w:rsidR="00C304FB" w:rsidRPr="006F6219" w:rsidRDefault="00C304FB" w:rsidP="006612D9">
            <w:pPr>
              <w:pStyle w:val="Sansinterligne"/>
              <w:spacing w:line="360" w:lineRule="auto"/>
              <w:jc w:val="both"/>
              <w:rPr>
                <w:rFonts w:ascii="Times New Roman" w:hAnsi="Times New Roman" w:cs="Times New Roman"/>
                <w:lang w:eastAsia="fr-FR"/>
              </w:rPr>
            </w:pPr>
          </w:p>
        </w:tc>
        <w:tc>
          <w:tcPr>
            <w:tcW w:w="3249" w:type="dxa"/>
          </w:tcPr>
          <w:p w14:paraId="1A79F03C"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AB</w:t>
            </w:r>
          </w:p>
        </w:tc>
        <w:tc>
          <w:tcPr>
            <w:tcW w:w="750" w:type="dxa"/>
          </w:tcPr>
          <w:p w14:paraId="5301FE45"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3.9</w:t>
            </w:r>
          </w:p>
        </w:tc>
        <w:tc>
          <w:tcPr>
            <w:tcW w:w="1973" w:type="dxa"/>
          </w:tcPr>
          <w:p w14:paraId="0E847A0E"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410" w:type="dxa"/>
          </w:tcPr>
          <w:p w14:paraId="0B4B2E86"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C304FB" w:rsidRPr="006F6219" w14:paraId="4192FFD7" w14:textId="77777777" w:rsidTr="00CA42D1">
        <w:tc>
          <w:tcPr>
            <w:cnfStyle w:val="001000000000" w:firstRow="0" w:lastRow="0" w:firstColumn="1" w:lastColumn="0" w:oddVBand="0" w:evenVBand="0" w:oddHBand="0" w:evenHBand="0" w:firstRowFirstColumn="0" w:firstRowLastColumn="0" w:lastRowFirstColumn="0" w:lastRowLastColumn="0"/>
            <w:tcW w:w="1678" w:type="dxa"/>
          </w:tcPr>
          <w:p w14:paraId="0765F6A7" w14:textId="77777777" w:rsidR="00C304FB" w:rsidRPr="006F6219" w:rsidRDefault="00C304FB" w:rsidP="006612D9">
            <w:pPr>
              <w:pStyle w:val="Sansinterligne"/>
              <w:spacing w:line="360" w:lineRule="auto"/>
              <w:jc w:val="both"/>
              <w:rPr>
                <w:rFonts w:ascii="Times New Roman" w:hAnsi="Times New Roman" w:cs="Times New Roman"/>
                <w:lang w:eastAsia="fr-FR"/>
              </w:rPr>
            </w:pPr>
          </w:p>
        </w:tc>
        <w:tc>
          <w:tcPr>
            <w:tcW w:w="3249" w:type="dxa"/>
          </w:tcPr>
          <w:p w14:paraId="6DB40F99"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0</w:t>
            </w:r>
          </w:p>
        </w:tc>
        <w:tc>
          <w:tcPr>
            <w:tcW w:w="750" w:type="dxa"/>
          </w:tcPr>
          <w:p w14:paraId="2FC763DC"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38.6</w:t>
            </w:r>
          </w:p>
        </w:tc>
        <w:tc>
          <w:tcPr>
            <w:tcW w:w="1973" w:type="dxa"/>
          </w:tcPr>
          <w:p w14:paraId="0F4EAB64"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410" w:type="dxa"/>
          </w:tcPr>
          <w:p w14:paraId="5811E535"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C304FB" w:rsidRPr="006F6219" w14:paraId="17DFC85D"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gridSpan w:val="2"/>
          </w:tcPr>
          <w:p w14:paraId="3F6DAFED" w14:textId="77777777" w:rsidR="00C304FB" w:rsidRPr="006F6219" w:rsidRDefault="00C304FB" w:rsidP="006612D9">
            <w:pPr>
              <w:pStyle w:val="Sansinterligne"/>
              <w:spacing w:line="360" w:lineRule="auto"/>
              <w:jc w:val="both"/>
              <w:rPr>
                <w:rFonts w:ascii="Times New Roman" w:hAnsi="Times New Roman" w:cs="Times New Roman"/>
                <w:lang w:eastAsia="fr-FR"/>
              </w:rPr>
            </w:pPr>
            <w:r w:rsidRPr="006F6219">
              <w:rPr>
                <w:rFonts w:ascii="Times New Roman" w:hAnsi="Times New Roman" w:cs="Times New Roman"/>
                <w:lang w:eastAsia="fr-FR"/>
              </w:rPr>
              <w:t>Groupe sanguin Rhésus (n=126)</w:t>
            </w:r>
          </w:p>
        </w:tc>
        <w:tc>
          <w:tcPr>
            <w:tcW w:w="750" w:type="dxa"/>
          </w:tcPr>
          <w:p w14:paraId="6E02E240"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1973" w:type="dxa"/>
          </w:tcPr>
          <w:p w14:paraId="7FAE9234"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410" w:type="dxa"/>
          </w:tcPr>
          <w:p w14:paraId="672BD6E4"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C304FB" w:rsidRPr="006F6219" w14:paraId="432456E3" w14:textId="77777777" w:rsidTr="00CA42D1">
        <w:tc>
          <w:tcPr>
            <w:cnfStyle w:val="001000000000" w:firstRow="0" w:lastRow="0" w:firstColumn="1" w:lastColumn="0" w:oddVBand="0" w:evenVBand="0" w:oddHBand="0" w:evenHBand="0" w:firstRowFirstColumn="0" w:firstRowLastColumn="0" w:lastRowFirstColumn="0" w:lastRowLastColumn="0"/>
            <w:tcW w:w="1678" w:type="dxa"/>
          </w:tcPr>
          <w:p w14:paraId="7F1661F6" w14:textId="77777777" w:rsidR="00C304FB" w:rsidRPr="006F6219" w:rsidRDefault="00C304FB" w:rsidP="006612D9">
            <w:pPr>
              <w:pStyle w:val="Sansinterligne"/>
              <w:spacing w:line="360" w:lineRule="auto"/>
              <w:jc w:val="both"/>
              <w:rPr>
                <w:rFonts w:ascii="Times New Roman" w:hAnsi="Times New Roman" w:cs="Times New Roman"/>
                <w:lang w:eastAsia="fr-FR"/>
              </w:rPr>
            </w:pPr>
          </w:p>
        </w:tc>
        <w:tc>
          <w:tcPr>
            <w:tcW w:w="3249" w:type="dxa"/>
          </w:tcPr>
          <w:p w14:paraId="18B913D4"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Rh+</w:t>
            </w:r>
          </w:p>
        </w:tc>
        <w:tc>
          <w:tcPr>
            <w:tcW w:w="750" w:type="dxa"/>
          </w:tcPr>
          <w:p w14:paraId="0F3A706E"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96.8</w:t>
            </w:r>
          </w:p>
        </w:tc>
        <w:tc>
          <w:tcPr>
            <w:tcW w:w="1973" w:type="dxa"/>
          </w:tcPr>
          <w:p w14:paraId="4FF7D938"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410" w:type="dxa"/>
          </w:tcPr>
          <w:p w14:paraId="72550817"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C304FB" w:rsidRPr="006F6219" w14:paraId="4612CE74"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426181B" w14:textId="77777777" w:rsidR="00C304FB" w:rsidRPr="006F6219" w:rsidRDefault="00C304FB" w:rsidP="006612D9">
            <w:pPr>
              <w:pStyle w:val="Sansinterligne"/>
              <w:spacing w:line="360" w:lineRule="auto"/>
              <w:jc w:val="both"/>
              <w:rPr>
                <w:rFonts w:ascii="Times New Roman" w:hAnsi="Times New Roman" w:cs="Times New Roman"/>
                <w:lang w:eastAsia="fr-FR"/>
              </w:rPr>
            </w:pPr>
          </w:p>
        </w:tc>
        <w:tc>
          <w:tcPr>
            <w:tcW w:w="3249" w:type="dxa"/>
          </w:tcPr>
          <w:p w14:paraId="2477B541"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Rh-</w:t>
            </w:r>
          </w:p>
        </w:tc>
        <w:tc>
          <w:tcPr>
            <w:tcW w:w="750" w:type="dxa"/>
          </w:tcPr>
          <w:p w14:paraId="1F71323E"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3.2</w:t>
            </w:r>
          </w:p>
        </w:tc>
        <w:tc>
          <w:tcPr>
            <w:tcW w:w="1973" w:type="dxa"/>
          </w:tcPr>
          <w:p w14:paraId="54A12DC5"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410" w:type="dxa"/>
          </w:tcPr>
          <w:p w14:paraId="4665AFB7"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C304FB" w:rsidRPr="006F6219" w14:paraId="1A37787D" w14:textId="77777777" w:rsidTr="00CA42D1">
        <w:tc>
          <w:tcPr>
            <w:cnfStyle w:val="001000000000" w:firstRow="0" w:lastRow="0" w:firstColumn="1" w:lastColumn="0" w:oddVBand="0" w:evenVBand="0" w:oddHBand="0" w:evenHBand="0" w:firstRowFirstColumn="0" w:firstRowLastColumn="0" w:lastRowFirstColumn="0" w:lastRowLastColumn="0"/>
            <w:tcW w:w="4927" w:type="dxa"/>
            <w:gridSpan w:val="2"/>
          </w:tcPr>
          <w:p w14:paraId="5A872336"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E0777E">
              <w:rPr>
                <w:rFonts w:ascii="Times New Roman" w:hAnsi="Times New Roman" w:cs="Times New Roman"/>
                <w:lang w:val="fr-BE" w:eastAsia="fr-FR"/>
              </w:rPr>
              <w:t>Incompatibilité Fœto-maternelle ABO (n=109)</w:t>
            </w:r>
          </w:p>
        </w:tc>
        <w:tc>
          <w:tcPr>
            <w:tcW w:w="750" w:type="dxa"/>
          </w:tcPr>
          <w:p w14:paraId="0D5EBE1D"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1973" w:type="dxa"/>
          </w:tcPr>
          <w:p w14:paraId="06B01CCE"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410" w:type="dxa"/>
          </w:tcPr>
          <w:p w14:paraId="2D4DBC24"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C304FB" w:rsidRPr="006F6219" w14:paraId="0644E334"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5D160ADB"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p>
        </w:tc>
        <w:tc>
          <w:tcPr>
            <w:tcW w:w="3249" w:type="dxa"/>
          </w:tcPr>
          <w:p w14:paraId="31AB5D49"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 xml:space="preserve">Groupe entier </w:t>
            </w:r>
          </w:p>
        </w:tc>
        <w:tc>
          <w:tcPr>
            <w:tcW w:w="750" w:type="dxa"/>
          </w:tcPr>
          <w:p w14:paraId="16267850"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34</w:t>
            </w:r>
          </w:p>
        </w:tc>
        <w:tc>
          <w:tcPr>
            <w:tcW w:w="1973" w:type="dxa"/>
          </w:tcPr>
          <w:p w14:paraId="5CE250C7"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410" w:type="dxa"/>
          </w:tcPr>
          <w:p w14:paraId="7141D993"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C304FB" w:rsidRPr="006F6219" w14:paraId="73D9D3E1" w14:textId="77777777" w:rsidTr="00CA42D1">
        <w:tc>
          <w:tcPr>
            <w:cnfStyle w:val="001000000000" w:firstRow="0" w:lastRow="0" w:firstColumn="1" w:lastColumn="0" w:oddVBand="0" w:evenVBand="0" w:oddHBand="0" w:evenHBand="0" w:firstRowFirstColumn="0" w:firstRowLastColumn="0" w:lastRowFirstColumn="0" w:lastRowLastColumn="0"/>
            <w:tcW w:w="1678" w:type="dxa"/>
          </w:tcPr>
          <w:p w14:paraId="1BCCECAD"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p>
        </w:tc>
        <w:tc>
          <w:tcPr>
            <w:tcW w:w="3249" w:type="dxa"/>
          </w:tcPr>
          <w:p w14:paraId="1FA077D3"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AO</w:t>
            </w:r>
          </w:p>
        </w:tc>
        <w:tc>
          <w:tcPr>
            <w:tcW w:w="750" w:type="dxa"/>
          </w:tcPr>
          <w:p w14:paraId="6A219E5C"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9.2</w:t>
            </w:r>
          </w:p>
        </w:tc>
        <w:tc>
          <w:tcPr>
            <w:tcW w:w="1973" w:type="dxa"/>
          </w:tcPr>
          <w:p w14:paraId="26C51EEB"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410" w:type="dxa"/>
          </w:tcPr>
          <w:p w14:paraId="733FDBA2"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C304FB" w:rsidRPr="006F6219" w14:paraId="7D5DE850" w14:textId="77777777" w:rsidTr="00CA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06A24CA9"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p>
        </w:tc>
        <w:tc>
          <w:tcPr>
            <w:tcW w:w="3249" w:type="dxa"/>
          </w:tcPr>
          <w:p w14:paraId="1B63B4DB"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BO</w:t>
            </w:r>
          </w:p>
        </w:tc>
        <w:tc>
          <w:tcPr>
            <w:tcW w:w="750" w:type="dxa"/>
          </w:tcPr>
          <w:p w14:paraId="5B1DF7A5"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24.8</w:t>
            </w:r>
          </w:p>
        </w:tc>
        <w:tc>
          <w:tcPr>
            <w:tcW w:w="1973" w:type="dxa"/>
          </w:tcPr>
          <w:p w14:paraId="27B256BA"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410" w:type="dxa"/>
          </w:tcPr>
          <w:p w14:paraId="7FB5D29E" w14:textId="77777777" w:rsidR="00C304FB" w:rsidRPr="006F6219" w:rsidRDefault="00C304FB"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C304FB" w:rsidRPr="006F6219" w14:paraId="2C4B343D" w14:textId="77777777" w:rsidTr="00CA42D1">
        <w:tc>
          <w:tcPr>
            <w:cnfStyle w:val="001000000000" w:firstRow="0" w:lastRow="0" w:firstColumn="1" w:lastColumn="0" w:oddVBand="0" w:evenVBand="0" w:oddHBand="0" w:evenHBand="0" w:firstRowFirstColumn="0" w:firstRowLastColumn="0" w:lastRowFirstColumn="0" w:lastRowLastColumn="0"/>
            <w:tcW w:w="4927" w:type="dxa"/>
            <w:gridSpan w:val="2"/>
          </w:tcPr>
          <w:p w14:paraId="16A63B14" w14:textId="77777777" w:rsidR="00C304FB" w:rsidRPr="006F6219" w:rsidRDefault="00C304FB" w:rsidP="006612D9">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val="fr-BE" w:eastAsia="fr-FR"/>
              </w:rPr>
              <w:lastRenderedPageBreak/>
              <w:t>Incompatibilité Fœto-maternelle Rhésus (107)</w:t>
            </w:r>
          </w:p>
        </w:tc>
        <w:tc>
          <w:tcPr>
            <w:tcW w:w="750" w:type="dxa"/>
          </w:tcPr>
          <w:p w14:paraId="0235250B"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9.3</w:t>
            </w:r>
          </w:p>
        </w:tc>
        <w:tc>
          <w:tcPr>
            <w:tcW w:w="1973" w:type="dxa"/>
          </w:tcPr>
          <w:p w14:paraId="4BDAC201"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410" w:type="dxa"/>
          </w:tcPr>
          <w:p w14:paraId="2251843F" w14:textId="77777777" w:rsidR="00C304FB" w:rsidRPr="006F6219" w:rsidRDefault="00C304FB"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bl>
    <w:p w14:paraId="53522818" w14:textId="1A38E8D9" w:rsidR="00C304FB" w:rsidRPr="000A4A0F" w:rsidRDefault="00C304FB" w:rsidP="006612D9">
      <w:pPr>
        <w:shd w:val="clear" w:color="auto" w:fill="FFFFFF"/>
        <w:spacing w:after="0" w:line="360" w:lineRule="auto"/>
        <w:jc w:val="both"/>
        <w:textAlignment w:val="baseline"/>
        <w:rPr>
          <w:rFonts w:ascii="Times New Roman" w:hAnsi="Times New Roman" w:cs="Times New Roman"/>
          <w:sz w:val="24"/>
          <w:szCs w:val="24"/>
          <w:lang w:eastAsia="fr-FR"/>
        </w:rPr>
      </w:pPr>
      <w:r w:rsidRPr="000A4A0F">
        <w:rPr>
          <w:rFonts w:ascii="Times New Roman" w:eastAsia="Times New Roman" w:hAnsi="Times New Roman" w:cs="Times New Roman"/>
          <w:color w:val="000000"/>
          <w:sz w:val="24"/>
          <w:szCs w:val="24"/>
          <w:lang w:eastAsia="fr-FR"/>
        </w:rPr>
        <w:t xml:space="preserve">DS=Déviation Standard, </w:t>
      </w:r>
      <w:r w:rsidRPr="000A4A0F">
        <w:rPr>
          <w:rFonts w:ascii="Times New Roman" w:eastAsia="Times New Roman" w:hAnsi="Times New Roman" w:cs="Times New Roman"/>
          <w:sz w:val="24"/>
          <w:szCs w:val="24"/>
          <w:lang w:val="fr-BE" w:eastAsia="fr-FR"/>
        </w:rPr>
        <w:t>HPGRB=Hôpital Provincial Général de Référence de Bukavu</w:t>
      </w:r>
    </w:p>
    <w:p w14:paraId="144992E5" w14:textId="77777777" w:rsidR="00C304FB" w:rsidRPr="000A4A0F" w:rsidRDefault="00C304FB"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p>
    <w:p w14:paraId="1689C706" w14:textId="77777777" w:rsidR="00811184" w:rsidRPr="00C1024E" w:rsidRDefault="00811184" w:rsidP="006612D9">
      <w:pPr>
        <w:shd w:val="clear" w:color="auto" w:fill="FFFFFF"/>
        <w:spacing w:after="0" w:line="360" w:lineRule="auto"/>
        <w:jc w:val="both"/>
        <w:textAlignment w:val="baseline"/>
        <w:rPr>
          <w:rFonts w:ascii="Times New Roman" w:hAnsi="Times New Roman" w:cs="Times New Roman"/>
          <w:sz w:val="24"/>
          <w:szCs w:val="24"/>
          <w:highlight w:val="yellow"/>
          <w:lang w:eastAsia="fr-FR"/>
        </w:rPr>
      </w:pPr>
      <w:r w:rsidRPr="00C1024E">
        <w:rPr>
          <w:rFonts w:ascii="Times New Roman" w:eastAsia="Times New Roman" w:hAnsi="Times New Roman" w:cs="Times New Roman"/>
          <w:b/>
          <w:color w:val="000000"/>
          <w:sz w:val="24"/>
          <w:szCs w:val="24"/>
          <w:highlight w:val="yellow"/>
          <w:lang w:eastAsia="fr-FR"/>
        </w:rPr>
        <w:t>Sexe ratio</w:t>
      </w:r>
    </w:p>
    <w:p w14:paraId="3EA4FD3B" w14:textId="08259B7D" w:rsidR="009502C2" w:rsidRPr="00C1024E" w:rsidRDefault="00811184" w:rsidP="006612D9">
      <w:pPr>
        <w:shd w:val="clear" w:color="auto" w:fill="FFFFFF"/>
        <w:spacing w:after="0" w:line="360" w:lineRule="auto"/>
        <w:jc w:val="both"/>
        <w:textAlignment w:val="baseline"/>
        <w:rPr>
          <w:rFonts w:ascii="Times New Roman" w:hAnsi="Times New Roman" w:cs="Times New Roman"/>
          <w:sz w:val="24"/>
          <w:szCs w:val="24"/>
          <w:highlight w:val="yellow"/>
          <w:lang w:eastAsia="fr-FR"/>
        </w:rPr>
      </w:pPr>
      <w:r w:rsidRPr="00C1024E">
        <w:rPr>
          <w:rFonts w:ascii="Times New Roman" w:eastAsia="Times New Roman" w:hAnsi="Times New Roman" w:cs="Times New Roman"/>
          <w:color w:val="000000"/>
          <w:sz w:val="24"/>
          <w:szCs w:val="24"/>
          <w:highlight w:val="yellow"/>
          <w:lang w:eastAsia="fr-FR"/>
        </w:rPr>
        <w:t>On note une prédominance d</w:t>
      </w:r>
      <w:r w:rsidR="00172E50" w:rsidRPr="00C1024E">
        <w:rPr>
          <w:rFonts w:ascii="Times New Roman" w:eastAsia="Times New Roman" w:hAnsi="Times New Roman" w:cs="Times New Roman"/>
          <w:color w:val="000000"/>
          <w:sz w:val="24"/>
          <w:szCs w:val="24"/>
          <w:highlight w:val="yellow"/>
          <w:lang w:eastAsia="fr-FR"/>
        </w:rPr>
        <w:t xml:space="preserve">u sexe M dans notre étude, </w:t>
      </w:r>
      <w:r w:rsidR="000A4A0F" w:rsidRPr="00C1024E">
        <w:rPr>
          <w:rFonts w:ascii="Times New Roman" w:eastAsia="Times New Roman" w:hAnsi="Times New Roman" w:cs="Times New Roman"/>
          <w:color w:val="000000"/>
          <w:sz w:val="24"/>
          <w:szCs w:val="24"/>
          <w:highlight w:val="yellow"/>
          <w:lang w:eastAsia="fr-FR"/>
        </w:rPr>
        <w:t>qui représente 53.7</w:t>
      </w:r>
      <w:r w:rsidRPr="00C1024E">
        <w:rPr>
          <w:rFonts w:ascii="Times New Roman" w:eastAsia="Times New Roman" w:hAnsi="Times New Roman" w:cs="Times New Roman"/>
          <w:color w:val="000000"/>
          <w:sz w:val="24"/>
          <w:szCs w:val="24"/>
          <w:highlight w:val="yellow"/>
          <w:lang w:eastAsia="fr-FR"/>
        </w:rPr>
        <w:t>%</w:t>
      </w:r>
      <w:r w:rsidR="00172E50" w:rsidRPr="00C1024E">
        <w:rPr>
          <w:rFonts w:ascii="Times New Roman" w:eastAsia="Times New Roman" w:hAnsi="Times New Roman" w:cs="Times New Roman"/>
          <w:color w:val="000000"/>
          <w:sz w:val="24"/>
          <w:szCs w:val="24"/>
          <w:highlight w:val="yellow"/>
          <w:lang w:eastAsia="fr-FR"/>
        </w:rPr>
        <w:t xml:space="preserve"> </w:t>
      </w:r>
      <w:r w:rsidRPr="00C1024E">
        <w:rPr>
          <w:rFonts w:ascii="Times New Roman" w:eastAsia="Times New Roman" w:hAnsi="Times New Roman" w:cs="Times New Roman"/>
          <w:color w:val="000000"/>
          <w:sz w:val="24"/>
          <w:szCs w:val="24"/>
          <w:highlight w:val="yellow"/>
          <w:lang w:eastAsia="fr-FR"/>
        </w:rPr>
        <w:t xml:space="preserve">(73garçons) avec </w:t>
      </w:r>
      <w:commentRangeStart w:id="61"/>
      <w:r w:rsidRPr="00C1024E">
        <w:rPr>
          <w:rFonts w:ascii="Times New Roman" w:eastAsia="Times New Roman" w:hAnsi="Times New Roman" w:cs="Times New Roman"/>
          <w:color w:val="000000"/>
          <w:sz w:val="24"/>
          <w:szCs w:val="24"/>
          <w:highlight w:val="yellow"/>
          <w:lang w:eastAsia="fr-FR"/>
        </w:rPr>
        <w:t>un</w:t>
      </w:r>
      <w:commentRangeEnd w:id="61"/>
      <w:r w:rsidR="00C1024E">
        <w:rPr>
          <w:rStyle w:val="Marquedecommentaire"/>
        </w:rPr>
        <w:commentReference w:id="61"/>
      </w:r>
      <w:r w:rsidRPr="00C1024E">
        <w:rPr>
          <w:rFonts w:ascii="Times New Roman" w:eastAsia="Times New Roman" w:hAnsi="Times New Roman" w:cs="Times New Roman"/>
          <w:color w:val="000000"/>
          <w:sz w:val="24"/>
          <w:szCs w:val="24"/>
          <w:highlight w:val="yellow"/>
          <w:lang w:eastAsia="fr-FR"/>
        </w:rPr>
        <w:t xml:space="preserve"> sexe ratio de 1.15.</w:t>
      </w:r>
    </w:p>
    <w:p w14:paraId="5A93A848" w14:textId="77777777" w:rsidR="009502C2" w:rsidRPr="00C1024E" w:rsidRDefault="00A25412"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highlight w:val="yellow"/>
          <w:lang w:eastAsia="fr-FR"/>
        </w:rPr>
      </w:pPr>
      <w:r w:rsidRPr="00C1024E">
        <w:rPr>
          <w:rFonts w:ascii="Times New Roman" w:eastAsia="Times New Roman" w:hAnsi="Times New Roman" w:cs="Times New Roman"/>
          <w:b/>
          <w:color w:val="000000"/>
          <w:sz w:val="24"/>
          <w:szCs w:val="24"/>
          <w:highlight w:val="yellow"/>
          <w:lang w:eastAsia="fr-FR"/>
        </w:rPr>
        <w:t>Age d’admission</w:t>
      </w:r>
      <w:r w:rsidR="009502C2" w:rsidRPr="00C1024E">
        <w:rPr>
          <w:rFonts w:ascii="Times New Roman" w:eastAsia="Times New Roman" w:hAnsi="Times New Roman" w:cs="Times New Roman"/>
          <w:b/>
          <w:color w:val="000000"/>
          <w:sz w:val="24"/>
          <w:szCs w:val="24"/>
          <w:highlight w:val="yellow"/>
          <w:lang w:eastAsia="fr-FR"/>
        </w:rPr>
        <w:t> </w:t>
      </w:r>
      <w:r w:rsidR="009502C2" w:rsidRPr="00C1024E">
        <w:rPr>
          <w:rFonts w:ascii="Times New Roman" w:eastAsia="Times New Roman" w:hAnsi="Times New Roman" w:cs="Times New Roman"/>
          <w:color w:val="000000"/>
          <w:sz w:val="24"/>
          <w:szCs w:val="24"/>
          <w:highlight w:val="yellow"/>
          <w:lang w:eastAsia="fr-FR"/>
        </w:rPr>
        <w:t>:</w:t>
      </w:r>
    </w:p>
    <w:p w14:paraId="21EFE9D2" w14:textId="5DA6253F" w:rsidR="00A04259" w:rsidRPr="00C1024E" w:rsidRDefault="00A25412"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highlight w:val="yellow"/>
          <w:lang w:eastAsia="fr-FR"/>
        </w:rPr>
      </w:pPr>
      <w:r w:rsidRPr="00C1024E">
        <w:rPr>
          <w:rFonts w:ascii="Times New Roman" w:eastAsia="Times New Roman" w:hAnsi="Times New Roman" w:cs="Times New Roman"/>
          <w:color w:val="000000"/>
          <w:sz w:val="24"/>
          <w:szCs w:val="24"/>
          <w:highlight w:val="yellow"/>
          <w:lang w:eastAsia="fr-FR"/>
        </w:rPr>
        <w:t>L’âge moyen dans not</w:t>
      </w:r>
      <w:r w:rsidR="0090532A" w:rsidRPr="00C1024E">
        <w:rPr>
          <w:rFonts w:ascii="Times New Roman" w:eastAsia="Times New Roman" w:hAnsi="Times New Roman" w:cs="Times New Roman"/>
          <w:color w:val="000000"/>
          <w:sz w:val="24"/>
          <w:szCs w:val="24"/>
          <w:highlight w:val="yellow"/>
          <w:lang w:eastAsia="fr-FR"/>
        </w:rPr>
        <w:t xml:space="preserve">re série </w:t>
      </w:r>
      <w:r w:rsidR="000A4A0F" w:rsidRPr="00C1024E">
        <w:rPr>
          <w:rFonts w:ascii="Times New Roman" w:eastAsia="Times New Roman" w:hAnsi="Times New Roman" w:cs="Times New Roman"/>
          <w:color w:val="000000"/>
          <w:sz w:val="24"/>
          <w:szCs w:val="24"/>
          <w:highlight w:val="yellow"/>
          <w:lang w:eastAsia="fr-FR"/>
        </w:rPr>
        <w:t>est de</w:t>
      </w:r>
      <w:r w:rsidR="0090532A" w:rsidRPr="00C1024E">
        <w:rPr>
          <w:rFonts w:ascii="Times New Roman" w:eastAsia="Times New Roman" w:hAnsi="Times New Roman" w:cs="Times New Roman"/>
          <w:color w:val="000000"/>
          <w:sz w:val="24"/>
          <w:szCs w:val="24"/>
          <w:highlight w:val="yellow"/>
          <w:lang w:eastAsia="fr-FR"/>
        </w:rPr>
        <w:t xml:space="preserve"> 4 jours.</w:t>
      </w:r>
    </w:p>
    <w:p w14:paraId="5267AB4E" w14:textId="0A04EF9F" w:rsidR="009F0E59" w:rsidRPr="00C1024E" w:rsidRDefault="009F0E59"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highlight w:val="yellow"/>
          <w:lang w:eastAsia="fr-FR"/>
        </w:rPr>
      </w:pPr>
      <w:r w:rsidRPr="00C1024E">
        <w:rPr>
          <w:rFonts w:ascii="Times New Roman" w:eastAsia="Times New Roman" w:hAnsi="Times New Roman" w:cs="Times New Roman"/>
          <w:color w:val="000000"/>
          <w:sz w:val="24"/>
          <w:szCs w:val="24"/>
          <w:highlight w:val="yellow"/>
          <w:lang w:eastAsia="fr-FR"/>
        </w:rPr>
        <w:t>Le motif d’hospit</w:t>
      </w:r>
      <w:r w:rsidR="007946ED" w:rsidRPr="00C1024E">
        <w:rPr>
          <w:rFonts w:ascii="Times New Roman" w:eastAsia="Times New Roman" w:hAnsi="Times New Roman" w:cs="Times New Roman"/>
          <w:color w:val="000000"/>
          <w:sz w:val="24"/>
          <w:szCs w:val="24"/>
          <w:highlight w:val="yellow"/>
          <w:lang w:eastAsia="fr-FR"/>
        </w:rPr>
        <w:t>alisation : 47.1</w:t>
      </w:r>
      <w:r w:rsidR="00D852BA" w:rsidRPr="00C1024E">
        <w:rPr>
          <w:rFonts w:ascii="Times New Roman" w:eastAsia="Times New Roman" w:hAnsi="Times New Roman" w:cs="Times New Roman"/>
          <w:color w:val="000000"/>
          <w:sz w:val="24"/>
          <w:szCs w:val="24"/>
          <w:highlight w:val="yellow"/>
          <w:lang w:eastAsia="fr-FR"/>
        </w:rPr>
        <w:t xml:space="preserve">% </w:t>
      </w:r>
      <w:r w:rsidR="000A4A0F" w:rsidRPr="00C1024E">
        <w:rPr>
          <w:rFonts w:ascii="Times New Roman" w:eastAsia="Times New Roman" w:hAnsi="Times New Roman" w:cs="Times New Roman"/>
          <w:color w:val="000000"/>
          <w:sz w:val="24"/>
          <w:szCs w:val="24"/>
          <w:highlight w:val="yellow"/>
          <w:lang w:eastAsia="fr-FR"/>
        </w:rPr>
        <w:t>de cas</w:t>
      </w:r>
      <w:r w:rsidRPr="00C1024E">
        <w:rPr>
          <w:rFonts w:ascii="Times New Roman" w:eastAsia="Times New Roman" w:hAnsi="Times New Roman" w:cs="Times New Roman"/>
          <w:color w:val="000000"/>
          <w:sz w:val="24"/>
          <w:szCs w:val="24"/>
          <w:highlight w:val="yellow"/>
          <w:lang w:eastAsia="fr-FR"/>
        </w:rPr>
        <w:t xml:space="preserve"> pour une détresse respiratoire a</w:t>
      </w:r>
      <w:r w:rsidR="00D852BA" w:rsidRPr="00C1024E">
        <w:rPr>
          <w:rFonts w:ascii="Times New Roman" w:eastAsia="Times New Roman" w:hAnsi="Times New Roman" w:cs="Times New Roman"/>
          <w:color w:val="000000"/>
          <w:sz w:val="24"/>
          <w:szCs w:val="24"/>
          <w:highlight w:val="yellow"/>
          <w:lang w:eastAsia="fr-FR"/>
        </w:rPr>
        <w:t>ssociée à une prématurité, 22.1</w:t>
      </w:r>
      <w:r w:rsidR="000A4A0F" w:rsidRPr="00C1024E">
        <w:rPr>
          <w:rFonts w:ascii="Times New Roman" w:eastAsia="Times New Roman" w:hAnsi="Times New Roman" w:cs="Times New Roman"/>
          <w:color w:val="000000"/>
          <w:sz w:val="24"/>
          <w:szCs w:val="24"/>
          <w:highlight w:val="yellow"/>
          <w:lang w:eastAsia="fr-FR"/>
        </w:rPr>
        <w:t>% hospitalisé</w:t>
      </w:r>
      <w:r w:rsidRPr="00C1024E">
        <w:rPr>
          <w:rFonts w:ascii="Times New Roman" w:eastAsia="Times New Roman" w:hAnsi="Times New Roman" w:cs="Times New Roman"/>
          <w:color w:val="000000"/>
          <w:sz w:val="24"/>
          <w:szCs w:val="24"/>
          <w:highlight w:val="yellow"/>
          <w:lang w:eastAsia="fr-FR"/>
        </w:rPr>
        <w:t xml:space="preserve"> pou</w:t>
      </w:r>
      <w:r w:rsidR="00D852BA" w:rsidRPr="00C1024E">
        <w:rPr>
          <w:rFonts w:ascii="Times New Roman" w:eastAsia="Times New Roman" w:hAnsi="Times New Roman" w:cs="Times New Roman"/>
          <w:color w:val="000000"/>
          <w:sz w:val="24"/>
          <w:szCs w:val="24"/>
          <w:highlight w:val="yellow"/>
          <w:lang w:eastAsia="fr-FR"/>
        </w:rPr>
        <w:t>r suspicion d’infection néonatale.</w:t>
      </w:r>
    </w:p>
    <w:p w14:paraId="60828C5C" w14:textId="4D22F311" w:rsidR="008F65B6" w:rsidRPr="00C1024E" w:rsidRDefault="009F0E59" w:rsidP="006612D9">
      <w:pPr>
        <w:shd w:val="clear" w:color="auto" w:fill="FFFFFF"/>
        <w:spacing w:after="0" w:line="360" w:lineRule="auto"/>
        <w:jc w:val="both"/>
        <w:textAlignment w:val="baseline"/>
        <w:rPr>
          <w:rFonts w:ascii="Times New Roman" w:eastAsia="Times New Roman" w:hAnsi="Times New Roman" w:cs="Times New Roman"/>
          <w:b/>
          <w:color w:val="C00000"/>
          <w:sz w:val="24"/>
          <w:szCs w:val="24"/>
          <w:highlight w:val="yellow"/>
          <w:lang w:eastAsia="fr-FR"/>
        </w:rPr>
      </w:pPr>
      <w:r w:rsidRPr="00C1024E">
        <w:rPr>
          <w:rFonts w:ascii="Times New Roman" w:eastAsia="Times New Roman" w:hAnsi="Times New Roman" w:cs="Times New Roman"/>
          <w:color w:val="000000"/>
          <w:sz w:val="24"/>
          <w:szCs w:val="24"/>
          <w:highlight w:val="yellow"/>
          <w:lang w:eastAsia="fr-FR"/>
        </w:rPr>
        <w:t>La durée moyenne d’hospitalisation</w:t>
      </w:r>
      <w:r w:rsidR="00A25412" w:rsidRPr="00C1024E">
        <w:rPr>
          <w:rFonts w:ascii="Times New Roman" w:eastAsia="Times New Roman" w:hAnsi="Times New Roman" w:cs="Times New Roman"/>
          <w:color w:val="000000"/>
          <w:sz w:val="24"/>
          <w:szCs w:val="24"/>
          <w:highlight w:val="yellow"/>
          <w:lang w:eastAsia="fr-FR"/>
        </w:rPr>
        <w:t xml:space="preserve"> dans notre série était de 3</w:t>
      </w:r>
      <w:r w:rsidRPr="00C1024E">
        <w:rPr>
          <w:rFonts w:ascii="Times New Roman" w:eastAsia="Times New Roman" w:hAnsi="Times New Roman" w:cs="Times New Roman"/>
          <w:color w:val="000000"/>
          <w:sz w:val="24"/>
          <w:szCs w:val="24"/>
          <w:highlight w:val="yellow"/>
          <w:lang w:eastAsia="fr-FR"/>
        </w:rPr>
        <w:t xml:space="preserve">jours avec des Extrêmes allant de </w:t>
      </w:r>
      <w:r w:rsidR="00172E50" w:rsidRPr="00C1024E">
        <w:rPr>
          <w:rFonts w:ascii="Times New Roman" w:eastAsia="Times New Roman" w:hAnsi="Times New Roman" w:cs="Times New Roman"/>
          <w:color w:val="000000"/>
          <w:sz w:val="24"/>
          <w:szCs w:val="24"/>
          <w:highlight w:val="yellow"/>
          <w:lang w:eastAsia="fr-FR"/>
        </w:rPr>
        <w:t>un jour à 9jrs</w:t>
      </w:r>
      <w:r w:rsidR="008F65B6" w:rsidRPr="00C1024E">
        <w:rPr>
          <w:rFonts w:ascii="Times New Roman" w:eastAsia="Times New Roman" w:hAnsi="Times New Roman" w:cs="Times New Roman"/>
          <w:color w:val="000000"/>
          <w:sz w:val="24"/>
          <w:szCs w:val="24"/>
          <w:highlight w:val="yellow"/>
          <w:lang w:eastAsia="fr-FR"/>
        </w:rPr>
        <w:t>.</w:t>
      </w:r>
    </w:p>
    <w:p w14:paraId="24330D77" w14:textId="4BD845C0" w:rsidR="00A6105C" w:rsidRPr="00C1024E" w:rsidRDefault="000A4A0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highlight w:val="yellow"/>
          <w:lang w:eastAsia="fr-FR"/>
        </w:rPr>
      </w:pPr>
      <w:r w:rsidRPr="00C1024E">
        <w:rPr>
          <w:rFonts w:ascii="Times New Roman" w:eastAsia="Times New Roman" w:hAnsi="Times New Roman" w:cs="Times New Roman"/>
          <w:color w:val="000000"/>
          <w:sz w:val="24"/>
          <w:szCs w:val="24"/>
          <w:highlight w:val="yellow"/>
          <w:lang w:eastAsia="fr-FR"/>
        </w:rPr>
        <w:t>APGAR : 13.8</w:t>
      </w:r>
      <w:r w:rsidR="00735640" w:rsidRPr="00C1024E">
        <w:rPr>
          <w:rFonts w:ascii="Times New Roman" w:eastAsia="Times New Roman" w:hAnsi="Times New Roman" w:cs="Times New Roman"/>
          <w:sz w:val="24"/>
          <w:szCs w:val="24"/>
          <w:highlight w:val="yellow"/>
          <w:lang w:eastAsia="fr-FR"/>
        </w:rPr>
        <w:t xml:space="preserve">% des </w:t>
      </w:r>
      <w:r w:rsidR="0077053B" w:rsidRPr="00C1024E">
        <w:rPr>
          <w:rFonts w:ascii="Times New Roman" w:eastAsia="Times New Roman" w:hAnsi="Times New Roman" w:cs="Times New Roman"/>
          <w:sz w:val="24"/>
          <w:szCs w:val="24"/>
          <w:highlight w:val="yellow"/>
          <w:lang w:eastAsia="fr-FR"/>
        </w:rPr>
        <w:t>nouveau-nés</w:t>
      </w:r>
      <w:r w:rsidR="00735640" w:rsidRPr="00C1024E">
        <w:rPr>
          <w:rFonts w:ascii="Times New Roman" w:eastAsia="Times New Roman" w:hAnsi="Times New Roman" w:cs="Times New Roman"/>
          <w:sz w:val="24"/>
          <w:szCs w:val="24"/>
          <w:highlight w:val="yellow"/>
          <w:lang w:eastAsia="fr-FR"/>
        </w:rPr>
        <w:t xml:space="preserve"> sont </w:t>
      </w:r>
      <w:r w:rsidR="00D84F96" w:rsidRPr="00C1024E">
        <w:rPr>
          <w:rFonts w:ascii="Times New Roman" w:eastAsia="Times New Roman" w:hAnsi="Times New Roman" w:cs="Times New Roman"/>
          <w:sz w:val="24"/>
          <w:szCs w:val="24"/>
          <w:highlight w:val="yellow"/>
          <w:lang w:eastAsia="fr-FR"/>
        </w:rPr>
        <w:t>nés</w:t>
      </w:r>
      <w:r w:rsidR="00735640" w:rsidRPr="00C1024E">
        <w:rPr>
          <w:rFonts w:ascii="Times New Roman" w:eastAsia="Times New Roman" w:hAnsi="Times New Roman" w:cs="Times New Roman"/>
          <w:sz w:val="24"/>
          <w:szCs w:val="24"/>
          <w:highlight w:val="yellow"/>
          <w:lang w:eastAsia="fr-FR"/>
        </w:rPr>
        <w:t xml:space="preserve"> avec une asphyxie ayant nécessité de </w:t>
      </w:r>
      <w:r w:rsidR="007946ED" w:rsidRPr="00C1024E">
        <w:rPr>
          <w:rFonts w:ascii="Times New Roman" w:eastAsia="Times New Roman" w:hAnsi="Times New Roman" w:cs="Times New Roman"/>
          <w:sz w:val="24"/>
          <w:szCs w:val="24"/>
          <w:highlight w:val="yellow"/>
          <w:lang w:eastAsia="fr-FR"/>
        </w:rPr>
        <w:t>mesure de réanimation.</w:t>
      </w:r>
    </w:p>
    <w:p w14:paraId="628A3E01" w14:textId="5E76EF24" w:rsidR="00DE052C" w:rsidRPr="000A4A0F" w:rsidRDefault="00581708"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C1024E">
        <w:rPr>
          <w:rFonts w:ascii="Times New Roman" w:eastAsia="Times New Roman" w:hAnsi="Times New Roman" w:cs="Times New Roman"/>
          <w:color w:val="000000"/>
          <w:sz w:val="24"/>
          <w:szCs w:val="24"/>
          <w:highlight w:val="yellow"/>
          <w:lang w:eastAsia="fr-FR"/>
        </w:rPr>
        <w:t>D</w:t>
      </w:r>
      <w:r w:rsidR="007946ED" w:rsidRPr="00C1024E">
        <w:rPr>
          <w:rFonts w:ascii="Times New Roman" w:eastAsia="Times New Roman" w:hAnsi="Times New Roman" w:cs="Times New Roman"/>
          <w:color w:val="000000"/>
          <w:sz w:val="24"/>
          <w:szCs w:val="24"/>
          <w:highlight w:val="yellow"/>
          <w:lang w:eastAsia="fr-FR"/>
        </w:rPr>
        <w:t>ans cette étude,</w:t>
      </w:r>
      <w:r w:rsidRPr="00C1024E">
        <w:rPr>
          <w:rFonts w:ascii="Times New Roman" w:eastAsia="Times New Roman" w:hAnsi="Times New Roman" w:cs="Times New Roman"/>
          <w:color w:val="000000"/>
          <w:sz w:val="24"/>
          <w:szCs w:val="24"/>
          <w:highlight w:val="yellow"/>
          <w:lang w:eastAsia="fr-FR"/>
        </w:rPr>
        <w:t xml:space="preserve"> 41.4%</w:t>
      </w:r>
      <w:r w:rsidR="00F25665" w:rsidRPr="00C1024E">
        <w:rPr>
          <w:rFonts w:ascii="Times New Roman" w:eastAsia="Times New Roman" w:hAnsi="Times New Roman" w:cs="Times New Roman"/>
          <w:color w:val="000000"/>
          <w:sz w:val="24"/>
          <w:szCs w:val="24"/>
          <w:highlight w:val="yellow"/>
          <w:lang w:eastAsia="fr-FR"/>
        </w:rPr>
        <w:t xml:space="preserve"> </w:t>
      </w:r>
      <w:r w:rsidR="00A6105C" w:rsidRPr="00C1024E">
        <w:rPr>
          <w:rFonts w:ascii="Times New Roman" w:eastAsia="Times New Roman" w:hAnsi="Times New Roman" w:cs="Times New Roman"/>
          <w:color w:val="000000"/>
          <w:sz w:val="24"/>
          <w:szCs w:val="24"/>
          <w:highlight w:val="yellow"/>
          <w:lang w:eastAsia="fr-FR"/>
        </w:rPr>
        <w:t xml:space="preserve">nouveau-nés </w:t>
      </w:r>
      <w:r w:rsidR="000A4A0F" w:rsidRPr="00C1024E">
        <w:rPr>
          <w:rFonts w:ascii="Times New Roman" w:eastAsia="Times New Roman" w:hAnsi="Times New Roman" w:cs="Times New Roman"/>
          <w:color w:val="000000"/>
          <w:sz w:val="24"/>
          <w:szCs w:val="24"/>
          <w:highlight w:val="yellow"/>
          <w:lang w:eastAsia="fr-FR"/>
        </w:rPr>
        <w:t>sont prématurés</w:t>
      </w:r>
      <w:r w:rsidR="0077053B" w:rsidRPr="00C1024E">
        <w:rPr>
          <w:rFonts w:ascii="Times New Roman" w:eastAsia="Times New Roman" w:hAnsi="Times New Roman" w:cs="Times New Roman"/>
          <w:color w:val="000000"/>
          <w:sz w:val="24"/>
          <w:szCs w:val="24"/>
          <w:highlight w:val="yellow"/>
          <w:lang w:eastAsia="fr-FR"/>
        </w:rPr>
        <w:t xml:space="preserve">, </w:t>
      </w:r>
      <w:r w:rsidR="00A6105C" w:rsidRPr="00C1024E">
        <w:rPr>
          <w:rFonts w:ascii="Times New Roman" w:eastAsia="Times New Roman" w:hAnsi="Times New Roman" w:cs="Times New Roman"/>
          <w:color w:val="000000"/>
          <w:sz w:val="24"/>
          <w:szCs w:val="24"/>
          <w:highlight w:val="yellow"/>
          <w:lang w:eastAsia="fr-FR"/>
        </w:rPr>
        <w:t xml:space="preserve">avec </w:t>
      </w:r>
      <w:r w:rsidR="00A6105C" w:rsidRPr="00C1024E">
        <w:rPr>
          <w:rFonts w:ascii="Times New Roman" w:eastAsia="Times New Roman" w:hAnsi="Times New Roman" w:cs="Times New Roman"/>
          <w:color w:val="FF0000"/>
          <w:sz w:val="24"/>
          <w:szCs w:val="24"/>
          <w:highlight w:val="yellow"/>
          <w:lang w:eastAsia="fr-FR"/>
        </w:rPr>
        <w:t>des extrêmes</w:t>
      </w:r>
      <w:r w:rsidR="00047E7B" w:rsidRPr="00C1024E">
        <w:rPr>
          <w:rFonts w:ascii="Times New Roman" w:eastAsia="Times New Roman" w:hAnsi="Times New Roman" w:cs="Times New Roman"/>
          <w:color w:val="FF0000"/>
          <w:sz w:val="24"/>
          <w:szCs w:val="24"/>
          <w:highlight w:val="yellow"/>
          <w:lang w:eastAsia="fr-FR"/>
        </w:rPr>
        <w:t xml:space="preserve"> pondéral</w:t>
      </w:r>
      <w:r w:rsidR="00A6105C" w:rsidRPr="00C1024E">
        <w:rPr>
          <w:rFonts w:ascii="Times New Roman" w:eastAsia="Times New Roman" w:hAnsi="Times New Roman" w:cs="Times New Roman"/>
          <w:color w:val="FF0000"/>
          <w:sz w:val="24"/>
          <w:szCs w:val="24"/>
          <w:highlight w:val="yellow"/>
          <w:lang w:eastAsia="fr-FR"/>
        </w:rPr>
        <w:t xml:space="preserve"> </w:t>
      </w:r>
      <w:r w:rsidR="00A6105C" w:rsidRPr="00C1024E">
        <w:rPr>
          <w:rFonts w:ascii="Times New Roman" w:eastAsia="Times New Roman" w:hAnsi="Times New Roman" w:cs="Times New Roman"/>
          <w:color w:val="000000"/>
          <w:sz w:val="24"/>
          <w:szCs w:val="24"/>
          <w:highlight w:val="yellow"/>
          <w:lang w:eastAsia="fr-FR"/>
        </w:rPr>
        <w:t>allant</w:t>
      </w:r>
      <w:r w:rsidR="0077053B" w:rsidRPr="00C1024E">
        <w:rPr>
          <w:rFonts w:ascii="Times New Roman" w:eastAsia="Times New Roman" w:hAnsi="Times New Roman" w:cs="Times New Roman"/>
          <w:color w:val="000000"/>
          <w:sz w:val="24"/>
          <w:szCs w:val="24"/>
          <w:highlight w:val="yellow"/>
          <w:lang w:eastAsia="fr-FR"/>
        </w:rPr>
        <w:t xml:space="preserve"> de 810gr</w:t>
      </w:r>
      <w:r w:rsidR="00F25665" w:rsidRPr="00C1024E">
        <w:rPr>
          <w:rFonts w:ascii="Times New Roman" w:eastAsia="Times New Roman" w:hAnsi="Times New Roman" w:cs="Times New Roman"/>
          <w:color w:val="000000"/>
          <w:sz w:val="24"/>
          <w:szCs w:val="24"/>
          <w:highlight w:val="yellow"/>
          <w:lang w:eastAsia="fr-FR"/>
        </w:rPr>
        <w:t xml:space="preserve"> à </w:t>
      </w:r>
      <w:r w:rsidR="0077053B" w:rsidRPr="00C1024E">
        <w:rPr>
          <w:rFonts w:ascii="Times New Roman" w:eastAsia="Times New Roman" w:hAnsi="Times New Roman" w:cs="Times New Roman"/>
          <w:color w:val="000000"/>
          <w:sz w:val="24"/>
          <w:szCs w:val="24"/>
          <w:highlight w:val="yellow"/>
          <w:lang w:eastAsia="fr-FR"/>
        </w:rPr>
        <w:t>4150</w:t>
      </w:r>
      <w:r w:rsidR="00A6105C" w:rsidRPr="00C1024E">
        <w:rPr>
          <w:rFonts w:ascii="Times New Roman" w:eastAsia="Times New Roman" w:hAnsi="Times New Roman" w:cs="Times New Roman"/>
          <w:color w:val="000000"/>
          <w:sz w:val="24"/>
          <w:szCs w:val="24"/>
          <w:highlight w:val="yellow"/>
          <w:lang w:eastAsia="fr-FR"/>
        </w:rPr>
        <w:t>g</w:t>
      </w:r>
      <w:r w:rsidR="00F25665" w:rsidRPr="00C1024E">
        <w:rPr>
          <w:rFonts w:ascii="Times New Roman" w:eastAsia="Times New Roman" w:hAnsi="Times New Roman" w:cs="Times New Roman"/>
          <w:color w:val="000000"/>
          <w:sz w:val="24"/>
          <w:szCs w:val="24"/>
          <w:highlight w:val="yellow"/>
          <w:lang w:eastAsia="fr-FR"/>
        </w:rPr>
        <w:t>r</w:t>
      </w:r>
      <w:r w:rsidR="00213292" w:rsidRPr="00C1024E">
        <w:rPr>
          <w:rFonts w:ascii="Times New Roman" w:eastAsia="Times New Roman" w:hAnsi="Times New Roman" w:cs="Times New Roman"/>
          <w:color w:val="000000"/>
          <w:sz w:val="24"/>
          <w:szCs w:val="24"/>
          <w:highlight w:val="yellow"/>
          <w:lang w:eastAsia="fr-FR"/>
        </w:rPr>
        <w:t> ; 45.9</w:t>
      </w:r>
      <w:r w:rsidR="0077053B" w:rsidRPr="00C1024E">
        <w:rPr>
          <w:rFonts w:ascii="Times New Roman" w:eastAsia="Times New Roman" w:hAnsi="Times New Roman" w:cs="Times New Roman"/>
          <w:color w:val="000000"/>
          <w:sz w:val="24"/>
          <w:szCs w:val="24"/>
          <w:highlight w:val="yellow"/>
          <w:lang w:eastAsia="fr-FR"/>
        </w:rPr>
        <w:t>% avec un po</w:t>
      </w:r>
      <w:r w:rsidR="00213292" w:rsidRPr="00C1024E">
        <w:rPr>
          <w:rFonts w:ascii="Times New Roman" w:eastAsia="Times New Roman" w:hAnsi="Times New Roman" w:cs="Times New Roman"/>
          <w:color w:val="000000"/>
          <w:sz w:val="24"/>
          <w:szCs w:val="24"/>
          <w:highlight w:val="yellow"/>
          <w:lang w:eastAsia="fr-FR"/>
        </w:rPr>
        <w:t>ids &lt;2500gr ; 36.9% avec un poids 2500-3500g et 17.2%</w:t>
      </w:r>
      <w:r w:rsidR="00213292" w:rsidRPr="000A4A0F">
        <w:rPr>
          <w:rFonts w:ascii="Times New Roman" w:eastAsia="Times New Roman" w:hAnsi="Times New Roman" w:cs="Times New Roman"/>
          <w:color w:val="000000"/>
          <w:sz w:val="24"/>
          <w:szCs w:val="24"/>
          <w:lang w:eastAsia="fr-FR"/>
        </w:rPr>
        <w:t xml:space="preserve"> </w:t>
      </w:r>
      <w:r w:rsidR="000A4A0F" w:rsidRPr="000A4A0F">
        <w:rPr>
          <w:rFonts w:ascii="Times New Roman" w:eastAsia="Times New Roman" w:hAnsi="Times New Roman" w:cs="Times New Roman"/>
          <w:color w:val="000000"/>
          <w:sz w:val="24"/>
          <w:szCs w:val="24"/>
          <w:lang w:eastAsia="fr-FR"/>
        </w:rPr>
        <w:t>avec plus</w:t>
      </w:r>
      <w:r w:rsidR="00213292" w:rsidRPr="000A4A0F">
        <w:rPr>
          <w:rFonts w:ascii="Times New Roman" w:eastAsia="Times New Roman" w:hAnsi="Times New Roman" w:cs="Times New Roman"/>
          <w:color w:val="000000"/>
          <w:sz w:val="24"/>
          <w:szCs w:val="24"/>
          <w:lang w:eastAsia="fr-FR"/>
        </w:rPr>
        <w:t xml:space="preserve"> de 3</w:t>
      </w:r>
      <w:r w:rsidR="0077053B" w:rsidRPr="000A4A0F">
        <w:rPr>
          <w:rFonts w:ascii="Times New Roman" w:eastAsia="Times New Roman" w:hAnsi="Times New Roman" w:cs="Times New Roman"/>
          <w:color w:val="000000"/>
          <w:sz w:val="24"/>
          <w:szCs w:val="24"/>
          <w:lang w:eastAsia="fr-FR"/>
        </w:rPr>
        <w:t>500gr</w:t>
      </w:r>
    </w:p>
    <w:p w14:paraId="18534ECC" w14:textId="77777777" w:rsidR="003D22D2" w:rsidRPr="000A4A0F" w:rsidRDefault="003D22D2" w:rsidP="006612D9">
      <w:pPr>
        <w:spacing w:after="0" w:line="360" w:lineRule="auto"/>
        <w:jc w:val="both"/>
        <w:rPr>
          <w:rFonts w:ascii="Times New Roman" w:hAnsi="Times New Roman" w:cs="Times New Roman"/>
          <w:sz w:val="24"/>
          <w:szCs w:val="24"/>
        </w:rPr>
      </w:pPr>
      <w:r w:rsidRPr="00E0777E">
        <w:rPr>
          <w:rFonts w:ascii="Times New Roman" w:eastAsia="Times New Roman" w:hAnsi="Times New Roman" w:cs="Times New Roman"/>
          <w:color w:val="000000"/>
          <w:sz w:val="24"/>
          <w:szCs w:val="24"/>
          <w:highlight w:val="yellow"/>
          <w:lang w:eastAsia="fr-FR"/>
        </w:rPr>
        <w:t>Age d’apparition de l’ictère :</w:t>
      </w:r>
    </w:p>
    <w:p w14:paraId="6FD43B32" w14:textId="67EDAA44" w:rsidR="003D22D2" w:rsidRPr="000A4A0F" w:rsidRDefault="003D22D2"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0FA71813" w14:textId="77777777" w:rsidR="003D22D2" w:rsidRPr="000A4A0F" w:rsidRDefault="003D22D2"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0D2A40EE" w14:textId="77777777" w:rsidR="00C304FB" w:rsidRDefault="00C304FB" w:rsidP="006612D9">
      <w:pPr>
        <w:pStyle w:val="Titre2"/>
        <w:spacing w:before="0" w:line="360" w:lineRule="auto"/>
        <w:jc w:val="both"/>
        <w:rPr>
          <w:rFonts w:ascii="Times New Roman" w:eastAsia="Times New Roman" w:hAnsi="Times New Roman" w:cs="Times New Roman"/>
          <w:b/>
          <w:sz w:val="24"/>
          <w:szCs w:val="24"/>
          <w:lang w:eastAsia="fr-FR"/>
        </w:rPr>
      </w:pPr>
    </w:p>
    <w:p w14:paraId="5677E8BE" w14:textId="77777777" w:rsidR="00E87246" w:rsidRDefault="00E87246" w:rsidP="00E87246">
      <w:pPr>
        <w:rPr>
          <w:lang w:eastAsia="fr-FR"/>
        </w:rPr>
      </w:pPr>
    </w:p>
    <w:p w14:paraId="5128A01B" w14:textId="77777777" w:rsidR="00E87246" w:rsidRDefault="00E87246" w:rsidP="00E87246">
      <w:pPr>
        <w:rPr>
          <w:lang w:eastAsia="fr-FR"/>
        </w:rPr>
      </w:pPr>
    </w:p>
    <w:p w14:paraId="1E9318E8" w14:textId="77777777" w:rsidR="00E87246" w:rsidRDefault="00E87246" w:rsidP="00E87246">
      <w:pPr>
        <w:rPr>
          <w:lang w:eastAsia="fr-FR"/>
        </w:rPr>
      </w:pPr>
    </w:p>
    <w:p w14:paraId="0C2F41BE" w14:textId="77777777" w:rsidR="00E87246" w:rsidRDefault="00E87246" w:rsidP="00E87246">
      <w:pPr>
        <w:rPr>
          <w:lang w:eastAsia="fr-FR"/>
        </w:rPr>
      </w:pPr>
    </w:p>
    <w:p w14:paraId="0BF9D81D" w14:textId="77777777" w:rsidR="00E87246" w:rsidRDefault="00E87246" w:rsidP="00E87246">
      <w:pPr>
        <w:rPr>
          <w:lang w:eastAsia="fr-FR"/>
        </w:rPr>
      </w:pPr>
    </w:p>
    <w:p w14:paraId="0AE48BF5" w14:textId="77777777" w:rsidR="00E87246" w:rsidRDefault="00E87246" w:rsidP="00E87246">
      <w:pPr>
        <w:rPr>
          <w:lang w:eastAsia="fr-FR"/>
        </w:rPr>
      </w:pPr>
    </w:p>
    <w:p w14:paraId="7CD9EB0D" w14:textId="77777777" w:rsidR="00E87246" w:rsidRDefault="00E87246" w:rsidP="00E87246">
      <w:pPr>
        <w:rPr>
          <w:lang w:eastAsia="fr-FR"/>
        </w:rPr>
      </w:pPr>
    </w:p>
    <w:p w14:paraId="2990A513" w14:textId="77777777" w:rsidR="006F6219" w:rsidRDefault="006F6219" w:rsidP="006612D9">
      <w:pPr>
        <w:suppressAutoHyphens w:val="0"/>
        <w:spacing w:after="0" w:line="360" w:lineRule="auto"/>
        <w:jc w:val="both"/>
        <w:rPr>
          <w:rFonts w:ascii="Times New Roman" w:eastAsia="Times New Roman" w:hAnsi="Times New Roman" w:cs="Times New Roman"/>
          <w:b/>
          <w:sz w:val="24"/>
          <w:szCs w:val="24"/>
          <w:lang w:eastAsia="fr-FR"/>
        </w:rPr>
      </w:pPr>
      <w:bookmarkStart w:id="62" w:name="_Toc87049077"/>
    </w:p>
    <w:p w14:paraId="6565FAF3" w14:textId="77777777" w:rsidR="006F6219" w:rsidRDefault="006F6219" w:rsidP="006612D9">
      <w:pPr>
        <w:suppressAutoHyphens w:val="0"/>
        <w:spacing w:after="0" w:line="360" w:lineRule="auto"/>
        <w:jc w:val="both"/>
        <w:rPr>
          <w:rFonts w:ascii="Times New Roman" w:eastAsia="Times New Roman" w:hAnsi="Times New Roman" w:cs="Times New Roman"/>
          <w:b/>
          <w:sz w:val="24"/>
          <w:szCs w:val="24"/>
          <w:lang w:eastAsia="fr-FR"/>
        </w:rPr>
      </w:pPr>
    </w:p>
    <w:p w14:paraId="14593750" w14:textId="77777777" w:rsidR="006F6219" w:rsidRDefault="006F6219" w:rsidP="006612D9">
      <w:pPr>
        <w:suppressAutoHyphens w:val="0"/>
        <w:spacing w:after="0" w:line="360" w:lineRule="auto"/>
        <w:jc w:val="both"/>
        <w:rPr>
          <w:rFonts w:ascii="Times New Roman" w:eastAsia="Times New Roman" w:hAnsi="Times New Roman" w:cs="Times New Roman"/>
          <w:b/>
          <w:sz w:val="24"/>
          <w:szCs w:val="24"/>
          <w:lang w:eastAsia="fr-FR"/>
        </w:rPr>
      </w:pPr>
    </w:p>
    <w:p w14:paraId="3DABB548" w14:textId="77777777" w:rsidR="006F6219" w:rsidRDefault="006F6219" w:rsidP="006612D9">
      <w:pPr>
        <w:suppressAutoHyphens w:val="0"/>
        <w:spacing w:after="0" w:line="360" w:lineRule="auto"/>
        <w:jc w:val="both"/>
        <w:rPr>
          <w:rFonts w:ascii="Times New Roman" w:eastAsia="Times New Roman" w:hAnsi="Times New Roman" w:cs="Times New Roman"/>
          <w:b/>
          <w:sz w:val="24"/>
          <w:szCs w:val="24"/>
          <w:lang w:eastAsia="fr-FR"/>
        </w:rPr>
      </w:pPr>
    </w:p>
    <w:p w14:paraId="7F564DFD" w14:textId="77777777" w:rsidR="006F6219" w:rsidRDefault="006F6219" w:rsidP="006612D9">
      <w:pPr>
        <w:suppressAutoHyphens w:val="0"/>
        <w:spacing w:after="0" w:line="360" w:lineRule="auto"/>
        <w:jc w:val="both"/>
        <w:rPr>
          <w:rFonts w:ascii="Times New Roman" w:eastAsia="Times New Roman" w:hAnsi="Times New Roman" w:cs="Times New Roman"/>
          <w:b/>
          <w:sz w:val="24"/>
          <w:szCs w:val="24"/>
          <w:lang w:eastAsia="fr-FR"/>
        </w:rPr>
      </w:pPr>
    </w:p>
    <w:p w14:paraId="2CFAE403" w14:textId="77777777" w:rsidR="006F6219" w:rsidRDefault="006F6219" w:rsidP="006F6219">
      <w:pPr>
        <w:suppressAutoHyphens w:val="0"/>
        <w:spacing w:after="0" w:line="360" w:lineRule="auto"/>
        <w:rPr>
          <w:rFonts w:ascii="Times New Roman" w:eastAsia="Times New Roman" w:hAnsi="Times New Roman" w:cs="Times New Roman"/>
          <w:b/>
          <w:sz w:val="24"/>
          <w:szCs w:val="24"/>
          <w:lang w:eastAsia="fr-FR"/>
        </w:rPr>
      </w:pPr>
    </w:p>
    <w:p w14:paraId="5104F810" w14:textId="2AFB5030" w:rsidR="00F25665" w:rsidRPr="000A4A0F" w:rsidRDefault="008769AF" w:rsidP="006612D9">
      <w:pPr>
        <w:suppressAutoHyphens w:val="0"/>
        <w:spacing w:after="0" w:line="360" w:lineRule="auto"/>
        <w:jc w:val="both"/>
        <w:rPr>
          <w:rFonts w:ascii="Times New Roman" w:eastAsia="Times New Roman" w:hAnsi="Times New Roman" w:cs="Times New Roman"/>
          <w:b/>
          <w:color w:val="2E74B5" w:themeColor="accent1" w:themeShade="BF"/>
          <w:sz w:val="24"/>
          <w:szCs w:val="24"/>
          <w:lang w:eastAsia="fr-FR"/>
        </w:rPr>
      </w:pPr>
      <w:r w:rsidRPr="000A4A0F">
        <w:rPr>
          <w:rFonts w:ascii="Times New Roman" w:eastAsia="Times New Roman" w:hAnsi="Times New Roman" w:cs="Times New Roman"/>
          <w:b/>
          <w:sz w:val="24"/>
          <w:szCs w:val="24"/>
          <w:lang w:eastAsia="fr-FR"/>
        </w:rPr>
        <w:lastRenderedPageBreak/>
        <w:t>DONNEES CLINIQUES</w:t>
      </w:r>
      <w:r w:rsidR="0018180E" w:rsidRPr="000A4A0F">
        <w:rPr>
          <w:rFonts w:ascii="Times New Roman" w:eastAsia="Times New Roman" w:hAnsi="Times New Roman" w:cs="Times New Roman"/>
          <w:b/>
          <w:sz w:val="24"/>
          <w:szCs w:val="24"/>
          <w:lang w:eastAsia="fr-FR"/>
        </w:rPr>
        <w:t xml:space="preserve"> ET BIOLOGIQUES</w:t>
      </w:r>
      <w:bookmarkEnd w:id="62"/>
    </w:p>
    <w:p w14:paraId="10CC1BA5" w14:textId="010A9233" w:rsidR="0018180E" w:rsidRPr="006F6219" w:rsidRDefault="00FC4BB6" w:rsidP="00E87246">
      <w:pPr>
        <w:spacing w:after="0" w:line="360" w:lineRule="auto"/>
        <w:jc w:val="both"/>
        <w:rPr>
          <w:rFonts w:ascii="Times New Roman" w:hAnsi="Times New Roman" w:cs="Times New Roman"/>
          <w:b/>
        </w:rPr>
      </w:pPr>
      <w:r w:rsidRPr="006F6219">
        <w:rPr>
          <w:rFonts w:ascii="Times New Roman" w:hAnsi="Times New Roman" w:cs="Times New Roman"/>
          <w:b/>
        </w:rPr>
        <w:t>Tableau 3</w:t>
      </w:r>
      <w:r w:rsidR="0018180E" w:rsidRPr="006F6219">
        <w:rPr>
          <w:rFonts w:ascii="Times New Roman" w:hAnsi="Times New Roman" w:cs="Times New Roman"/>
          <w:b/>
        </w:rPr>
        <w:t>. Données Cliniques et biologies</w:t>
      </w:r>
    </w:p>
    <w:tbl>
      <w:tblPr>
        <w:tblStyle w:val="TableauListe6Couleur-Accentuation3"/>
        <w:tblW w:w="9662" w:type="dxa"/>
        <w:tblLook w:val="04A0" w:firstRow="1" w:lastRow="0" w:firstColumn="1" w:lastColumn="0" w:noHBand="0" w:noVBand="1"/>
      </w:tblPr>
      <w:tblGrid>
        <w:gridCol w:w="2129"/>
        <w:gridCol w:w="2849"/>
        <w:gridCol w:w="857"/>
        <w:gridCol w:w="1646"/>
        <w:gridCol w:w="2181"/>
      </w:tblGrid>
      <w:tr w:rsidR="0018180E" w:rsidRPr="006F6219" w14:paraId="4EE41851" w14:textId="77777777" w:rsidTr="00C92759">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4978" w:type="dxa"/>
            <w:gridSpan w:val="2"/>
            <w:hideMark/>
          </w:tcPr>
          <w:p w14:paraId="014D445D"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Paramètres</w:t>
            </w:r>
          </w:p>
        </w:tc>
        <w:tc>
          <w:tcPr>
            <w:tcW w:w="857" w:type="dxa"/>
            <w:hideMark/>
          </w:tcPr>
          <w:p w14:paraId="0C4458D6" w14:textId="77777777" w:rsidR="0018180E" w:rsidRPr="006F6219" w:rsidRDefault="0018180E" w:rsidP="00E87246">
            <w:pPr>
              <w:pStyle w:val="Sansinterligne"/>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w:t>
            </w:r>
          </w:p>
        </w:tc>
        <w:tc>
          <w:tcPr>
            <w:tcW w:w="1646" w:type="dxa"/>
            <w:hideMark/>
          </w:tcPr>
          <w:p w14:paraId="3510D44C" w14:textId="1BFBEABB" w:rsidR="0018180E" w:rsidRPr="006F6219" w:rsidRDefault="0018180E" w:rsidP="00E87246">
            <w:pPr>
              <w:pStyle w:val="Sansinterligne"/>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Moyen</w:t>
            </w:r>
            <w:r w:rsidR="003F53BA" w:rsidRPr="006F6219">
              <w:rPr>
                <w:rFonts w:ascii="Times New Roman" w:hAnsi="Times New Roman" w:cs="Times New Roman"/>
                <w:lang w:eastAsia="fr-FR"/>
              </w:rPr>
              <w:t>ne ±</w:t>
            </w:r>
            <w:r w:rsidRPr="006F6219">
              <w:rPr>
                <w:rFonts w:ascii="Times New Roman" w:hAnsi="Times New Roman" w:cs="Times New Roman"/>
                <w:lang w:eastAsia="fr-FR"/>
              </w:rPr>
              <w:t> DS</w:t>
            </w:r>
          </w:p>
        </w:tc>
        <w:tc>
          <w:tcPr>
            <w:tcW w:w="2181" w:type="dxa"/>
            <w:hideMark/>
          </w:tcPr>
          <w:p w14:paraId="61AD42AF" w14:textId="77777777" w:rsidR="0018180E" w:rsidRPr="006F6219" w:rsidRDefault="0018180E" w:rsidP="00E87246">
            <w:pPr>
              <w:pStyle w:val="Sansinterligne"/>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eastAsia="fr-FR"/>
              </w:rPr>
              <w:t>Médiane (P25-P75)</w:t>
            </w:r>
          </w:p>
        </w:tc>
      </w:tr>
      <w:tr w:rsidR="0018180E" w:rsidRPr="006F6219" w14:paraId="2189184A"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978" w:type="dxa"/>
            <w:gridSpan w:val="2"/>
          </w:tcPr>
          <w:p w14:paraId="7D6C3041"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Instabilité thermique (n=103)</w:t>
            </w:r>
          </w:p>
        </w:tc>
        <w:tc>
          <w:tcPr>
            <w:tcW w:w="857" w:type="dxa"/>
          </w:tcPr>
          <w:p w14:paraId="3A843BC1"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p>
        </w:tc>
        <w:tc>
          <w:tcPr>
            <w:tcW w:w="1646" w:type="dxa"/>
          </w:tcPr>
          <w:p w14:paraId="7DF5249D"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181" w:type="dxa"/>
          </w:tcPr>
          <w:p w14:paraId="408AA281"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18180E" w:rsidRPr="006F6219" w14:paraId="3FA741F3" w14:textId="77777777" w:rsidTr="00C92759">
        <w:trPr>
          <w:trHeight w:val="233"/>
        </w:trPr>
        <w:tc>
          <w:tcPr>
            <w:cnfStyle w:val="001000000000" w:firstRow="0" w:lastRow="0" w:firstColumn="1" w:lastColumn="0" w:oddVBand="0" w:evenVBand="0" w:oddHBand="0" w:evenHBand="0" w:firstRowFirstColumn="0" w:firstRowLastColumn="0" w:lastRowFirstColumn="0" w:lastRowLastColumn="0"/>
            <w:tcW w:w="2129" w:type="dxa"/>
          </w:tcPr>
          <w:p w14:paraId="2375982A" w14:textId="77777777" w:rsidR="0018180E" w:rsidRPr="006F6219" w:rsidRDefault="0018180E" w:rsidP="00E87246">
            <w:pPr>
              <w:pStyle w:val="Sansinterligne"/>
              <w:spacing w:line="360" w:lineRule="auto"/>
              <w:jc w:val="both"/>
              <w:rPr>
                <w:rFonts w:ascii="Times New Roman" w:hAnsi="Times New Roman" w:cs="Times New Roman"/>
                <w:lang w:eastAsia="fr-FR"/>
              </w:rPr>
            </w:pPr>
          </w:p>
        </w:tc>
        <w:tc>
          <w:tcPr>
            <w:tcW w:w="2849" w:type="dxa"/>
          </w:tcPr>
          <w:p w14:paraId="715B4F75"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Oui</w:t>
            </w:r>
          </w:p>
        </w:tc>
        <w:tc>
          <w:tcPr>
            <w:tcW w:w="857" w:type="dxa"/>
          </w:tcPr>
          <w:p w14:paraId="5704314A"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22.3</w:t>
            </w:r>
          </w:p>
        </w:tc>
        <w:tc>
          <w:tcPr>
            <w:tcW w:w="1646" w:type="dxa"/>
          </w:tcPr>
          <w:p w14:paraId="56E3D267"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181" w:type="dxa"/>
          </w:tcPr>
          <w:p w14:paraId="7D0B902E"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18180E" w:rsidRPr="006F6219" w14:paraId="243DF09F"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129" w:type="dxa"/>
          </w:tcPr>
          <w:p w14:paraId="0E99F041" w14:textId="77777777" w:rsidR="0018180E" w:rsidRPr="006F6219" w:rsidRDefault="0018180E" w:rsidP="00E87246">
            <w:pPr>
              <w:pStyle w:val="Sansinterligne"/>
              <w:spacing w:line="360" w:lineRule="auto"/>
              <w:jc w:val="both"/>
              <w:rPr>
                <w:rFonts w:ascii="Times New Roman" w:hAnsi="Times New Roman" w:cs="Times New Roman"/>
                <w:lang w:eastAsia="fr-FR"/>
              </w:rPr>
            </w:pPr>
          </w:p>
        </w:tc>
        <w:tc>
          <w:tcPr>
            <w:tcW w:w="2849" w:type="dxa"/>
          </w:tcPr>
          <w:p w14:paraId="42A2B372"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Non</w:t>
            </w:r>
          </w:p>
        </w:tc>
        <w:tc>
          <w:tcPr>
            <w:tcW w:w="857" w:type="dxa"/>
          </w:tcPr>
          <w:p w14:paraId="76CB0157"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77.7</w:t>
            </w:r>
          </w:p>
        </w:tc>
        <w:tc>
          <w:tcPr>
            <w:tcW w:w="1646" w:type="dxa"/>
          </w:tcPr>
          <w:p w14:paraId="64FF5A25"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181" w:type="dxa"/>
          </w:tcPr>
          <w:p w14:paraId="33321AE1"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18180E" w:rsidRPr="006F6219" w14:paraId="6AEDD5B0"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4978" w:type="dxa"/>
            <w:gridSpan w:val="2"/>
          </w:tcPr>
          <w:p w14:paraId="7744D727"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Détresse respiratoire (n=51)</w:t>
            </w:r>
          </w:p>
        </w:tc>
        <w:tc>
          <w:tcPr>
            <w:tcW w:w="857" w:type="dxa"/>
          </w:tcPr>
          <w:p w14:paraId="26FEF9BE"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p>
        </w:tc>
        <w:tc>
          <w:tcPr>
            <w:tcW w:w="1646" w:type="dxa"/>
          </w:tcPr>
          <w:p w14:paraId="1EBFAA31"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181" w:type="dxa"/>
          </w:tcPr>
          <w:p w14:paraId="39F0EE2C"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18180E" w:rsidRPr="006F6219" w14:paraId="246B7679"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129" w:type="dxa"/>
          </w:tcPr>
          <w:p w14:paraId="412BBA9F" w14:textId="77777777" w:rsidR="0018180E" w:rsidRPr="006F6219" w:rsidRDefault="0018180E" w:rsidP="00E87246">
            <w:pPr>
              <w:pStyle w:val="Sansinterligne"/>
              <w:spacing w:line="360" w:lineRule="auto"/>
              <w:jc w:val="both"/>
              <w:rPr>
                <w:rFonts w:ascii="Times New Roman" w:hAnsi="Times New Roman" w:cs="Times New Roman"/>
                <w:lang w:eastAsia="fr-FR"/>
              </w:rPr>
            </w:pPr>
          </w:p>
        </w:tc>
        <w:tc>
          <w:tcPr>
            <w:tcW w:w="2849" w:type="dxa"/>
          </w:tcPr>
          <w:p w14:paraId="45A33F00"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Oui</w:t>
            </w:r>
          </w:p>
        </w:tc>
        <w:tc>
          <w:tcPr>
            <w:tcW w:w="857" w:type="dxa"/>
          </w:tcPr>
          <w:p w14:paraId="22B4C9A7"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47.1</w:t>
            </w:r>
          </w:p>
        </w:tc>
        <w:tc>
          <w:tcPr>
            <w:tcW w:w="1646" w:type="dxa"/>
          </w:tcPr>
          <w:p w14:paraId="0CA8DFAB"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181" w:type="dxa"/>
          </w:tcPr>
          <w:p w14:paraId="459947FC"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18180E" w:rsidRPr="006F6219" w14:paraId="01CCC71B"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129" w:type="dxa"/>
          </w:tcPr>
          <w:p w14:paraId="49ACD753" w14:textId="77777777" w:rsidR="0018180E" w:rsidRPr="006F6219" w:rsidRDefault="0018180E" w:rsidP="00E87246">
            <w:pPr>
              <w:pStyle w:val="Sansinterligne"/>
              <w:spacing w:line="360" w:lineRule="auto"/>
              <w:jc w:val="both"/>
              <w:rPr>
                <w:rFonts w:ascii="Times New Roman" w:hAnsi="Times New Roman" w:cs="Times New Roman"/>
                <w:lang w:eastAsia="fr-FR"/>
              </w:rPr>
            </w:pPr>
          </w:p>
        </w:tc>
        <w:tc>
          <w:tcPr>
            <w:tcW w:w="2849" w:type="dxa"/>
          </w:tcPr>
          <w:p w14:paraId="06CD5D0E"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Non</w:t>
            </w:r>
          </w:p>
        </w:tc>
        <w:tc>
          <w:tcPr>
            <w:tcW w:w="857" w:type="dxa"/>
          </w:tcPr>
          <w:p w14:paraId="0F7783A8"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52.9</w:t>
            </w:r>
          </w:p>
        </w:tc>
        <w:tc>
          <w:tcPr>
            <w:tcW w:w="1646" w:type="dxa"/>
          </w:tcPr>
          <w:p w14:paraId="770285E4"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181" w:type="dxa"/>
          </w:tcPr>
          <w:p w14:paraId="36D76F12"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18180E" w:rsidRPr="006F6219" w14:paraId="44400ED0"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129" w:type="dxa"/>
          </w:tcPr>
          <w:p w14:paraId="27FF07D0" w14:textId="77777777" w:rsidR="0018180E" w:rsidRPr="006F6219" w:rsidRDefault="0018180E" w:rsidP="00E87246">
            <w:pPr>
              <w:pStyle w:val="Sansinterligne"/>
              <w:spacing w:line="360" w:lineRule="auto"/>
              <w:jc w:val="both"/>
              <w:rPr>
                <w:rFonts w:ascii="Times New Roman" w:hAnsi="Times New Roman" w:cs="Times New Roman"/>
                <w:lang w:eastAsia="fr-FR"/>
              </w:rPr>
            </w:pPr>
            <w:r w:rsidRPr="006F6219">
              <w:rPr>
                <w:rFonts w:ascii="Times New Roman" w:hAnsi="Times New Roman" w:cs="Times New Roman"/>
                <w:lang w:eastAsia="fr-FR"/>
              </w:rPr>
              <w:t>INN (n=136)</w:t>
            </w:r>
          </w:p>
        </w:tc>
        <w:tc>
          <w:tcPr>
            <w:tcW w:w="2849" w:type="dxa"/>
          </w:tcPr>
          <w:p w14:paraId="7DDB8875"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Oui</w:t>
            </w:r>
          </w:p>
        </w:tc>
        <w:tc>
          <w:tcPr>
            <w:tcW w:w="857" w:type="dxa"/>
          </w:tcPr>
          <w:p w14:paraId="6A0EF5CD"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28.7</w:t>
            </w:r>
          </w:p>
        </w:tc>
        <w:tc>
          <w:tcPr>
            <w:tcW w:w="1646" w:type="dxa"/>
          </w:tcPr>
          <w:p w14:paraId="5AF898B5"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181" w:type="dxa"/>
          </w:tcPr>
          <w:p w14:paraId="0E072C6D"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18180E" w:rsidRPr="006F6219" w14:paraId="1A329582"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4978" w:type="dxa"/>
            <w:gridSpan w:val="2"/>
          </w:tcPr>
          <w:p w14:paraId="68852AC2"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Durée hospitalisation (n=136)</w:t>
            </w:r>
          </w:p>
        </w:tc>
        <w:tc>
          <w:tcPr>
            <w:tcW w:w="857" w:type="dxa"/>
          </w:tcPr>
          <w:p w14:paraId="57C65594"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p>
        </w:tc>
        <w:tc>
          <w:tcPr>
            <w:tcW w:w="1646" w:type="dxa"/>
          </w:tcPr>
          <w:p w14:paraId="6ECDE754"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181" w:type="dxa"/>
          </w:tcPr>
          <w:p w14:paraId="6C30762D"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6(3.00-13.00)</w:t>
            </w:r>
          </w:p>
        </w:tc>
      </w:tr>
      <w:tr w:rsidR="0018180E" w:rsidRPr="006F6219" w14:paraId="6F18B5B3" w14:textId="77777777" w:rsidTr="00C9275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978" w:type="dxa"/>
            <w:gridSpan w:val="2"/>
          </w:tcPr>
          <w:p w14:paraId="219E6B21"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Bilirubine Total (BT)</w:t>
            </w:r>
          </w:p>
        </w:tc>
        <w:tc>
          <w:tcPr>
            <w:tcW w:w="857" w:type="dxa"/>
          </w:tcPr>
          <w:p w14:paraId="55808EBA"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p>
        </w:tc>
        <w:tc>
          <w:tcPr>
            <w:tcW w:w="1646" w:type="dxa"/>
          </w:tcPr>
          <w:p w14:paraId="3FF0692F"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181" w:type="dxa"/>
          </w:tcPr>
          <w:p w14:paraId="05001455"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18180E" w:rsidRPr="006F6219" w14:paraId="7685F7DB" w14:textId="77777777" w:rsidTr="00C92759">
        <w:trPr>
          <w:trHeight w:val="437"/>
        </w:trPr>
        <w:tc>
          <w:tcPr>
            <w:cnfStyle w:val="001000000000" w:firstRow="0" w:lastRow="0" w:firstColumn="1" w:lastColumn="0" w:oddVBand="0" w:evenVBand="0" w:oddHBand="0" w:evenHBand="0" w:firstRowFirstColumn="0" w:firstRowLastColumn="0" w:lastRowFirstColumn="0" w:lastRowLastColumn="0"/>
            <w:tcW w:w="2129" w:type="dxa"/>
          </w:tcPr>
          <w:p w14:paraId="21FF9668" w14:textId="77777777" w:rsidR="0018180E" w:rsidRPr="006F6219" w:rsidRDefault="0018180E" w:rsidP="00E87246">
            <w:pPr>
              <w:pStyle w:val="Sansinterligne"/>
              <w:spacing w:line="360" w:lineRule="auto"/>
              <w:jc w:val="both"/>
              <w:rPr>
                <w:rFonts w:ascii="Times New Roman" w:hAnsi="Times New Roman" w:cs="Times New Roman"/>
                <w:lang w:eastAsia="fr-FR"/>
              </w:rPr>
            </w:pPr>
          </w:p>
        </w:tc>
        <w:tc>
          <w:tcPr>
            <w:tcW w:w="2849" w:type="dxa"/>
          </w:tcPr>
          <w:p w14:paraId="6539C95A"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BT à l’admission (n=129)</w:t>
            </w:r>
          </w:p>
        </w:tc>
        <w:tc>
          <w:tcPr>
            <w:tcW w:w="857" w:type="dxa"/>
          </w:tcPr>
          <w:p w14:paraId="74EE7D06"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p>
        </w:tc>
        <w:tc>
          <w:tcPr>
            <w:tcW w:w="1646" w:type="dxa"/>
          </w:tcPr>
          <w:p w14:paraId="7C3F4EA1" w14:textId="509817DE" w:rsidR="0018180E" w:rsidRPr="006F6219" w:rsidRDefault="003F53BA"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22.59 ±</w:t>
            </w:r>
            <w:r w:rsidR="0018180E" w:rsidRPr="006F6219">
              <w:rPr>
                <w:rFonts w:ascii="Times New Roman" w:hAnsi="Times New Roman" w:cs="Times New Roman"/>
                <w:lang w:eastAsia="fr-FR"/>
              </w:rPr>
              <w:t>9.09</w:t>
            </w:r>
          </w:p>
        </w:tc>
        <w:tc>
          <w:tcPr>
            <w:tcW w:w="2181" w:type="dxa"/>
          </w:tcPr>
          <w:p w14:paraId="23B875A5"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18180E" w:rsidRPr="006F6219" w14:paraId="466EB407" w14:textId="77777777" w:rsidTr="00C9275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9" w:type="dxa"/>
          </w:tcPr>
          <w:p w14:paraId="0C828040" w14:textId="77777777" w:rsidR="0018180E" w:rsidRPr="006F6219" w:rsidRDefault="0018180E" w:rsidP="00E87246">
            <w:pPr>
              <w:pStyle w:val="Sansinterligne"/>
              <w:spacing w:line="360" w:lineRule="auto"/>
              <w:jc w:val="both"/>
              <w:rPr>
                <w:rFonts w:ascii="Times New Roman" w:hAnsi="Times New Roman" w:cs="Times New Roman"/>
                <w:lang w:eastAsia="fr-FR"/>
              </w:rPr>
            </w:pPr>
          </w:p>
        </w:tc>
        <w:tc>
          <w:tcPr>
            <w:tcW w:w="2849" w:type="dxa"/>
          </w:tcPr>
          <w:p w14:paraId="057EDC1D"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BT 1</w:t>
            </w:r>
            <w:r w:rsidRPr="006F6219">
              <w:rPr>
                <w:rFonts w:ascii="Times New Roman" w:hAnsi="Times New Roman" w:cs="Times New Roman"/>
                <w:vertAlign w:val="superscript"/>
                <w:lang w:val="fr-BE" w:eastAsia="fr-FR"/>
              </w:rPr>
              <w:t>er</w:t>
            </w:r>
            <w:r w:rsidRPr="006F6219">
              <w:rPr>
                <w:rFonts w:ascii="Times New Roman" w:hAnsi="Times New Roman" w:cs="Times New Roman"/>
                <w:lang w:val="fr-BE" w:eastAsia="fr-FR"/>
              </w:rPr>
              <w:t xml:space="preserve"> Contrôle (n=105)</w:t>
            </w:r>
          </w:p>
        </w:tc>
        <w:tc>
          <w:tcPr>
            <w:tcW w:w="857" w:type="dxa"/>
          </w:tcPr>
          <w:p w14:paraId="6ECEF53C"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p>
        </w:tc>
        <w:tc>
          <w:tcPr>
            <w:tcW w:w="1646" w:type="dxa"/>
          </w:tcPr>
          <w:p w14:paraId="14A3018D" w14:textId="11C54300" w:rsidR="0018180E" w:rsidRPr="006F6219" w:rsidRDefault="003F53BA"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16.01 ±</w:t>
            </w:r>
            <w:r w:rsidR="0018180E" w:rsidRPr="006F6219">
              <w:rPr>
                <w:rFonts w:ascii="Times New Roman" w:hAnsi="Times New Roman" w:cs="Times New Roman"/>
                <w:lang w:eastAsia="fr-FR"/>
              </w:rPr>
              <w:t>8.56</w:t>
            </w:r>
          </w:p>
        </w:tc>
        <w:tc>
          <w:tcPr>
            <w:tcW w:w="2181" w:type="dxa"/>
          </w:tcPr>
          <w:p w14:paraId="4C7F3059"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18180E" w:rsidRPr="006F6219" w14:paraId="1E1B557A" w14:textId="77777777" w:rsidTr="00C92759">
        <w:trPr>
          <w:trHeight w:val="452"/>
        </w:trPr>
        <w:tc>
          <w:tcPr>
            <w:cnfStyle w:val="001000000000" w:firstRow="0" w:lastRow="0" w:firstColumn="1" w:lastColumn="0" w:oddVBand="0" w:evenVBand="0" w:oddHBand="0" w:evenHBand="0" w:firstRowFirstColumn="0" w:firstRowLastColumn="0" w:lastRowFirstColumn="0" w:lastRowLastColumn="0"/>
            <w:tcW w:w="2129" w:type="dxa"/>
          </w:tcPr>
          <w:p w14:paraId="1FFD4763" w14:textId="77777777" w:rsidR="0018180E" w:rsidRPr="006F6219" w:rsidRDefault="0018180E" w:rsidP="00E87246">
            <w:pPr>
              <w:pStyle w:val="Sansinterligne"/>
              <w:spacing w:line="360" w:lineRule="auto"/>
              <w:jc w:val="both"/>
              <w:rPr>
                <w:rFonts w:ascii="Times New Roman" w:hAnsi="Times New Roman" w:cs="Times New Roman"/>
                <w:lang w:eastAsia="fr-FR"/>
              </w:rPr>
            </w:pPr>
          </w:p>
        </w:tc>
        <w:tc>
          <w:tcPr>
            <w:tcW w:w="2849" w:type="dxa"/>
          </w:tcPr>
          <w:p w14:paraId="52A86872"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BT 2</w:t>
            </w:r>
            <w:r w:rsidRPr="006F6219">
              <w:rPr>
                <w:rFonts w:ascii="Times New Roman" w:hAnsi="Times New Roman" w:cs="Times New Roman"/>
                <w:vertAlign w:val="superscript"/>
                <w:lang w:val="fr-BE" w:eastAsia="fr-FR"/>
              </w:rPr>
              <w:t>ème</w:t>
            </w:r>
            <w:r w:rsidRPr="006F6219">
              <w:rPr>
                <w:rFonts w:ascii="Times New Roman" w:hAnsi="Times New Roman" w:cs="Times New Roman"/>
                <w:lang w:val="fr-BE" w:eastAsia="fr-FR"/>
              </w:rPr>
              <w:t xml:space="preserve"> Contrôle (n=32)</w:t>
            </w:r>
          </w:p>
        </w:tc>
        <w:tc>
          <w:tcPr>
            <w:tcW w:w="857" w:type="dxa"/>
          </w:tcPr>
          <w:p w14:paraId="21BBC232"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p>
        </w:tc>
        <w:tc>
          <w:tcPr>
            <w:tcW w:w="1646" w:type="dxa"/>
          </w:tcPr>
          <w:p w14:paraId="3B15B767" w14:textId="5D72B6DA" w:rsidR="0018180E" w:rsidRPr="006F6219" w:rsidRDefault="003F53BA"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20.37 ±</w:t>
            </w:r>
            <w:r w:rsidR="0018180E" w:rsidRPr="006F6219">
              <w:rPr>
                <w:rFonts w:ascii="Times New Roman" w:hAnsi="Times New Roman" w:cs="Times New Roman"/>
                <w:lang w:eastAsia="fr-FR"/>
              </w:rPr>
              <w:t>11.88</w:t>
            </w:r>
          </w:p>
        </w:tc>
        <w:tc>
          <w:tcPr>
            <w:tcW w:w="2181" w:type="dxa"/>
          </w:tcPr>
          <w:p w14:paraId="4B29CFF2"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18180E" w:rsidRPr="006F6219" w14:paraId="014BEACA"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978" w:type="dxa"/>
            <w:gridSpan w:val="2"/>
          </w:tcPr>
          <w:p w14:paraId="19AAE5A4"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Bilirubine Indirect (BI)</w:t>
            </w:r>
          </w:p>
        </w:tc>
        <w:tc>
          <w:tcPr>
            <w:tcW w:w="857" w:type="dxa"/>
          </w:tcPr>
          <w:p w14:paraId="4C388085"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p>
        </w:tc>
        <w:tc>
          <w:tcPr>
            <w:tcW w:w="1646" w:type="dxa"/>
          </w:tcPr>
          <w:p w14:paraId="2EA75425"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181" w:type="dxa"/>
          </w:tcPr>
          <w:p w14:paraId="6453E382"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18180E" w:rsidRPr="006F6219" w14:paraId="0E26EC8F" w14:textId="77777777" w:rsidTr="00C92759">
        <w:trPr>
          <w:trHeight w:val="452"/>
        </w:trPr>
        <w:tc>
          <w:tcPr>
            <w:cnfStyle w:val="001000000000" w:firstRow="0" w:lastRow="0" w:firstColumn="1" w:lastColumn="0" w:oddVBand="0" w:evenVBand="0" w:oddHBand="0" w:evenHBand="0" w:firstRowFirstColumn="0" w:firstRowLastColumn="0" w:lastRowFirstColumn="0" w:lastRowLastColumn="0"/>
            <w:tcW w:w="2129" w:type="dxa"/>
          </w:tcPr>
          <w:p w14:paraId="587B04D3" w14:textId="77777777" w:rsidR="0018180E" w:rsidRPr="006F6219" w:rsidRDefault="0018180E" w:rsidP="00E87246">
            <w:pPr>
              <w:pStyle w:val="Sansinterligne"/>
              <w:spacing w:line="360" w:lineRule="auto"/>
              <w:jc w:val="both"/>
              <w:rPr>
                <w:rFonts w:ascii="Times New Roman" w:hAnsi="Times New Roman" w:cs="Times New Roman"/>
                <w:lang w:eastAsia="fr-FR"/>
              </w:rPr>
            </w:pPr>
          </w:p>
        </w:tc>
        <w:tc>
          <w:tcPr>
            <w:tcW w:w="2849" w:type="dxa"/>
          </w:tcPr>
          <w:p w14:paraId="0274EA66"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BI à l’admission (n=117)</w:t>
            </w:r>
          </w:p>
        </w:tc>
        <w:tc>
          <w:tcPr>
            <w:tcW w:w="857" w:type="dxa"/>
          </w:tcPr>
          <w:p w14:paraId="5A50FE87"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p>
        </w:tc>
        <w:tc>
          <w:tcPr>
            <w:tcW w:w="1646" w:type="dxa"/>
          </w:tcPr>
          <w:p w14:paraId="70417914" w14:textId="216B748F" w:rsidR="0018180E" w:rsidRPr="006F6219" w:rsidRDefault="00855215"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20.87 ±8.68</w:t>
            </w:r>
          </w:p>
        </w:tc>
        <w:tc>
          <w:tcPr>
            <w:tcW w:w="2181" w:type="dxa"/>
          </w:tcPr>
          <w:p w14:paraId="1ACEE4A9"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18180E" w:rsidRPr="006F6219" w14:paraId="006FBC7B" w14:textId="77777777" w:rsidTr="00C9275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9" w:type="dxa"/>
          </w:tcPr>
          <w:p w14:paraId="064DD02B" w14:textId="77777777" w:rsidR="0018180E" w:rsidRPr="006F6219" w:rsidRDefault="0018180E" w:rsidP="00E87246">
            <w:pPr>
              <w:pStyle w:val="Sansinterligne"/>
              <w:spacing w:line="360" w:lineRule="auto"/>
              <w:jc w:val="both"/>
              <w:rPr>
                <w:rFonts w:ascii="Times New Roman" w:hAnsi="Times New Roman" w:cs="Times New Roman"/>
                <w:lang w:eastAsia="fr-FR"/>
              </w:rPr>
            </w:pPr>
          </w:p>
        </w:tc>
        <w:tc>
          <w:tcPr>
            <w:tcW w:w="2849" w:type="dxa"/>
          </w:tcPr>
          <w:p w14:paraId="7237A728"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BI 1</w:t>
            </w:r>
            <w:r w:rsidRPr="006F6219">
              <w:rPr>
                <w:rFonts w:ascii="Times New Roman" w:hAnsi="Times New Roman" w:cs="Times New Roman"/>
                <w:vertAlign w:val="superscript"/>
                <w:lang w:val="fr-BE" w:eastAsia="fr-FR"/>
              </w:rPr>
              <w:t>er</w:t>
            </w:r>
            <w:r w:rsidRPr="006F6219">
              <w:rPr>
                <w:rFonts w:ascii="Times New Roman" w:hAnsi="Times New Roman" w:cs="Times New Roman"/>
                <w:lang w:val="fr-BE" w:eastAsia="fr-FR"/>
              </w:rPr>
              <w:t xml:space="preserve"> Contrôle (n=89)</w:t>
            </w:r>
          </w:p>
        </w:tc>
        <w:tc>
          <w:tcPr>
            <w:tcW w:w="857" w:type="dxa"/>
          </w:tcPr>
          <w:p w14:paraId="5C14A9CF"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p>
        </w:tc>
        <w:tc>
          <w:tcPr>
            <w:tcW w:w="1646" w:type="dxa"/>
          </w:tcPr>
          <w:p w14:paraId="1FC342D7" w14:textId="4D8ED969" w:rsidR="0018180E" w:rsidRPr="006F6219" w:rsidRDefault="00855215"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14.32 ±7.46</w:t>
            </w:r>
          </w:p>
        </w:tc>
        <w:tc>
          <w:tcPr>
            <w:tcW w:w="2181" w:type="dxa"/>
          </w:tcPr>
          <w:p w14:paraId="20E80760"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18180E" w:rsidRPr="006F6219" w14:paraId="798E50B6" w14:textId="77777777" w:rsidTr="00C92759">
        <w:trPr>
          <w:trHeight w:val="437"/>
        </w:trPr>
        <w:tc>
          <w:tcPr>
            <w:cnfStyle w:val="001000000000" w:firstRow="0" w:lastRow="0" w:firstColumn="1" w:lastColumn="0" w:oddVBand="0" w:evenVBand="0" w:oddHBand="0" w:evenHBand="0" w:firstRowFirstColumn="0" w:firstRowLastColumn="0" w:lastRowFirstColumn="0" w:lastRowLastColumn="0"/>
            <w:tcW w:w="2129" w:type="dxa"/>
          </w:tcPr>
          <w:p w14:paraId="599E5C8D" w14:textId="77777777" w:rsidR="0018180E" w:rsidRPr="006F6219" w:rsidRDefault="0018180E" w:rsidP="00E87246">
            <w:pPr>
              <w:pStyle w:val="Sansinterligne"/>
              <w:spacing w:line="360" w:lineRule="auto"/>
              <w:jc w:val="both"/>
              <w:rPr>
                <w:rFonts w:ascii="Times New Roman" w:hAnsi="Times New Roman" w:cs="Times New Roman"/>
                <w:lang w:eastAsia="fr-FR"/>
              </w:rPr>
            </w:pPr>
          </w:p>
        </w:tc>
        <w:tc>
          <w:tcPr>
            <w:tcW w:w="2849" w:type="dxa"/>
          </w:tcPr>
          <w:p w14:paraId="2B516AF6"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BI 2</w:t>
            </w:r>
            <w:r w:rsidRPr="006F6219">
              <w:rPr>
                <w:rFonts w:ascii="Times New Roman" w:hAnsi="Times New Roman" w:cs="Times New Roman"/>
                <w:vertAlign w:val="superscript"/>
                <w:lang w:val="fr-BE" w:eastAsia="fr-FR"/>
              </w:rPr>
              <w:t>ème</w:t>
            </w:r>
            <w:r w:rsidRPr="006F6219">
              <w:rPr>
                <w:rFonts w:ascii="Times New Roman" w:hAnsi="Times New Roman" w:cs="Times New Roman"/>
                <w:lang w:val="fr-BE" w:eastAsia="fr-FR"/>
              </w:rPr>
              <w:t xml:space="preserve"> Contrôle (n=28)</w:t>
            </w:r>
          </w:p>
        </w:tc>
        <w:tc>
          <w:tcPr>
            <w:tcW w:w="857" w:type="dxa"/>
          </w:tcPr>
          <w:p w14:paraId="6D812739"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p>
        </w:tc>
        <w:tc>
          <w:tcPr>
            <w:tcW w:w="1646" w:type="dxa"/>
          </w:tcPr>
          <w:p w14:paraId="0ECA96F8" w14:textId="7C375F5E" w:rsidR="0018180E" w:rsidRPr="006F6219" w:rsidRDefault="00855215"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18.18 ±8.87</w:t>
            </w:r>
          </w:p>
        </w:tc>
        <w:tc>
          <w:tcPr>
            <w:tcW w:w="2181" w:type="dxa"/>
          </w:tcPr>
          <w:p w14:paraId="0D0E52E2"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18180E" w:rsidRPr="006F6219" w14:paraId="455FD7DD" w14:textId="77777777" w:rsidTr="00C9275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978" w:type="dxa"/>
            <w:gridSpan w:val="2"/>
          </w:tcPr>
          <w:p w14:paraId="63BB4130" w14:textId="35336796" w:rsidR="0018180E" w:rsidRPr="006F6219" w:rsidRDefault="005761A8" w:rsidP="00E87246">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Hémoglobine (mg/dl) n=112</w:t>
            </w:r>
          </w:p>
        </w:tc>
        <w:tc>
          <w:tcPr>
            <w:tcW w:w="857" w:type="dxa"/>
          </w:tcPr>
          <w:p w14:paraId="21C0BE02"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p>
        </w:tc>
        <w:tc>
          <w:tcPr>
            <w:tcW w:w="1646" w:type="dxa"/>
          </w:tcPr>
          <w:p w14:paraId="7A4617F5" w14:textId="135CA383" w:rsidR="0018180E" w:rsidRPr="006F6219" w:rsidRDefault="00454F68"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13.79 ±</w:t>
            </w:r>
            <w:r w:rsidR="0018180E" w:rsidRPr="006F6219">
              <w:rPr>
                <w:rFonts w:ascii="Times New Roman" w:hAnsi="Times New Roman" w:cs="Times New Roman"/>
                <w:lang w:eastAsia="fr-FR"/>
              </w:rPr>
              <w:t>3.28</w:t>
            </w:r>
          </w:p>
        </w:tc>
        <w:tc>
          <w:tcPr>
            <w:tcW w:w="2181" w:type="dxa"/>
          </w:tcPr>
          <w:p w14:paraId="6E120BE9"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18180E" w:rsidRPr="006F6219" w14:paraId="1D26B62B"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129" w:type="dxa"/>
          </w:tcPr>
          <w:p w14:paraId="08E91A9F" w14:textId="77777777" w:rsidR="0018180E" w:rsidRPr="006F6219" w:rsidRDefault="0018180E" w:rsidP="00E87246">
            <w:pPr>
              <w:pStyle w:val="Sansinterligne"/>
              <w:spacing w:line="360" w:lineRule="auto"/>
              <w:jc w:val="both"/>
              <w:rPr>
                <w:rFonts w:ascii="Times New Roman" w:hAnsi="Times New Roman" w:cs="Times New Roman"/>
                <w:lang w:eastAsia="fr-FR"/>
              </w:rPr>
            </w:pPr>
          </w:p>
        </w:tc>
        <w:tc>
          <w:tcPr>
            <w:tcW w:w="2849" w:type="dxa"/>
          </w:tcPr>
          <w:p w14:paraId="71AEF75D" w14:textId="20457801"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 xml:space="preserve">&lt; 12 </w:t>
            </w:r>
            <w:r w:rsidRPr="006F6219">
              <w:rPr>
                <w:rFonts w:ascii="Times New Roman" w:hAnsi="Times New Roman" w:cs="Times New Roman"/>
                <w:lang w:eastAsia="fr-FR"/>
              </w:rPr>
              <w:t>mg/dl</w:t>
            </w:r>
            <w:r w:rsidR="005761A8" w:rsidRPr="006F6219">
              <w:rPr>
                <w:rFonts w:ascii="Times New Roman" w:hAnsi="Times New Roman" w:cs="Times New Roman"/>
                <w:lang w:eastAsia="fr-FR"/>
              </w:rPr>
              <w:t xml:space="preserve"> ou </w:t>
            </w:r>
            <w:proofErr w:type="spellStart"/>
            <w:r w:rsidR="005761A8" w:rsidRPr="006F6219">
              <w:rPr>
                <w:rFonts w:ascii="Times New Roman" w:hAnsi="Times New Roman" w:cs="Times New Roman"/>
                <w:lang w:eastAsia="fr-FR"/>
              </w:rPr>
              <w:t>Hte</w:t>
            </w:r>
            <w:proofErr w:type="spellEnd"/>
            <w:r w:rsidR="005761A8" w:rsidRPr="006F6219">
              <w:rPr>
                <w:rFonts w:ascii="Times New Roman" w:hAnsi="Times New Roman" w:cs="Times New Roman"/>
                <w:lang w:val="fr-BE" w:eastAsia="fr-FR"/>
              </w:rPr>
              <w:t>&lt; »</w:t>
            </w:r>
          </w:p>
        </w:tc>
        <w:tc>
          <w:tcPr>
            <w:tcW w:w="857" w:type="dxa"/>
          </w:tcPr>
          <w:p w14:paraId="60548E10" w14:textId="07809E90" w:rsidR="0018180E" w:rsidRPr="006F6219" w:rsidRDefault="00AF695B"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eastAsia="fr-FR"/>
              </w:rPr>
            </w:pPr>
            <w:r w:rsidRPr="006F6219">
              <w:rPr>
                <w:rFonts w:ascii="Times New Roman" w:hAnsi="Times New Roman" w:cs="Times New Roman"/>
                <w:lang w:val="en-US" w:eastAsia="fr-FR"/>
              </w:rPr>
              <w:t>25%</w:t>
            </w:r>
          </w:p>
        </w:tc>
        <w:tc>
          <w:tcPr>
            <w:tcW w:w="1646" w:type="dxa"/>
          </w:tcPr>
          <w:p w14:paraId="26DAEF94"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181" w:type="dxa"/>
          </w:tcPr>
          <w:p w14:paraId="3825CC98"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18180E" w:rsidRPr="006F6219" w14:paraId="05C85E65"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978" w:type="dxa"/>
            <w:gridSpan w:val="2"/>
          </w:tcPr>
          <w:p w14:paraId="71274604"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TSH (</w:t>
            </w:r>
            <w:proofErr w:type="spellStart"/>
            <w:r w:rsidRPr="006F6219">
              <w:rPr>
                <w:rFonts w:ascii="Times New Roman" w:hAnsi="Times New Roman" w:cs="Times New Roman"/>
                <w:lang w:eastAsia="fr-FR"/>
              </w:rPr>
              <w:t>mU</w:t>
            </w:r>
            <w:proofErr w:type="spellEnd"/>
            <w:r w:rsidRPr="006F6219">
              <w:rPr>
                <w:rFonts w:ascii="Times New Roman" w:hAnsi="Times New Roman" w:cs="Times New Roman"/>
                <w:lang w:eastAsia="fr-FR"/>
              </w:rPr>
              <w:t>/L) n=134</w:t>
            </w:r>
          </w:p>
        </w:tc>
        <w:tc>
          <w:tcPr>
            <w:tcW w:w="857" w:type="dxa"/>
          </w:tcPr>
          <w:p w14:paraId="0AB602B7"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p>
        </w:tc>
        <w:tc>
          <w:tcPr>
            <w:tcW w:w="1646" w:type="dxa"/>
          </w:tcPr>
          <w:p w14:paraId="0392D251"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181" w:type="dxa"/>
          </w:tcPr>
          <w:p w14:paraId="329B2ADE" w14:textId="4E9EAEB3" w:rsidR="0018180E" w:rsidRPr="006F6219" w:rsidRDefault="00980A7F"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1.12 (</w:t>
            </w:r>
            <w:r w:rsidR="0018180E" w:rsidRPr="006F6219">
              <w:rPr>
                <w:rFonts w:ascii="Times New Roman" w:hAnsi="Times New Roman" w:cs="Times New Roman"/>
                <w:lang w:eastAsia="fr-FR"/>
              </w:rPr>
              <w:t>1.06-1.22)</w:t>
            </w:r>
          </w:p>
        </w:tc>
      </w:tr>
      <w:tr w:rsidR="0018180E" w:rsidRPr="006F6219" w14:paraId="54C25054"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129" w:type="dxa"/>
          </w:tcPr>
          <w:p w14:paraId="72D9F0B3" w14:textId="77777777" w:rsidR="0018180E" w:rsidRPr="006F6219" w:rsidRDefault="0018180E" w:rsidP="00E87246">
            <w:pPr>
              <w:pStyle w:val="Sansinterligne"/>
              <w:spacing w:line="360" w:lineRule="auto"/>
              <w:jc w:val="both"/>
              <w:rPr>
                <w:rFonts w:ascii="Times New Roman" w:hAnsi="Times New Roman" w:cs="Times New Roman"/>
                <w:lang w:eastAsia="fr-FR"/>
              </w:rPr>
            </w:pPr>
          </w:p>
        </w:tc>
        <w:tc>
          <w:tcPr>
            <w:tcW w:w="2849" w:type="dxa"/>
          </w:tcPr>
          <w:p w14:paraId="2DF40315"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&gt;8</w:t>
            </w:r>
            <w:r w:rsidRPr="006F6219">
              <w:rPr>
                <w:rFonts w:ascii="Times New Roman" w:hAnsi="Times New Roman" w:cs="Times New Roman"/>
                <w:lang w:eastAsia="fr-FR"/>
              </w:rPr>
              <w:t xml:space="preserve"> </w:t>
            </w:r>
            <w:proofErr w:type="spellStart"/>
            <w:r w:rsidRPr="006F6219">
              <w:rPr>
                <w:rFonts w:ascii="Times New Roman" w:hAnsi="Times New Roman" w:cs="Times New Roman"/>
                <w:lang w:eastAsia="fr-FR"/>
              </w:rPr>
              <w:t>mU</w:t>
            </w:r>
            <w:proofErr w:type="spellEnd"/>
            <w:r w:rsidRPr="006F6219">
              <w:rPr>
                <w:rFonts w:ascii="Times New Roman" w:hAnsi="Times New Roman" w:cs="Times New Roman"/>
                <w:lang w:eastAsia="fr-FR"/>
              </w:rPr>
              <w:t>/L</w:t>
            </w:r>
          </w:p>
        </w:tc>
        <w:tc>
          <w:tcPr>
            <w:tcW w:w="857" w:type="dxa"/>
          </w:tcPr>
          <w:p w14:paraId="05270071"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0.7</w:t>
            </w:r>
          </w:p>
        </w:tc>
        <w:tc>
          <w:tcPr>
            <w:tcW w:w="1646" w:type="dxa"/>
          </w:tcPr>
          <w:p w14:paraId="4448B14A"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181" w:type="dxa"/>
          </w:tcPr>
          <w:p w14:paraId="33C62D3D"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18180E" w:rsidRPr="006F6219" w14:paraId="4DEFCF0A"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978" w:type="dxa"/>
            <w:gridSpan w:val="2"/>
          </w:tcPr>
          <w:p w14:paraId="0F2E527E"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IRT (</w:t>
            </w:r>
            <w:r w:rsidRPr="006F6219">
              <w:rPr>
                <w:rFonts w:ascii="Times New Roman" w:hAnsi="Times New Roman" w:cs="Times New Roman"/>
                <w:shd w:val="clear" w:color="auto" w:fill="FFFFFF"/>
              </w:rPr>
              <w:t>µg/L</w:t>
            </w:r>
            <w:r w:rsidRPr="006F6219">
              <w:rPr>
                <w:rFonts w:ascii="Times New Roman" w:hAnsi="Times New Roman" w:cs="Times New Roman"/>
                <w:lang w:eastAsia="fr-FR"/>
              </w:rPr>
              <w:t>) n=134</w:t>
            </w:r>
          </w:p>
        </w:tc>
        <w:tc>
          <w:tcPr>
            <w:tcW w:w="857" w:type="dxa"/>
          </w:tcPr>
          <w:p w14:paraId="7F1F67CA"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p>
        </w:tc>
        <w:tc>
          <w:tcPr>
            <w:tcW w:w="1646" w:type="dxa"/>
          </w:tcPr>
          <w:p w14:paraId="72DD9D2D"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181" w:type="dxa"/>
          </w:tcPr>
          <w:p w14:paraId="3AE3BDA9" w14:textId="5ED7981D" w:rsidR="0018180E" w:rsidRPr="006F6219" w:rsidRDefault="00980A7F"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27.32 (</w:t>
            </w:r>
            <w:r w:rsidR="0018180E" w:rsidRPr="006F6219">
              <w:rPr>
                <w:rFonts w:ascii="Times New Roman" w:hAnsi="Times New Roman" w:cs="Times New Roman"/>
                <w:lang w:eastAsia="fr-FR"/>
              </w:rPr>
              <w:t>17.49-37.93)</w:t>
            </w:r>
          </w:p>
        </w:tc>
      </w:tr>
      <w:tr w:rsidR="0018180E" w:rsidRPr="006F6219" w14:paraId="1BB3A548" w14:textId="77777777" w:rsidTr="00C92759">
        <w:trPr>
          <w:trHeight w:val="233"/>
        </w:trPr>
        <w:tc>
          <w:tcPr>
            <w:cnfStyle w:val="001000000000" w:firstRow="0" w:lastRow="0" w:firstColumn="1" w:lastColumn="0" w:oddVBand="0" w:evenVBand="0" w:oddHBand="0" w:evenHBand="0" w:firstRowFirstColumn="0" w:firstRowLastColumn="0" w:lastRowFirstColumn="0" w:lastRowLastColumn="0"/>
            <w:tcW w:w="2129" w:type="dxa"/>
          </w:tcPr>
          <w:p w14:paraId="03E699E3" w14:textId="77777777" w:rsidR="0018180E" w:rsidRPr="006F6219" w:rsidRDefault="0018180E" w:rsidP="00E87246">
            <w:pPr>
              <w:pStyle w:val="Sansinterligne"/>
              <w:spacing w:line="360" w:lineRule="auto"/>
              <w:jc w:val="both"/>
              <w:rPr>
                <w:rFonts w:ascii="Times New Roman" w:hAnsi="Times New Roman" w:cs="Times New Roman"/>
                <w:lang w:eastAsia="fr-FR"/>
              </w:rPr>
            </w:pPr>
          </w:p>
        </w:tc>
        <w:tc>
          <w:tcPr>
            <w:tcW w:w="2849" w:type="dxa"/>
          </w:tcPr>
          <w:p w14:paraId="40AA587B"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rPr>
            </w:pPr>
            <w:r w:rsidRPr="006F6219">
              <w:rPr>
                <w:rFonts w:ascii="Times New Roman" w:hAnsi="Times New Roman" w:cs="Times New Roman"/>
                <w:lang w:val="fr-BE" w:eastAsia="fr-FR"/>
              </w:rPr>
              <w:t>&gt;72.8</w:t>
            </w:r>
            <w:r w:rsidRPr="006F6219">
              <w:rPr>
                <w:rFonts w:ascii="Times New Roman" w:hAnsi="Times New Roman" w:cs="Times New Roman"/>
                <w:lang w:eastAsia="fr-FR"/>
              </w:rPr>
              <w:t xml:space="preserve"> </w:t>
            </w:r>
            <w:r w:rsidRPr="006F6219">
              <w:rPr>
                <w:rFonts w:ascii="Times New Roman" w:hAnsi="Times New Roman" w:cs="Times New Roman"/>
                <w:shd w:val="clear" w:color="auto" w:fill="FFFFFF"/>
              </w:rPr>
              <w:t>µg/L</w:t>
            </w:r>
          </w:p>
        </w:tc>
        <w:tc>
          <w:tcPr>
            <w:tcW w:w="857" w:type="dxa"/>
          </w:tcPr>
          <w:p w14:paraId="6211374E"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1.5</w:t>
            </w:r>
          </w:p>
        </w:tc>
        <w:tc>
          <w:tcPr>
            <w:tcW w:w="1646" w:type="dxa"/>
          </w:tcPr>
          <w:p w14:paraId="49839642"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181" w:type="dxa"/>
          </w:tcPr>
          <w:p w14:paraId="58284388"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18180E" w:rsidRPr="006F6219" w14:paraId="1D48FFA4"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978" w:type="dxa"/>
            <w:gridSpan w:val="2"/>
          </w:tcPr>
          <w:p w14:paraId="55D86BB5"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Galactose (mg/</w:t>
            </w:r>
            <w:proofErr w:type="spellStart"/>
            <w:r w:rsidRPr="006F6219">
              <w:rPr>
                <w:rFonts w:ascii="Times New Roman" w:hAnsi="Times New Roman" w:cs="Times New Roman"/>
                <w:lang w:eastAsia="fr-FR"/>
              </w:rPr>
              <w:t>dL</w:t>
            </w:r>
            <w:proofErr w:type="spellEnd"/>
            <w:r w:rsidRPr="006F6219">
              <w:rPr>
                <w:rFonts w:ascii="Times New Roman" w:hAnsi="Times New Roman" w:cs="Times New Roman"/>
                <w:lang w:eastAsia="fr-FR"/>
              </w:rPr>
              <w:t>) n=134</w:t>
            </w:r>
          </w:p>
        </w:tc>
        <w:tc>
          <w:tcPr>
            <w:tcW w:w="857" w:type="dxa"/>
          </w:tcPr>
          <w:p w14:paraId="6AA8F391"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1.5</w:t>
            </w:r>
          </w:p>
        </w:tc>
        <w:tc>
          <w:tcPr>
            <w:tcW w:w="1646" w:type="dxa"/>
          </w:tcPr>
          <w:p w14:paraId="6E94E255"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181" w:type="dxa"/>
          </w:tcPr>
          <w:p w14:paraId="60BBBCDB" w14:textId="6E25C4CE" w:rsidR="0018180E" w:rsidRPr="006F6219" w:rsidRDefault="00980A7F"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2.66 (</w:t>
            </w:r>
            <w:r w:rsidR="0018180E" w:rsidRPr="006F6219">
              <w:rPr>
                <w:rFonts w:ascii="Times New Roman" w:hAnsi="Times New Roman" w:cs="Times New Roman"/>
                <w:lang w:eastAsia="fr-FR"/>
              </w:rPr>
              <w:t>1.52-3.93)</w:t>
            </w:r>
          </w:p>
        </w:tc>
      </w:tr>
      <w:tr w:rsidR="0018180E" w:rsidRPr="006F6219" w14:paraId="03DEA233"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129" w:type="dxa"/>
          </w:tcPr>
          <w:p w14:paraId="14840781" w14:textId="77777777" w:rsidR="0018180E" w:rsidRPr="006F6219" w:rsidRDefault="0018180E" w:rsidP="00E87246">
            <w:pPr>
              <w:pStyle w:val="Sansinterligne"/>
              <w:spacing w:line="360" w:lineRule="auto"/>
              <w:jc w:val="both"/>
              <w:rPr>
                <w:rFonts w:ascii="Times New Roman" w:hAnsi="Times New Roman" w:cs="Times New Roman"/>
                <w:lang w:eastAsia="fr-FR"/>
              </w:rPr>
            </w:pPr>
          </w:p>
        </w:tc>
        <w:tc>
          <w:tcPr>
            <w:tcW w:w="2849" w:type="dxa"/>
          </w:tcPr>
          <w:p w14:paraId="282099EF"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&gt;18.1</w:t>
            </w:r>
          </w:p>
        </w:tc>
        <w:tc>
          <w:tcPr>
            <w:tcW w:w="857" w:type="dxa"/>
          </w:tcPr>
          <w:p w14:paraId="05BE36E7"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1.5</w:t>
            </w:r>
          </w:p>
        </w:tc>
        <w:tc>
          <w:tcPr>
            <w:tcW w:w="1646" w:type="dxa"/>
          </w:tcPr>
          <w:p w14:paraId="6D4CDD8F"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181" w:type="dxa"/>
          </w:tcPr>
          <w:p w14:paraId="38DCA625"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18180E" w:rsidRPr="006F6219" w14:paraId="260D37FF"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978" w:type="dxa"/>
            <w:gridSpan w:val="2"/>
          </w:tcPr>
          <w:p w14:paraId="0F014051"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Génotype hémoglobine n=134</w:t>
            </w:r>
          </w:p>
        </w:tc>
        <w:tc>
          <w:tcPr>
            <w:tcW w:w="857" w:type="dxa"/>
          </w:tcPr>
          <w:p w14:paraId="3E0D2956"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p>
        </w:tc>
        <w:tc>
          <w:tcPr>
            <w:tcW w:w="1646" w:type="dxa"/>
          </w:tcPr>
          <w:p w14:paraId="19F78DC7"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181" w:type="dxa"/>
          </w:tcPr>
          <w:p w14:paraId="4906D459"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18180E" w:rsidRPr="006F6219" w14:paraId="4D7F286B"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129" w:type="dxa"/>
          </w:tcPr>
          <w:p w14:paraId="6429E70F" w14:textId="77777777" w:rsidR="0018180E" w:rsidRPr="006F6219" w:rsidRDefault="0018180E" w:rsidP="00E87246">
            <w:pPr>
              <w:pStyle w:val="Sansinterligne"/>
              <w:spacing w:line="360" w:lineRule="auto"/>
              <w:jc w:val="both"/>
              <w:rPr>
                <w:rFonts w:ascii="Times New Roman" w:hAnsi="Times New Roman" w:cs="Times New Roman"/>
                <w:lang w:eastAsia="fr-FR"/>
              </w:rPr>
            </w:pPr>
          </w:p>
        </w:tc>
        <w:tc>
          <w:tcPr>
            <w:tcW w:w="2849" w:type="dxa"/>
          </w:tcPr>
          <w:p w14:paraId="369217D8"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AS</w:t>
            </w:r>
          </w:p>
        </w:tc>
        <w:tc>
          <w:tcPr>
            <w:tcW w:w="857" w:type="dxa"/>
          </w:tcPr>
          <w:p w14:paraId="1DA99ACE"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11.9</w:t>
            </w:r>
          </w:p>
        </w:tc>
        <w:tc>
          <w:tcPr>
            <w:tcW w:w="1646" w:type="dxa"/>
          </w:tcPr>
          <w:p w14:paraId="0EA48271"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181" w:type="dxa"/>
          </w:tcPr>
          <w:p w14:paraId="582CE5F7"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18180E" w:rsidRPr="006F6219" w14:paraId="41E309CB"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129" w:type="dxa"/>
          </w:tcPr>
          <w:p w14:paraId="223E7C18" w14:textId="77777777" w:rsidR="0018180E" w:rsidRPr="006F6219" w:rsidRDefault="0018180E" w:rsidP="00E87246">
            <w:pPr>
              <w:pStyle w:val="Sansinterligne"/>
              <w:spacing w:line="360" w:lineRule="auto"/>
              <w:jc w:val="both"/>
              <w:rPr>
                <w:rFonts w:ascii="Times New Roman" w:hAnsi="Times New Roman" w:cs="Times New Roman"/>
                <w:lang w:eastAsia="fr-FR"/>
              </w:rPr>
            </w:pPr>
          </w:p>
        </w:tc>
        <w:tc>
          <w:tcPr>
            <w:tcW w:w="2849" w:type="dxa"/>
          </w:tcPr>
          <w:p w14:paraId="522B7BC9"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AA</w:t>
            </w:r>
          </w:p>
        </w:tc>
        <w:tc>
          <w:tcPr>
            <w:tcW w:w="857" w:type="dxa"/>
          </w:tcPr>
          <w:p w14:paraId="6938AA67"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88.1</w:t>
            </w:r>
          </w:p>
        </w:tc>
        <w:tc>
          <w:tcPr>
            <w:tcW w:w="1646" w:type="dxa"/>
          </w:tcPr>
          <w:p w14:paraId="3DEE3032"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181" w:type="dxa"/>
          </w:tcPr>
          <w:p w14:paraId="75BBD4E3"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18180E" w:rsidRPr="006F6219" w14:paraId="31650985"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4978" w:type="dxa"/>
            <w:gridSpan w:val="2"/>
          </w:tcPr>
          <w:p w14:paraId="3DFB7801"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eastAsia="fr-FR"/>
              </w:rPr>
              <w:t>Déficit en G6PD (n=134)</w:t>
            </w:r>
          </w:p>
        </w:tc>
        <w:tc>
          <w:tcPr>
            <w:tcW w:w="857" w:type="dxa"/>
          </w:tcPr>
          <w:p w14:paraId="73378E3C"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11.9</w:t>
            </w:r>
          </w:p>
        </w:tc>
        <w:tc>
          <w:tcPr>
            <w:tcW w:w="1646" w:type="dxa"/>
          </w:tcPr>
          <w:p w14:paraId="355885C4"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181" w:type="dxa"/>
          </w:tcPr>
          <w:p w14:paraId="20106E52"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18180E" w:rsidRPr="006F6219" w14:paraId="5552BA2B" w14:textId="77777777" w:rsidTr="00C92759">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978" w:type="dxa"/>
            <w:gridSpan w:val="2"/>
          </w:tcPr>
          <w:p w14:paraId="0C2B02F8"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val="fr-BE" w:eastAsia="fr-FR"/>
              </w:rPr>
              <w:t xml:space="preserve">Récidive d’ictère </w:t>
            </w:r>
            <w:r w:rsidRPr="006F6219">
              <w:rPr>
                <w:rFonts w:ascii="Times New Roman" w:hAnsi="Times New Roman" w:cs="Times New Roman"/>
                <w:lang w:eastAsia="fr-FR"/>
              </w:rPr>
              <w:t>(n=136)</w:t>
            </w:r>
          </w:p>
        </w:tc>
        <w:tc>
          <w:tcPr>
            <w:tcW w:w="857" w:type="dxa"/>
          </w:tcPr>
          <w:p w14:paraId="691D9ACA"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4.4</w:t>
            </w:r>
          </w:p>
        </w:tc>
        <w:tc>
          <w:tcPr>
            <w:tcW w:w="1646" w:type="dxa"/>
          </w:tcPr>
          <w:p w14:paraId="2FC82827"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181" w:type="dxa"/>
          </w:tcPr>
          <w:p w14:paraId="2CB921CF"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18180E" w:rsidRPr="006F6219" w14:paraId="78E6E08C"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4978" w:type="dxa"/>
            <w:gridSpan w:val="2"/>
          </w:tcPr>
          <w:p w14:paraId="61BCF7C2"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r w:rsidRPr="00E0777E">
              <w:rPr>
                <w:rFonts w:ascii="Times New Roman" w:hAnsi="Times New Roman" w:cs="Times New Roman"/>
                <w:highlight w:val="yellow"/>
                <w:lang w:val="fr-BE" w:eastAsia="fr-FR"/>
              </w:rPr>
              <w:t xml:space="preserve">Durée Photothérapie  en heures </w:t>
            </w:r>
            <w:r w:rsidRPr="00E0777E">
              <w:rPr>
                <w:rFonts w:ascii="Times New Roman" w:hAnsi="Times New Roman" w:cs="Times New Roman"/>
                <w:highlight w:val="yellow"/>
                <w:lang w:eastAsia="fr-FR"/>
              </w:rPr>
              <w:t>(n=</w:t>
            </w:r>
            <w:commentRangeStart w:id="63"/>
            <w:r w:rsidRPr="00E0777E">
              <w:rPr>
                <w:rFonts w:ascii="Times New Roman" w:hAnsi="Times New Roman" w:cs="Times New Roman"/>
                <w:highlight w:val="yellow"/>
                <w:lang w:eastAsia="fr-FR"/>
              </w:rPr>
              <w:t>136</w:t>
            </w:r>
            <w:commentRangeEnd w:id="63"/>
            <w:r w:rsidR="00E0777E">
              <w:rPr>
                <w:rStyle w:val="Marquedecommentaire"/>
                <w:b w:val="0"/>
                <w:bCs w:val="0"/>
              </w:rPr>
              <w:commentReference w:id="63"/>
            </w:r>
            <w:r w:rsidRPr="00E0777E">
              <w:rPr>
                <w:rFonts w:ascii="Times New Roman" w:hAnsi="Times New Roman" w:cs="Times New Roman"/>
                <w:highlight w:val="yellow"/>
                <w:lang w:eastAsia="fr-FR"/>
              </w:rPr>
              <w:t>)</w:t>
            </w:r>
          </w:p>
        </w:tc>
        <w:tc>
          <w:tcPr>
            <w:tcW w:w="857" w:type="dxa"/>
          </w:tcPr>
          <w:p w14:paraId="2979BC26"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p>
        </w:tc>
        <w:tc>
          <w:tcPr>
            <w:tcW w:w="1646" w:type="dxa"/>
          </w:tcPr>
          <w:p w14:paraId="3E33BC25"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181" w:type="dxa"/>
          </w:tcPr>
          <w:p w14:paraId="61C5B613"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r w:rsidRPr="006F6219">
              <w:rPr>
                <w:rFonts w:ascii="Times New Roman" w:hAnsi="Times New Roman" w:cs="Times New Roman"/>
                <w:lang w:eastAsia="fr-FR"/>
              </w:rPr>
              <w:t>24(24-142)</w:t>
            </w:r>
          </w:p>
        </w:tc>
      </w:tr>
      <w:tr w:rsidR="0018180E" w:rsidRPr="006F6219" w14:paraId="5ADB7B0E"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129" w:type="dxa"/>
          </w:tcPr>
          <w:p w14:paraId="4C415F68"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p>
        </w:tc>
        <w:tc>
          <w:tcPr>
            <w:tcW w:w="2849" w:type="dxa"/>
          </w:tcPr>
          <w:p w14:paraId="02F5FF10"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24</w:t>
            </w:r>
          </w:p>
        </w:tc>
        <w:tc>
          <w:tcPr>
            <w:tcW w:w="857" w:type="dxa"/>
          </w:tcPr>
          <w:p w14:paraId="3246B9F7"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52.2</w:t>
            </w:r>
          </w:p>
        </w:tc>
        <w:tc>
          <w:tcPr>
            <w:tcW w:w="1646" w:type="dxa"/>
          </w:tcPr>
          <w:p w14:paraId="5E591891"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181" w:type="dxa"/>
          </w:tcPr>
          <w:p w14:paraId="1B10495F"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18180E" w:rsidRPr="006F6219" w14:paraId="2F50D177"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129" w:type="dxa"/>
          </w:tcPr>
          <w:p w14:paraId="310CB51C"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p>
        </w:tc>
        <w:tc>
          <w:tcPr>
            <w:tcW w:w="2849" w:type="dxa"/>
          </w:tcPr>
          <w:p w14:paraId="4F8CB1A9"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48</w:t>
            </w:r>
          </w:p>
        </w:tc>
        <w:tc>
          <w:tcPr>
            <w:tcW w:w="857" w:type="dxa"/>
          </w:tcPr>
          <w:p w14:paraId="63888CF7"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30.1</w:t>
            </w:r>
          </w:p>
        </w:tc>
        <w:tc>
          <w:tcPr>
            <w:tcW w:w="1646" w:type="dxa"/>
          </w:tcPr>
          <w:p w14:paraId="0894C124"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181" w:type="dxa"/>
          </w:tcPr>
          <w:p w14:paraId="4DC23AA6"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r w:rsidR="0018180E" w:rsidRPr="006F6219" w14:paraId="1E8F52D4"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129" w:type="dxa"/>
          </w:tcPr>
          <w:p w14:paraId="4A808FEE"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p>
        </w:tc>
        <w:tc>
          <w:tcPr>
            <w:tcW w:w="2849" w:type="dxa"/>
          </w:tcPr>
          <w:p w14:paraId="411E8529"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72+</w:t>
            </w:r>
          </w:p>
        </w:tc>
        <w:tc>
          <w:tcPr>
            <w:tcW w:w="857" w:type="dxa"/>
          </w:tcPr>
          <w:p w14:paraId="4AE75EB8"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17.6</w:t>
            </w:r>
          </w:p>
        </w:tc>
        <w:tc>
          <w:tcPr>
            <w:tcW w:w="1646" w:type="dxa"/>
          </w:tcPr>
          <w:p w14:paraId="2929971B"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c>
          <w:tcPr>
            <w:tcW w:w="2181" w:type="dxa"/>
          </w:tcPr>
          <w:p w14:paraId="3B96AD9E" w14:textId="77777777" w:rsidR="0018180E" w:rsidRPr="006F6219" w:rsidRDefault="0018180E" w:rsidP="00E8724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fr-FR"/>
              </w:rPr>
            </w:pPr>
          </w:p>
        </w:tc>
      </w:tr>
      <w:tr w:rsidR="0018180E" w:rsidRPr="006F6219" w14:paraId="1646E502"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4978" w:type="dxa"/>
            <w:gridSpan w:val="2"/>
          </w:tcPr>
          <w:p w14:paraId="7B694CFA" w14:textId="77777777" w:rsidR="0018180E" w:rsidRPr="006F6219" w:rsidRDefault="0018180E" w:rsidP="00E87246">
            <w:pPr>
              <w:pStyle w:val="Sansinterligne"/>
              <w:spacing w:line="360" w:lineRule="auto"/>
              <w:jc w:val="both"/>
              <w:rPr>
                <w:rFonts w:ascii="Times New Roman" w:hAnsi="Times New Roman" w:cs="Times New Roman"/>
                <w:lang w:val="fr-BE" w:eastAsia="fr-FR"/>
              </w:rPr>
            </w:pPr>
            <w:r w:rsidRPr="006F6219">
              <w:rPr>
                <w:rFonts w:ascii="Times New Roman" w:hAnsi="Times New Roman" w:cs="Times New Roman"/>
                <w:lang w:val="fr-BE" w:eastAsia="fr-FR"/>
              </w:rPr>
              <w:lastRenderedPageBreak/>
              <w:t xml:space="preserve">Décès intra-hospitalier </w:t>
            </w:r>
            <w:r w:rsidRPr="006F6219">
              <w:rPr>
                <w:rFonts w:ascii="Times New Roman" w:hAnsi="Times New Roman" w:cs="Times New Roman"/>
                <w:lang w:eastAsia="fr-FR"/>
              </w:rPr>
              <w:t>(n=136)</w:t>
            </w:r>
          </w:p>
        </w:tc>
        <w:tc>
          <w:tcPr>
            <w:tcW w:w="857" w:type="dxa"/>
          </w:tcPr>
          <w:p w14:paraId="11BB1B58"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BE" w:eastAsia="fr-FR"/>
              </w:rPr>
            </w:pPr>
            <w:r w:rsidRPr="006F6219">
              <w:rPr>
                <w:rFonts w:ascii="Times New Roman" w:hAnsi="Times New Roman" w:cs="Times New Roman"/>
                <w:lang w:val="fr-BE" w:eastAsia="fr-FR"/>
              </w:rPr>
              <w:t>6.6</w:t>
            </w:r>
          </w:p>
        </w:tc>
        <w:tc>
          <w:tcPr>
            <w:tcW w:w="1646" w:type="dxa"/>
          </w:tcPr>
          <w:p w14:paraId="5214B0A5"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c>
          <w:tcPr>
            <w:tcW w:w="2181" w:type="dxa"/>
          </w:tcPr>
          <w:p w14:paraId="7EC99430" w14:textId="77777777" w:rsidR="0018180E" w:rsidRPr="006F6219" w:rsidRDefault="0018180E" w:rsidP="00E8724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fr-FR"/>
              </w:rPr>
            </w:pPr>
          </w:p>
        </w:tc>
      </w:tr>
    </w:tbl>
    <w:p w14:paraId="38CC4309" w14:textId="4993B5E1" w:rsidR="0018180E" w:rsidRDefault="0018180E" w:rsidP="00E87246">
      <w:pPr>
        <w:spacing w:after="0" w:line="360" w:lineRule="auto"/>
        <w:jc w:val="both"/>
        <w:rPr>
          <w:rFonts w:ascii="Times New Roman" w:hAnsi="Times New Roman" w:cs="Times New Roman"/>
          <w:sz w:val="24"/>
          <w:szCs w:val="24"/>
        </w:rPr>
      </w:pPr>
      <w:r w:rsidRPr="000A4A0F">
        <w:rPr>
          <w:rFonts w:ascii="Times New Roman" w:eastAsia="Times New Roman" w:hAnsi="Times New Roman" w:cs="Times New Roman"/>
          <w:color w:val="000000"/>
          <w:sz w:val="24"/>
          <w:szCs w:val="24"/>
          <w:lang w:eastAsia="fr-FR"/>
        </w:rPr>
        <w:t>DS=Déviation Standard</w:t>
      </w:r>
      <w:r w:rsidRPr="000A4A0F">
        <w:rPr>
          <w:rFonts w:ascii="Times New Roman" w:hAnsi="Times New Roman" w:cs="Times New Roman"/>
          <w:sz w:val="24"/>
          <w:szCs w:val="24"/>
        </w:rPr>
        <w:t xml:space="preserve"> Les Causes d’ictère ; INN=Infection Néonatale ; IRT= Trypsine </w:t>
      </w:r>
      <w:proofErr w:type="spellStart"/>
      <w:r w:rsidRPr="000A4A0F">
        <w:rPr>
          <w:rFonts w:ascii="Times New Roman" w:hAnsi="Times New Roman" w:cs="Times New Roman"/>
          <w:sz w:val="24"/>
          <w:szCs w:val="24"/>
        </w:rPr>
        <w:t>Immuno</w:t>
      </w:r>
      <w:proofErr w:type="spellEnd"/>
      <w:r w:rsidRPr="000A4A0F">
        <w:rPr>
          <w:rFonts w:ascii="Times New Roman" w:hAnsi="Times New Roman" w:cs="Times New Roman"/>
          <w:sz w:val="24"/>
          <w:szCs w:val="24"/>
        </w:rPr>
        <w:t xml:space="preserve">-Réactive, TSH= Thyréostimuline </w:t>
      </w:r>
      <w:r w:rsidR="000A4A0F" w:rsidRPr="000A4A0F">
        <w:rPr>
          <w:rFonts w:ascii="Times New Roman" w:hAnsi="Times New Roman" w:cs="Times New Roman"/>
          <w:sz w:val="24"/>
          <w:szCs w:val="24"/>
        </w:rPr>
        <w:t>hypophysaire ;</w:t>
      </w:r>
      <w:r w:rsidRPr="000A4A0F">
        <w:rPr>
          <w:rFonts w:ascii="Times New Roman" w:hAnsi="Times New Roman" w:cs="Times New Roman"/>
          <w:sz w:val="24"/>
          <w:szCs w:val="24"/>
        </w:rPr>
        <w:t xml:space="preserve"> G6PD=Glucose 6 </w:t>
      </w:r>
      <w:proofErr w:type="spellStart"/>
      <w:r w:rsidRPr="000A4A0F">
        <w:rPr>
          <w:rFonts w:ascii="Times New Roman" w:hAnsi="Times New Roman" w:cs="Times New Roman"/>
          <w:sz w:val="24"/>
          <w:szCs w:val="24"/>
        </w:rPr>
        <w:t>Phospho-Deshydrogènase</w:t>
      </w:r>
      <w:proofErr w:type="spellEnd"/>
    </w:p>
    <w:p w14:paraId="49B041C3" w14:textId="77777777" w:rsidR="00515116" w:rsidRPr="00C1024E" w:rsidRDefault="00515116"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highlight w:val="yellow"/>
          <w:lang w:eastAsia="fr-FR"/>
        </w:rPr>
      </w:pPr>
      <w:r w:rsidRPr="00C1024E">
        <w:rPr>
          <w:rFonts w:ascii="Times New Roman" w:eastAsia="Times New Roman" w:hAnsi="Times New Roman" w:cs="Times New Roman"/>
          <w:color w:val="000000"/>
          <w:sz w:val="24"/>
          <w:szCs w:val="24"/>
          <w:highlight w:val="yellow"/>
          <w:lang w:eastAsia="fr-FR"/>
        </w:rPr>
        <w:t xml:space="preserve">L’ictère est apparu dans 22.1% des cas avant 24h de vie. 11.5 % des nouveau-nés ont présenté </w:t>
      </w:r>
      <w:commentRangeStart w:id="64"/>
      <w:r w:rsidRPr="00C1024E">
        <w:rPr>
          <w:rFonts w:ascii="Times New Roman" w:eastAsia="Times New Roman" w:hAnsi="Times New Roman" w:cs="Times New Roman"/>
          <w:color w:val="000000"/>
          <w:sz w:val="24"/>
          <w:szCs w:val="24"/>
          <w:highlight w:val="yellow"/>
          <w:lang w:eastAsia="fr-FR"/>
        </w:rPr>
        <w:t>un</w:t>
      </w:r>
      <w:commentRangeEnd w:id="64"/>
      <w:r w:rsidR="00C1024E">
        <w:rPr>
          <w:rStyle w:val="Marquedecommentaire"/>
        </w:rPr>
        <w:commentReference w:id="64"/>
      </w:r>
      <w:r w:rsidRPr="00C1024E">
        <w:rPr>
          <w:rFonts w:ascii="Times New Roman" w:eastAsia="Times New Roman" w:hAnsi="Times New Roman" w:cs="Times New Roman"/>
          <w:color w:val="000000"/>
          <w:sz w:val="24"/>
          <w:szCs w:val="24"/>
          <w:highlight w:val="yellow"/>
          <w:lang w:eastAsia="fr-FR"/>
        </w:rPr>
        <w:t xml:space="preserve"> ictère entre 24h et 72h. Alors que, seulement 46.6 % des cas ont manifesté un ictère après J3 de vie.</w:t>
      </w:r>
    </w:p>
    <w:p w14:paraId="39FB3D84" w14:textId="3BDB45E8" w:rsidR="00515116" w:rsidRPr="00C1024E" w:rsidRDefault="00515116"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highlight w:val="yellow"/>
          <w:lang w:eastAsia="fr-FR"/>
        </w:rPr>
      </w:pPr>
      <w:r w:rsidRPr="00C1024E">
        <w:rPr>
          <w:rFonts w:ascii="Times New Roman" w:eastAsia="Times New Roman" w:hAnsi="Times New Roman" w:cs="Times New Roman"/>
          <w:color w:val="000000"/>
          <w:sz w:val="24"/>
          <w:szCs w:val="24"/>
          <w:highlight w:val="yellow"/>
          <w:lang w:eastAsia="fr-FR"/>
        </w:rPr>
        <w:t xml:space="preserve">Le </w:t>
      </w:r>
      <w:proofErr w:type="spellStart"/>
      <w:r w:rsidRPr="00C1024E">
        <w:rPr>
          <w:rFonts w:ascii="Times New Roman" w:eastAsia="Times New Roman" w:hAnsi="Times New Roman" w:cs="Times New Roman"/>
          <w:color w:val="000000"/>
          <w:sz w:val="24"/>
          <w:szCs w:val="24"/>
          <w:highlight w:val="yellow"/>
          <w:lang w:eastAsia="fr-FR"/>
        </w:rPr>
        <w:t>deces</w:t>
      </w:r>
      <w:proofErr w:type="spellEnd"/>
      <w:r w:rsidRPr="00C1024E">
        <w:rPr>
          <w:rFonts w:ascii="Times New Roman" w:eastAsia="Times New Roman" w:hAnsi="Times New Roman" w:cs="Times New Roman"/>
          <w:color w:val="000000"/>
          <w:sz w:val="24"/>
          <w:szCs w:val="24"/>
          <w:highlight w:val="yellow"/>
          <w:lang w:eastAsia="fr-FR"/>
        </w:rPr>
        <w:t xml:space="preserve"> en intra-hospitalier est de 6.6%.</w:t>
      </w:r>
    </w:p>
    <w:p w14:paraId="09D7C290" w14:textId="77777777" w:rsidR="00515116" w:rsidRPr="00C1024E" w:rsidRDefault="00515116"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highlight w:val="yellow"/>
          <w:lang w:eastAsia="fr-FR"/>
        </w:rPr>
      </w:pPr>
      <w:r w:rsidRPr="00C1024E">
        <w:rPr>
          <w:rFonts w:ascii="Times New Roman" w:eastAsia="Times New Roman" w:hAnsi="Times New Roman" w:cs="Times New Roman"/>
          <w:color w:val="000000"/>
          <w:sz w:val="24"/>
          <w:szCs w:val="24"/>
          <w:highlight w:val="yellow"/>
          <w:lang w:eastAsia="fr-FR"/>
        </w:rPr>
        <w:t>Délai d’hospitalisation :</w:t>
      </w:r>
    </w:p>
    <w:p w14:paraId="354FD74B" w14:textId="77777777" w:rsidR="00515116" w:rsidRPr="00C1024E" w:rsidRDefault="00515116"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highlight w:val="yellow"/>
          <w:lang w:eastAsia="fr-FR"/>
        </w:rPr>
      </w:pPr>
      <w:r w:rsidRPr="00C1024E">
        <w:rPr>
          <w:rFonts w:ascii="Times New Roman" w:eastAsia="Times New Roman" w:hAnsi="Times New Roman" w:cs="Times New Roman"/>
          <w:color w:val="000000"/>
          <w:sz w:val="24"/>
          <w:szCs w:val="24"/>
          <w:highlight w:val="yellow"/>
          <w:lang w:eastAsia="fr-FR"/>
        </w:rPr>
        <w:t>Le délai d’hospitalisation correspond au temps écoulé entre la date d’apparition de l’ictère et la date d’hospitalisation. La durée moyenne d’évolution de l’ictère avant l’admission était de 3 jours avec des extrêmes allant de 0 à 13 jours.  Seulement 22.1% nouveau-nés ont été amenés à la consultation le même jour de l’apparition de l’ictère, la majorité des cas venaient consulter après un délai plus ou moins prolongé qui pouvait atteindre plus.</w:t>
      </w:r>
    </w:p>
    <w:p w14:paraId="53032EF0" w14:textId="77777777" w:rsidR="00515116" w:rsidRPr="00C1024E" w:rsidRDefault="00515116"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highlight w:val="yellow"/>
          <w:lang w:eastAsia="fr-FR"/>
        </w:rPr>
      </w:pPr>
      <w:r w:rsidRPr="00C1024E">
        <w:rPr>
          <w:rFonts w:ascii="Times New Roman" w:eastAsia="Times New Roman" w:hAnsi="Times New Roman" w:cs="Times New Roman"/>
          <w:color w:val="000000"/>
          <w:sz w:val="24"/>
          <w:szCs w:val="24"/>
          <w:highlight w:val="yellow"/>
          <w:lang w:eastAsia="fr-FR"/>
        </w:rPr>
        <w:t>Ainsi les nouveau-nés ayant un délai d’hospitalisation de 2 jours ou plus constituaient environ 22.1% des cas.</w:t>
      </w:r>
    </w:p>
    <w:p w14:paraId="3C2C8D19" w14:textId="77777777" w:rsidR="00515116" w:rsidRPr="00C1024E" w:rsidRDefault="00515116"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highlight w:val="yellow"/>
          <w:lang w:eastAsia="fr-FR"/>
        </w:rPr>
      </w:pPr>
      <w:r w:rsidRPr="00C1024E">
        <w:rPr>
          <w:rFonts w:ascii="Times New Roman" w:eastAsia="Times New Roman" w:hAnsi="Times New Roman" w:cs="Times New Roman"/>
          <w:color w:val="000000"/>
          <w:sz w:val="24"/>
          <w:szCs w:val="24"/>
          <w:highlight w:val="yellow"/>
          <w:lang w:eastAsia="fr-FR"/>
        </w:rPr>
        <w:t>Signes fonctionnels :</w:t>
      </w:r>
    </w:p>
    <w:p w14:paraId="42B55A85" w14:textId="4CC8CAD9" w:rsidR="000A4A0F" w:rsidRDefault="00515116" w:rsidP="006612D9">
      <w:pPr>
        <w:spacing w:after="0" w:line="360" w:lineRule="auto"/>
        <w:jc w:val="both"/>
        <w:rPr>
          <w:rFonts w:ascii="Times New Roman" w:hAnsi="Times New Roman" w:cs="Times New Roman"/>
          <w:sz w:val="24"/>
          <w:szCs w:val="24"/>
        </w:rPr>
      </w:pPr>
      <w:r w:rsidRPr="00C1024E">
        <w:rPr>
          <w:rFonts w:ascii="Times New Roman" w:eastAsia="Times New Roman" w:hAnsi="Times New Roman" w:cs="Times New Roman"/>
          <w:color w:val="000000"/>
          <w:sz w:val="24"/>
          <w:szCs w:val="24"/>
          <w:highlight w:val="yellow"/>
          <w:lang w:eastAsia="fr-FR"/>
        </w:rPr>
        <w:t>En dehors de l’ictère, une instabilité était présente dans 22% chez nouveau-nés, une détresse respiratoire chez 47.1%</w:t>
      </w:r>
    </w:p>
    <w:p w14:paraId="4E1AB535" w14:textId="77777777" w:rsidR="00154ECA" w:rsidRPr="00154ECA" w:rsidRDefault="00154ECA" w:rsidP="006612D9">
      <w:pPr>
        <w:spacing w:after="0" w:line="360" w:lineRule="auto"/>
        <w:jc w:val="both"/>
        <w:rPr>
          <w:rFonts w:ascii="Times New Roman" w:hAnsi="Times New Roman" w:cs="Times New Roman"/>
          <w:sz w:val="24"/>
          <w:szCs w:val="24"/>
        </w:rPr>
      </w:pPr>
    </w:p>
    <w:p w14:paraId="6E148193" w14:textId="43B1F28D" w:rsidR="00DF573C" w:rsidRPr="000A4A0F" w:rsidRDefault="00532352" w:rsidP="006612D9">
      <w:pPr>
        <w:pStyle w:val="Titre2"/>
        <w:spacing w:before="0" w:line="360" w:lineRule="auto"/>
        <w:jc w:val="both"/>
        <w:rPr>
          <w:rFonts w:ascii="Times New Roman" w:eastAsia="Times New Roman" w:hAnsi="Times New Roman" w:cs="Times New Roman"/>
          <w:b/>
          <w:sz w:val="24"/>
          <w:szCs w:val="24"/>
          <w:lang w:eastAsia="fr-FR"/>
        </w:rPr>
      </w:pPr>
      <w:bookmarkStart w:id="65" w:name="_Toc87049078"/>
      <w:r w:rsidRPr="000A4A0F">
        <w:rPr>
          <w:rFonts w:ascii="Times New Roman" w:eastAsia="Times New Roman" w:hAnsi="Times New Roman" w:cs="Times New Roman"/>
          <w:b/>
          <w:sz w:val="24"/>
          <w:szCs w:val="24"/>
          <w:lang w:eastAsia="fr-FR"/>
        </w:rPr>
        <w:t>DONNEES BIOLOGIQUES.</w:t>
      </w:r>
      <w:bookmarkEnd w:id="65"/>
    </w:p>
    <w:p w14:paraId="2ABF9E22" w14:textId="77777777" w:rsidR="0090532A" w:rsidRPr="000A4A0F" w:rsidRDefault="00453A78"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eastAsia="Times New Roman" w:hAnsi="Times New Roman" w:cs="Times New Roman"/>
          <w:b/>
          <w:color w:val="000000"/>
          <w:sz w:val="24"/>
          <w:szCs w:val="24"/>
          <w:lang w:eastAsia="fr-FR"/>
        </w:rPr>
        <w:t>Dosage de la bilirubine sanguine.</w:t>
      </w:r>
    </w:p>
    <w:p w14:paraId="187B6A6B" w14:textId="142247DC" w:rsidR="00453A78" w:rsidRPr="000A4A0F" w:rsidRDefault="00453A78"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eastAsia="Times New Roman" w:hAnsi="Times New Roman" w:cs="Times New Roman"/>
          <w:color w:val="000000"/>
          <w:sz w:val="24"/>
          <w:szCs w:val="24"/>
          <w:lang w:eastAsia="fr-FR"/>
        </w:rPr>
        <w:t>Réalisé à l’admission chez tous les n</w:t>
      </w:r>
      <w:r w:rsidR="00E35A45" w:rsidRPr="000A4A0F">
        <w:rPr>
          <w:rFonts w:ascii="Times New Roman" w:eastAsia="Times New Roman" w:hAnsi="Times New Roman" w:cs="Times New Roman"/>
          <w:color w:val="000000"/>
          <w:sz w:val="24"/>
          <w:szCs w:val="24"/>
          <w:lang w:eastAsia="fr-FR"/>
        </w:rPr>
        <w:t>ouveau-nés inclus dans l’étude.</w:t>
      </w:r>
    </w:p>
    <w:p w14:paraId="287D4142" w14:textId="29D0ADFC" w:rsidR="00453A78" w:rsidRPr="000A4A0F" w:rsidRDefault="00453A78" w:rsidP="006612D9">
      <w:pPr>
        <w:pStyle w:val="Paragraphedeliste"/>
        <w:numPr>
          <w:ilvl w:val="0"/>
          <w:numId w:val="20"/>
        </w:num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Bilirubine </w:t>
      </w:r>
      <w:r w:rsidR="000A4A0F" w:rsidRPr="000A4A0F">
        <w:rPr>
          <w:rFonts w:ascii="Times New Roman" w:eastAsia="Times New Roman" w:hAnsi="Times New Roman" w:cs="Times New Roman"/>
          <w:color w:val="000000"/>
          <w:sz w:val="24"/>
          <w:szCs w:val="24"/>
          <w:lang w:eastAsia="fr-FR"/>
        </w:rPr>
        <w:t>totale :</w:t>
      </w:r>
    </w:p>
    <w:p w14:paraId="13C96180" w14:textId="3C6208A6" w:rsidR="00453A78" w:rsidRPr="000A4A0F" w:rsidRDefault="00453A78"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Le taux moyen de la bi</w:t>
      </w:r>
      <w:r w:rsidR="00BD63DA" w:rsidRPr="000A4A0F">
        <w:rPr>
          <w:rFonts w:ascii="Times New Roman" w:eastAsia="Times New Roman" w:hAnsi="Times New Roman" w:cs="Times New Roman"/>
          <w:color w:val="000000"/>
          <w:sz w:val="24"/>
          <w:szCs w:val="24"/>
          <w:lang w:eastAsia="fr-FR"/>
        </w:rPr>
        <w:t>lirubinémie totale était de 20.96 mg/l avec un minimum de 17.25m</w:t>
      </w:r>
      <w:r w:rsidR="00C13916" w:rsidRPr="000A4A0F">
        <w:rPr>
          <w:rFonts w:ascii="Times New Roman" w:eastAsia="Times New Roman" w:hAnsi="Times New Roman" w:cs="Times New Roman"/>
          <w:color w:val="000000"/>
          <w:sz w:val="24"/>
          <w:szCs w:val="24"/>
          <w:lang w:eastAsia="fr-FR"/>
        </w:rPr>
        <w:t xml:space="preserve">g/l et un maximum de 27.07mg/l </w:t>
      </w:r>
      <w:r w:rsidR="00E831A7" w:rsidRPr="000A4A0F">
        <w:rPr>
          <w:rFonts w:ascii="Times New Roman" w:eastAsia="Times New Roman" w:hAnsi="Times New Roman" w:cs="Times New Roman"/>
          <w:color w:val="000000"/>
          <w:sz w:val="24"/>
          <w:szCs w:val="24"/>
          <w:lang w:eastAsia="fr-FR"/>
        </w:rPr>
        <w:t>à</w:t>
      </w:r>
      <w:r w:rsidR="00BD63DA" w:rsidRPr="000A4A0F">
        <w:rPr>
          <w:rFonts w:ascii="Times New Roman" w:eastAsia="Times New Roman" w:hAnsi="Times New Roman" w:cs="Times New Roman"/>
          <w:color w:val="000000"/>
          <w:sz w:val="24"/>
          <w:szCs w:val="24"/>
          <w:lang w:eastAsia="fr-FR"/>
        </w:rPr>
        <w:t xml:space="preserve"> l’entrée puis au contrôle </w:t>
      </w:r>
      <w:r w:rsidR="000C6DD2" w:rsidRPr="000A4A0F">
        <w:rPr>
          <w:rFonts w:ascii="Times New Roman" w:eastAsia="Times New Roman" w:hAnsi="Times New Roman" w:cs="Times New Roman"/>
          <w:color w:val="000000"/>
          <w:sz w:val="24"/>
          <w:szCs w:val="24"/>
          <w:lang w:eastAsia="fr-FR"/>
        </w:rPr>
        <w:t>13.2 (</w:t>
      </w:r>
      <w:r w:rsidR="00DB139B" w:rsidRPr="000A4A0F">
        <w:rPr>
          <w:rFonts w:ascii="Times New Roman" w:eastAsia="Times New Roman" w:hAnsi="Times New Roman" w:cs="Times New Roman"/>
          <w:color w:val="000000"/>
          <w:sz w:val="24"/>
          <w:szCs w:val="24"/>
          <w:lang w:eastAsia="fr-FR"/>
        </w:rPr>
        <w:t xml:space="preserve">9.73-179) et enfin pour les ictères persistant </w:t>
      </w:r>
      <w:r w:rsidR="000C6DD2" w:rsidRPr="000A4A0F">
        <w:rPr>
          <w:rFonts w:ascii="Times New Roman" w:eastAsia="Times New Roman" w:hAnsi="Times New Roman" w:cs="Times New Roman"/>
          <w:color w:val="000000"/>
          <w:sz w:val="24"/>
          <w:szCs w:val="24"/>
          <w:lang w:eastAsia="fr-FR"/>
        </w:rPr>
        <w:t>15.8 (</w:t>
      </w:r>
      <w:r w:rsidR="00DB139B" w:rsidRPr="000A4A0F">
        <w:rPr>
          <w:rFonts w:ascii="Times New Roman" w:eastAsia="Times New Roman" w:hAnsi="Times New Roman" w:cs="Times New Roman"/>
          <w:color w:val="000000"/>
          <w:sz w:val="24"/>
          <w:szCs w:val="24"/>
          <w:lang w:eastAsia="fr-FR"/>
        </w:rPr>
        <w:t>12.6-24</w:t>
      </w:r>
      <w:r w:rsidR="000C6DD2" w:rsidRPr="000A4A0F">
        <w:rPr>
          <w:rFonts w:ascii="Times New Roman" w:eastAsia="Times New Roman" w:hAnsi="Times New Roman" w:cs="Times New Roman"/>
          <w:color w:val="000000"/>
          <w:sz w:val="24"/>
          <w:szCs w:val="24"/>
          <w:lang w:eastAsia="fr-FR"/>
        </w:rPr>
        <w:t>).</w:t>
      </w:r>
    </w:p>
    <w:p w14:paraId="45297707" w14:textId="17F29BDA" w:rsidR="00906FC4" w:rsidRPr="000A4A0F" w:rsidRDefault="00453A78"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Les nouveau-nés hospitalisés pour allo-immunisation </w:t>
      </w:r>
      <w:proofErr w:type="spellStart"/>
      <w:r w:rsidRPr="000A4A0F">
        <w:rPr>
          <w:rFonts w:ascii="Times New Roman" w:eastAsia="Times New Roman" w:hAnsi="Times New Roman" w:cs="Times New Roman"/>
          <w:color w:val="000000"/>
          <w:sz w:val="24"/>
          <w:szCs w:val="24"/>
          <w:lang w:eastAsia="fr-FR"/>
        </w:rPr>
        <w:t>materno-foetale</w:t>
      </w:r>
      <w:proofErr w:type="spellEnd"/>
      <w:r w:rsidRPr="000A4A0F">
        <w:rPr>
          <w:rFonts w:ascii="Times New Roman" w:eastAsia="Times New Roman" w:hAnsi="Times New Roman" w:cs="Times New Roman"/>
          <w:color w:val="000000"/>
          <w:sz w:val="24"/>
          <w:szCs w:val="24"/>
          <w:lang w:eastAsia="fr-FR"/>
        </w:rPr>
        <w:t xml:space="preserve"> rhésus dans les premières 24h de vie avaient des chiffres de bilirubine totale, qui a</w:t>
      </w:r>
      <w:r w:rsidR="007D0A60" w:rsidRPr="000A4A0F">
        <w:rPr>
          <w:rFonts w:ascii="Times New Roman" w:eastAsia="Times New Roman" w:hAnsi="Times New Roman" w:cs="Times New Roman"/>
          <w:color w:val="000000"/>
          <w:sz w:val="24"/>
          <w:szCs w:val="24"/>
          <w:lang w:eastAsia="fr-FR"/>
        </w:rPr>
        <w:t>llaient de 29.4mg/l à 56,9</w:t>
      </w:r>
      <w:r w:rsidR="00571FCA" w:rsidRPr="000A4A0F">
        <w:rPr>
          <w:rFonts w:ascii="Times New Roman" w:eastAsia="Times New Roman" w:hAnsi="Times New Roman" w:cs="Times New Roman"/>
          <w:color w:val="000000"/>
          <w:sz w:val="24"/>
          <w:szCs w:val="24"/>
          <w:lang w:eastAsia="fr-FR"/>
        </w:rPr>
        <w:t xml:space="preserve"> mg/l.</w:t>
      </w:r>
    </w:p>
    <w:p w14:paraId="3328791A" w14:textId="501BE912" w:rsidR="00906FC4" w:rsidRPr="000A4A0F" w:rsidRDefault="00906FC4" w:rsidP="006612D9">
      <w:pPr>
        <w:pStyle w:val="Paragraphedeliste"/>
        <w:numPr>
          <w:ilvl w:val="0"/>
          <w:numId w:val="20"/>
        </w:num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eastAsia="Times New Roman" w:hAnsi="Times New Roman" w:cs="Times New Roman"/>
          <w:b/>
          <w:color w:val="000000"/>
          <w:sz w:val="24"/>
          <w:szCs w:val="24"/>
          <w:lang w:eastAsia="fr-FR"/>
        </w:rPr>
        <w:t xml:space="preserve">Bilirubine </w:t>
      </w:r>
      <w:r w:rsidR="000A4A0F" w:rsidRPr="000A4A0F">
        <w:rPr>
          <w:rFonts w:ascii="Times New Roman" w:eastAsia="Times New Roman" w:hAnsi="Times New Roman" w:cs="Times New Roman"/>
          <w:b/>
          <w:color w:val="000000"/>
          <w:sz w:val="24"/>
          <w:szCs w:val="24"/>
          <w:lang w:eastAsia="fr-FR"/>
        </w:rPr>
        <w:t>libre :</w:t>
      </w:r>
    </w:p>
    <w:p w14:paraId="32BAA872" w14:textId="20549B3A" w:rsidR="00906FC4" w:rsidRPr="000A4A0F" w:rsidRDefault="00906FC4"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La bilirubine libre domine la bilirubine conj</w:t>
      </w:r>
      <w:r w:rsidR="0031778A" w:rsidRPr="000A4A0F">
        <w:rPr>
          <w:rFonts w:ascii="Times New Roman" w:eastAsia="Times New Roman" w:hAnsi="Times New Roman" w:cs="Times New Roman"/>
          <w:color w:val="000000"/>
          <w:sz w:val="24"/>
          <w:szCs w:val="24"/>
          <w:lang w:eastAsia="fr-FR"/>
        </w:rPr>
        <w:t xml:space="preserve">uguée dans tous les dosages qui </w:t>
      </w:r>
      <w:r w:rsidRPr="000A4A0F">
        <w:rPr>
          <w:rFonts w:ascii="Times New Roman" w:eastAsia="Times New Roman" w:hAnsi="Times New Roman" w:cs="Times New Roman"/>
          <w:color w:val="000000"/>
          <w:sz w:val="24"/>
          <w:szCs w:val="24"/>
          <w:lang w:eastAsia="fr-FR"/>
        </w:rPr>
        <w:t>ont été effectué</w:t>
      </w:r>
      <w:r w:rsidR="009D253A" w:rsidRPr="000A4A0F">
        <w:rPr>
          <w:rFonts w:ascii="Times New Roman" w:eastAsia="Times New Roman" w:hAnsi="Times New Roman" w:cs="Times New Roman"/>
          <w:color w:val="000000"/>
          <w:sz w:val="24"/>
          <w:szCs w:val="24"/>
          <w:lang w:eastAsia="fr-FR"/>
        </w:rPr>
        <w:t>s</w:t>
      </w:r>
      <w:r w:rsidR="000C6DD2" w:rsidRPr="000A4A0F">
        <w:rPr>
          <w:rFonts w:ascii="Times New Roman" w:eastAsia="Times New Roman" w:hAnsi="Times New Roman" w:cs="Times New Roman"/>
          <w:color w:val="000000"/>
          <w:sz w:val="24"/>
          <w:szCs w:val="24"/>
          <w:lang w:eastAsia="fr-FR"/>
        </w:rPr>
        <w:t xml:space="preserve">, ses valeurs varient entre 15.91 et </w:t>
      </w:r>
      <w:r w:rsidR="000A4A0F" w:rsidRPr="000A4A0F">
        <w:rPr>
          <w:rFonts w:ascii="Times New Roman" w:eastAsia="Times New Roman" w:hAnsi="Times New Roman" w:cs="Times New Roman"/>
          <w:color w:val="000000"/>
          <w:sz w:val="24"/>
          <w:szCs w:val="24"/>
          <w:lang w:eastAsia="fr-FR"/>
        </w:rPr>
        <w:t>25.32 mg</w:t>
      </w:r>
      <w:r w:rsidRPr="000A4A0F">
        <w:rPr>
          <w:rFonts w:ascii="Times New Roman" w:eastAsia="Times New Roman" w:hAnsi="Times New Roman" w:cs="Times New Roman"/>
          <w:color w:val="000000"/>
          <w:sz w:val="24"/>
          <w:szCs w:val="24"/>
          <w:lang w:eastAsia="fr-FR"/>
        </w:rPr>
        <w:t>/L.</w:t>
      </w:r>
    </w:p>
    <w:p w14:paraId="3DDCFAA0" w14:textId="77777777" w:rsidR="009D253A" w:rsidRPr="000A4A0F" w:rsidRDefault="00906FC4"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Le taux moyen de la bilirubin</w:t>
      </w:r>
      <w:r w:rsidR="000C6DD2" w:rsidRPr="000A4A0F">
        <w:rPr>
          <w:rFonts w:ascii="Times New Roman" w:eastAsia="Times New Roman" w:hAnsi="Times New Roman" w:cs="Times New Roman"/>
          <w:color w:val="000000"/>
          <w:sz w:val="24"/>
          <w:szCs w:val="24"/>
          <w:lang w:eastAsia="fr-FR"/>
        </w:rPr>
        <w:t>émie libre est de 20± 8.68</w:t>
      </w:r>
      <w:r w:rsidR="009D253A" w:rsidRPr="000A4A0F">
        <w:rPr>
          <w:rFonts w:ascii="Times New Roman" w:eastAsia="Times New Roman" w:hAnsi="Times New Roman" w:cs="Times New Roman"/>
          <w:color w:val="000000"/>
          <w:sz w:val="24"/>
          <w:szCs w:val="24"/>
          <w:lang w:eastAsia="fr-FR"/>
        </w:rPr>
        <w:t>mg/L</w:t>
      </w:r>
    </w:p>
    <w:p w14:paraId="17A5F0FF" w14:textId="2BB3B364" w:rsidR="009D253A" w:rsidRPr="000A4A0F" w:rsidRDefault="009D253A" w:rsidP="006612D9">
      <w:pPr>
        <w:pStyle w:val="Paragraphedeliste"/>
        <w:numPr>
          <w:ilvl w:val="0"/>
          <w:numId w:val="20"/>
        </w:num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eastAsia="Times New Roman" w:hAnsi="Times New Roman" w:cs="Times New Roman"/>
          <w:b/>
          <w:color w:val="000000"/>
          <w:sz w:val="24"/>
          <w:szCs w:val="24"/>
          <w:lang w:eastAsia="fr-FR"/>
        </w:rPr>
        <w:t>Groupage ABO/Rhésus.</w:t>
      </w:r>
    </w:p>
    <w:p w14:paraId="31A85AF9" w14:textId="48BDBB66" w:rsidR="009D253A" w:rsidRPr="000A4A0F" w:rsidRDefault="00FD1344"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lastRenderedPageBreak/>
        <w:t xml:space="preserve">Il a été recueilli chez 127 nouveau-nés et </w:t>
      </w:r>
      <w:r w:rsidR="000A4A0F" w:rsidRPr="000A4A0F">
        <w:rPr>
          <w:rFonts w:ascii="Times New Roman" w:eastAsia="Times New Roman" w:hAnsi="Times New Roman" w:cs="Times New Roman"/>
          <w:color w:val="000000"/>
          <w:sz w:val="24"/>
          <w:szCs w:val="24"/>
          <w:lang w:eastAsia="fr-FR"/>
        </w:rPr>
        <w:t>109 mères</w:t>
      </w:r>
      <w:r w:rsidR="00E35A45" w:rsidRPr="000A4A0F">
        <w:rPr>
          <w:rFonts w:ascii="Times New Roman" w:eastAsia="Times New Roman" w:hAnsi="Times New Roman" w:cs="Times New Roman"/>
          <w:color w:val="000000"/>
          <w:sz w:val="24"/>
          <w:szCs w:val="24"/>
          <w:lang w:eastAsia="fr-FR"/>
        </w:rPr>
        <w:t xml:space="preserve"> inclus dans notre étude.</w:t>
      </w:r>
    </w:p>
    <w:p w14:paraId="6CFF98CE" w14:textId="46BC80C4" w:rsidR="006021C4" w:rsidRPr="000A4A0F" w:rsidRDefault="009D253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343865">
        <w:rPr>
          <w:rFonts w:ascii="Times New Roman" w:eastAsia="Times New Roman" w:hAnsi="Times New Roman" w:cs="Times New Roman"/>
          <w:color w:val="000000"/>
          <w:sz w:val="24"/>
          <w:szCs w:val="24"/>
          <w:highlight w:val="yellow"/>
          <w:lang w:eastAsia="fr-FR"/>
        </w:rPr>
        <w:t xml:space="preserve">Système </w:t>
      </w:r>
      <w:proofErr w:type="spellStart"/>
      <w:r w:rsidRPr="00343865">
        <w:rPr>
          <w:rFonts w:ascii="Times New Roman" w:eastAsia="Times New Roman" w:hAnsi="Times New Roman" w:cs="Times New Roman"/>
          <w:color w:val="000000"/>
          <w:sz w:val="24"/>
          <w:szCs w:val="24"/>
          <w:highlight w:val="yellow"/>
          <w:lang w:eastAsia="fr-FR"/>
        </w:rPr>
        <w:t>ABO:</w:t>
      </w:r>
      <w:r w:rsidR="00FD1344" w:rsidRPr="000A4A0F">
        <w:rPr>
          <w:rFonts w:ascii="Times New Roman" w:eastAsia="Times New Roman" w:hAnsi="Times New Roman" w:cs="Times New Roman"/>
          <w:color w:val="000000"/>
          <w:sz w:val="24"/>
          <w:szCs w:val="24"/>
          <w:lang w:eastAsia="fr-FR"/>
        </w:rPr>
        <w:t>Le</w:t>
      </w:r>
      <w:proofErr w:type="spellEnd"/>
      <w:r w:rsidR="00FD1344" w:rsidRPr="000A4A0F">
        <w:rPr>
          <w:rFonts w:ascii="Times New Roman" w:eastAsia="Times New Roman" w:hAnsi="Times New Roman" w:cs="Times New Roman"/>
          <w:color w:val="000000"/>
          <w:sz w:val="24"/>
          <w:szCs w:val="24"/>
          <w:lang w:eastAsia="fr-FR"/>
        </w:rPr>
        <w:t xml:space="preserve"> groupe O</w:t>
      </w:r>
      <w:r w:rsidRPr="000A4A0F">
        <w:rPr>
          <w:rFonts w:ascii="Times New Roman" w:eastAsia="Times New Roman" w:hAnsi="Times New Roman" w:cs="Times New Roman"/>
          <w:color w:val="000000"/>
          <w:sz w:val="24"/>
          <w:szCs w:val="24"/>
          <w:lang w:eastAsia="fr-FR"/>
        </w:rPr>
        <w:t xml:space="preserve"> est le plus fréquent chez les n</w:t>
      </w:r>
      <w:r w:rsidR="006021C4" w:rsidRPr="000A4A0F">
        <w:rPr>
          <w:rFonts w:ascii="Times New Roman" w:eastAsia="Times New Roman" w:hAnsi="Times New Roman" w:cs="Times New Roman"/>
          <w:color w:val="000000"/>
          <w:sz w:val="24"/>
          <w:szCs w:val="24"/>
          <w:lang w:eastAsia="fr-FR"/>
        </w:rPr>
        <w:t>ou</w:t>
      </w:r>
      <w:r w:rsidR="00FD1344" w:rsidRPr="000A4A0F">
        <w:rPr>
          <w:rFonts w:ascii="Times New Roman" w:eastAsia="Times New Roman" w:hAnsi="Times New Roman" w:cs="Times New Roman"/>
          <w:color w:val="000000"/>
          <w:sz w:val="24"/>
          <w:szCs w:val="24"/>
          <w:lang w:eastAsia="fr-FR"/>
        </w:rPr>
        <w:t>veau-nés suivi par le groupe B puis A et enfin AB</w:t>
      </w:r>
      <w:r w:rsidRPr="000A4A0F">
        <w:rPr>
          <w:rFonts w:ascii="Times New Roman" w:eastAsia="Times New Roman" w:hAnsi="Times New Roman" w:cs="Times New Roman"/>
          <w:color w:val="000000"/>
          <w:sz w:val="24"/>
          <w:szCs w:val="24"/>
          <w:lang w:eastAsia="fr-FR"/>
        </w:rPr>
        <w:t>. De m</w:t>
      </w:r>
      <w:r w:rsidR="006021C4" w:rsidRPr="000A4A0F">
        <w:rPr>
          <w:rFonts w:ascii="Times New Roman" w:eastAsia="Times New Roman" w:hAnsi="Times New Roman" w:cs="Times New Roman"/>
          <w:color w:val="000000"/>
          <w:sz w:val="24"/>
          <w:szCs w:val="24"/>
          <w:lang w:eastAsia="fr-FR"/>
        </w:rPr>
        <w:t>êm</w:t>
      </w:r>
      <w:r w:rsidR="00FD1344" w:rsidRPr="000A4A0F">
        <w:rPr>
          <w:rFonts w:ascii="Times New Roman" w:eastAsia="Times New Roman" w:hAnsi="Times New Roman" w:cs="Times New Roman"/>
          <w:color w:val="000000"/>
          <w:sz w:val="24"/>
          <w:szCs w:val="24"/>
          <w:lang w:eastAsia="fr-FR"/>
        </w:rPr>
        <w:t>e, pour les mères, le groupe O</w:t>
      </w:r>
      <w:r w:rsidRPr="000A4A0F">
        <w:rPr>
          <w:rFonts w:ascii="Times New Roman" w:eastAsia="Times New Roman" w:hAnsi="Times New Roman" w:cs="Times New Roman"/>
          <w:color w:val="000000"/>
          <w:sz w:val="24"/>
          <w:szCs w:val="24"/>
          <w:lang w:eastAsia="fr-FR"/>
        </w:rPr>
        <w:t xml:space="preserve"> est l</w:t>
      </w:r>
      <w:r w:rsidR="006021C4" w:rsidRPr="000A4A0F">
        <w:rPr>
          <w:rFonts w:ascii="Times New Roman" w:eastAsia="Times New Roman" w:hAnsi="Times New Roman" w:cs="Times New Roman"/>
          <w:color w:val="000000"/>
          <w:sz w:val="24"/>
          <w:szCs w:val="24"/>
          <w:lang w:eastAsia="fr-FR"/>
        </w:rPr>
        <w:t>e p</w:t>
      </w:r>
      <w:r w:rsidR="00FD1344" w:rsidRPr="000A4A0F">
        <w:rPr>
          <w:rFonts w:ascii="Times New Roman" w:eastAsia="Times New Roman" w:hAnsi="Times New Roman" w:cs="Times New Roman"/>
          <w:color w:val="000000"/>
          <w:sz w:val="24"/>
          <w:szCs w:val="24"/>
          <w:lang w:eastAsia="fr-FR"/>
        </w:rPr>
        <w:t>lus fréquent puis le groupe A</w:t>
      </w:r>
      <w:r w:rsidR="00571FCA" w:rsidRPr="000A4A0F">
        <w:rPr>
          <w:rFonts w:ascii="Times New Roman" w:eastAsia="Times New Roman" w:hAnsi="Times New Roman" w:cs="Times New Roman"/>
          <w:color w:val="000000"/>
          <w:sz w:val="24"/>
          <w:szCs w:val="24"/>
          <w:lang w:eastAsia="fr-FR"/>
        </w:rPr>
        <w:t>, B</w:t>
      </w:r>
      <w:r w:rsidR="00FD1344" w:rsidRPr="000A4A0F">
        <w:rPr>
          <w:rFonts w:ascii="Times New Roman" w:eastAsia="Times New Roman" w:hAnsi="Times New Roman" w:cs="Times New Roman"/>
          <w:color w:val="000000"/>
          <w:sz w:val="24"/>
          <w:szCs w:val="24"/>
          <w:lang w:eastAsia="fr-FR"/>
        </w:rPr>
        <w:t xml:space="preserve"> et AB.</w:t>
      </w:r>
    </w:p>
    <w:p w14:paraId="32E782B7" w14:textId="4A98B646" w:rsidR="00567100" w:rsidRPr="000A4A0F" w:rsidRDefault="006021C4"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343865">
        <w:rPr>
          <w:rFonts w:ascii="Times New Roman" w:eastAsia="Times New Roman" w:hAnsi="Times New Roman" w:cs="Times New Roman"/>
          <w:color w:val="000000"/>
          <w:sz w:val="24"/>
          <w:szCs w:val="24"/>
          <w:highlight w:val="yellow"/>
          <w:lang w:eastAsia="fr-FR"/>
        </w:rPr>
        <w:t xml:space="preserve">Système </w:t>
      </w:r>
      <w:r w:rsidR="000A4A0F" w:rsidRPr="00343865">
        <w:rPr>
          <w:rFonts w:ascii="Times New Roman" w:eastAsia="Times New Roman" w:hAnsi="Times New Roman" w:cs="Times New Roman"/>
          <w:color w:val="000000"/>
          <w:sz w:val="24"/>
          <w:szCs w:val="24"/>
          <w:highlight w:val="yellow"/>
          <w:lang w:eastAsia="fr-FR"/>
        </w:rPr>
        <w:t>Rhésus :</w:t>
      </w:r>
      <w:r w:rsidR="00DA1659" w:rsidRPr="000A4A0F">
        <w:rPr>
          <w:rFonts w:ascii="Times New Roman" w:eastAsia="Times New Roman" w:hAnsi="Times New Roman" w:cs="Times New Roman"/>
          <w:color w:val="000000"/>
          <w:sz w:val="24"/>
          <w:szCs w:val="24"/>
          <w:lang w:eastAsia="fr-FR"/>
        </w:rPr>
        <w:t xml:space="preserve"> </w:t>
      </w:r>
      <w:r w:rsidRPr="000A4A0F">
        <w:rPr>
          <w:rFonts w:ascii="Times New Roman" w:eastAsia="Times New Roman" w:hAnsi="Times New Roman" w:cs="Times New Roman"/>
          <w:color w:val="000000"/>
          <w:sz w:val="24"/>
          <w:szCs w:val="24"/>
          <w:lang w:eastAsia="fr-FR"/>
        </w:rPr>
        <w:t>La majorité des nouveau-nés et des mères inclus dans not</w:t>
      </w:r>
      <w:r w:rsidR="00FD1344" w:rsidRPr="000A4A0F">
        <w:rPr>
          <w:rFonts w:ascii="Times New Roman" w:eastAsia="Times New Roman" w:hAnsi="Times New Roman" w:cs="Times New Roman"/>
          <w:color w:val="000000"/>
          <w:sz w:val="24"/>
          <w:szCs w:val="24"/>
          <w:lang w:eastAsia="fr-FR"/>
        </w:rPr>
        <w:t>re étude ont un rhésus positif.</w:t>
      </w:r>
    </w:p>
    <w:p w14:paraId="541718E0" w14:textId="1AAED8B5" w:rsidR="00571FCA" w:rsidRPr="000A4A0F" w:rsidRDefault="006021C4" w:rsidP="006612D9">
      <w:pPr>
        <w:pStyle w:val="Paragraphedeliste"/>
        <w:numPr>
          <w:ilvl w:val="0"/>
          <w:numId w:val="20"/>
        </w:num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eastAsia="Times New Roman" w:hAnsi="Times New Roman" w:cs="Times New Roman"/>
          <w:b/>
          <w:color w:val="000000"/>
          <w:sz w:val="24"/>
          <w:szCs w:val="24"/>
          <w:lang w:eastAsia="fr-FR"/>
        </w:rPr>
        <w:t>NFS.</w:t>
      </w:r>
    </w:p>
    <w:p w14:paraId="15221D39" w14:textId="77777777" w:rsidR="006021C4" w:rsidRPr="000A4A0F" w:rsidRDefault="006021C4"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La numération formule s</w:t>
      </w:r>
      <w:r w:rsidR="00567100" w:rsidRPr="000A4A0F">
        <w:rPr>
          <w:rFonts w:ascii="Times New Roman" w:eastAsia="Times New Roman" w:hAnsi="Times New Roman" w:cs="Times New Roman"/>
          <w:color w:val="000000"/>
          <w:sz w:val="24"/>
          <w:szCs w:val="24"/>
          <w:lang w:eastAsia="fr-FR"/>
        </w:rPr>
        <w:t>anguine a été pratiquée chez 136</w:t>
      </w:r>
      <w:r w:rsidRPr="000A4A0F">
        <w:rPr>
          <w:rFonts w:ascii="Times New Roman" w:eastAsia="Times New Roman" w:hAnsi="Times New Roman" w:cs="Times New Roman"/>
          <w:color w:val="000000"/>
          <w:sz w:val="24"/>
          <w:szCs w:val="24"/>
          <w:lang w:eastAsia="fr-FR"/>
        </w:rPr>
        <w:t xml:space="preserve"> nouveau-nés.</w:t>
      </w:r>
    </w:p>
    <w:p w14:paraId="58C7D0FF" w14:textId="04AF3F02" w:rsidR="006021C4" w:rsidRPr="000A4A0F" w:rsidRDefault="006021C4"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La valeur de l’hémoglobine plasmatiqu</w:t>
      </w:r>
      <w:r w:rsidR="00567100" w:rsidRPr="000A4A0F">
        <w:rPr>
          <w:rFonts w:ascii="Times New Roman" w:eastAsia="Times New Roman" w:hAnsi="Times New Roman" w:cs="Times New Roman"/>
          <w:color w:val="000000"/>
          <w:sz w:val="24"/>
          <w:szCs w:val="24"/>
          <w:lang w:eastAsia="fr-FR"/>
        </w:rPr>
        <w:t xml:space="preserve">e </w:t>
      </w:r>
      <w:r w:rsidR="0031778A" w:rsidRPr="000A4A0F">
        <w:rPr>
          <w:rFonts w:ascii="Times New Roman" w:eastAsia="Times New Roman" w:hAnsi="Times New Roman" w:cs="Times New Roman"/>
          <w:color w:val="000000"/>
          <w:sz w:val="24"/>
          <w:szCs w:val="24"/>
          <w:lang w:eastAsia="fr-FR"/>
        </w:rPr>
        <w:t xml:space="preserve">à l’admission variait entre 11.1 et + 16.15g/dl avec une </w:t>
      </w:r>
      <w:r w:rsidR="000A4A0F" w:rsidRPr="000A4A0F">
        <w:rPr>
          <w:rFonts w:ascii="Times New Roman" w:eastAsia="Times New Roman" w:hAnsi="Times New Roman" w:cs="Times New Roman"/>
          <w:color w:val="000000"/>
          <w:sz w:val="24"/>
          <w:szCs w:val="24"/>
          <w:lang w:eastAsia="fr-FR"/>
        </w:rPr>
        <w:t>médiane de</w:t>
      </w:r>
      <w:r w:rsidR="0031778A" w:rsidRPr="000A4A0F">
        <w:rPr>
          <w:rFonts w:ascii="Times New Roman" w:eastAsia="Times New Roman" w:hAnsi="Times New Roman" w:cs="Times New Roman"/>
          <w:color w:val="000000"/>
          <w:sz w:val="24"/>
          <w:szCs w:val="24"/>
          <w:lang w:eastAsia="fr-FR"/>
        </w:rPr>
        <w:t xml:space="preserve"> 14.2g/dl.</w:t>
      </w:r>
    </w:p>
    <w:p w14:paraId="29A74F7B" w14:textId="77777777" w:rsidR="00E35A45" w:rsidRPr="000A4A0F" w:rsidRDefault="00124A8D"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16.2% de nouveau-né avait </w:t>
      </w:r>
      <w:r w:rsidRPr="00343865">
        <w:rPr>
          <w:rFonts w:ascii="Times New Roman" w:eastAsia="Times New Roman" w:hAnsi="Times New Roman" w:cs="Times New Roman"/>
          <w:color w:val="000000"/>
          <w:sz w:val="24"/>
          <w:szCs w:val="24"/>
          <w:highlight w:val="yellow"/>
          <w:lang w:eastAsia="fr-FR"/>
        </w:rPr>
        <w:t xml:space="preserve">un </w:t>
      </w:r>
      <w:proofErr w:type="spellStart"/>
      <w:r w:rsidRPr="00343865">
        <w:rPr>
          <w:rFonts w:ascii="Times New Roman" w:eastAsia="Times New Roman" w:hAnsi="Times New Roman" w:cs="Times New Roman"/>
          <w:color w:val="000000"/>
          <w:sz w:val="24"/>
          <w:szCs w:val="24"/>
          <w:highlight w:val="yellow"/>
          <w:lang w:eastAsia="fr-FR"/>
        </w:rPr>
        <w:t>Hb</w:t>
      </w:r>
      <w:proofErr w:type="spellEnd"/>
      <w:r w:rsidRPr="00343865">
        <w:rPr>
          <w:rFonts w:ascii="Times New Roman" w:eastAsia="Times New Roman" w:hAnsi="Times New Roman" w:cs="Times New Roman"/>
          <w:color w:val="000000"/>
          <w:sz w:val="24"/>
          <w:szCs w:val="24"/>
          <w:highlight w:val="yellow"/>
          <w:lang w:eastAsia="fr-FR"/>
        </w:rPr>
        <w:t xml:space="preserve"> </w:t>
      </w:r>
      <w:proofErr w:type="spellStart"/>
      <w:r w:rsidRPr="00343865">
        <w:rPr>
          <w:rFonts w:ascii="Times New Roman" w:eastAsia="Times New Roman" w:hAnsi="Times New Roman" w:cs="Times New Roman"/>
          <w:color w:val="000000"/>
          <w:sz w:val="24"/>
          <w:szCs w:val="24"/>
          <w:highlight w:val="yellow"/>
          <w:lang w:eastAsia="fr-FR"/>
        </w:rPr>
        <w:t>inf</w:t>
      </w:r>
      <w:proofErr w:type="spellEnd"/>
      <w:r w:rsidRPr="00343865">
        <w:rPr>
          <w:rFonts w:ascii="Times New Roman" w:eastAsia="Times New Roman" w:hAnsi="Times New Roman" w:cs="Times New Roman"/>
          <w:color w:val="000000"/>
          <w:sz w:val="24"/>
          <w:szCs w:val="24"/>
          <w:highlight w:val="yellow"/>
          <w:lang w:eastAsia="fr-FR"/>
        </w:rPr>
        <w:t xml:space="preserve"> 12</w:t>
      </w:r>
      <w:r w:rsidRPr="000A4A0F">
        <w:rPr>
          <w:rFonts w:ascii="Times New Roman" w:eastAsia="Times New Roman" w:hAnsi="Times New Roman" w:cs="Times New Roman"/>
          <w:color w:val="000000"/>
          <w:sz w:val="24"/>
          <w:szCs w:val="24"/>
          <w:lang w:eastAsia="fr-FR"/>
        </w:rPr>
        <w:t xml:space="preserve"> et ayant nécessité une transfusion.</w:t>
      </w:r>
    </w:p>
    <w:p w14:paraId="46400A7B" w14:textId="12A0D83C" w:rsidR="00567100" w:rsidRPr="000A4A0F" w:rsidRDefault="00567100"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b/>
          <w:color w:val="000000"/>
          <w:sz w:val="24"/>
          <w:szCs w:val="24"/>
          <w:lang w:eastAsia="fr-FR"/>
        </w:rPr>
        <w:t>Autres examens en fonction de l’orientation clinique.</w:t>
      </w:r>
    </w:p>
    <w:p w14:paraId="72281569" w14:textId="596C0BBC" w:rsidR="00E35A45" w:rsidRPr="00343865" w:rsidRDefault="00567100"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highlight w:val="yellow"/>
          <w:lang w:eastAsia="fr-FR"/>
        </w:rPr>
      </w:pPr>
      <w:proofErr w:type="spellStart"/>
      <w:r w:rsidRPr="00343865">
        <w:rPr>
          <w:rFonts w:ascii="Times New Roman" w:eastAsia="Times New Roman" w:hAnsi="Times New Roman" w:cs="Times New Roman"/>
          <w:color w:val="000000"/>
          <w:sz w:val="24"/>
          <w:szCs w:val="24"/>
          <w:highlight w:val="yellow"/>
          <w:lang w:eastAsia="fr-FR"/>
        </w:rPr>
        <w:t>CRP:Le</w:t>
      </w:r>
      <w:proofErr w:type="spellEnd"/>
      <w:r w:rsidRPr="00343865">
        <w:rPr>
          <w:rFonts w:ascii="Times New Roman" w:eastAsia="Times New Roman" w:hAnsi="Times New Roman" w:cs="Times New Roman"/>
          <w:color w:val="000000"/>
          <w:sz w:val="24"/>
          <w:szCs w:val="24"/>
          <w:highlight w:val="yellow"/>
          <w:lang w:eastAsia="fr-FR"/>
        </w:rPr>
        <w:t xml:space="preserve"> dosage </w:t>
      </w:r>
      <w:r w:rsidR="004731B8" w:rsidRPr="00343865">
        <w:rPr>
          <w:rFonts w:ascii="Times New Roman" w:eastAsia="Times New Roman" w:hAnsi="Times New Roman" w:cs="Times New Roman"/>
          <w:color w:val="000000"/>
          <w:sz w:val="24"/>
          <w:szCs w:val="24"/>
          <w:highlight w:val="yellow"/>
          <w:lang w:eastAsia="fr-FR"/>
        </w:rPr>
        <w:t>de</w:t>
      </w:r>
      <w:r w:rsidR="00146E61" w:rsidRPr="00343865">
        <w:rPr>
          <w:rFonts w:ascii="Times New Roman" w:eastAsia="Times New Roman" w:hAnsi="Times New Roman" w:cs="Times New Roman"/>
          <w:color w:val="000000"/>
          <w:sz w:val="24"/>
          <w:szCs w:val="24"/>
          <w:highlight w:val="yellow"/>
          <w:lang w:eastAsia="fr-FR"/>
        </w:rPr>
        <w:t xml:space="preserve"> la CRP a été pratiqué chez 80</w:t>
      </w:r>
      <w:r w:rsidR="00124A8D" w:rsidRPr="00343865">
        <w:rPr>
          <w:rFonts w:ascii="Times New Roman" w:eastAsia="Times New Roman" w:hAnsi="Times New Roman" w:cs="Times New Roman"/>
          <w:color w:val="000000"/>
          <w:sz w:val="24"/>
          <w:szCs w:val="24"/>
          <w:highlight w:val="yellow"/>
          <w:lang w:eastAsia="fr-FR"/>
        </w:rPr>
        <w:t xml:space="preserve"> nouveau-nés</w:t>
      </w:r>
      <w:r w:rsidRPr="00343865">
        <w:rPr>
          <w:rFonts w:ascii="Times New Roman" w:eastAsia="Times New Roman" w:hAnsi="Times New Roman" w:cs="Times New Roman"/>
          <w:color w:val="000000"/>
          <w:sz w:val="24"/>
          <w:szCs w:val="24"/>
          <w:highlight w:val="yellow"/>
          <w:lang w:eastAsia="fr-FR"/>
        </w:rPr>
        <w:t>, et</w:t>
      </w:r>
      <w:r w:rsidR="004731B8" w:rsidRPr="00343865">
        <w:rPr>
          <w:rFonts w:ascii="Times New Roman" w:eastAsia="Times New Roman" w:hAnsi="Times New Roman" w:cs="Times New Roman"/>
          <w:color w:val="000000"/>
          <w:sz w:val="24"/>
          <w:szCs w:val="24"/>
          <w:highlight w:val="yellow"/>
          <w:lang w:eastAsia="fr-FR"/>
        </w:rPr>
        <w:t xml:space="preserve"> l</w:t>
      </w:r>
      <w:r w:rsidR="00124A8D" w:rsidRPr="00343865">
        <w:rPr>
          <w:rFonts w:ascii="Times New Roman" w:eastAsia="Times New Roman" w:hAnsi="Times New Roman" w:cs="Times New Roman"/>
          <w:color w:val="000000"/>
          <w:sz w:val="24"/>
          <w:szCs w:val="24"/>
          <w:highlight w:val="yellow"/>
          <w:lang w:eastAsia="fr-FR"/>
        </w:rPr>
        <w:t>a valeur maximale était de 76,6</w:t>
      </w:r>
      <w:r w:rsidRPr="00343865">
        <w:rPr>
          <w:rFonts w:ascii="Times New Roman" w:eastAsia="Times New Roman" w:hAnsi="Times New Roman" w:cs="Times New Roman"/>
          <w:color w:val="000000"/>
          <w:sz w:val="24"/>
          <w:szCs w:val="24"/>
          <w:highlight w:val="yellow"/>
          <w:lang w:eastAsia="fr-FR"/>
        </w:rPr>
        <w:t xml:space="preserve"> mg/l</w:t>
      </w:r>
      <w:r w:rsidR="00124A8D" w:rsidRPr="00343865">
        <w:rPr>
          <w:rFonts w:ascii="Times New Roman" w:eastAsia="Times New Roman" w:hAnsi="Times New Roman" w:cs="Times New Roman"/>
          <w:color w:val="000000"/>
          <w:sz w:val="24"/>
          <w:szCs w:val="24"/>
          <w:highlight w:val="yellow"/>
          <w:lang w:eastAsia="fr-FR"/>
        </w:rPr>
        <w:t xml:space="preserve"> et pour la PCT </w:t>
      </w:r>
      <w:r w:rsidR="00083F0E" w:rsidRPr="00343865">
        <w:rPr>
          <w:rFonts w:ascii="Times New Roman" w:eastAsia="Times New Roman" w:hAnsi="Times New Roman" w:cs="Times New Roman"/>
          <w:color w:val="000000"/>
          <w:sz w:val="24"/>
          <w:szCs w:val="24"/>
          <w:highlight w:val="yellow"/>
          <w:lang w:eastAsia="fr-FR"/>
        </w:rPr>
        <w:t xml:space="preserve"> était pathologique </w:t>
      </w:r>
      <w:r w:rsidR="00124A8D" w:rsidRPr="00343865">
        <w:rPr>
          <w:rFonts w:ascii="Times New Roman" w:eastAsia="Times New Roman" w:hAnsi="Times New Roman" w:cs="Times New Roman"/>
          <w:color w:val="000000"/>
          <w:sz w:val="24"/>
          <w:szCs w:val="24"/>
          <w:highlight w:val="yellow"/>
          <w:lang w:eastAsia="fr-FR"/>
        </w:rPr>
        <w:t xml:space="preserve"> chez 17 nouveau-né et</w:t>
      </w:r>
      <w:r w:rsidR="00570AF7" w:rsidRPr="00343865">
        <w:rPr>
          <w:rFonts w:ascii="Times New Roman" w:eastAsia="Times New Roman" w:hAnsi="Times New Roman" w:cs="Times New Roman"/>
          <w:color w:val="000000"/>
          <w:sz w:val="24"/>
          <w:szCs w:val="24"/>
          <w:highlight w:val="yellow"/>
          <w:lang w:eastAsia="fr-FR"/>
        </w:rPr>
        <w:t xml:space="preserve"> varier entre 0,47micro-gramme à</w:t>
      </w:r>
      <w:r w:rsidR="00124A8D" w:rsidRPr="00343865">
        <w:rPr>
          <w:rFonts w:ascii="Times New Roman" w:eastAsia="Times New Roman" w:hAnsi="Times New Roman" w:cs="Times New Roman"/>
          <w:color w:val="000000"/>
          <w:sz w:val="24"/>
          <w:szCs w:val="24"/>
          <w:highlight w:val="yellow"/>
          <w:lang w:eastAsia="fr-FR"/>
        </w:rPr>
        <w:t xml:space="preserve"> 56,35.</w:t>
      </w:r>
    </w:p>
    <w:p w14:paraId="441223D1" w14:textId="34CDA2A8" w:rsidR="00DA1659" w:rsidRPr="00343865" w:rsidRDefault="00567100" w:rsidP="006612D9">
      <w:pPr>
        <w:spacing w:after="0" w:line="360" w:lineRule="auto"/>
        <w:jc w:val="both"/>
        <w:rPr>
          <w:rFonts w:ascii="Times New Roman" w:hAnsi="Times New Roman" w:cs="Times New Roman"/>
          <w:sz w:val="24"/>
          <w:szCs w:val="24"/>
          <w:highlight w:val="yellow"/>
          <w:lang w:eastAsia="fr-FR"/>
        </w:rPr>
      </w:pPr>
      <w:r w:rsidRPr="00343865">
        <w:rPr>
          <w:rFonts w:ascii="Times New Roman" w:eastAsia="Times New Roman" w:hAnsi="Times New Roman" w:cs="Times New Roman"/>
          <w:color w:val="000000"/>
          <w:sz w:val="24"/>
          <w:szCs w:val="24"/>
          <w:highlight w:val="yellow"/>
          <w:lang w:eastAsia="fr-FR"/>
        </w:rPr>
        <w:t>L’hémocultur</w:t>
      </w:r>
      <w:r w:rsidR="00124A8D" w:rsidRPr="00343865">
        <w:rPr>
          <w:rFonts w:ascii="Times New Roman" w:eastAsia="Times New Roman" w:hAnsi="Times New Roman" w:cs="Times New Roman"/>
          <w:color w:val="000000"/>
          <w:sz w:val="24"/>
          <w:szCs w:val="24"/>
          <w:highlight w:val="yellow"/>
          <w:lang w:eastAsia="fr-FR"/>
        </w:rPr>
        <w:t xml:space="preserve">e a été réalisée chez </w:t>
      </w:r>
      <w:r w:rsidR="000A4A0F" w:rsidRPr="00343865">
        <w:rPr>
          <w:rFonts w:ascii="Times New Roman" w:eastAsia="Times New Roman" w:hAnsi="Times New Roman" w:cs="Times New Roman"/>
          <w:color w:val="000000"/>
          <w:sz w:val="24"/>
          <w:szCs w:val="24"/>
          <w:highlight w:val="yellow"/>
          <w:lang w:eastAsia="fr-FR"/>
        </w:rPr>
        <w:t>47 nouveau</w:t>
      </w:r>
      <w:r w:rsidRPr="00343865">
        <w:rPr>
          <w:rFonts w:ascii="Times New Roman" w:eastAsia="Times New Roman" w:hAnsi="Times New Roman" w:cs="Times New Roman"/>
          <w:color w:val="000000"/>
          <w:sz w:val="24"/>
          <w:szCs w:val="24"/>
          <w:highlight w:val="yellow"/>
          <w:lang w:eastAsia="fr-FR"/>
        </w:rPr>
        <w:t>-n</w:t>
      </w:r>
      <w:r w:rsidR="00FE5422" w:rsidRPr="00343865">
        <w:rPr>
          <w:rFonts w:ascii="Times New Roman" w:eastAsia="Times New Roman" w:hAnsi="Times New Roman" w:cs="Times New Roman"/>
          <w:color w:val="000000"/>
          <w:sz w:val="24"/>
          <w:szCs w:val="24"/>
          <w:highlight w:val="yellow"/>
          <w:lang w:eastAsia="fr-FR"/>
        </w:rPr>
        <w:t>és,</w:t>
      </w:r>
      <w:r w:rsidR="00124A8D" w:rsidRPr="00343865">
        <w:rPr>
          <w:rFonts w:ascii="Times New Roman" w:eastAsia="Times New Roman" w:hAnsi="Times New Roman" w:cs="Times New Roman"/>
          <w:color w:val="000000"/>
          <w:sz w:val="24"/>
          <w:szCs w:val="24"/>
          <w:highlight w:val="yellow"/>
          <w:lang w:eastAsia="fr-FR"/>
        </w:rPr>
        <w:t xml:space="preserve"> revenant positive chez </w:t>
      </w:r>
      <w:r w:rsidR="00FD2828" w:rsidRPr="00343865">
        <w:rPr>
          <w:rFonts w:ascii="Times New Roman" w:eastAsia="Times New Roman" w:hAnsi="Times New Roman" w:cs="Times New Roman"/>
          <w:color w:val="000000"/>
          <w:sz w:val="24"/>
          <w:szCs w:val="24"/>
          <w:highlight w:val="yellow"/>
          <w:lang w:eastAsia="fr-FR"/>
        </w:rPr>
        <w:t xml:space="preserve">10 </w:t>
      </w:r>
      <w:r w:rsidR="00A03054" w:rsidRPr="00343865">
        <w:rPr>
          <w:rFonts w:ascii="Times New Roman" w:eastAsia="Times New Roman" w:hAnsi="Times New Roman" w:cs="Times New Roman"/>
          <w:color w:val="000000"/>
          <w:sz w:val="24"/>
          <w:szCs w:val="24"/>
          <w:highlight w:val="yellow"/>
          <w:lang w:eastAsia="fr-FR"/>
        </w:rPr>
        <w:t>nouveau-nés</w:t>
      </w:r>
      <w:r w:rsidR="007D0A60" w:rsidRPr="00343865">
        <w:rPr>
          <w:rFonts w:ascii="Times New Roman" w:eastAsia="Times New Roman" w:hAnsi="Times New Roman" w:cs="Times New Roman"/>
          <w:color w:val="000000"/>
          <w:sz w:val="24"/>
          <w:szCs w:val="24"/>
          <w:highlight w:val="yellow"/>
          <w:lang w:eastAsia="fr-FR"/>
        </w:rPr>
        <w:t>.</w:t>
      </w:r>
    </w:p>
    <w:p w14:paraId="421F7C4A" w14:textId="7D6CB6B2" w:rsidR="00FD2828" w:rsidRPr="00343865" w:rsidRDefault="00567100" w:rsidP="006612D9">
      <w:pPr>
        <w:spacing w:after="0" w:line="360" w:lineRule="auto"/>
        <w:jc w:val="both"/>
        <w:rPr>
          <w:rFonts w:ascii="Times New Roman" w:hAnsi="Times New Roman" w:cs="Times New Roman"/>
          <w:sz w:val="24"/>
          <w:szCs w:val="24"/>
          <w:highlight w:val="yellow"/>
          <w:lang w:eastAsia="fr-FR"/>
        </w:rPr>
      </w:pPr>
      <w:r w:rsidRPr="00343865">
        <w:rPr>
          <w:rFonts w:ascii="Times New Roman" w:eastAsia="Times New Roman" w:hAnsi="Times New Roman" w:cs="Times New Roman"/>
          <w:color w:val="000000"/>
          <w:sz w:val="24"/>
          <w:szCs w:val="24"/>
          <w:highlight w:val="yellow"/>
          <w:lang w:eastAsia="fr-FR"/>
        </w:rPr>
        <w:t xml:space="preserve">Bilan </w:t>
      </w:r>
      <w:proofErr w:type="spellStart"/>
      <w:r w:rsidRPr="00343865">
        <w:rPr>
          <w:rFonts w:ascii="Times New Roman" w:eastAsia="Times New Roman" w:hAnsi="Times New Roman" w:cs="Times New Roman"/>
          <w:color w:val="000000"/>
          <w:sz w:val="24"/>
          <w:szCs w:val="24"/>
          <w:highlight w:val="yellow"/>
          <w:lang w:eastAsia="fr-FR"/>
        </w:rPr>
        <w:t>thyroïdien:Le</w:t>
      </w:r>
      <w:proofErr w:type="spellEnd"/>
      <w:r w:rsidRPr="00343865">
        <w:rPr>
          <w:rFonts w:ascii="Times New Roman" w:eastAsia="Times New Roman" w:hAnsi="Times New Roman" w:cs="Times New Roman"/>
          <w:color w:val="000000"/>
          <w:sz w:val="24"/>
          <w:szCs w:val="24"/>
          <w:highlight w:val="yellow"/>
          <w:lang w:eastAsia="fr-FR"/>
        </w:rPr>
        <w:t xml:space="preserve"> dosage d</w:t>
      </w:r>
      <w:r w:rsidR="00FE5422" w:rsidRPr="00343865">
        <w:rPr>
          <w:rFonts w:ascii="Times New Roman" w:eastAsia="Times New Roman" w:hAnsi="Times New Roman" w:cs="Times New Roman"/>
          <w:color w:val="000000"/>
          <w:sz w:val="24"/>
          <w:szCs w:val="24"/>
          <w:highlight w:val="yellow"/>
          <w:lang w:eastAsia="fr-FR"/>
        </w:rPr>
        <w:t>e la TSH</w:t>
      </w:r>
      <w:r w:rsidR="00DB139B" w:rsidRPr="00343865">
        <w:rPr>
          <w:rFonts w:ascii="Times New Roman" w:eastAsia="Times New Roman" w:hAnsi="Times New Roman" w:cs="Times New Roman"/>
          <w:color w:val="000000"/>
          <w:sz w:val="24"/>
          <w:szCs w:val="24"/>
          <w:highlight w:val="yellow"/>
          <w:lang w:eastAsia="fr-FR"/>
        </w:rPr>
        <w:t xml:space="preserve"> a été réalisé chez 134</w:t>
      </w:r>
      <w:r w:rsidRPr="00343865">
        <w:rPr>
          <w:rFonts w:ascii="Times New Roman" w:eastAsia="Times New Roman" w:hAnsi="Times New Roman" w:cs="Times New Roman"/>
          <w:color w:val="000000"/>
          <w:sz w:val="24"/>
          <w:szCs w:val="24"/>
          <w:highlight w:val="yellow"/>
          <w:lang w:eastAsia="fr-FR"/>
        </w:rPr>
        <w:t xml:space="preserve"> nouveau-nés permettant de </w:t>
      </w:r>
      <w:r w:rsidR="004731B8" w:rsidRPr="00343865">
        <w:rPr>
          <w:rFonts w:ascii="Times New Roman" w:eastAsia="Times New Roman" w:hAnsi="Times New Roman" w:cs="Times New Roman"/>
          <w:color w:val="000000"/>
          <w:sz w:val="24"/>
          <w:szCs w:val="24"/>
          <w:highlight w:val="yellow"/>
          <w:lang w:eastAsia="fr-FR"/>
        </w:rPr>
        <w:t>ret</w:t>
      </w:r>
      <w:r w:rsidR="00DB139B" w:rsidRPr="00343865">
        <w:rPr>
          <w:rFonts w:ascii="Times New Roman" w:eastAsia="Times New Roman" w:hAnsi="Times New Roman" w:cs="Times New Roman"/>
          <w:color w:val="000000"/>
          <w:sz w:val="24"/>
          <w:szCs w:val="24"/>
          <w:highlight w:val="yellow"/>
          <w:lang w:eastAsia="fr-FR"/>
        </w:rPr>
        <w:t>enir une hypothyroïdie dans 2 cas soit 1.5</w:t>
      </w:r>
      <w:r w:rsidR="00E35A45" w:rsidRPr="00343865">
        <w:rPr>
          <w:rFonts w:ascii="Times New Roman" w:eastAsia="Times New Roman" w:hAnsi="Times New Roman" w:cs="Times New Roman"/>
          <w:color w:val="000000"/>
          <w:sz w:val="24"/>
          <w:szCs w:val="24"/>
          <w:highlight w:val="yellow"/>
          <w:lang w:eastAsia="fr-FR"/>
        </w:rPr>
        <w:t>%.</w:t>
      </w:r>
    </w:p>
    <w:p w14:paraId="601D952F" w14:textId="60A60E3D" w:rsidR="00FD2828" w:rsidRPr="00343865" w:rsidRDefault="00567100"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highlight w:val="yellow"/>
          <w:lang w:eastAsia="fr-FR"/>
        </w:rPr>
      </w:pPr>
      <w:r w:rsidRPr="00343865">
        <w:rPr>
          <w:rFonts w:ascii="Times New Roman" w:eastAsia="Times New Roman" w:hAnsi="Times New Roman" w:cs="Times New Roman"/>
          <w:color w:val="000000"/>
          <w:sz w:val="24"/>
          <w:szCs w:val="24"/>
          <w:highlight w:val="yellow"/>
          <w:lang w:eastAsia="fr-FR"/>
        </w:rPr>
        <w:t xml:space="preserve">Dosage du </w:t>
      </w:r>
      <w:r w:rsidR="000A4A0F" w:rsidRPr="00343865">
        <w:rPr>
          <w:rFonts w:ascii="Times New Roman" w:eastAsia="Times New Roman" w:hAnsi="Times New Roman" w:cs="Times New Roman"/>
          <w:color w:val="000000"/>
          <w:sz w:val="24"/>
          <w:szCs w:val="24"/>
          <w:highlight w:val="yellow"/>
          <w:lang w:eastAsia="fr-FR"/>
        </w:rPr>
        <w:t>G6PD :</w:t>
      </w:r>
      <w:r w:rsidR="00DA1659" w:rsidRPr="00343865">
        <w:rPr>
          <w:rFonts w:ascii="Times New Roman" w:eastAsia="Times New Roman" w:hAnsi="Times New Roman" w:cs="Times New Roman"/>
          <w:color w:val="000000"/>
          <w:sz w:val="24"/>
          <w:szCs w:val="24"/>
          <w:highlight w:val="yellow"/>
          <w:lang w:eastAsia="fr-FR"/>
        </w:rPr>
        <w:t xml:space="preserve"> </w:t>
      </w:r>
      <w:r w:rsidRPr="00343865">
        <w:rPr>
          <w:rFonts w:ascii="Times New Roman" w:eastAsia="Times New Roman" w:hAnsi="Times New Roman" w:cs="Times New Roman"/>
          <w:color w:val="000000"/>
          <w:sz w:val="24"/>
          <w:szCs w:val="24"/>
          <w:highlight w:val="yellow"/>
          <w:lang w:eastAsia="fr-FR"/>
        </w:rPr>
        <w:t>Le dosage</w:t>
      </w:r>
      <w:r w:rsidR="004731B8" w:rsidRPr="00343865">
        <w:rPr>
          <w:rFonts w:ascii="Times New Roman" w:eastAsia="Times New Roman" w:hAnsi="Times New Roman" w:cs="Times New Roman"/>
          <w:color w:val="000000"/>
          <w:sz w:val="24"/>
          <w:szCs w:val="24"/>
          <w:highlight w:val="yellow"/>
          <w:lang w:eastAsia="fr-FR"/>
        </w:rPr>
        <w:t xml:space="preserve"> du G6PD a été réalisé chez de tous les</w:t>
      </w:r>
      <w:r w:rsidRPr="00343865">
        <w:rPr>
          <w:rFonts w:ascii="Times New Roman" w:eastAsia="Times New Roman" w:hAnsi="Times New Roman" w:cs="Times New Roman"/>
          <w:color w:val="000000"/>
          <w:sz w:val="24"/>
          <w:szCs w:val="24"/>
          <w:highlight w:val="yellow"/>
          <w:lang w:eastAsia="fr-FR"/>
        </w:rPr>
        <w:t xml:space="preserve"> nouveau-nés, il s’est</w:t>
      </w:r>
      <w:r w:rsidR="00A00767" w:rsidRPr="00343865">
        <w:rPr>
          <w:rFonts w:ascii="Times New Roman" w:eastAsia="Times New Roman" w:hAnsi="Times New Roman" w:cs="Times New Roman"/>
          <w:color w:val="000000"/>
          <w:sz w:val="24"/>
          <w:szCs w:val="24"/>
          <w:highlight w:val="yellow"/>
          <w:lang w:eastAsia="fr-FR"/>
        </w:rPr>
        <w:t xml:space="preserve"> avéré </w:t>
      </w:r>
      <w:r w:rsidR="000A4A0F" w:rsidRPr="00343865">
        <w:rPr>
          <w:rFonts w:ascii="Times New Roman" w:eastAsia="Times New Roman" w:hAnsi="Times New Roman" w:cs="Times New Roman"/>
          <w:color w:val="000000"/>
          <w:sz w:val="24"/>
          <w:szCs w:val="24"/>
          <w:highlight w:val="yellow"/>
          <w:lang w:eastAsia="fr-FR"/>
        </w:rPr>
        <w:t>pathologique dans</w:t>
      </w:r>
      <w:r w:rsidR="004731B8" w:rsidRPr="00343865">
        <w:rPr>
          <w:rFonts w:ascii="Times New Roman" w:eastAsia="Times New Roman" w:hAnsi="Times New Roman" w:cs="Times New Roman"/>
          <w:color w:val="000000"/>
          <w:sz w:val="24"/>
          <w:szCs w:val="24"/>
          <w:highlight w:val="yellow"/>
          <w:lang w:eastAsia="fr-FR"/>
        </w:rPr>
        <w:t xml:space="preserve"> les </w:t>
      </w:r>
      <w:r w:rsidR="00DB139B" w:rsidRPr="00343865">
        <w:rPr>
          <w:rFonts w:ascii="Times New Roman" w:eastAsia="Times New Roman" w:hAnsi="Times New Roman" w:cs="Times New Roman"/>
          <w:color w:val="000000"/>
          <w:sz w:val="24"/>
          <w:szCs w:val="24"/>
          <w:highlight w:val="yellow"/>
          <w:lang w:eastAsia="fr-FR"/>
        </w:rPr>
        <w:t>11</w:t>
      </w:r>
      <w:r w:rsidR="000C6DD2" w:rsidRPr="00343865">
        <w:rPr>
          <w:rFonts w:ascii="Times New Roman" w:eastAsia="Times New Roman" w:hAnsi="Times New Roman" w:cs="Times New Roman"/>
          <w:color w:val="000000"/>
          <w:sz w:val="24"/>
          <w:szCs w:val="24"/>
          <w:highlight w:val="yellow"/>
          <w:lang w:eastAsia="fr-FR"/>
        </w:rPr>
        <w:t>.9%</w:t>
      </w:r>
      <w:r w:rsidR="00083F0E" w:rsidRPr="00343865">
        <w:rPr>
          <w:rFonts w:ascii="Times New Roman" w:eastAsia="Times New Roman" w:hAnsi="Times New Roman" w:cs="Times New Roman"/>
          <w:color w:val="000000"/>
          <w:sz w:val="24"/>
          <w:szCs w:val="24"/>
          <w:highlight w:val="yellow"/>
          <w:lang w:eastAsia="fr-FR"/>
        </w:rPr>
        <w:t>, avec une pr</w:t>
      </w:r>
      <w:r w:rsidR="007D0A60" w:rsidRPr="00343865">
        <w:rPr>
          <w:rFonts w:ascii="Times New Roman" w:eastAsia="Times New Roman" w:hAnsi="Times New Roman" w:cs="Times New Roman"/>
          <w:color w:val="000000"/>
          <w:sz w:val="24"/>
          <w:szCs w:val="24"/>
          <w:highlight w:val="yellow"/>
          <w:lang w:eastAsia="fr-FR"/>
        </w:rPr>
        <w:t>édominance du sexe M.</w:t>
      </w:r>
    </w:p>
    <w:p w14:paraId="2736AA0A" w14:textId="14EBA9EF" w:rsidR="00FD2828" w:rsidRPr="00343865" w:rsidRDefault="00FE5422"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highlight w:val="yellow"/>
          <w:lang w:eastAsia="fr-FR"/>
        </w:rPr>
      </w:pPr>
      <w:r w:rsidRPr="00343865">
        <w:rPr>
          <w:rFonts w:ascii="Times New Roman" w:eastAsia="Times New Roman" w:hAnsi="Times New Roman" w:cs="Times New Roman"/>
          <w:color w:val="000000"/>
          <w:sz w:val="24"/>
          <w:szCs w:val="24"/>
          <w:highlight w:val="yellow"/>
          <w:lang w:eastAsia="fr-FR"/>
        </w:rPr>
        <w:t>Génotype de l’</w:t>
      </w:r>
      <w:proofErr w:type="spellStart"/>
      <w:r w:rsidRPr="00343865">
        <w:rPr>
          <w:rFonts w:ascii="Times New Roman" w:eastAsia="Times New Roman" w:hAnsi="Times New Roman" w:cs="Times New Roman"/>
          <w:color w:val="000000"/>
          <w:sz w:val="24"/>
          <w:szCs w:val="24"/>
          <w:highlight w:val="yellow"/>
          <w:lang w:eastAsia="fr-FR"/>
        </w:rPr>
        <w:t>Hb</w:t>
      </w:r>
      <w:proofErr w:type="spellEnd"/>
      <w:r w:rsidR="00DA1659" w:rsidRPr="00343865">
        <w:rPr>
          <w:rFonts w:ascii="Times New Roman" w:eastAsia="Times New Roman" w:hAnsi="Times New Roman" w:cs="Times New Roman"/>
          <w:color w:val="000000"/>
          <w:sz w:val="24"/>
          <w:szCs w:val="24"/>
          <w:highlight w:val="yellow"/>
          <w:lang w:eastAsia="fr-FR"/>
        </w:rPr>
        <w:t> </w:t>
      </w:r>
      <w:r w:rsidR="005761A8" w:rsidRPr="00343865">
        <w:rPr>
          <w:rFonts w:ascii="Times New Roman" w:eastAsia="Times New Roman" w:hAnsi="Times New Roman" w:cs="Times New Roman"/>
          <w:color w:val="000000"/>
          <w:sz w:val="24"/>
          <w:szCs w:val="24"/>
          <w:highlight w:val="yellow"/>
          <w:lang w:eastAsia="fr-FR"/>
        </w:rPr>
        <w:t>: Le</w:t>
      </w:r>
      <w:r w:rsidRPr="00343865">
        <w:rPr>
          <w:rFonts w:ascii="Times New Roman" w:eastAsia="Times New Roman" w:hAnsi="Times New Roman" w:cs="Times New Roman"/>
          <w:color w:val="000000"/>
          <w:sz w:val="24"/>
          <w:szCs w:val="24"/>
          <w:highlight w:val="yellow"/>
          <w:lang w:eastAsia="fr-FR"/>
        </w:rPr>
        <w:t xml:space="preserve"> dosage a été réalisé chez tous les </w:t>
      </w:r>
      <w:r w:rsidR="000C6DD2" w:rsidRPr="00343865">
        <w:rPr>
          <w:rFonts w:ascii="Times New Roman" w:eastAsia="Times New Roman" w:hAnsi="Times New Roman" w:cs="Times New Roman"/>
          <w:color w:val="000000"/>
          <w:sz w:val="24"/>
          <w:szCs w:val="24"/>
          <w:highlight w:val="yellow"/>
          <w:lang w:eastAsia="fr-FR"/>
        </w:rPr>
        <w:t>nouveau-nés</w:t>
      </w:r>
      <w:r w:rsidRPr="00343865">
        <w:rPr>
          <w:rFonts w:ascii="Times New Roman" w:eastAsia="Times New Roman" w:hAnsi="Times New Roman" w:cs="Times New Roman"/>
          <w:color w:val="000000"/>
          <w:sz w:val="24"/>
          <w:szCs w:val="24"/>
          <w:highlight w:val="yellow"/>
          <w:lang w:eastAsia="fr-FR"/>
        </w:rPr>
        <w:t xml:space="preserve"> et le </w:t>
      </w:r>
      <w:proofErr w:type="spellStart"/>
      <w:r w:rsidRPr="00343865">
        <w:rPr>
          <w:rFonts w:ascii="Times New Roman" w:eastAsia="Times New Roman" w:hAnsi="Times New Roman" w:cs="Times New Roman"/>
          <w:color w:val="000000"/>
          <w:sz w:val="24"/>
          <w:szCs w:val="24"/>
          <w:highlight w:val="yellow"/>
          <w:lang w:eastAsia="fr-FR"/>
        </w:rPr>
        <w:t>HbAS</w:t>
      </w:r>
      <w:proofErr w:type="spellEnd"/>
      <w:r w:rsidRPr="00343865">
        <w:rPr>
          <w:rFonts w:ascii="Times New Roman" w:eastAsia="Times New Roman" w:hAnsi="Times New Roman" w:cs="Times New Roman"/>
          <w:color w:val="000000"/>
          <w:sz w:val="24"/>
          <w:szCs w:val="24"/>
          <w:highlight w:val="yellow"/>
          <w:lang w:eastAsia="fr-FR"/>
        </w:rPr>
        <w:t xml:space="preserve"> a été ret</w:t>
      </w:r>
      <w:r w:rsidR="008B2AE2" w:rsidRPr="00343865">
        <w:rPr>
          <w:rFonts w:ascii="Times New Roman" w:eastAsia="Times New Roman" w:hAnsi="Times New Roman" w:cs="Times New Roman"/>
          <w:color w:val="000000"/>
          <w:sz w:val="24"/>
          <w:szCs w:val="24"/>
          <w:highlight w:val="yellow"/>
          <w:lang w:eastAsia="fr-FR"/>
        </w:rPr>
        <w:t>rouvé</w:t>
      </w:r>
      <w:r w:rsidR="007D0A60" w:rsidRPr="00343865">
        <w:rPr>
          <w:rFonts w:ascii="Times New Roman" w:eastAsia="Times New Roman" w:hAnsi="Times New Roman" w:cs="Times New Roman"/>
          <w:color w:val="000000"/>
          <w:sz w:val="24"/>
          <w:szCs w:val="24"/>
          <w:highlight w:val="yellow"/>
          <w:lang w:eastAsia="fr-FR"/>
        </w:rPr>
        <w:t xml:space="preserve"> chez</w:t>
      </w:r>
      <w:r w:rsidR="00DB139B" w:rsidRPr="00343865">
        <w:rPr>
          <w:rFonts w:ascii="Times New Roman" w:eastAsia="Times New Roman" w:hAnsi="Times New Roman" w:cs="Times New Roman"/>
          <w:color w:val="000000"/>
          <w:sz w:val="24"/>
          <w:szCs w:val="24"/>
          <w:highlight w:val="yellow"/>
          <w:lang w:eastAsia="fr-FR"/>
        </w:rPr>
        <w:t xml:space="preserve"> 16 </w:t>
      </w:r>
      <w:r w:rsidR="000C6DD2" w:rsidRPr="00343865">
        <w:rPr>
          <w:rFonts w:ascii="Times New Roman" w:eastAsia="Times New Roman" w:hAnsi="Times New Roman" w:cs="Times New Roman"/>
          <w:color w:val="000000"/>
          <w:sz w:val="24"/>
          <w:szCs w:val="24"/>
          <w:highlight w:val="yellow"/>
          <w:lang w:eastAsia="fr-FR"/>
        </w:rPr>
        <w:t>nouveau-nés</w:t>
      </w:r>
      <w:r w:rsidR="00DB139B" w:rsidRPr="00343865">
        <w:rPr>
          <w:rFonts w:ascii="Times New Roman" w:eastAsia="Times New Roman" w:hAnsi="Times New Roman" w:cs="Times New Roman"/>
          <w:color w:val="000000"/>
          <w:sz w:val="24"/>
          <w:szCs w:val="24"/>
          <w:highlight w:val="yellow"/>
          <w:lang w:eastAsia="fr-FR"/>
        </w:rPr>
        <w:t xml:space="preserve"> soit 11</w:t>
      </w:r>
      <w:r w:rsidR="000C6DD2" w:rsidRPr="00343865">
        <w:rPr>
          <w:rFonts w:ascii="Times New Roman" w:eastAsia="Times New Roman" w:hAnsi="Times New Roman" w:cs="Times New Roman"/>
          <w:color w:val="000000"/>
          <w:sz w:val="24"/>
          <w:szCs w:val="24"/>
          <w:highlight w:val="yellow"/>
          <w:lang w:eastAsia="fr-FR"/>
        </w:rPr>
        <w:t>.9%</w:t>
      </w:r>
      <w:r w:rsidR="00083F0E" w:rsidRPr="00343865">
        <w:rPr>
          <w:rFonts w:ascii="Times New Roman" w:eastAsia="Times New Roman" w:hAnsi="Times New Roman" w:cs="Times New Roman"/>
          <w:color w:val="000000"/>
          <w:sz w:val="24"/>
          <w:szCs w:val="24"/>
          <w:highlight w:val="yellow"/>
          <w:lang w:eastAsia="fr-FR"/>
        </w:rPr>
        <w:t xml:space="preserve"> de trait drépanocytaire dans notre population.</w:t>
      </w:r>
    </w:p>
    <w:p w14:paraId="500377A9" w14:textId="1FF58991" w:rsidR="00FE5422" w:rsidRPr="000A4A0F" w:rsidRDefault="00997F32"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343865">
        <w:rPr>
          <w:rFonts w:ascii="Times New Roman" w:eastAsia="Times New Roman" w:hAnsi="Times New Roman" w:cs="Times New Roman"/>
          <w:color w:val="000000"/>
          <w:sz w:val="24"/>
          <w:szCs w:val="24"/>
          <w:highlight w:val="yellow"/>
          <w:lang w:eastAsia="fr-FR"/>
        </w:rPr>
        <w:t xml:space="preserve">Trypsine </w:t>
      </w:r>
      <w:proofErr w:type="spellStart"/>
      <w:r w:rsidR="000C6DD2" w:rsidRPr="00343865">
        <w:rPr>
          <w:rFonts w:ascii="Times New Roman" w:eastAsia="Times New Roman" w:hAnsi="Times New Roman" w:cs="Times New Roman"/>
          <w:color w:val="000000"/>
          <w:sz w:val="24"/>
          <w:szCs w:val="24"/>
          <w:highlight w:val="yellow"/>
          <w:lang w:eastAsia="fr-FR"/>
        </w:rPr>
        <w:t>immuno</w:t>
      </w:r>
      <w:proofErr w:type="spellEnd"/>
      <w:r w:rsidR="000C6DD2" w:rsidRPr="00343865">
        <w:rPr>
          <w:rFonts w:ascii="Times New Roman" w:eastAsia="Times New Roman" w:hAnsi="Times New Roman" w:cs="Times New Roman"/>
          <w:color w:val="000000"/>
          <w:sz w:val="24"/>
          <w:szCs w:val="24"/>
          <w:highlight w:val="yellow"/>
          <w:lang w:eastAsia="fr-FR"/>
        </w:rPr>
        <w:t>-réactive (</w:t>
      </w:r>
      <w:r w:rsidR="00DA1659" w:rsidRPr="00343865">
        <w:rPr>
          <w:rFonts w:ascii="Times New Roman" w:eastAsia="Times New Roman" w:hAnsi="Times New Roman" w:cs="Times New Roman"/>
          <w:color w:val="000000"/>
          <w:sz w:val="24"/>
          <w:szCs w:val="24"/>
          <w:highlight w:val="yellow"/>
          <w:lang w:eastAsia="fr-FR"/>
        </w:rPr>
        <w:t>mucoviscidose) :</w:t>
      </w:r>
      <w:r w:rsidRPr="00343865">
        <w:rPr>
          <w:rFonts w:ascii="Times New Roman" w:eastAsia="Times New Roman" w:hAnsi="Times New Roman" w:cs="Times New Roman"/>
          <w:color w:val="000000"/>
          <w:sz w:val="24"/>
          <w:szCs w:val="24"/>
          <w:highlight w:val="yellow"/>
          <w:lang w:eastAsia="fr-FR"/>
        </w:rPr>
        <w:t xml:space="preserve">L’IRT a été </w:t>
      </w:r>
      <w:r w:rsidR="00DB139B" w:rsidRPr="00343865">
        <w:rPr>
          <w:rFonts w:ascii="Times New Roman" w:eastAsia="Times New Roman" w:hAnsi="Times New Roman" w:cs="Times New Roman"/>
          <w:color w:val="000000"/>
          <w:sz w:val="24"/>
          <w:szCs w:val="24"/>
          <w:highlight w:val="yellow"/>
          <w:lang w:eastAsia="fr-FR"/>
        </w:rPr>
        <w:t>réalisé</w:t>
      </w:r>
      <w:r w:rsidRPr="00343865">
        <w:rPr>
          <w:rFonts w:ascii="Times New Roman" w:eastAsia="Times New Roman" w:hAnsi="Times New Roman" w:cs="Times New Roman"/>
          <w:color w:val="000000"/>
          <w:sz w:val="24"/>
          <w:szCs w:val="24"/>
          <w:highlight w:val="yellow"/>
          <w:lang w:eastAsia="fr-FR"/>
        </w:rPr>
        <w:t xml:space="preserve"> chez tous les </w:t>
      </w:r>
      <w:r w:rsidR="008B2AE2" w:rsidRPr="00343865">
        <w:rPr>
          <w:rFonts w:ascii="Times New Roman" w:eastAsia="Times New Roman" w:hAnsi="Times New Roman" w:cs="Times New Roman"/>
          <w:color w:val="000000"/>
          <w:sz w:val="24"/>
          <w:szCs w:val="24"/>
          <w:highlight w:val="yellow"/>
          <w:lang w:eastAsia="fr-FR"/>
        </w:rPr>
        <w:t>nouveau-nés</w:t>
      </w:r>
      <w:r w:rsidR="00E35A45" w:rsidRPr="00343865">
        <w:rPr>
          <w:rFonts w:ascii="Times New Roman" w:eastAsia="Times New Roman" w:hAnsi="Times New Roman" w:cs="Times New Roman"/>
          <w:color w:val="000000"/>
          <w:sz w:val="24"/>
          <w:szCs w:val="24"/>
          <w:highlight w:val="yellow"/>
          <w:lang w:eastAsia="fr-FR"/>
        </w:rPr>
        <w:t xml:space="preserve"> et revenu pathologique chez 3 </w:t>
      </w:r>
      <w:r w:rsidR="00A03054" w:rsidRPr="00343865">
        <w:rPr>
          <w:rFonts w:ascii="Times New Roman" w:eastAsia="Times New Roman" w:hAnsi="Times New Roman" w:cs="Times New Roman"/>
          <w:color w:val="000000"/>
          <w:sz w:val="24"/>
          <w:szCs w:val="24"/>
          <w:highlight w:val="yellow"/>
          <w:lang w:eastAsia="fr-FR"/>
        </w:rPr>
        <w:t>nouveau-nés</w:t>
      </w:r>
      <w:r w:rsidR="00E35A45" w:rsidRPr="00343865">
        <w:rPr>
          <w:rFonts w:ascii="Times New Roman" w:eastAsia="Times New Roman" w:hAnsi="Times New Roman" w:cs="Times New Roman"/>
          <w:color w:val="000000"/>
          <w:sz w:val="24"/>
          <w:szCs w:val="24"/>
          <w:highlight w:val="yellow"/>
          <w:lang w:eastAsia="fr-FR"/>
        </w:rPr>
        <w:t xml:space="preserve"> </w:t>
      </w:r>
      <w:r w:rsidR="000A4A0F" w:rsidRPr="00343865">
        <w:rPr>
          <w:rFonts w:ascii="Times New Roman" w:eastAsia="Times New Roman" w:hAnsi="Times New Roman" w:cs="Times New Roman"/>
          <w:color w:val="000000"/>
          <w:sz w:val="24"/>
          <w:szCs w:val="24"/>
          <w:highlight w:val="yellow"/>
          <w:lang w:eastAsia="fr-FR"/>
        </w:rPr>
        <w:t>soit 2.4</w:t>
      </w:r>
      <w:r w:rsidR="002E2697" w:rsidRPr="00343865">
        <w:rPr>
          <w:rFonts w:ascii="Times New Roman" w:eastAsia="Times New Roman" w:hAnsi="Times New Roman" w:cs="Times New Roman"/>
          <w:color w:val="000000"/>
          <w:sz w:val="24"/>
          <w:szCs w:val="24"/>
          <w:highlight w:val="yellow"/>
          <w:lang w:eastAsia="fr-FR"/>
        </w:rPr>
        <w:t>%</w:t>
      </w:r>
      <w:r w:rsidR="00F8656A" w:rsidRPr="00343865">
        <w:rPr>
          <w:rFonts w:ascii="Times New Roman" w:eastAsia="Times New Roman" w:hAnsi="Times New Roman" w:cs="Times New Roman"/>
          <w:color w:val="000000"/>
          <w:sz w:val="24"/>
          <w:szCs w:val="24"/>
          <w:highlight w:val="yellow"/>
          <w:lang w:eastAsia="fr-FR"/>
        </w:rPr>
        <w:t>.</w:t>
      </w:r>
    </w:p>
    <w:p w14:paraId="30127C8A" w14:textId="77777777" w:rsidR="007041A1" w:rsidRPr="000A4A0F" w:rsidRDefault="007041A1" w:rsidP="006612D9">
      <w:pPr>
        <w:shd w:val="clear" w:color="auto" w:fill="FFFFFF"/>
        <w:spacing w:after="0" w:line="360" w:lineRule="auto"/>
        <w:ind w:left="360"/>
        <w:jc w:val="both"/>
        <w:textAlignment w:val="baseline"/>
        <w:rPr>
          <w:rFonts w:ascii="Times New Roman" w:eastAsia="Times New Roman" w:hAnsi="Times New Roman" w:cs="Times New Roman"/>
          <w:color w:val="000000"/>
          <w:sz w:val="24"/>
          <w:szCs w:val="24"/>
          <w:lang w:eastAsia="fr-FR"/>
        </w:rPr>
      </w:pPr>
    </w:p>
    <w:p w14:paraId="5466E1D1" w14:textId="77777777" w:rsidR="00344791" w:rsidRDefault="00570AF7" w:rsidP="006612D9">
      <w:pPr>
        <w:pStyle w:val="Titre2"/>
        <w:spacing w:before="0" w:line="360" w:lineRule="auto"/>
        <w:jc w:val="both"/>
        <w:rPr>
          <w:rFonts w:ascii="Times New Roman" w:eastAsia="Times New Roman" w:hAnsi="Times New Roman" w:cs="Times New Roman"/>
          <w:b/>
          <w:sz w:val="24"/>
          <w:szCs w:val="24"/>
          <w:lang w:eastAsia="fr-FR"/>
        </w:rPr>
      </w:pPr>
      <w:bookmarkStart w:id="66" w:name="_Toc87049079"/>
      <w:r w:rsidRPr="000A4A0F">
        <w:rPr>
          <w:rFonts w:ascii="Times New Roman" w:eastAsia="Times New Roman" w:hAnsi="Times New Roman" w:cs="Times New Roman"/>
          <w:b/>
          <w:sz w:val="24"/>
          <w:szCs w:val="24"/>
          <w:lang w:eastAsia="fr-FR"/>
        </w:rPr>
        <w:t>ETIOLOGIES</w:t>
      </w:r>
      <w:bookmarkEnd w:id="66"/>
    </w:p>
    <w:p w14:paraId="5F350BB8" w14:textId="09F20398" w:rsidR="007041A1" w:rsidRPr="00344791" w:rsidRDefault="00C13916" w:rsidP="006612D9">
      <w:pPr>
        <w:pStyle w:val="Titre2"/>
        <w:spacing w:before="0" w:line="360" w:lineRule="auto"/>
        <w:rPr>
          <w:rFonts w:ascii="Times New Roman" w:eastAsia="Times New Roman" w:hAnsi="Times New Roman" w:cs="Times New Roman"/>
          <w:b/>
          <w:sz w:val="24"/>
          <w:szCs w:val="24"/>
          <w:lang w:eastAsia="fr-FR"/>
        </w:rPr>
      </w:pPr>
      <w:r w:rsidRPr="000A4A0F">
        <w:rPr>
          <w:rFonts w:ascii="Times New Roman" w:eastAsia="Times New Roman" w:hAnsi="Times New Roman" w:cs="Times New Roman"/>
          <w:color w:val="000000"/>
          <w:sz w:val="24"/>
          <w:szCs w:val="24"/>
          <w:lang w:eastAsia="fr-FR"/>
        </w:rPr>
        <w:t>Comme étiologie</w:t>
      </w:r>
      <w:r w:rsidR="007A2268" w:rsidRPr="000A4A0F">
        <w:rPr>
          <w:rFonts w:ascii="Times New Roman" w:eastAsia="Times New Roman" w:hAnsi="Times New Roman" w:cs="Times New Roman"/>
          <w:color w:val="000000"/>
          <w:sz w:val="24"/>
          <w:szCs w:val="24"/>
          <w:lang w:eastAsia="fr-FR"/>
        </w:rPr>
        <w:t xml:space="preserve"> de l’ictère dans notre milieu, l’incompatibilité dans le système ABO et Rh vient en première position, suivi de la prématurité, infection néonatale et du déficit en G6PD.</w:t>
      </w:r>
    </w:p>
    <w:p w14:paraId="110F88AF" w14:textId="77777777" w:rsidR="007A2268" w:rsidRPr="000A4A0F" w:rsidRDefault="007A2268" w:rsidP="006612D9">
      <w:pPr>
        <w:shd w:val="clear" w:color="auto" w:fill="FFFFFF"/>
        <w:spacing w:after="0" w:line="360" w:lineRule="auto"/>
        <w:ind w:left="360"/>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Le tra</w:t>
      </w:r>
      <w:r w:rsidR="00C13916" w:rsidRPr="000A4A0F">
        <w:rPr>
          <w:rFonts w:ascii="Times New Roman" w:eastAsia="Times New Roman" w:hAnsi="Times New Roman" w:cs="Times New Roman"/>
          <w:color w:val="000000"/>
          <w:sz w:val="24"/>
          <w:szCs w:val="24"/>
          <w:lang w:eastAsia="fr-FR"/>
        </w:rPr>
        <w:t>it drépanocytaire a été retrouvé</w:t>
      </w:r>
      <w:r w:rsidRPr="000A4A0F">
        <w:rPr>
          <w:rFonts w:ascii="Times New Roman" w:eastAsia="Times New Roman" w:hAnsi="Times New Roman" w:cs="Times New Roman"/>
          <w:color w:val="000000"/>
          <w:sz w:val="24"/>
          <w:szCs w:val="24"/>
          <w:lang w:eastAsia="fr-FR"/>
        </w:rPr>
        <w:t xml:space="preserve"> chez 16 </w:t>
      </w:r>
      <w:r w:rsidR="00AF34B8" w:rsidRPr="000A4A0F">
        <w:rPr>
          <w:rFonts w:ascii="Times New Roman" w:eastAsia="Times New Roman" w:hAnsi="Times New Roman" w:cs="Times New Roman"/>
          <w:color w:val="000000"/>
          <w:sz w:val="24"/>
          <w:szCs w:val="24"/>
          <w:lang w:eastAsia="fr-FR"/>
        </w:rPr>
        <w:t>nouveau-nés</w:t>
      </w:r>
      <w:r w:rsidRPr="000A4A0F">
        <w:rPr>
          <w:rFonts w:ascii="Times New Roman" w:eastAsia="Times New Roman" w:hAnsi="Times New Roman" w:cs="Times New Roman"/>
          <w:color w:val="000000"/>
          <w:sz w:val="24"/>
          <w:szCs w:val="24"/>
          <w:lang w:eastAsia="fr-FR"/>
        </w:rPr>
        <w:t>.</w:t>
      </w:r>
    </w:p>
    <w:p w14:paraId="1BFB5833" w14:textId="77777777" w:rsidR="00FE5422" w:rsidRPr="000A4A0F" w:rsidRDefault="008E0216"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hAnsi="Times New Roman" w:cs="Times New Roman"/>
          <w:noProof/>
          <w:sz w:val="24"/>
          <w:szCs w:val="24"/>
          <w:lang w:eastAsia="fr-FR"/>
        </w:rPr>
        <w:lastRenderedPageBreak/>
        <w:drawing>
          <wp:inline distT="0" distB="0" distL="0" distR="0" wp14:anchorId="1CAE947F" wp14:editId="20AB5378">
            <wp:extent cx="5760720" cy="5534025"/>
            <wp:effectExtent l="0" t="0" r="11430" b="9525"/>
            <wp:docPr id="9" name="Graphique 9">
              <a:extLst xmlns:a="http://schemas.openxmlformats.org/drawingml/2006/main">
                <a:ext uri="{FF2B5EF4-FFF2-40B4-BE49-F238E27FC236}">
                  <a16:creationId xmlns:a16="http://schemas.microsoft.com/office/drawing/2014/main" id="{5D915BF3-86FC-A646-8894-43D7D8BE8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735FF7" w14:textId="44784EC9" w:rsidR="00AE5488" w:rsidRPr="00C1024E" w:rsidRDefault="00C1024E" w:rsidP="006612D9">
      <w:pPr>
        <w:shd w:val="clear" w:color="auto" w:fill="FFFFFF"/>
        <w:spacing w:after="0" w:line="360" w:lineRule="auto"/>
        <w:jc w:val="both"/>
        <w:textAlignment w:val="baseline"/>
        <w:rPr>
          <w:rFonts w:ascii="Times New Roman" w:eastAsia="Times New Roman" w:hAnsi="Times New Roman" w:cs="Times New Roman"/>
          <w:color w:val="FF0000"/>
          <w:sz w:val="24"/>
          <w:szCs w:val="24"/>
          <w:lang w:eastAsia="fr-FR"/>
        </w:rPr>
      </w:pPr>
      <w:r w:rsidRPr="00C1024E">
        <w:rPr>
          <w:rFonts w:ascii="Times New Roman" w:eastAsia="Times New Roman" w:hAnsi="Times New Roman" w:cs="Times New Roman"/>
          <w:color w:val="FF0000"/>
          <w:sz w:val="24"/>
          <w:szCs w:val="24"/>
          <w:lang w:eastAsia="fr-FR"/>
        </w:rPr>
        <w:t>Titre  figure :</w:t>
      </w:r>
    </w:p>
    <w:p w14:paraId="71A68BF1" w14:textId="77777777" w:rsidR="00154ECA" w:rsidRDefault="00154EC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3D1017AA" w14:textId="77777777" w:rsidR="00154ECA" w:rsidRDefault="00154EC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2D68A78E" w14:textId="77777777" w:rsidR="00154ECA" w:rsidRDefault="00154EC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22F0C16A" w14:textId="77777777" w:rsidR="00154ECA" w:rsidRDefault="00154EC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0938B649" w14:textId="77777777" w:rsidR="00154ECA" w:rsidRDefault="00154EC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5FB5B987" w14:textId="77777777" w:rsidR="00154ECA" w:rsidRDefault="00154EC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599B53EC" w14:textId="77777777" w:rsidR="00154ECA" w:rsidRDefault="00154EC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36EF6372" w14:textId="77777777" w:rsidR="00154ECA" w:rsidRDefault="00154EC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18C6D6AC" w14:textId="77777777" w:rsidR="00154ECA" w:rsidRDefault="00154EC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1F263830" w14:textId="77777777" w:rsidR="00154ECA" w:rsidRDefault="00154EC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56734CFC" w14:textId="77777777" w:rsidR="00C1024E" w:rsidRDefault="00C1024E"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184649A7" w14:textId="77777777" w:rsidR="00154ECA" w:rsidRDefault="00154EC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1442581E" w14:textId="5DAA3D29" w:rsidR="008E0216" w:rsidRPr="000A4A0F" w:rsidRDefault="00FC4BB6" w:rsidP="006612D9">
      <w:pPr>
        <w:spacing w:after="0" w:line="360" w:lineRule="auto"/>
        <w:jc w:val="both"/>
        <w:rPr>
          <w:rFonts w:ascii="Times New Roman" w:hAnsi="Times New Roman" w:cs="Times New Roman"/>
          <w:b/>
          <w:sz w:val="24"/>
          <w:szCs w:val="24"/>
        </w:rPr>
      </w:pPr>
      <w:r w:rsidRPr="000A4A0F">
        <w:rPr>
          <w:rFonts w:ascii="Times New Roman" w:hAnsi="Times New Roman" w:cs="Times New Roman"/>
          <w:b/>
          <w:sz w:val="24"/>
          <w:szCs w:val="24"/>
        </w:rPr>
        <w:lastRenderedPageBreak/>
        <w:t>Tableau 4</w:t>
      </w:r>
      <w:r w:rsidR="008E0216" w:rsidRPr="000A4A0F">
        <w:rPr>
          <w:rFonts w:ascii="Times New Roman" w:hAnsi="Times New Roman" w:cs="Times New Roman"/>
          <w:b/>
          <w:sz w:val="24"/>
          <w:szCs w:val="24"/>
        </w:rPr>
        <w:t xml:space="preserve">. Les différentes </w:t>
      </w:r>
      <w:r w:rsidR="00B216D3" w:rsidRPr="000A4A0F">
        <w:rPr>
          <w:rFonts w:ascii="Times New Roman" w:hAnsi="Times New Roman" w:cs="Times New Roman"/>
          <w:b/>
          <w:sz w:val="24"/>
          <w:szCs w:val="24"/>
        </w:rPr>
        <w:t xml:space="preserve"> causes d’ictère</w:t>
      </w:r>
      <w:r w:rsidR="0045137D" w:rsidRPr="000A4A0F">
        <w:rPr>
          <w:rFonts w:ascii="Times New Roman" w:hAnsi="Times New Roman" w:cs="Times New Roman"/>
          <w:b/>
          <w:sz w:val="24"/>
          <w:szCs w:val="24"/>
        </w:rPr>
        <w:t xml:space="preserve"> de  nouveau-né à l’HPGRB</w:t>
      </w:r>
    </w:p>
    <w:tbl>
      <w:tblPr>
        <w:tblStyle w:val="TableauListe6Couleur-Accentuation3"/>
        <w:tblW w:w="0" w:type="auto"/>
        <w:tblLayout w:type="fixed"/>
        <w:tblLook w:val="04A0" w:firstRow="1" w:lastRow="0" w:firstColumn="1" w:lastColumn="0" w:noHBand="0" w:noVBand="1"/>
      </w:tblPr>
      <w:tblGrid>
        <w:gridCol w:w="236"/>
        <w:gridCol w:w="4721"/>
        <w:gridCol w:w="2126"/>
      </w:tblGrid>
      <w:tr w:rsidR="008E0216" w:rsidRPr="000A4A0F" w14:paraId="4ED2B80C" w14:textId="77777777" w:rsidTr="00C92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2"/>
          </w:tcPr>
          <w:p w14:paraId="503B2FFE" w14:textId="77777777" w:rsidR="008E0216" w:rsidRPr="000A4A0F" w:rsidRDefault="008E0216"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Paramètres</w:t>
            </w:r>
          </w:p>
        </w:tc>
        <w:tc>
          <w:tcPr>
            <w:tcW w:w="2126" w:type="dxa"/>
          </w:tcPr>
          <w:p w14:paraId="09AD0CDA" w14:textId="77777777" w:rsidR="008E0216" w:rsidRPr="000A4A0F" w:rsidRDefault="008E0216" w:rsidP="006612D9">
            <w:pPr>
              <w:pStyle w:val="Sansinterligne"/>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w:t>
            </w:r>
          </w:p>
        </w:tc>
      </w:tr>
      <w:tr w:rsidR="008E0216" w:rsidRPr="000A4A0F" w14:paraId="7A7649DC"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2"/>
          </w:tcPr>
          <w:p w14:paraId="04EB8EB0" w14:textId="77777777" w:rsidR="008E0216" w:rsidRPr="000A4A0F" w:rsidRDefault="008E0216"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Incompatibilité  ABO (n=109)</w:t>
            </w:r>
          </w:p>
        </w:tc>
        <w:tc>
          <w:tcPr>
            <w:tcW w:w="2126" w:type="dxa"/>
          </w:tcPr>
          <w:p w14:paraId="5BCD9FBF"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34</w:t>
            </w:r>
          </w:p>
        </w:tc>
      </w:tr>
      <w:tr w:rsidR="008E0216" w:rsidRPr="000A4A0F" w14:paraId="77AFED34" w14:textId="77777777" w:rsidTr="00C92759">
        <w:tc>
          <w:tcPr>
            <w:cnfStyle w:val="001000000000" w:firstRow="0" w:lastRow="0" w:firstColumn="1" w:lastColumn="0" w:oddVBand="0" w:evenVBand="0" w:oddHBand="0" w:evenHBand="0" w:firstRowFirstColumn="0" w:firstRowLastColumn="0" w:lastRowFirstColumn="0" w:lastRowLastColumn="0"/>
            <w:tcW w:w="236" w:type="dxa"/>
          </w:tcPr>
          <w:p w14:paraId="26FC7735"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3E75F084"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Isolée</w:t>
            </w:r>
          </w:p>
        </w:tc>
        <w:tc>
          <w:tcPr>
            <w:tcW w:w="2126" w:type="dxa"/>
          </w:tcPr>
          <w:p w14:paraId="4D98BDA3"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5.9</w:t>
            </w:r>
          </w:p>
        </w:tc>
      </w:tr>
      <w:tr w:rsidR="008E0216" w:rsidRPr="000A4A0F" w14:paraId="7D6CF41A"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332BDFAC"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3530A606"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 xml:space="preserve">+Prématurité </w:t>
            </w:r>
          </w:p>
        </w:tc>
        <w:tc>
          <w:tcPr>
            <w:tcW w:w="2126" w:type="dxa"/>
          </w:tcPr>
          <w:p w14:paraId="265DF42C"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13.2</w:t>
            </w:r>
          </w:p>
        </w:tc>
      </w:tr>
      <w:tr w:rsidR="008E0216" w:rsidRPr="000A4A0F" w14:paraId="2F5070EA" w14:textId="77777777" w:rsidTr="00C92759">
        <w:tc>
          <w:tcPr>
            <w:cnfStyle w:val="001000000000" w:firstRow="0" w:lastRow="0" w:firstColumn="1" w:lastColumn="0" w:oddVBand="0" w:evenVBand="0" w:oddHBand="0" w:evenHBand="0" w:firstRowFirstColumn="0" w:firstRowLastColumn="0" w:lastRowFirstColumn="0" w:lastRowLastColumn="0"/>
            <w:tcW w:w="236" w:type="dxa"/>
          </w:tcPr>
          <w:p w14:paraId="57DD8B85"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693E53BE"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+Infection</w:t>
            </w:r>
          </w:p>
        </w:tc>
        <w:tc>
          <w:tcPr>
            <w:tcW w:w="2126" w:type="dxa"/>
          </w:tcPr>
          <w:p w14:paraId="171F857B"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1.5</w:t>
            </w:r>
          </w:p>
        </w:tc>
      </w:tr>
      <w:tr w:rsidR="008E0216" w:rsidRPr="000A4A0F" w14:paraId="2A1E951A"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3C088172"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2D5AD459"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+Déficit G6PD</w:t>
            </w:r>
          </w:p>
        </w:tc>
        <w:tc>
          <w:tcPr>
            <w:tcW w:w="2126" w:type="dxa"/>
          </w:tcPr>
          <w:p w14:paraId="10911D52"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0.7</w:t>
            </w:r>
          </w:p>
        </w:tc>
      </w:tr>
      <w:tr w:rsidR="008E0216" w:rsidRPr="000A4A0F" w14:paraId="362EBB25" w14:textId="77777777" w:rsidTr="00C92759">
        <w:tc>
          <w:tcPr>
            <w:cnfStyle w:val="001000000000" w:firstRow="0" w:lastRow="0" w:firstColumn="1" w:lastColumn="0" w:oddVBand="0" w:evenVBand="0" w:oddHBand="0" w:evenHBand="0" w:firstRowFirstColumn="0" w:firstRowLastColumn="0" w:lastRowFirstColumn="0" w:lastRowLastColumn="0"/>
            <w:tcW w:w="236" w:type="dxa"/>
          </w:tcPr>
          <w:p w14:paraId="724AD6C4"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3C1E129E"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+Rhésus + Déficit G6PD</w:t>
            </w:r>
          </w:p>
        </w:tc>
        <w:tc>
          <w:tcPr>
            <w:tcW w:w="2126" w:type="dxa"/>
          </w:tcPr>
          <w:p w14:paraId="68BD0326"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0.7</w:t>
            </w:r>
          </w:p>
        </w:tc>
      </w:tr>
      <w:tr w:rsidR="008E0216" w:rsidRPr="000A4A0F" w14:paraId="366A9411"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39CE5B53"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3C9253AC"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 Prématurité et Infection</w:t>
            </w:r>
          </w:p>
        </w:tc>
        <w:tc>
          <w:tcPr>
            <w:tcW w:w="2126" w:type="dxa"/>
          </w:tcPr>
          <w:p w14:paraId="54A0C320"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4.4</w:t>
            </w:r>
          </w:p>
        </w:tc>
      </w:tr>
      <w:tr w:rsidR="008E0216" w:rsidRPr="000A4A0F" w14:paraId="7FA0CE15" w14:textId="77777777" w:rsidTr="00C92759">
        <w:tc>
          <w:tcPr>
            <w:cnfStyle w:val="001000000000" w:firstRow="0" w:lastRow="0" w:firstColumn="1" w:lastColumn="0" w:oddVBand="0" w:evenVBand="0" w:oddHBand="0" w:evenHBand="0" w:firstRowFirstColumn="0" w:firstRowLastColumn="0" w:lastRowFirstColumn="0" w:lastRowLastColumn="0"/>
            <w:tcW w:w="236" w:type="dxa"/>
          </w:tcPr>
          <w:p w14:paraId="31BF2A2A"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0DC16CDF"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 Infection et Déficit G6PD</w:t>
            </w:r>
          </w:p>
        </w:tc>
        <w:tc>
          <w:tcPr>
            <w:tcW w:w="2126" w:type="dxa"/>
          </w:tcPr>
          <w:p w14:paraId="507A51CC"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0.7</w:t>
            </w:r>
          </w:p>
        </w:tc>
      </w:tr>
      <w:tr w:rsidR="008E0216" w:rsidRPr="000A4A0F" w14:paraId="16FB9F79"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570EE6B3"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71B55098"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 xml:space="preserve">+ Génotype AS </w:t>
            </w:r>
          </w:p>
        </w:tc>
        <w:tc>
          <w:tcPr>
            <w:tcW w:w="2126" w:type="dxa"/>
          </w:tcPr>
          <w:p w14:paraId="53E1C2D1"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2.2</w:t>
            </w:r>
          </w:p>
        </w:tc>
      </w:tr>
      <w:tr w:rsidR="008E0216" w:rsidRPr="000A4A0F" w14:paraId="1E1A4766" w14:textId="77777777" w:rsidTr="00C92759">
        <w:tc>
          <w:tcPr>
            <w:cnfStyle w:val="001000000000" w:firstRow="0" w:lastRow="0" w:firstColumn="1" w:lastColumn="0" w:oddVBand="0" w:evenVBand="0" w:oddHBand="0" w:evenHBand="0" w:firstRowFirstColumn="0" w:firstRowLastColumn="0" w:lastRowFirstColumn="0" w:lastRowLastColumn="0"/>
            <w:tcW w:w="4957" w:type="dxa"/>
            <w:gridSpan w:val="2"/>
          </w:tcPr>
          <w:p w14:paraId="4E21ACBD" w14:textId="77777777" w:rsidR="008E0216" w:rsidRPr="000A4A0F" w:rsidRDefault="008E0216"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Incompatibilité Rhésus (n=107)</w:t>
            </w:r>
          </w:p>
        </w:tc>
        <w:tc>
          <w:tcPr>
            <w:tcW w:w="2126" w:type="dxa"/>
          </w:tcPr>
          <w:p w14:paraId="7CECA8F2"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9.3</w:t>
            </w:r>
          </w:p>
        </w:tc>
      </w:tr>
      <w:tr w:rsidR="008E0216" w:rsidRPr="000A4A0F" w14:paraId="099D44B0"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7131D4B7"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1FBA6752"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Isolée</w:t>
            </w:r>
          </w:p>
        </w:tc>
        <w:tc>
          <w:tcPr>
            <w:tcW w:w="2126" w:type="dxa"/>
          </w:tcPr>
          <w:p w14:paraId="4D1A6B90"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2.2</w:t>
            </w:r>
          </w:p>
        </w:tc>
      </w:tr>
      <w:tr w:rsidR="008E0216" w:rsidRPr="000A4A0F" w14:paraId="372BEBD8" w14:textId="77777777" w:rsidTr="00C92759">
        <w:tc>
          <w:tcPr>
            <w:cnfStyle w:val="001000000000" w:firstRow="0" w:lastRow="0" w:firstColumn="1" w:lastColumn="0" w:oddVBand="0" w:evenVBand="0" w:oddHBand="0" w:evenHBand="0" w:firstRowFirstColumn="0" w:firstRowLastColumn="0" w:lastRowFirstColumn="0" w:lastRowLastColumn="0"/>
            <w:tcW w:w="236" w:type="dxa"/>
          </w:tcPr>
          <w:p w14:paraId="7160D173"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2A502DDA"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+Prématurité (a)</w:t>
            </w:r>
          </w:p>
        </w:tc>
        <w:tc>
          <w:tcPr>
            <w:tcW w:w="2126" w:type="dxa"/>
          </w:tcPr>
          <w:p w14:paraId="60FBCE73"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3.7</w:t>
            </w:r>
          </w:p>
        </w:tc>
      </w:tr>
      <w:tr w:rsidR="008E0216" w:rsidRPr="000A4A0F" w14:paraId="7D9EC2CB"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2B037DAF"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3FF96F9A"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+Infection (b)</w:t>
            </w:r>
          </w:p>
        </w:tc>
        <w:tc>
          <w:tcPr>
            <w:tcW w:w="2126" w:type="dxa"/>
          </w:tcPr>
          <w:p w14:paraId="5F3B364B"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0.7</w:t>
            </w:r>
          </w:p>
        </w:tc>
      </w:tr>
      <w:tr w:rsidR="008E0216" w:rsidRPr="000A4A0F" w14:paraId="6C722A01" w14:textId="77777777" w:rsidTr="00C92759">
        <w:tc>
          <w:tcPr>
            <w:cnfStyle w:val="001000000000" w:firstRow="0" w:lastRow="0" w:firstColumn="1" w:lastColumn="0" w:oddVBand="0" w:evenVBand="0" w:oddHBand="0" w:evenHBand="0" w:firstRowFirstColumn="0" w:firstRowLastColumn="0" w:lastRowFirstColumn="0" w:lastRowLastColumn="0"/>
            <w:tcW w:w="4957" w:type="dxa"/>
            <w:gridSpan w:val="2"/>
          </w:tcPr>
          <w:p w14:paraId="4EA3E6FF" w14:textId="77777777" w:rsidR="008E0216" w:rsidRPr="000A4A0F" w:rsidRDefault="008E0216"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Prématurité (n=116)</w:t>
            </w:r>
          </w:p>
        </w:tc>
        <w:tc>
          <w:tcPr>
            <w:tcW w:w="2126" w:type="dxa"/>
          </w:tcPr>
          <w:p w14:paraId="00E1AB38"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41.4</w:t>
            </w:r>
          </w:p>
        </w:tc>
      </w:tr>
      <w:tr w:rsidR="008E0216" w:rsidRPr="000A4A0F" w14:paraId="6816AEF7"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72C25E13"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259FF212"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Isolée</w:t>
            </w:r>
          </w:p>
        </w:tc>
        <w:tc>
          <w:tcPr>
            <w:tcW w:w="2126" w:type="dxa"/>
          </w:tcPr>
          <w:p w14:paraId="04165710"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19.9</w:t>
            </w:r>
          </w:p>
        </w:tc>
      </w:tr>
      <w:tr w:rsidR="008E0216" w:rsidRPr="000A4A0F" w14:paraId="050B89EB" w14:textId="77777777" w:rsidTr="00C92759">
        <w:tc>
          <w:tcPr>
            <w:cnfStyle w:val="001000000000" w:firstRow="0" w:lastRow="0" w:firstColumn="1" w:lastColumn="0" w:oddVBand="0" w:evenVBand="0" w:oddHBand="0" w:evenHBand="0" w:firstRowFirstColumn="0" w:firstRowLastColumn="0" w:lastRowFirstColumn="0" w:lastRowLastColumn="0"/>
            <w:tcW w:w="236" w:type="dxa"/>
          </w:tcPr>
          <w:p w14:paraId="494335BD"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32715EBD"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+G6PD</w:t>
            </w:r>
          </w:p>
        </w:tc>
        <w:tc>
          <w:tcPr>
            <w:tcW w:w="2126" w:type="dxa"/>
          </w:tcPr>
          <w:p w14:paraId="424C52A6"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2.2</w:t>
            </w:r>
          </w:p>
        </w:tc>
      </w:tr>
      <w:tr w:rsidR="008E0216" w:rsidRPr="000A4A0F" w14:paraId="6E66DB51"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26B6A728"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48377881"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+infection</w:t>
            </w:r>
          </w:p>
        </w:tc>
        <w:tc>
          <w:tcPr>
            <w:tcW w:w="2126" w:type="dxa"/>
          </w:tcPr>
          <w:p w14:paraId="1316D7F0"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4.4</w:t>
            </w:r>
          </w:p>
        </w:tc>
      </w:tr>
      <w:tr w:rsidR="008E0216" w:rsidRPr="000A4A0F" w14:paraId="7FDF7FE2" w14:textId="77777777" w:rsidTr="00C92759">
        <w:tc>
          <w:tcPr>
            <w:cnfStyle w:val="001000000000" w:firstRow="0" w:lastRow="0" w:firstColumn="1" w:lastColumn="0" w:oddVBand="0" w:evenVBand="0" w:oddHBand="0" w:evenHBand="0" w:firstRowFirstColumn="0" w:firstRowLastColumn="0" w:lastRowFirstColumn="0" w:lastRowLastColumn="0"/>
            <w:tcW w:w="236" w:type="dxa"/>
          </w:tcPr>
          <w:p w14:paraId="7AF8970D"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2DC7CBD4"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 G6PD et Infection</w:t>
            </w:r>
          </w:p>
        </w:tc>
        <w:tc>
          <w:tcPr>
            <w:tcW w:w="2126" w:type="dxa"/>
          </w:tcPr>
          <w:p w14:paraId="64E35277"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1.5</w:t>
            </w:r>
          </w:p>
        </w:tc>
      </w:tr>
      <w:tr w:rsidR="008E0216" w:rsidRPr="000A4A0F" w14:paraId="142F5CDE"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3C3A0D71"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1A228A22"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 Génotype AS</w:t>
            </w:r>
          </w:p>
        </w:tc>
        <w:tc>
          <w:tcPr>
            <w:tcW w:w="2126" w:type="dxa"/>
          </w:tcPr>
          <w:p w14:paraId="3A1A0B46"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0 .7</w:t>
            </w:r>
          </w:p>
        </w:tc>
      </w:tr>
      <w:tr w:rsidR="008E0216" w:rsidRPr="000A4A0F" w14:paraId="2F9A64DE" w14:textId="77777777" w:rsidTr="00C92759">
        <w:tc>
          <w:tcPr>
            <w:cnfStyle w:val="001000000000" w:firstRow="0" w:lastRow="0" w:firstColumn="1" w:lastColumn="0" w:oddVBand="0" w:evenVBand="0" w:oddHBand="0" w:evenHBand="0" w:firstRowFirstColumn="0" w:firstRowLastColumn="0" w:lastRowFirstColumn="0" w:lastRowLastColumn="0"/>
            <w:tcW w:w="4957" w:type="dxa"/>
            <w:gridSpan w:val="2"/>
          </w:tcPr>
          <w:p w14:paraId="780A5B5B" w14:textId="77777777" w:rsidR="008E0216" w:rsidRPr="000A4A0F" w:rsidRDefault="008E0216"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Déficit en G6PD (n=134)</w:t>
            </w:r>
          </w:p>
        </w:tc>
        <w:tc>
          <w:tcPr>
            <w:tcW w:w="2126" w:type="dxa"/>
          </w:tcPr>
          <w:p w14:paraId="405FA06E"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11.9</w:t>
            </w:r>
          </w:p>
        </w:tc>
      </w:tr>
      <w:tr w:rsidR="008E0216" w:rsidRPr="000A4A0F" w14:paraId="20F5D4AC"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511C685F"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49DCE88A"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Isolé</w:t>
            </w:r>
          </w:p>
        </w:tc>
        <w:tc>
          <w:tcPr>
            <w:tcW w:w="2126" w:type="dxa"/>
          </w:tcPr>
          <w:p w14:paraId="3AD1E2C8"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3.7</w:t>
            </w:r>
          </w:p>
        </w:tc>
      </w:tr>
      <w:tr w:rsidR="008E0216" w:rsidRPr="000A4A0F" w14:paraId="76D5F40A" w14:textId="77777777" w:rsidTr="00C92759">
        <w:tc>
          <w:tcPr>
            <w:cnfStyle w:val="001000000000" w:firstRow="0" w:lastRow="0" w:firstColumn="1" w:lastColumn="0" w:oddVBand="0" w:evenVBand="0" w:oddHBand="0" w:evenHBand="0" w:firstRowFirstColumn="0" w:firstRowLastColumn="0" w:lastRowFirstColumn="0" w:lastRowLastColumn="0"/>
            <w:tcW w:w="236" w:type="dxa"/>
          </w:tcPr>
          <w:p w14:paraId="11EC7EF0"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38CE765C"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+infection</w:t>
            </w:r>
          </w:p>
        </w:tc>
        <w:tc>
          <w:tcPr>
            <w:tcW w:w="2126" w:type="dxa"/>
          </w:tcPr>
          <w:p w14:paraId="639F7199"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2.9</w:t>
            </w:r>
          </w:p>
        </w:tc>
      </w:tr>
      <w:tr w:rsidR="008E0216" w:rsidRPr="000A4A0F" w14:paraId="4B1EF747"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2"/>
          </w:tcPr>
          <w:p w14:paraId="09000E56" w14:textId="77777777" w:rsidR="008E0216" w:rsidRPr="000A4A0F" w:rsidRDefault="008E0216"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Infection (n=136)</w:t>
            </w:r>
          </w:p>
        </w:tc>
        <w:tc>
          <w:tcPr>
            <w:tcW w:w="2126" w:type="dxa"/>
          </w:tcPr>
          <w:p w14:paraId="62329F87"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28.7</w:t>
            </w:r>
          </w:p>
        </w:tc>
      </w:tr>
      <w:tr w:rsidR="008E0216" w:rsidRPr="000A4A0F" w14:paraId="53DEFBD0" w14:textId="77777777" w:rsidTr="00C92759">
        <w:tc>
          <w:tcPr>
            <w:cnfStyle w:val="001000000000" w:firstRow="0" w:lastRow="0" w:firstColumn="1" w:lastColumn="0" w:oddVBand="0" w:evenVBand="0" w:oddHBand="0" w:evenHBand="0" w:firstRowFirstColumn="0" w:firstRowLastColumn="0" w:lastRowFirstColumn="0" w:lastRowLastColumn="0"/>
            <w:tcW w:w="236" w:type="dxa"/>
          </w:tcPr>
          <w:p w14:paraId="7E013495"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0F4B3783"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Isolée</w:t>
            </w:r>
          </w:p>
        </w:tc>
        <w:tc>
          <w:tcPr>
            <w:tcW w:w="2126" w:type="dxa"/>
          </w:tcPr>
          <w:p w14:paraId="539D47F9"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13.2</w:t>
            </w:r>
          </w:p>
        </w:tc>
      </w:tr>
      <w:tr w:rsidR="008E0216" w:rsidRPr="000A4A0F" w14:paraId="05BEA7BB"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2"/>
          </w:tcPr>
          <w:p w14:paraId="2C6F4B08" w14:textId="77777777" w:rsidR="008E0216" w:rsidRPr="000A4A0F" w:rsidRDefault="008E0216"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Génotype AS (n=134)</w:t>
            </w:r>
          </w:p>
        </w:tc>
        <w:tc>
          <w:tcPr>
            <w:tcW w:w="2126" w:type="dxa"/>
          </w:tcPr>
          <w:p w14:paraId="449E3E09"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11.9</w:t>
            </w:r>
          </w:p>
        </w:tc>
      </w:tr>
      <w:tr w:rsidR="008E0216" w:rsidRPr="000A4A0F" w14:paraId="5D4364D2" w14:textId="77777777" w:rsidTr="00C92759">
        <w:tc>
          <w:tcPr>
            <w:cnfStyle w:val="001000000000" w:firstRow="0" w:lastRow="0" w:firstColumn="1" w:lastColumn="0" w:oddVBand="0" w:evenVBand="0" w:oddHBand="0" w:evenHBand="0" w:firstRowFirstColumn="0" w:firstRowLastColumn="0" w:lastRowFirstColumn="0" w:lastRowLastColumn="0"/>
            <w:tcW w:w="236" w:type="dxa"/>
          </w:tcPr>
          <w:p w14:paraId="7E3556D8"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5F519939"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Isolé</w:t>
            </w:r>
          </w:p>
        </w:tc>
        <w:tc>
          <w:tcPr>
            <w:tcW w:w="2126" w:type="dxa"/>
          </w:tcPr>
          <w:p w14:paraId="58700A2E"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3.8</w:t>
            </w:r>
          </w:p>
        </w:tc>
      </w:tr>
      <w:tr w:rsidR="008E0216" w:rsidRPr="000A4A0F" w14:paraId="6A249095"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7D7FAB85"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25E4085A"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+Infection</w:t>
            </w:r>
          </w:p>
        </w:tc>
        <w:tc>
          <w:tcPr>
            <w:tcW w:w="2126" w:type="dxa"/>
          </w:tcPr>
          <w:p w14:paraId="38212210"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3.8</w:t>
            </w:r>
          </w:p>
        </w:tc>
      </w:tr>
      <w:tr w:rsidR="008E0216" w:rsidRPr="000A4A0F" w14:paraId="10622578" w14:textId="77777777" w:rsidTr="00C92759">
        <w:tc>
          <w:tcPr>
            <w:cnfStyle w:val="001000000000" w:firstRow="0" w:lastRow="0" w:firstColumn="1" w:lastColumn="0" w:oddVBand="0" w:evenVBand="0" w:oddHBand="0" w:evenHBand="0" w:firstRowFirstColumn="0" w:firstRowLastColumn="0" w:lastRowFirstColumn="0" w:lastRowLastColumn="0"/>
            <w:tcW w:w="236" w:type="dxa"/>
          </w:tcPr>
          <w:p w14:paraId="17CB9CFE"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79526F39"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+Prématurité + ABO  et Infection</w:t>
            </w:r>
          </w:p>
        </w:tc>
        <w:tc>
          <w:tcPr>
            <w:tcW w:w="2126" w:type="dxa"/>
          </w:tcPr>
          <w:p w14:paraId="6A81CB53"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0.7</w:t>
            </w:r>
          </w:p>
        </w:tc>
      </w:tr>
      <w:tr w:rsidR="008E0216" w:rsidRPr="000A4A0F" w14:paraId="377B8849"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204418CE" w14:textId="77777777" w:rsidR="008E0216" w:rsidRPr="000A4A0F" w:rsidRDefault="008E0216" w:rsidP="006612D9">
            <w:pPr>
              <w:pStyle w:val="Sansinterligne"/>
              <w:spacing w:line="360" w:lineRule="auto"/>
              <w:jc w:val="both"/>
              <w:rPr>
                <w:rFonts w:ascii="Times New Roman" w:hAnsi="Times New Roman" w:cs="Times New Roman"/>
                <w:sz w:val="24"/>
                <w:szCs w:val="24"/>
              </w:rPr>
            </w:pPr>
          </w:p>
        </w:tc>
        <w:tc>
          <w:tcPr>
            <w:tcW w:w="4721" w:type="dxa"/>
          </w:tcPr>
          <w:p w14:paraId="6F7850C1"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+Prématurité + G6PD</w:t>
            </w:r>
          </w:p>
        </w:tc>
        <w:tc>
          <w:tcPr>
            <w:tcW w:w="2126" w:type="dxa"/>
          </w:tcPr>
          <w:p w14:paraId="75BEE59C"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0.7</w:t>
            </w:r>
          </w:p>
        </w:tc>
      </w:tr>
      <w:tr w:rsidR="008E0216" w:rsidRPr="000A4A0F" w14:paraId="794C64E9" w14:textId="77777777" w:rsidTr="00C92759">
        <w:tc>
          <w:tcPr>
            <w:cnfStyle w:val="001000000000" w:firstRow="0" w:lastRow="0" w:firstColumn="1" w:lastColumn="0" w:oddVBand="0" w:evenVBand="0" w:oddHBand="0" w:evenHBand="0" w:firstRowFirstColumn="0" w:firstRowLastColumn="0" w:lastRowFirstColumn="0" w:lastRowLastColumn="0"/>
            <w:tcW w:w="4957" w:type="dxa"/>
            <w:gridSpan w:val="2"/>
          </w:tcPr>
          <w:p w14:paraId="192820AE" w14:textId="77777777" w:rsidR="008E0216" w:rsidRPr="000A4A0F" w:rsidRDefault="008E0216" w:rsidP="006612D9">
            <w:pPr>
              <w:pStyle w:val="Sansinterligne"/>
              <w:spacing w:line="360" w:lineRule="auto"/>
              <w:jc w:val="both"/>
              <w:rPr>
                <w:rFonts w:ascii="Times New Roman" w:hAnsi="Times New Roman" w:cs="Times New Roman"/>
                <w:i/>
                <w:sz w:val="24"/>
                <w:szCs w:val="24"/>
              </w:rPr>
            </w:pPr>
            <w:r w:rsidRPr="000A4A0F">
              <w:rPr>
                <w:rFonts w:ascii="Times New Roman" w:hAnsi="Times New Roman" w:cs="Times New Roman"/>
                <w:i/>
                <w:sz w:val="24"/>
                <w:szCs w:val="24"/>
              </w:rPr>
              <w:t>Mucoviscidose (n=134)</w:t>
            </w:r>
          </w:p>
        </w:tc>
        <w:tc>
          <w:tcPr>
            <w:tcW w:w="2126" w:type="dxa"/>
          </w:tcPr>
          <w:p w14:paraId="337A639E"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1.5</w:t>
            </w:r>
          </w:p>
        </w:tc>
      </w:tr>
      <w:tr w:rsidR="008E0216" w:rsidRPr="000A4A0F" w14:paraId="04D07643"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2"/>
          </w:tcPr>
          <w:p w14:paraId="02C8278C" w14:textId="77777777" w:rsidR="008E0216" w:rsidRPr="000A4A0F" w:rsidRDefault="008E0216" w:rsidP="006612D9">
            <w:pPr>
              <w:pStyle w:val="Sansinterligne"/>
              <w:spacing w:line="360" w:lineRule="auto"/>
              <w:jc w:val="both"/>
              <w:rPr>
                <w:rFonts w:ascii="Times New Roman" w:hAnsi="Times New Roman" w:cs="Times New Roman"/>
                <w:i/>
                <w:sz w:val="24"/>
                <w:szCs w:val="24"/>
              </w:rPr>
            </w:pPr>
            <w:r w:rsidRPr="000A4A0F">
              <w:rPr>
                <w:rFonts w:ascii="Times New Roman" w:hAnsi="Times New Roman" w:cs="Times New Roman"/>
                <w:i/>
                <w:sz w:val="24"/>
                <w:szCs w:val="24"/>
              </w:rPr>
              <w:t>Galactosémie (n=134)</w:t>
            </w:r>
          </w:p>
        </w:tc>
        <w:tc>
          <w:tcPr>
            <w:tcW w:w="2126" w:type="dxa"/>
          </w:tcPr>
          <w:p w14:paraId="53A1E4B9" w14:textId="77777777" w:rsidR="008E0216" w:rsidRPr="000A4A0F" w:rsidRDefault="008E0216"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1.5</w:t>
            </w:r>
          </w:p>
        </w:tc>
      </w:tr>
      <w:tr w:rsidR="008E0216" w:rsidRPr="000A4A0F" w14:paraId="7D39740C" w14:textId="77777777" w:rsidTr="00C92759">
        <w:tc>
          <w:tcPr>
            <w:cnfStyle w:val="001000000000" w:firstRow="0" w:lastRow="0" w:firstColumn="1" w:lastColumn="0" w:oddVBand="0" w:evenVBand="0" w:oddHBand="0" w:evenHBand="0" w:firstRowFirstColumn="0" w:firstRowLastColumn="0" w:lastRowFirstColumn="0" w:lastRowLastColumn="0"/>
            <w:tcW w:w="4957" w:type="dxa"/>
            <w:gridSpan w:val="2"/>
          </w:tcPr>
          <w:p w14:paraId="257D39A7" w14:textId="77777777" w:rsidR="008E0216" w:rsidRPr="000A4A0F" w:rsidRDefault="008E0216" w:rsidP="006612D9">
            <w:pPr>
              <w:pStyle w:val="Sansinterligne"/>
              <w:spacing w:line="360" w:lineRule="auto"/>
              <w:jc w:val="both"/>
              <w:rPr>
                <w:rFonts w:ascii="Times New Roman" w:hAnsi="Times New Roman" w:cs="Times New Roman"/>
                <w:i/>
                <w:sz w:val="24"/>
                <w:szCs w:val="24"/>
              </w:rPr>
            </w:pPr>
            <w:r w:rsidRPr="000A4A0F">
              <w:rPr>
                <w:rFonts w:ascii="Times New Roman" w:hAnsi="Times New Roman" w:cs="Times New Roman"/>
                <w:i/>
                <w:sz w:val="24"/>
                <w:szCs w:val="24"/>
              </w:rPr>
              <w:t>Autres (n=136)</w:t>
            </w:r>
          </w:p>
        </w:tc>
        <w:tc>
          <w:tcPr>
            <w:tcW w:w="2126" w:type="dxa"/>
          </w:tcPr>
          <w:p w14:paraId="50197F67" w14:textId="77777777" w:rsidR="008E0216" w:rsidRPr="000A4A0F" w:rsidRDefault="008E0216"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A4A0F">
              <w:rPr>
                <w:rFonts w:ascii="Times New Roman" w:hAnsi="Times New Roman" w:cs="Times New Roman"/>
                <w:i/>
                <w:sz w:val="24"/>
                <w:szCs w:val="24"/>
              </w:rPr>
              <w:t>11.2</w:t>
            </w:r>
          </w:p>
        </w:tc>
      </w:tr>
    </w:tbl>
    <w:p w14:paraId="2025E433" w14:textId="77777777" w:rsidR="00AE5488" w:rsidRPr="000A4A0F" w:rsidRDefault="00AE5488"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68B04B79" w14:textId="6DDECD46" w:rsidR="00AE5488" w:rsidRPr="000A4A0F" w:rsidRDefault="00AE5488"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Les étiologies dans notre étude sont dominées pa</w:t>
      </w:r>
      <w:r w:rsidR="00FD2828" w:rsidRPr="000A4A0F">
        <w:rPr>
          <w:rFonts w:ascii="Times New Roman" w:eastAsia="Times New Roman" w:hAnsi="Times New Roman" w:cs="Times New Roman"/>
          <w:color w:val="000000"/>
          <w:sz w:val="24"/>
          <w:szCs w:val="24"/>
          <w:lang w:eastAsia="fr-FR"/>
        </w:rPr>
        <w:t xml:space="preserve">r les incompatibilités </w:t>
      </w:r>
      <w:r w:rsidR="00083F0E" w:rsidRPr="000A4A0F">
        <w:rPr>
          <w:rFonts w:ascii="Times New Roman" w:eastAsia="Times New Roman" w:hAnsi="Times New Roman" w:cs="Times New Roman"/>
          <w:color w:val="000000"/>
          <w:sz w:val="24"/>
          <w:szCs w:val="24"/>
          <w:lang w:eastAsia="fr-FR"/>
        </w:rPr>
        <w:t xml:space="preserve">ABO </w:t>
      </w:r>
      <w:r w:rsidR="00B568E3" w:rsidRPr="000A4A0F">
        <w:rPr>
          <w:rFonts w:ascii="Times New Roman" w:eastAsia="Times New Roman" w:hAnsi="Times New Roman" w:cs="Times New Roman"/>
          <w:color w:val="000000"/>
          <w:sz w:val="24"/>
          <w:szCs w:val="24"/>
          <w:lang w:eastAsia="fr-FR"/>
        </w:rPr>
        <w:t xml:space="preserve">et Rh </w:t>
      </w:r>
      <w:r w:rsidR="000A4A0F" w:rsidRPr="000A4A0F">
        <w:rPr>
          <w:rFonts w:ascii="Times New Roman" w:eastAsia="Times New Roman" w:hAnsi="Times New Roman" w:cs="Times New Roman"/>
          <w:color w:val="000000"/>
          <w:sz w:val="24"/>
          <w:szCs w:val="24"/>
          <w:lang w:eastAsia="fr-FR"/>
        </w:rPr>
        <w:t>dans 43</w:t>
      </w:r>
      <w:r w:rsidR="00FD2828" w:rsidRPr="000A4A0F">
        <w:rPr>
          <w:rFonts w:ascii="Times New Roman" w:eastAsia="Times New Roman" w:hAnsi="Times New Roman" w:cs="Times New Roman"/>
          <w:color w:val="000000"/>
          <w:sz w:val="24"/>
          <w:szCs w:val="24"/>
          <w:lang w:eastAsia="fr-FR"/>
        </w:rPr>
        <w:t>% dont 34% d’incompatibilité ABO et</w:t>
      </w:r>
      <w:r w:rsidR="00602ACB" w:rsidRPr="000A4A0F">
        <w:rPr>
          <w:rFonts w:ascii="Times New Roman" w:eastAsia="Times New Roman" w:hAnsi="Times New Roman" w:cs="Times New Roman"/>
          <w:color w:val="000000"/>
          <w:sz w:val="24"/>
          <w:szCs w:val="24"/>
          <w:lang w:eastAsia="fr-FR"/>
        </w:rPr>
        <w:t xml:space="preserve"> 9.3</w:t>
      </w:r>
      <w:r w:rsidR="000A4A0F" w:rsidRPr="000A4A0F">
        <w:rPr>
          <w:rFonts w:ascii="Times New Roman" w:eastAsia="Times New Roman" w:hAnsi="Times New Roman" w:cs="Times New Roman"/>
          <w:color w:val="000000"/>
          <w:sz w:val="24"/>
          <w:szCs w:val="24"/>
          <w:lang w:eastAsia="fr-FR"/>
        </w:rPr>
        <w:t>% d’incompatibilité</w:t>
      </w:r>
      <w:r w:rsidR="00602ACB" w:rsidRPr="000A4A0F">
        <w:rPr>
          <w:rFonts w:ascii="Times New Roman" w:eastAsia="Times New Roman" w:hAnsi="Times New Roman" w:cs="Times New Roman"/>
          <w:color w:val="000000"/>
          <w:sz w:val="24"/>
          <w:szCs w:val="24"/>
          <w:lang w:eastAsia="fr-FR"/>
        </w:rPr>
        <w:t xml:space="preserve"> Rhésus.</w:t>
      </w:r>
    </w:p>
    <w:p w14:paraId="4E4C3DB8" w14:textId="2E1F446A" w:rsidR="00AE5488" w:rsidRPr="000A4A0F" w:rsidRDefault="00AE5488"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La 2ème ca</w:t>
      </w:r>
      <w:r w:rsidR="00C8682D" w:rsidRPr="000A4A0F">
        <w:rPr>
          <w:rFonts w:ascii="Times New Roman" w:eastAsia="Times New Roman" w:hAnsi="Times New Roman" w:cs="Times New Roman"/>
          <w:color w:val="000000"/>
          <w:sz w:val="24"/>
          <w:szCs w:val="24"/>
          <w:lang w:eastAsia="fr-FR"/>
        </w:rPr>
        <w:t xml:space="preserve">use est la </w:t>
      </w:r>
      <w:r w:rsidR="000A4A0F" w:rsidRPr="000A4A0F">
        <w:rPr>
          <w:rFonts w:ascii="Times New Roman" w:eastAsia="Times New Roman" w:hAnsi="Times New Roman" w:cs="Times New Roman"/>
          <w:color w:val="000000"/>
          <w:sz w:val="24"/>
          <w:szCs w:val="24"/>
          <w:lang w:eastAsia="fr-FR"/>
        </w:rPr>
        <w:t>prématurité retrouvée</w:t>
      </w:r>
      <w:r w:rsidR="00C8682D" w:rsidRPr="000A4A0F">
        <w:rPr>
          <w:rFonts w:ascii="Times New Roman" w:eastAsia="Times New Roman" w:hAnsi="Times New Roman" w:cs="Times New Roman"/>
          <w:color w:val="000000"/>
          <w:sz w:val="24"/>
          <w:szCs w:val="24"/>
          <w:lang w:eastAsia="fr-FR"/>
        </w:rPr>
        <w:t xml:space="preserve"> dans 41.4%</w:t>
      </w:r>
      <w:r w:rsidR="000A5D50" w:rsidRPr="000A4A0F">
        <w:rPr>
          <w:rFonts w:ascii="Times New Roman" w:eastAsia="Times New Roman" w:hAnsi="Times New Roman" w:cs="Times New Roman"/>
          <w:color w:val="000000"/>
          <w:sz w:val="24"/>
          <w:szCs w:val="24"/>
          <w:lang w:eastAsia="fr-FR"/>
        </w:rPr>
        <w:t>, suivi</w:t>
      </w:r>
      <w:r w:rsidR="00C8682D" w:rsidRPr="000A4A0F">
        <w:rPr>
          <w:rFonts w:ascii="Times New Roman" w:eastAsia="Times New Roman" w:hAnsi="Times New Roman" w:cs="Times New Roman"/>
          <w:color w:val="000000"/>
          <w:sz w:val="24"/>
          <w:szCs w:val="24"/>
          <w:lang w:eastAsia="fr-FR"/>
        </w:rPr>
        <w:t xml:space="preserve"> des infections dans 28% de cas </w:t>
      </w:r>
      <w:r w:rsidR="000A5D50" w:rsidRPr="000A4A0F">
        <w:rPr>
          <w:rFonts w:ascii="Times New Roman" w:eastAsia="Times New Roman" w:hAnsi="Times New Roman" w:cs="Times New Roman"/>
          <w:color w:val="000000"/>
          <w:sz w:val="24"/>
          <w:szCs w:val="24"/>
          <w:lang w:eastAsia="fr-FR"/>
        </w:rPr>
        <w:t xml:space="preserve">; </w:t>
      </w:r>
      <w:r w:rsidR="00602ACB" w:rsidRPr="000A4A0F">
        <w:rPr>
          <w:rFonts w:ascii="Times New Roman" w:eastAsia="Times New Roman" w:hAnsi="Times New Roman" w:cs="Times New Roman"/>
          <w:color w:val="000000"/>
          <w:sz w:val="24"/>
          <w:szCs w:val="24"/>
          <w:lang w:eastAsia="fr-FR"/>
        </w:rPr>
        <w:t xml:space="preserve">puis </w:t>
      </w:r>
      <w:r w:rsidR="000A5D50" w:rsidRPr="000A4A0F">
        <w:rPr>
          <w:rFonts w:ascii="Times New Roman" w:eastAsia="Times New Roman" w:hAnsi="Times New Roman" w:cs="Times New Roman"/>
          <w:color w:val="000000"/>
          <w:sz w:val="24"/>
          <w:szCs w:val="24"/>
          <w:lang w:eastAsia="fr-FR"/>
        </w:rPr>
        <w:t>du</w:t>
      </w:r>
      <w:r w:rsidR="00C8682D" w:rsidRPr="000A4A0F">
        <w:rPr>
          <w:rFonts w:ascii="Times New Roman" w:eastAsia="Times New Roman" w:hAnsi="Times New Roman" w:cs="Times New Roman"/>
          <w:color w:val="000000"/>
          <w:sz w:val="24"/>
          <w:szCs w:val="24"/>
          <w:lang w:eastAsia="fr-FR"/>
        </w:rPr>
        <w:t xml:space="preserve"> </w:t>
      </w:r>
      <w:r w:rsidR="002737DB" w:rsidRPr="000A4A0F">
        <w:rPr>
          <w:rFonts w:ascii="Times New Roman" w:eastAsia="Times New Roman" w:hAnsi="Times New Roman" w:cs="Times New Roman"/>
          <w:color w:val="000000"/>
          <w:sz w:val="24"/>
          <w:szCs w:val="24"/>
          <w:lang w:eastAsia="fr-FR"/>
        </w:rPr>
        <w:t>déficit</w:t>
      </w:r>
      <w:r w:rsidR="00C8682D" w:rsidRPr="000A4A0F">
        <w:rPr>
          <w:rFonts w:ascii="Times New Roman" w:eastAsia="Times New Roman" w:hAnsi="Times New Roman" w:cs="Times New Roman"/>
          <w:color w:val="000000"/>
          <w:sz w:val="24"/>
          <w:szCs w:val="24"/>
          <w:lang w:eastAsia="fr-FR"/>
        </w:rPr>
        <w:t xml:space="preserve"> en </w:t>
      </w:r>
      <w:r w:rsidR="00602ACB" w:rsidRPr="000A4A0F">
        <w:rPr>
          <w:rFonts w:ascii="Times New Roman" w:eastAsia="Times New Roman" w:hAnsi="Times New Roman" w:cs="Times New Roman"/>
          <w:color w:val="000000"/>
          <w:sz w:val="24"/>
          <w:szCs w:val="24"/>
          <w:lang w:eastAsia="fr-FR"/>
        </w:rPr>
        <w:t xml:space="preserve">G6PD dans 11,9% de cas et </w:t>
      </w:r>
      <w:r w:rsidR="000A4A0F" w:rsidRPr="000A4A0F">
        <w:rPr>
          <w:rFonts w:ascii="Times New Roman" w:eastAsia="Times New Roman" w:hAnsi="Times New Roman" w:cs="Times New Roman"/>
          <w:color w:val="000000"/>
          <w:sz w:val="24"/>
          <w:szCs w:val="24"/>
          <w:lang w:eastAsia="fr-FR"/>
        </w:rPr>
        <w:t>enfin d’hypothyroïdie</w:t>
      </w:r>
      <w:r w:rsidR="006A4776" w:rsidRPr="000A4A0F">
        <w:rPr>
          <w:rFonts w:ascii="Times New Roman" w:eastAsia="Times New Roman" w:hAnsi="Times New Roman" w:cs="Times New Roman"/>
          <w:color w:val="000000"/>
          <w:sz w:val="24"/>
          <w:szCs w:val="24"/>
          <w:lang w:eastAsia="fr-FR"/>
        </w:rPr>
        <w:t>,</w:t>
      </w:r>
      <w:r w:rsidR="002E2697" w:rsidRPr="000A4A0F">
        <w:rPr>
          <w:rFonts w:ascii="Times New Roman" w:eastAsia="Times New Roman" w:hAnsi="Times New Roman" w:cs="Times New Roman"/>
          <w:color w:val="000000"/>
          <w:sz w:val="24"/>
          <w:szCs w:val="24"/>
          <w:lang w:eastAsia="fr-FR"/>
        </w:rPr>
        <w:t xml:space="preserve"> </w:t>
      </w:r>
      <w:r w:rsidR="00763B0F" w:rsidRPr="000A4A0F">
        <w:rPr>
          <w:rFonts w:ascii="Times New Roman" w:eastAsia="Times New Roman" w:hAnsi="Times New Roman" w:cs="Times New Roman"/>
          <w:color w:val="000000"/>
          <w:sz w:val="24"/>
          <w:szCs w:val="24"/>
          <w:lang w:eastAsia="fr-FR"/>
        </w:rPr>
        <w:t>Galactosémie</w:t>
      </w:r>
      <w:r w:rsidR="006A4776" w:rsidRPr="000A4A0F">
        <w:rPr>
          <w:rFonts w:ascii="Times New Roman" w:eastAsia="Times New Roman" w:hAnsi="Times New Roman" w:cs="Times New Roman"/>
          <w:color w:val="000000"/>
          <w:sz w:val="24"/>
          <w:szCs w:val="24"/>
          <w:lang w:eastAsia="fr-FR"/>
        </w:rPr>
        <w:t>,</w:t>
      </w:r>
      <w:r w:rsidR="002E2697" w:rsidRPr="000A4A0F">
        <w:rPr>
          <w:rFonts w:ascii="Times New Roman" w:eastAsia="Times New Roman" w:hAnsi="Times New Roman" w:cs="Times New Roman"/>
          <w:color w:val="000000"/>
          <w:sz w:val="24"/>
          <w:szCs w:val="24"/>
          <w:lang w:eastAsia="fr-FR"/>
        </w:rPr>
        <w:t xml:space="preserve"> </w:t>
      </w:r>
      <w:r w:rsidR="006A4776" w:rsidRPr="000A4A0F">
        <w:rPr>
          <w:rFonts w:ascii="Times New Roman" w:eastAsia="Times New Roman" w:hAnsi="Times New Roman" w:cs="Times New Roman"/>
          <w:color w:val="000000"/>
          <w:sz w:val="24"/>
          <w:szCs w:val="24"/>
          <w:lang w:eastAsia="fr-FR"/>
        </w:rPr>
        <w:t>mucoviscidose et</w:t>
      </w:r>
      <w:r w:rsidR="00EC39AB" w:rsidRPr="000A4A0F">
        <w:rPr>
          <w:rFonts w:ascii="Times New Roman" w:eastAsia="Times New Roman" w:hAnsi="Times New Roman" w:cs="Times New Roman"/>
          <w:color w:val="000000"/>
          <w:sz w:val="24"/>
          <w:szCs w:val="24"/>
          <w:lang w:eastAsia="fr-FR"/>
        </w:rPr>
        <w:t xml:space="preserve"> autres causes.</w:t>
      </w:r>
    </w:p>
    <w:p w14:paraId="5DE890BC" w14:textId="3CB4B840" w:rsidR="00553099" w:rsidRDefault="00553099"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Il est à noter comme nous le voyons dans ce tableau que</w:t>
      </w:r>
      <w:r w:rsidR="00B568E3" w:rsidRPr="000A4A0F">
        <w:rPr>
          <w:rFonts w:ascii="Times New Roman" w:eastAsia="Times New Roman" w:hAnsi="Times New Roman" w:cs="Times New Roman"/>
          <w:color w:val="000000"/>
          <w:sz w:val="24"/>
          <w:szCs w:val="24"/>
          <w:lang w:eastAsia="fr-FR"/>
        </w:rPr>
        <w:t xml:space="preserve"> dans</w:t>
      </w:r>
      <w:r w:rsidR="00C13916" w:rsidRPr="000A4A0F">
        <w:rPr>
          <w:rFonts w:ascii="Times New Roman" w:eastAsia="Times New Roman" w:hAnsi="Times New Roman" w:cs="Times New Roman"/>
          <w:color w:val="000000"/>
          <w:sz w:val="24"/>
          <w:szCs w:val="24"/>
          <w:lang w:eastAsia="fr-FR"/>
        </w:rPr>
        <w:t xml:space="preserve"> </w:t>
      </w:r>
      <w:r w:rsidR="000A4A0F" w:rsidRPr="000A4A0F">
        <w:rPr>
          <w:rFonts w:ascii="Times New Roman" w:eastAsia="Times New Roman" w:hAnsi="Times New Roman" w:cs="Times New Roman"/>
          <w:color w:val="000000"/>
          <w:sz w:val="24"/>
          <w:szCs w:val="24"/>
          <w:lang w:eastAsia="fr-FR"/>
        </w:rPr>
        <w:t>certains cas</w:t>
      </w:r>
      <w:r w:rsidR="00B568E3" w:rsidRPr="000A4A0F">
        <w:rPr>
          <w:rFonts w:ascii="Times New Roman" w:eastAsia="Times New Roman" w:hAnsi="Times New Roman" w:cs="Times New Roman"/>
          <w:color w:val="000000"/>
          <w:sz w:val="24"/>
          <w:szCs w:val="24"/>
          <w:lang w:eastAsia="fr-FR"/>
        </w:rPr>
        <w:t xml:space="preserve"> on </w:t>
      </w:r>
      <w:r w:rsidR="000A4A0F" w:rsidRPr="000A4A0F">
        <w:rPr>
          <w:rFonts w:ascii="Times New Roman" w:eastAsia="Times New Roman" w:hAnsi="Times New Roman" w:cs="Times New Roman"/>
          <w:color w:val="000000"/>
          <w:sz w:val="24"/>
          <w:szCs w:val="24"/>
          <w:lang w:eastAsia="fr-FR"/>
        </w:rPr>
        <w:t>retrouve plusieurs</w:t>
      </w:r>
      <w:r w:rsidRPr="000A4A0F">
        <w:rPr>
          <w:rFonts w:ascii="Times New Roman" w:eastAsia="Times New Roman" w:hAnsi="Times New Roman" w:cs="Times New Roman"/>
          <w:color w:val="000000"/>
          <w:sz w:val="24"/>
          <w:szCs w:val="24"/>
          <w:lang w:eastAsia="fr-FR"/>
        </w:rPr>
        <w:t xml:space="preserve"> </w:t>
      </w:r>
      <w:r w:rsidR="00B568E3" w:rsidRPr="000A4A0F">
        <w:rPr>
          <w:rFonts w:ascii="Times New Roman" w:eastAsia="Times New Roman" w:hAnsi="Times New Roman" w:cs="Times New Roman"/>
          <w:color w:val="000000"/>
          <w:sz w:val="24"/>
          <w:szCs w:val="24"/>
          <w:lang w:eastAsia="fr-FR"/>
        </w:rPr>
        <w:t xml:space="preserve">associations étiologies </w:t>
      </w:r>
      <w:r w:rsidR="000A4A0F" w:rsidRPr="000A4A0F">
        <w:rPr>
          <w:rFonts w:ascii="Times New Roman" w:eastAsia="Times New Roman" w:hAnsi="Times New Roman" w:cs="Times New Roman"/>
          <w:color w:val="000000"/>
          <w:sz w:val="24"/>
          <w:szCs w:val="24"/>
          <w:lang w:eastAsia="fr-FR"/>
        </w:rPr>
        <w:t>ayant générer</w:t>
      </w:r>
      <w:r w:rsidRPr="000A4A0F">
        <w:rPr>
          <w:rFonts w:ascii="Times New Roman" w:eastAsia="Times New Roman" w:hAnsi="Times New Roman" w:cs="Times New Roman"/>
          <w:color w:val="000000"/>
          <w:sz w:val="24"/>
          <w:szCs w:val="24"/>
          <w:lang w:eastAsia="fr-FR"/>
        </w:rPr>
        <w:t xml:space="preserve"> un ictère néonatal.</w:t>
      </w:r>
    </w:p>
    <w:p w14:paraId="1A3932A3" w14:textId="0E0775F3" w:rsidR="006B6881" w:rsidRPr="000A4A0F" w:rsidRDefault="006B6881" w:rsidP="006612D9">
      <w:pPr>
        <w:pStyle w:val="Titre2"/>
        <w:spacing w:before="0" w:line="360" w:lineRule="auto"/>
        <w:jc w:val="both"/>
        <w:rPr>
          <w:rFonts w:ascii="Times New Roman" w:hAnsi="Times New Roman" w:cs="Times New Roman"/>
          <w:b/>
          <w:sz w:val="24"/>
          <w:szCs w:val="24"/>
        </w:rPr>
      </w:pPr>
      <w:bookmarkStart w:id="67" w:name="_Toc87049080"/>
      <w:r w:rsidRPr="00C1024E">
        <w:rPr>
          <w:rFonts w:ascii="Times New Roman" w:hAnsi="Times New Roman" w:cs="Times New Roman"/>
          <w:b/>
          <w:sz w:val="24"/>
          <w:szCs w:val="24"/>
          <w:highlight w:val="yellow"/>
        </w:rPr>
        <w:t>COMPARAISON DE MEDIANE</w:t>
      </w:r>
      <w:bookmarkEnd w:id="67"/>
      <w:r w:rsidR="00FA0F3C">
        <w:rPr>
          <w:rFonts w:ascii="Times New Roman" w:hAnsi="Times New Roman" w:cs="Times New Roman"/>
          <w:b/>
          <w:sz w:val="24"/>
          <w:szCs w:val="24"/>
          <w:highlight w:val="yellow"/>
        </w:rPr>
        <w:t> </w:t>
      </w:r>
      <w:r w:rsidR="00FA0F3C">
        <w:rPr>
          <w:rFonts w:ascii="Times New Roman" w:hAnsi="Times New Roman" w:cs="Times New Roman"/>
          <w:b/>
          <w:color w:val="FFC000"/>
          <w:sz w:val="24"/>
          <w:szCs w:val="24"/>
        </w:rPr>
        <w:t xml:space="preserve">     </w:t>
      </w:r>
      <w:r w:rsidR="00FA0F3C" w:rsidRPr="00FA0F3C">
        <w:rPr>
          <w:rFonts w:ascii="Times New Roman" w:hAnsi="Times New Roman" w:cs="Times New Roman"/>
          <w:b/>
          <w:color w:val="FF0000"/>
          <w:sz w:val="24"/>
          <w:szCs w:val="24"/>
        </w:rPr>
        <w:t>???</w:t>
      </w:r>
    </w:p>
    <w:p w14:paraId="1F58655E" w14:textId="0895E9B9" w:rsidR="008E0216" w:rsidRPr="000A4A0F" w:rsidRDefault="00FC4BB6" w:rsidP="006F6219">
      <w:r w:rsidRPr="000A4A0F">
        <w:t>Tableau 5</w:t>
      </w:r>
      <w:r w:rsidR="008E736C" w:rsidRPr="000A4A0F">
        <w:t>.</w:t>
      </w:r>
      <w:r w:rsidR="008E0216" w:rsidRPr="000A4A0F">
        <w:t xml:space="preserve"> Taux de Bilirubine dans les différentes catégories de paramètres étudiés : Comparaison de médianes</w:t>
      </w:r>
    </w:p>
    <w:tbl>
      <w:tblPr>
        <w:tblStyle w:val="TableauListe6Couleur-Accentuation3"/>
        <w:tblW w:w="8947" w:type="dxa"/>
        <w:tblLook w:val="04A0" w:firstRow="1" w:lastRow="0" w:firstColumn="1" w:lastColumn="0" w:noHBand="0" w:noVBand="1"/>
      </w:tblPr>
      <w:tblGrid>
        <w:gridCol w:w="236"/>
        <w:gridCol w:w="5120"/>
        <w:gridCol w:w="2535"/>
        <w:gridCol w:w="1056"/>
      </w:tblGrid>
      <w:tr w:rsidR="00B216D3" w:rsidRPr="000A4A0F" w14:paraId="7AF25A84" w14:textId="77777777" w:rsidTr="00C92759">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1D358BEF" w14:textId="77777777" w:rsidR="00B216D3" w:rsidRPr="000A4A0F" w:rsidRDefault="00B216D3" w:rsidP="006F6219"/>
        </w:tc>
        <w:tc>
          <w:tcPr>
            <w:tcW w:w="5120" w:type="dxa"/>
          </w:tcPr>
          <w:p w14:paraId="2A461FED" w14:textId="77777777" w:rsidR="00B216D3" w:rsidRPr="000A4A0F" w:rsidRDefault="00B216D3" w:rsidP="006F6219">
            <w:pPr>
              <w:cnfStyle w:val="100000000000" w:firstRow="1" w:lastRow="0" w:firstColumn="0" w:lastColumn="0" w:oddVBand="0" w:evenVBand="0" w:oddHBand="0" w:evenHBand="0" w:firstRowFirstColumn="0" w:firstRowLastColumn="0" w:lastRowFirstColumn="0" w:lastRowLastColumn="0"/>
              <w:rPr>
                <w:b w:val="0"/>
              </w:rPr>
            </w:pPr>
            <w:r w:rsidRPr="000A4A0F">
              <w:t>Catégories</w:t>
            </w:r>
          </w:p>
        </w:tc>
        <w:tc>
          <w:tcPr>
            <w:tcW w:w="2535" w:type="dxa"/>
          </w:tcPr>
          <w:p w14:paraId="5F43813E" w14:textId="77777777" w:rsidR="00B216D3" w:rsidRPr="000A4A0F" w:rsidRDefault="00B216D3" w:rsidP="006F6219">
            <w:pPr>
              <w:cnfStyle w:val="100000000000" w:firstRow="1" w:lastRow="0" w:firstColumn="0" w:lastColumn="0" w:oddVBand="0" w:evenVBand="0" w:oddHBand="0" w:evenHBand="0" w:firstRowFirstColumn="0" w:firstRowLastColumn="0" w:lastRowFirstColumn="0" w:lastRowLastColumn="0"/>
              <w:rPr>
                <w:b w:val="0"/>
              </w:rPr>
            </w:pPr>
            <w:r w:rsidRPr="000A4A0F">
              <w:t>Médiane (Min-Max)</w:t>
            </w:r>
          </w:p>
        </w:tc>
        <w:tc>
          <w:tcPr>
            <w:tcW w:w="1056" w:type="dxa"/>
          </w:tcPr>
          <w:p w14:paraId="1C762190" w14:textId="77777777" w:rsidR="00B216D3" w:rsidRPr="000A4A0F" w:rsidRDefault="00B216D3" w:rsidP="006F6219">
            <w:pPr>
              <w:cnfStyle w:val="100000000000" w:firstRow="1" w:lastRow="0" w:firstColumn="0" w:lastColumn="0" w:oddVBand="0" w:evenVBand="0" w:oddHBand="0" w:evenHBand="0" w:firstRowFirstColumn="0" w:firstRowLastColumn="0" w:lastRowFirstColumn="0" w:lastRowLastColumn="0"/>
              <w:rPr>
                <w:b w:val="0"/>
              </w:rPr>
            </w:pPr>
            <w:r w:rsidRPr="000A4A0F">
              <w:t>P</w:t>
            </w:r>
          </w:p>
        </w:tc>
      </w:tr>
      <w:tr w:rsidR="00B216D3" w:rsidRPr="000A4A0F" w14:paraId="295386A0"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356" w:type="dxa"/>
            <w:gridSpan w:val="2"/>
          </w:tcPr>
          <w:p w14:paraId="3E87658D" w14:textId="77777777" w:rsidR="00B216D3" w:rsidRPr="000A4A0F" w:rsidRDefault="00B216D3" w:rsidP="006F6219">
            <w:pPr>
              <w:rPr>
                <w:b w:val="0"/>
              </w:rPr>
            </w:pPr>
            <w:r w:rsidRPr="000A4A0F">
              <w:t xml:space="preserve">Sexe </w:t>
            </w:r>
          </w:p>
        </w:tc>
        <w:tc>
          <w:tcPr>
            <w:tcW w:w="2535" w:type="dxa"/>
          </w:tcPr>
          <w:p w14:paraId="6B4FA5C4"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c>
          <w:tcPr>
            <w:tcW w:w="1056" w:type="dxa"/>
          </w:tcPr>
          <w:p w14:paraId="6A3FB6C5"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r w:rsidRPr="000A4A0F">
              <w:t>0.393*</w:t>
            </w:r>
          </w:p>
        </w:tc>
      </w:tr>
      <w:tr w:rsidR="00B216D3" w:rsidRPr="000A4A0F" w14:paraId="37070192"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36" w:type="dxa"/>
          </w:tcPr>
          <w:p w14:paraId="0460608D" w14:textId="77777777" w:rsidR="00B216D3" w:rsidRPr="000A4A0F" w:rsidRDefault="00B216D3" w:rsidP="006F6219"/>
        </w:tc>
        <w:tc>
          <w:tcPr>
            <w:tcW w:w="5120" w:type="dxa"/>
          </w:tcPr>
          <w:p w14:paraId="0064AC16"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r w:rsidRPr="000A4A0F">
              <w:t>Masculin</w:t>
            </w:r>
          </w:p>
        </w:tc>
        <w:tc>
          <w:tcPr>
            <w:tcW w:w="2535" w:type="dxa"/>
          </w:tcPr>
          <w:p w14:paraId="312A7793" w14:textId="0C7C7D08" w:rsidR="00B216D3" w:rsidRPr="000A4A0F" w:rsidRDefault="00173776" w:rsidP="006F6219">
            <w:pPr>
              <w:cnfStyle w:val="000000000000" w:firstRow="0" w:lastRow="0" w:firstColumn="0" w:lastColumn="0" w:oddVBand="0" w:evenVBand="0" w:oddHBand="0" w:evenHBand="0" w:firstRowFirstColumn="0" w:firstRowLastColumn="0" w:lastRowFirstColumn="0" w:lastRowLastColumn="0"/>
            </w:pPr>
            <w:r w:rsidRPr="000A4A0F">
              <w:t>21.27 (</w:t>
            </w:r>
            <w:r w:rsidR="00B216D3" w:rsidRPr="000A4A0F">
              <w:t>10.67-56.73)</w:t>
            </w:r>
          </w:p>
        </w:tc>
        <w:tc>
          <w:tcPr>
            <w:tcW w:w="1056" w:type="dxa"/>
          </w:tcPr>
          <w:p w14:paraId="5D91A22A"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r w:rsidR="00B216D3" w:rsidRPr="000A4A0F" w14:paraId="0C7006CA"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22D40F7D" w14:textId="77777777" w:rsidR="00B216D3" w:rsidRPr="000A4A0F" w:rsidRDefault="00B216D3" w:rsidP="006F6219"/>
        </w:tc>
        <w:tc>
          <w:tcPr>
            <w:tcW w:w="5120" w:type="dxa"/>
          </w:tcPr>
          <w:p w14:paraId="3C62F2E5"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r w:rsidRPr="000A4A0F">
              <w:t>Féminin</w:t>
            </w:r>
          </w:p>
        </w:tc>
        <w:tc>
          <w:tcPr>
            <w:tcW w:w="2535" w:type="dxa"/>
          </w:tcPr>
          <w:p w14:paraId="3B0D15C8" w14:textId="5FF7C2EF" w:rsidR="00B216D3" w:rsidRPr="000A4A0F" w:rsidRDefault="00173776" w:rsidP="006F6219">
            <w:pPr>
              <w:cnfStyle w:val="000000100000" w:firstRow="0" w:lastRow="0" w:firstColumn="0" w:lastColumn="0" w:oddVBand="0" w:evenVBand="0" w:oddHBand="1" w:evenHBand="0" w:firstRowFirstColumn="0" w:firstRowLastColumn="0" w:lastRowFirstColumn="0" w:lastRowLastColumn="0"/>
            </w:pPr>
            <w:r w:rsidRPr="000A4A0F">
              <w:t>21.28 (</w:t>
            </w:r>
            <w:r w:rsidR="00B216D3" w:rsidRPr="000A4A0F">
              <w:t>10.50-50.18)</w:t>
            </w:r>
          </w:p>
        </w:tc>
        <w:tc>
          <w:tcPr>
            <w:tcW w:w="1056" w:type="dxa"/>
          </w:tcPr>
          <w:p w14:paraId="03591B11"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r>
      <w:tr w:rsidR="00B216D3" w:rsidRPr="000A4A0F" w14:paraId="7143FC6F"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5356" w:type="dxa"/>
            <w:gridSpan w:val="2"/>
          </w:tcPr>
          <w:p w14:paraId="7F7E77BE" w14:textId="77777777" w:rsidR="00B216D3" w:rsidRPr="000A4A0F" w:rsidRDefault="00B216D3" w:rsidP="006F6219">
            <w:pPr>
              <w:rPr>
                <w:b w:val="0"/>
              </w:rPr>
            </w:pPr>
            <w:r w:rsidRPr="000A4A0F">
              <w:t>Age à l’admission</w:t>
            </w:r>
          </w:p>
        </w:tc>
        <w:tc>
          <w:tcPr>
            <w:tcW w:w="2535" w:type="dxa"/>
          </w:tcPr>
          <w:p w14:paraId="31C4A6D1"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c>
          <w:tcPr>
            <w:tcW w:w="1056" w:type="dxa"/>
          </w:tcPr>
          <w:p w14:paraId="205ED5FD"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r w:rsidRPr="000A4A0F">
              <w:t>0.186**</w:t>
            </w:r>
          </w:p>
        </w:tc>
      </w:tr>
      <w:tr w:rsidR="00B216D3" w:rsidRPr="000A4A0F" w14:paraId="64079FAD"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583830FF" w14:textId="77777777" w:rsidR="00B216D3" w:rsidRPr="000A4A0F" w:rsidRDefault="00B216D3" w:rsidP="006F6219"/>
        </w:tc>
        <w:tc>
          <w:tcPr>
            <w:tcW w:w="5120" w:type="dxa"/>
          </w:tcPr>
          <w:p w14:paraId="7EBC9E72"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rPr>
                <w:rFonts w:eastAsia="Times New Roman"/>
                <w:lang w:val="fr-BE"/>
              </w:rPr>
            </w:pPr>
            <w:r w:rsidRPr="000A4A0F">
              <w:rPr>
                <w:rFonts w:eastAsia="Times New Roman"/>
                <w:lang w:val="fr-BE"/>
              </w:rPr>
              <w:t>&lt;24</w:t>
            </w:r>
          </w:p>
        </w:tc>
        <w:tc>
          <w:tcPr>
            <w:tcW w:w="2535" w:type="dxa"/>
          </w:tcPr>
          <w:p w14:paraId="25176644" w14:textId="444C89CF" w:rsidR="00B216D3" w:rsidRPr="000A4A0F" w:rsidRDefault="00173776" w:rsidP="006F6219">
            <w:pPr>
              <w:cnfStyle w:val="000000100000" w:firstRow="0" w:lastRow="0" w:firstColumn="0" w:lastColumn="0" w:oddVBand="0" w:evenVBand="0" w:oddHBand="1" w:evenHBand="0" w:firstRowFirstColumn="0" w:firstRowLastColumn="0" w:lastRowFirstColumn="0" w:lastRowLastColumn="0"/>
            </w:pPr>
            <w:r w:rsidRPr="000A4A0F">
              <w:t>20.30 (</w:t>
            </w:r>
            <w:r w:rsidR="00B216D3" w:rsidRPr="000A4A0F">
              <w:t>10.50-56.73)</w:t>
            </w:r>
          </w:p>
        </w:tc>
        <w:tc>
          <w:tcPr>
            <w:tcW w:w="1056" w:type="dxa"/>
          </w:tcPr>
          <w:p w14:paraId="580C1ED4"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r>
      <w:tr w:rsidR="00B216D3" w:rsidRPr="000A4A0F" w14:paraId="354CA8EE"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36" w:type="dxa"/>
          </w:tcPr>
          <w:p w14:paraId="1385A8EF" w14:textId="77777777" w:rsidR="00B216D3" w:rsidRPr="000A4A0F" w:rsidRDefault="00B216D3" w:rsidP="006F6219"/>
        </w:tc>
        <w:tc>
          <w:tcPr>
            <w:tcW w:w="5120" w:type="dxa"/>
          </w:tcPr>
          <w:p w14:paraId="09AEA0AF"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rPr>
                <w:rFonts w:eastAsia="Times New Roman"/>
                <w:lang w:val="fr-BE"/>
              </w:rPr>
            </w:pPr>
            <w:r w:rsidRPr="000A4A0F">
              <w:rPr>
                <w:rFonts w:eastAsia="Times New Roman"/>
                <w:lang w:val="fr-BE"/>
              </w:rPr>
              <w:t>24-48</w:t>
            </w:r>
          </w:p>
        </w:tc>
        <w:tc>
          <w:tcPr>
            <w:tcW w:w="2535" w:type="dxa"/>
          </w:tcPr>
          <w:p w14:paraId="0B571479" w14:textId="3325F3C5" w:rsidR="00B216D3" w:rsidRPr="000A4A0F" w:rsidRDefault="00173776" w:rsidP="006F6219">
            <w:pPr>
              <w:cnfStyle w:val="000000000000" w:firstRow="0" w:lastRow="0" w:firstColumn="0" w:lastColumn="0" w:oddVBand="0" w:evenVBand="0" w:oddHBand="0" w:evenHBand="0" w:firstRowFirstColumn="0" w:firstRowLastColumn="0" w:lastRowFirstColumn="0" w:lastRowLastColumn="0"/>
            </w:pPr>
            <w:r w:rsidRPr="000A4A0F">
              <w:t>24.05 (</w:t>
            </w:r>
            <w:r w:rsidR="00B216D3" w:rsidRPr="000A4A0F">
              <w:t>13.44-49.69)</w:t>
            </w:r>
          </w:p>
        </w:tc>
        <w:tc>
          <w:tcPr>
            <w:tcW w:w="1056" w:type="dxa"/>
          </w:tcPr>
          <w:p w14:paraId="24BE5842"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r w:rsidR="00B216D3" w:rsidRPr="000A4A0F" w14:paraId="03AE7F18"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58F97AD7" w14:textId="77777777" w:rsidR="00B216D3" w:rsidRPr="000A4A0F" w:rsidRDefault="00B216D3" w:rsidP="006F6219"/>
        </w:tc>
        <w:tc>
          <w:tcPr>
            <w:tcW w:w="5120" w:type="dxa"/>
          </w:tcPr>
          <w:p w14:paraId="75EA75C6"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rPr>
                <w:rFonts w:eastAsia="Times New Roman"/>
                <w:lang w:val="fr-BE"/>
              </w:rPr>
            </w:pPr>
            <w:r w:rsidRPr="000A4A0F">
              <w:rPr>
                <w:rFonts w:eastAsia="Times New Roman"/>
                <w:lang w:val="fr-BE"/>
              </w:rPr>
              <w:t>48-72</w:t>
            </w:r>
          </w:p>
        </w:tc>
        <w:tc>
          <w:tcPr>
            <w:tcW w:w="2535" w:type="dxa"/>
          </w:tcPr>
          <w:p w14:paraId="3EB52DCF" w14:textId="5701C4B6" w:rsidR="00B216D3" w:rsidRPr="000A4A0F" w:rsidRDefault="00173776" w:rsidP="006F6219">
            <w:pPr>
              <w:cnfStyle w:val="000000100000" w:firstRow="0" w:lastRow="0" w:firstColumn="0" w:lastColumn="0" w:oddVBand="0" w:evenVBand="0" w:oddHBand="1" w:evenHBand="0" w:firstRowFirstColumn="0" w:firstRowLastColumn="0" w:lastRowFirstColumn="0" w:lastRowLastColumn="0"/>
            </w:pPr>
            <w:r w:rsidRPr="000A4A0F">
              <w:t>22.96 (</w:t>
            </w:r>
            <w:r w:rsidR="00B216D3" w:rsidRPr="000A4A0F">
              <w:t>14.20-42.83)</w:t>
            </w:r>
          </w:p>
        </w:tc>
        <w:tc>
          <w:tcPr>
            <w:tcW w:w="1056" w:type="dxa"/>
          </w:tcPr>
          <w:p w14:paraId="0B3ECF97"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r>
      <w:tr w:rsidR="00B216D3" w:rsidRPr="000A4A0F" w14:paraId="7E11BE8D"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36" w:type="dxa"/>
          </w:tcPr>
          <w:p w14:paraId="584E67C7" w14:textId="77777777" w:rsidR="00B216D3" w:rsidRPr="000A4A0F" w:rsidRDefault="00B216D3" w:rsidP="006F6219"/>
        </w:tc>
        <w:tc>
          <w:tcPr>
            <w:tcW w:w="5120" w:type="dxa"/>
          </w:tcPr>
          <w:p w14:paraId="52F00FA3"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rPr>
                <w:rFonts w:eastAsia="Times New Roman"/>
                <w:lang w:val="fr-BE"/>
              </w:rPr>
            </w:pPr>
            <w:r w:rsidRPr="000A4A0F">
              <w:rPr>
                <w:rFonts w:eastAsia="Times New Roman"/>
                <w:lang w:val="fr-BE"/>
              </w:rPr>
              <w:t>&gt;72</w:t>
            </w:r>
          </w:p>
        </w:tc>
        <w:tc>
          <w:tcPr>
            <w:tcW w:w="2535" w:type="dxa"/>
          </w:tcPr>
          <w:p w14:paraId="5E94D1F4" w14:textId="1A5CB536" w:rsidR="00B216D3" w:rsidRPr="000A4A0F" w:rsidRDefault="00173776" w:rsidP="006F6219">
            <w:pPr>
              <w:cnfStyle w:val="000000000000" w:firstRow="0" w:lastRow="0" w:firstColumn="0" w:lastColumn="0" w:oddVBand="0" w:evenVBand="0" w:oddHBand="0" w:evenHBand="0" w:firstRowFirstColumn="0" w:firstRowLastColumn="0" w:lastRowFirstColumn="0" w:lastRowLastColumn="0"/>
            </w:pPr>
            <w:r w:rsidRPr="000A4A0F">
              <w:t>21.26 (</w:t>
            </w:r>
            <w:r w:rsidR="00B216D3" w:rsidRPr="000A4A0F">
              <w:t>10.67-55.59)</w:t>
            </w:r>
          </w:p>
        </w:tc>
        <w:tc>
          <w:tcPr>
            <w:tcW w:w="1056" w:type="dxa"/>
          </w:tcPr>
          <w:p w14:paraId="6626EAFC"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r w:rsidR="00B216D3" w:rsidRPr="000A4A0F" w14:paraId="29C89138" w14:textId="77777777" w:rsidTr="00C92759">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5356" w:type="dxa"/>
            <w:gridSpan w:val="2"/>
          </w:tcPr>
          <w:p w14:paraId="09C834D7" w14:textId="77777777" w:rsidR="00B216D3" w:rsidRPr="000A4A0F" w:rsidRDefault="00B216D3" w:rsidP="006F6219">
            <w:pPr>
              <w:rPr>
                <w:rFonts w:eastAsia="Times New Roman"/>
                <w:b w:val="0"/>
                <w:lang w:val="fr-BE"/>
              </w:rPr>
            </w:pPr>
            <w:r w:rsidRPr="000A4A0F">
              <w:t>Antécédent ictère fratrie</w:t>
            </w:r>
          </w:p>
        </w:tc>
        <w:tc>
          <w:tcPr>
            <w:tcW w:w="2535" w:type="dxa"/>
          </w:tcPr>
          <w:p w14:paraId="609FDB45"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c>
          <w:tcPr>
            <w:tcW w:w="1056" w:type="dxa"/>
          </w:tcPr>
          <w:p w14:paraId="2BA310CF"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r w:rsidRPr="000A4A0F">
              <w:t>0.906*</w:t>
            </w:r>
          </w:p>
        </w:tc>
      </w:tr>
      <w:tr w:rsidR="00B216D3" w:rsidRPr="000A4A0F" w14:paraId="5C9382BF"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36" w:type="dxa"/>
          </w:tcPr>
          <w:p w14:paraId="0E77D7C8" w14:textId="77777777" w:rsidR="00B216D3" w:rsidRPr="000A4A0F" w:rsidRDefault="00B216D3" w:rsidP="006F6219"/>
        </w:tc>
        <w:tc>
          <w:tcPr>
            <w:tcW w:w="5120" w:type="dxa"/>
          </w:tcPr>
          <w:p w14:paraId="269DBD3E"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rPr>
                <w:rFonts w:eastAsia="Times New Roman"/>
                <w:lang w:val="fr-BE"/>
              </w:rPr>
            </w:pPr>
            <w:r w:rsidRPr="000A4A0F">
              <w:rPr>
                <w:rFonts w:eastAsia="Times New Roman"/>
                <w:lang w:val="fr-BE"/>
              </w:rPr>
              <w:t>Oui</w:t>
            </w:r>
          </w:p>
        </w:tc>
        <w:tc>
          <w:tcPr>
            <w:tcW w:w="2535" w:type="dxa"/>
          </w:tcPr>
          <w:p w14:paraId="0C71C619" w14:textId="27BFA208" w:rsidR="00B216D3" w:rsidRPr="000A4A0F" w:rsidRDefault="00173776" w:rsidP="006F6219">
            <w:pPr>
              <w:cnfStyle w:val="000000000000" w:firstRow="0" w:lastRow="0" w:firstColumn="0" w:lastColumn="0" w:oddVBand="0" w:evenVBand="0" w:oddHBand="0" w:evenHBand="0" w:firstRowFirstColumn="0" w:firstRowLastColumn="0" w:lastRowFirstColumn="0" w:lastRowLastColumn="0"/>
            </w:pPr>
            <w:r w:rsidRPr="000A4A0F">
              <w:t>24.05 (</w:t>
            </w:r>
            <w:r w:rsidR="00B216D3" w:rsidRPr="000A4A0F">
              <w:t>10.50-39.46)</w:t>
            </w:r>
          </w:p>
        </w:tc>
        <w:tc>
          <w:tcPr>
            <w:tcW w:w="1056" w:type="dxa"/>
          </w:tcPr>
          <w:p w14:paraId="6081547F"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r w:rsidR="00B216D3" w:rsidRPr="000A4A0F" w14:paraId="4B1558F9"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220BC7D5" w14:textId="77777777" w:rsidR="00B216D3" w:rsidRPr="000A4A0F" w:rsidRDefault="00B216D3" w:rsidP="006F6219"/>
        </w:tc>
        <w:tc>
          <w:tcPr>
            <w:tcW w:w="5120" w:type="dxa"/>
          </w:tcPr>
          <w:p w14:paraId="38FE062E"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rPr>
                <w:rFonts w:eastAsia="Times New Roman"/>
                <w:lang w:val="fr-BE"/>
              </w:rPr>
            </w:pPr>
            <w:r w:rsidRPr="000A4A0F">
              <w:rPr>
                <w:rFonts w:eastAsia="Times New Roman"/>
                <w:lang w:val="fr-BE"/>
              </w:rPr>
              <w:t>Non</w:t>
            </w:r>
          </w:p>
        </w:tc>
        <w:tc>
          <w:tcPr>
            <w:tcW w:w="2535" w:type="dxa"/>
          </w:tcPr>
          <w:p w14:paraId="043FD759" w14:textId="5DD825DB" w:rsidR="00B216D3" w:rsidRPr="000A4A0F" w:rsidRDefault="00173776" w:rsidP="006F6219">
            <w:pPr>
              <w:cnfStyle w:val="000000100000" w:firstRow="0" w:lastRow="0" w:firstColumn="0" w:lastColumn="0" w:oddVBand="0" w:evenVBand="0" w:oddHBand="1" w:evenHBand="0" w:firstRowFirstColumn="0" w:firstRowLastColumn="0" w:lastRowFirstColumn="0" w:lastRowLastColumn="0"/>
            </w:pPr>
            <w:r w:rsidRPr="000A4A0F">
              <w:t>21.39 (</w:t>
            </w:r>
            <w:r w:rsidR="00B216D3" w:rsidRPr="000A4A0F">
              <w:t>10.67-56.73)</w:t>
            </w:r>
          </w:p>
        </w:tc>
        <w:tc>
          <w:tcPr>
            <w:tcW w:w="1056" w:type="dxa"/>
          </w:tcPr>
          <w:p w14:paraId="34055186"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r>
      <w:tr w:rsidR="00B216D3" w:rsidRPr="000A4A0F" w14:paraId="6B287850"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5356" w:type="dxa"/>
            <w:gridSpan w:val="2"/>
          </w:tcPr>
          <w:p w14:paraId="0D031364" w14:textId="77777777" w:rsidR="00B216D3" w:rsidRPr="000A4A0F" w:rsidRDefault="00B216D3" w:rsidP="006F6219">
            <w:pPr>
              <w:rPr>
                <w:rFonts w:eastAsia="Times New Roman"/>
                <w:b w:val="0"/>
                <w:lang w:val="fr-BE"/>
              </w:rPr>
            </w:pPr>
            <w:r w:rsidRPr="000A4A0F">
              <w:t>Age gestationnel</w:t>
            </w:r>
          </w:p>
        </w:tc>
        <w:tc>
          <w:tcPr>
            <w:tcW w:w="2535" w:type="dxa"/>
          </w:tcPr>
          <w:p w14:paraId="4A0B8904"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c>
          <w:tcPr>
            <w:tcW w:w="1056" w:type="dxa"/>
          </w:tcPr>
          <w:p w14:paraId="4E59EEBC"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r w:rsidRPr="000A4A0F">
              <w:t>0.004*</w:t>
            </w:r>
          </w:p>
        </w:tc>
      </w:tr>
      <w:tr w:rsidR="00B216D3" w:rsidRPr="000A4A0F" w14:paraId="6B512727"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0A9C82FC" w14:textId="77777777" w:rsidR="00B216D3" w:rsidRPr="000A4A0F" w:rsidRDefault="00B216D3" w:rsidP="006F6219"/>
        </w:tc>
        <w:tc>
          <w:tcPr>
            <w:tcW w:w="5120" w:type="dxa"/>
          </w:tcPr>
          <w:p w14:paraId="3159C302"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rPr>
                <w:rFonts w:eastAsia="Times New Roman"/>
                <w:lang w:val="fr-BE"/>
              </w:rPr>
            </w:pPr>
            <w:r w:rsidRPr="000A4A0F">
              <w:rPr>
                <w:rFonts w:eastAsia="Times New Roman"/>
                <w:lang w:val="fr-BE"/>
              </w:rPr>
              <w:t>Prématurité</w:t>
            </w:r>
          </w:p>
        </w:tc>
        <w:tc>
          <w:tcPr>
            <w:tcW w:w="2535" w:type="dxa"/>
          </w:tcPr>
          <w:p w14:paraId="5B9AE5D0" w14:textId="36B3EB86" w:rsidR="00B216D3" w:rsidRPr="000A4A0F" w:rsidRDefault="00173776" w:rsidP="006F6219">
            <w:pPr>
              <w:cnfStyle w:val="000000100000" w:firstRow="0" w:lastRow="0" w:firstColumn="0" w:lastColumn="0" w:oddVBand="0" w:evenVBand="0" w:oddHBand="1" w:evenHBand="0" w:firstRowFirstColumn="0" w:firstRowLastColumn="0" w:lastRowFirstColumn="0" w:lastRowLastColumn="0"/>
            </w:pPr>
            <w:r w:rsidRPr="000A4A0F">
              <w:t>19.62 (</w:t>
            </w:r>
            <w:r w:rsidR="00B216D3" w:rsidRPr="000A4A0F">
              <w:t>10.50-45.50)</w:t>
            </w:r>
          </w:p>
        </w:tc>
        <w:tc>
          <w:tcPr>
            <w:tcW w:w="1056" w:type="dxa"/>
          </w:tcPr>
          <w:p w14:paraId="26B79162"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r>
      <w:tr w:rsidR="00B216D3" w:rsidRPr="000A4A0F" w14:paraId="72284476"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36" w:type="dxa"/>
          </w:tcPr>
          <w:p w14:paraId="2357F91B" w14:textId="77777777" w:rsidR="00B216D3" w:rsidRPr="000A4A0F" w:rsidRDefault="00B216D3" w:rsidP="006F6219"/>
        </w:tc>
        <w:tc>
          <w:tcPr>
            <w:tcW w:w="5120" w:type="dxa"/>
          </w:tcPr>
          <w:p w14:paraId="00FC570E"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rPr>
                <w:rFonts w:eastAsia="Times New Roman"/>
                <w:lang w:val="fr-BE"/>
              </w:rPr>
            </w:pPr>
            <w:r w:rsidRPr="000A4A0F">
              <w:rPr>
                <w:rFonts w:eastAsia="Times New Roman"/>
                <w:lang w:val="fr-BE"/>
              </w:rPr>
              <w:t>A terme</w:t>
            </w:r>
          </w:p>
        </w:tc>
        <w:tc>
          <w:tcPr>
            <w:tcW w:w="2535" w:type="dxa"/>
          </w:tcPr>
          <w:p w14:paraId="6BA46A2F" w14:textId="266734FA" w:rsidR="00B216D3" w:rsidRPr="000A4A0F" w:rsidRDefault="00173776" w:rsidP="006F6219">
            <w:pPr>
              <w:cnfStyle w:val="000000000000" w:firstRow="0" w:lastRow="0" w:firstColumn="0" w:lastColumn="0" w:oddVBand="0" w:evenVBand="0" w:oddHBand="0" w:evenHBand="0" w:firstRowFirstColumn="0" w:firstRowLastColumn="0" w:lastRowFirstColumn="0" w:lastRowLastColumn="0"/>
            </w:pPr>
            <w:r w:rsidRPr="000A4A0F">
              <w:t>24.05 (</w:t>
            </w:r>
            <w:r w:rsidR="00B216D3" w:rsidRPr="000A4A0F">
              <w:t>14.40-56.73)</w:t>
            </w:r>
          </w:p>
        </w:tc>
        <w:tc>
          <w:tcPr>
            <w:tcW w:w="1056" w:type="dxa"/>
          </w:tcPr>
          <w:p w14:paraId="626FB2B9"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r w:rsidR="00B216D3" w:rsidRPr="000A4A0F" w14:paraId="2671790E"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356" w:type="dxa"/>
            <w:gridSpan w:val="2"/>
          </w:tcPr>
          <w:p w14:paraId="0DD75A3B" w14:textId="77777777" w:rsidR="00B216D3" w:rsidRPr="000A4A0F" w:rsidRDefault="00B216D3" w:rsidP="006F6219">
            <w:pPr>
              <w:rPr>
                <w:rFonts w:eastAsia="Times New Roman"/>
                <w:b w:val="0"/>
                <w:lang w:val="fr-BE"/>
              </w:rPr>
            </w:pPr>
            <w:r w:rsidRPr="000A4A0F">
              <w:t>Causes combinées d’ictère</w:t>
            </w:r>
          </w:p>
        </w:tc>
        <w:tc>
          <w:tcPr>
            <w:tcW w:w="2535" w:type="dxa"/>
          </w:tcPr>
          <w:p w14:paraId="19AD4A8D"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c>
          <w:tcPr>
            <w:tcW w:w="1056" w:type="dxa"/>
          </w:tcPr>
          <w:p w14:paraId="49B7ACEA"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r w:rsidRPr="000A4A0F">
              <w:t>0.004**</w:t>
            </w:r>
          </w:p>
        </w:tc>
      </w:tr>
      <w:tr w:rsidR="00B216D3" w:rsidRPr="000A4A0F" w14:paraId="3FE5C8F8"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36" w:type="dxa"/>
          </w:tcPr>
          <w:p w14:paraId="6A3DE513" w14:textId="77777777" w:rsidR="00B216D3" w:rsidRPr="000A4A0F" w:rsidRDefault="00B216D3" w:rsidP="006F6219"/>
        </w:tc>
        <w:tc>
          <w:tcPr>
            <w:tcW w:w="5120" w:type="dxa"/>
          </w:tcPr>
          <w:p w14:paraId="638A05AF"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rPr>
                <w:rFonts w:eastAsia="Times New Roman"/>
                <w:lang w:val="fr-BE"/>
              </w:rPr>
            </w:pPr>
            <w:r w:rsidRPr="000A4A0F">
              <w:rPr>
                <w:rFonts w:eastAsia="Times New Roman"/>
                <w:lang w:val="fr-BE"/>
              </w:rPr>
              <w:t xml:space="preserve">Autres causes </w:t>
            </w:r>
          </w:p>
        </w:tc>
        <w:tc>
          <w:tcPr>
            <w:tcW w:w="2535" w:type="dxa"/>
          </w:tcPr>
          <w:p w14:paraId="4108E71C" w14:textId="7E284FD6" w:rsidR="00B216D3" w:rsidRPr="000A4A0F" w:rsidRDefault="00173776" w:rsidP="006F6219">
            <w:pPr>
              <w:cnfStyle w:val="000000000000" w:firstRow="0" w:lastRow="0" w:firstColumn="0" w:lastColumn="0" w:oddVBand="0" w:evenVBand="0" w:oddHBand="0" w:evenHBand="0" w:firstRowFirstColumn="0" w:firstRowLastColumn="0" w:lastRowFirstColumn="0" w:lastRowLastColumn="0"/>
            </w:pPr>
            <w:r w:rsidRPr="000A4A0F">
              <w:t>17.73 (</w:t>
            </w:r>
            <w:r w:rsidR="00B216D3" w:rsidRPr="000A4A0F">
              <w:t>10.50-29.0)</w:t>
            </w:r>
          </w:p>
        </w:tc>
        <w:tc>
          <w:tcPr>
            <w:tcW w:w="1056" w:type="dxa"/>
          </w:tcPr>
          <w:p w14:paraId="756F0A29"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r w:rsidR="00B216D3" w:rsidRPr="000A4A0F" w14:paraId="70EA97D8"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6D5BB885" w14:textId="77777777" w:rsidR="00B216D3" w:rsidRPr="000A4A0F" w:rsidRDefault="00B216D3" w:rsidP="006F6219"/>
        </w:tc>
        <w:tc>
          <w:tcPr>
            <w:tcW w:w="5120" w:type="dxa"/>
          </w:tcPr>
          <w:p w14:paraId="72C2ABC4" w14:textId="4E7E624B"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rPr>
                <w:rFonts w:eastAsia="Times New Roman"/>
                <w:lang w:val="fr-BE"/>
              </w:rPr>
            </w:pPr>
            <w:r w:rsidRPr="000A4A0F">
              <w:rPr>
                <w:rFonts w:eastAsia="Times New Roman"/>
                <w:lang w:val="fr-BE"/>
              </w:rPr>
              <w:t>Incompatibilité ABO</w:t>
            </w:r>
          </w:p>
        </w:tc>
        <w:tc>
          <w:tcPr>
            <w:tcW w:w="2535" w:type="dxa"/>
          </w:tcPr>
          <w:p w14:paraId="31447C4F" w14:textId="29474610" w:rsidR="00B216D3" w:rsidRPr="000A4A0F" w:rsidRDefault="00173776" w:rsidP="006F6219">
            <w:pPr>
              <w:cnfStyle w:val="000000100000" w:firstRow="0" w:lastRow="0" w:firstColumn="0" w:lastColumn="0" w:oddVBand="0" w:evenVBand="0" w:oddHBand="1" w:evenHBand="0" w:firstRowFirstColumn="0" w:firstRowLastColumn="0" w:lastRowFirstColumn="0" w:lastRowLastColumn="0"/>
            </w:pPr>
            <w:r w:rsidRPr="000A4A0F">
              <w:t>21.15 (</w:t>
            </w:r>
            <w:r w:rsidR="00B216D3" w:rsidRPr="000A4A0F">
              <w:t>13.77-26.40)</w:t>
            </w:r>
          </w:p>
        </w:tc>
        <w:tc>
          <w:tcPr>
            <w:tcW w:w="1056" w:type="dxa"/>
          </w:tcPr>
          <w:p w14:paraId="5DD5DF76"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r>
      <w:tr w:rsidR="00B216D3" w:rsidRPr="000A4A0F" w14:paraId="7BB4B487" w14:textId="77777777" w:rsidTr="00C92759">
        <w:trPr>
          <w:trHeight w:val="208"/>
        </w:trPr>
        <w:tc>
          <w:tcPr>
            <w:cnfStyle w:val="001000000000" w:firstRow="0" w:lastRow="0" w:firstColumn="1" w:lastColumn="0" w:oddVBand="0" w:evenVBand="0" w:oddHBand="0" w:evenHBand="0" w:firstRowFirstColumn="0" w:firstRowLastColumn="0" w:lastRowFirstColumn="0" w:lastRowLastColumn="0"/>
            <w:tcW w:w="236" w:type="dxa"/>
          </w:tcPr>
          <w:p w14:paraId="72D01B79" w14:textId="77777777" w:rsidR="00B216D3" w:rsidRPr="000A4A0F" w:rsidRDefault="00B216D3" w:rsidP="006F6219"/>
        </w:tc>
        <w:tc>
          <w:tcPr>
            <w:tcW w:w="5120" w:type="dxa"/>
          </w:tcPr>
          <w:p w14:paraId="34BAE147" w14:textId="525B7DE1"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rPr>
                <w:rFonts w:eastAsia="Times New Roman"/>
                <w:lang w:val="fr-BE"/>
              </w:rPr>
            </w:pPr>
            <w:r w:rsidRPr="000A4A0F">
              <w:rPr>
                <w:rFonts w:eastAsia="Times New Roman"/>
                <w:lang w:val="fr-BE"/>
              </w:rPr>
              <w:t>Prématurité</w:t>
            </w:r>
          </w:p>
        </w:tc>
        <w:tc>
          <w:tcPr>
            <w:tcW w:w="2535" w:type="dxa"/>
          </w:tcPr>
          <w:p w14:paraId="00611F10" w14:textId="73ED0979" w:rsidR="00B216D3" w:rsidRPr="000A4A0F" w:rsidRDefault="00173776" w:rsidP="006F6219">
            <w:pPr>
              <w:cnfStyle w:val="000000000000" w:firstRow="0" w:lastRow="0" w:firstColumn="0" w:lastColumn="0" w:oddVBand="0" w:evenVBand="0" w:oddHBand="0" w:evenHBand="0" w:firstRowFirstColumn="0" w:firstRowLastColumn="0" w:lastRowFirstColumn="0" w:lastRowLastColumn="0"/>
            </w:pPr>
            <w:r w:rsidRPr="000A4A0F">
              <w:t>21.26 (</w:t>
            </w:r>
            <w:r w:rsidR="00B216D3" w:rsidRPr="000A4A0F">
              <w:t>15.43-49 </w:t>
            </w:r>
            <w:r w:rsidRPr="000A4A0F">
              <w:t>; 69</w:t>
            </w:r>
            <w:r w:rsidR="00B216D3" w:rsidRPr="000A4A0F">
              <w:t>)</w:t>
            </w:r>
          </w:p>
        </w:tc>
        <w:tc>
          <w:tcPr>
            <w:tcW w:w="1056" w:type="dxa"/>
          </w:tcPr>
          <w:p w14:paraId="4E1AF84E"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r w:rsidR="00B216D3" w:rsidRPr="000A4A0F" w14:paraId="73192BD9"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5E7EAA55" w14:textId="77777777" w:rsidR="00B216D3" w:rsidRPr="000A4A0F" w:rsidRDefault="00B216D3" w:rsidP="006F6219"/>
        </w:tc>
        <w:tc>
          <w:tcPr>
            <w:tcW w:w="5120" w:type="dxa"/>
          </w:tcPr>
          <w:p w14:paraId="3C59727E" w14:textId="1C8C85B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rPr>
                <w:rFonts w:eastAsia="Times New Roman"/>
                <w:lang w:val="fr-BE"/>
              </w:rPr>
            </w:pPr>
            <w:r w:rsidRPr="000A4A0F">
              <w:rPr>
                <w:rFonts w:eastAsia="Times New Roman"/>
                <w:lang w:val="fr-BE"/>
              </w:rPr>
              <w:t>infection</w:t>
            </w:r>
          </w:p>
        </w:tc>
        <w:tc>
          <w:tcPr>
            <w:tcW w:w="2535" w:type="dxa"/>
          </w:tcPr>
          <w:p w14:paraId="4E8A3007" w14:textId="11CB8173" w:rsidR="00B216D3" w:rsidRPr="000A4A0F" w:rsidRDefault="00173776" w:rsidP="006F6219">
            <w:pPr>
              <w:cnfStyle w:val="000000100000" w:firstRow="0" w:lastRow="0" w:firstColumn="0" w:lastColumn="0" w:oddVBand="0" w:evenVBand="0" w:oddHBand="1" w:evenHBand="0" w:firstRowFirstColumn="0" w:firstRowLastColumn="0" w:lastRowFirstColumn="0" w:lastRowLastColumn="0"/>
            </w:pPr>
            <w:r w:rsidRPr="000A4A0F">
              <w:t>21.94 (</w:t>
            </w:r>
            <w:r w:rsidR="00B216D3" w:rsidRPr="000A4A0F">
              <w:t>10.67-46.60)</w:t>
            </w:r>
          </w:p>
        </w:tc>
        <w:tc>
          <w:tcPr>
            <w:tcW w:w="1056" w:type="dxa"/>
          </w:tcPr>
          <w:p w14:paraId="7F6F7CF1"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r>
      <w:tr w:rsidR="00B216D3" w:rsidRPr="000A4A0F" w14:paraId="1DC8EA91"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36" w:type="dxa"/>
          </w:tcPr>
          <w:p w14:paraId="27B41F3E" w14:textId="77777777" w:rsidR="00B216D3" w:rsidRPr="000A4A0F" w:rsidRDefault="00B216D3" w:rsidP="006F6219"/>
        </w:tc>
        <w:tc>
          <w:tcPr>
            <w:tcW w:w="5120" w:type="dxa"/>
          </w:tcPr>
          <w:p w14:paraId="441F474B" w14:textId="5D0536F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rPr>
                <w:rFonts w:eastAsia="Times New Roman"/>
                <w:lang w:val="fr-BE"/>
              </w:rPr>
            </w:pPr>
            <w:r w:rsidRPr="000A4A0F">
              <w:rPr>
                <w:rFonts w:eastAsia="Times New Roman"/>
                <w:lang w:val="fr-BE"/>
              </w:rPr>
              <w:t>Incompatibilité ABO + Prématurité</w:t>
            </w:r>
          </w:p>
        </w:tc>
        <w:tc>
          <w:tcPr>
            <w:tcW w:w="2535" w:type="dxa"/>
          </w:tcPr>
          <w:p w14:paraId="7EFEE3CE" w14:textId="77AACDAD" w:rsidR="00B216D3" w:rsidRPr="000A4A0F" w:rsidRDefault="00360EEF" w:rsidP="006F6219">
            <w:pPr>
              <w:cnfStyle w:val="000000000000" w:firstRow="0" w:lastRow="0" w:firstColumn="0" w:lastColumn="0" w:oddVBand="0" w:evenVBand="0" w:oddHBand="0" w:evenHBand="0" w:firstRowFirstColumn="0" w:firstRowLastColumn="0" w:lastRowFirstColumn="0" w:lastRowLastColumn="0"/>
            </w:pPr>
            <w:r w:rsidRPr="000A4A0F">
              <w:t>28.68 (</w:t>
            </w:r>
            <w:r w:rsidR="00B216D3" w:rsidRPr="000A4A0F">
              <w:t>22.50-55.59)</w:t>
            </w:r>
          </w:p>
        </w:tc>
        <w:tc>
          <w:tcPr>
            <w:tcW w:w="1056" w:type="dxa"/>
          </w:tcPr>
          <w:p w14:paraId="3D9BD1B5"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r w:rsidR="00B216D3" w:rsidRPr="000A4A0F" w14:paraId="3810D547"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3FDB8009" w14:textId="77777777" w:rsidR="00B216D3" w:rsidRPr="000A4A0F" w:rsidRDefault="00B216D3" w:rsidP="006F6219"/>
        </w:tc>
        <w:tc>
          <w:tcPr>
            <w:tcW w:w="5120" w:type="dxa"/>
          </w:tcPr>
          <w:p w14:paraId="62CBBE6C"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rPr>
                <w:rFonts w:eastAsia="Times New Roman"/>
                <w:lang w:val="fr-BE"/>
              </w:rPr>
            </w:pPr>
            <w:r w:rsidRPr="000A4A0F">
              <w:rPr>
                <w:rFonts w:eastAsia="Times New Roman"/>
                <w:lang w:val="fr-BE"/>
              </w:rPr>
              <w:t>Incompatibilité ABO + infection</w:t>
            </w:r>
          </w:p>
        </w:tc>
        <w:tc>
          <w:tcPr>
            <w:tcW w:w="2535" w:type="dxa"/>
          </w:tcPr>
          <w:p w14:paraId="3D551751" w14:textId="3DF27C2D" w:rsidR="00B216D3" w:rsidRPr="000A4A0F" w:rsidRDefault="00360EEF" w:rsidP="006F6219">
            <w:pPr>
              <w:cnfStyle w:val="000000100000" w:firstRow="0" w:lastRow="0" w:firstColumn="0" w:lastColumn="0" w:oddVBand="0" w:evenVBand="0" w:oddHBand="1" w:evenHBand="0" w:firstRowFirstColumn="0" w:firstRowLastColumn="0" w:lastRowFirstColumn="0" w:lastRowLastColumn="0"/>
            </w:pPr>
            <w:r w:rsidRPr="000A4A0F">
              <w:t>17.34 (</w:t>
            </w:r>
            <w:r w:rsidR="00B216D3" w:rsidRPr="000A4A0F">
              <w:t>16.60-18.08)</w:t>
            </w:r>
          </w:p>
        </w:tc>
        <w:tc>
          <w:tcPr>
            <w:tcW w:w="1056" w:type="dxa"/>
          </w:tcPr>
          <w:p w14:paraId="4A2CE9C4"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r>
      <w:tr w:rsidR="00B216D3" w:rsidRPr="000A4A0F" w14:paraId="391CD553"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36" w:type="dxa"/>
          </w:tcPr>
          <w:p w14:paraId="78D2CCCC" w14:textId="77777777" w:rsidR="00B216D3" w:rsidRPr="000A4A0F" w:rsidRDefault="00B216D3" w:rsidP="006F6219"/>
        </w:tc>
        <w:tc>
          <w:tcPr>
            <w:tcW w:w="5120" w:type="dxa"/>
          </w:tcPr>
          <w:p w14:paraId="4A079D4D"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rPr>
                <w:rFonts w:eastAsia="Times New Roman"/>
                <w:lang w:val="fr-BE"/>
              </w:rPr>
            </w:pPr>
            <w:r w:rsidRPr="000A4A0F">
              <w:rPr>
                <w:rFonts w:eastAsia="Times New Roman"/>
                <w:lang w:val="fr-BE"/>
              </w:rPr>
              <w:t>Prématurité + infection</w:t>
            </w:r>
          </w:p>
        </w:tc>
        <w:tc>
          <w:tcPr>
            <w:tcW w:w="2535" w:type="dxa"/>
          </w:tcPr>
          <w:p w14:paraId="212A8218" w14:textId="112CC025" w:rsidR="00B216D3" w:rsidRPr="000A4A0F" w:rsidRDefault="00360EEF" w:rsidP="006F6219">
            <w:pPr>
              <w:cnfStyle w:val="000000000000" w:firstRow="0" w:lastRow="0" w:firstColumn="0" w:lastColumn="0" w:oddVBand="0" w:evenVBand="0" w:oddHBand="0" w:evenHBand="0" w:firstRowFirstColumn="0" w:firstRowLastColumn="0" w:lastRowFirstColumn="0" w:lastRowLastColumn="0"/>
            </w:pPr>
            <w:r w:rsidRPr="000A4A0F">
              <w:t>20.02 (</w:t>
            </w:r>
            <w:r w:rsidR="00B216D3" w:rsidRPr="000A4A0F">
              <w:t>16.16-50.18)</w:t>
            </w:r>
          </w:p>
        </w:tc>
        <w:tc>
          <w:tcPr>
            <w:tcW w:w="1056" w:type="dxa"/>
          </w:tcPr>
          <w:p w14:paraId="47C70522"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r w:rsidR="00B216D3" w:rsidRPr="000A4A0F" w14:paraId="6C4C8D68"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2230A12E" w14:textId="77777777" w:rsidR="00B216D3" w:rsidRPr="000A4A0F" w:rsidRDefault="00B216D3" w:rsidP="006F6219"/>
        </w:tc>
        <w:tc>
          <w:tcPr>
            <w:tcW w:w="5120" w:type="dxa"/>
          </w:tcPr>
          <w:p w14:paraId="3EA414E3"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rPr>
                <w:rFonts w:eastAsia="Times New Roman"/>
                <w:lang w:val="fr-BE"/>
              </w:rPr>
            </w:pPr>
            <w:r w:rsidRPr="000A4A0F">
              <w:rPr>
                <w:rFonts w:eastAsia="Times New Roman"/>
                <w:lang w:val="fr-BE"/>
              </w:rPr>
              <w:t>Incompatibilité ABO + prématurité +I infection</w:t>
            </w:r>
          </w:p>
        </w:tc>
        <w:tc>
          <w:tcPr>
            <w:tcW w:w="2535" w:type="dxa"/>
          </w:tcPr>
          <w:p w14:paraId="37C224A1" w14:textId="3713553D" w:rsidR="00B216D3" w:rsidRPr="000A4A0F" w:rsidRDefault="00360EEF" w:rsidP="006F6219">
            <w:pPr>
              <w:cnfStyle w:val="000000100000" w:firstRow="0" w:lastRow="0" w:firstColumn="0" w:lastColumn="0" w:oddVBand="0" w:evenVBand="0" w:oddHBand="1" w:evenHBand="0" w:firstRowFirstColumn="0" w:firstRowLastColumn="0" w:lastRowFirstColumn="0" w:lastRowLastColumn="0"/>
            </w:pPr>
            <w:r w:rsidRPr="000A4A0F">
              <w:t>20.32 (</w:t>
            </w:r>
            <w:r w:rsidR="00B216D3" w:rsidRPr="000A4A0F">
              <w:t>15.47-28.73)</w:t>
            </w:r>
          </w:p>
        </w:tc>
        <w:tc>
          <w:tcPr>
            <w:tcW w:w="1056" w:type="dxa"/>
          </w:tcPr>
          <w:p w14:paraId="694DE4B9"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r>
      <w:tr w:rsidR="00B216D3" w:rsidRPr="000A4A0F" w14:paraId="7F8DAA2A"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36" w:type="dxa"/>
          </w:tcPr>
          <w:p w14:paraId="4FD9C6D1" w14:textId="77777777" w:rsidR="00B216D3" w:rsidRPr="000A4A0F" w:rsidRDefault="00B216D3" w:rsidP="006F6219"/>
        </w:tc>
        <w:tc>
          <w:tcPr>
            <w:tcW w:w="5120" w:type="dxa"/>
          </w:tcPr>
          <w:p w14:paraId="70AD1976" w14:textId="09F49336"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rPr>
                <w:rFonts w:eastAsia="Times New Roman"/>
                <w:lang w:val="fr-BE"/>
              </w:rPr>
            </w:pPr>
            <w:r w:rsidRPr="000A4A0F">
              <w:rPr>
                <w:rFonts w:eastAsia="Times New Roman"/>
                <w:lang w:val="fr-BE"/>
              </w:rPr>
              <w:t>Déficit en G6PD</w:t>
            </w:r>
          </w:p>
        </w:tc>
        <w:tc>
          <w:tcPr>
            <w:tcW w:w="2535" w:type="dxa"/>
          </w:tcPr>
          <w:p w14:paraId="3BB6C665" w14:textId="05B40F17" w:rsidR="00B216D3" w:rsidRPr="000A4A0F" w:rsidRDefault="00360EEF" w:rsidP="006F6219">
            <w:pPr>
              <w:cnfStyle w:val="000000000000" w:firstRow="0" w:lastRow="0" w:firstColumn="0" w:lastColumn="0" w:oddVBand="0" w:evenVBand="0" w:oddHBand="0" w:evenHBand="0" w:firstRowFirstColumn="0" w:firstRowLastColumn="0" w:lastRowFirstColumn="0" w:lastRowLastColumn="0"/>
            </w:pPr>
            <w:r w:rsidRPr="000A4A0F">
              <w:t>19.30 (</w:t>
            </w:r>
            <w:r w:rsidR="00B216D3" w:rsidRPr="000A4A0F">
              <w:t>13.40-29.10)</w:t>
            </w:r>
          </w:p>
        </w:tc>
        <w:tc>
          <w:tcPr>
            <w:tcW w:w="1056" w:type="dxa"/>
          </w:tcPr>
          <w:p w14:paraId="25105B5C"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r w:rsidR="00B216D3" w:rsidRPr="000A4A0F" w14:paraId="661BCF0C"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78C613FA" w14:textId="77777777" w:rsidR="00B216D3" w:rsidRPr="000A4A0F" w:rsidRDefault="00B216D3" w:rsidP="006F6219"/>
        </w:tc>
        <w:tc>
          <w:tcPr>
            <w:tcW w:w="5120" w:type="dxa"/>
          </w:tcPr>
          <w:p w14:paraId="61F94E70"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rPr>
                <w:rFonts w:eastAsia="Times New Roman"/>
                <w:lang w:val="fr-BE"/>
              </w:rPr>
            </w:pPr>
            <w:r w:rsidRPr="000A4A0F">
              <w:rPr>
                <w:rFonts w:eastAsia="Times New Roman"/>
                <w:lang w:val="fr-BE"/>
              </w:rPr>
              <w:t>Déficit en G6PD+Prématurité</w:t>
            </w:r>
          </w:p>
        </w:tc>
        <w:tc>
          <w:tcPr>
            <w:tcW w:w="2535" w:type="dxa"/>
          </w:tcPr>
          <w:p w14:paraId="3442F8D4" w14:textId="159CB708" w:rsidR="00B216D3" w:rsidRPr="000A4A0F" w:rsidRDefault="00360EEF" w:rsidP="006F6219">
            <w:pPr>
              <w:cnfStyle w:val="000000100000" w:firstRow="0" w:lastRow="0" w:firstColumn="0" w:lastColumn="0" w:oddVBand="0" w:evenVBand="0" w:oddHBand="1" w:evenHBand="0" w:firstRowFirstColumn="0" w:firstRowLastColumn="0" w:lastRowFirstColumn="0" w:lastRowLastColumn="0"/>
            </w:pPr>
            <w:r w:rsidRPr="000A4A0F">
              <w:t>27.75 (</w:t>
            </w:r>
            <w:r w:rsidR="00B216D3" w:rsidRPr="000A4A0F">
              <w:t>19.25-29.90)</w:t>
            </w:r>
          </w:p>
        </w:tc>
        <w:tc>
          <w:tcPr>
            <w:tcW w:w="1056" w:type="dxa"/>
          </w:tcPr>
          <w:p w14:paraId="18B8016F"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r>
      <w:tr w:rsidR="00B216D3" w:rsidRPr="000A4A0F" w14:paraId="27DE087F"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36" w:type="dxa"/>
          </w:tcPr>
          <w:p w14:paraId="53E2E363" w14:textId="77777777" w:rsidR="00B216D3" w:rsidRPr="000A4A0F" w:rsidRDefault="00B216D3" w:rsidP="006F6219"/>
        </w:tc>
        <w:tc>
          <w:tcPr>
            <w:tcW w:w="5120" w:type="dxa"/>
          </w:tcPr>
          <w:p w14:paraId="423A399C"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rPr>
                <w:rFonts w:eastAsia="Times New Roman"/>
                <w:lang w:val="fr-BE"/>
              </w:rPr>
            </w:pPr>
            <w:r w:rsidRPr="000A4A0F">
              <w:rPr>
                <w:rFonts w:eastAsia="Times New Roman"/>
                <w:lang w:val="fr-BE"/>
              </w:rPr>
              <w:t>Déficit en G6PD+infection</w:t>
            </w:r>
          </w:p>
        </w:tc>
        <w:tc>
          <w:tcPr>
            <w:tcW w:w="2535" w:type="dxa"/>
          </w:tcPr>
          <w:p w14:paraId="4EC0FE0C" w14:textId="65186164" w:rsidR="00B216D3" w:rsidRPr="000A4A0F" w:rsidRDefault="00360EEF" w:rsidP="006F6219">
            <w:pPr>
              <w:cnfStyle w:val="000000000000" w:firstRow="0" w:lastRow="0" w:firstColumn="0" w:lastColumn="0" w:oddVBand="0" w:evenVBand="0" w:oddHBand="0" w:evenHBand="0" w:firstRowFirstColumn="0" w:firstRowLastColumn="0" w:lastRowFirstColumn="0" w:lastRowLastColumn="0"/>
            </w:pPr>
            <w:r w:rsidRPr="000A4A0F">
              <w:t>19.18 (</w:t>
            </w:r>
            <w:r w:rsidR="00B216D3" w:rsidRPr="000A4A0F">
              <w:t>15.87-42.83)</w:t>
            </w:r>
          </w:p>
        </w:tc>
        <w:tc>
          <w:tcPr>
            <w:tcW w:w="1056" w:type="dxa"/>
          </w:tcPr>
          <w:p w14:paraId="6F3D9084"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r w:rsidR="00B216D3" w:rsidRPr="000A4A0F" w14:paraId="05C789C3"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0BF8C363" w14:textId="77777777" w:rsidR="00B216D3" w:rsidRPr="000A4A0F" w:rsidRDefault="00B216D3" w:rsidP="006F6219"/>
        </w:tc>
        <w:tc>
          <w:tcPr>
            <w:tcW w:w="5120" w:type="dxa"/>
          </w:tcPr>
          <w:p w14:paraId="616C58DF"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rPr>
                <w:rFonts w:eastAsia="Times New Roman"/>
                <w:lang w:val="fr-BE"/>
              </w:rPr>
            </w:pPr>
            <w:r w:rsidRPr="000A4A0F">
              <w:rPr>
                <w:rFonts w:eastAsia="Times New Roman"/>
                <w:lang w:val="fr-BE"/>
              </w:rPr>
              <w:t>Déficit G6PD+Prématurité+infection</w:t>
            </w:r>
          </w:p>
        </w:tc>
        <w:tc>
          <w:tcPr>
            <w:tcW w:w="2535" w:type="dxa"/>
          </w:tcPr>
          <w:p w14:paraId="149A4DCA" w14:textId="3C70C27E" w:rsidR="00B216D3" w:rsidRPr="000A4A0F" w:rsidRDefault="00360EEF" w:rsidP="006F6219">
            <w:pPr>
              <w:cnfStyle w:val="000000100000" w:firstRow="0" w:lastRow="0" w:firstColumn="0" w:lastColumn="0" w:oddVBand="0" w:evenVBand="0" w:oddHBand="1" w:evenHBand="0" w:firstRowFirstColumn="0" w:firstRowLastColumn="0" w:lastRowFirstColumn="0" w:lastRowLastColumn="0"/>
            </w:pPr>
            <w:r w:rsidRPr="000A4A0F">
              <w:t>23.05 (</w:t>
            </w:r>
            <w:r w:rsidR="00B216D3" w:rsidRPr="000A4A0F">
              <w:t>18.20-27.90)</w:t>
            </w:r>
          </w:p>
        </w:tc>
        <w:tc>
          <w:tcPr>
            <w:tcW w:w="1056" w:type="dxa"/>
          </w:tcPr>
          <w:p w14:paraId="64AAC153"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r>
      <w:tr w:rsidR="00B216D3" w:rsidRPr="000A4A0F" w14:paraId="3F8CCA2F"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36" w:type="dxa"/>
          </w:tcPr>
          <w:p w14:paraId="52FCB3F0" w14:textId="77777777" w:rsidR="00B216D3" w:rsidRPr="000A4A0F" w:rsidRDefault="00B216D3" w:rsidP="006F6219"/>
        </w:tc>
        <w:tc>
          <w:tcPr>
            <w:tcW w:w="5120" w:type="dxa"/>
          </w:tcPr>
          <w:p w14:paraId="438FDD92" w14:textId="339C52B1"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rPr>
                <w:rFonts w:eastAsia="Times New Roman"/>
                <w:lang w:val="fr-BE"/>
              </w:rPr>
            </w:pPr>
            <w:r w:rsidRPr="000A4A0F">
              <w:rPr>
                <w:rFonts w:eastAsia="Times New Roman"/>
                <w:lang w:val="fr-BE"/>
              </w:rPr>
              <w:t>Incompatibilité Rhésus</w:t>
            </w:r>
          </w:p>
        </w:tc>
        <w:tc>
          <w:tcPr>
            <w:tcW w:w="2535" w:type="dxa"/>
          </w:tcPr>
          <w:p w14:paraId="01340CA6" w14:textId="3249D9C2" w:rsidR="00B216D3" w:rsidRPr="000A4A0F" w:rsidRDefault="00360EEF" w:rsidP="006F6219">
            <w:pPr>
              <w:cnfStyle w:val="000000000000" w:firstRow="0" w:lastRow="0" w:firstColumn="0" w:lastColumn="0" w:oddVBand="0" w:evenVBand="0" w:oddHBand="0" w:evenHBand="0" w:firstRowFirstColumn="0" w:firstRowLastColumn="0" w:lastRowFirstColumn="0" w:lastRowLastColumn="0"/>
            </w:pPr>
            <w:r w:rsidRPr="000A4A0F">
              <w:t>29.40 (</w:t>
            </w:r>
            <w:r w:rsidR="00B216D3" w:rsidRPr="000A4A0F">
              <w:t>23.64-31.80)</w:t>
            </w:r>
          </w:p>
        </w:tc>
        <w:tc>
          <w:tcPr>
            <w:tcW w:w="1056" w:type="dxa"/>
          </w:tcPr>
          <w:p w14:paraId="5E961ABE"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r w:rsidR="00B216D3" w:rsidRPr="000A4A0F" w14:paraId="345E86B0"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17353AC7" w14:textId="77777777" w:rsidR="00B216D3" w:rsidRPr="000A4A0F" w:rsidRDefault="00B216D3" w:rsidP="006F6219"/>
        </w:tc>
        <w:tc>
          <w:tcPr>
            <w:tcW w:w="5120" w:type="dxa"/>
          </w:tcPr>
          <w:p w14:paraId="701CA5A1"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rPr>
                <w:rFonts w:eastAsia="Times New Roman"/>
                <w:lang w:val="fr-BE"/>
              </w:rPr>
            </w:pPr>
            <w:r w:rsidRPr="000A4A0F">
              <w:rPr>
                <w:rFonts w:eastAsia="Times New Roman"/>
                <w:lang w:val="fr-BE"/>
              </w:rPr>
              <w:t>Incompatibilité Rhésus + Prématurité</w:t>
            </w:r>
          </w:p>
        </w:tc>
        <w:tc>
          <w:tcPr>
            <w:tcW w:w="2535" w:type="dxa"/>
          </w:tcPr>
          <w:p w14:paraId="160AFA51" w14:textId="55CFB777" w:rsidR="00B216D3" w:rsidRPr="000A4A0F" w:rsidRDefault="00360EEF" w:rsidP="006F6219">
            <w:pPr>
              <w:cnfStyle w:val="000000100000" w:firstRow="0" w:lastRow="0" w:firstColumn="0" w:lastColumn="0" w:oddVBand="0" w:evenVBand="0" w:oddHBand="1" w:evenHBand="0" w:firstRowFirstColumn="0" w:firstRowLastColumn="0" w:lastRowFirstColumn="0" w:lastRowLastColumn="0"/>
            </w:pPr>
            <w:r w:rsidRPr="000A4A0F">
              <w:t>22.69 (</w:t>
            </w:r>
            <w:r w:rsidR="00B216D3" w:rsidRPr="000A4A0F">
              <w:t>14.40-56.73)</w:t>
            </w:r>
          </w:p>
        </w:tc>
        <w:tc>
          <w:tcPr>
            <w:tcW w:w="1056" w:type="dxa"/>
          </w:tcPr>
          <w:p w14:paraId="12D5EFD5"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r>
      <w:tr w:rsidR="00B216D3" w:rsidRPr="000A4A0F" w14:paraId="514ED8BE" w14:textId="77777777" w:rsidTr="00C92759">
        <w:trPr>
          <w:trHeight w:val="208"/>
        </w:trPr>
        <w:tc>
          <w:tcPr>
            <w:cnfStyle w:val="001000000000" w:firstRow="0" w:lastRow="0" w:firstColumn="1" w:lastColumn="0" w:oddVBand="0" w:evenVBand="0" w:oddHBand="0" w:evenHBand="0" w:firstRowFirstColumn="0" w:firstRowLastColumn="0" w:lastRowFirstColumn="0" w:lastRowLastColumn="0"/>
            <w:tcW w:w="5356" w:type="dxa"/>
            <w:gridSpan w:val="2"/>
          </w:tcPr>
          <w:p w14:paraId="2961CC48" w14:textId="77777777" w:rsidR="00B216D3" w:rsidRPr="000A4A0F" w:rsidRDefault="00B216D3" w:rsidP="006F6219">
            <w:pPr>
              <w:rPr>
                <w:rFonts w:eastAsia="Times New Roman"/>
                <w:b w:val="0"/>
                <w:lang w:val="fr-BE"/>
              </w:rPr>
            </w:pPr>
            <w:r w:rsidRPr="000A4A0F">
              <w:rPr>
                <w:rFonts w:eastAsia="Times New Roman"/>
                <w:lang w:val="fr-BE"/>
              </w:rPr>
              <w:t>Taux hémoglobine</w:t>
            </w:r>
          </w:p>
        </w:tc>
        <w:tc>
          <w:tcPr>
            <w:tcW w:w="2535" w:type="dxa"/>
          </w:tcPr>
          <w:p w14:paraId="27E69E6E"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c>
          <w:tcPr>
            <w:tcW w:w="1056" w:type="dxa"/>
          </w:tcPr>
          <w:p w14:paraId="44C84012"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r w:rsidRPr="000A4A0F">
              <w:t>0.345*</w:t>
            </w:r>
          </w:p>
        </w:tc>
      </w:tr>
      <w:tr w:rsidR="00B216D3" w:rsidRPr="000A4A0F" w14:paraId="7158A733"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58DDC192" w14:textId="77777777" w:rsidR="00B216D3" w:rsidRPr="000A4A0F" w:rsidRDefault="00B216D3" w:rsidP="006F6219"/>
        </w:tc>
        <w:tc>
          <w:tcPr>
            <w:tcW w:w="5120" w:type="dxa"/>
          </w:tcPr>
          <w:p w14:paraId="4E57E1FE"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rPr>
                <w:rFonts w:eastAsia="Times New Roman"/>
                <w:lang w:val="fr-BE"/>
              </w:rPr>
            </w:pPr>
            <w:r w:rsidRPr="000A4A0F">
              <w:rPr>
                <w:rFonts w:eastAsia="Times New Roman"/>
                <w:lang w:val="fr-BE"/>
              </w:rPr>
              <w:t>&lt;12 g/dl</w:t>
            </w:r>
          </w:p>
        </w:tc>
        <w:tc>
          <w:tcPr>
            <w:tcW w:w="2535" w:type="dxa"/>
          </w:tcPr>
          <w:p w14:paraId="1C85B2F4" w14:textId="56993AF5" w:rsidR="00B216D3" w:rsidRPr="000A4A0F" w:rsidRDefault="00360EEF" w:rsidP="006F6219">
            <w:pPr>
              <w:cnfStyle w:val="000000100000" w:firstRow="0" w:lastRow="0" w:firstColumn="0" w:lastColumn="0" w:oddVBand="0" w:evenVBand="0" w:oddHBand="1" w:evenHBand="0" w:firstRowFirstColumn="0" w:firstRowLastColumn="0" w:lastRowFirstColumn="0" w:lastRowLastColumn="0"/>
            </w:pPr>
            <w:r w:rsidRPr="000A4A0F">
              <w:t>24.59 (</w:t>
            </w:r>
            <w:r w:rsidR="00B216D3" w:rsidRPr="000A4A0F">
              <w:t>10.67-56.73)</w:t>
            </w:r>
          </w:p>
        </w:tc>
        <w:tc>
          <w:tcPr>
            <w:tcW w:w="1056" w:type="dxa"/>
          </w:tcPr>
          <w:p w14:paraId="363D865E"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r>
      <w:tr w:rsidR="00B216D3" w:rsidRPr="000A4A0F" w14:paraId="1B2E8086"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36" w:type="dxa"/>
          </w:tcPr>
          <w:p w14:paraId="711354AC" w14:textId="77777777" w:rsidR="00B216D3" w:rsidRPr="000A4A0F" w:rsidRDefault="00B216D3" w:rsidP="006F6219"/>
        </w:tc>
        <w:tc>
          <w:tcPr>
            <w:tcW w:w="5120" w:type="dxa"/>
          </w:tcPr>
          <w:p w14:paraId="0DA44226"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rPr>
                <w:rFonts w:eastAsia="Times New Roman"/>
                <w:lang w:val="fr-BE"/>
              </w:rPr>
            </w:pPr>
            <w:r w:rsidRPr="000A4A0F">
              <w:rPr>
                <w:rFonts w:eastAsia="Times New Roman"/>
                <w:lang w:val="fr-BE"/>
              </w:rPr>
              <w:t>&gt;=12 g/dl</w:t>
            </w:r>
          </w:p>
        </w:tc>
        <w:tc>
          <w:tcPr>
            <w:tcW w:w="2535" w:type="dxa"/>
          </w:tcPr>
          <w:p w14:paraId="718A626D" w14:textId="0E305730" w:rsidR="00B216D3" w:rsidRPr="000A4A0F" w:rsidRDefault="00360EEF" w:rsidP="006F6219">
            <w:pPr>
              <w:cnfStyle w:val="000000000000" w:firstRow="0" w:lastRow="0" w:firstColumn="0" w:lastColumn="0" w:oddVBand="0" w:evenVBand="0" w:oddHBand="0" w:evenHBand="0" w:firstRowFirstColumn="0" w:firstRowLastColumn="0" w:lastRowFirstColumn="0" w:lastRowLastColumn="0"/>
            </w:pPr>
            <w:r w:rsidRPr="000A4A0F">
              <w:t>21.09 (</w:t>
            </w:r>
            <w:r w:rsidR="00B216D3" w:rsidRPr="000A4A0F">
              <w:t>10.50-49.69)</w:t>
            </w:r>
          </w:p>
        </w:tc>
        <w:tc>
          <w:tcPr>
            <w:tcW w:w="1056" w:type="dxa"/>
          </w:tcPr>
          <w:p w14:paraId="3A16E3D0"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r w:rsidR="00B216D3" w:rsidRPr="000A4A0F" w14:paraId="6DBB2436"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356" w:type="dxa"/>
            <w:gridSpan w:val="2"/>
          </w:tcPr>
          <w:p w14:paraId="620565FA" w14:textId="77777777" w:rsidR="00B216D3" w:rsidRPr="000A4A0F" w:rsidRDefault="00B216D3" w:rsidP="006F6219">
            <w:pPr>
              <w:rPr>
                <w:rFonts w:eastAsia="Times New Roman"/>
                <w:b w:val="0"/>
                <w:lang w:val="fr-BE"/>
              </w:rPr>
            </w:pPr>
            <w:r w:rsidRPr="000A4A0F">
              <w:rPr>
                <w:rFonts w:eastAsia="Times New Roman"/>
                <w:lang w:val="fr-BE"/>
              </w:rPr>
              <w:t>Génotype Hémoglobine</w:t>
            </w:r>
          </w:p>
        </w:tc>
        <w:tc>
          <w:tcPr>
            <w:tcW w:w="2535" w:type="dxa"/>
          </w:tcPr>
          <w:p w14:paraId="042604BC"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c>
          <w:tcPr>
            <w:tcW w:w="1056" w:type="dxa"/>
          </w:tcPr>
          <w:p w14:paraId="5A439515"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r w:rsidRPr="000A4A0F">
              <w:t>0.074*</w:t>
            </w:r>
          </w:p>
        </w:tc>
      </w:tr>
      <w:tr w:rsidR="00B216D3" w:rsidRPr="000A4A0F" w14:paraId="75E03BAF"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36" w:type="dxa"/>
          </w:tcPr>
          <w:p w14:paraId="3F6926CD" w14:textId="77777777" w:rsidR="00B216D3" w:rsidRPr="000A4A0F" w:rsidRDefault="00B216D3" w:rsidP="006F6219"/>
        </w:tc>
        <w:tc>
          <w:tcPr>
            <w:tcW w:w="5120" w:type="dxa"/>
          </w:tcPr>
          <w:p w14:paraId="400251A0"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rPr>
                <w:rFonts w:eastAsia="Times New Roman"/>
                <w:lang w:val="fr-BE"/>
              </w:rPr>
            </w:pPr>
            <w:r w:rsidRPr="000A4A0F">
              <w:rPr>
                <w:rFonts w:eastAsia="Times New Roman"/>
                <w:lang w:val="fr-BE"/>
              </w:rPr>
              <w:t>AA</w:t>
            </w:r>
          </w:p>
        </w:tc>
        <w:tc>
          <w:tcPr>
            <w:tcW w:w="2535" w:type="dxa"/>
          </w:tcPr>
          <w:p w14:paraId="34024815" w14:textId="1A5EBA38" w:rsidR="00B216D3" w:rsidRPr="000A4A0F" w:rsidRDefault="00360EEF" w:rsidP="006F6219">
            <w:pPr>
              <w:cnfStyle w:val="000000000000" w:firstRow="0" w:lastRow="0" w:firstColumn="0" w:lastColumn="0" w:oddVBand="0" w:evenVBand="0" w:oddHBand="0" w:evenHBand="0" w:firstRowFirstColumn="0" w:firstRowLastColumn="0" w:lastRowFirstColumn="0" w:lastRowLastColumn="0"/>
            </w:pPr>
            <w:r w:rsidRPr="000A4A0F">
              <w:t>20.96 (</w:t>
            </w:r>
            <w:r w:rsidR="00B216D3" w:rsidRPr="000A4A0F">
              <w:t>10.67-56.73)</w:t>
            </w:r>
          </w:p>
        </w:tc>
        <w:tc>
          <w:tcPr>
            <w:tcW w:w="1056" w:type="dxa"/>
          </w:tcPr>
          <w:p w14:paraId="0CFA356D"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r w:rsidR="00B216D3" w:rsidRPr="000A4A0F" w14:paraId="487A452F"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365EA568" w14:textId="77777777" w:rsidR="00B216D3" w:rsidRPr="000A4A0F" w:rsidRDefault="00B216D3" w:rsidP="006F6219"/>
        </w:tc>
        <w:tc>
          <w:tcPr>
            <w:tcW w:w="5120" w:type="dxa"/>
          </w:tcPr>
          <w:p w14:paraId="67FC51EF"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rPr>
                <w:rFonts w:eastAsia="Times New Roman"/>
                <w:lang w:val="fr-BE"/>
              </w:rPr>
            </w:pPr>
            <w:r w:rsidRPr="000A4A0F">
              <w:rPr>
                <w:rFonts w:eastAsia="Times New Roman"/>
                <w:lang w:val="fr-BE"/>
              </w:rPr>
              <w:t>AS</w:t>
            </w:r>
          </w:p>
        </w:tc>
        <w:tc>
          <w:tcPr>
            <w:tcW w:w="2535" w:type="dxa"/>
          </w:tcPr>
          <w:p w14:paraId="55E01EC8" w14:textId="4E82C648" w:rsidR="00B216D3" w:rsidRPr="000A4A0F" w:rsidRDefault="00360EEF" w:rsidP="006F6219">
            <w:pPr>
              <w:cnfStyle w:val="000000100000" w:firstRow="0" w:lastRow="0" w:firstColumn="0" w:lastColumn="0" w:oddVBand="0" w:evenVBand="0" w:oddHBand="1" w:evenHBand="0" w:firstRowFirstColumn="0" w:firstRowLastColumn="0" w:lastRowFirstColumn="0" w:lastRowLastColumn="0"/>
            </w:pPr>
            <w:r w:rsidRPr="000A4A0F">
              <w:t>25.30 (</w:t>
            </w:r>
            <w:r w:rsidR="00B216D3" w:rsidRPr="000A4A0F">
              <w:t>10.50-46.60)</w:t>
            </w:r>
          </w:p>
        </w:tc>
        <w:tc>
          <w:tcPr>
            <w:tcW w:w="1056" w:type="dxa"/>
          </w:tcPr>
          <w:p w14:paraId="1A36EEF7"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r>
      <w:tr w:rsidR="00B216D3" w:rsidRPr="000A4A0F" w14:paraId="5E845D21"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5356" w:type="dxa"/>
            <w:gridSpan w:val="2"/>
          </w:tcPr>
          <w:p w14:paraId="15BCF28B" w14:textId="77777777" w:rsidR="00B216D3" w:rsidRPr="000A4A0F" w:rsidRDefault="00B216D3" w:rsidP="006F6219">
            <w:pPr>
              <w:rPr>
                <w:rFonts w:eastAsia="Times New Roman"/>
                <w:b w:val="0"/>
                <w:lang w:val="fr-BE"/>
              </w:rPr>
            </w:pPr>
            <w:r w:rsidRPr="000A4A0F">
              <w:rPr>
                <w:rFonts w:eastAsia="Times New Roman"/>
                <w:lang w:val="fr-BE"/>
              </w:rPr>
              <w:t xml:space="preserve">Évolution hospitalière </w:t>
            </w:r>
          </w:p>
        </w:tc>
        <w:tc>
          <w:tcPr>
            <w:tcW w:w="2535" w:type="dxa"/>
          </w:tcPr>
          <w:p w14:paraId="0CB18981"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c>
          <w:tcPr>
            <w:tcW w:w="1056" w:type="dxa"/>
          </w:tcPr>
          <w:p w14:paraId="7670C00B"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r w:rsidRPr="000A4A0F">
              <w:t>0.470*</w:t>
            </w:r>
          </w:p>
        </w:tc>
      </w:tr>
      <w:tr w:rsidR="00B216D3" w:rsidRPr="000A4A0F" w14:paraId="088D903E"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16F5B400" w14:textId="77777777" w:rsidR="00B216D3" w:rsidRPr="000A4A0F" w:rsidRDefault="00B216D3" w:rsidP="006F6219"/>
        </w:tc>
        <w:tc>
          <w:tcPr>
            <w:tcW w:w="5120" w:type="dxa"/>
          </w:tcPr>
          <w:p w14:paraId="6B0724E3"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rPr>
                <w:rFonts w:eastAsia="Times New Roman"/>
                <w:lang w:val="fr-BE"/>
              </w:rPr>
            </w:pPr>
            <w:r w:rsidRPr="000A4A0F">
              <w:rPr>
                <w:rFonts w:eastAsia="Times New Roman"/>
                <w:lang w:val="fr-BE"/>
              </w:rPr>
              <w:t>Vivants</w:t>
            </w:r>
          </w:p>
        </w:tc>
        <w:tc>
          <w:tcPr>
            <w:tcW w:w="2535" w:type="dxa"/>
          </w:tcPr>
          <w:p w14:paraId="0C1EFDD9" w14:textId="1D48EACE" w:rsidR="00B216D3" w:rsidRPr="000A4A0F" w:rsidRDefault="00360EEF" w:rsidP="006F6219">
            <w:pPr>
              <w:cnfStyle w:val="000000100000" w:firstRow="0" w:lastRow="0" w:firstColumn="0" w:lastColumn="0" w:oddVBand="0" w:evenVBand="0" w:oddHBand="1" w:evenHBand="0" w:firstRowFirstColumn="0" w:firstRowLastColumn="0" w:lastRowFirstColumn="0" w:lastRowLastColumn="0"/>
            </w:pPr>
            <w:r w:rsidRPr="000A4A0F">
              <w:t>21.40 (</w:t>
            </w:r>
            <w:r w:rsidR="00B216D3" w:rsidRPr="000A4A0F">
              <w:t>10.67-56.73)</w:t>
            </w:r>
          </w:p>
        </w:tc>
        <w:tc>
          <w:tcPr>
            <w:tcW w:w="1056" w:type="dxa"/>
          </w:tcPr>
          <w:p w14:paraId="5794F526"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r>
      <w:tr w:rsidR="00B216D3" w:rsidRPr="000A4A0F" w14:paraId="2588DBC6" w14:textId="77777777" w:rsidTr="00C92759">
        <w:trPr>
          <w:trHeight w:val="208"/>
        </w:trPr>
        <w:tc>
          <w:tcPr>
            <w:cnfStyle w:val="001000000000" w:firstRow="0" w:lastRow="0" w:firstColumn="1" w:lastColumn="0" w:oddVBand="0" w:evenVBand="0" w:oddHBand="0" w:evenHBand="0" w:firstRowFirstColumn="0" w:firstRowLastColumn="0" w:lastRowFirstColumn="0" w:lastRowLastColumn="0"/>
            <w:tcW w:w="236" w:type="dxa"/>
          </w:tcPr>
          <w:p w14:paraId="39E36168" w14:textId="77777777" w:rsidR="00B216D3" w:rsidRPr="000A4A0F" w:rsidRDefault="00B216D3" w:rsidP="006F6219"/>
        </w:tc>
        <w:tc>
          <w:tcPr>
            <w:tcW w:w="5120" w:type="dxa"/>
          </w:tcPr>
          <w:p w14:paraId="631CA62D"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rPr>
                <w:rFonts w:eastAsia="Times New Roman"/>
                <w:lang w:val="fr-BE"/>
              </w:rPr>
            </w:pPr>
            <w:r w:rsidRPr="000A4A0F">
              <w:rPr>
                <w:rFonts w:eastAsia="Times New Roman"/>
                <w:lang w:val="fr-BE"/>
              </w:rPr>
              <w:t>Décédés</w:t>
            </w:r>
          </w:p>
        </w:tc>
        <w:tc>
          <w:tcPr>
            <w:tcW w:w="2535" w:type="dxa"/>
          </w:tcPr>
          <w:p w14:paraId="5D1FEC8E" w14:textId="5182E24C" w:rsidR="00B216D3" w:rsidRPr="000A4A0F" w:rsidRDefault="00360EEF" w:rsidP="006F6219">
            <w:pPr>
              <w:cnfStyle w:val="000000000000" w:firstRow="0" w:lastRow="0" w:firstColumn="0" w:lastColumn="0" w:oddVBand="0" w:evenVBand="0" w:oddHBand="0" w:evenHBand="0" w:firstRowFirstColumn="0" w:firstRowLastColumn="0" w:lastRowFirstColumn="0" w:lastRowLastColumn="0"/>
            </w:pPr>
            <w:r w:rsidRPr="000A4A0F">
              <w:t>20.82 (</w:t>
            </w:r>
            <w:r w:rsidR="00B216D3" w:rsidRPr="000A4A0F">
              <w:t>10.50-50.18)</w:t>
            </w:r>
          </w:p>
        </w:tc>
        <w:tc>
          <w:tcPr>
            <w:tcW w:w="1056" w:type="dxa"/>
          </w:tcPr>
          <w:p w14:paraId="4C02E144"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r w:rsidR="00B216D3" w:rsidRPr="000A4A0F" w14:paraId="56DB556D"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356" w:type="dxa"/>
            <w:gridSpan w:val="2"/>
          </w:tcPr>
          <w:p w14:paraId="0E640E41" w14:textId="77777777" w:rsidR="00B216D3" w:rsidRPr="000A4A0F" w:rsidRDefault="00B216D3" w:rsidP="006F6219">
            <w:pPr>
              <w:rPr>
                <w:rFonts w:eastAsia="Times New Roman"/>
                <w:b w:val="0"/>
                <w:lang w:val="fr-BE"/>
              </w:rPr>
            </w:pPr>
            <w:r w:rsidRPr="000A4A0F">
              <w:rPr>
                <w:rFonts w:eastAsia="Times New Roman"/>
                <w:lang w:val="fr-BE"/>
              </w:rPr>
              <w:t>Durée Photothérapie</w:t>
            </w:r>
          </w:p>
        </w:tc>
        <w:tc>
          <w:tcPr>
            <w:tcW w:w="2535" w:type="dxa"/>
          </w:tcPr>
          <w:p w14:paraId="2F83867E"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c>
          <w:tcPr>
            <w:tcW w:w="1056" w:type="dxa"/>
          </w:tcPr>
          <w:p w14:paraId="09CB49D0"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r w:rsidRPr="000A4A0F">
              <w:t>&lt;0.001**</w:t>
            </w:r>
          </w:p>
        </w:tc>
      </w:tr>
      <w:tr w:rsidR="00B216D3" w:rsidRPr="000A4A0F" w14:paraId="18EB8F1B" w14:textId="77777777" w:rsidTr="00C92759">
        <w:trPr>
          <w:trHeight w:val="218"/>
        </w:trPr>
        <w:tc>
          <w:tcPr>
            <w:cnfStyle w:val="001000000000" w:firstRow="0" w:lastRow="0" w:firstColumn="1" w:lastColumn="0" w:oddVBand="0" w:evenVBand="0" w:oddHBand="0" w:evenHBand="0" w:firstRowFirstColumn="0" w:firstRowLastColumn="0" w:lastRowFirstColumn="0" w:lastRowLastColumn="0"/>
            <w:tcW w:w="236" w:type="dxa"/>
          </w:tcPr>
          <w:p w14:paraId="37691E86" w14:textId="77777777" w:rsidR="00B216D3" w:rsidRPr="000A4A0F" w:rsidRDefault="00B216D3" w:rsidP="006F6219"/>
        </w:tc>
        <w:tc>
          <w:tcPr>
            <w:tcW w:w="5120" w:type="dxa"/>
          </w:tcPr>
          <w:p w14:paraId="56C4D20C"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rPr>
                <w:rFonts w:eastAsia="Times New Roman"/>
                <w:lang w:val="fr-BE"/>
              </w:rPr>
            </w:pPr>
            <w:r w:rsidRPr="000A4A0F">
              <w:rPr>
                <w:rFonts w:eastAsia="Times New Roman"/>
                <w:lang w:val="fr-BE"/>
              </w:rPr>
              <w:t>24</w:t>
            </w:r>
          </w:p>
        </w:tc>
        <w:tc>
          <w:tcPr>
            <w:tcW w:w="2535" w:type="dxa"/>
          </w:tcPr>
          <w:p w14:paraId="57BAE841" w14:textId="37261D2B" w:rsidR="00B216D3" w:rsidRPr="000A4A0F" w:rsidRDefault="00360EEF" w:rsidP="006F6219">
            <w:pPr>
              <w:cnfStyle w:val="000000000000" w:firstRow="0" w:lastRow="0" w:firstColumn="0" w:lastColumn="0" w:oddVBand="0" w:evenVBand="0" w:oddHBand="0" w:evenHBand="0" w:firstRowFirstColumn="0" w:firstRowLastColumn="0" w:lastRowFirstColumn="0" w:lastRowLastColumn="0"/>
            </w:pPr>
            <w:r w:rsidRPr="000A4A0F">
              <w:t>19.25 (</w:t>
            </w:r>
            <w:r w:rsidR="00B216D3" w:rsidRPr="000A4A0F">
              <w:t>10.50-33.50)</w:t>
            </w:r>
          </w:p>
        </w:tc>
        <w:tc>
          <w:tcPr>
            <w:tcW w:w="1056" w:type="dxa"/>
          </w:tcPr>
          <w:p w14:paraId="46D5F382"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r w:rsidR="00B216D3" w:rsidRPr="000A4A0F" w14:paraId="7D723B42" w14:textId="77777777" w:rsidTr="00C927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36" w:type="dxa"/>
          </w:tcPr>
          <w:p w14:paraId="1FDDC039" w14:textId="77777777" w:rsidR="00B216D3" w:rsidRPr="000A4A0F" w:rsidRDefault="00B216D3" w:rsidP="006F6219"/>
        </w:tc>
        <w:tc>
          <w:tcPr>
            <w:tcW w:w="5120" w:type="dxa"/>
          </w:tcPr>
          <w:p w14:paraId="19241424"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rPr>
                <w:rFonts w:eastAsia="Times New Roman"/>
                <w:lang w:val="fr-BE"/>
              </w:rPr>
            </w:pPr>
            <w:r w:rsidRPr="000A4A0F">
              <w:rPr>
                <w:rFonts w:eastAsia="Times New Roman"/>
                <w:lang w:val="fr-BE"/>
              </w:rPr>
              <w:t>48</w:t>
            </w:r>
          </w:p>
        </w:tc>
        <w:tc>
          <w:tcPr>
            <w:tcW w:w="2535" w:type="dxa"/>
          </w:tcPr>
          <w:p w14:paraId="18255CDB" w14:textId="6E7F5E78" w:rsidR="00B216D3" w:rsidRPr="000A4A0F" w:rsidRDefault="00360EEF" w:rsidP="006F6219">
            <w:pPr>
              <w:cnfStyle w:val="000000100000" w:firstRow="0" w:lastRow="0" w:firstColumn="0" w:lastColumn="0" w:oddVBand="0" w:evenVBand="0" w:oddHBand="1" w:evenHBand="0" w:firstRowFirstColumn="0" w:firstRowLastColumn="0" w:lastRowFirstColumn="0" w:lastRowLastColumn="0"/>
            </w:pPr>
            <w:r w:rsidRPr="000A4A0F">
              <w:t>25.30 (</w:t>
            </w:r>
            <w:r w:rsidR="00B216D3" w:rsidRPr="000A4A0F">
              <w:t>11.00-39.46)</w:t>
            </w:r>
          </w:p>
        </w:tc>
        <w:tc>
          <w:tcPr>
            <w:tcW w:w="1056" w:type="dxa"/>
          </w:tcPr>
          <w:p w14:paraId="6D8AB5ED" w14:textId="77777777" w:rsidR="00B216D3" w:rsidRPr="000A4A0F" w:rsidRDefault="00B216D3" w:rsidP="006F6219">
            <w:pPr>
              <w:cnfStyle w:val="000000100000" w:firstRow="0" w:lastRow="0" w:firstColumn="0" w:lastColumn="0" w:oddVBand="0" w:evenVBand="0" w:oddHBand="1" w:evenHBand="0" w:firstRowFirstColumn="0" w:firstRowLastColumn="0" w:lastRowFirstColumn="0" w:lastRowLastColumn="0"/>
            </w:pPr>
          </w:p>
        </w:tc>
      </w:tr>
      <w:tr w:rsidR="00B216D3" w:rsidRPr="000A4A0F" w14:paraId="0378C238" w14:textId="77777777" w:rsidTr="00C92759">
        <w:trPr>
          <w:trHeight w:val="208"/>
        </w:trPr>
        <w:tc>
          <w:tcPr>
            <w:cnfStyle w:val="001000000000" w:firstRow="0" w:lastRow="0" w:firstColumn="1" w:lastColumn="0" w:oddVBand="0" w:evenVBand="0" w:oddHBand="0" w:evenHBand="0" w:firstRowFirstColumn="0" w:firstRowLastColumn="0" w:lastRowFirstColumn="0" w:lastRowLastColumn="0"/>
            <w:tcW w:w="236" w:type="dxa"/>
          </w:tcPr>
          <w:p w14:paraId="22583E0D" w14:textId="77777777" w:rsidR="00B216D3" w:rsidRPr="000A4A0F" w:rsidRDefault="00B216D3" w:rsidP="006F6219"/>
        </w:tc>
        <w:tc>
          <w:tcPr>
            <w:tcW w:w="5120" w:type="dxa"/>
          </w:tcPr>
          <w:p w14:paraId="2E5141EE"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rPr>
                <w:rFonts w:eastAsia="Times New Roman"/>
                <w:lang w:val="fr-BE"/>
              </w:rPr>
            </w:pPr>
            <w:r w:rsidRPr="000A4A0F">
              <w:rPr>
                <w:rFonts w:eastAsia="Times New Roman"/>
                <w:lang w:val="fr-BE"/>
              </w:rPr>
              <w:t>72+</w:t>
            </w:r>
          </w:p>
        </w:tc>
        <w:tc>
          <w:tcPr>
            <w:tcW w:w="2535" w:type="dxa"/>
          </w:tcPr>
          <w:p w14:paraId="7E5B0CB1" w14:textId="6F38AB9E" w:rsidR="00B216D3" w:rsidRPr="000A4A0F" w:rsidRDefault="00360EEF" w:rsidP="006F6219">
            <w:pPr>
              <w:cnfStyle w:val="000000000000" w:firstRow="0" w:lastRow="0" w:firstColumn="0" w:lastColumn="0" w:oddVBand="0" w:evenVBand="0" w:oddHBand="0" w:evenHBand="0" w:firstRowFirstColumn="0" w:firstRowLastColumn="0" w:lastRowFirstColumn="0" w:lastRowLastColumn="0"/>
            </w:pPr>
            <w:r w:rsidRPr="000A4A0F">
              <w:t>30.65 (</w:t>
            </w:r>
            <w:r w:rsidR="00B216D3" w:rsidRPr="000A4A0F">
              <w:t>15.47-56.73)</w:t>
            </w:r>
          </w:p>
        </w:tc>
        <w:tc>
          <w:tcPr>
            <w:tcW w:w="1056" w:type="dxa"/>
          </w:tcPr>
          <w:p w14:paraId="36C6CB79" w14:textId="77777777" w:rsidR="00B216D3" w:rsidRPr="000A4A0F" w:rsidRDefault="00B216D3" w:rsidP="006F6219">
            <w:pPr>
              <w:cnfStyle w:val="000000000000" w:firstRow="0" w:lastRow="0" w:firstColumn="0" w:lastColumn="0" w:oddVBand="0" w:evenVBand="0" w:oddHBand="0" w:evenHBand="0" w:firstRowFirstColumn="0" w:firstRowLastColumn="0" w:lastRowFirstColumn="0" w:lastRowLastColumn="0"/>
            </w:pPr>
          </w:p>
        </w:tc>
      </w:tr>
    </w:tbl>
    <w:p w14:paraId="4ABF88FA" w14:textId="77777777" w:rsidR="008E0216" w:rsidRPr="000A4A0F" w:rsidRDefault="008E0216" w:rsidP="006F6219">
      <w:pPr>
        <w:rPr>
          <w:lang w:val="en-US"/>
        </w:rPr>
      </w:pPr>
      <w:r w:rsidRPr="000A4A0F">
        <w:rPr>
          <w:lang w:val="en-US"/>
        </w:rPr>
        <w:t>*Test U de Mann-Whitney **Test de Kruskal-Wallis</w:t>
      </w:r>
    </w:p>
    <w:p w14:paraId="226CEF16" w14:textId="037F35EC" w:rsidR="005D069B" w:rsidRPr="000A4A0F" w:rsidRDefault="000C47DE" w:rsidP="006612D9">
      <w:pPr>
        <w:suppressAutoHyphens w:val="0"/>
        <w:spacing w:after="0" w:line="360" w:lineRule="auto"/>
        <w:jc w:val="both"/>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Nous avons trouvé que </w:t>
      </w:r>
      <w:r w:rsidRPr="00C1024E">
        <w:rPr>
          <w:rFonts w:ascii="Times New Roman" w:eastAsia="Times New Roman" w:hAnsi="Times New Roman" w:cs="Times New Roman"/>
          <w:color w:val="000000"/>
          <w:sz w:val="24"/>
          <w:szCs w:val="24"/>
          <w:highlight w:val="yellow"/>
          <w:lang w:eastAsia="fr-FR"/>
        </w:rPr>
        <w:t>la médiane versus moyenne</w:t>
      </w:r>
      <w:r w:rsidRPr="000A4A0F">
        <w:rPr>
          <w:rFonts w:ascii="Times New Roman" w:eastAsia="Times New Roman" w:hAnsi="Times New Roman" w:cs="Times New Roman"/>
          <w:color w:val="000000"/>
          <w:sz w:val="24"/>
          <w:szCs w:val="24"/>
          <w:lang w:eastAsia="fr-FR"/>
        </w:rPr>
        <w:t xml:space="preserve"> de la bilirubine total était significativement élevé chez les nouveau-nés nés à terme avec incompatibilité ABO et prématurité avec déficit en G6PD d’une part et d’autre part prématurité avec incompatibilité rhésus. La photothérapie de plus de 72h était associée </w:t>
      </w:r>
      <w:r w:rsidR="00AB658E" w:rsidRPr="000A4A0F">
        <w:rPr>
          <w:rFonts w:ascii="Times New Roman" w:eastAsia="Times New Roman" w:hAnsi="Times New Roman" w:cs="Times New Roman"/>
          <w:color w:val="000000"/>
          <w:sz w:val="24"/>
          <w:szCs w:val="24"/>
          <w:lang w:eastAsia="fr-FR"/>
        </w:rPr>
        <w:t>à</w:t>
      </w:r>
      <w:r w:rsidRPr="000A4A0F">
        <w:rPr>
          <w:rFonts w:ascii="Times New Roman" w:eastAsia="Times New Roman" w:hAnsi="Times New Roman" w:cs="Times New Roman"/>
          <w:color w:val="000000"/>
          <w:sz w:val="24"/>
          <w:szCs w:val="24"/>
          <w:lang w:eastAsia="fr-FR"/>
        </w:rPr>
        <w:t xml:space="preserve"> un taux élevé de la bilirubine.</w:t>
      </w:r>
      <w:r w:rsidR="005D069B" w:rsidRPr="000A4A0F">
        <w:rPr>
          <w:rFonts w:ascii="Times New Roman" w:eastAsia="Times New Roman" w:hAnsi="Times New Roman" w:cs="Times New Roman"/>
          <w:b/>
          <w:color w:val="000000"/>
          <w:sz w:val="24"/>
          <w:szCs w:val="24"/>
          <w:lang w:eastAsia="fr-FR"/>
        </w:rPr>
        <w:br w:type="page"/>
      </w:r>
    </w:p>
    <w:p w14:paraId="1B02D6AD" w14:textId="3CD62CC2" w:rsidR="007D5DBA" w:rsidRPr="000A4A0F" w:rsidRDefault="00FC4BB6" w:rsidP="006612D9">
      <w:pPr>
        <w:spacing w:after="0" w:line="360" w:lineRule="auto"/>
        <w:jc w:val="both"/>
        <w:rPr>
          <w:rFonts w:ascii="Times New Roman" w:hAnsi="Times New Roman" w:cs="Times New Roman"/>
          <w:sz w:val="24"/>
          <w:szCs w:val="24"/>
        </w:rPr>
      </w:pPr>
      <w:r w:rsidRPr="000A4A0F">
        <w:rPr>
          <w:rFonts w:ascii="Times New Roman" w:hAnsi="Times New Roman" w:cs="Times New Roman"/>
          <w:sz w:val="24"/>
          <w:szCs w:val="24"/>
        </w:rPr>
        <w:lastRenderedPageBreak/>
        <w:t>Tableau 6</w:t>
      </w:r>
      <w:r w:rsidR="007D5DBA" w:rsidRPr="000A4A0F">
        <w:rPr>
          <w:rFonts w:ascii="Times New Roman" w:hAnsi="Times New Roman" w:cs="Times New Roman"/>
          <w:sz w:val="24"/>
          <w:szCs w:val="24"/>
        </w:rPr>
        <w:t> : Facteurs associés à l’anémie chez le nouveau-né ictérique.</w:t>
      </w:r>
    </w:p>
    <w:p w14:paraId="56F26717" w14:textId="77777777" w:rsidR="007D5DBA" w:rsidRPr="000A4A0F" w:rsidRDefault="007D5DBA" w:rsidP="006612D9">
      <w:pPr>
        <w:spacing w:after="0" w:line="360" w:lineRule="auto"/>
        <w:jc w:val="both"/>
        <w:rPr>
          <w:rFonts w:ascii="Times New Roman" w:hAnsi="Times New Roman" w:cs="Times New Roman"/>
          <w:sz w:val="24"/>
          <w:szCs w:val="24"/>
        </w:rPr>
      </w:pPr>
    </w:p>
    <w:tbl>
      <w:tblPr>
        <w:tblStyle w:val="TableauListe6Couleur-Accentuation3"/>
        <w:tblW w:w="9776" w:type="dxa"/>
        <w:tblLook w:val="04A0" w:firstRow="1" w:lastRow="0" w:firstColumn="1" w:lastColumn="0" w:noHBand="0" w:noVBand="1"/>
      </w:tblPr>
      <w:tblGrid>
        <w:gridCol w:w="421"/>
        <w:gridCol w:w="2255"/>
        <w:gridCol w:w="1269"/>
        <w:gridCol w:w="1833"/>
        <w:gridCol w:w="756"/>
        <w:gridCol w:w="2114"/>
        <w:gridCol w:w="1128"/>
      </w:tblGrid>
      <w:tr w:rsidR="007D5DBA" w:rsidRPr="000A4A0F" w14:paraId="0CE3DF6C" w14:textId="77777777" w:rsidTr="00C92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gridSpan w:val="2"/>
          </w:tcPr>
          <w:p w14:paraId="2C69B8B2" w14:textId="77777777" w:rsidR="007D5DBA" w:rsidRPr="000A4A0F" w:rsidRDefault="007D5DBA" w:rsidP="006612D9">
            <w:pPr>
              <w:spacing w:line="360" w:lineRule="auto"/>
              <w:jc w:val="both"/>
              <w:rPr>
                <w:rFonts w:ascii="Times New Roman" w:hAnsi="Times New Roman" w:cs="Times New Roman"/>
                <w:b w:val="0"/>
                <w:sz w:val="24"/>
                <w:szCs w:val="24"/>
              </w:rPr>
            </w:pPr>
            <w:r w:rsidRPr="000A4A0F">
              <w:rPr>
                <w:rFonts w:ascii="Times New Roman" w:hAnsi="Times New Roman" w:cs="Times New Roman"/>
                <w:b w:val="0"/>
                <w:sz w:val="24"/>
                <w:szCs w:val="24"/>
              </w:rPr>
              <w:t>Paramètres</w:t>
            </w:r>
          </w:p>
        </w:tc>
        <w:tc>
          <w:tcPr>
            <w:tcW w:w="1275" w:type="dxa"/>
          </w:tcPr>
          <w:p w14:paraId="6EDF483F" w14:textId="77777777" w:rsidR="007D5DBA" w:rsidRPr="000A4A0F" w:rsidRDefault="007D5DBA" w:rsidP="006612D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A4A0F">
              <w:rPr>
                <w:rFonts w:ascii="Times New Roman" w:hAnsi="Times New Roman" w:cs="Times New Roman"/>
                <w:b w:val="0"/>
                <w:sz w:val="24"/>
                <w:szCs w:val="24"/>
              </w:rPr>
              <w:t>% anémie</w:t>
            </w:r>
          </w:p>
        </w:tc>
        <w:tc>
          <w:tcPr>
            <w:tcW w:w="1843" w:type="dxa"/>
          </w:tcPr>
          <w:p w14:paraId="06E392F3" w14:textId="77777777" w:rsidR="007D5DBA" w:rsidRPr="000A4A0F" w:rsidRDefault="007D5DBA" w:rsidP="006612D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0A4A0F">
              <w:rPr>
                <w:rFonts w:ascii="Times New Roman" w:hAnsi="Times New Roman" w:cs="Times New Roman"/>
                <w:b w:val="0"/>
                <w:sz w:val="24"/>
                <w:szCs w:val="24"/>
              </w:rPr>
              <w:t>ORna</w:t>
            </w:r>
            <w:proofErr w:type="spellEnd"/>
            <w:r w:rsidRPr="000A4A0F">
              <w:rPr>
                <w:rFonts w:ascii="Times New Roman" w:hAnsi="Times New Roman" w:cs="Times New Roman"/>
                <w:b w:val="0"/>
                <w:sz w:val="24"/>
                <w:szCs w:val="24"/>
              </w:rPr>
              <w:t xml:space="preserve"> (IC à 95%)</w:t>
            </w:r>
          </w:p>
        </w:tc>
        <w:tc>
          <w:tcPr>
            <w:tcW w:w="709" w:type="dxa"/>
          </w:tcPr>
          <w:p w14:paraId="638923B5" w14:textId="77777777" w:rsidR="007D5DBA" w:rsidRPr="000A4A0F" w:rsidRDefault="007D5DBA" w:rsidP="006612D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A4A0F">
              <w:rPr>
                <w:rFonts w:ascii="Times New Roman" w:hAnsi="Times New Roman" w:cs="Times New Roman"/>
                <w:b w:val="0"/>
                <w:sz w:val="24"/>
                <w:szCs w:val="24"/>
              </w:rPr>
              <w:t>P</w:t>
            </w:r>
          </w:p>
        </w:tc>
        <w:tc>
          <w:tcPr>
            <w:tcW w:w="2126" w:type="dxa"/>
          </w:tcPr>
          <w:p w14:paraId="1F2BAFC5" w14:textId="77777777" w:rsidR="007D5DBA" w:rsidRPr="000A4A0F" w:rsidRDefault="007D5DBA" w:rsidP="006612D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0A4A0F">
              <w:rPr>
                <w:rFonts w:ascii="Times New Roman" w:hAnsi="Times New Roman" w:cs="Times New Roman"/>
                <w:b w:val="0"/>
                <w:sz w:val="24"/>
                <w:szCs w:val="24"/>
              </w:rPr>
              <w:t>ORa</w:t>
            </w:r>
            <w:proofErr w:type="spellEnd"/>
            <w:r w:rsidRPr="000A4A0F">
              <w:rPr>
                <w:rFonts w:ascii="Times New Roman" w:hAnsi="Times New Roman" w:cs="Times New Roman"/>
                <w:b w:val="0"/>
                <w:sz w:val="24"/>
                <w:szCs w:val="24"/>
              </w:rPr>
              <w:t xml:space="preserve"> (IC à 95%)</w:t>
            </w:r>
          </w:p>
        </w:tc>
        <w:tc>
          <w:tcPr>
            <w:tcW w:w="1134" w:type="dxa"/>
          </w:tcPr>
          <w:p w14:paraId="6A02EA50" w14:textId="77777777" w:rsidR="007D5DBA" w:rsidRPr="000A4A0F" w:rsidRDefault="007D5DBA" w:rsidP="006612D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A4A0F">
              <w:rPr>
                <w:rFonts w:ascii="Times New Roman" w:hAnsi="Times New Roman" w:cs="Times New Roman"/>
                <w:b w:val="0"/>
                <w:sz w:val="24"/>
                <w:szCs w:val="24"/>
              </w:rPr>
              <w:t>P</w:t>
            </w:r>
          </w:p>
        </w:tc>
      </w:tr>
      <w:tr w:rsidR="007D5DBA" w:rsidRPr="000A4A0F" w14:paraId="30B055DE"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gridSpan w:val="2"/>
          </w:tcPr>
          <w:p w14:paraId="1CFEFC57" w14:textId="77777777" w:rsidR="007D5DBA" w:rsidRPr="000A4A0F" w:rsidRDefault="007D5DBA"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Prématurité</w:t>
            </w:r>
          </w:p>
        </w:tc>
        <w:tc>
          <w:tcPr>
            <w:tcW w:w="1275" w:type="dxa"/>
          </w:tcPr>
          <w:p w14:paraId="7D2361BB"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3" w:type="dxa"/>
          </w:tcPr>
          <w:p w14:paraId="516931C0"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9" w:type="dxa"/>
          </w:tcPr>
          <w:p w14:paraId="4BA68577"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14:paraId="4E5B0397"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14:paraId="14A59E23"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5DBA" w:rsidRPr="000A4A0F" w14:paraId="0CF14553" w14:textId="77777777" w:rsidTr="00C92759">
        <w:tc>
          <w:tcPr>
            <w:cnfStyle w:val="001000000000" w:firstRow="0" w:lastRow="0" w:firstColumn="1" w:lastColumn="0" w:oddVBand="0" w:evenVBand="0" w:oddHBand="0" w:evenHBand="0" w:firstRowFirstColumn="0" w:firstRowLastColumn="0" w:lastRowFirstColumn="0" w:lastRowLastColumn="0"/>
            <w:tcW w:w="421" w:type="dxa"/>
          </w:tcPr>
          <w:p w14:paraId="77DB057B"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286E25BD"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Oui (n=42)</w:t>
            </w:r>
          </w:p>
        </w:tc>
        <w:tc>
          <w:tcPr>
            <w:tcW w:w="1275" w:type="dxa"/>
          </w:tcPr>
          <w:p w14:paraId="24AA866C"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33,3</w:t>
            </w:r>
          </w:p>
        </w:tc>
        <w:tc>
          <w:tcPr>
            <w:tcW w:w="1843" w:type="dxa"/>
          </w:tcPr>
          <w:p w14:paraId="3CF3B101"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2,05(0,82-5,13)</w:t>
            </w:r>
          </w:p>
        </w:tc>
        <w:tc>
          <w:tcPr>
            <w:tcW w:w="709" w:type="dxa"/>
          </w:tcPr>
          <w:p w14:paraId="6BDA500C"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0,127</w:t>
            </w:r>
          </w:p>
        </w:tc>
        <w:tc>
          <w:tcPr>
            <w:tcW w:w="2126" w:type="dxa"/>
          </w:tcPr>
          <w:p w14:paraId="313DD0A6"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4A0F">
              <w:rPr>
                <w:rFonts w:ascii="Times New Roman" w:hAnsi="Times New Roman" w:cs="Times New Roman"/>
                <w:b/>
                <w:sz w:val="24"/>
                <w:szCs w:val="24"/>
              </w:rPr>
              <w:t>12,18(1,06-139,7)</w:t>
            </w:r>
          </w:p>
        </w:tc>
        <w:tc>
          <w:tcPr>
            <w:tcW w:w="1134" w:type="dxa"/>
          </w:tcPr>
          <w:p w14:paraId="2B7A468C"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4A0F">
              <w:rPr>
                <w:rFonts w:ascii="Times New Roman" w:hAnsi="Times New Roman" w:cs="Times New Roman"/>
                <w:b/>
                <w:sz w:val="24"/>
                <w:szCs w:val="24"/>
              </w:rPr>
              <w:t>0,045</w:t>
            </w:r>
          </w:p>
        </w:tc>
      </w:tr>
      <w:tr w:rsidR="007D5DBA" w:rsidRPr="000A4A0F" w14:paraId="5A9C014B"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EFD3A2D"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73AD8C96"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Non (n=56)</w:t>
            </w:r>
          </w:p>
        </w:tc>
        <w:tc>
          <w:tcPr>
            <w:tcW w:w="1275" w:type="dxa"/>
          </w:tcPr>
          <w:p w14:paraId="63F75831"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19,6</w:t>
            </w:r>
          </w:p>
        </w:tc>
        <w:tc>
          <w:tcPr>
            <w:tcW w:w="1843" w:type="dxa"/>
          </w:tcPr>
          <w:p w14:paraId="22FF39D4"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709" w:type="dxa"/>
          </w:tcPr>
          <w:p w14:paraId="345A2E51"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14:paraId="02AFAB07"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14:paraId="2840D79A"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5DBA" w:rsidRPr="000A4A0F" w14:paraId="4CB5D001" w14:textId="77777777" w:rsidTr="00C92759">
        <w:tc>
          <w:tcPr>
            <w:cnfStyle w:val="001000000000" w:firstRow="0" w:lastRow="0" w:firstColumn="1" w:lastColumn="0" w:oddVBand="0" w:evenVBand="0" w:oddHBand="0" w:evenHBand="0" w:firstRowFirstColumn="0" w:firstRowLastColumn="0" w:lastRowFirstColumn="0" w:lastRowLastColumn="0"/>
            <w:tcW w:w="2689" w:type="dxa"/>
            <w:gridSpan w:val="2"/>
          </w:tcPr>
          <w:p w14:paraId="2DEA7CA1" w14:textId="77777777" w:rsidR="007D5DBA" w:rsidRPr="000A4A0F" w:rsidRDefault="007D5DBA"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Incompatibilité ABO</w:t>
            </w:r>
          </w:p>
        </w:tc>
        <w:tc>
          <w:tcPr>
            <w:tcW w:w="1275" w:type="dxa"/>
          </w:tcPr>
          <w:p w14:paraId="17BBF2EC"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3" w:type="dxa"/>
          </w:tcPr>
          <w:p w14:paraId="206317AF"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tcPr>
          <w:p w14:paraId="14906726"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26" w:type="dxa"/>
          </w:tcPr>
          <w:p w14:paraId="02D1D6BA"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14:paraId="472760B5"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5DBA" w:rsidRPr="000A4A0F" w14:paraId="7702D4BD"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5F99572"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02E72384"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Oui (n=32)</w:t>
            </w:r>
          </w:p>
        </w:tc>
        <w:tc>
          <w:tcPr>
            <w:tcW w:w="1275" w:type="dxa"/>
          </w:tcPr>
          <w:p w14:paraId="784A1E0C"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46,9</w:t>
            </w:r>
          </w:p>
        </w:tc>
        <w:tc>
          <w:tcPr>
            <w:tcW w:w="1843" w:type="dxa"/>
          </w:tcPr>
          <w:p w14:paraId="4E6F9AD0"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4,17(1,61-10,8)</w:t>
            </w:r>
          </w:p>
        </w:tc>
        <w:tc>
          <w:tcPr>
            <w:tcW w:w="709" w:type="dxa"/>
          </w:tcPr>
          <w:p w14:paraId="2A92F00F"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0,003</w:t>
            </w:r>
          </w:p>
        </w:tc>
        <w:tc>
          <w:tcPr>
            <w:tcW w:w="2126" w:type="dxa"/>
          </w:tcPr>
          <w:p w14:paraId="621048C3"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4A0F">
              <w:rPr>
                <w:rFonts w:ascii="Times New Roman" w:hAnsi="Times New Roman" w:cs="Times New Roman"/>
                <w:b/>
                <w:sz w:val="24"/>
                <w:szCs w:val="24"/>
              </w:rPr>
              <w:t>11,58(2,66-50,32)</w:t>
            </w:r>
          </w:p>
        </w:tc>
        <w:tc>
          <w:tcPr>
            <w:tcW w:w="1134" w:type="dxa"/>
          </w:tcPr>
          <w:p w14:paraId="25C44E76"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4A0F">
              <w:rPr>
                <w:rFonts w:ascii="Times New Roman" w:hAnsi="Times New Roman" w:cs="Times New Roman"/>
                <w:b/>
                <w:sz w:val="24"/>
                <w:szCs w:val="24"/>
              </w:rPr>
              <w:t>0,001</w:t>
            </w:r>
          </w:p>
        </w:tc>
      </w:tr>
      <w:tr w:rsidR="007D5DBA" w:rsidRPr="000A4A0F" w14:paraId="5D7FE94C" w14:textId="77777777" w:rsidTr="00C92759">
        <w:tc>
          <w:tcPr>
            <w:cnfStyle w:val="001000000000" w:firstRow="0" w:lastRow="0" w:firstColumn="1" w:lastColumn="0" w:oddVBand="0" w:evenVBand="0" w:oddHBand="0" w:evenHBand="0" w:firstRowFirstColumn="0" w:firstRowLastColumn="0" w:lastRowFirstColumn="0" w:lastRowLastColumn="0"/>
            <w:tcW w:w="421" w:type="dxa"/>
          </w:tcPr>
          <w:p w14:paraId="42A848A0"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4CF7069A"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Non (n=63)</w:t>
            </w:r>
          </w:p>
        </w:tc>
        <w:tc>
          <w:tcPr>
            <w:tcW w:w="1275" w:type="dxa"/>
          </w:tcPr>
          <w:p w14:paraId="3BC5320A"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17,5</w:t>
            </w:r>
          </w:p>
        </w:tc>
        <w:tc>
          <w:tcPr>
            <w:tcW w:w="1843" w:type="dxa"/>
          </w:tcPr>
          <w:p w14:paraId="171D7949"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709" w:type="dxa"/>
          </w:tcPr>
          <w:p w14:paraId="60C29C37"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26" w:type="dxa"/>
          </w:tcPr>
          <w:p w14:paraId="24EFDAC0"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14:paraId="20A7B964"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5DBA" w:rsidRPr="000A4A0F" w14:paraId="79B60BB0"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gridSpan w:val="2"/>
          </w:tcPr>
          <w:p w14:paraId="0F25FCC0" w14:textId="77777777" w:rsidR="007D5DBA" w:rsidRPr="000A4A0F" w:rsidRDefault="007D5DBA"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Incompatibilité Rhésus</w:t>
            </w:r>
          </w:p>
        </w:tc>
        <w:tc>
          <w:tcPr>
            <w:tcW w:w="1275" w:type="dxa"/>
          </w:tcPr>
          <w:p w14:paraId="3F5E1A0E"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3" w:type="dxa"/>
          </w:tcPr>
          <w:p w14:paraId="181A6FCB"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9" w:type="dxa"/>
          </w:tcPr>
          <w:p w14:paraId="493F7704"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14:paraId="22C5BE1B"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14:paraId="171AC9A2"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5DBA" w:rsidRPr="000A4A0F" w14:paraId="3559C3CA" w14:textId="77777777" w:rsidTr="00C92759">
        <w:tc>
          <w:tcPr>
            <w:cnfStyle w:val="001000000000" w:firstRow="0" w:lastRow="0" w:firstColumn="1" w:lastColumn="0" w:oddVBand="0" w:evenVBand="0" w:oddHBand="0" w:evenHBand="0" w:firstRowFirstColumn="0" w:firstRowLastColumn="0" w:lastRowFirstColumn="0" w:lastRowLastColumn="0"/>
            <w:tcW w:w="421" w:type="dxa"/>
          </w:tcPr>
          <w:p w14:paraId="57EB55D9"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7A4949DC"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Oui (n=8)</w:t>
            </w:r>
          </w:p>
        </w:tc>
        <w:tc>
          <w:tcPr>
            <w:tcW w:w="1275" w:type="dxa"/>
          </w:tcPr>
          <w:p w14:paraId="68A36991"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37,5</w:t>
            </w:r>
          </w:p>
        </w:tc>
        <w:tc>
          <w:tcPr>
            <w:tcW w:w="1843" w:type="dxa"/>
          </w:tcPr>
          <w:p w14:paraId="6015C833"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1,72(0,38-7,79)</w:t>
            </w:r>
          </w:p>
        </w:tc>
        <w:tc>
          <w:tcPr>
            <w:tcW w:w="709" w:type="dxa"/>
          </w:tcPr>
          <w:p w14:paraId="3EAE3547"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0,483</w:t>
            </w:r>
          </w:p>
        </w:tc>
        <w:tc>
          <w:tcPr>
            <w:tcW w:w="2126" w:type="dxa"/>
          </w:tcPr>
          <w:p w14:paraId="3C3EBC16"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1,64(0,16-16,83)</w:t>
            </w:r>
          </w:p>
        </w:tc>
        <w:tc>
          <w:tcPr>
            <w:tcW w:w="1134" w:type="dxa"/>
          </w:tcPr>
          <w:p w14:paraId="4DC262EC"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0,679</w:t>
            </w:r>
          </w:p>
        </w:tc>
      </w:tr>
      <w:tr w:rsidR="007D5DBA" w:rsidRPr="000A4A0F" w14:paraId="5F359D65"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FB8DDDF"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0224846A"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Non (n=85)</w:t>
            </w:r>
          </w:p>
        </w:tc>
        <w:tc>
          <w:tcPr>
            <w:tcW w:w="1275" w:type="dxa"/>
          </w:tcPr>
          <w:p w14:paraId="4DF88629"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25,9</w:t>
            </w:r>
          </w:p>
        </w:tc>
        <w:tc>
          <w:tcPr>
            <w:tcW w:w="1843" w:type="dxa"/>
          </w:tcPr>
          <w:p w14:paraId="523FC0D1"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709" w:type="dxa"/>
          </w:tcPr>
          <w:p w14:paraId="72D4EE4F"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14:paraId="6DC74B7A"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14:paraId="11A76E0D"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5DBA" w:rsidRPr="000A4A0F" w14:paraId="184AF341" w14:textId="77777777" w:rsidTr="00C92759">
        <w:tc>
          <w:tcPr>
            <w:cnfStyle w:val="001000000000" w:firstRow="0" w:lastRow="0" w:firstColumn="1" w:lastColumn="0" w:oddVBand="0" w:evenVBand="0" w:oddHBand="0" w:evenHBand="0" w:firstRowFirstColumn="0" w:firstRowLastColumn="0" w:lastRowFirstColumn="0" w:lastRowLastColumn="0"/>
            <w:tcW w:w="2689" w:type="dxa"/>
            <w:gridSpan w:val="2"/>
          </w:tcPr>
          <w:p w14:paraId="26E42022" w14:textId="77777777" w:rsidR="007D5DBA" w:rsidRPr="000A4A0F" w:rsidRDefault="007D5DBA"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Déficit en G6PD</w:t>
            </w:r>
          </w:p>
        </w:tc>
        <w:tc>
          <w:tcPr>
            <w:tcW w:w="1275" w:type="dxa"/>
          </w:tcPr>
          <w:p w14:paraId="18B1762C"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3" w:type="dxa"/>
          </w:tcPr>
          <w:p w14:paraId="6B0F23D7"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tcPr>
          <w:p w14:paraId="3EDECF3D"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26" w:type="dxa"/>
          </w:tcPr>
          <w:p w14:paraId="04C132CD"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14:paraId="02C69B92"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5DBA" w:rsidRPr="000A4A0F" w14:paraId="16B702C6"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E62B579"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7BD8978E"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Oui (n=16)</w:t>
            </w:r>
          </w:p>
        </w:tc>
        <w:tc>
          <w:tcPr>
            <w:tcW w:w="1275" w:type="dxa"/>
          </w:tcPr>
          <w:p w14:paraId="3F3B100E"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12,5</w:t>
            </w:r>
          </w:p>
        </w:tc>
        <w:tc>
          <w:tcPr>
            <w:tcW w:w="1843" w:type="dxa"/>
          </w:tcPr>
          <w:p w14:paraId="57E3D176"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0,38(0,08-1,78)</w:t>
            </w:r>
          </w:p>
        </w:tc>
        <w:tc>
          <w:tcPr>
            <w:tcW w:w="709" w:type="dxa"/>
          </w:tcPr>
          <w:p w14:paraId="59E776AE"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0,220</w:t>
            </w:r>
          </w:p>
        </w:tc>
        <w:tc>
          <w:tcPr>
            <w:tcW w:w="2126" w:type="dxa"/>
          </w:tcPr>
          <w:p w14:paraId="1FC0D0BF"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0,70(0,06-8,48)</w:t>
            </w:r>
          </w:p>
        </w:tc>
        <w:tc>
          <w:tcPr>
            <w:tcW w:w="1134" w:type="dxa"/>
          </w:tcPr>
          <w:p w14:paraId="4314F991"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0,780</w:t>
            </w:r>
          </w:p>
        </w:tc>
      </w:tr>
      <w:tr w:rsidR="007D5DBA" w:rsidRPr="000A4A0F" w14:paraId="616A56C9" w14:textId="77777777" w:rsidTr="00C92759">
        <w:tc>
          <w:tcPr>
            <w:cnfStyle w:val="001000000000" w:firstRow="0" w:lastRow="0" w:firstColumn="1" w:lastColumn="0" w:oddVBand="0" w:evenVBand="0" w:oddHBand="0" w:evenHBand="0" w:firstRowFirstColumn="0" w:firstRowLastColumn="0" w:lastRowFirstColumn="0" w:lastRowLastColumn="0"/>
            <w:tcW w:w="421" w:type="dxa"/>
          </w:tcPr>
          <w:p w14:paraId="05F22A45"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364C3F5B"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Non (n=95)</w:t>
            </w:r>
          </w:p>
        </w:tc>
        <w:tc>
          <w:tcPr>
            <w:tcW w:w="1275" w:type="dxa"/>
          </w:tcPr>
          <w:p w14:paraId="262758EE"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27,4</w:t>
            </w:r>
          </w:p>
        </w:tc>
        <w:tc>
          <w:tcPr>
            <w:tcW w:w="1843" w:type="dxa"/>
          </w:tcPr>
          <w:p w14:paraId="4E8B7841"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709" w:type="dxa"/>
          </w:tcPr>
          <w:p w14:paraId="57912EA1"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26" w:type="dxa"/>
          </w:tcPr>
          <w:p w14:paraId="77B6A83B"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14:paraId="3560E628"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5DBA" w:rsidRPr="000A4A0F" w14:paraId="47AF5F4F"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gridSpan w:val="2"/>
          </w:tcPr>
          <w:p w14:paraId="47903715" w14:textId="77777777" w:rsidR="007D5DBA" w:rsidRPr="000A4A0F" w:rsidRDefault="007D5DBA"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INN</w:t>
            </w:r>
          </w:p>
        </w:tc>
        <w:tc>
          <w:tcPr>
            <w:tcW w:w="1275" w:type="dxa"/>
          </w:tcPr>
          <w:p w14:paraId="029E0736"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3" w:type="dxa"/>
          </w:tcPr>
          <w:p w14:paraId="03874949"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9" w:type="dxa"/>
          </w:tcPr>
          <w:p w14:paraId="78131E81"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14:paraId="10863969"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14:paraId="085533C2"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5DBA" w:rsidRPr="000A4A0F" w14:paraId="783A773C" w14:textId="77777777" w:rsidTr="00C92759">
        <w:tc>
          <w:tcPr>
            <w:cnfStyle w:val="001000000000" w:firstRow="0" w:lastRow="0" w:firstColumn="1" w:lastColumn="0" w:oddVBand="0" w:evenVBand="0" w:oddHBand="0" w:evenHBand="0" w:firstRowFirstColumn="0" w:firstRowLastColumn="0" w:lastRowFirstColumn="0" w:lastRowLastColumn="0"/>
            <w:tcW w:w="421" w:type="dxa"/>
          </w:tcPr>
          <w:p w14:paraId="2DE83EA1"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41B773AA"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Oui (n=36)</w:t>
            </w:r>
          </w:p>
        </w:tc>
        <w:tc>
          <w:tcPr>
            <w:tcW w:w="1275" w:type="dxa"/>
          </w:tcPr>
          <w:p w14:paraId="35DD1E0B"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19,4</w:t>
            </w:r>
          </w:p>
        </w:tc>
        <w:tc>
          <w:tcPr>
            <w:tcW w:w="1843" w:type="dxa"/>
          </w:tcPr>
          <w:p w14:paraId="7ED66B4D"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0,63(0,24-1,66)</w:t>
            </w:r>
          </w:p>
        </w:tc>
        <w:tc>
          <w:tcPr>
            <w:tcW w:w="709" w:type="dxa"/>
          </w:tcPr>
          <w:p w14:paraId="02DF6AFA"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0,352</w:t>
            </w:r>
          </w:p>
        </w:tc>
        <w:tc>
          <w:tcPr>
            <w:tcW w:w="2126" w:type="dxa"/>
          </w:tcPr>
          <w:p w14:paraId="5017B1FD"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1,03(0,24-4,40)</w:t>
            </w:r>
          </w:p>
        </w:tc>
        <w:tc>
          <w:tcPr>
            <w:tcW w:w="1134" w:type="dxa"/>
          </w:tcPr>
          <w:p w14:paraId="38142775"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0,967</w:t>
            </w:r>
          </w:p>
        </w:tc>
      </w:tr>
      <w:tr w:rsidR="007D5DBA" w:rsidRPr="000A4A0F" w14:paraId="6E261D78"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5FD40CA"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0FAB794D"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Non (n=76)</w:t>
            </w:r>
          </w:p>
        </w:tc>
        <w:tc>
          <w:tcPr>
            <w:tcW w:w="1275" w:type="dxa"/>
          </w:tcPr>
          <w:p w14:paraId="40593273"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27,6</w:t>
            </w:r>
          </w:p>
        </w:tc>
        <w:tc>
          <w:tcPr>
            <w:tcW w:w="1843" w:type="dxa"/>
          </w:tcPr>
          <w:p w14:paraId="38F13773"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709" w:type="dxa"/>
          </w:tcPr>
          <w:p w14:paraId="18E9102B"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14:paraId="401E0FD9"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14:paraId="5C52C395"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5DBA" w:rsidRPr="000A4A0F" w14:paraId="7C034282" w14:textId="77777777" w:rsidTr="00C92759">
        <w:tc>
          <w:tcPr>
            <w:cnfStyle w:val="001000000000" w:firstRow="0" w:lastRow="0" w:firstColumn="1" w:lastColumn="0" w:oddVBand="0" w:evenVBand="0" w:oddHBand="0" w:evenHBand="0" w:firstRowFirstColumn="0" w:firstRowLastColumn="0" w:lastRowFirstColumn="0" w:lastRowLastColumn="0"/>
            <w:tcW w:w="2689" w:type="dxa"/>
            <w:gridSpan w:val="2"/>
          </w:tcPr>
          <w:p w14:paraId="4745657A" w14:textId="77777777" w:rsidR="007D5DBA" w:rsidRPr="000A4A0F" w:rsidRDefault="007D5DBA"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Génotype Hémoglobine</w:t>
            </w:r>
          </w:p>
        </w:tc>
        <w:tc>
          <w:tcPr>
            <w:tcW w:w="1275" w:type="dxa"/>
          </w:tcPr>
          <w:p w14:paraId="4C52CDEA"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3" w:type="dxa"/>
          </w:tcPr>
          <w:p w14:paraId="1FB2669F"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tcPr>
          <w:p w14:paraId="1A17A8B9"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26" w:type="dxa"/>
          </w:tcPr>
          <w:p w14:paraId="18B07536"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14:paraId="448D4E57"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5DBA" w:rsidRPr="000A4A0F" w14:paraId="6A2972CF"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41B6C71"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4B1BDE3A"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AS (n=13)</w:t>
            </w:r>
          </w:p>
        </w:tc>
        <w:tc>
          <w:tcPr>
            <w:tcW w:w="1275" w:type="dxa"/>
          </w:tcPr>
          <w:p w14:paraId="0729333C"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30,8</w:t>
            </w:r>
          </w:p>
        </w:tc>
        <w:tc>
          <w:tcPr>
            <w:tcW w:w="1843" w:type="dxa"/>
          </w:tcPr>
          <w:p w14:paraId="529F484E"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1,37(0,39-4,85)</w:t>
            </w:r>
          </w:p>
        </w:tc>
        <w:tc>
          <w:tcPr>
            <w:tcW w:w="709" w:type="dxa"/>
          </w:tcPr>
          <w:p w14:paraId="43A5CB6D"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0,625</w:t>
            </w:r>
          </w:p>
        </w:tc>
        <w:tc>
          <w:tcPr>
            <w:tcW w:w="2126" w:type="dxa"/>
          </w:tcPr>
          <w:p w14:paraId="4A79EE70"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0,17(0,02-1,90)</w:t>
            </w:r>
          </w:p>
        </w:tc>
        <w:tc>
          <w:tcPr>
            <w:tcW w:w="1134" w:type="dxa"/>
          </w:tcPr>
          <w:p w14:paraId="42BD105C"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0,150</w:t>
            </w:r>
          </w:p>
        </w:tc>
      </w:tr>
      <w:tr w:rsidR="007D5DBA" w:rsidRPr="000A4A0F" w14:paraId="3CFE9506" w14:textId="77777777" w:rsidTr="00C92759">
        <w:tc>
          <w:tcPr>
            <w:cnfStyle w:val="001000000000" w:firstRow="0" w:lastRow="0" w:firstColumn="1" w:lastColumn="0" w:oddVBand="0" w:evenVBand="0" w:oddHBand="0" w:evenHBand="0" w:firstRowFirstColumn="0" w:firstRowLastColumn="0" w:lastRowFirstColumn="0" w:lastRowLastColumn="0"/>
            <w:tcW w:w="421" w:type="dxa"/>
          </w:tcPr>
          <w:p w14:paraId="532663C9"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02CF0824"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AA (n=98)</w:t>
            </w:r>
          </w:p>
        </w:tc>
        <w:tc>
          <w:tcPr>
            <w:tcW w:w="1275" w:type="dxa"/>
          </w:tcPr>
          <w:p w14:paraId="5B77F2B1"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24,5</w:t>
            </w:r>
          </w:p>
        </w:tc>
        <w:tc>
          <w:tcPr>
            <w:tcW w:w="1843" w:type="dxa"/>
          </w:tcPr>
          <w:p w14:paraId="23A65130"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709" w:type="dxa"/>
          </w:tcPr>
          <w:p w14:paraId="3E856399"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26" w:type="dxa"/>
          </w:tcPr>
          <w:p w14:paraId="1E4AB129"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14:paraId="327B3DCC"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5DBA" w:rsidRPr="000A4A0F" w14:paraId="1DA55F78"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gridSpan w:val="2"/>
          </w:tcPr>
          <w:p w14:paraId="0DA7DFD3" w14:textId="77777777" w:rsidR="007D5DBA" w:rsidRPr="000A4A0F" w:rsidRDefault="007D5DBA"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Mucoviscidose </w:t>
            </w:r>
          </w:p>
        </w:tc>
        <w:tc>
          <w:tcPr>
            <w:tcW w:w="1275" w:type="dxa"/>
          </w:tcPr>
          <w:p w14:paraId="7C42508E"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3" w:type="dxa"/>
          </w:tcPr>
          <w:p w14:paraId="17194C8D"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9" w:type="dxa"/>
          </w:tcPr>
          <w:p w14:paraId="409A8587"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14:paraId="030170C0"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14:paraId="694F2E05"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5DBA" w:rsidRPr="000A4A0F" w14:paraId="7863A6CB" w14:textId="77777777" w:rsidTr="00C92759">
        <w:tc>
          <w:tcPr>
            <w:cnfStyle w:val="001000000000" w:firstRow="0" w:lastRow="0" w:firstColumn="1" w:lastColumn="0" w:oddVBand="0" w:evenVBand="0" w:oddHBand="0" w:evenHBand="0" w:firstRowFirstColumn="0" w:firstRowLastColumn="0" w:lastRowFirstColumn="0" w:lastRowLastColumn="0"/>
            <w:tcW w:w="421" w:type="dxa"/>
          </w:tcPr>
          <w:p w14:paraId="6C4C4D6A"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4642DF02"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Oui (n=3)</w:t>
            </w:r>
          </w:p>
        </w:tc>
        <w:tc>
          <w:tcPr>
            <w:tcW w:w="1275" w:type="dxa"/>
          </w:tcPr>
          <w:p w14:paraId="0E72212D"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33,3</w:t>
            </w:r>
          </w:p>
        </w:tc>
        <w:tc>
          <w:tcPr>
            <w:tcW w:w="1843" w:type="dxa"/>
          </w:tcPr>
          <w:p w14:paraId="4B6F7FD5"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1,50(0,13-17,20)</w:t>
            </w:r>
          </w:p>
        </w:tc>
        <w:tc>
          <w:tcPr>
            <w:tcW w:w="709" w:type="dxa"/>
          </w:tcPr>
          <w:p w14:paraId="0F87E8F8"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0,745</w:t>
            </w:r>
          </w:p>
        </w:tc>
        <w:tc>
          <w:tcPr>
            <w:tcW w:w="2126" w:type="dxa"/>
          </w:tcPr>
          <w:p w14:paraId="6C013CB8"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0,47(0,03-7,4)</w:t>
            </w:r>
          </w:p>
        </w:tc>
        <w:tc>
          <w:tcPr>
            <w:tcW w:w="1134" w:type="dxa"/>
          </w:tcPr>
          <w:p w14:paraId="06835BC1"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0,591</w:t>
            </w:r>
          </w:p>
        </w:tc>
      </w:tr>
      <w:tr w:rsidR="007D5DBA" w:rsidRPr="000A4A0F" w14:paraId="4BF61EBA"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202B5FB"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5D0C17F4"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Non (n=108)</w:t>
            </w:r>
          </w:p>
        </w:tc>
        <w:tc>
          <w:tcPr>
            <w:tcW w:w="1275" w:type="dxa"/>
          </w:tcPr>
          <w:p w14:paraId="33FFC734"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25,0</w:t>
            </w:r>
          </w:p>
        </w:tc>
        <w:tc>
          <w:tcPr>
            <w:tcW w:w="1843" w:type="dxa"/>
          </w:tcPr>
          <w:p w14:paraId="7689EE61"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709" w:type="dxa"/>
          </w:tcPr>
          <w:p w14:paraId="248AECEF"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14:paraId="00B063AC"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14:paraId="09EC5E9B"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5DBA" w:rsidRPr="000A4A0F" w14:paraId="126988ED" w14:textId="77777777" w:rsidTr="00C92759">
        <w:tc>
          <w:tcPr>
            <w:cnfStyle w:val="001000000000" w:firstRow="0" w:lastRow="0" w:firstColumn="1" w:lastColumn="0" w:oddVBand="0" w:evenVBand="0" w:oddHBand="0" w:evenHBand="0" w:firstRowFirstColumn="0" w:firstRowLastColumn="0" w:lastRowFirstColumn="0" w:lastRowLastColumn="0"/>
            <w:tcW w:w="2689" w:type="dxa"/>
            <w:gridSpan w:val="2"/>
          </w:tcPr>
          <w:p w14:paraId="3C059050" w14:textId="77777777" w:rsidR="007D5DBA" w:rsidRPr="000A4A0F" w:rsidRDefault="007D5DBA"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 xml:space="preserve">Taux de Bilirubine </w:t>
            </w:r>
          </w:p>
        </w:tc>
        <w:tc>
          <w:tcPr>
            <w:tcW w:w="1275" w:type="dxa"/>
          </w:tcPr>
          <w:p w14:paraId="3C7E1AD7"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3" w:type="dxa"/>
          </w:tcPr>
          <w:p w14:paraId="4CD87269"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tcPr>
          <w:p w14:paraId="26AA0ADA"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26" w:type="dxa"/>
          </w:tcPr>
          <w:p w14:paraId="646F0577"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14:paraId="12318FE2"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5DBA" w:rsidRPr="000A4A0F" w14:paraId="61CE0FEC"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5B6ABEF"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7BEEE6BB"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&lt; 20 (n=54)</w:t>
            </w:r>
          </w:p>
        </w:tc>
        <w:tc>
          <w:tcPr>
            <w:tcW w:w="1275" w:type="dxa"/>
          </w:tcPr>
          <w:p w14:paraId="17169E54"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16,7</w:t>
            </w:r>
          </w:p>
        </w:tc>
        <w:tc>
          <w:tcPr>
            <w:tcW w:w="1843" w:type="dxa"/>
          </w:tcPr>
          <w:p w14:paraId="59C4C2DF"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709" w:type="dxa"/>
          </w:tcPr>
          <w:p w14:paraId="6C74D45A"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14:paraId="59037DC0"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14:paraId="75FC0EBB"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5DBA" w:rsidRPr="000A4A0F" w14:paraId="79A52BA4" w14:textId="77777777" w:rsidTr="00C92759">
        <w:tc>
          <w:tcPr>
            <w:cnfStyle w:val="001000000000" w:firstRow="0" w:lastRow="0" w:firstColumn="1" w:lastColumn="0" w:oddVBand="0" w:evenVBand="0" w:oddHBand="0" w:evenHBand="0" w:firstRowFirstColumn="0" w:firstRowLastColumn="0" w:lastRowFirstColumn="0" w:lastRowLastColumn="0"/>
            <w:tcW w:w="421" w:type="dxa"/>
          </w:tcPr>
          <w:p w14:paraId="3945B178"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41B60F2D"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&gt;= 20 (n=58)</w:t>
            </w:r>
          </w:p>
        </w:tc>
        <w:tc>
          <w:tcPr>
            <w:tcW w:w="1275" w:type="dxa"/>
          </w:tcPr>
          <w:p w14:paraId="00710F3D"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32,8</w:t>
            </w:r>
          </w:p>
        </w:tc>
        <w:tc>
          <w:tcPr>
            <w:tcW w:w="1843" w:type="dxa"/>
          </w:tcPr>
          <w:p w14:paraId="0C623B21"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2,44(0,99-6,0)</w:t>
            </w:r>
          </w:p>
        </w:tc>
        <w:tc>
          <w:tcPr>
            <w:tcW w:w="709" w:type="dxa"/>
          </w:tcPr>
          <w:p w14:paraId="2F831BA9"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0,053</w:t>
            </w:r>
          </w:p>
        </w:tc>
        <w:tc>
          <w:tcPr>
            <w:tcW w:w="2126" w:type="dxa"/>
          </w:tcPr>
          <w:p w14:paraId="53C8E9FD"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4A0F">
              <w:rPr>
                <w:rFonts w:ascii="Times New Roman" w:hAnsi="Times New Roman" w:cs="Times New Roman"/>
                <w:b/>
                <w:sz w:val="24"/>
                <w:szCs w:val="24"/>
              </w:rPr>
              <w:t>6,95(1,39-34,63)</w:t>
            </w:r>
          </w:p>
        </w:tc>
        <w:tc>
          <w:tcPr>
            <w:tcW w:w="1134" w:type="dxa"/>
          </w:tcPr>
          <w:p w14:paraId="5DC56AF5"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4A0F">
              <w:rPr>
                <w:rFonts w:ascii="Times New Roman" w:hAnsi="Times New Roman" w:cs="Times New Roman"/>
                <w:b/>
                <w:sz w:val="24"/>
                <w:szCs w:val="24"/>
              </w:rPr>
              <w:t>0,018</w:t>
            </w:r>
          </w:p>
        </w:tc>
      </w:tr>
      <w:tr w:rsidR="007D5DBA" w:rsidRPr="000A4A0F" w14:paraId="1EF639A8"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gridSpan w:val="2"/>
          </w:tcPr>
          <w:p w14:paraId="50882F55" w14:textId="77777777" w:rsidR="007D5DBA" w:rsidRPr="000A4A0F" w:rsidRDefault="007D5DBA" w:rsidP="006612D9">
            <w:pPr>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Poids de naissance</w:t>
            </w:r>
          </w:p>
        </w:tc>
        <w:tc>
          <w:tcPr>
            <w:tcW w:w="1275" w:type="dxa"/>
          </w:tcPr>
          <w:p w14:paraId="138CBA5B"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3" w:type="dxa"/>
          </w:tcPr>
          <w:p w14:paraId="18D5ECCF"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9" w:type="dxa"/>
          </w:tcPr>
          <w:p w14:paraId="61EA7A11"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14:paraId="7B59D934"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14:paraId="40EEA9D5"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5DBA" w:rsidRPr="000A4A0F" w14:paraId="2AB65BDE" w14:textId="77777777" w:rsidTr="00C92759">
        <w:tc>
          <w:tcPr>
            <w:cnfStyle w:val="001000000000" w:firstRow="0" w:lastRow="0" w:firstColumn="1" w:lastColumn="0" w:oddVBand="0" w:evenVBand="0" w:oddHBand="0" w:evenHBand="0" w:firstRowFirstColumn="0" w:firstRowLastColumn="0" w:lastRowFirstColumn="0" w:lastRowLastColumn="0"/>
            <w:tcW w:w="421" w:type="dxa"/>
          </w:tcPr>
          <w:p w14:paraId="670E9D5F"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36B84052"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&lt; 2500 (n=50)</w:t>
            </w:r>
          </w:p>
        </w:tc>
        <w:tc>
          <w:tcPr>
            <w:tcW w:w="1275" w:type="dxa"/>
          </w:tcPr>
          <w:p w14:paraId="55885876"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22,0</w:t>
            </w:r>
          </w:p>
        </w:tc>
        <w:tc>
          <w:tcPr>
            <w:tcW w:w="1843" w:type="dxa"/>
          </w:tcPr>
          <w:p w14:paraId="6AB69C6D"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0,73(0,29-1,79)</w:t>
            </w:r>
          </w:p>
        </w:tc>
        <w:tc>
          <w:tcPr>
            <w:tcW w:w="709" w:type="dxa"/>
          </w:tcPr>
          <w:p w14:paraId="7A9C0192"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0,497</w:t>
            </w:r>
          </w:p>
        </w:tc>
        <w:tc>
          <w:tcPr>
            <w:tcW w:w="2126" w:type="dxa"/>
          </w:tcPr>
          <w:p w14:paraId="4DF54788"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0,62(0,06-6,58)</w:t>
            </w:r>
          </w:p>
        </w:tc>
        <w:tc>
          <w:tcPr>
            <w:tcW w:w="1134" w:type="dxa"/>
          </w:tcPr>
          <w:p w14:paraId="55C6123C" w14:textId="77777777" w:rsidR="007D5DBA" w:rsidRPr="000A4A0F" w:rsidRDefault="007D5DBA" w:rsidP="006612D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0,621</w:t>
            </w:r>
          </w:p>
        </w:tc>
      </w:tr>
      <w:tr w:rsidR="007D5DBA" w:rsidRPr="000A4A0F" w14:paraId="07D99582" w14:textId="77777777" w:rsidTr="00C92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0EF25D9" w14:textId="77777777" w:rsidR="007D5DBA" w:rsidRPr="000A4A0F" w:rsidRDefault="007D5DBA" w:rsidP="006612D9">
            <w:pPr>
              <w:spacing w:line="360" w:lineRule="auto"/>
              <w:jc w:val="both"/>
              <w:rPr>
                <w:rFonts w:ascii="Times New Roman" w:hAnsi="Times New Roman" w:cs="Times New Roman"/>
                <w:sz w:val="24"/>
                <w:szCs w:val="24"/>
              </w:rPr>
            </w:pPr>
          </w:p>
        </w:tc>
        <w:tc>
          <w:tcPr>
            <w:tcW w:w="2268" w:type="dxa"/>
          </w:tcPr>
          <w:p w14:paraId="618BB346"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&gt;=2500 (n=54)</w:t>
            </w:r>
          </w:p>
        </w:tc>
        <w:tc>
          <w:tcPr>
            <w:tcW w:w="1275" w:type="dxa"/>
          </w:tcPr>
          <w:p w14:paraId="47695C2C"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27,8</w:t>
            </w:r>
          </w:p>
        </w:tc>
        <w:tc>
          <w:tcPr>
            <w:tcW w:w="1843" w:type="dxa"/>
          </w:tcPr>
          <w:p w14:paraId="3001D25C"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709" w:type="dxa"/>
          </w:tcPr>
          <w:p w14:paraId="50EFED1C"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6" w:type="dxa"/>
          </w:tcPr>
          <w:p w14:paraId="1F683546"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14:paraId="7BD079B2" w14:textId="77777777" w:rsidR="007D5DBA" w:rsidRPr="000A4A0F" w:rsidRDefault="007D5DBA" w:rsidP="006612D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16B2BF25" w14:textId="43447A11" w:rsidR="007D5DBA" w:rsidRPr="000A4A0F" w:rsidRDefault="00F638E4" w:rsidP="00154ECA">
      <w:pPr>
        <w:suppressAutoHyphens w:val="0"/>
        <w:spacing w:before="480" w:after="0" w:line="360" w:lineRule="auto"/>
        <w:jc w:val="both"/>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lastRenderedPageBreak/>
        <w:t>Les Facteurs associé</w:t>
      </w:r>
      <w:r w:rsidR="002855E8" w:rsidRPr="000A4A0F">
        <w:rPr>
          <w:rFonts w:ascii="Times New Roman" w:eastAsia="Times New Roman" w:hAnsi="Times New Roman" w:cs="Times New Roman"/>
          <w:color w:val="000000"/>
          <w:sz w:val="24"/>
          <w:szCs w:val="24"/>
          <w:lang w:eastAsia="fr-FR"/>
        </w:rPr>
        <w:t xml:space="preserve">s </w:t>
      </w:r>
      <w:r w:rsidRPr="000A4A0F">
        <w:rPr>
          <w:rFonts w:ascii="Times New Roman" w:eastAsia="Times New Roman" w:hAnsi="Times New Roman" w:cs="Times New Roman"/>
          <w:color w:val="000000"/>
          <w:sz w:val="24"/>
          <w:szCs w:val="24"/>
          <w:lang w:eastAsia="fr-FR"/>
        </w:rPr>
        <w:t>à</w:t>
      </w:r>
      <w:r w:rsidR="002855E8" w:rsidRPr="000A4A0F">
        <w:rPr>
          <w:rFonts w:ascii="Times New Roman" w:eastAsia="Times New Roman" w:hAnsi="Times New Roman" w:cs="Times New Roman"/>
          <w:color w:val="000000"/>
          <w:sz w:val="24"/>
          <w:szCs w:val="24"/>
          <w:lang w:eastAsia="fr-FR"/>
        </w:rPr>
        <w:t xml:space="preserve"> l’</w:t>
      </w:r>
      <w:r w:rsidRPr="000A4A0F">
        <w:rPr>
          <w:rFonts w:ascii="Times New Roman" w:eastAsia="Times New Roman" w:hAnsi="Times New Roman" w:cs="Times New Roman"/>
          <w:color w:val="000000"/>
          <w:sz w:val="24"/>
          <w:szCs w:val="24"/>
          <w:lang w:eastAsia="fr-FR"/>
        </w:rPr>
        <w:t>anémie</w:t>
      </w:r>
      <w:r w:rsidR="002855E8" w:rsidRPr="000A4A0F">
        <w:rPr>
          <w:rFonts w:ascii="Times New Roman" w:eastAsia="Times New Roman" w:hAnsi="Times New Roman" w:cs="Times New Roman"/>
          <w:color w:val="000000"/>
          <w:sz w:val="24"/>
          <w:szCs w:val="24"/>
          <w:lang w:eastAsia="fr-FR"/>
        </w:rPr>
        <w:t xml:space="preserve"> chez </w:t>
      </w:r>
      <w:r w:rsidRPr="000A4A0F">
        <w:rPr>
          <w:rFonts w:ascii="Times New Roman" w:eastAsia="Times New Roman" w:hAnsi="Times New Roman" w:cs="Times New Roman"/>
          <w:color w:val="000000"/>
          <w:sz w:val="24"/>
          <w:szCs w:val="24"/>
          <w:lang w:eastAsia="fr-FR"/>
        </w:rPr>
        <w:t>les nouveau-nés ictériques</w:t>
      </w:r>
      <w:r w:rsidR="002855E8" w:rsidRPr="000A4A0F">
        <w:rPr>
          <w:rFonts w:ascii="Times New Roman" w:eastAsia="Times New Roman" w:hAnsi="Times New Roman" w:cs="Times New Roman"/>
          <w:color w:val="000000"/>
          <w:sz w:val="24"/>
          <w:szCs w:val="24"/>
          <w:lang w:eastAsia="fr-FR"/>
        </w:rPr>
        <w:t xml:space="preserve"> </w:t>
      </w:r>
      <w:r w:rsidRPr="000A4A0F">
        <w:rPr>
          <w:rFonts w:ascii="Times New Roman" w:eastAsia="Times New Roman" w:hAnsi="Times New Roman" w:cs="Times New Roman"/>
          <w:color w:val="000000"/>
          <w:sz w:val="24"/>
          <w:szCs w:val="24"/>
          <w:lang w:eastAsia="fr-FR"/>
        </w:rPr>
        <w:t>à</w:t>
      </w:r>
      <w:r w:rsidR="002855E8" w:rsidRPr="000A4A0F">
        <w:rPr>
          <w:rFonts w:ascii="Times New Roman" w:eastAsia="Times New Roman" w:hAnsi="Times New Roman" w:cs="Times New Roman"/>
          <w:color w:val="000000"/>
          <w:sz w:val="24"/>
          <w:szCs w:val="24"/>
          <w:lang w:eastAsia="fr-FR"/>
        </w:rPr>
        <w:t xml:space="preserve"> l’</w:t>
      </w:r>
      <w:r w:rsidRPr="000A4A0F">
        <w:rPr>
          <w:rFonts w:ascii="Times New Roman" w:eastAsia="Times New Roman" w:hAnsi="Times New Roman" w:cs="Times New Roman"/>
          <w:color w:val="000000"/>
          <w:sz w:val="24"/>
          <w:szCs w:val="24"/>
          <w:lang w:eastAsia="fr-FR"/>
        </w:rPr>
        <w:t>unité</w:t>
      </w:r>
      <w:r w:rsidR="002855E8" w:rsidRPr="000A4A0F">
        <w:rPr>
          <w:rFonts w:ascii="Times New Roman" w:eastAsia="Times New Roman" w:hAnsi="Times New Roman" w:cs="Times New Roman"/>
          <w:color w:val="000000"/>
          <w:sz w:val="24"/>
          <w:szCs w:val="24"/>
          <w:lang w:eastAsia="fr-FR"/>
        </w:rPr>
        <w:t xml:space="preserve"> de soins intensifs </w:t>
      </w:r>
      <w:r w:rsidRPr="000A4A0F">
        <w:rPr>
          <w:rFonts w:ascii="Times New Roman" w:eastAsia="Times New Roman" w:hAnsi="Times New Roman" w:cs="Times New Roman"/>
          <w:color w:val="000000"/>
          <w:sz w:val="24"/>
          <w:szCs w:val="24"/>
          <w:lang w:eastAsia="fr-FR"/>
        </w:rPr>
        <w:t>néonatal</w:t>
      </w:r>
      <w:r w:rsidR="002855E8" w:rsidRPr="000A4A0F">
        <w:rPr>
          <w:rFonts w:ascii="Times New Roman" w:eastAsia="Times New Roman" w:hAnsi="Times New Roman" w:cs="Times New Roman"/>
          <w:color w:val="000000"/>
          <w:sz w:val="24"/>
          <w:szCs w:val="24"/>
          <w:lang w:eastAsia="fr-FR"/>
        </w:rPr>
        <w:t xml:space="preserve"> de l’HPGRB</w:t>
      </w:r>
      <w:r w:rsidRPr="000A4A0F">
        <w:rPr>
          <w:rFonts w:ascii="Times New Roman" w:eastAsia="Times New Roman" w:hAnsi="Times New Roman" w:cs="Times New Roman"/>
          <w:color w:val="000000"/>
          <w:sz w:val="24"/>
          <w:szCs w:val="24"/>
          <w:lang w:eastAsia="fr-FR"/>
        </w:rPr>
        <w:t xml:space="preserve"> sont la prématurité [</w:t>
      </w:r>
      <w:proofErr w:type="spellStart"/>
      <w:r w:rsidRPr="000A4A0F">
        <w:rPr>
          <w:rFonts w:ascii="Times New Roman" w:eastAsia="Times New Roman" w:hAnsi="Times New Roman" w:cs="Times New Roman"/>
          <w:color w:val="000000"/>
          <w:sz w:val="24"/>
          <w:szCs w:val="24"/>
          <w:lang w:eastAsia="fr-FR"/>
        </w:rPr>
        <w:t>ORa</w:t>
      </w:r>
      <w:proofErr w:type="spellEnd"/>
      <w:r w:rsidRPr="000A4A0F">
        <w:rPr>
          <w:rFonts w:ascii="Times New Roman" w:eastAsia="Times New Roman" w:hAnsi="Times New Roman" w:cs="Times New Roman"/>
          <w:color w:val="000000"/>
          <w:sz w:val="24"/>
          <w:szCs w:val="24"/>
          <w:lang w:eastAsia="fr-FR"/>
        </w:rPr>
        <w:t xml:space="preserve"> (IC : 95%), p=12,18(1,06-139,7), p=0.045], l’</w:t>
      </w:r>
      <w:r w:rsidR="00F94A7B" w:rsidRPr="000A4A0F">
        <w:rPr>
          <w:rFonts w:ascii="Times New Roman" w:eastAsia="Times New Roman" w:hAnsi="Times New Roman" w:cs="Times New Roman"/>
          <w:color w:val="000000"/>
          <w:sz w:val="24"/>
          <w:szCs w:val="24"/>
          <w:lang w:eastAsia="fr-FR"/>
        </w:rPr>
        <w:t>incompatibilité</w:t>
      </w:r>
      <w:r w:rsidRPr="000A4A0F">
        <w:rPr>
          <w:rFonts w:ascii="Times New Roman" w:eastAsia="Times New Roman" w:hAnsi="Times New Roman" w:cs="Times New Roman"/>
          <w:color w:val="000000"/>
          <w:sz w:val="24"/>
          <w:szCs w:val="24"/>
          <w:lang w:eastAsia="fr-FR"/>
        </w:rPr>
        <w:t xml:space="preserve"> ABO [</w:t>
      </w:r>
      <w:proofErr w:type="spellStart"/>
      <w:r w:rsidRPr="000A4A0F">
        <w:rPr>
          <w:rFonts w:ascii="Times New Roman" w:eastAsia="Times New Roman" w:hAnsi="Times New Roman" w:cs="Times New Roman"/>
          <w:color w:val="000000"/>
          <w:sz w:val="24"/>
          <w:szCs w:val="24"/>
          <w:lang w:eastAsia="fr-FR"/>
        </w:rPr>
        <w:t>ORa</w:t>
      </w:r>
      <w:proofErr w:type="spellEnd"/>
      <w:r w:rsidRPr="000A4A0F">
        <w:rPr>
          <w:rFonts w:ascii="Times New Roman" w:eastAsia="Times New Roman" w:hAnsi="Times New Roman" w:cs="Times New Roman"/>
          <w:color w:val="000000"/>
          <w:sz w:val="24"/>
          <w:szCs w:val="24"/>
          <w:lang w:eastAsia="fr-FR"/>
        </w:rPr>
        <w:t xml:space="preserve"> (IC : 95%), p=11.58 (2.66-50.32), p=0.001] ;</w:t>
      </w:r>
      <w:r w:rsidR="00F94A7B" w:rsidRPr="000A4A0F">
        <w:rPr>
          <w:rFonts w:ascii="Times New Roman" w:eastAsia="Times New Roman" w:hAnsi="Times New Roman" w:cs="Times New Roman"/>
          <w:color w:val="000000"/>
          <w:sz w:val="24"/>
          <w:szCs w:val="24"/>
          <w:lang w:eastAsia="fr-FR"/>
        </w:rPr>
        <w:t xml:space="preserve"> Hyper bilirubinémie</w:t>
      </w:r>
      <w:r w:rsidRPr="000A4A0F">
        <w:rPr>
          <w:rFonts w:ascii="Times New Roman" w:eastAsia="Times New Roman" w:hAnsi="Times New Roman" w:cs="Times New Roman"/>
          <w:color w:val="000000"/>
          <w:sz w:val="24"/>
          <w:szCs w:val="24"/>
          <w:lang w:eastAsia="fr-FR"/>
        </w:rPr>
        <w:t xml:space="preserve"> (&gt;20mg/dl) [</w:t>
      </w:r>
      <w:proofErr w:type="spellStart"/>
      <w:r w:rsidRPr="000A4A0F">
        <w:rPr>
          <w:rFonts w:ascii="Times New Roman" w:eastAsia="Times New Roman" w:hAnsi="Times New Roman" w:cs="Times New Roman"/>
          <w:color w:val="000000"/>
          <w:sz w:val="24"/>
          <w:szCs w:val="24"/>
          <w:lang w:eastAsia="fr-FR"/>
        </w:rPr>
        <w:t>ORa</w:t>
      </w:r>
      <w:proofErr w:type="spellEnd"/>
      <w:r w:rsidRPr="000A4A0F">
        <w:rPr>
          <w:rFonts w:ascii="Times New Roman" w:eastAsia="Times New Roman" w:hAnsi="Times New Roman" w:cs="Times New Roman"/>
          <w:color w:val="000000"/>
          <w:sz w:val="24"/>
          <w:szCs w:val="24"/>
          <w:lang w:eastAsia="fr-FR"/>
        </w:rPr>
        <w:t xml:space="preserve"> (IC : 95%), p=</w:t>
      </w:r>
      <w:r w:rsidR="00F94A7B" w:rsidRPr="000A4A0F">
        <w:rPr>
          <w:rFonts w:ascii="Times New Roman" w:eastAsia="Times New Roman" w:hAnsi="Times New Roman" w:cs="Times New Roman"/>
          <w:color w:val="000000"/>
          <w:sz w:val="24"/>
          <w:szCs w:val="24"/>
          <w:lang w:eastAsia="fr-FR"/>
        </w:rPr>
        <w:t>6.95</w:t>
      </w:r>
      <w:r w:rsidRPr="000A4A0F">
        <w:rPr>
          <w:rFonts w:ascii="Times New Roman" w:eastAsia="Times New Roman" w:hAnsi="Times New Roman" w:cs="Times New Roman"/>
          <w:color w:val="000000"/>
          <w:sz w:val="24"/>
          <w:szCs w:val="24"/>
          <w:lang w:eastAsia="fr-FR"/>
        </w:rPr>
        <w:t xml:space="preserve"> (</w:t>
      </w:r>
      <w:r w:rsidR="00F94A7B" w:rsidRPr="000A4A0F">
        <w:rPr>
          <w:rFonts w:ascii="Times New Roman" w:eastAsia="Times New Roman" w:hAnsi="Times New Roman" w:cs="Times New Roman"/>
          <w:color w:val="000000"/>
          <w:sz w:val="24"/>
          <w:szCs w:val="24"/>
          <w:lang w:eastAsia="fr-FR"/>
        </w:rPr>
        <w:t>1.39</w:t>
      </w:r>
      <w:r w:rsidRPr="000A4A0F">
        <w:rPr>
          <w:rFonts w:ascii="Times New Roman" w:eastAsia="Times New Roman" w:hAnsi="Times New Roman" w:cs="Times New Roman"/>
          <w:color w:val="000000"/>
          <w:sz w:val="24"/>
          <w:szCs w:val="24"/>
          <w:lang w:eastAsia="fr-FR"/>
        </w:rPr>
        <w:t>-</w:t>
      </w:r>
      <w:r w:rsidR="00F94A7B" w:rsidRPr="000A4A0F">
        <w:rPr>
          <w:rFonts w:ascii="Times New Roman" w:eastAsia="Times New Roman" w:hAnsi="Times New Roman" w:cs="Times New Roman"/>
          <w:color w:val="000000"/>
          <w:sz w:val="24"/>
          <w:szCs w:val="24"/>
          <w:lang w:eastAsia="fr-FR"/>
        </w:rPr>
        <w:t>34,63</w:t>
      </w:r>
      <w:r w:rsidRPr="000A4A0F">
        <w:rPr>
          <w:rFonts w:ascii="Times New Roman" w:eastAsia="Times New Roman" w:hAnsi="Times New Roman" w:cs="Times New Roman"/>
          <w:color w:val="000000"/>
          <w:sz w:val="24"/>
          <w:szCs w:val="24"/>
          <w:lang w:eastAsia="fr-FR"/>
        </w:rPr>
        <w:t>), p</w:t>
      </w:r>
      <w:r w:rsidR="00F94A7B" w:rsidRPr="000A4A0F">
        <w:rPr>
          <w:rFonts w:ascii="Times New Roman" w:eastAsia="Times New Roman" w:hAnsi="Times New Roman" w:cs="Times New Roman"/>
          <w:color w:val="000000"/>
          <w:sz w:val="24"/>
          <w:szCs w:val="24"/>
          <w:lang w:eastAsia="fr-FR"/>
        </w:rPr>
        <w:t>=0.0</w:t>
      </w:r>
      <w:r w:rsidRPr="000A4A0F">
        <w:rPr>
          <w:rFonts w:ascii="Times New Roman" w:eastAsia="Times New Roman" w:hAnsi="Times New Roman" w:cs="Times New Roman"/>
          <w:color w:val="000000"/>
          <w:sz w:val="24"/>
          <w:szCs w:val="24"/>
          <w:lang w:eastAsia="fr-FR"/>
        </w:rPr>
        <w:t>1</w:t>
      </w:r>
      <w:r w:rsidR="00F94A7B" w:rsidRPr="000A4A0F">
        <w:rPr>
          <w:rFonts w:ascii="Times New Roman" w:eastAsia="Times New Roman" w:hAnsi="Times New Roman" w:cs="Times New Roman"/>
          <w:color w:val="000000"/>
          <w:sz w:val="24"/>
          <w:szCs w:val="24"/>
          <w:lang w:eastAsia="fr-FR"/>
        </w:rPr>
        <w:t>8</w:t>
      </w:r>
      <w:r w:rsidRPr="000A4A0F">
        <w:rPr>
          <w:rFonts w:ascii="Times New Roman" w:eastAsia="Times New Roman" w:hAnsi="Times New Roman" w:cs="Times New Roman"/>
          <w:color w:val="000000"/>
          <w:sz w:val="24"/>
          <w:szCs w:val="24"/>
          <w:lang w:eastAsia="fr-FR"/>
        </w:rPr>
        <w:t>]</w:t>
      </w:r>
      <w:r w:rsidR="007D5DBA" w:rsidRPr="000A4A0F">
        <w:rPr>
          <w:rFonts w:ascii="Times New Roman" w:eastAsia="Times New Roman" w:hAnsi="Times New Roman" w:cs="Times New Roman"/>
          <w:color w:val="000000"/>
          <w:sz w:val="24"/>
          <w:szCs w:val="24"/>
          <w:lang w:eastAsia="fr-FR"/>
        </w:rPr>
        <w:br w:type="page"/>
      </w:r>
    </w:p>
    <w:p w14:paraId="3A1780A9" w14:textId="68E93E21" w:rsidR="00DD0068" w:rsidRPr="000A4A0F" w:rsidRDefault="00FF46EE" w:rsidP="006612D9">
      <w:pPr>
        <w:spacing w:after="0" w:line="360" w:lineRule="auto"/>
        <w:ind w:left="1418" w:hanging="1418"/>
        <w:jc w:val="both"/>
        <w:rPr>
          <w:rFonts w:ascii="Times New Roman" w:hAnsi="Times New Roman" w:cs="Times New Roman"/>
          <w:sz w:val="24"/>
          <w:szCs w:val="24"/>
        </w:rPr>
      </w:pPr>
      <w:r w:rsidRPr="000A4A0F">
        <w:rPr>
          <w:rFonts w:ascii="Times New Roman" w:hAnsi="Times New Roman" w:cs="Times New Roman"/>
          <w:b/>
          <w:sz w:val="24"/>
          <w:szCs w:val="24"/>
        </w:rPr>
        <w:lastRenderedPageBreak/>
        <w:t>Tableau</w:t>
      </w:r>
      <w:r w:rsidR="00FC4BB6" w:rsidRPr="000A4A0F">
        <w:rPr>
          <w:rFonts w:ascii="Times New Roman" w:hAnsi="Times New Roman" w:cs="Times New Roman"/>
          <w:b/>
          <w:sz w:val="24"/>
          <w:szCs w:val="24"/>
        </w:rPr>
        <w:t xml:space="preserve"> 7</w:t>
      </w:r>
      <w:r w:rsidRPr="000A4A0F">
        <w:rPr>
          <w:rFonts w:ascii="Times New Roman" w:hAnsi="Times New Roman" w:cs="Times New Roman"/>
          <w:b/>
          <w:sz w:val="24"/>
          <w:szCs w:val="24"/>
        </w:rPr>
        <w:t>:</w:t>
      </w:r>
      <w:r w:rsidR="00DD0068" w:rsidRPr="000A4A0F">
        <w:rPr>
          <w:rFonts w:ascii="Times New Roman" w:hAnsi="Times New Roman" w:cs="Times New Roman"/>
          <w:b/>
          <w:sz w:val="24"/>
          <w:szCs w:val="24"/>
        </w:rPr>
        <w:t xml:space="preserve">Facteurs associés au décès intra-hospitalier des nouveau-nés ictériques : Régression logistique </w:t>
      </w:r>
      <w:r w:rsidR="007D5DBA" w:rsidRPr="000A4A0F">
        <w:rPr>
          <w:rFonts w:ascii="Times New Roman" w:hAnsi="Times New Roman" w:cs="Times New Roman"/>
          <w:b/>
          <w:sz w:val="24"/>
          <w:szCs w:val="24"/>
        </w:rPr>
        <w:t>uni variées</w:t>
      </w:r>
    </w:p>
    <w:tbl>
      <w:tblPr>
        <w:tblStyle w:val="TableauListe6Couleur-Accentuation3"/>
        <w:tblW w:w="10073" w:type="dxa"/>
        <w:tblLook w:val="04A0" w:firstRow="1" w:lastRow="0" w:firstColumn="1" w:lastColumn="0" w:noHBand="0" w:noVBand="1"/>
      </w:tblPr>
      <w:tblGrid>
        <w:gridCol w:w="3932"/>
        <w:gridCol w:w="1890"/>
        <w:gridCol w:w="2677"/>
        <w:gridCol w:w="1574"/>
      </w:tblGrid>
      <w:tr w:rsidR="00DD0068" w:rsidRPr="000A4A0F" w14:paraId="432B573B" w14:textId="77777777" w:rsidTr="00CA42D1">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32" w:type="dxa"/>
          </w:tcPr>
          <w:p w14:paraId="32AFB7E0"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Paramètres</w:t>
            </w:r>
          </w:p>
        </w:tc>
        <w:tc>
          <w:tcPr>
            <w:tcW w:w="1890" w:type="dxa"/>
          </w:tcPr>
          <w:p w14:paraId="1A2DD61B" w14:textId="77777777" w:rsidR="00DD0068" w:rsidRPr="000A4A0F" w:rsidRDefault="00DD0068" w:rsidP="006612D9">
            <w:pPr>
              <w:pStyle w:val="Sansinterligne"/>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 décès</w:t>
            </w:r>
          </w:p>
        </w:tc>
        <w:tc>
          <w:tcPr>
            <w:tcW w:w="2677" w:type="dxa"/>
          </w:tcPr>
          <w:p w14:paraId="6B7B9974" w14:textId="77777777" w:rsidR="00DD0068" w:rsidRPr="000A4A0F" w:rsidRDefault="00DD0068" w:rsidP="006612D9">
            <w:pPr>
              <w:pStyle w:val="Sansinterligne"/>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OR na (IC à 95%)</w:t>
            </w:r>
          </w:p>
        </w:tc>
        <w:tc>
          <w:tcPr>
            <w:tcW w:w="1574" w:type="dxa"/>
          </w:tcPr>
          <w:p w14:paraId="7FBAFA90" w14:textId="77777777" w:rsidR="00DD0068" w:rsidRPr="000A4A0F" w:rsidRDefault="00DD0068" w:rsidP="006612D9">
            <w:pPr>
              <w:pStyle w:val="Sansinterligne"/>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P</w:t>
            </w:r>
          </w:p>
        </w:tc>
      </w:tr>
      <w:tr w:rsidR="00DD0068" w:rsidRPr="000A4A0F" w14:paraId="62C33A0A" w14:textId="77777777" w:rsidTr="00CA42D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822" w:type="dxa"/>
            <w:gridSpan w:val="2"/>
          </w:tcPr>
          <w:p w14:paraId="4DF961C4"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Lieu de Naissance (n=128)</w:t>
            </w:r>
          </w:p>
        </w:tc>
        <w:tc>
          <w:tcPr>
            <w:tcW w:w="2677" w:type="dxa"/>
          </w:tcPr>
          <w:p w14:paraId="7328816E"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74" w:type="dxa"/>
          </w:tcPr>
          <w:p w14:paraId="73FA4202"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0068" w:rsidRPr="000A4A0F" w14:paraId="16781E96" w14:textId="77777777" w:rsidTr="00CA42D1">
        <w:trPr>
          <w:trHeight w:val="238"/>
        </w:trPr>
        <w:tc>
          <w:tcPr>
            <w:cnfStyle w:val="001000000000" w:firstRow="0" w:lastRow="0" w:firstColumn="1" w:lastColumn="0" w:oddVBand="0" w:evenVBand="0" w:oddHBand="0" w:evenHBand="0" w:firstRowFirstColumn="0" w:firstRowLastColumn="0" w:lastRowFirstColumn="0" w:lastRowLastColumn="0"/>
            <w:tcW w:w="3932" w:type="dxa"/>
          </w:tcPr>
          <w:p w14:paraId="76968073"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HPGRB</w:t>
            </w:r>
          </w:p>
        </w:tc>
        <w:tc>
          <w:tcPr>
            <w:tcW w:w="1890" w:type="dxa"/>
          </w:tcPr>
          <w:p w14:paraId="06CAAE6C"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6.3</w:t>
            </w:r>
          </w:p>
        </w:tc>
        <w:tc>
          <w:tcPr>
            <w:tcW w:w="2677" w:type="dxa"/>
          </w:tcPr>
          <w:p w14:paraId="2892156A"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1574" w:type="dxa"/>
          </w:tcPr>
          <w:p w14:paraId="074C557C"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D0068" w:rsidRPr="000A4A0F" w14:paraId="5DDAA5B8" w14:textId="77777777" w:rsidTr="00CA42D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932" w:type="dxa"/>
          </w:tcPr>
          <w:p w14:paraId="193A1E3C"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Hors HPGRB</w:t>
            </w:r>
          </w:p>
        </w:tc>
        <w:tc>
          <w:tcPr>
            <w:tcW w:w="1890" w:type="dxa"/>
          </w:tcPr>
          <w:p w14:paraId="65A6B10C"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9.1</w:t>
            </w:r>
          </w:p>
        </w:tc>
        <w:tc>
          <w:tcPr>
            <w:tcW w:w="2677" w:type="dxa"/>
          </w:tcPr>
          <w:p w14:paraId="46E2FD9D" w14:textId="184F18D3" w:rsidR="00DD0068" w:rsidRPr="000A4A0F" w:rsidRDefault="00A80C60"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1.48 (</w:t>
            </w:r>
            <w:r w:rsidR="00DD0068" w:rsidRPr="000A4A0F">
              <w:rPr>
                <w:rFonts w:ascii="Times New Roman" w:hAnsi="Times New Roman" w:cs="Times New Roman"/>
                <w:sz w:val="24"/>
                <w:szCs w:val="24"/>
              </w:rPr>
              <w:t>0.35-6.30)</w:t>
            </w:r>
          </w:p>
        </w:tc>
        <w:tc>
          <w:tcPr>
            <w:tcW w:w="1574" w:type="dxa"/>
          </w:tcPr>
          <w:p w14:paraId="0D284B3A"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0.593</w:t>
            </w:r>
          </w:p>
        </w:tc>
      </w:tr>
      <w:tr w:rsidR="00DD0068" w:rsidRPr="000A4A0F" w14:paraId="4F598DB2" w14:textId="77777777" w:rsidTr="00CA42D1">
        <w:trPr>
          <w:trHeight w:val="238"/>
        </w:trPr>
        <w:tc>
          <w:tcPr>
            <w:cnfStyle w:val="001000000000" w:firstRow="0" w:lastRow="0" w:firstColumn="1" w:lastColumn="0" w:oddVBand="0" w:evenVBand="0" w:oddHBand="0" w:evenHBand="0" w:firstRowFirstColumn="0" w:firstRowLastColumn="0" w:lastRowFirstColumn="0" w:lastRowLastColumn="0"/>
            <w:tcW w:w="5822" w:type="dxa"/>
            <w:gridSpan w:val="2"/>
          </w:tcPr>
          <w:p w14:paraId="28145FC8"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Age gestationnel (n=116)</w:t>
            </w:r>
          </w:p>
        </w:tc>
        <w:tc>
          <w:tcPr>
            <w:tcW w:w="2677" w:type="dxa"/>
          </w:tcPr>
          <w:p w14:paraId="30AB50A0"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74" w:type="dxa"/>
          </w:tcPr>
          <w:p w14:paraId="3740E337"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D0068" w:rsidRPr="000A4A0F" w14:paraId="3EE859B1" w14:textId="77777777" w:rsidTr="00CA42D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32" w:type="dxa"/>
          </w:tcPr>
          <w:p w14:paraId="399DC1E7"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Prématurité</w:t>
            </w:r>
          </w:p>
        </w:tc>
        <w:tc>
          <w:tcPr>
            <w:tcW w:w="1890" w:type="dxa"/>
          </w:tcPr>
          <w:p w14:paraId="74248565"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8.3</w:t>
            </w:r>
          </w:p>
        </w:tc>
        <w:tc>
          <w:tcPr>
            <w:tcW w:w="2677" w:type="dxa"/>
          </w:tcPr>
          <w:p w14:paraId="381E62A9" w14:textId="1873E475" w:rsidR="00DD0068" w:rsidRPr="000A4A0F" w:rsidRDefault="00A80C60"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3.0 (</w:t>
            </w:r>
            <w:r w:rsidR="00DD0068" w:rsidRPr="000A4A0F">
              <w:rPr>
                <w:rFonts w:ascii="Times New Roman" w:hAnsi="Times New Roman" w:cs="Times New Roman"/>
                <w:sz w:val="24"/>
                <w:szCs w:val="24"/>
              </w:rPr>
              <w:t>0.52-17.09)</w:t>
            </w:r>
          </w:p>
        </w:tc>
        <w:tc>
          <w:tcPr>
            <w:tcW w:w="1574" w:type="dxa"/>
          </w:tcPr>
          <w:p w14:paraId="00BBC7B0"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0.216</w:t>
            </w:r>
          </w:p>
        </w:tc>
      </w:tr>
      <w:tr w:rsidR="00DD0068" w:rsidRPr="000A4A0F" w14:paraId="6B9516F1" w14:textId="77777777" w:rsidTr="00CA42D1">
        <w:trPr>
          <w:trHeight w:val="238"/>
        </w:trPr>
        <w:tc>
          <w:tcPr>
            <w:cnfStyle w:val="001000000000" w:firstRow="0" w:lastRow="0" w:firstColumn="1" w:lastColumn="0" w:oddVBand="0" w:evenVBand="0" w:oddHBand="0" w:evenHBand="0" w:firstRowFirstColumn="0" w:firstRowLastColumn="0" w:lastRowFirstColumn="0" w:lastRowLastColumn="0"/>
            <w:tcW w:w="3932" w:type="dxa"/>
          </w:tcPr>
          <w:p w14:paraId="72C5C253"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A terme</w:t>
            </w:r>
          </w:p>
        </w:tc>
        <w:tc>
          <w:tcPr>
            <w:tcW w:w="1890" w:type="dxa"/>
          </w:tcPr>
          <w:p w14:paraId="27BCEC74"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2.9</w:t>
            </w:r>
          </w:p>
        </w:tc>
        <w:tc>
          <w:tcPr>
            <w:tcW w:w="2677" w:type="dxa"/>
          </w:tcPr>
          <w:p w14:paraId="15C7F330"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1574" w:type="dxa"/>
          </w:tcPr>
          <w:p w14:paraId="32C93222"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D0068" w:rsidRPr="000A4A0F" w14:paraId="0E0CB865" w14:textId="77777777" w:rsidTr="00CA42D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932" w:type="dxa"/>
          </w:tcPr>
          <w:p w14:paraId="00D2A479"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Sexe enfant (n=136)</w:t>
            </w:r>
          </w:p>
        </w:tc>
        <w:tc>
          <w:tcPr>
            <w:tcW w:w="1890" w:type="dxa"/>
          </w:tcPr>
          <w:p w14:paraId="2BFC5B33"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77" w:type="dxa"/>
          </w:tcPr>
          <w:p w14:paraId="0B437193"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74" w:type="dxa"/>
          </w:tcPr>
          <w:p w14:paraId="3568BC4D"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0068" w:rsidRPr="000A4A0F" w14:paraId="5E03F9AB" w14:textId="77777777" w:rsidTr="00CA42D1">
        <w:trPr>
          <w:trHeight w:val="238"/>
        </w:trPr>
        <w:tc>
          <w:tcPr>
            <w:cnfStyle w:val="001000000000" w:firstRow="0" w:lastRow="0" w:firstColumn="1" w:lastColumn="0" w:oddVBand="0" w:evenVBand="0" w:oddHBand="0" w:evenHBand="0" w:firstRowFirstColumn="0" w:firstRowLastColumn="0" w:lastRowFirstColumn="0" w:lastRowLastColumn="0"/>
            <w:tcW w:w="3932" w:type="dxa"/>
          </w:tcPr>
          <w:p w14:paraId="190AB164"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Masculin</w:t>
            </w:r>
          </w:p>
        </w:tc>
        <w:tc>
          <w:tcPr>
            <w:tcW w:w="1890" w:type="dxa"/>
          </w:tcPr>
          <w:p w14:paraId="4A4413BB"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8.2</w:t>
            </w:r>
          </w:p>
        </w:tc>
        <w:tc>
          <w:tcPr>
            <w:tcW w:w="2677" w:type="dxa"/>
          </w:tcPr>
          <w:p w14:paraId="30B5D4EF" w14:textId="695EFD1F" w:rsidR="00DD0068" w:rsidRPr="000A4A0F" w:rsidRDefault="00A80C60"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1.79 (</w:t>
            </w:r>
            <w:r w:rsidR="00DD0068" w:rsidRPr="000A4A0F">
              <w:rPr>
                <w:rFonts w:ascii="Times New Roman" w:hAnsi="Times New Roman" w:cs="Times New Roman"/>
                <w:sz w:val="24"/>
                <w:szCs w:val="24"/>
              </w:rPr>
              <w:t>0.43-7.48)</w:t>
            </w:r>
          </w:p>
        </w:tc>
        <w:tc>
          <w:tcPr>
            <w:tcW w:w="1574" w:type="dxa"/>
          </w:tcPr>
          <w:p w14:paraId="4AB6B329"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0.424</w:t>
            </w:r>
          </w:p>
        </w:tc>
      </w:tr>
      <w:tr w:rsidR="00DD0068" w:rsidRPr="000A4A0F" w14:paraId="74C3401D" w14:textId="77777777" w:rsidTr="00CA42D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32" w:type="dxa"/>
          </w:tcPr>
          <w:p w14:paraId="598E03CA"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Féminin</w:t>
            </w:r>
          </w:p>
        </w:tc>
        <w:tc>
          <w:tcPr>
            <w:tcW w:w="1890" w:type="dxa"/>
          </w:tcPr>
          <w:p w14:paraId="38344116"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4.8</w:t>
            </w:r>
          </w:p>
        </w:tc>
        <w:tc>
          <w:tcPr>
            <w:tcW w:w="2677" w:type="dxa"/>
          </w:tcPr>
          <w:p w14:paraId="47B1C7A0"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1574" w:type="dxa"/>
          </w:tcPr>
          <w:p w14:paraId="0A442EC7"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0068" w:rsidRPr="000A4A0F" w14:paraId="63C95B24" w14:textId="77777777" w:rsidTr="00CA42D1">
        <w:trPr>
          <w:trHeight w:val="238"/>
        </w:trPr>
        <w:tc>
          <w:tcPr>
            <w:cnfStyle w:val="001000000000" w:firstRow="0" w:lastRow="0" w:firstColumn="1" w:lastColumn="0" w:oddVBand="0" w:evenVBand="0" w:oddHBand="0" w:evenHBand="0" w:firstRowFirstColumn="0" w:firstRowLastColumn="0" w:lastRowFirstColumn="0" w:lastRowLastColumn="0"/>
            <w:tcW w:w="3932" w:type="dxa"/>
          </w:tcPr>
          <w:p w14:paraId="017F7EBE"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APGAR (n=58)</w:t>
            </w:r>
          </w:p>
        </w:tc>
        <w:tc>
          <w:tcPr>
            <w:tcW w:w="1890" w:type="dxa"/>
          </w:tcPr>
          <w:p w14:paraId="132DE936"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77" w:type="dxa"/>
          </w:tcPr>
          <w:p w14:paraId="63587A35"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74" w:type="dxa"/>
          </w:tcPr>
          <w:p w14:paraId="5455346F"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D0068" w:rsidRPr="000A4A0F" w14:paraId="35315128" w14:textId="77777777" w:rsidTr="00CA42D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32" w:type="dxa"/>
          </w:tcPr>
          <w:p w14:paraId="3EBA6598"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&lt;7</w:t>
            </w:r>
          </w:p>
        </w:tc>
        <w:tc>
          <w:tcPr>
            <w:tcW w:w="1890" w:type="dxa"/>
          </w:tcPr>
          <w:p w14:paraId="0FD8592E"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25.0</w:t>
            </w:r>
          </w:p>
        </w:tc>
        <w:tc>
          <w:tcPr>
            <w:tcW w:w="2677" w:type="dxa"/>
          </w:tcPr>
          <w:p w14:paraId="79E1EED5" w14:textId="3FF001F3" w:rsidR="00DD0068" w:rsidRPr="000A4A0F" w:rsidRDefault="00A80C60"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5.22 (</w:t>
            </w:r>
            <w:r w:rsidR="00DD0068" w:rsidRPr="000A4A0F">
              <w:rPr>
                <w:rFonts w:ascii="Times New Roman" w:hAnsi="Times New Roman" w:cs="Times New Roman"/>
                <w:sz w:val="24"/>
                <w:szCs w:val="24"/>
              </w:rPr>
              <w:t>0.72-37.85)</w:t>
            </w:r>
          </w:p>
        </w:tc>
        <w:tc>
          <w:tcPr>
            <w:tcW w:w="1574" w:type="dxa"/>
          </w:tcPr>
          <w:p w14:paraId="6B945943"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0.102</w:t>
            </w:r>
          </w:p>
        </w:tc>
      </w:tr>
      <w:tr w:rsidR="00DD0068" w:rsidRPr="000A4A0F" w14:paraId="53A42605" w14:textId="77777777" w:rsidTr="00CA42D1">
        <w:trPr>
          <w:trHeight w:val="238"/>
        </w:trPr>
        <w:tc>
          <w:tcPr>
            <w:cnfStyle w:val="001000000000" w:firstRow="0" w:lastRow="0" w:firstColumn="1" w:lastColumn="0" w:oddVBand="0" w:evenVBand="0" w:oddHBand="0" w:evenHBand="0" w:firstRowFirstColumn="0" w:firstRowLastColumn="0" w:lastRowFirstColumn="0" w:lastRowLastColumn="0"/>
            <w:tcW w:w="3932" w:type="dxa"/>
          </w:tcPr>
          <w:p w14:paraId="40034213"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&gt;=7</w:t>
            </w:r>
          </w:p>
        </w:tc>
        <w:tc>
          <w:tcPr>
            <w:tcW w:w="1890" w:type="dxa"/>
          </w:tcPr>
          <w:p w14:paraId="580AA4DF"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6.0</w:t>
            </w:r>
          </w:p>
        </w:tc>
        <w:tc>
          <w:tcPr>
            <w:tcW w:w="2677" w:type="dxa"/>
          </w:tcPr>
          <w:p w14:paraId="2B63F447"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1574" w:type="dxa"/>
          </w:tcPr>
          <w:p w14:paraId="349F0589"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D0068" w:rsidRPr="000A4A0F" w14:paraId="1C6B7696" w14:textId="77777777" w:rsidTr="00CA42D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8499" w:type="dxa"/>
            <w:gridSpan w:val="3"/>
          </w:tcPr>
          <w:p w14:paraId="5B537212"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Poids de Naissance (gramme) n=122</w:t>
            </w:r>
          </w:p>
        </w:tc>
        <w:tc>
          <w:tcPr>
            <w:tcW w:w="1574" w:type="dxa"/>
          </w:tcPr>
          <w:p w14:paraId="2B4BF7BA"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0068" w:rsidRPr="000A4A0F" w14:paraId="12476A80" w14:textId="77777777" w:rsidTr="00CA42D1">
        <w:trPr>
          <w:trHeight w:val="238"/>
        </w:trPr>
        <w:tc>
          <w:tcPr>
            <w:cnfStyle w:val="001000000000" w:firstRow="0" w:lastRow="0" w:firstColumn="1" w:lastColumn="0" w:oddVBand="0" w:evenVBand="0" w:oddHBand="0" w:evenHBand="0" w:firstRowFirstColumn="0" w:firstRowLastColumn="0" w:lastRowFirstColumn="0" w:lastRowLastColumn="0"/>
            <w:tcW w:w="3932" w:type="dxa"/>
          </w:tcPr>
          <w:p w14:paraId="61B10E10" w14:textId="77777777" w:rsidR="00DD0068" w:rsidRPr="000A4A0F" w:rsidRDefault="00DD0068" w:rsidP="006612D9">
            <w:pPr>
              <w:pStyle w:val="Sansinterligne"/>
              <w:spacing w:line="360" w:lineRule="auto"/>
              <w:jc w:val="both"/>
              <w:rPr>
                <w:rFonts w:ascii="Times New Roman" w:hAnsi="Times New Roman" w:cs="Times New Roman"/>
                <w:b w:val="0"/>
                <w:sz w:val="24"/>
                <w:szCs w:val="24"/>
              </w:rPr>
            </w:pPr>
            <w:r w:rsidRPr="000A4A0F">
              <w:rPr>
                <w:rFonts w:ascii="Times New Roman" w:hAnsi="Times New Roman" w:cs="Times New Roman"/>
                <w:b w:val="0"/>
                <w:sz w:val="24"/>
                <w:szCs w:val="24"/>
              </w:rPr>
              <w:t>&lt;1500</w:t>
            </w:r>
          </w:p>
        </w:tc>
        <w:tc>
          <w:tcPr>
            <w:tcW w:w="1890" w:type="dxa"/>
          </w:tcPr>
          <w:p w14:paraId="60757725"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4A0F">
              <w:rPr>
                <w:rFonts w:ascii="Times New Roman" w:hAnsi="Times New Roman" w:cs="Times New Roman"/>
                <w:b/>
                <w:sz w:val="24"/>
                <w:szCs w:val="24"/>
              </w:rPr>
              <w:t>25.0</w:t>
            </w:r>
          </w:p>
        </w:tc>
        <w:tc>
          <w:tcPr>
            <w:tcW w:w="2677" w:type="dxa"/>
          </w:tcPr>
          <w:p w14:paraId="15689F89" w14:textId="72C7DDBE" w:rsidR="00DD0068" w:rsidRPr="000A4A0F" w:rsidRDefault="00A80C60"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4A0F">
              <w:rPr>
                <w:rFonts w:ascii="Times New Roman" w:hAnsi="Times New Roman" w:cs="Times New Roman"/>
                <w:b/>
                <w:sz w:val="24"/>
                <w:szCs w:val="24"/>
              </w:rPr>
              <w:t>10.68 (</w:t>
            </w:r>
            <w:r w:rsidR="00DD0068" w:rsidRPr="000A4A0F">
              <w:rPr>
                <w:rFonts w:ascii="Times New Roman" w:hAnsi="Times New Roman" w:cs="Times New Roman"/>
                <w:b/>
                <w:sz w:val="24"/>
                <w:szCs w:val="24"/>
              </w:rPr>
              <w:t>1.56-72.79)</w:t>
            </w:r>
          </w:p>
        </w:tc>
        <w:tc>
          <w:tcPr>
            <w:tcW w:w="1574" w:type="dxa"/>
          </w:tcPr>
          <w:p w14:paraId="69BCFD1E"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4A0F">
              <w:rPr>
                <w:rFonts w:ascii="Times New Roman" w:hAnsi="Times New Roman" w:cs="Times New Roman"/>
                <w:b/>
                <w:sz w:val="24"/>
                <w:szCs w:val="24"/>
              </w:rPr>
              <w:t>0.016</w:t>
            </w:r>
          </w:p>
        </w:tc>
      </w:tr>
      <w:tr w:rsidR="00DD0068" w:rsidRPr="000A4A0F" w14:paraId="225ECA15" w14:textId="77777777" w:rsidTr="00CA42D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32" w:type="dxa"/>
          </w:tcPr>
          <w:p w14:paraId="58CD7AFA"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1500-2499</w:t>
            </w:r>
          </w:p>
        </w:tc>
        <w:tc>
          <w:tcPr>
            <w:tcW w:w="1890" w:type="dxa"/>
          </w:tcPr>
          <w:p w14:paraId="5DF3B7CA"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6.8</w:t>
            </w:r>
          </w:p>
        </w:tc>
        <w:tc>
          <w:tcPr>
            <w:tcW w:w="2677" w:type="dxa"/>
          </w:tcPr>
          <w:p w14:paraId="69DE9A98" w14:textId="34DD1875" w:rsidR="00DD0068" w:rsidRPr="000A4A0F" w:rsidRDefault="00A80C60"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2.34 (</w:t>
            </w:r>
            <w:r w:rsidR="00DD0068" w:rsidRPr="000A4A0F">
              <w:rPr>
                <w:rFonts w:ascii="Times New Roman" w:hAnsi="Times New Roman" w:cs="Times New Roman"/>
                <w:sz w:val="24"/>
                <w:szCs w:val="24"/>
              </w:rPr>
              <w:t>0.36-14.62)</w:t>
            </w:r>
          </w:p>
        </w:tc>
        <w:tc>
          <w:tcPr>
            <w:tcW w:w="1574" w:type="dxa"/>
          </w:tcPr>
          <w:p w14:paraId="1BDDADBC"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0.363</w:t>
            </w:r>
          </w:p>
        </w:tc>
      </w:tr>
      <w:tr w:rsidR="00DD0068" w:rsidRPr="000A4A0F" w14:paraId="6F9BAB91" w14:textId="77777777" w:rsidTr="00CA42D1">
        <w:trPr>
          <w:trHeight w:val="238"/>
        </w:trPr>
        <w:tc>
          <w:tcPr>
            <w:cnfStyle w:val="001000000000" w:firstRow="0" w:lastRow="0" w:firstColumn="1" w:lastColumn="0" w:oddVBand="0" w:evenVBand="0" w:oddHBand="0" w:evenHBand="0" w:firstRowFirstColumn="0" w:firstRowLastColumn="0" w:lastRowFirstColumn="0" w:lastRowLastColumn="0"/>
            <w:tcW w:w="3932" w:type="dxa"/>
          </w:tcPr>
          <w:p w14:paraId="297B57BB"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&gt;=2500</w:t>
            </w:r>
          </w:p>
        </w:tc>
        <w:tc>
          <w:tcPr>
            <w:tcW w:w="1890" w:type="dxa"/>
          </w:tcPr>
          <w:p w14:paraId="7BE15B13"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3.0</w:t>
            </w:r>
          </w:p>
        </w:tc>
        <w:tc>
          <w:tcPr>
            <w:tcW w:w="2677" w:type="dxa"/>
          </w:tcPr>
          <w:p w14:paraId="0F6FE64F"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1574" w:type="dxa"/>
          </w:tcPr>
          <w:p w14:paraId="52E328A9"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D0068" w:rsidRPr="000A4A0F" w14:paraId="61184BF9" w14:textId="77777777" w:rsidTr="00CA42D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822" w:type="dxa"/>
            <w:gridSpan w:val="2"/>
          </w:tcPr>
          <w:p w14:paraId="4211C127"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Incompatibilité ABO (n=109)</w:t>
            </w:r>
          </w:p>
        </w:tc>
        <w:tc>
          <w:tcPr>
            <w:tcW w:w="2677" w:type="dxa"/>
          </w:tcPr>
          <w:p w14:paraId="3E2BC92A"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74" w:type="dxa"/>
          </w:tcPr>
          <w:p w14:paraId="30D11B7D"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0068" w:rsidRPr="000A4A0F" w14:paraId="5AE98075" w14:textId="77777777" w:rsidTr="00CA42D1">
        <w:trPr>
          <w:trHeight w:val="238"/>
        </w:trPr>
        <w:tc>
          <w:tcPr>
            <w:cnfStyle w:val="001000000000" w:firstRow="0" w:lastRow="0" w:firstColumn="1" w:lastColumn="0" w:oddVBand="0" w:evenVBand="0" w:oddHBand="0" w:evenHBand="0" w:firstRowFirstColumn="0" w:firstRowLastColumn="0" w:lastRowFirstColumn="0" w:lastRowLastColumn="0"/>
            <w:tcW w:w="3932" w:type="dxa"/>
          </w:tcPr>
          <w:p w14:paraId="7C2766D2"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Non</w:t>
            </w:r>
          </w:p>
        </w:tc>
        <w:tc>
          <w:tcPr>
            <w:tcW w:w="1890" w:type="dxa"/>
          </w:tcPr>
          <w:p w14:paraId="0EA07E8D"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4.2</w:t>
            </w:r>
          </w:p>
        </w:tc>
        <w:tc>
          <w:tcPr>
            <w:tcW w:w="2677" w:type="dxa"/>
          </w:tcPr>
          <w:p w14:paraId="3E23AF3B"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1574" w:type="dxa"/>
          </w:tcPr>
          <w:p w14:paraId="7A063343"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D0068" w:rsidRPr="000A4A0F" w14:paraId="51810763" w14:textId="77777777" w:rsidTr="00CA42D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32" w:type="dxa"/>
          </w:tcPr>
          <w:p w14:paraId="4AF1F0BB"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Oui</w:t>
            </w:r>
          </w:p>
        </w:tc>
        <w:tc>
          <w:tcPr>
            <w:tcW w:w="1890" w:type="dxa"/>
          </w:tcPr>
          <w:p w14:paraId="3EAD02CF"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5.4</w:t>
            </w:r>
          </w:p>
        </w:tc>
        <w:tc>
          <w:tcPr>
            <w:tcW w:w="2677" w:type="dxa"/>
          </w:tcPr>
          <w:p w14:paraId="0E51A6FA" w14:textId="233C2695" w:rsidR="00DD0068" w:rsidRPr="000A4A0F" w:rsidRDefault="00A80C60"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1.31 (</w:t>
            </w:r>
            <w:r w:rsidR="00DD0068" w:rsidRPr="000A4A0F">
              <w:rPr>
                <w:rFonts w:ascii="Times New Roman" w:hAnsi="Times New Roman" w:cs="Times New Roman"/>
                <w:sz w:val="24"/>
                <w:szCs w:val="24"/>
              </w:rPr>
              <w:t>0.21-8.23)</w:t>
            </w:r>
          </w:p>
        </w:tc>
        <w:tc>
          <w:tcPr>
            <w:tcW w:w="1574" w:type="dxa"/>
          </w:tcPr>
          <w:p w14:paraId="6D7F8E3F"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0.770</w:t>
            </w:r>
          </w:p>
        </w:tc>
      </w:tr>
      <w:tr w:rsidR="00DD0068" w:rsidRPr="000A4A0F" w14:paraId="22A901C1" w14:textId="77777777" w:rsidTr="00CA42D1">
        <w:trPr>
          <w:trHeight w:val="238"/>
        </w:trPr>
        <w:tc>
          <w:tcPr>
            <w:cnfStyle w:val="001000000000" w:firstRow="0" w:lastRow="0" w:firstColumn="1" w:lastColumn="0" w:oddVBand="0" w:evenVBand="0" w:oddHBand="0" w:evenHBand="0" w:firstRowFirstColumn="0" w:firstRowLastColumn="0" w:lastRowFirstColumn="0" w:lastRowLastColumn="0"/>
            <w:tcW w:w="8499" w:type="dxa"/>
            <w:gridSpan w:val="3"/>
          </w:tcPr>
          <w:p w14:paraId="5E054E95" w14:textId="77777777" w:rsidR="00DD0068" w:rsidRPr="000A4A0F" w:rsidRDefault="00DD0068" w:rsidP="006612D9">
            <w:pPr>
              <w:pStyle w:val="Sansinterligne"/>
              <w:spacing w:line="360" w:lineRule="auto"/>
              <w:jc w:val="both"/>
              <w:rPr>
                <w:rFonts w:ascii="Times New Roman" w:hAnsi="Times New Roman" w:cs="Times New Roman"/>
                <w:b w:val="0"/>
                <w:sz w:val="24"/>
                <w:szCs w:val="24"/>
              </w:rPr>
            </w:pPr>
            <w:r w:rsidRPr="000A4A0F">
              <w:rPr>
                <w:rFonts w:ascii="Times New Roman" w:hAnsi="Times New Roman" w:cs="Times New Roman"/>
                <w:b w:val="0"/>
                <w:sz w:val="24"/>
                <w:szCs w:val="24"/>
              </w:rPr>
              <w:t>Infection néonatale (n=136)</w:t>
            </w:r>
          </w:p>
        </w:tc>
        <w:tc>
          <w:tcPr>
            <w:tcW w:w="1574" w:type="dxa"/>
          </w:tcPr>
          <w:p w14:paraId="0CA4A05F"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D0068" w:rsidRPr="000A4A0F" w14:paraId="7AADE600" w14:textId="77777777" w:rsidTr="00CA42D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32" w:type="dxa"/>
          </w:tcPr>
          <w:p w14:paraId="48B50727"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Non</w:t>
            </w:r>
          </w:p>
        </w:tc>
        <w:tc>
          <w:tcPr>
            <w:tcW w:w="1890" w:type="dxa"/>
          </w:tcPr>
          <w:p w14:paraId="63E04C4A"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3.1</w:t>
            </w:r>
          </w:p>
        </w:tc>
        <w:tc>
          <w:tcPr>
            <w:tcW w:w="2677" w:type="dxa"/>
          </w:tcPr>
          <w:p w14:paraId="2EDBAD04"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1574" w:type="dxa"/>
          </w:tcPr>
          <w:p w14:paraId="3C894F24"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0068" w:rsidRPr="000A4A0F" w14:paraId="40D6ABAF" w14:textId="77777777" w:rsidTr="00CA42D1">
        <w:trPr>
          <w:trHeight w:val="238"/>
        </w:trPr>
        <w:tc>
          <w:tcPr>
            <w:cnfStyle w:val="001000000000" w:firstRow="0" w:lastRow="0" w:firstColumn="1" w:lastColumn="0" w:oddVBand="0" w:evenVBand="0" w:oddHBand="0" w:evenHBand="0" w:firstRowFirstColumn="0" w:firstRowLastColumn="0" w:lastRowFirstColumn="0" w:lastRowLastColumn="0"/>
            <w:tcW w:w="3932" w:type="dxa"/>
          </w:tcPr>
          <w:p w14:paraId="7C5D8A9A" w14:textId="77777777" w:rsidR="00DD0068" w:rsidRPr="000A4A0F" w:rsidRDefault="00DD0068" w:rsidP="006612D9">
            <w:pPr>
              <w:pStyle w:val="Sansinterligne"/>
              <w:spacing w:line="360" w:lineRule="auto"/>
              <w:jc w:val="both"/>
              <w:rPr>
                <w:rFonts w:ascii="Times New Roman" w:hAnsi="Times New Roman" w:cs="Times New Roman"/>
                <w:b w:val="0"/>
                <w:sz w:val="24"/>
                <w:szCs w:val="24"/>
              </w:rPr>
            </w:pPr>
            <w:r w:rsidRPr="000A4A0F">
              <w:rPr>
                <w:rFonts w:ascii="Times New Roman" w:hAnsi="Times New Roman" w:cs="Times New Roman"/>
                <w:b w:val="0"/>
                <w:sz w:val="24"/>
                <w:szCs w:val="24"/>
              </w:rPr>
              <w:t>Oui</w:t>
            </w:r>
          </w:p>
        </w:tc>
        <w:tc>
          <w:tcPr>
            <w:tcW w:w="1890" w:type="dxa"/>
          </w:tcPr>
          <w:p w14:paraId="2B9B38D9"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4A0F">
              <w:rPr>
                <w:rFonts w:ascii="Times New Roman" w:hAnsi="Times New Roman" w:cs="Times New Roman"/>
                <w:b/>
                <w:sz w:val="24"/>
                <w:szCs w:val="24"/>
              </w:rPr>
              <w:t>15.4</w:t>
            </w:r>
          </w:p>
        </w:tc>
        <w:tc>
          <w:tcPr>
            <w:tcW w:w="2677" w:type="dxa"/>
          </w:tcPr>
          <w:p w14:paraId="7CE09CE4" w14:textId="7381408A" w:rsidR="00DD0068" w:rsidRPr="000A4A0F" w:rsidRDefault="00A80C60"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4A0F">
              <w:rPr>
                <w:rFonts w:ascii="Times New Roman" w:hAnsi="Times New Roman" w:cs="Times New Roman"/>
                <w:b/>
                <w:sz w:val="24"/>
                <w:szCs w:val="24"/>
              </w:rPr>
              <w:t>5.69 (</w:t>
            </w:r>
            <w:r w:rsidR="00DD0068" w:rsidRPr="000A4A0F">
              <w:rPr>
                <w:rFonts w:ascii="Times New Roman" w:hAnsi="Times New Roman" w:cs="Times New Roman"/>
                <w:b/>
                <w:sz w:val="24"/>
                <w:szCs w:val="24"/>
              </w:rPr>
              <w:t>1.35-24.08)</w:t>
            </w:r>
          </w:p>
        </w:tc>
        <w:tc>
          <w:tcPr>
            <w:tcW w:w="1574" w:type="dxa"/>
          </w:tcPr>
          <w:p w14:paraId="4FEFE2A5"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4A0F">
              <w:rPr>
                <w:rFonts w:ascii="Times New Roman" w:hAnsi="Times New Roman" w:cs="Times New Roman"/>
                <w:b/>
                <w:sz w:val="24"/>
                <w:szCs w:val="24"/>
              </w:rPr>
              <w:t>0.018</w:t>
            </w:r>
          </w:p>
        </w:tc>
      </w:tr>
      <w:tr w:rsidR="00DD0068" w:rsidRPr="000A4A0F" w14:paraId="12EC18A6" w14:textId="77777777" w:rsidTr="00CA42D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822" w:type="dxa"/>
            <w:gridSpan w:val="2"/>
          </w:tcPr>
          <w:p w14:paraId="068526F4"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Taux hémoglobine (n=61)</w:t>
            </w:r>
          </w:p>
        </w:tc>
        <w:tc>
          <w:tcPr>
            <w:tcW w:w="2677" w:type="dxa"/>
          </w:tcPr>
          <w:p w14:paraId="3D3411F8"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74" w:type="dxa"/>
          </w:tcPr>
          <w:p w14:paraId="11A21AD5"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0068" w:rsidRPr="000A4A0F" w14:paraId="37AD9205" w14:textId="77777777" w:rsidTr="00CA42D1">
        <w:trPr>
          <w:trHeight w:val="238"/>
        </w:trPr>
        <w:tc>
          <w:tcPr>
            <w:cnfStyle w:val="001000000000" w:firstRow="0" w:lastRow="0" w:firstColumn="1" w:lastColumn="0" w:oddVBand="0" w:evenVBand="0" w:oddHBand="0" w:evenHBand="0" w:firstRowFirstColumn="0" w:firstRowLastColumn="0" w:lastRowFirstColumn="0" w:lastRowLastColumn="0"/>
            <w:tcW w:w="3932" w:type="dxa"/>
          </w:tcPr>
          <w:p w14:paraId="067A65C9"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&lt;12</w:t>
            </w:r>
          </w:p>
        </w:tc>
        <w:tc>
          <w:tcPr>
            <w:tcW w:w="1890" w:type="dxa"/>
          </w:tcPr>
          <w:p w14:paraId="209F7C74"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8.7</w:t>
            </w:r>
          </w:p>
        </w:tc>
        <w:tc>
          <w:tcPr>
            <w:tcW w:w="2677" w:type="dxa"/>
          </w:tcPr>
          <w:p w14:paraId="21763CF8" w14:textId="334E94ED" w:rsidR="00DD0068" w:rsidRPr="000A4A0F" w:rsidRDefault="00A80C60"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0.69 (</w:t>
            </w:r>
            <w:r w:rsidR="00DD0068" w:rsidRPr="000A4A0F">
              <w:rPr>
                <w:rFonts w:ascii="Times New Roman" w:hAnsi="Times New Roman" w:cs="Times New Roman"/>
                <w:sz w:val="24"/>
                <w:szCs w:val="24"/>
              </w:rPr>
              <w:t>0.11-3.54)</w:t>
            </w:r>
          </w:p>
        </w:tc>
        <w:tc>
          <w:tcPr>
            <w:tcW w:w="1574" w:type="dxa"/>
          </w:tcPr>
          <w:p w14:paraId="500DACDE"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0.599</w:t>
            </w:r>
          </w:p>
        </w:tc>
      </w:tr>
      <w:tr w:rsidR="00DD0068" w:rsidRPr="000A4A0F" w14:paraId="2F5A3E4D" w14:textId="77777777" w:rsidTr="00CA42D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32" w:type="dxa"/>
          </w:tcPr>
          <w:p w14:paraId="18C7ADB3"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&gt;=12</w:t>
            </w:r>
          </w:p>
        </w:tc>
        <w:tc>
          <w:tcPr>
            <w:tcW w:w="1890" w:type="dxa"/>
          </w:tcPr>
          <w:p w14:paraId="3F5F6460"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13.2</w:t>
            </w:r>
          </w:p>
        </w:tc>
        <w:tc>
          <w:tcPr>
            <w:tcW w:w="2677" w:type="dxa"/>
          </w:tcPr>
          <w:p w14:paraId="499A8121"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1574" w:type="dxa"/>
          </w:tcPr>
          <w:p w14:paraId="4758A90D"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0068" w:rsidRPr="000A4A0F" w14:paraId="73B6B9FD" w14:textId="77777777" w:rsidTr="00CA42D1">
        <w:trPr>
          <w:trHeight w:val="238"/>
        </w:trPr>
        <w:tc>
          <w:tcPr>
            <w:cnfStyle w:val="001000000000" w:firstRow="0" w:lastRow="0" w:firstColumn="1" w:lastColumn="0" w:oddVBand="0" w:evenVBand="0" w:oddHBand="0" w:evenHBand="0" w:firstRowFirstColumn="0" w:firstRowLastColumn="0" w:lastRowFirstColumn="0" w:lastRowLastColumn="0"/>
            <w:tcW w:w="5822" w:type="dxa"/>
            <w:gridSpan w:val="2"/>
          </w:tcPr>
          <w:p w14:paraId="3414DD00"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Déficit en G6PD (n=134)</w:t>
            </w:r>
          </w:p>
        </w:tc>
        <w:tc>
          <w:tcPr>
            <w:tcW w:w="2677" w:type="dxa"/>
          </w:tcPr>
          <w:p w14:paraId="1F6F185A"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74" w:type="dxa"/>
          </w:tcPr>
          <w:p w14:paraId="0405F5E3"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D0068" w:rsidRPr="000A4A0F" w14:paraId="07BBD0D0" w14:textId="77777777" w:rsidTr="00CA42D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32" w:type="dxa"/>
          </w:tcPr>
          <w:p w14:paraId="440A056A"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Oui</w:t>
            </w:r>
          </w:p>
        </w:tc>
        <w:tc>
          <w:tcPr>
            <w:tcW w:w="1890" w:type="dxa"/>
          </w:tcPr>
          <w:p w14:paraId="4F7E7991"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11.8</w:t>
            </w:r>
          </w:p>
        </w:tc>
        <w:tc>
          <w:tcPr>
            <w:tcW w:w="2677" w:type="dxa"/>
          </w:tcPr>
          <w:p w14:paraId="420A8325" w14:textId="5B086948" w:rsidR="00DD0068" w:rsidRPr="000A4A0F" w:rsidRDefault="00A80C60"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2.09 (</w:t>
            </w:r>
            <w:r w:rsidR="00DD0068" w:rsidRPr="000A4A0F">
              <w:rPr>
                <w:rFonts w:ascii="Times New Roman" w:hAnsi="Times New Roman" w:cs="Times New Roman"/>
                <w:sz w:val="24"/>
                <w:szCs w:val="24"/>
              </w:rPr>
              <w:t>0.39-11.04)</w:t>
            </w:r>
          </w:p>
        </w:tc>
        <w:tc>
          <w:tcPr>
            <w:tcW w:w="1574" w:type="dxa"/>
          </w:tcPr>
          <w:p w14:paraId="2856099F"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0.383</w:t>
            </w:r>
          </w:p>
        </w:tc>
      </w:tr>
      <w:tr w:rsidR="00DD0068" w:rsidRPr="000A4A0F" w14:paraId="7F08C6C4" w14:textId="77777777" w:rsidTr="00CA42D1">
        <w:trPr>
          <w:trHeight w:val="225"/>
        </w:trPr>
        <w:tc>
          <w:tcPr>
            <w:cnfStyle w:val="001000000000" w:firstRow="0" w:lastRow="0" w:firstColumn="1" w:lastColumn="0" w:oddVBand="0" w:evenVBand="0" w:oddHBand="0" w:evenHBand="0" w:firstRowFirstColumn="0" w:firstRowLastColumn="0" w:lastRowFirstColumn="0" w:lastRowLastColumn="0"/>
            <w:tcW w:w="3932" w:type="dxa"/>
          </w:tcPr>
          <w:p w14:paraId="4B4669F1"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Non</w:t>
            </w:r>
          </w:p>
        </w:tc>
        <w:tc>
          <w:tcPr>
            <w:tcW w:w="1890" w:type="dxa"/>
          </w:tcPr>
          <w:p w14:paraId="675B2D19"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6.0</w:t>
            </w:r>
          </w:p>
        </w:tc>
        <w:tc>
          <w:tcPr>
            <w:tcW w:w="2677" w:type="dxa"/>
          </w:tcPr>
          <w:p w14:paraId="2FDDFD29"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1574" w:type="dxa"/>
          </w:tcPr>
          <w:p w14:paraId="7245E901"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D0068" w:rsidRPr="000A4A0F" w14:paraId="601ABA37" w14:textId="77777777" w:rsidTr="00CA42D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8499" w:type="dxa"/>
            <w:gridSpan w:val="3"/>
          </w:tcPr>
          <w:p w14:paraId="0EBE53B4"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Génotype Hémoglobine (n=134)</w:t>
            </w:r>
          </w:p>
        </w:tc>
        <w:tc>
          <w:tcPr>
            <w:tcW w:w="1574" w:type="dxa"/>
          </w:tcPr>
          <w:p w14:paraId="369DD5AA"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0068" w:rsidRPr="000A4A0F" w14:paraId="41A91CA2" w14:textId="77777777" w:rsidTr="00CA42D1">
        <w:trPr>
          <w:trHeight w:val="238"/>
        </w:trPr>
        <w:tc>
          <w:tcPr>
            <w:cnfStyle w:val="001000000000" w:firstRow="0" w:lastRow="0" w:firstColumn="1" w:lastColumn="0" w:oddVBand="0" w:evenVBand="0" w:oddHBand="0" w:evenHBand="0" w:firstRowFirstColumn="0" w:firstRowLastColumn="0" w:lastRowFirstColumn="0" w:lastRowLastColumn="0"/>
            <w:tcW w:w="3932" w:type="dxa"/>
          </w:tcPr>
          <w:p w14:paraId="7C66B98D"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AA</w:t>
            </w:r>
          </w:p>
        </w:tc>
        <w:tc>
          <w:tcPr>
            <w:tcW w:w="1890" w:type="dxa"/>
          </w:tcPr>
          <w:p w14:paraId="0BE953CE"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5 .9</w:t>
            </w:r>
          </w:p>
        </w:tc>
        <w:tc>
          <w:tcPr>
            <w:tcW w:w="2677" w:type="dxa"/>
          </w:tcPr>
          <w:p w14:paraId="1140C9CD"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w:t>
            </w:r>
          </w:p>
        </w:tc>
        <w:tc>
          <w:tcPr>
            <w:tcW w:w="1574" w:type="dxa"/>
          </w:tcPr>
          <w:p w14:paraId="7D8A6747"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D0068" w:rsidRPr="000A4A0F" w14:paraId="3D88836C" w14:textId="77777777" w:rsidTr="00CA42D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32" w:type="dxa"/>
          </w:tcPr>
          <w:p w14:paraId="0FBC46D9"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AS</w:t>
            </w:r>
          </w:p>
        </w:tc>
        <w:tc>
          <w:tcPr>
            <w:tcW w:w="1890" w:type="dxa"/>
          </w:tcPr>
          <w:p w14:paraId="44F6BE0F"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12.5</w:t>
            </w:r>
          </w:p>
        </w:tc>
        <w:tc>
          <w:tcPr>
            <w:tcW w:w="2677" w:type="dxa"/>
          </w:tcPr>
          <w:p w14:paraId="48E62D60" w14:textId="188BA5F7" w:rsidR="00DD0068" w:rsidRPr="000A4A0F" w:rsidRDefault="00A80C60"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2.27 (</w:t>
            </w:r>
            <w:r w:rsidR="00DD0068" w:rsidRPr="000A4A0F">
              <w:rPr>
                <w:rFonts w:ascii="Times New Roman" w:hAnsi="Times New Roman" w:cs="Times New Roman"/>
                <w:sz w:val="24"/>
                <w:szCs w:val="24"/>
              </w:rPr>
              <w:t>0.43-11.99)</w:t>
            </w:r>
          </w:p>
        </w:tc>
        <w:tc>
          <w:tcPr>
            <w:tcW w:w="1574" w:type="dxa"/>
          </w:tcPr>
          <w:p w14:paraId="4167933E"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0.336</w:t>
            </w:r>
          </w:p>
        </w:tc>
      </w:tr>
      <w:tr w:rsidR="00DD0068" w:rsidRPr="000A4A0F" w14:paraId="12C666ED" w14:textId="77777777" w:rsidTr="00CA42D1">
        <w:trPr>
          <w:trHeight w:val="238"/>
        </w:trPr>
        <w:tc>
          <w:tcPr>
            <w:cnfStyle w:val="001000000000" w:firstRow="0" w:lastRow="0" w:firstColumn="1" w:lastColumn="0" w:oddVBand="0" w:evenVBand="0" w:oddHBand="0" w:evenHBand="0" w:firstRowFirstColumn="0" w:firstRowLastColumn="0" w:lastRowFirstColumn="0" w:lastRowLastColumn="0"/>
            <w:tcW w:w="8499" w:type="dxa"/>
            <w:gridSpan w:val="3"/>
          </w:tcPr>
          <w:p w14:paraId="39268E2B"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lastRenderedPageBreak/>
              <w:t>Durée Photothérapie (134)</w:t>
            </w:r>
          </w:p>
        </w:tc>
        <w:tc>
          <w:tcPr>
            <w:tcW w:w="1574" w:type="dxa"/>
          </w:tcPr>
          <w:p w14:paraId="1728C97C"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D0068" w:rsidRPr="000A4A0F" w14:paraId="76619B36" w14:textId="77777777" w:rsidTr="00CA42D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32" w:type="dxa"/>
          </w:tcPr>
          <w:p w14:paraId="60675382"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24</w:t>
            </w:r>
          </w:p>
        </w:tc>
        <w:tc>
          <w:tcPr>
            <w:tcW w:w="1890" w:type="dxa"/>
          </w:tcPr>
          <w:p w14:paraId="76FB9204"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5.6</w:t>
            </w:r>
          </w:p>
        </w:tc>
        <w:tc>
          <w:tcPr>
            <w:tcW w:w="2677" w:type="dxa"/>
          </w:tcPr>
          <w:p w14:paraId="2C1DA3F5"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74" w:type="dxa"/>
          </w:tcPr>
          <w:p w14:paraId="0827B544"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0068" w:rsidRPr="000A4A0F" w14:paraId="047F363E" w14:textId="77777777" w:rsidTr="00CA42D1">
        <w:trPr>
          <w:trHeight w:val="238"/>
        </w:trPr>
        <w:tc>
          <w:tcPr>
            <w:cnfStyle w:val="001000000000" w:firstRow="0" w:lastRow="0" w:firstColumn="1" w:lastColumn="0" w:oddVBand="0" w:evenVBand="0" w:oddHBand="0" w:evenHBand="0" w:firstRowFirstColumn="0" w:firstRowLastColumn="0" w:lastRowFirstColumn="0" w:lastRowLastColumn="0"/>
            <w:tcW w:w="3932" w:type="dxa"/>
          </w:tcPr>
          <w:p w14:paraId="198C5896"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24-48</w:t>
            </w:r>
          </w:p>
        </w:tc>
        <w:tc>
          <w:tcPr>
            <w:tcW w:w="1890" w:type="dxa"/>
          </w:tcPr>
          <w:p w14:paraId="382F309C"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9.8</w:t>
            </w:r>
          </w:p>
        </w:tc>
        <w:tc>
          <w:tcPr>
            <w:tcW w:w="2677" w:type="dxa"/>
          </w:tcPr>
          <w:p w14:paraId="05689A68"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1.81 (0.43-7.67)</w:t>
            </w:r>
          </w:p>
        </w:tc>
        <w:tc>
          <w:tcPr>
            <w:tcW w:w="1574" w:type="dxa"/>
          </w:tcPr>
          <w:p w14:paraId="18F83112" w14:textId="77777777" w:rsidR="00DD0068" w:rsidRPr="000A4A0F" w:rsidRDefault="00DD0068"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0.420</w:t>
            </w:r>
          </w:p>
        </w:tc>
      </w:tr>
      <w:tr w:rsidR="00DD0068" w:rsidRPr="000A4A0F" w14:paraId="4A7D3C8E" w14:textId="77777777" w:rsidTr="00CA42D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932" w:type="dxa"/>
          </w:tcPr>
          <w:p w14:paraId="1F508C91" w14:textId="77777777" w:rsidR="00DD0068" w:rsidRPr="000A4A0F" w:rsidRDefault="00DD0068" w:rsidP="006612D9">
            <w:pPr>
              <w:pStyle w:val="Sansinterligne"/>
              <w:spacing w:line="360" w:lineRule="auto"/>
              <w:jc w:val="both"/>
              <w:rPr>
                <w:rFonts w:ascii="Times New Roman" w:hAnsi="Times New Roman" w:cs="Times New Roman"/>
                <w:sz w:val="24"/>
                <w:szCs w:val="24"/>
              </w:rPr>
            </w:pPr>
            <w:r w:rsidRPr="000A4A0F">
              <w:rPr>
                <w:rFonts w:ascii="Times New Roman" w:hAnsi="Times New Roman" w:cs="Times New Roman"/>
                <w:sz w:val="24"/>
                <w:szCs w:val="24"/>
              </w:rPr>
              <w:t>48+</w:t>
            </w:r>
          </w:p>
        </w:tc>
        <w:tc>
          <w:tcPr>
            <w:tcW w:w="1890" w:type="dxa"/>
          </w:tcPr>
          <w:p w14:paraId="702D584F"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4.2</w:t>
            </w:r>
          </w:p>
        </w:tc>
        <w:tc>
          <w:tcPr>
            <w:tcW w:w="2677" w:type="dxa"/>
          </w:tcPr>
          <w:p w14:paraId="16A1D366"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0.78 (0.77-6.85)</w:t>
            </w:r>
          </w:p>
        </w:tc>
        <w:tc>
          <w:tcPr>
            <w:tcW w:w="1574" w:type="dxa"/>
          </w:tcPr>
          <w:p w14:paraId="5937BDE7" w14:textId="77777777" w:rsidR="00DD0068" w:rsidRPr="000A4A0F" w:rsidRDefault="00DD0068"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4A0F">
              <w:rPr>
                <w:rFonts w:ascii="Times New Roman" w:hAnsi="Times New Roman" w:cs="Times New Roman"/>
                <w:sz w:val="24"/>
                <w:szCs w:val="24"/>
              </w:rPr>
              <w:t>0.782</w:t>
            </w:r>
          </w:p>
        </w:tc>
      </w:tr>
    </w:tbl>
    <w:p w14:paraId="4188F42B" w14:textId="77777777" w:rsidR="00DD0068" w:rsidRPr="000A4A0F" w:rsidRDefault="00DD0068" w:rsidP="006612D9">
      <w:pPr>
        <w:spacing w:after="0" w:line="360" w:lineRule="auto"/>
        <w:jc w:val="both"/>
        <w:rPr>
          <w:rFonts w:ascii="Times New Roman" w:hAnsi="Times New Roman" w:cs="Times New Roman"/>
          <w:sz w:val="24"/>
          <w:szCs w:val="24"/>
        </w:rPr>
      </w:pPr>
      <w:proofErr w:type="spellStart"/>
      <w:r w:rsidRPr="000A4A0F">
        <w:rPr>
          <w:rFonts w:ascii="Times New Roman" w:hAnsi="Times New Roman" w:cs="Times New Roman"/>
          <w:sz w:val="24"/>
          <w:szCs w:val="24"/>
        </w:rPr>
        <w:t>ORna</w:t>
      </w:r>
      <w:proofErr w:type="spellEnd"/>
      <w:r w:rsidRPr="000A4A0F">
        <w:rPr>
          <w:rFonts w:ascii="Times New Roman" w:hAnsi="Times New Roman" w:cs="Times New Roman"/>
          <w:sz w:val="24"/>
          <w:szCs w:val="24"/>
        </w:rPr>
        <w:t>=</w:t>
      </w:r>
      <w:proofErr w:type="spellStart"/>
      <w:r w:rsidRPr="000A4A0F">
        <w:rPr>
          <w:rFonts w:ascii="Times New Roman" w:hAnsi="Times New Roman" w:cs="Times New Roman"/>
          <w:sz w:val="24"/>
          <w:szCs w:val="24"/>
        </w:rPr>
        <w:t>Odds</w:t>
      </w:r>
      <w:proofErr w:type="spellEnd"/>
      <w:r w:rsidRPr="000A4A0F">
        <w:rPr>
          <w:rFonts w:ascii="Times New Roman" w:hAnsi="Times New Roman" w:cs="Times New Roman"/>
          <w:sz w:val="24"/>
          <w:szCs w:val="24"/>
        </w:rPr>
        <w:t xml:space="preserve"> Ration non ajustés (Rapports de cotes non ajustés) ; CPN=Consultations prénatales.</w:t>
      </w:r>
    </w:p>
    <w:p w14:paraId="5FB086B6" w14:textId="44828BD7" w:rsidR="007D5DBA" w:rsidRPr="000A4A0F" w:rsidRDefault="00DD0068" w:rsidP="006612D9">
      <w:pPr>
        <w:spacing w:after="0" w:line="360" w:lineRule="auto"/>
        <w:jc w:val="both"/>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Les facteurs influençant le décès dans notre population était l’in</w:t>
      </w:r>
      <w:r w:rsidR="00C1024E">
        <w:rPr>
          <w:rFonts w:ascii="Times New Roman" w:eastAsia="Times New Roman" w:hAnsi="Times New Roman" w:cs="Times New Roman"/>
          <w:color w:val="000000"/>
          <w:sz w:val="24"/>
          <w:szCs w:val="24"/>
          <w:lang w:eastAsia="fr-FR"/>
        </w:rPr>
        <w:t xml:space="preserve">fection suivi de la prématurité </w:t>
      </w:r>
      <w:r w:rsidR="00C1024E" w:rsidRPr="00C1024E">
        <w:rPr>
          <w:rFonts w:ascii="Times New Roman" w:eastAsia="Times New Roman" w:hAnsi="Times New Roman" w:cs="Times New Roman"/>
          <w:color w:val="FF0000"/>
          <w:sz w:val="24"/>
          <w:szCs w:val="24"/>
          <w:highlight w:val="yellow"/>
          <w:lang w:eastAsia="fr-FR"/>
        </w:rPr>
        <w:t>(OR= ??)</w:t>
      </w:r>
    </w:p>
    <w:p w14:paraId="049D63EA" w14:textId="77777777" w:rsidR="002D49F7" w:rsidRPr="000A4A0F" w:rsidRDefault="002D49F7" w:rsidP="006612D9">
      <w:pPr>
        <w:spacing w:after="0" w:line="360" w:lineRule="auto"/>
        <w:jc w:val="both"/>
        <w:rPr>
          <w:rFonts w:ascii="Times New Roman" w:hAnsi="Times New Roman" w:cs="Times New Roman"/>
          <w:sz w:val="24"/>
          <w:szCs w:val="24"/>
        </w:rPr>
      </w:pPr>
    </w:p>
    <w:p w14:paraId="631E334D" w14:textId="77777777" w:rsidR="007D5DBA" w:rsidRPr="000A4A0F" w:rsidRDefault="007D5DBA" w:rsidP="006612D9">
      <w:pPr>
        <w:spacing w:after="0" w:line="360" w:lineRule="auto"/>
        <w:ind w:left="1418" w:hanging="1418"/>
        <w:jc w:val="both"/>
        <w:rPr>
          <w:rFonts w:ascii="Times New Roman" w:hAnsi="Times New Roman" w:cs="Times New Roman"/>
          <w:b/>
          <w:sz w:val="24"/>
          <w:szCs w:val="24"/>
        </w:rPr>
      </w:pPr>
      <w:r w:rsidRPr="000A4A0F">
        <w:rPr>
          <w:rFonts w:ascii="Times New Roman" w:hAnsi="Times New Roman" w:cs="Times New Roman"/>
          <w:b/>
          <w:sz w:val="24"/>
          <w:szCs w:val="24"/>
        </w:rPr>
        <w:t>Tableau 8 : Facteurs associés au décès intra-hospitalier des nouveau-nés ictériques : Régression logistique Multivariées</w:t>
      </w:r>
    </w:p>
    <w:tbl>
      <w:tblPr>
        <w:tblStyle w:val="TableauListe6Couleur-Accentuation3"/>
        <w:tblW w:w="0" w:type="auto"/>
        <w:tblLook w:val="04A0" w:firstRow="1" w:lastRow="0" w:firstColumn="1" w:lastColumn="0" w:noHBand="0" w:noVBand="1"/>
      </w:tblPr>
      <w:tblGrid>
        <w:gridCol w:w="3397"/>
        <w:gridCol w:w="2552"/>
        <w:gridCol w:w="2410"/>
      </w:tblGrid>
      <w:tr w:rsidR="007D5DBA" w:rsidRPr="000A4A0F" w14:paraId="516A4F52" w14:textId="77777777" w:rsidTr="005F2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8A30783" w14:textId="77777777" w:rsidR="007D5DBA" w:rsidRPr="000A4A0F" w:rsidRDefault="007D5DBA" w:rsidP="006612D9">
            <w:pPr>
              <w:pStyle w:val="Sansinterligne"/>
              <w:spacing w:line="360" w:lineRule="auto"/>
              <w:jc w:val="both"/>
              <w:rPr>
                <w:rFonts w:ascii="Times New Roman" w:hAnsi="Times New Roman" w:cs="Times New Roman"/>
                <w:b w:val="0"/>
                <w:sz w:val="24"/>
                <w:szCs w:val="24"/>
              </w:rPr>
            </w:pPr>
            <w:r w:rsidRPr="000A4A0F">
              <w:rPr>
                <w:rFonts w:ascii="Times New Roman" w:hAnsi="Times New Roman" w:cs="Times New Roman"/>
                <w:b w:val="0"/>
                <w:sz w:val="24"/>
                <w:szCs w:val="24"/>
              </w:rPr>
              <w:t>Paramètres</w:t>
            </w:r>
          </w:p>
        </w:tc>
        <w:tc>
          <w:tcPr>
            <w:tcW w:w="2552" w:type="dxa"/>
          </w:tcPr>
          <w:p w14:paraId="4163EDB4" w14:textId="77777777" w:rsidR="007D5DBA" w:rsidRPr="000A4A0F" w:rsidRDefault="007D5DBA" w:rsidP="006612D9">
            <w:pPr>
              <w:pStyle w:val="Sansinterligne"/>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0A4A0F">
              <w:rPr>
                <w:rFonts w:ascii="Times New Roman" w:hAnsi="Times New Roman" w:cs="Times New Roman"/>
                <w:b w:val="0"/>
                <w:sz w:val="24"/>
                <w:szCs w:val="24"/>
              </w:rPr>
              <w:t>ORa</w:t>
            </w:r>
            <w:proofErr w:type="spellEnd"/>
            <w:r w:rsidRPr="000A4A0F">
              <w:rPr>
                <w:rFonts w:ascii="Times New Roman" w:hAnsi="Times New Roman" w:cs="Times New Roman"/>
                <w:b w:val="0"/>
                <w:sz w:val="24"/>
                <w:szCs w:val="24"/>
              </w:rPr>
              <w:t xml:space="preserve"> (IC à 95%)</w:t>
            </w:r>
          </w:p>
        </w:tc>
        <w:tc>
          <w:tcPr>
            <w:tcW w:w="2410" w:type="dxa"/>
          </w:tcPr>
          <w:p w14:paraId="31A2E650" w14:textId="77777777" w:rsidR="007D5DBA" w:rsidRPr="000A4A0F" w:rsidRDefault="007D5DBA" w:rsidP="006612D9">
            <w:pPr>
              <w:pStyle w:val="Sansinterligne"/>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A4A0F">
              <w:rPr>
                <w:rFonts w:ascii="Times New Roman" w:hAnsi="Times New Roman" w:cs="Times New Roman"/>
                <w:b w:val="0"/>
                <w:sz w:val="24"/>
                <w:szCs w:val="24"/>
              </w:rPr>
              <w:t>P</w:t>
            </w:r>
          </w:p>
        </w:tc>
      </w:tr>
      <w:tr w:rsidR="007D5DBA" w:rsidRPr="000A4A0F" w14:paraId="2A3A35E4" w14:textId="77777777" w:rsidTr="005F2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671E8D5" w14:textId="77777777" w:rsidR="007D5DBA" w:rsidRPr="000A4A0F" w:rsidRDefault="007D5DBA" w:rsidP="006612D9">
            <w:pPr>
              <w:pStyle w:val="Sansinterligne"/>
              <w:spacing w:line="360" w:lineRule="auto"/>
              <w:jc w:val="both"/>
              <w:rPr>
                <w:rFonts w:ascii="Times New Roman" w:hAnsi="Times New Roman" w:cs="Times New Roman"/>
                <w:b w:val="0"/>
                <w:sz w:val="24"/>
                <w:szCs w:val="24"/>
              </w:rPr>
            </w:pPr>
            <w:r w:rsidRPr="000A4A0F">
              <w:rPr>
                <w:rFonts w:ascii="Times New Roman" w:hAnsi="Times New Roman" w:cs="Times New Roman"/>
                <w:b w:val="0"/>
                <w:sz w:val="24"/>
                <w:szCs w:val="24"/>
              </w:rPr>
              <w:t>Poids de naissance &lt; 1500</w:t>
            </w:r>
          </w:p>
        </w:tc>
        <w:tc>
          <w:tcPr>
            <w:tcW w:w="2552" w:type="dxa"/>
          </w:tcPr>
          <w:p w14:paraId="0AFE30BD" w14:textId="5424447E" w:rsidR="007D5DBA" w:rsidRPr="000A4A0F" w:rsidRDefault="002750AA"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4A0F">
              <w:rPr>
                <w:rFonts w:ascii="Times New Roman" w:hAnsi="Times New Roman" w:cs="Times New Roman"/>
                <w:b/>
                <w:sz w:val="24"/>
                <w:szCs w:val="24"/>
              </w:rPr>
              <w:t>3.96 (</w:t>
            </w:r>
            <w:r w:rsidR="007D5DBA" w:rsidRPr="000A4A0F">
              <w:rPr>
                <w:rFonts w:ascii="Times New Roman" w:hAnsi="Times New Roman" w:cs="Times New Roman"/>
                <w:b/>
                <w:sz w:val="24"/>
                <w:szCs w:val="24"/>
              </w:rPr>
              <w:t>1.85-18.43)</w:t>
            </w:r>
          </w:p>
        </w:tc>
        <w:tc>
          <w:tcPr>
            <w:tcW w:w="2410" w:type="dxa"/>
          </w:tcPr>
          <w:p w14:paraId="54A071CA" w14:textId="77777777" w:rsidR="007D5DBA" w:rsidRPr="000A4A0F" w:rsidRDefault="007D5DBA" w:rsidP="006612D9">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4A0F">
              <w:rPr>
                <w:rFonts w:ascii="Times New Roman" w:hAnsi="Times New Roman" w:cs="Times New Roman"/>
                <w:b/>
                <w:sz w:val="24"/>
                <w:szCs w:val="24"/>
              </w:rPr>
              <w:t>0.040</w:t>
            </w:r>
          </w:p>
        </w:tc>
      </w:tr>
      <w:tr w:rsidR="007D5DBA" w:rsidRPr="000A4A0F" w14:paraId="5449DED5" w14:textId="77777777" w:rsidTr="005F2ED3">
        <w:tc>
          <w:tcPr>
            <w:cnfStyle w:val="001000000000" w:firstRow="0" w:lastRow="0" w:firstColumn="1" w:lastColumn="0" w:oddVBand="0" w:evenVBand="0" w:oddHBand="0" w:evenHBand="0" w:firstRowFirstColumn="0" w:firstRowLastColumn="0" w:lastRowFirstColumn="0" w:lastRowLastColumn="0"/>
            <w:tcW w:w="3397" w:type="dxa"/>
          </w:tcPr>
          <w:p w14:paraId="163227B3" w14:textId="77777777" w:rsidR="007D5DBA" w:rsidRPr="000A4A0F" w:rsidRDefault="007D5DBA" w:rsidP="006612D9">
            <w:pPr>
              <w:pStyle w:val="Sansinterligne"/>
              <w:spacing w:line="360" w:lineRule="auto"/>
              <w:jc w:val="both"/>
              <w:rPr>
                <w:rFonts w:ascii="Times New Roman" w:hAnsi="Times New Roman" w:cs="Times New Roman"/>
                <w:b w:val="0"/>
                <w:sz w:val="24"/>
                <w:szCs w:val="24"/>
              </w:rPr>
            </w:pPr>
            <w:r w:rsidRPr="000A4A0F">
              <w:rPr>
                <w:rFonts w:ascii="Times New Roman" w:hAnsi="Times New Roman" w:cs="Times New Roman"/>
                <w:b w:val="0"/>
                <w:sz w:val="24"/>
                <w:szCs w:val="24"/>
              </w:rPr>
              <w:t>Infection néonatale</w:t>
            </w:r>
          </w:p>
        </w:tc>
        <w:tc>
          <w:tcPr>
            <w:tcW w:w="2552" w:type="dxa"/>
          </w:tcPr>
          <w:p w14:paraId="1D29B687" w14:textId="10292BE3" w:rsidR="007D5DBA" w:rsidRPr="000A4A0F" w:rsidRDefault="002750AA"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4A0F">
              <w:rPr>
                <w:rFonts w:ascii="Times New Roman" w:hAnsi="Times New Roman" w:cs="Times New Roman"/>
                <w:b/>
                <w:sz w:val="24"/>
                <w:szCs w:val="24"/>
              </w:rPr>
              <w:t>9.30 (</w:t>
            </w:r>
            <w:r w:rsidR="007D5DBA" w:rsidRPr="000A4A0F">
              <w:rPr>
                <w:rFonts w:ascii="Times New Roman" w:hAnsi="Times New Roman" w:cs="Times New Roman"/>
                <w:b/>
                <w:sz w:val="24"/>
                <w:szCs w:val="24"/>
              </w:rPr>
              <w:t>1.29-66.67)</w:t>
            </w:r>
          </w:p>
        </w:tc>
        <w:tc>
          <w:tcPr>
            <w:tcW w:w="2410" w:type="dxa"/>
          </w:tcPr>
          <w:p w14:paraId="644C0ADE" w14:textId="77777777" w:rsidR="007D5DBA" w:rsidRPr="000A4A0F" w:rsidRDefault="007D5DBA" w:rsidP="006612D9">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4A0F">
              <w:rPr>
                <w:rFonts w:ascii="Times New Roman" w:hAnsi="Times New Roman" w:cs="Times New Roman"/>
                <w:b/>
                <w:sz w:val="24"/>
                <w:szCs w:val="24"/>
              </w:rPr>
              <w:t>0.026</w:t>
            </w:r>
          </w:p>
        </w:tc>
      </w:tr>
    </w:tbl>
    <w:p w14:paraId="30F678B5" w14:textId="77777777" w:rsidR="007D5DBA" w:rsidRPr="000A4A0F" w:rsidRDefault="007D5DBA" w:rsidP="006612D9">
      <w:pPr>
        <w:shd w:val="clear" w:color="auto" w:fill="FFFFFF"/>
        <w:spacing w:after="0" w:line="360" w:lineRule="auto"/>
        <w:jc w:val="both"/>
        <w:textAlignment w:val="baseline"/>
        <w:rPr>
          <w:rFonts w:ascii="Times New Roman" w:hAnsi="Times New Roman" w:cs="Times New Roman"/>
          <w:sz w:val="24"/>
          <w:szCs w:val="24"/>
        </w:rPr>
      </w:pPr>
      <w:proofErr w:type="spellStart"/>
      <w:r w:rsidRPr="000A4A0F">
        <w:rPr>
          <w:rFonts w:ascii="Times New Roman" w:hAnsi="Times New Roman" w:cs="Times New Roman"/>
          <w:sz w:val="24"/>
          <w:szCs w:val="24"/>
        </w:rPr>
        <w:t>ORa</w:t>
      </w:r>
      <w:proofErr w:type="spellEnd"/>
      <w:r w:rsidRPr="000A4A0F">
        <w:rPr>
          <w:rFonts w:ascii="Times New Roman" w:hAnsi="Times New Roman" w:cs="Times New Roman"/>
          <w:sz w:val="24"/>
          <w:szCs w:val="24"/>
        </w:rPr>
        <w:t>=</w:t>
      </w:r>
      <w:proofErr w:type="spellStart"/>
      <w:r w:rsidRPr="000A4A0F">
        <w:rPr>
          <w:rFonts w:ascii="Times New Roman" w:hAnsi="Times New Roman" w:cs="Times New Roman"/>
          <w:sz w:val="24"/>
          <w:szCs w:val="24"/>
        </w:rPr>
        <w:t>Odds</w:t>
      </w:r>
      <w:proofErr w:type="spellEnd"/>
      <w:r w:rsidRPr="000A4A0F">
        <w:rPr>
          <w:rFonts w:ascii="Times New Roman" w:hAnsi="Times New Roman" w:cs="Times New Roman"/>
          <w:sz w:val="24"/>
          <w:szCs w:val="24"/>
        </w:rPr>
        <w:t xml:space="preserve"> Ration ajustés (Rapports de cotes ajustés)</w:t>
      </w:r>
    </w:p>
    <w:p w14:paraId="1F917845" w14:textId="77777777" w:rsidR="007D5DBA" w:rsidRPr="000A4A0F" w:rsidRDefault="007D5DB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53B8D254" w14:textId="328A3924" w:rsidR="00A51D83" w:rsidRPr="000A4A0F" w:rsidRDefault="00A51D83"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Les facteurs indépendamment </w:t>
      </w:r>
      <w:r w:rsidRPr="00C1024E">
        <w:rPr>
          <w:rFonts w:ascii="Times New Roman" w:eastAsia="Times New Roman" w:hAnsi="Times New Roman" w:cs="Times New Roman"/>
          <w:color w:val="000000"/>
          <w:sz w:val="24"/>
          <w:szCs w:val="24"/>
          <w:highlight w:val="yellow"/>
          <w:lang w:eastAsia="fr-FR"/>
        </w:rPr>
        <w:t>associes a</w:t>
      </w:r>
      <w:r w:rsidRPr="000A4A0F">
        <w:rPr>
          <w:rFonts w:ascii="Times New Roman" w:eastAsia="Times New Roman" w:hAnsi="Times New Roman" w:cs="Times New Roman"/>
          <w:color w:val="000000"/>
          <w:sz w:val="24"/>
          <w:szCs w:val="24"/>
          <w:lang w:eastAsia="fr-FR"/>
        </w:rPr>
        <w:t xml:space="preserve"> la mortalité étaient le poids &lt;1500g Ora 4 (IC 95%: 1.9-18.4, p-value 0.04), l’infection néonatale Ora 9.3 (IC 95%: 1.3-66.7, p-value 0.026)</w:t>
      </w:r>
    </w:p>
    <w:p w14:paraId="44E254F6" w14:textId="77777777" w:rsidR="00AF34B8" w:rsidRPr="000A4A0F" w:rsidRDefault="00AF34B8"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39E24D7D" w14:textId="77777777" w:rsidR="00AF34B8" w:rsidRPr="000A4A0F" w:rsidRDefault="00AF34B8"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39C3925F" w14:textId="77777777" w:rsidR="00AF34B8" w:rsidRPr="000A4A0F" w:rsidRDefault="00AF34B8"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7C4839DB" w14:textId="77777777" w:rsidR="000A4A0F" w:rsidRPr="000A4A0F" w:rsidRDefault="000A4A0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79E08868" w14:textId="77777777" w:rsidR="000A4A0F" w:rsidRPr="000A4A0F" w:rsidRDefault="000A4A0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35DDF5BE" w14:textId="77777777" w:rsidR="000A4A0F" w:rsidRPr="000A4A0F" w:rsidRDefault="000A4A0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1F294C86" w14:textId="77777777" w:rsidR="000A4A0F" w:rsidRPr="000A4A0F" w:rsidRDefault="000A4A0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0E6963A2" w14:textId="77777777" w:rsidR="000A4A0F" w:rsidRPr="000A4A0F" w:rsidRDefault="000A4A0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7C20051B" w14:textId="77777777" w:rsidR="000A4A0F" w:rsidRPr="000A4A0F" w:rsidRDefault="000A4A0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7370D30B" w14:textId="77777777" w:rsidR="000A4A0F" w:rsidRPr="000A4A0F" w:rsidRDefault="000A4A0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4A5D3F1D" w14:textId="77777777" w:rsidR="000A4A0F" w:rsidRDefault="000A4A0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7F4B7402" w14:textId="77777777" w:rsidR="00154ECA" w:rsidRDefault="00154EC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764B0796" w14:textId="77777777" w:rsidR="000A4A0F" w:rsidRDefault="000A4A0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50185F79" w14:textId="77777777" w:rsidR="00154ECA" w:rsidRDefault="00154EC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2D1F268D" w14:textId="77777777" w:rsidR="005C5719" w:rsidRDefault="005C5719"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1F16AC11" w14:textId="77777777" w:rsidR="005C5719" w:rsidRPr="000A4A0F" w:rsidRDefault="005C5719"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77742CB4" w14:textId="71F7DB19" w:rsidR="00696AA7" w:rsidRPr="000A4A0F" w:rsidRDefault="0033000A" w:rsidP="006612D9">
      <w:pPr>
        <w:pStyle w:val="Titre1"/>
        <w:spacing w:before="0" w:beforeAutospacing="0" w:after="0" w:afterAutospacing="0" w:line="360" w:lineRule="auto"/>
        <w:jc w:val="both"/>
        <w:rPr>
          <w:sz w:val="24"/>
          <w:szCs w:val="24"/>
        </w:rPr>
      </w:pPr>
      <w:bookmarkStart w:id="68" w:name="_Toc87049081"/>
      <w:r w:rsidRPr="000A4A0F">
        <w:rPr>
          <w:sz w:val="24"/>
          <w:szCs w:val="24"/>
        </w:rPr>
        <w:lastRenderedPageBreak/>
        <w:t xml:space="preserve">Chapitre IV. </w:t>
      </w:r>
      <w:r w:rsidR="00D640A8" w:rsidRPr="000A4A0F">
        <w:rPr>
          <w:sz w:val="24"/>
          <w:szCs w:val="24"/>
        </w:rPr>
        <w:t>DISCUSSION</w:t>
      </w:r>
      <w:bookmarkEnd w:id="68"/>
    </w:p>
    <w:p w14:paraId="279A542E" w14:textId="77777777" w:rsidR="00566190" w:rsidRPr="000A4A0F" w:rsidRDefault="00566190" w:rsidP="006612D9">
      <w:pPr>
        <w:pStyle w:val="Titre1"/>
        <w:spacing w:before="0" w:beforeAutospacing="0" w:after="0" w:afterAutospacing="0" w:line="360" w:lineRule="auto"/>
        <w:jc w:val="both"/>
        <w:rPr>
          <w:color w:val="000000" w:themeColor="text1"/>
          <w:sz w:val="24"/>
          <w:szCs w:val="24"/>
        </w:rPr>
      </w:pPr>
    </w:p>
    <w:p w14:paraId="3EE3E9D4" w14:textId="6ACFC72A" w:rsidR="00602ACB" w:rsidRPr="000A4A0F" w:rsidRDefault="000A4A0F" w:rsidP="006612D9">
      <w:pPr>
        <w:spacing w:after="0" w:line="360" w:lineRule="auto"/>
        <w:jc w:val="both"/>
        <w:rPr>
          <w:rFonts w:ascii="Times New Roman" w:hAnsi="Times New Roman" w:cs="Times New Roman"/>
          <w:b/>
          <w:sz w:val="24"/>
          <w:szCs w:val="24"/>
          <w:lang w:eastAsia="fr-FR"/>
        </w:rPr>
      </w:pPr>
      <w:r w:rsidRPr="000A4A0F">
        <w:rPr>
          <w:rFonts w:ascii="Times New Roman" w:hAnsi="Times New Roman" w:cs="Times New Roman"/>
          <w:b/>
          <w:sz w:val="24"/>
          <w:szCs w:val="24"/>
          <w:lang w:eastAsia="fr-FR"/>
        </w:rPr>
        <w:t>FREQUENCE ET INCIDENCE</w:t>
      </w:r>
    </w:p>
    <w:p w14:paraId="536BD4CE" w14:textId="77777777" w:rsidR="000A4A0F" w:rsidRPr="000A4A0F" w:rsidRDefault="000A4A0F" w:rsidP="006612D9">
      <w:pPr>
        <w:spacing w:after="0" w:line="360" w:lineRule="auto"/>
        <w:jc w:val="both"/>
        <w:rPr>
          <w:rFonts w:ascii="Times New Roman" w:hAnsi="Times New Roman" w:cs="Times New Roman"/>
          <w:b/>
          <w:sz w:val="24"/>
          <w:szCs w:val="24"/>
          <w:lang w:eastAsia="fr-FR"/>
        </w:rPr>
      </w:pPr>
    </w:p>
    <w:p w14:paraId="5B46EAE6" w14:textId="12E571ED" w:rsidR="005C741C" w:rsidRPr="000A4A0F" w:rsidRDefault="005C741C"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La pr</w:t>
      </w:r>
      <w:r w:rsidR="00807250">
        <w:rPr>
          <w:rFonts w:ascii="Times New Roman" w:eastAsia="Times New Roman" w:hAnsi="Times New Roman" w:cs="Times New Roman"/>
          <w:color w:val="000000"/>
          <w:sz w:val="24"/>
          <w:szCs w:val="24"/>
          <w:lang w:eastAsia="fr-FR"/>
        </w:rPr>
        <w:t xml:space="preserve">ésente étude visait à évaluer </w:t>
      </w:r>
      <w:r w:rsidRPr="000A4A0F">
        <w:rPr>
          <w:rFonts w:ascii="Times New Roman" w:eastAsia="Times New Roman" w:hAnsi="Times New Roman" w:cs="Times New Roman"/>
          <w:color w:val="000000"/>
          <w:sz w:val="24"/>
          <w:szCs w:val="24"/>
          <w:lang w:eastAsia="fr-FR"/>
        </w:rPr>
        <w:t xml:space="preserve">la fréquence de l’ictère néonatal à l’unité de soins intensifs néonatals de l’HPGRB, analyser les différentes étiologies associatives et </w:t>
      </w:r>
      <w:r w:rsidR="000A4A0F" w:rsidRPr="00106BD7">
        <w:rPr>
          <w:rFonts w:ascii="Times New Roman" w:eastAsia="Times New Roman" w:hAnsi="Times New Roman" w:cs="Times New Roman"/>
          <w:color w:val="000000"/>
          <w:sz w:val="24"/>
          <w:szCs w:val="24"/>
          <w:highlight w:val="yellow"/>
          <w:lang w:eastAsia="fr-FR"/>
        </w:rPr>
        <w:t xml:space="preserve">évaluer le différent </w:t>
      </w:r>
      <w:r w:rsidR="00807250" w:rsidRPr="00106BD7">
        <w:rPr>
          <w:rFonts w:ascii="Times New Roman" w:eastAsia="Times New Roman" w:hAnsi="Times New Roman" w:cs="Times New Roman"/>
          <w:color w:val="000000"/>
          <w:sz w:val="24"/>
          <w:szCs w:val="24"/>
          <w:highlight w:val="yellow"/>
          <w:lang w:eastAsia="fr-FR"/>
        </w:rPr>
        <w:t>pronostic</w:t>
      </w:r>
      <w:r w:rsidR="00807250">
        <w:rPr>
          <w:rFonts w:ascii="Times New Roman" w:eastAsia="Times New Roman" w:hAnsi="Times New Roman" w:cs="Times New Roman"/>
          <w:color w:val="000000"/>
          <w:sz w:val="24"/>
          <w:szCs w:val="24"/>
          <w:lang w:eastAsia="fr-FR"/>
        </w:rPr>
        <w:t>.</w:t>
      </w:r>
      <w:r w:rsidR="00807250" w:rsidRPr="000A4A0F">
        <w:rPr>
          <w:rFonts w:ascii="Times New Roman" w:eastAsia="Times New Roman" w:hAnsi="Times New Roman" w:cs="Times New Roman"/>
          <w:color w:val="000000"/>
          <w:sz w:val="24"/>
          <w:szCs w:val="24"/>
          <w:lang w:eastAsia="fr-FR"/>
        </w:rPr>
        <w:t xml:space="preserve"> Globalement</w:t>
      </w:r>
      <w:r w:rsidRPr="000A4A0F">
        <w:rPr>
          <w:rFonts w:ascii="Times New Roman" w:eastAsia="Times New Roman" w:hAnsi="Times New Roman" w:cs="Times New Roman"/>
          <w:color w:val="000000"/>
          <w:sz w:val="24"/>
          <w:szCs w:val="24"/>
          <w:lang w:eastAsia="fr-FR"/>
        </w:rPr>
        <w:t xml:space="preserve">, au cours de notre période d’études allant de Novembre 2019 à Mai 2021, au total 728 nouveau-nés ont été admis au SIN de l’HPGRB dont 136 cas ont développé un ictère à prédominance indirect, ce qui représente une fréquence </w:t>
      </w:r>
      <w:r w:rsidR="000A4A0F" w:rsidRPr="000A4A0F">
        <w:rPr>
          <w:rFonts w:ascii="Times New Roman" w:eastAsia="Times New Roman" w:hAnsi="Times New Roman" w:cs="Times New Roman"/>
          <w:color w:val="000000"/>
          <w:sz w:val="24"/>
          <w:szCs w:val="24"/>
          <w:lang w:eastAsia="fr-FR"/>
        </w:rPr>
        <w:t>de 18.6</w:t>
      </w:r>
      <w:r w:rsidRPr="000A4A0F">
        <w:rPr>
          <w:rFonts w:ascii="Times New Roman" w:eastAsia="Times New Roman" w:hAnsi="Times New Roman" w:cs="Times New Roman"/>
          <w:color w:val="000000"/>
          <w:sz w:val="24"/>
          <w:szCs w:val="24"/>
          <w:lang w:eastAsia="fr-FR"/>
        </w:rPr>
        <w:t xml:space="preserve">%. La prévalence de l’infection chez </w:t>
      </w:r>
      <w:r w:rsidRPr="00106BD7">
        <w:rPr>
          <w:rFonts w:ascii="Times New Roman" w:eastAsia="Times New Roman" w:hAnsi="Times New Roman" w:cs="Times New Roman"/>
          <w:color w:val="000000"/>
          <w:sz w:val="24"/>
          <w:szCs w:val="24"/>
          <w:highlight w:val="yellow"/>
          <w:lang w:eastAsia="fr-FR"/>
        </w:rPr>
        <w:t>ce nouveau-né était de 28.7%, le déficit en G6PD, le trait drépanocytaire était retrouvé chez 11.9% et 11.9 % de nouveau-nés respectivement et 41.4% de nouveau-nés étaient nés prématurément.</w:t>
      </w:r>
    </w:p>
    <w:p w14:paraId="6A617ABD" w14:textId="719411AD" w:rsidR="00064F41" w:rsidRPr="000A4A0F" w:rsidRDefault="00064F41" w:rsidP="006612D9">
      <w:pPr>
        <w:spacing w:after="0" w:line="360" w:lineRule="auto"/>
        <w:jc w:val="both"/>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Pour ce qui est de la prévalence de l’ictère, nous avons trouvé une prévalence qui est proche de celle ra</w:t>
      </w:r>
      <w:r w:rsidR="00204B3C" w:rsidRPr="000A4A0F">
        <w:rPr>
          <w:rFonts w:ascii="Times New Roman" w:eastAsia="Times New Roman" w:hAnsi="Times New Roman" w:cs="Times New Roman"/>
          <w:color w:val="000000"/>
          <w:sz w:val="24"/>
          <w:szCs w:val="24"/>
          <w:lang w:eastAsia="fr-FR"/>
        </w:rPr>
        <w:t xml:space="preserve">pportait </w:t>
      </w:r>
      <w:r w:rsidR="000A4A0F" w:rsidRPr="000A4A0F">
        <w:rPr>
          <w:rFonts w:ascii="Times New Roman" w:eastAsia="Times New Roman" w:hAnsi="Times New Roman" w:cs="Times New Roman"/>
          <w:color w:val="000000"/>
          <w:sz w:val="24"/>
          <w:szCs w:val="24"/>
          <w:lang w:eastAsia="fr-FR"/>
        </w:rPr>
        <w:t xml:space="preserve">par </w:t>
      </w:r>
      <w:proofErr w:type="spellStart"/>
      <w:r w:rsidR="000A4A0F" w:rsidRPr="000A4A0F">
        <w:rPr>
          <w:rFonts w:ascii="Times New Roman" w:eastAsia="Times New Roman" w:hAnsi="Times New Roman" w:cs="Times New Roman"/>
          <w:color w:val="000000"/>
          <w:sz w:val="24"/>
          <w:szCs w:val="24"/>
          <w:lang w:eastAsia="fr-FR"/>
        </w:rPr>
        <w:t>Rasul</w:t>
      </w:r>
      <w:proofErr w:type="spellEnd"/>
      <w:r w:rsidR="00204B3C" w:rsidRPr="000A4A0F">
        <w:rPr>
          <w:rFonts w:ascii="Times New Roman" w:eastAsia="Times New Roman" w:hAnsi="Times New Roman" w:cs="Times New Roman"/>
          <w:color w:val="000000"/>
          <w:sz w:val="24"/>
          <w:szCs w:val="24"/>
          <w:lang w:eastAsia="fr-FR"/>
        </w:rPr>
        <w:t xml:space="preserve"> CH et col.</w:t>
      </w:r>
      <w:r w:rsidR="000A4A0F">
        <w:rPr>
          <w:rFonts w:ascii="Times New Roman" w:eastAsia="Times New Roman" w:hAnsi="Times New Roman" w:cs="Times New Roman"/>
          <w:color w:val="000000"/>
          <w:sz w:val="24"/>
          <w:szCs w:val="24"/>
          <w:lang w:eastAsia="fr-FR"/>
        </w:rPr>
        <w:fldChar w:fldCharType="begin" w:fldLock="1"/>
      </w:r>
      <w:r w:rsidR="00EE36B6">
        <w:rPr>
          <w:rFonts w:ascii="Times New Roman" w:eastAsia="Times New Roman" w:hAnsi="Times New Roman" w:cs="Times New Roman"/>
          <w:color w:val="000000"/>
          <w:sz w:val="24"/>
          <w:szCs w:val="24"/>
          <w:lang w:eastAsia="fr-FR"/>
        </w:rPr>
        <w:instrText>ADDIN CSL_CITATION {"citationItems":[{"id":"ITEM-1","itemData":{"DOI":"10.11604/pamj.2014.19.302.5658","author":[{"dropping-particle":"","family":"Mutombo","given":"Junior Dibwe","non-dropping-particle":"","parse-names":false,"suffix":""},{"dropping-particle":"","family":"Kabuya","given":"Maguy Sangaji","non-dropping-particle":"","parse-names":false,"suffix":""},{"dropping-particle":"","family":"Kayembe","given":"Celestin Mukoko","non-dropping-particle":"","parse-names":false,"suffix":""},{"dropping-particle":"","family":"Luboya","given":"Oscar Numbi","non-dropping-particle":"","parse-names":false,"suffix":""}],"id":"ITEM-1","issued":{"date-parts":[["2014"]]},"page":"1-8","title":"Case series","type":"article-journal","volume":"8688"},"uris":["http://www.mendeley.com/documents/?uuid=34933792-359e-4932-890f-161e2e40f63b","http://www.mendeley.com/documents/?uuid=b5a613f0-b4de-4a8e-ac7f-370536dff72a"]}],"mendeley":{"formattedCitation":"(10)","plainTextFormattedCitation":"(10)","previouslyFormattedCitation":"(10)"},"properties":{"noteIndex":0},"schema":"https://github.com/citation-style-language/schema/raw/master/csl-citation.json"}</w:instrText>
      </w:r>
      <w:r w:rsidR="000A4A0F">
        <w:rPr>
          <w:rFonts w:ascii="Times New Roman" w:eastAsia="Times New Roman" w:hAnsi="Times New Roman" w:cs="Times New Roman"/>
          <w:color w:val="000000"/>
          <w:sz w:val="24"/>
          <w:szCs w:val="24"/>
          <w:lang w:eastAsia="fr-FR"/>
        </w:rPr>
        <w:fldChar w:fldCharType="separate"/>
      </w:r>
      <w:r w:rsidR="000A4A0F" w:rsidRPr="000A4A0F">
        <w:rPr>
          <w:rFonts w:ascii="Times New Roman" w:eastAsia="Times New Roman" w:hAnsi="Times New Roman" w:cs="Times New Roman"/>
          <w:noProof/>
          <w:color w:val="000000"/>
          <w:sz w:val="24"/>
          <w:szCs w:val="24"/>
          <w:lang w:eastAsia="fr-FR"/>
        </w:rPr>
        <w:t>(10)</w:t>
      </w:r>
      <w:r w:rsidR="000A4A0F">
        <w:rPr>
          <w:rFonts w:ascii="Times New Roman" w:eastAsia="Times New Roman" w:hAnsi="Times New Roman" w:cs="Times New Roman"/>
          <w:color w:val="000000"/>
          <w:sz w:val="24"/>
          <w:szCs w:val="24"/>
          <w:lang w:eastAsia="fr-FR"/>
        </w:rPr>
        <w:fldChar w:fldCharType="end"/>
      </w:r>
      <w:r w:rsidR="00204B3C" w:rsidRPr="000A4A0F">
        <w:rPr>
          <w:rFonts w:ascii="Times New Roman" w:eastAsia="Times New Roman" w:hAnsi="Times New Roman" w:cs="Times New Roman"/>
          <w:color w:val="000000"/>
          <w:sz w:val="24"/>
          <w:szCs w:val="24"/>
          <w:lang w:eastAsia="fr-FR"/>
        </w:rPr>
        <w:t xml:space="preserve"> Qui</w:t>
      </w:r>
      <w:r w:rsidRPr="000A4A0F">
        <w:rPr>
          <w:rFonts w:ascii="Times New Roman" w:eastAsia="Times New Roman" w:hAnsi="Times New Roman" w:cs="Times New Roman"/>
          <w:color w:val="000000"/>
          <w:sz w:val="24"/>
          <w:szCs w:val="24"/>
          <w:lang w:eastAsia="fr-FR"/>
        </w:rPr>
        <w:t xml:space="preserve"> ont trouvé dans leur étude une fréquence de 22%. Nos résultats sont </w:t>
      </w:r>
      <w:r w:rsidR="00204B3C" w:rsidRPr="000A4A0F">
        <w:rPr>
          <w:rFonts w:ascii="Times New Roman" w:eastAsia="Times New Roman" w:hAnsi="Times New Roman" w:cs="Times New Roman"/>
          <w:color w:val="000000"/>
          <w:sz w:val="24"/>
          <w:szCs w:val="24"/>
          <w:lang w:eastAsia="fr-FR"/>
        </w:rPr>
        <w:t>inférieurs à</w:t>
      </w:r>
      <w:r w:rsidRPr="000A4A0F">
        <w:rPr>
          <w:rFonts w:ascii="Times New Roman" w:eastAsia="Times New Roman" w:hAnsi="Times New Roman" w:cs="Times New Roman"/>
          <w:color w:val="000000"/>
          <w:sz w:val="24"/>
          <w:szCs w:val="24"/>
          <w:lang w:eastAsia="fr-FR"/>
        </w:rPr>
        <w:t xml:space="preserve"> ceux </w:t>
      </w:r>
      <w:r w:rsidRPr="00106BD7">
        <w:rPr>
          <w:rFonts w:ascii="Times New Roman" w:eastAsia="Times New Roman" w:hAnsi="Times New Roman" w:cs="Times New Roman"/>
          <w:color w:val="000000"/>
          <w:sz w:val="24"/>
          <w:szCs w:val="24"/>
          <w:highlight w:val="yellow"/>
          <w:lang w:eastAsia="fr-FR"/>
        </w:rPr>
        <w:t>rapportaient</w:t>
      </w:r>
      <w:r w:rsidRPr="000A4A0F">
        <w:rPr>
          <w:rFonts w:ascii="Times New Roman" w:eastAsia="Times New Roman" w:hAnsi="Times New Roman" w:cs="Times New Roman"/>
          <w:color w:val="000000"/>
          <w:sz w:val="24"/>
          <w:szCs w:val="24"/>
          <w:lang w:eastAsia="fr-FR"/>
        </w:rPr>
        <w:t xml:space="preserve"> au Maroc par </w:t>
      </w:r>
      <w:proofErr w:type="spellStart"/>
      <w:r w:rsidRPr="000A4A0F">
        <w:rPr>
          <w:rFonts w:ascii="Times New Roman" w:eastAsia="Times New Roman" w:hAnsi="Times New Roman" w:cs="Times New Roman"/>
          <w:color w:val="000000"/>
          <w:sz w:val="24"/>
          <w:szCs w:val="24"/>
          <w:lang w:eastAsia="fr-FR"/>
        </w:rPr>
        <w:t>Barkat</w:t>
      </w:r>
      <w:proofErr w:type="spellEnd"/>
      <w:r w:rsidRPr="000A4A0F">
        <w:rPr>
          <w:rFonts w:ascii="Times New Roman" w:eastAsia="Times New Roman" w:hAnsi="Times New Roman" w:cs="Times New Roman"/>
          <w:color w:val="000000"/>
          <w:sz w:val="24"/>
          <w:szCs w:val="24"/>
          <w:lang w:eastAsia="fr-FR"/>
        </w:rPr>
        <w:t xml:space="preserve"> et col</w:t>
      </w:r>
      <w:r w:rsidR="00786B2C">
        <w:rPr>
          <w:rFonts w:ascii="Times New Roman" w:eastAsia="Times New Roman" w:hAnsi="Times New Roman" w:cs="Times New Roman"/>
          <w:color w:val="000000"/>
          <w:sz w:val="24"/>
          <w:szCs w:val="24"/>
          <w:lang w:eastAsia="fr-FR"/>
        </w:rPr>
        <w:fldChar w:fldCharType="begin" w:fldLock="1"/>
      </w:r>
      <w:r w:rsidR="004F4A84">
        <w:rPr>
          <w:rFonts w:ascii="Times New Roman" w:eastAsia="Times New Roman" w:hAnsi="Times New Roman" w:cs="Times New Roman"/>
          <w:color w:val="000000"/>
          <w:sz w:val="24"/>
          <w:szCs w:val="24"/>
          <w:lang w:eastAsia="fr-FR"/>
        </w:rPr>
        <w:instrText>ADDIN CSL_CITATION {"citationItems":[{"id":"ITEM-1","itemData":{"author":[{"dropping-particle":"","family":"Mohammed","given":"C H U","non-dropping-particle":"","parse-names":false,"suffix":""},{"dropping-particle":"","family":"Tairan","given":"H","non-dropping-particle":"","parse-names":false,"suffix":""},{"dropping-particle":"","family":"Aboussad","given":"A","non-dropping-particle":"","parse-names":false,"suffix":""},{"dropping-particle":"De","family":"Néonatologie","given":"Service","non-dropping-particle":"","parse-names":false,"suffix":""},{"dropping-particle":"","family":"Ibn","given":"Hôpital","non-dropping-particle":"","parse-names":false,"suffix":""},{"dropping-particle":"","family":"Chu","given":"Tofail","non-dropping-particle":"","parse-names":false,"suffix":""},{"dropping-particle":"","family":"Vi","given":"Mohammed","non-dropping-particle":"","parse-names":false,"suffix":""}],"id":"ITEM-1","issued":{"date-parts":[["2009"]]},"page":"1-4","title":"Résultats et analyses","type":"article-journal"},"uris":["http://www.mendeley.com/documents/?uuid=ce09b50f-b14c-4775-b1e8-499e37dc6b4c","http://www.mendeley.com/documents/?uuid=f5bb9f37-49b8-410c-9e80-8bfac239ba31"]}],"mendeley":{"formattedCitation":"(22)","plainTextFormattedCitation":"(22)","previouslyFormattedCitation":"(23)"},"properties":{"noteIndex":0},"schema":"https://github.com/citation-style-language/schema/raw/master/csl-citation.json"}</w:instrText>
      </w:r>
      <w:r w:rsidR="00786B2C">
        <w:rPr>
          <w:rFonts w:ascii="Times New Roman" w:eastAsia="Times New Roman" w:hAnsi="Times New Roman" w:cs="Times New Roman"/>
          <w:color w:val="000000"/>
          <w:sz w:val="24"/>
          <w:szCs w:val="24"/>
          <w:lang w:eastAsia="fr-FR"/>
        </w:rPr>
        <w:fldChar w:fldCharType="separate"/>
      </w:r>
      <w:r w:rsidR="004F4A84" w:rsidRPr="004F4A84">
        <w:rPr>
          <w:rFonts w:ascii="Times New Roman" w:eastAsia="Times New Roman" w:hAnsi="Times New Roman" w:cs="Times New Roman"/>
          <w:noProof/>
          <w:color w:val="000000"/>
          <w:sz w:val="24"/>
          <w:szCs w:val="24"/>
          <w:lang w:eastAsia="fr-FR"/>
        </w:rPr>
        <w:t>(22)</w:t>
      </w:r>
      <w:r w:rsidR="00786B2C">
        <w:rPr>
          <w:rFonts w:ascii="Times New Roman" w:eastAsia="Times New Roman" w:hAnsi="Times New Roman" w:cs="Times New Roman"/>
          <w:color w:val="000000"/>
          <w:sz w:val="24"/>
          <w:szCs w:val="24"/>
          <w:lang w:eastAsia="fr-FR"/>
        </w:rPr>
        <w:fldChar w:fldCharType="end"/>
      </w:r>
      <w:r w:rsidRPr="000A4A0F">
        <w:rPr>
          <w:rFonts w:ascii="Times New Roman" w:eastAsia="Times New Roman" w:hAnsi="Times New Roman" w:cs="Times New Roman"/>
          <w:color w:val="000000"/>
          <w:sz w:val="24"/>
          <w:szCs w:val="24"/>
          <w:lang w:eastAsia="fr-FR"/>
        </w:rPr>
        <w:t>, qui ont trouvé une prévalence de 26.3%(82</w:t>
      </w:r>
      <w:r w:rsidRPr="00106BD7">
        <w:rPr>
          <w:rFonts w:ascii="Times New Roman" w:eastAsia="Times New Roman" w:hAnsi="Times New Roman" w:cs="Times New Roman"/>
          <w:color w:val="000000"/>
          <w:sz w:val="24"/>
          <w:szCs w:val="24"/>
          <w:highlight w:val="yellow"/>
          <w:lang w:eastAsia="fr-FR"/>
        </w:rPr>
        <w:t xml:space="preserve">), </w:t>
      </w:r>
      <w:proofErr w:type="spellStart"/>
      <w:r w:rsidRPr="00106BD7">
        <w:rPr>
          <w:rFonts w:ascii="Times New Roman" w:eastAsia="Times New Roman" w:hAnsi="Times New Roman" w:cs="Times New Roman"/>
          <w:color w:val="000000"/>
          <w:sz w:val="24"/>
          <w:szCs w:val="24"/>
          <w:highlight w:val="yellow"/>
          <w:lang w:eastAsia="fr-FR"/>
        </w:rPr>
        <w:t>Atanda</w:t>
      </w:r>
      <w:proofErr w:type="spellEnd"/>
      <w:r w:rsidRPr="00106BD7">
        <w:rPr>
          <w:rFonts w:ascii="Times New Roman" w:eastAsia="Times New Roman" w:hAnsi="Times New Roman" w:cs="Times New Roman"/>
          <w:color w:val="000000"/>
          <w:sz w:val="24"/>
          <w:szCs w:val="24"/>
          <w:highlight w:val="yellow"/>
          <w:lang w:eastAsia="fr-FR"/>
        </w:rPr>
        <w:t xml:space="preserve"> et col en Afrique du Sud rapportent une prévalence 26% ;</w:t>
      </w:r>
      <w:proofErr w:type="spellStart"/>
      <w:r w:rsidR="00786B2C" w:rsidRPr="00106BD7">
        <w:rPr>
          <w:rFonts w:ascii="Times New Roman" w:eastAsia="Times New Roman" w:hAnsi="Times New Roman" w:cs="Times New Roman"/>
          <w:color w:val="000000"/>
          <w:sz w:val="24"/>
          <w:szCs w:val="24"/>
          <w:highlight w:val="yellow"/>
          <w:lang w:eastAsia="fr-FR"/>
        </w:rPr>
        <w:t>Seddigheh</w:t>
      </w:r>
      <w:proofErr w:type="spellEnd"/>
      <w:r w:rsidR="00786B2C" w:rsidRPr="00106BD7">
        <w:rPr>
          <w:rFonts w:ascii="Times New Roman" w:eastAsia="Times New Roman" w:hAnsi="Times New Roman" w:cs="Times New Roman"/>
          <w:color w:val="000000"/>
          <w:sz w:val="24"/>
          <w:szCs w:val="24"/>
          <w:highlight w:val="yellow"/>
          <w:lang w:eastAsia="fr-FR"/>
        </w:rPr>
        <w:t xml:space="preserve"> et col en Iran 28%</w:t>
      </w:r>
      <w:r w:rsidRPr="00106BD7">
        <w:rPr>
          <w:rFonts w:ascii="Times New Roman" w:eastAsia="Times New Roman" w:hAnsi="Times New Roman" w:cs="Times New Roman"/>
          <w:color w:val="000000"/>
          <w:sz w:val="24"/>
          <w:szCs w:val="24"/>
          <w:highlight w:val="yellow"/>
          <w:lang w:eastAsia="fr-FR"/>
        </w:rPr>
        <w:t>;</w:t>
      </w:r>
      <w:r w:rsidR="00786B2C" w:rsidRPr="00106BD7">
        <w:rPr>
          <w:rFonts w:ascii="Times New Roman" w:eastAsia="Times New Roman" w:hAnsi="Times New Roman" w:cs="Times New Roman"/>
          <w:color w:val="000000"/>
          <w:sz w:val="24"/>
          <w:szCs w:val="24"/>
          <w:highlight w:val="yellow"/>
          <w:lang w:eastAsia="fr-FR"/>
        </w:rPr>
        <w:fldChar w:fldCharType="begin" w:fldLock="1"/>
      </w:r>
      <w:r w:rsidR="00EE36B6" w:rsidRPr="00106BD7">
        <w:rPr>
          <w:rFonts w:ascii="Times New Roman" w:eastAsia="Times New Roman" w:hAnsi="Times New Roman" w:cs="Times New Roman"/>
          <w:color w:val="000000"/>
          <w:sz w:val="24"/>
          <w:szCs w:val="24"/>
          <w:highlight w:val="yellow"/>
          <w:lang w:eastAsia="fr-FR"/>
        </w:rPr>
        <w:instrText>ADDIN CSL_CITATION {"citationItems":[{"id":"ITEM-1","itemData":{"author":[{"dropping-particle":"","family":"Heydarian","given":"Farhad","non-dropping-particle":"","parse-names":false,"suffix":""},{"dropping-particle":"","family":"Khatami","given":"Seyedeh Fatemeh","non-dropping-particle":"","parse-names":false,"suffix":""},{"dropping-particle":"","family":"Parvaresh","given":"Pouya","non-dropping-particle":"","parse-names":false,"suffix":""},{"dropping-particle":"","family":"Rezanejad","given":"Masumeh","non-dropping-particle":"","parse-names":false,"suffix":""}],"id":"ITEM-1","issue":"2","issued":{"date-parts":[["2012"]]},"page":"45-49","title":"ABO Hemolytic Disease Leading to Hyperbilirubinemia in Term Newborns : Value of Immunohematological Tests","type":"article-journal","volume":"3"},"uris":["http://www.mendeley.com/documents/?uuid=b280d82d-112b-4e92-a760-1e6f4939c968","http://www.mendeley.com/documents/?uuid=50debc0a-d795-4544-9f7d-f5b224bfdd01"]}],"mendeley":{"formattedCitation":"(4)","plainTextFormattedCitation":"(4)","previouslyFormattedCitation":"(4)"},"properties":{"noteIndex":0},"schema":"https://github.com/citation-style-language/schema/raw/master/csl-citation.json"}</w:instrText>
      </w:r>
      <w:r w:rsidR="00786B2C" w:rsidRPr="00106BD7">
        <w:rPr>
          <w:rFonts w:ascii="Times New Roman" w:eastAsia="Times New Roman" w:hAnsi="Times New Roman" w:cs="Times New Roman"/>
          <w:color w:val="000000"/>
          <w:sz w:val="24"/>
          <w:szCs w:val="24"/>
          <w:highlight w:val="yellow"/>
          <w:lang w:eastAsia="fr-FR"/>
        </w:rPr>
        <w:fldChar w:fldCharType="separate"/>
      </w:r>
      <w:r w:rsidR="00786B2C" w:rsidRPr="00106BD7">
        <w:rPr>
          <w:rFonts w:ascii="Times New Roman" w:eastAsia="Times New Roman" w:hAnsi="Times New Roman" w:cs="Times New Roman"/>
          <w:noProof/>
          <w:color w:val="000000"/>
          <w:sz w:val="24"/>
          <w:szCs w:val="24"/>
          <w:highlight w:val="yellow"/>
          <w:lang w:eastAsia="fr-FR"/>
        </w:rPr>
        <w:t>(4)</w:t>
      </w:r>
      <w:proofErr w:type="spellStart"/>
      <w:r w:rsidR="00786B2C" w:rsidRPr="00106BD7">
        <w:rPr>
          <w:rFonts w:ascii="Times New Roman" w:eastAsia="Times New Roman" w:hAnsi="Times New Roman" w:cs="Times New Roman"/>
          <w:color w:val="000000"/>
          <w:sz w:val="24"/>
          <w:szCs w:val="24"/>
          <w:highlight w:val="yellow"/>
          <w:lang w:eastAsia="fr-FR"/>
        </w:rPr>
        <w:fldChar w:fldCharType="end"/>
      </w:r>
      <w:r w:rsidRPr="00106BD7">
        <w:rPr>
          <w:rFonts w:ascii="Times New Roman" w:eastAsia="Times New Roman" w:hAnsi="Times New Roman" w:cs="Times New Roman"/>
          <w:color w:val="000000"/>
          <w:sz w:val="24"/>
          <w:szCs w:val="24"/>
          <w:highlight w:val="yellow"/>
          <w:lang w:eastAsia="fr-FR"/>
        </w:rPr>
        <w:t>Effong</w:t>
      </w:r>
      <w:proofErr w:type="spellEnd"/>
      <w:r w:rsidRPr="00106BD7">
        <w:rPr>
          <w:rFonts w:ascii="Times New Roman" w:eastAsia="Times New Roman" w:hAnsi="Times New Roman" w:cs="Times New Roman"/>
          <w:color w:val="000000"/>
          <w:sz w:val="24"/>
          <w:szCs w:val="24"/>
          <w:highlight w:val="yellow"/>
          <w:lang w:eastAsia="fr-FR"/>
        </w:rPr>
        <w:t xml:space="preserve"> et </w:t>
      </w:r>
      <w:r w:rsidR="00786B2C" w:rsidRPr="00106BD7">
        <w:rPr>
          <w:rFonts w:ascii="Times New Roman" w:eastAsia="Times New Roman" w:hAnsi="Times New Roman" w:cs="Times New Roman"/>
          <w:color w:val="000000"/>
          <w:sz w:val="24"/>
          <w:szCs w:val="24"/>
          <w:highlight w:val="yellow"/>
          <w:lang w:eastAsia="fr-FR"/>
        </w:rPr>
        <w:t xml:space="preserve">col 32.6% et </w:t>
      </w:r>
      <w:proofErr w:type="spellStart"/>
      <w:r w:rsidR="00786B2C" w:rsidRPr="00106BD7">
        <w:rPr>
          <w:rFonts w:ascii="Times New Roman" w:eastAsia="Times New Roman" w:hAnsi="Times New Roman" w:cs="Times New Roman"/>
          <w:color w:val="000000"/>
          <w:sz w:val="24"/>
          <w:szCs w:val="24"/>
          <w:highlight w:val="yellow"/>
          <w:lang w:eastAsia="fr-FR"/>
        </w:rPr>
        <w:t>Khaton</w:t>
      </w:r>
      <w:proofErr w:type="spellEnd"/>
      <w:r w:rsidR="00786B2C" w:rsidRPr="00106BD7">
        <w:rPr>
          <w:rFonts w:ascii="Times New Roman" w:eastAsia="Times New Roman" w:hAnsi="Times New Roman" w:cs="Times New Roman"/>
          <w:color w:val="000000"/>
          <w:sz w:val="24"/>
          <w:szCs w:val="24"/>
          <w:highlight w:val="yellow"/>
          <w:lang w:eastAsia="fr-FR"/>
        </w:rPr>
        <w:t xml:space="preserve"> et col 35%. </w:t>
      </w:r>
      <w:proofErr w:type="spellStart"/>
      <w:r w:rsidR="00204B3C" w:rsidRPr="00106BD7">
        <w:rPr>
          <w:rFonts w:ascii="Times New Roman" w:eastAsia="Times New Roman" w:hAnsi="Times New Roman" w:cs="Times New Roman"/>
          <w:color w:val="000000"/>
          <w:sz w:val="24"/>
          <w:szCs w:val="24"/>
          <w:highlight w:val="yellow"/>
          <w:lang w:eastAsia="fr-FR"/>
        </w:rPr>
        <w:t>Kabamba</w:t>
      </w:r>
      <w:proofErr w:type="spellEnd"/>
      <w:r w:rsidR="00204B3C" w:rsidRPr="00106BD7">
        <w:rPr>
          <w:rFonts w:ascii="Times New Roman" w:eastAsia="Times New Roman" w:hAnsi="Times New Roman" w:cs="Times New Roman"/>
          <w:color w:val="000000"/>
          <w:sz w:val="24"/>
          <w:szCs w:val="24"/>
          <w:highlight w:val="yellow"/>
          <w:lang w:eastAsia="fr-FR"/>
        </w:rPr>
        <w:t xml:space="preserve"> et col</w:t>
      </w:r>
      <w:r w:rsidR="00792748" w:rsidRPr="00106BD7">
        <w:rPr>
          <w:rFonts w:ascii="Times New Roman" w:eastAsia="Times New Roman" w:hAnsi="Times New Roman" w:cs="Times New Roman"/>
          <w:color w:val="000000"/>
          <w:sz w:val="24"/>
          <w:szCs w:val="24"/>
          <w:highlight w:val="yellow"/>
          <w:lang w:eastAsia="fr-FR"/>
        </w:rPr>
        <w:fldChar w:fldCharType="begin" w:fldLock="1"/>
      </w:r>
      <w:r w:rsidR="00EE36B6" w:rsidRPr="00106BD7">
        <w:rPr>
          <w:rFonts w:ascii="Times New Roman" w:eastAsia="Times New Roman" w:hAnsi="Times New Roman" w:cs="Times New Roman"/>
          <w:color w:val="000000"/>
          <w:sz w:val="24"/>
          <w:szCs w:val="24"/>
          <w:highlight w:val="yellow"/>
          <w:lang w:eastAsia="fr-FR"/>
        </w:rPr>
        <w:instrText>ADDIN CSL_CITATION {"citationItems":[{"id":"ITEM-1","itemData":{"DOI":"10.11604/pamj.2014.19.302.5658","author":[{"dropping-particle":"","family":"Mutombo","given":"Junior Dibwe","non-dropping-particle":"","parse-names":false,"suffix":""},{"dropping-particle":"","family":"Kabuya","given":"Maguy Sangaji","non-dropping-particle":"","parse-names":false,"suffix":""},{"dropping-particle":"","family":"Kayembe","given":"Celestin Mukoko","non-dropping-particle":"","parse-names":false,"suffix":""},{"dropping-particle":"","family":"Luboya","given":"Oscar Numbi","non-dropping-particle":"","parse-names":false,"suffix":""}],"id":"ITEM-1","issued":{"date-parts":[["2014"]]},"page":"1-8","title":"Case series","type":"article-journal","volume":"8688"},"uris":["http://www.mendeley.com/documents/?uuid=34933792-359e-4932-890f-161e2e40f63b","http://www.mendeley.com/documents/?uuid=b5a613f0-b4de-4a8e-ac7f-370536dff72a"]}],"mendeley":{"formattedCitation":"(10)","plainTextFormattedCitation":"(10)","previouslyFormattedCitation":"(10)"},"properties":{"noteIndex":0},"schema":"https://github.com/citation-style-language/schema/raw/master/csl-citation.json"}</w:instrText>
      </w:r>
      <w:r w:rsidR="00792748" w:rsidRPr="00106BD7">
        <w:rPr>
          <w:rFonts w:ascii="Times New Roman" w:eastAsia="Times New Roman" w:hAnsi="Times New Roman" w:cs="Times New Roman"/>
          <w:color w:val="000000"/>
          <w:sz w:val="24"/>
          <w:szCs w:val="24"/>
          <w:highlight w:val="yellow"/>
          <w:lang w:eastAsia="fr-FR"/>
        </w:rPr>
        <w:fldChar w:fldCharType="separate"/>
      </w:r>
      <w:r w:rsidR="00792748" w:rsidRPr="00106BD7">
        <w:rPr>
          <w:rFonts w:ascii="Times New Roman" w:eastAsia="Times New Roman" w:hAnsi="Times New Roman" w:cs="Times New Roman"/>
          <w:noProof/>
          <w:color w:val="000000"/>
          <w:sz w:val="24"/>
          <w:szCs w:val="24"/>
          <w:highlight w:val="yellow"/>
          <w:lang w:eastAsia="fr-FR"/>
        </w:rPr>
        <w:t>(10)</w:t>
      </w:r>
      <w:r w:rsidR="00792748" w:rsidRPr="00106BD7">
        <w:rPr>
          <w:rFonts w:ascii="Times New Roman" w:eastAsia="Times New Roman" w:hAnsi="Times New Roman" w:cs="Times New Roman"/>
          <w:color w:val="000000"/>
          <w:sz w:val="24"/>
          <w:szCs w:val="24"/>
          <w:highlight w:val="yellow"/>
          <w:lang w:eastAsia="fr-FR"/>
        </w:rPr>
        <w:fldChar w:fldCharType="end"/>
      </w:r>
      <w:r w:rsidR="00204B3C" w:rsidRPr="00106BD7">
        <w:rPr>
          <w:rFonts w:ascii="Times New Roman" w:eastAsia="Times New Roman" w:hAnsi="Times New Roman" w:cs="Times New Roman"/>
          <w:color w:val="000000"/>
          <w:sz w:val="24"/>
          <w:szCs w:val="24"/>
          <w:highlight w:val="yellow"/>
          <w:lang w:eastAsia="fr-FR"/>
        </w:rPr>
        <w:t xml:space="preserve"> à</w:t>
      </w:r>
      <w:r w:rsidR="00786B2C" w:rsidRPr="00106BD7">
        <w:rPr>
          <w:rFonts w:ascii="Times New Roman" w:eastAsia="Times New Roman" w:hAnsi="Times New Roman" w:cs="Times New Roman"/>
          <w:color w:val="000000"/>
          <w:sz w:val="24"/>
          <w:szCs w:val="24"/>
          <w:highlight w:val="yellow"/>
          <w:lang w:eastAsia="fr-FR"/>
        </w:rPr>
        <w:t xml:space="preserve"> </w:t>
      </w:r>
      <w:proofErr w:type="spellStart"/>
      <w:r w:rsidR="00786B2C" w:rsidRPr="00106BD7">
        <w:rPr>
          <w:rFonts w:ascii="Times New Roman" w:eastAsia="Times New Roman" w:hAnsi="Times New Roman" w:cs="Times New Roman"/>
          <w:color w:val="000000"/>
          <w:sz w:val="24"/>
          <w:szCs w:val="24"/>
          <w:highlight w:val="yellow"/>
          <w:lang w:eastAsia="fr-FR"/>
        </w:rPr>
        <w:t>Mbuji-mayi</w:t>
      </w:r>
      <w:proofErr w:type="spellEnd"/>
      <w:r w:rsidRPr="00106BD7">
        <w:rPr>
          <w:rFonts w:ascii="Times New Roman" w:eastAsia="Times New Roman" w:hAnsi="Times New Roman" w:cs="Times New Roman"/>
          <w:color w:val="000000"/>
          <w:sz w:val="24"/>
          <w:szCs w:val="24"/>
          <w:highlight w:val="yellow"/>
          <w:lang w:eastAsia="fr-FR"/>
        </w:rPr>
        <w:t>, Watch ko JF et coll aux</w:t>
      </w:r>
      <w:r w:rsidR="00786B2C" w:rsidRPr="00106BD7">
        <w:rPr>
          <w:rFonts w:ascii="Times New Roman" w:eastAsia="Times New Roman" w:hAnsi="Times New Roman" w:cs="Times New Roman"/>
          <w:color w:val="000000"/>
          <w:sz w:val="24"/>
          <w:szCs w:val="24"/>
          <w:highlight w:val="yellow"/>
          <w:lang w:eastAsia="fr-FR"/>
        </w:rPr>
        <w:t xml:space="preserve"> USA</w:t>
      </w:r>
      <w:r w:rsidRPr="00106BD7">
        <w:rPr>
          <w:rFonts w:ascii="Times New Roman" w:eastAsia="Times New Roman" w:hAnsi="Times New Roman" w:cs="Times New Roman"/>
          <w:color w:val="000000"/>
          <w:sz w:val="24"/>
          <w:szCs w:val="24"/>
          <w:highlight w:val="yellow"/>
          <w:lang w:eastAsia="fr-FR"/>
        </w:rPr>
        <w:t xml:space="preserve">, </w:t>
      </w:r>
      <w:proofErr w:type="spellStart"/>
      <w:r w:rsidRPr="00106BD7">
        <w:rPr>
          <w:rFonts w:ascii="Times New Roman" w:eastAsia="Times New Roman" w:hAnsi="Times New Roman" w:cs="Times New Roman"/>
          <w:color w:val="000000"/>
          <w:sz w:val="24"/>
          <w:szCs w:val="24"/>
          <w:highlight w:val="yellow"/>
          <w:lang w:eastAsia="fr-FR"/>
        </w:rPr>
        <w:t>Rabesanndratan</w:t>
      </w:r>
      <w:proofErr w:type="spellEnd"/>
      <w:r w:rsidRPr="00106BD7">
        <w:rPr>
          <w:rFonts w:ascii="Times New Roman" w:eastAsia="Times New Roman" w:hAnsi="Times New Roman" w:cs="Times New Roman"/>
          <w:color w:val="000000"/>
          <w:sz w:val="24"/>
          <w:szCs w:val="24"/>
          <w:highlight w:val="yellow"/>
          <w:lang w:eastAsia="fr-FR"/>
        </w:rPr>
        <w:t xml:space="preserve"> et coll au Madagascar (3.7%).</w:t>
      </w:r>
    </w:p>
    <w:p w14:paraId="6B1FA594" w14:textId="5EDBD581" w:rsidR="00064F41" w:rsidRPr="000A4A0F" w:rsidRDefault="00064F41" w:rsidP="006612D9">
      <w:pPr>
        <w:spacing w:after="0" w:line="360" w:lineRule="auto"/>
        <w:jc w:val="both"/>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Par </w:t>
      </w:r>
      <w:proofErr w:type="spellStart"/>
      <w:r w:rsidRPr="000A4A0F">
        <w:rPr>
          <w:rFonts w:ascii="Times New Roman" w:eastAsia="Times New Roman" w:hAnsi="Times New Roman" w:cs="Times New Roman"/>
          <w:color w:val="000000"/>
          <w:sz w:val="24"/>
          <w:szCs w:val="24"/>
          <w:lang w:eastAsia="fr-FR"/>
        </w:rPr>
        <w:t>contre</w:t>
      </w:r>
      <w:r w:rsidRPr="00106BD7">
        <w:rPr>
          <w:rFonts w:ascii="Times New Roman" w:eastAsia="Times New Roman" w:hAnsi="Times New Roman" w:cs="Times New Roman"/>
          <w:color w:val="000000"/>
          <w:sz w:val="24"/>
          <w:szCs w:val="24"/>
          <w:highlight w:val="yellow"/>
          <w:lang w:eastAsia="fr-FR"/>
        </w:rPr>
        <w:t>,M.Mashako</w:t>
      </w:r>
      <w:proofErr w:type="spellEnd"/>
      <w:r w:rsidR="00792748" w:rsidRPr="00106BD7">
        <w:rPr>
          <w:rFonts w:ascii="Times New Roman" w:eastAsia="Times New Roman" w:hAnsi="Times New Roman" w:cs="Times New Roman"/>
          <w:color w:val="000000"/>
          <w:sz w:val="24"/>
          <w:szCs w:val="24"/>
          <w:highlight w:val="yellow"/>
          <w:lang w:eastAsia="fr-FR"/>
        </w:rPr>
        <w:fldChar w:fldCharType="begin" w:fldLock="1"/>
      </w:r>
      <w:r w:rsidR="00EE36B6" w:rsidRPr="00106BD7">
        <w:rPr>
          <w:rFonts w:ascii="Times New Roman" w:eastAsia="Times New Roman" w:hAnsi="Times New Roman" w:cs="Times New Roman"/>
          <w:color w:val="000000"/>
          <w:sz w:val="24"/>
          <w:szCs w:val="24"/>
          <w:highlight w:val="yellow"/>
          <w:lang w:eastAsia="fr-FR"/>
        </w:rPr>
        <w:instrText>ADDIN CSL_CITATION {"citationItems":[{"id":"ITEM-1","itemData":{"author":[{"dropping-particle":"","family":"Mashako","given":"Many R","non-dropping-particle":"","parse-names":false,"suffix":""},{"dropping-particle":"","family":"Mashako","given":"Yves K","non-dropping-particle":"","parse-names":false,"suffix":""},{"dropping-particle":"","family":"Kabamba","given":"","non-dropping-particle":"","parse-names":false,"suffix":""}],"id":"ITEM-1","issue":"2","issued":{"date-parts":[["2018"]]},"page":"2918-2925","title":"Clinical profile and determinants for nuclear jaundice in newborns at North-Kivu provincial hospital in Democratic Republic of Congo","type":"article-journal","volume":"11"},"uris":["http://www.mendeley.com/documents/?uuid=5abf4eb6-a7e6-432f-b3f6-de365b35e585","http://www.mendeley.com/documents/?uuid=c3c2e256-4c0d-45f4-bceb-1608f7efd67a"]}],"mendeley":{"formattedCitation":"(9)","plainTextFormattedCitation":"(9)","previouslyFormattedCitation":"(9)"},"properties":{"noteIndex":0},"schema":"https://github.com/citation-style-language/schema/raw/master/csl-citation.json"}</w:instrText>
      </w:r>
      <w:r w:rsidR="00792748" w:rsidRPr="00106BD7">
        <w:rPr>
          <w:rFonts w:ascii="Times New Roman" w:eastAsia="Times New Roman" w:hAnsi="Times New Roman" w:cs="Times New Roman"/>
          <w:color w:val="000000"/>
          <w:sz w:val="24"/>
          <w:szCs w:val="24"/>
          <w:highlight w:val="yellow"/>
          <w:lang w:eastAsia="fr-FR"/>
        </w:rPr>
        <w:fldChar w:fldCharType="separate"/>
      </w:r>
      <w:r w:rsidR="00792748" w:rsidRPr="00106BD7">
        <w:rPr>
          <w:rFonts w:ascii="Times New Roman" w:eastAsia="Times New Roman" w:hAnsi="Times New Roman" w:cs="Times New Roman"/>
          <w:noProof/>
          <w:color w:val="000000"/>
          <w:sz w:val="24"/>
          <w:szCs w:val="24"/>
          <w:highlight w:val="yellow"/>
          <w:lang w:eastAsia="fr-FR"/>
        </w:rPr>
        <w:t>(9)</w:t>
      </w:r>
      <w:r w:rsidR="00792748" w:rsidRPr="00106BD7">
        <w:rPr>
          <w:rFonts w:ascii="Times New Roman" w:eastAsia="Times New Roman" w:hAnsi="Times New Roman" w:cs="Times New Roman"/>
          <w:color w:val="000000"/>
          <w:sz w:val="24"/>
          <w:szCs w:val="24"/>
          <w:highlight w:val="yellow"/>
          <w:lang w:eastAsia="fr-FR"/>
        </w:rPr>
        <w:fldChar w:fldCharType="end"/>
      </w:r>
      <w:r w:rsidRPr="00106BD7">
        <w:rPr>
          <w:rFonts w:ascii="Times New Roman" w:eastAsia="Times New Roman" w:hAnsi="Times New Roman" w:cs="Times New Roman"/>
          <w:color w:val="000000"/>
          <w:sz w:val="24"/>
          <w:szCs w:val="24"/>
          <w:highlight w:val="yellow"/>
          <w:lang w:eastAsia="fr-FR"/>
        </w:rPr>
        <w:t xml:space="preserve"> au </w:t>
      </w:r>
      <w:r w:rsidR="00204B3C" w:rsidRPr="00106BD7">
        <w:rPr>
          <w:rFonts w:ascii="Times New Roman" w:eastAsia="Times New Roman" w:hAnsi="Times New Roman" w:cs="Times New Roman"/>
          <w:color w:val="000000"/>
          <w:sz w:val="24"/>
          <w:szCs w:val="24"/>
          <w:highlight w:val="yellow"/>
          <w:lang w:eastAsia="fr-FR"/>
        </w:rPr>
        <w:t>Nord-Kivu</w:t>
      </w:r>
      <w:r w:rsidRPr="00106BD7">
        <w:rPr>
          <w:rFonts w:ascii="Times New Roman" w:eastAsia="Times New Roman" w:hAnsi="Times New Roman" w:cs="Times New Roman"/>
          <w:color w:val="000000"/>
          <w:sz w:val="24"/>
          <w:szCs w:val="24"/>
          <w:highlight w:val="yellow"/>
          <w:lang w:eastAsia="fr-FR"/>
        </w:rPr>
        <w:t xml:space="preserve">(RDC) a trouvé une fréquence </w:t>
      </w:r>
      <w:r w:rsidR="00792748" w:rsidRPr="00106BD7">
        <w:rPr>
          <w:rFonts w:ascii="Times New Roman" w:eastAsia="Times New Roman" w:hAnsi="Times New Roman" w:cs="Times New Roman"/>
          <w:color w:val="000000"/>
          <w:sz w:val="24"/>
          <w:szCs w:val="24"/>
          <w:highlight w:val="yellow"/>
          <w:lang w:eastAsia="fr-FR"/>
        </w:rPr>
        <w:t>de 9.6,Bognon Gilles et col</w:t>
      </w:r>
      <w:r w:rsidRPr="00106BD7">
        <w:rPr>
          <w:rFonts w:ascii="Times New Roman" w:eastAsia="Times New Roman" w:hAnsi="Times New Roman" w:cs="Times New Roman"/>
          <w:color w:val="000000"/>
          <w:sz w:val="24"/>
          <w:szCs w:val="24"/>
          <w:highlight w:val="yellow"/>
          <w:lang w:eastAsia="fr-FR"/>
        </w:rPr>
        <w:t xml:space="preserve"> </w:t>
      </w:r>
      <w:r w:rsidR="00792748" w:rsidRPr="00106BD7">
        <w:rPr>
          <w:rFonts w:ascii="Times New Roman" w:eastAsia="Times New Roman" w:hAnsi="Times New Roman" w:cs="Times New Roman"/>
          <w:color w:val="000000"/>
          <w:sz w:val="24"/>
          <w:szCs w:val="24"/>
          <w:highlight w:val="yellow"/>
          <w:lang w:eastAsia="fr-FR"/>
        </w:rPr>
        <w:fldChar w:fldCharType="begin" w:fldLock="1"/>
      </w:r>
      <w:r w:rsidR="004F4A84" w:rsidRPr="00106BD7">
        <w:rPr>
          <w:rFonts w:ascii="Times New Roman" w:eastAsia="Times New Roman" w:hAnsi="Times New Roman" w:cs="Times New Roman"/>
          <w:color w:val="000000"/>
          <w:sz w:val="24"/>
          <w:szCs w:val="24"/>
          <w:highlight w:val="yellow"/>
          <w:lang w:eastAsia="fr-FR"/>
        </w:rPr>
        <w:instrText>ADDIN CSL_CITATION {"citationItems":[{"id":"ITEM-1","itemData":{"author":[{"dropping-particle":"","family":"Bognon G, Tchiakpe N, Padonou C","given":"Alihonou F.","non-dropping-particle":"","parse-names":false,"suffix":""}],"container-title":"J.Afr Paediatri Gen Med","id":"ITEM-1","issued":{"date-parts":[["2019"]]},"page":"32 à 37","title":"Ictère néonatal, Etude des facteurs associés au Centre Hospitalier Départemental de l’Ouéme-Plateau","type":"article-journal","volume":"Numero 7"},"uris":["http://www.mendeley.com/documents/?uuid=288c4a49-53d0-40c8-ace9-2cf5e8fabfcf","http://www.mendeley.com/documents/?uuid=f0183ac8-b490-4044-afab-95ae2313daf3"]}],"mendeley":{"formattedCitation":"(56)","plainTextFormattedCitation":"(56)","previouslyFormattedCitation":"(57)"},"properties":{"noteIndex":0},"schema":"https://github.com/citation-style-language/schema/raw/master/csl-citation.json"}</w:instrText>
      </w:r>
      <w:r w:rsidR="00792748" w:rsidRPr="00106BD7">
        <w:rPr>
          <w:rFonts w:ascii="Times New Roman" w:eastAsia="Times New Roman" w:hAnsi="Times New Roman" w:cs="Times New Roman"/>
          <w:color w:val="000000"/>
          <w:sz w:val="24"/>
          <w:szCs w:val="24"/>
          <w:highlight w:val="yellow"/>
          <w:lang w:eastAsia="fr-FR"/>
        </w:rPr>
        <w:fldChar w:fldCharType="separate"/>
      </w:r>
      <w:r w:rsidR="004F4A84" w:rsidRPr="00106BD7">
        <w:rPr>
          <w:rFonts w:ascii="Times New Roman" w:eastAsia="Times New Roman" w:hAnsi="Times New Roman" w:cs="Times New Roman"/>
          <w:noProof/>
          <w:color w:val="000000"/>
          <w:sz w:val="24"/>
          <w:szCs w:val="24"/>
          <w:highlight w:val="yellow"/>
          <w:lang w:eastAsia="fr-FR"/>
        </w:rPr>
        <w:t>(56)</w:t>
      </w:r>
      <w:r w:rsidR="00792748" w:rsidRPr="00106BD7">
        <w:rPr>
          <w:rFonts w:ascii="Times New Roman" w:eastAsia="Times New Roman" w:hAnsi="Times New Roman" w:cs="Times New Roman"/>
          <w:color w:val="000000"/>
          <w:sz w:val="24"/>
          <w:szCs w:val="24"/>
          <w:highlight w:val="yellow"/>
          <w:lang w:eastAsia="fr-FR"/>
        </w:rPr>
        <w:fldChar w:fldCharType="end"/>
      </w:r>
      <w:r w:rsidRPr="00106BD7">
        <w:rPr>
          <w:rFonts w:ascii="Times New Roman" w:eastAsia="Times New Roman" w:hAnsi="Times New Roman" w:cs="Times New Roman"/>
          <w:color w:val="000000"/>
          <w:sz w:val="24"/>
          <w:szCs w:val="24"/>
          <w:highlight w:val="yellow"/>
          <w:lang w:eastAsia="fr-FR"/>
        </w:rPr>
        <w:t>au Benin 11% ;</w:t>
      </w:r>
      <w:proofErr w:type="spellStart"/>
      <w:r w:rsidRPr="00106BD7">
        <w:rPr>
          <w:rFonts w:ascii="Times New Roman" w:eastAsia="Times New Roman" w:hAnsi="Times New Roman" w:cs="Times New Roman"/>
          <w:color w:val="000000"/>
          <w:sz w:val="24"/>
          <w:szCs w:val="24"/>
          <w:highlight w:val="yellow"/>
          <w:lang w:eastAsia="fr-FR"/>
        </w:rPr>
        <w:t>Israel-Aina</w:t>
      </w:r>
      <w:proofErr w:type="spellEnd"/>
      <w:r w:rsidRPr="00106BD7">
        <w:rPr>
          <w:rFonts w:ascii="Times New Roman" w:eastAsia="Times New Roman" w:hAnsi="Times New Roman" w:cs="Times New Roman"/>
          <w:color w:val="000000"/>
          <w:sz w:val="24"/>
          <w:szCs w:val="24"/>
          <w:highlight w:val="yellow"/>
          <w:lang w:eastAsia="fr-FR"/>
        </w:rPr>
        <w:t xml:space="preserve"> et col au Nigeria avait trouvé une fréquence de  12%</w:t>
      </w:r>
    </w:p>
    <w:p w14:paraId="7A9F24DE" w14:textId="3B7A3080" w:rsidR="00064F41" w:rsidRPr="000A4A0F" w:rsidRDefault="00064F41" w:rsidP="006612D9">
      <w:pPr>
        <w:spacing w:after="0" w:line="360" w:lineRule="auto"/>
        <w:jc w:val="both"/>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Cette différence de prévalence varie d’une région d’étude à une aut</w:t>
      </w:r>
      <w:r w:rsidR="00204B3C" w:rsidRPr="000A4A0F">
        <w:rPr>
          <w:rFonts w:ascii="Times New Roman" w:eastAsia="Times New Roman" w:hAnsi="Times New Roman" w:cs="Times New Roman"/>
          <w:color w:val="000000"/>
          <w:sz w:val="24"/>
          <w:szCs w:val="24"/>
          <w:lang w:eastAsia="fr-FR"/>
        </w:rPr>
        <w:t xml:space="preserve">re et d’une période à une autre de </w:t>
      </w:r>
      <w:r w:rsidR="00763B0F" w:rsidRPr="000A4A0F">
        <w:rPr>
          <w:rFonts w:ascii="Times New Roman" w:eastAsia="Times New Roman" w:hAnsi="Times New Roman" w:cs="Times New Roman"/>
          <w:color w:val="000000"/>
          <w:sz w:val="24"/>
          <w:szCs w:val="24"/>
          <w:lang w:eastAsia="fr-FR"/>
        </w:rPr>
        <w:t>l’étude.</w:t>
      </w:r>
    </w:p>
    <w:p w14:paraId="11AA75C6" w14:textId="77777777" w:rsidR="00064F41" w:rsidRPr="000A4A0F" w:rsidRDefault="00064F41" w:rsidP="006612D9">
      <w:pPr>
        <w:spacing w:after="0" w:line="360" w:lineRule="auto"/>
        <w:jc w:val="both"/>
        <w:rPr>
          <w:rFonts w:ascii="Times New Roman" w:eastAsia="Times New Roman" w:hAnsi="Times New Roman" w:cs="Times New Roman"/>
          <w:color w:val="000000"/>
          <w:sz w:val="24"/>
          <w:szCs w:val="24"/>
          <w:lang w:eastAsia="fr-FR"/>
        </w:rPr>
      </w:pPr>
    </w:p>
    <w:p w14:paraId="6CF9AE41" w14:textId="04ABE91F" w:rsidR="00654844" w:rsidRPr="000A4A0F" w:rsidRDefault="0067788F" w:rsidP="006612D9">
      <w:pPr>
        <w:spacing w:after="0" w:line="360" w:lineRule="auto"/>
        <w:jc w:val="both"/>
        <w:rPr>
          <w:rFonts w:ascii="Times New Roman" w:hAnsi="Times New Roman" w:cs="Times New Roman"/>
          <w:b/>
          <w:sz w:val="24"/>
          <w:szCs w:val="24"/>
          <w:lang w:eastAsia="fr-FR"/>
        </w:rPr>
      </w:pPr>
      <w:r w:rsidRPr="000A4A0F">
        <w:rPr>
          <w:rFonts w:ascii="Times New Roman" w:hAnsi="Times New Roman" w:cs="Times New Roman"/>
          <w:b/>
          <w:sz w:val="24"/>
          <w:szCs w:val="24"/>
          <w:lang w:eastAsia="fr-FR"/>
        </w:rPr>
        <w:t>PRINCIPALES CARACTERISTIQUES DE NOUVEAU-NE ICTERIQUES</w:t>
      </w:r>
    </w:p>
    <w:p w14:paraId="034139BB" w14:textId="77777777" w:rsidR="00204B3C" w:rsidRPr="000A4A0F" w:rsidRDefault="00204B3C" w:rsidP="006612D9">
      <w:pPr>
        <w:spacing w:after="0" w:line="360" w:lineRule="auto"/>
        <w:jc w:val="both"/>
        <w:rPr>
          <w:rFonts w:ascii="Times New Roman" w:hAnsi="Times New Roman" w:cs="Times New Roman"/>
          <w:b/>
          <w:sz w:val="24"/>
          <w:szCs w:val="24"/>
          <w:lang w:eastAsia="fr-FR"/>
        </w:rPr>
      </w:pPr>
    </w:p>
    <w:p w14:paraId="7FA7AC02" w14:textId="70C33E4B" w:rsidR="003A199E" w:rsidRPr="000A4A0F" w:rsidRDefault="003A199E"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Dans notre étude, les sexe Masculin prédomine et </w:t>
      </w:r>
      <w:r w:rsidR="00792748" w:rsidRPr="000A4A0F">
        <w:rPr>
          <w:rFonts w:ascii="Times New Roman" w:eastAsia="Times New Roman" w:hAnsi="Times New Roman" w:cs="Times New Roman"/>
          <w:color w:val="000000"/>
          <w:sz w:val="24"/>
          <w:szCs w:val="24"/>
          <w:lang w:eastAsia="fr-FR"/>
        </w:rPr>
        <w:t>représente 53,7</w:t>
      </w:r>
      <w:r w:rsidRPr="000A4A0F">
        <w:rPr>
          <w:rFonts w:ascii="Times New Roman" w:eastAsia="Times New Roman" w:hAnsi="Times New Roman" w:cs="Times New Roman"/>
          <w:color w:val="000000"/>
          <w:sz w:val="24"/>
          <w:szCs w:val="24"/>
          <w:lang w:eastAsia="fr-FR"/>
        </w:rPr>
        <w:t>% et un sexe ration de 1.15.</w:t>
      </w:r>
    </w:p>
    <w:p w14:paraId="35E745F2" w14:textId="1C6B6D83" w:rsidR="003A199E" w:rsidRPr="000A4A0F" w:rsidRDefault="003A199E"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Ces résultats sont similaire</w:t>
      </w:r>
      <w:r w:rsidR="00792748">
        <w:rPr>
          <w:rFonts w:ascii="Times New Roman" w:eastAsia="Times New Roman" w:hAnsi="Times New Roman" w:cs="Times New Roman"/>
          <w:color w:val="000000"/>
          <w:sz w:val="24"/>
          <w:szCs w:val="24"/>
          <w:lang w:eastAsia="fr-FR"/>
        </w:rPr>
        <w:t xml:space="preserve">s à ceux de </w:t>
      </w:r>
      <w:proofErr w:type="spellStart"/>
      <w:r w:rsidR="00792748">
        <w:rPr>
          <w:rFonts w:ascii="Times New Roman" w:eastAsia="Times New Roman" w:hAnsi="Times New Roman" w:cs="Times New Roman"/>
          <w:color w:val="000000"/>
          <w:sz w:val="24"/>
          <w:szCs w:val="24"/>
          <w:lang w:eastAsia="fr-FR"/>
        </w:rPr>
        <w:t>Kabamba</w:t>
      </w:r>
      <w:proofErr w:type="spellEnd"/>
      <w:r w:rsidR="00204B3C" w:rsidRPr="000A4A0F">
        <w:rPr>
          <w:rFonts w:ascii="Times New Roman" w:eastAsia="Times New Roman" w:hAnsi="Times New Roman" w:cs="Times New Roman"/>
          <w:color w:val="000000"/>
          <w:sz w:val="24"/>
          <w:szCs w:val="24"/>
          <w:lang w:eastAsia="fr-FR"/>
        </w:rPr>
        <w:t xml:space="preserve"> et </w:t>
      </w:r>
      <w:r w:rsidR="00763B0F" w:rsidRPr="000A4A0F">
        <w:rPr>
          <w:rFonts w:ascii="Times New Roman" w:eastAsia="Times New Roman" w:hAnsi="Times New Roman" w:cs="Times New Roman"/>
          <w:color w:val="000000"/>
          <w:sz w:val="24"/>
          <w:szCs w:val="24"/>
          <w:lang w:eastAsia="fr-FR"/>
        </w:rPr>
        <w:t xml:space="preserve">col, </w:t>
      </w:r>
      <w:proofErr w:type="spellStart"/>
      <w:r w:rsidR="00763B0F" w:rsidRPr="000A4A0F">
        <w:rPr>
          <w:rFonts w:ascii="Times New Roman" w:eastAsia="Times New Roman" w:hAnsi="Times New Roman" w:cs="Times New Roman"/>
          <w:color w:val="000000"/>
          <w:sz w:val="24"/>
          <w:szCs w:val="24"/>
          <w:lang w:eastAsia="fr-FR"/>
        </w:rPr>
        <w:t>Many</w:t>
      </w:r>
      <w:proofErr w:type="spellEnd"/>
      <w:r w:rsidR="00792748">
        <w:rPr>
          <w:rFonts w:ascii="Times New Roman" w:eastAsia="Times New Roman" w:hAnsi="Times New Roman" w:cs="Times New Roman"/>
          <w:color w:val="000000"/>
          <w:sz w:val="24"/>
          <w:szCs w:val="24"/>
          <w:lang w:eastAsia="fr-FR"/>
        </w:rPr>
        <w:t xml:space="preserve"> </w:t>
      </w:r>
      <w:proofErr w:type="spellStart"/>
      <w:proofErr w:type="gramStart"/>
      <w:r w:rsidR="00792748">
        <w:rPr>
          <w:rFonts w:ascii="Times New Roman" w:eastAsia="Times New Roman" w:hAnsi="Times New Roman" w:cs="Times New Roman"/>
          <w:color w:val="000000"/>
          <w:sz w:val="24"/>
          <w:szCs w:val="24"/>
          <w:lang w:eastAsia="fr-FR"/>
        </w:rPr>
        <w:t>R.Mashako</w:t>
      </w:r>
      <w:proofErr w:type="spellEnd"/>
      <w:proofErr w:type="gramEnd"/>
      <w:r w:rsidR="00792748">
        <w:rPr>
          <w:rFonts w:ascii="Times New Roman" w:eastAsia="Times New Roman" w:hAnsi="Times New Roman" w:cs="Times New Roman"/>
          <w:color w:val="000000"/>
          <w:sz w:val="24"/>
          <w:szCs w:val="24"/>
          <w:lang w:eastAsia="fr-FR"/>
        </w:rPr>
        <w:t xml:space="preserve"> et col </w:t>
      </w:r>
      <w:r w:rsidR="00792748" w:rsidRPr="000A4A0F">
        <w:rPr>
          <w:rFonts w:ascii="Times New Roman" w:eastAsia="Times New Roman" w:hAnsi="Times New Roman" w:cs="Times New Roman"/>
          <w:color w:val="000000"/>
          <w:sz w:val="24"/>
          <w:szCs w:val="24"/>
          <w:lang w:eastAsia="fr-FR"/>
        </w:rPr>
        <w:t>au</w:t>
      </w:r>
      <w:r w:rsidR="00204B3C" w:rsidRPr="000A4A0F">
        <w:rPr>
          <w:rFonts w:ascii="Times New Roman" w:eastAsia="Times New Roman" w:hAnsi="Times New Roman" w:cs="Times New Roman"/>
          <w:color w:val="000000"/>
          <w:sz w:val="24"/>
          <w:szCs w:val="24"/>
          <w:lang w:eastAsia="fr-FR"/>
        </w:rPr>
        <w:t xml:space="preserve"> </w:t>
      </w:r>
      <w:proofErr w:type="spellStart"/>
      <w:r w:rsidR="00204B3C" w:rsidRPr="000A4A0F">
        <w:rPr>
          <w:rFonts w:ascii="Times New Roman" w:eastAsia="Times New Roman" w:hAnsi="Times New Roman" w:cs="Times New Roman"/>
          <w:color w:val="000000"/>
          <w:sz w:val="24"/>
          <w:szCs w:val="24"/>
          <w:lang w:eastAsia="fr-FR"/>
        </w:rPr>
        <w:t>Nord-kivu</w:t>
      </w:r>
      <w:proofErr w:type="spellEnd"/>
      <w:r w:rsidR="00204B3C" w:rsidRPr="000A4A0F">
        <w:rPr>
          <w:rFonts w:ascii="Times New Roman" w:eastAsia="Times New Roman" w:hAnsi="Times New Roman" w:cs="Times New Roman"/>
          <w:color w:val="000000"/>
          <w:sz w:val="24"/>
          <w:szCs w:val="24"/>
          <w:lang w:eastAsia="fr-FR"/>
        </w:rPr>
        <w:t>(RDC),</w:t>
      </w:r>
      <w:proofErr w:type="spellStart"/>
      <w:r w:rsidR="00204B3C" w:rsidRPr="000A4A0F">
        <w:rPr>
          <w:rFonts w:ascii="Times New Roman" w:eastAsia="Times New Roman" w:hAnsi="Times New Roman" w:cs="Times New Roman"/>
          <w:color w:val="000000"/>
          <w:sz w:val="24"/>
          <w:szCs w:val="24"/>
          <w:lang w:eastAsia="fr-FR"/>
        </w:rPr>
        <w:t>Bognon</w:t>
      </w:r>
      <w:proofErr w:type="spellEnd"/>
      <w:r w:rsidR="00204B3C" w:rsidRPr="000A4A0F">
        <w:rPr>
          <w:rFonts w:ascii="Times New Roman" w:eastAsia="Times New Roman" w:hAnsi="Times New Roman" w:cs="Times New Roman"/>
          <w:color w:val="000000"/>
          <w:sz w:val="24"/>
          <w:szCs w:val="24"/>
          <w:lang w:eastAsia="fr-FR"/>
        </w:rPr>
        <w:t xml:space="preserve"> G et col au Bé</w:t>
      </w:r>
      <w:r w:rsidRPr="000A4A0F">
        <w:rPr>
          <w:rFonts w:ascii="Times New Roman" w:eastAsia="Times New Roman" w:hAnsi="Times New Roman" w:cs="Times New Roman"/>
          <w:color w:val="000000"/>
          <w:sz w:val="24"/>
          <w:szCs w:val="24"/>
          <w:lang w:eastAsia="fr-FR"/>
        </w:rPr>
        <w:t xml:space="preserve">nin et Michael </w:t>
      </w:r>
      <w:proofErr w:type="spellStart"/>
      <w:r w:rsidRPr="000A4A0F">
        <w:rPr>
          <w:rFonts w:ascii="Times New Roman" w:eastAsia="Times New Roman" w:hAnsi="Times New Roman" w:cs="Times New Roman"/>
          <w:color w:val="000000"/>
          <w:sz w:val="24"/>
          <w:szCs w:val="24"/>
          <w:lang w:eastAsia="fr-FR"/>
        </w:rPr>
        <w:t>sgro</w:t>
      </w:r>
      <w:proofErr w:type="spellEnd"/>
      <w:r w:rsidRPr="000A4A0F">
        <w:rPr>
          <w:rFonts w:ascii="Times New Roman" w:eastAsia="Times New Roman" w:hAnsi="Times New Roman" w:cs="Times New Roman"/>
          <w:color w:val="000000"/>
          <w:sz w:val="24"/>
          <w:szCs w:val="24"/>
          <w:lang w:eastAsia="fr-FR"/>
        </w:rPr>
        <w:t xml:space="preserve"> au canada.</w:t>
      </w:r>
    </w:p>
    <w:p w14:paraId="047327F1" w14:textId="4C8AC4A6" w:rsidR="003A199E" w:rsidRPr="00106BD7" w:rsidRDefault="003A199E"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106BD7">
        <w:rPr>
          <w:rFonts w:ascii="Times New Roman" w:eastAsia="Times New Roman" w:hAnsi="Times New Roman" w:cs="Times New Roman"/>
          <w:color w:val="000000"/>
          <w:sz w:val="24"/>
          <w:szCs w:val="24"/>
          <w:highlight w:val="yellow"/>
          <w:lang w:eastAsia="fr-FR"/>
        </w:rPr>
        <w:t>Le groupe sanguin O était dominant a 38.6% suivi du groupe sanguin B dans 37.8% pu</w:t>
      </w:r>
      <w:r w:rsidR="00792748" w:rsidRPr="00106BD7">
        <w:rPr>
          <w:rFonts w:ascii="Times New Roman" w:eastAsia="Times New Roman" w:hAnsi="Times New Roman" w:cs="Times New Roman"/>
          <w:color w:val="000000"/>
          <w:sz w:val="24"/>
          <w:szCs w:val="24"/>
          <w:highlight w:val="yellow"/>
          <w:lang w:eastAsia="fr-FR"/>
        </w:rPr>
        <w:t>is A et enfin de AB.</w:t>
      </w:r>
    </w:p>
    <w:p w14:paraId="50CFED31" w14:textId="77777777" w:rsidR="003A199E" w:rsidRPr="000A4A0F" w:rsidRDefault="003A199E"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106BD7">
        <w:rPr>
          <w:rFonts w:ascii="Times New Roman" w:eastAsia="Times New Roman" w:hAnsi="Times New Roman" w:cs="Times New Roman"/>
          <w:color w:val="000000"/>
          <w:sz w:val="24"/>
          <w:szCs w:val="24"/>
          <w:highlight w:val="yellow"/>
          <w:lang w:eastAsia="fr-FR"/>
        </w:rPr>
        <w:t xml:space="preserve">Dans une publication en inde sur le groupe sanguin </w:t>
      </w:r>
      <w:proofErr w:type="spellStart"/>
      <w:r w:rsidRPr="00106BD7">
        <w:rPr>
          <w:rFonts w:ascii="Times New Roman" w:eastAsia="Times New Roman" w:hAnsi="Times New Roman" w:cs="Times New Roman"/>
          <w:color w:val="000000"/>
          <w:sz w:val="24"/>
          <w:szCs w:val="24"/>
          <w:highlight w:val="yellow"/>
          <w:lang w:eastAsia="fr-FR"/>
        </w:rPr>
        <w:t>Das</w:t>
      </w:r>
      <w:proofErr w:type="spellEnd"/>
      <w:r w:rsidRPr="00106BD7">
        <w:rPr>
          <w:rFonts w:ascii="Times New Roman" w:eastAsia="Times New Roman" w:hAnsi="Times New Roman" w:cs="Times New Roman"/>
          <w:color w:val="000000"/>
          <w:sz w:val="24"/>
          <w:szCs w:val="24"/>
          <w:highlight w:val="yellow"/>
          <w:lang w:eastAsia="fr-FR"/>
        </w:rPr>
        <w:t xml:space="preserve"> et col ont trouvé que le groupe sanguin O était le plus rencontré ; par contre </w:t>
      </w:r>
      <w:proofErr w:type="spellStart"/>
      <w:r w:rsidRPr="00106BD7">
        <w:rPr>
          <w:rFonts w:ascii="Times New Roman" w:eastAsia="Times New Roman" w:hAnsi="Times New Roman" w:cs="Times New Roman"/>
          <w:color w:val="000000"/>
          <w:sz w:val="24"/>
          <w:szCs w:val="24"/>
          <w:highlight w:val="yellow"/>
          <w:lang w:eastAsia="fr-FR"/>
        </w:rPr>
        <w:t>Pramanik</w:t>
      </w:r>
      <w:proofErr w:type="spellEnd"/>
      <w:r w:rsidRPr="00106BD7">
        <w:rPr>
          <w:rFonts w:ascii="Times New Roman" w:eastAsia="Times New Roman" w:hAnsi="Times New Roman" w:cs="Times New Roman"/>
          <w:color w:val="000000"/>
          <w:sz w:val="24"/>
          <w:szCs w:val="24"/>
          <w:highlight w:val="yellow"/>
          <w:lang w:eastAsia="fr-FR"/>
        </w:rPr>
        <w:t xml:space="preserve"> et col en </w:t>
      </w:r>
      <w:proofErr w:type="spellStart"/>
      <w:r w:rsidRPr="00106BD7">
        <w:rPr>
          <w:rFonts w:ascii="Times New Roman" w:eastAsia="Times New Roman" w:hAnsi="Times New Roman" w:cs="Times New Roman"/>
          <w:color w:val="000000"/>
          <w:sz w:val="24"/>
          <w:szCs w:val="24"/>
          <w:highlight w:val="yellow"/>
          <w:lang w:eastAsia="fr-FR"/>
        </w:rPr>
        <w:t>Nepal</w:t>
      </w:r>
      <w:proofErr w:type="spellEnd"/>
      <w:r w:rsidRPr="00106BD7">
        <w:rPr>
          <w:rFonts w:ascii="Times New Roman" w:eastAsia="Times New Roman" w:hAnsi="Times New Roman" w:cs="Times New Roman"/>
          <w:color w:val="000000"/>
          <w:sz w:val="24"/>
          <w:szCs w:val="24"/>
          <w:highlight w:val="yellow"/>
          <w:lang w:eastAsia="fr-FR"/>
        </w:rPr>
        <w:t xml:space="preserve"> ont trouvé que le groupe A était plus représenté dans 34%.</w:t>
      </w:r>
    </w:p>
    <w:p w14:paraId="53CB43D2" w14:textId="77777777" w:rsidR="003A199E" w:rsidRPr="000A4A0F" w:rsidRDefault="003A199E"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roofErr w:type="spellStart"/>
      <w:r w:rsidRPr="000A4A0F">
        <w:rPr>
          <w:rFonts w:ascii="Times New Roman" w:eastAsia="Times New Roman" w:hAnsi="Times New Roman" w:cs="Times New Roman"/>
          <w:color w:val="000000"/>
          <w:sz w:val="24"/>
          <w:szCs w:val="24"/>
          <w:lang w:eastAsia="fr-FR"/>
        </w:rPr>
        <w:lastRenderedPageBreak/>
        <w:t>Irshad</w:t>
      </w:r>
      <w:proofErr w:type="spellEnd"/>
      <w:r w:rsidRPr="000A4A0F">
        <w:rPr>
          <w:rFonts w:ascii="Times New Roman" w:eastAsia="Times New Roman" w:hAnsi="Times New Roman" w:cs="Times New Roman"/>
          <w:color w:val="000000"/>
          <w:sz w:val="24"/>
          <w:szCs w:val="24"/>
          <w:lang w:eastAsia="fr-FR"/>
        </w:rPr>
        <w:t xml:space="preserve"> et col en 2011 ont trouvé une prédominance du groupe B(37,5), suivi du groupe sanguin A (31%).</w:t>
      </w:r>
    </w:p>
    <w:p w14:paraId="25A6B19A" w14:textId="37F5B305" w:rsidR="00E71C9B" w:rsidRPr="000A4A0F" w:rsidRDefault="003A199E"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Le groupe sanguin varie d’une région à une autre et au sein d’une même région d’une ethnie à une autre.</w:t>
      </w:r>
    </w:p>
    <w:p w14:paraId="07003A24" w14:textId="77777777" w:rsidR="00214776" w:rsidRPr="000A4A0F" w:rsidRDefault="00214776" w:rsidP="006612D9">
      <w:pPr>
        <w:shd w:val="clear" w:color="auto" w:fill="FFFFFF"/>
        <w:spacing w:after="0" w:line="360" w:lineRule="auto"/>
        <w:jc w:val="both"/>
        <w:textAlignment w:val="baseline"/>
        <w:rPr>
          <w:rFonts w:ascii="Times New Roman" w:eastAsia="Times New Roman" w:hAnsi="Times New Roman" w:cs="Times New Roman"/>
          <w:color w:val="auto"/>
          <w:sz w:val="24"/>
          <w:szCs w:val="24"/>
          <w:lang w:eastAsia="fr-FR"/>
        </w:rPr>
      </w:pPr>
    </w:p>
    <w:p w14:paraId="11B939E9" w14:textId="77777777" w:rsidR="00696AA7" w:rsidRPr="000A4A0F" w:rsidRDefault="0067788F"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eastAsia="Times New Roman" w:hAnsi="Times New Roman" w:cs="Times New Roman"/>
          <w:b/>
          <w:color w:val="000000"/>
          <w:sz w:val="24"/>
          <w:szCs w:val="24"/>
          <w:lang w:eastAsia="fr-FR"/>
        </w:rPr>
        <w:t>MODE D’ADMISSION </w:t>
      </w:r>
    </w:p>
    <w:p w14:paraId="06F83AB7" w14:textId="77777777" w:rsidR="00E71C9B" w:rsidRPr="000A4A0F" w:rsidRDefault="00E71C9B"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p>
    <w:p w14:paraId="09EF5539" w14:textId="77777777" w:rsidR="001E06DA" w:rsidRPr="000A4A0F" w:rsidRDefault="006B7CA8"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74,2% de</w:t>
      </w:r>
      <w:r w:rsidR="001E06DA" w:rsidRPr="000A4A0F">
        <w:rPr>
          <w:rFonts w:ascii="Times New Roman" w:eastAsia="Times New Roman" w:hAnsi="Times New Roman" w:cs="Times New Roman"/>
          <w:color w:val="000000"/>
          <w:sz w:val="24"/>
          <w:szCs w:val="24"/>
          <w:lang w:eastAsia="fr-FR"/>
        </w:rPr>
        <w:t xml:space="preserve"> </w:t>
      </w:r>
      <w:r w:rsidR="0074173F" w:rsidRPr="000A4A0F">
        <w:rPr>
          <w:rFonts w:ascii="Times New Roman" w:eastAsia="Times New Roman" w:hAnsi="Times New Roman" w:cs="Times New Roman"/>
          <w:color w:val="000000"/>
          <w:sz w:val="24"/>
          <w:szCs w:val="24"/>
          <w:lang w:eastAsia="fr-FR"/>
        </w:rPr>
        <w:t>nouveau-né</w:t>
      </w:r>
      <w:r w:rsidRPr="000A4A0F">
        <w:rPr>
          <w:rFonts w:ascii="Times New Roman" w:eastAsia="Times New Roman" w:hAnsi="Times New Roman" w:cs="Times New Roman"/>
          <w:color w:val="000000"/>
          <w:sz w:val="24"/>
          <w:szCs w:val="24"/>
          <w:lang w:eastAsia="fr-FR"/>
        </w:rPr>
        <w:t>s</w:t>
      </w:r>
      <w:r w:rsidR="001E06DA" w:rsidRPr="000A4A0F">
        <w:rPr>
          <w:rFonts w:ascii="Times New Roman" w:eastAsia="Times New Roman" w:hAnsi="Times New Roman" w:cs="Times New Roman"/>
          <w:color w:val="000000"/>
          <w:sz w:val="24"/>
          <w:szCs w:val="24"/>
          <w:lang w:eastAsia="fr-FR"/>
        </w:rPr>
        <w:t xml:space="preserve"> admis dans le service de </w:t>
      </w:r>
      <w:r w:rsidR="0074173F" w:rsidRPr="000A4A0F">
        <w:rPr>
          <w:rFonts w:ascii="Times New Roman" w:eastAsia="Times New Roman" w:hAnsi="Times New Roman" w:cs="Times New Roman"/>
          <w:color w:val="000000"/>
          <w:sz w:val="24"/>
          <w:szCs w:val="24"/>
          <w:lang w:eastAsia="fr-FR"/>
        </w:rPr>
        <w:t>néonatologie</w:t>
      </w:r>
      <w:r w:rsidR="0067788F" w:rsidRPr="000A4A0F">
        <w:rPr>
          <w:rFonts w:ascii="Times New Roman" w:eastAsia="Times New Roman" w:hAnsi="Times New Roman" w:cs="Times New Roman"/>
          <w:color w:val="000000"/>
          <w:sz w:val="24"/>
          <w:szCs w:val="24"/>
          <w:lang w:eastAsia="fr-FR"/>
        </w:rPr>
        <w:t xml:space="preserve"> pour ictère</w:t>
      </w:r>
      <w:r w:rsidRPr="00106BD7">
        <w:rPr>
          <w:rFonts w:ascii="Times New Roman" w:eastAsia="Times New Roman" w:hAnsi="Times New Roman" w:cs="Times New Roman"/>
          <w:color w:val="000000"/>
          <w:sz w:val="24"/>
          <w:szCs w:val="24"/>
          <w:highlight w:val="yellow"/>
          <w:lang w:eastAsia="fr-FR"/>
        </w:rPr>
        <w:t>,</w:t>
      </w:r>
      <w:r w:rsidR="0067788F" w:rsidRPr="00106BD7">
        <w:rPr>
          <w:rFonts w:ascii="Times New Roman" w:eastAsia="Times New Roman" w:hAnsi="Times New Roman" w:cs="Times New Roman"/>
          <w:color w:val="000000"/>
          <w:sz w:val="24"/>
          <w:szCs w:val="24"/>
          <w:highlight w:val="yellow"/>
          <w:lang w:eastAsia="fr-FR"/>
        </w:rPr>
        <w:t xml:space="preserve"> </w:t>
      </w:r>
      <w:r w:rsidR="001E06DA" w:rsidRPr="00106BD7">
        <w:rPr>
          <w:rFonts w:ascii="Times New Roman" w:eastAsia="Times New Roman" w:hAnsi="Times New Roman" w:cs="Times New Roman"/>
          <w:color w:val="000000"/>
          <w:sz w:val="24"/>
          <w:szCs w:val="24"/>
          <w:highlight w:val="yellow"/>
          <w:lang w:eastAsia="fr-FR"/>
        </w:rPr>
        <w:t xml:space="preserve">était </w:t>
      </w:r>
      <w:r w:rsidR="0074173F" w:rsidRPr="00106BD7">
        <w:rPr>
          <w:rFonts w:ascii="Times New Roman" w:eastAsia="Times New Roman" w:hAnsi="Times New Roman" w:cs="Times New Roman"/>
          <w:color w:val="000000"/>
          <w:sz w:val="24"/>
          <w:szCs w:val="24"/>
          <w:highlight w:val="yellow"/>
          <w:lang w:eastAsia="fr-FR"/>
        </w:rPr>
        <w:t>né</w:t>
      </w:r>
      <w:r w:rsidR="001E06DA" w:rsidRPr="000A4A0F">
        <w:rPr>
          <w:rFonts w:ascii="Times New Roman" w:eastAsia="Times New Roman" w:hAnsi="Times New Roman" w:cs="Times New Roman"/>
          <w:color w:val="000000"/>
          <w:sz w:val="24"/>
          <w:szCs w:val="24"/>
          <w:lang w:eastAsia="fr-FR"/>
        </w:rPr>
        <w:t xml:space="preserve"> dans notre </w:t>
      </w:r>
      <w:r w:rsidRPr="000A4A0F">
        <w:rPr>
          <w:rFonts w:ascii="Times New Roman" w:eastAsia="Times New Roman" w:hAnsi="Times New Roman" w:cs="Times New Roman"/>
          <w:color w:val="000000"/>
          <w:sz w:val="24"/>
          <w:szCs w:val="24"/>
          <w:lang w:eastAsia="fr-FR"/>
        </w:rPr>
        <w:t>h</w:t>
      </w:r>
      <w:r w:rsidR="0074173F" w:rsidRPr="000A4A0F">
        <w:rPr>
          <w:rFonts w:ascii="Times New Roman" w:eastAsia="Times New Roman" w:hAnsi="Times New Roman" w:cs="Times New Roman"/>
          <w:color w:val="000000"/>
          <w:sz w:val="24"/>
          <w:szCs w:val="24"/>
          <w:lang w:eastAsia="fr-FR"/>
        </w:rPr>
        <w:t>ôpital</w:t>
      </w:r>
      <w:r w:rsidR="001E06DA" w:rsidRPr="000A4A0F">
        <w:rPr>
          <w:rFonts w:ascii="Times New Roman" w:eastAsia="Times New Roman" w:hAnsi="Times New Roman" w:cs="Times New Roman"/>
          <w:color w:val="000000"/>
          <w:sz w:val="24"/>
          <w:szCs w:val="24"/>
          <w:lang w:eastAsia="fr-FR"/>
        </w:rPr>
        <w:t xml:space="preserve"> et 25.8% </w:t>
      </w:r>
      <w:r w:rsidR="001E06DA" w:rsidRPr="00106BD7">
        <w:rPr>
          <w:rFonts w:ascii="Times New Roman" w:eastAsia="Times New Roman" w:hAnsi="Times New Roman" w:cs="Times New Roman"/>
          <w:color w:val="000000"/>
          <w:sz w:val="24"/>
          <w:szCs w:val="24"/>
          <w:highlight w:val="yellow"/>
          <w:lang w:eastAsia="fr-FR"/>
        </w:rPr>
        <w:t>était ne</w:t>
      </w:r>
      <w:r w:rsidR="001E06DA" w:rsidRPr="000A4A0F">
        <w:rPr>
          <w:rFonts w:ascii="Times New Roman" w:eastAsia="Times New Roman" w:hAnsi="Times New Roman" w:cs="Times New Roman"/>
          <w:color w:val="000000"/>
          <w:sz w:val="24"/>
          <w:szCs w:val="24"/>
          <w:lang w:eastAsia="fr-FR"/>
        </w:rPr>
        <w:t xml:space="preserve"> hors HPGRB.</w:t>
      </w:r>
    </w:p>
    <w:p w14:paraId="6CE5B22B" w14:textId="3F3DC53A" w:rsidR="00F1183B" w:rsidRPr="000A4A0F" w:rsidRDefault="00F83A7E"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roofErr w:type="spellStart"/>
      <w:r w:rsidRPr="000A4A0F">
        <w:rPr>
          <w:rFonts w:ascii="Times New Roman" w:eastAsia="Times New Roman" w:hAnsi="Times New Roman" w:cs="Times New Roman"/>
          <w:color w:val="000000"/>
          <w:sz w:val="24"/>
          <w:szCs w:val="24"/>
          <w:lang w:eastAsia="fr-FR"/>
        </w:rPr>
        <w:t>Many</w:t>
      </w:r>
      <w:proofErr w:type="spellEnd"/>
      <w:r w:rsidRPr="000A4A0F">
        <w:rPr>
          <w:rFonts w:ascii="Times New Roman" w:eastAsia="Times New Roman" w:hAnsi="Times New Roman" w:cs="Times New Roman"/>
          <w:color w:val="000000"/>
          <w:sz w:val="24"/>
          <w:szCs w:val="24"/>
          <w:lang w:eastAsia="fr-FR"/>
        </w:rPr>
        <w:t xml:space="preserve"> </w:t>
      </w:r>
      <w:proofErr w:type="spellStart"/>
      <w:r w:rsidRPr="000A4A0F">
        <w:rPr>
          <w:rFonts w:ascii="Times New Roman" w:eastAsia="Times New Roman" w:hAnsi="Times New Roman" w:cs="Times New Roman"/>
          <w:color w:val="000000"/>
          <w:sz w:val="24"/>
          <w:szCs w:val="24"/>
          <w:lang w:eastAsia="fr-FR"/>
        </w:rPr>
        <w:t>Mashako</w:t>
      </w:r>
      <w:proofErr w:type="spellEnd"/>
      <w:r w:rsidRPr="000A4A0F">
        <w:rPr>
          <w:rFonts w:ascii="Times New Roman" w:eastAsia="Times New Roman" w:hAnsi="Times New Roman" w:cs="Times New Roman"/>
          <w:color w:val="000000"/>
          <w:sz w:val="24"/>
          <w:szCs w:val="24"/>
          <w:lang w:eastAsia="fr-FR"/>
        </w:rPr>
        <w:t xml:space="preserve"> au Nord-K</w:t>
      </w:r>
      <w:r w:rsidR="001E06DA" w:rsidRPr="000A4A0F">
        <w:rPr>
          <w:rFonts w:ascii="Times New Roman" w:eastAsia="Times New Roman" w:hAnsi="Times New Roman" w:cs="Times New Roman"/>
          <w:color w:val="000000"/>
          <w:sz w:val="24"/>
          <w:szCs w:val="24"/>
          <w:lang w:eastAsia="fr-FR"/>
        </w:rPr>
        <w:t>ivu,</w:t>
      </w:r>
      <w:r w:rsidRPr="000A4A0F">
        <w:rPr>
          <w:rFonts w:ascii="Times New Roman" w:eastAsia="Times New Roman" w:hAnsi="Times New Roman" w:cs="Times New Roman"/>
          <w:color w:val="000000"/>
          <w:sz w:val="24"/>
          <w:szCs w:val="24"/>
          <w:lang w:eastAsia="fr-FR"/>
        </w:rPr>
        <w:t xml:space="preserve"> </w:t>
      </w:r>
      <w:r w:rsidR="001E06DA" w:rsidRPr="000A4A0F">
        <w:rPr>
          <w:rFonts w:ascii="Times New Roman" w:eastAsia="Times New Roman" w:hAnsi="Times New Roman" w:cs="Times New Roman"/>
          <w:color w:val="000000"/>
          <w:sz w:val="24"/>
          <w:szCs w:val="24"/>
          <w:lang w:eastAsia="fr-FR"/>
        </w:rPr>
        <w:t xml:space="preserve">a obtenu des résultats presque </w:t>
      </w:r>
      <w:r w:rsidR="00F1183B" w:rsidRPr="000A4A0F">
        <w:rPr>
          <w:rFonts w:ascii="Times New Roman" w:eastAsia="Times New Roman" w:hAnsi="Times New Roman" w:cs="Times New Roman"/>
          <w:color w:val="000000"/>
          <w:sz w:val="24"/>
          <w:szCs w:val="24"/>
          <w:lang w:eastAsia="fr-FR"/>
        </w:rPr>
        <w:t>similaires</w:t>
      </w:r>
      <w:r w:rsidR="00F1183B" w:rsidRPr="00106BD7">
        <w:rPr>
          <w:rFonts w:ascii="Times New Roman" w:eastAsia="Times New Roman" w:hAnsi="Times New Roman" w:cs="Times New Roman"/>
          <w:color w:val="FF0000"/>
          <w:sz w:val="24"/>
          <w:szCs w:val="24"/>
          <w:lang w:eastAsia="fr-FR"/>
        </w:rPr>
        <w:t>.</w:t>
      </w:r>
      <w:r w:rsidR="00106BD7" w:rsidRPr="00106BD7">
        <w:rPr>
          <w:rFonts w:ascii="Times New Roman" w:eastAsia="Times New Roman" w:hAnsi="Times New Roman" w:cs="Times New Roman"/>
          <w:color w:val="FF0000"/>
          <w:sz w:val="24"/>
          <w:szCs w:val="24"/>
          <w:lang w:eastAsia="fr-FR"/>
        </w:rPr>
        <w:t xml:space="preserve"> (Référence)</w:t>
      </w:r>
    </w:p>
    <w:p w14:paraId="01EF4828" w14:textId="42F10592" w:rsidR="00CD1D49" w:rsidRPr="000A4A0F" w:rsidRDefault="001E06D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Dans notre </w:t>
      </w:r>
      <w:r w:rsidR="00CC200F" w:rsidRPr="000A4A0F">
        <w:rPr>
          <w:rFonts w:ascii="Times New Roman" w:eastAsia="Times New Roman" w:hAnsi="Times New Roman" w:cs="Times New Roman"/>
          <w:color w:val="000000"/>
          <w:sz w:val="24"/>
          <w:szCs w:val="24"/>
          <w:lang w:eastAsia="fr-FR"/>
        </w:rPr>
        <w:t>série</w:t>
      </w:r>
      <w:r w:rsidRPr="000A4A0F">
        <w:rPr>
          <w:rFonts w:ascii="Times New Roman" w:eastAsia="Times New Roman" w:hAnsi="Times New Roman" w:cs="Times New Roman"/>
          <w:color w:val="000000"/>
          <w:sz w:val="24"/>
          <w:szCs w:val="24"/>
          <w:lang w:eastAsia="fr-FR"/>
        </w:rPr>
        <w:t xml:space="preserve"> ces </w:t>
      </w:r>
      <w:r w:rsidR="00CC200F" w:rsidRPr="000A4A0F">
        <w:rPr>
          <w:rFonts w:ascii="Times New Roman" w:eastAsia="Times New Roman" w:hAnsi="Times New Roman" w:cs="Times New Roman"/>
          <w:color w:val="000000"/>
          <w:sz w:val="24"/>
          <w:szCs w:val="24"/>
          <w:lang w:eastAsia="fr-FR"/>
        </w:rPr>
        <w:t>résultats</w:t>
      </w:r>
      <w:r w:rsidRPr="000A4A0F">
        <w:rPr>
          <w:rFonts w:ascii="Times New Roman" w:eastAsia="Times New Roman" w:hAnsi="Times New Roman" w:cs="Times New Roman"/>
          <w:color w:val="000000"/>
          <w:sz w:val="24"/>
          <w:szCs w:val="24"/>
          <w:lang w:eastAsia="fr-FR"/>
        </w:rPr>
        <w:t xml:space="preserve"> </w:t>
      </w:r>
      <w:r w:rsidR="009F09DD" w:rsidRPr="000A4A0F">
        <w:rPr>
          <w:rFonts w:ascii="Times New Roman" w:eastAsia="Times New Roman" w:hAnsi="Times New Roman" w:cs="Times New Roman"/>
          <w:color w:val="000000"/>
          <w:sz w:val="24"/>
          <w:szCs w:val="24"/>
          <w:lang w:eastAsia="fr-FR"/>
        </w:rPr>
        <w:t>s’expliquent</w:t>
      </w:r>
      <w:r w:rsidRPr="000A4A0F">
        <w:rPr>
          <w:rFonts w:ascii="Times New Roman" w:eastAsia="Times New Roman" w:hAnsi="Times New Roman" w:cs="Times New Roman"/>
          <w:color w:val="000000"/>
          <w:sz w:val="24"/>
          <w:szCs w:val="24"/>
          <w:lang w:eastAsia="fr-FR"/>
        </w:rPr>
        <w:t xml:space="preserve"> par l’intérêt </w:t>
      </w:r>
      <w:r w:rsidR="00CC200F" w:rsidRPr="000A4A0F">
        <w:rPr>
          <w:rFonts w:ascii="Times New Roman" w:eastAsia="Times New Roman" w:hAnsi="Times New Roman" w:cs="Times New Roman"/>
          <w:color w:val="000000"/>
          <w:sz w:val="24"/>
          <w:szCs w:val="24"/>
          <w:lang w:eastAsia="fr-FR"/>
        </w:rPr>
        <w:t>accordé</w:t>
      </w:r>
      <w:r w:rsidRPr="000A4A0F">
        <w:rPr>
          <w:rFonts w:ascii="Times New Roman" w:eastAsia="Times New Roman" w:hAnsi="Times New Roman" w:cs="Times New Roman"/>
          <w:color w:val="000000"/>
          <w:sz w:val="24"/>
          <w:szCs w:val="24"/>
          <w:lang w:eastAsia="fr-FR"/>
        </w:rPr>
        <w:t xml:space="preserve"> </w:t>
      </w:r>
      <w:r w:rsidR="009F09DD" w:rsidRPr="000A4A0F">
        <w:rPr>
          <w:rFonts w:ascii="Times New Roman" w:eastAsia="Times New Roman" w:hAnsi="Times New Roman" w:cs="Times New Roman"/>
          <w:color w:val="000000"/>
          <w:sz w:val="24"/>
          <w:szCs w:val="24"/>
          <w:lang w:eastAsia="fr-FR"/>
        </w:rPr>
        <w:t>à</w:t>
      </w:r>
      <w:r w:rsidRPr="000A4A0F">
        <w:rPr>
          <w:rFonts w:ascii="Times New Roman" w:eastAsia="Times New Roman" w:hAnsi="Times New Roman" w:cs="Times New Roman"/>
          <w:color w:val="000000"/>
          <w:sz w:val="24"/>
          <w:szCs w:val="24"/>
          <w:lang w:eastAsia="fr-FR"/>
        </w:rPr>
        <w:t xml:space="preserve"> la surveillance du post-partum et l’examen </w:t>
      </w:r>
      <w:r w:rsidR="006A4776" w:rsidRPr="000A4A0F">
        <w:rPr>
          <w:rFonts w:ascii="Times New Roman" w:eastAsia="Times New Roman" w:hAnsi="Times New Roman" w:cs="Times New Roman"/>
          <w:color w:val="000000"/>
          <w:sz w:val="24"/>
          <w:szCs w:val="24"/>
          <w:lang w:eastAsia="fr-FR"/>
        </w:rPr>
        <w:t>systématique</w:t>
      </w:r>
      <w:r w:rsidRPr="000A4A0F">
        <w:rPr>
          <w:rFonts w:ascii="Times New Roman" w:eastAsia="Times New Roman" w:hAnsi="Times New Roman" w:cs="Times New Roman"/>
          <w:color w:val="000000"/>
          <w:sz w:val="24"/>
          <w:szCs w:val="24"/>
          <w:lang w:eastAsia="fr-FR"/>
        </w:rPr>
        <w:t xml:space="preserve"> que </w:t>
      </w:r>
      <w:r w:rsidR="006A4776" w:rsidRPr="000A4A0F">
        <w:rPr>
          <w:rFonts w:ascii="Times New Roman" w:eastAsia="Times New Roman" w:hAnsi="Times New Roman" w:cs="Times New Roman"/>
          <w:color w:val="000000"/>
          <w:sz w:val="24"/>
          <w:szCs w:val="24"/>
          <w:lang w:eastAsia="fr-FR"/>
        </w:rPr>
        <w:t>bénéficie</w:t>
      </w:r>
      <w:r w:rsidRPr="000A4A0F">
        <w:rPr>
          <w:rFonts w:ascii="Times New Roman" w:eastAsia="Times New Roman" w:hAnsi="Times New Roman" w:cs="Times New Roman"/>
          <w:color w:val="000000"/>
          <w:sz w:val="24"/>
          <w:szCs w:val="24"/>
          <w:lang w:eastAsia="fr-FR"/>
        </w:rPr>
        <w:t xml:space="preserve"> chaque </w:t>
      </w:r>
      <w:r w:rsidR="00CC200F" w:rsidRPr="000A4A0F">
        <w:rPr>
          <w:rFonts w:ascii="Times New Roman" w:eastAsia="Times New Roman" w:hAnsi="Times New Roman" w:cs="Times New Roman"/>
          <w:color w:val="000000"/>
          <w:sz w:val="24"/>
          <w:szCs w:val="24"/>
          <w:lang w:eastAsia="fr-FR"/>
        </w:rPr>
        <w:t>nouveau-né</w:t>
      </w:r>
      <w:r w:rsidRPr="000A4A0F">
        <w:rPr>
          <w:rFonts w:ascii="Times New Roman" w:eastAsia="Times New Roman" w:hAnsi="Times New Roman" w:cs="Times New Roman"/>
          <w:color w:val="000000"/>
          <w:sz w:val="24"/>
          <w:szCs w:val="24"/>
          <w:lang w:eastAsia="fr-FR"/>
        </w:rPr>
        <w:t xml:space="preserve"> avant </w:t>
      </w:r>
      <w:r w:rsidR="009F09DD" w:rsidRPr="000A4A0F">
        <w:rPr>
          <w:rFonts w:ascii="Times New Roman" w:eastAsia="Times New Roman" w:hAnsi="Times New Roman" w:cs="Times New Roman"/>
          <w:color w:val="000000"/>
          <w:sz w:val="24"/>
          <w:szCs w:val="24"/>
          <w:lang w:eastAsia="fr-FR"/>
        </w:rPr>
        <w:t>sortie</w:t>
      </w:r>
      <w:r w:rsidRPr="000A4A0F">
        <w:rPr>
          <w:rFonts w:ascii="Times New Roman" w:eastAsia="Times New Roman" w:hAnsi="Times New Roman" w:cs="Times New Roman"/>
          <w:color w:val="000000"/>
          <w:sz w:val="24"/>
          <w:szCs w:val="24"/>
          <w:lang w:eastAsia="fr-FR"/>
        </w:rPr>
        <w:t xml:space="preserve"> de l’</w:t>
      </w:r>
      <w:r w:rsidR="0074173F" w:rsidRPr="000A4A0F">
        <w:rPr>
          <w:rFonts w:ascii="Times New Roman" w:eastAsia="Times New Roman" w:hAnsi="Times New Roman" w:cs="Times New Roman"/>
          <w:color w:val="000000"/>
          <w:sz w:val="24"/>
          <w:szCs w:val="24"/>
          <w:lang w:eastAsia="fr-FR"/>
        </w:rPr>
        <w:t>Hôpital</w:t>
      </w:r>
      <w:r w:rsidRPr="000A4A0F">
        <w:rPr>
          <w:rFonts w:ascii="Times New Roman" w:eastAsia="Times New Roman" w:hAnsi="Times New Roman" w:cs="Times New Roman"/>
          <w:color w:val="000000"/>
          <w:sz w:val="24"/>
          <w:szCs w:val="24"/>
          <w:lang w:eastAsia="fr-FR"/>
        </w:rPr>
        <w:t xml:space="preserve"> et le follow up </w:t>
      </w:r>
      <w:r w:rsidRPr="00106BD7">
        <w:rPr>
          <w:rFonts w:ascii="Times New Roman" w:eastAsia="Times New Roman" w:hAnsi="Times New Roman" w:cs="Times New Roman"/>
          <w:color w:val="FF0000"/>
          <w:sz w:val="24"/>
          <w:szCs w:val="24"/>
          <w:lang w:eastAsia="fr-FR"/>
        </w:rPr>
        <w:t>effectue</w:t>
      </w:r>
      <w:r w:rsidR="009F09DD" w:rsidRPr="00106BD7">
        <w:rPr>
          <w:rFonts w:ascii="Times New Roman" w:eastAsia="Times New Roman" w:hAnsi="Times New Roman" w:cs="Times New Roman"/>
          <w:color w:val="FF0000"/>
          <w:sz w:val="24"/>
          <w:szCs w:val="24"/>
          <w:lang w:eastAsia="fr-FR"/>
        </w:rPr>
        <w:t>r</w:t>
      </w:r>
      <w:r w:rsidRPr="00106BD7">
        <w:rPr>
          <w:rFonts w:ascii="Times New Roman" w:eastAsia="Times New Roman" w:hAnsi="Times New Roman" w:cs="Times New Roman"/>
          <w:color w:val="FF0000"/>
          <w:sz w:val="24"/>
          <w:szCs w:val="24"/>
          <w:lang w:eastAsia="fr-FR"/>
        </w:rPr>
        <w:t xml:space="preserve"> </w:t>
      </w:r>
      <w:r w:rsidR="00CD1D49" w:rsidRPr="000A4A0F">
        <w:rPr>
          <w:rFonts w:ascii="Times New Roman" w:eastAsia="Times New Roman" w:hAnsi="Times New Roman" w:cs="Times New Roman"/>
          <w:color w:val="000000"/>
          <w:sz w:val="24"/>
          <w:szCs w:val="24"/>
          <w:lang w:eastAsia="fr-FR"/>
        </w:rPr>
        <w:t>à</w:t>
      </w:r>
      <w:r w:rsidRPr="000A4A0F">
        <w:rPr>
          <w:rFonts w:ascii="Times New Roman" w:eastAsia="Times New Roman" w:hAnsi="Times New Roman" w:cs="Times New Roman"/>
          <w:color w:val="000000"/>
          <w:sz w:val="24"/>
          <w:szCs w:val="24"/>
          <w:lang w:eastAsia="fr-FR"/>
        </w:rPr>
        <w:t xml:space="preserve"> 2 semaines post </w:t>
      </w:r>
      <w:r w:rsidR="0074173F" w:rsidRPr="000A4A0F">
        <w:rPr>
          <w:rFonts w:ascii="Times New Roman" w:eastAsia="Times New Roman" w:hAnsi="Times New Roman" w:cs="Times New Roman"/>
          <w:color w:val="000000"/>
          <w:sz w:val="24"/>
          <w:szCs w:val="24"/>
          <w:lang w:eastAsia="fr-FR"/>
        </w:rPr>
        <w:t xml:space="preserve">sortie. C’est une stratégie avancée pour un bon suivi du </w:t>
      </w:r>
      <w:r w:rsidR="009F09DD" w:rsidRPr="000A4A0F">
        <w:rPr>
          <w:rFonts w:ascii="Times New Roman" w:eastAsia="Times New Roman" w:hAnsi="Times New Roman" w:cs="Times New Roman"/>
          <w:color w:val="000000"/>
          <w:sz w:val="24"/>
          <w:szCs w:val="24"/>
          <w:lang w:eastAsia="fr-FR"/>
        </w:rPr>
        <w:t>bien-être</w:t>
      </w:r>
      <w:r w:rsidR="0074173F" w:rsidRPr="000A4A0F">
        <w:rPr>
          <w:rFonts w:ascii="Times New Roman" w:eastAsia="Times New Roman" w:hAnsi="Times New Roman" w:cs="Times New Roman"/>
          <w:color w:val="000000"/>
          <w:sz w:val="24"/>
          <w:szCs w:val="24"/>
          <w:lang w:eastAsia="fr-FR"/>
        </w:rPr>
        <w:t xml:space="preserve"> du </w:t>
      </w:r>
      <w:r w:rsidR="000A5D50" w:rsidRPr="000A4A0F">
        <w:rPr>
          <w:rFonts w:ascii="Times New Roman" w:eastAsia="Times New Roman" w:hAnsi="Times New Roman" w:cs="Times New Roman"/>
          <w:color w:val="000000"/>
          <w:sz w:val="24"/>
          <w:szCs w:val="24"/>
          <w:lang w:eastAsia="fr-FR"/>
        </w:rPr>
        <w:t>nouveau-né</w:t>
      </w:r>
      <w:r w:rsidR="0074173F" w:rsidRPr="000A4A0F">
        <w:rPr>
          <w:rFonts w:ascii="Times New Roman" w:eastAsia="Times New Roman" w:hAnsi="Times New Roman" w:cs="Times New Roman"/>
          <w:color w:val="000000"/>
          <w:sz w:val="24"/>
          <w:szCs w:val="24"/>
          <w:lang w:eastAsia="fr-FR"/>
        </w:rPr>
        <w:t xml:space="preserve"> et qui permet de dépister l’ictère précocement avant sortie de l’Hôpital.</w:t>
      </w:r>
    </w:p>
    <w:p w14:paraId="53AFD8E2" w14:textId="77777777" w:rsidR="00CC200F" w:rsidRPr="000A4A0F" w:rsidRDefault="001E06D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 </w:t>
      </w:r>
      <w:proofErr w:type="spellStart"/>
      <w:r w:rsidR="00CC200F" w:rsidRPr="000A4A0F">
        <w:rPr>
          <w:rFonts w:ascii="Times New Roman" w:eastAsia="Times New Roman" w:hAnsi="Times New Roman" w:cs="Times New Roman"/>
          <w:color w:val="000000"/>
          <w:sz w:val="24"/>
          <w:szCs w:val="24"/>
          <w:lang w:eastAsia="fr-FR"/>
        </w:rPr>
        <w:t>Arnolda</w:t>
      </w:r>
      <w:proofErr w:type="spellEnd"/>
      <w:r w:rsidR="00CC200F" w:rsidRPr="000A4A0F">
        <w:rPr>
          <w:rFonts w:ascii="Times New Roman" w:eastAsia="Times New Roman" w:hAnsi="Times New Roman" w:cs="Times New Roman"/>
          <w:color w:val="000000"/>
          <w:sz w:val="24"/>
          <w:szCs w:val="24"/>
          <w:lang w:eastAsia="fr-FR"/>
        </w:rPr>
        <w:t xml:space="preserve"> G et coll en Birmanie avait trouvé de résultats </w:t>
      </w:r>
      <w:r w:rsidR="009F09DD" w:rsidRPr="000A4A0F">
        <w:rPr>
          <w:rFonts w:ascii="Times New Roman" w:eastAsia="Times New Roman" w:hAnsi="Times New Roman" w:cs="Times New Roman"/>
          <w:color w:val="000000"/>
          <w:sz w:val="24"/>
          <w:szCs w:val="24"/>
          <w:lang w:eastAsia="fr-FR"/>
        </w:rPr>
        <w:t>différents</w:t>
      </w:r>
      <w:r w:rsidR="00011BE9" w:rsidRPr="000A4A0F">
        <w:rPr>
          <w:rFonts w:ascii="Times New Roman" w:eastAsia="Times New Roman" w:hAnsi="Times New Roman" w:cs="Times New Roman"/>
          <w:color w:val="000000"/>
          <w:sz w:val="24"/>
          <w:szCs w:val="24"/>
          <w:lang w:eastAsia="fr-FR"/>
        </w:rPr>
        <w:t> </w:t>
      </w:r>
      <w:r w:rsidR="000A5D50" w:rsidRPr="000A4A0F">
        <w:rPr>
          <w:rFonts w:ascii="Times New Roman" w:eastAsia="Times New Roman" w:hAnsi="Times New Roman" w:cs="Times New Roman"/>
          <w:color w:val="000000"/>
          <w:sz w:val="24"/>
          <w:szCs w:val="24"/>
          <w:lang w:eastAsia="fr-FR"/>
        </w:rPr>
        <w:t>; la</w:t>
      </w:r>
      <w:r w:rsidR="00011BE9" w:rsidRPr="000A4A0F">
        <w:rPr>
          <w:rFonts w:ascii="Times New Roman" w:eastAsia="Times New Roman" w:hAnsi="Times New Roman" w:cs="Times New Roman"/>
          <w:color w:val="000000"/>
          <w:sz w:val="24"/>
          <w:szCs w:val="24"/>
          <w:lang w:eastAsia="fr-FR"/>
        </w:rPr>
        <w:t xml:space="preserve"> </w:t>
      </w:r>
      <w:r w:rsidR="000A5D50" w:rsidRPr="000A4A0F">
        <w:rPr>
          <w:rFonts w:ascii="Times New Roman" w:eastAsia="Times New Roman" w:hAnsi="Times New Roman" w:cs="Times New Roman"/>
          <w:color w:val="000000"/>
          <w:sz w:val="24"/>
          <w:szCs w:val="24"/>
          <w:lang w:eastAsia="fr-FR"/>
        </w:rPr>
        <w:t>majorité</w:t>
      </w:r>
      <w:r w:rsidR="00011BE9" w:rsidRPr="000A4A0F">
        <w:rPr>
          <w:rFonts w:ascii="Times New Roman" w:eastAsia="Times New Roman" w:hAnsi="Times New Roman" w:cs="Times New Roman"/>
          <w:color w:val="000000"/>
          <w:sz w:val="24"/>
          <w:szCs w:val="24"/>
          <w:lang w:eastAsia="fr-FR"/>
        </w:rPr>
        <w:t xml:space="preserve"> des </w:t>
      </w:r>
      <w:r w:rsidR="000A5D50" w:rsidRPr="000A4A0F">
        <w:rPr>
          <w:rFonts w:ascii="Times New Roman" w:eastAsia="Times New Roman" w:hAnsi="Times New Roman" w:cs="Times New Roman"/>
          <w:color w:val="000000"/>
          <w:sz w:val="24"/>
          <w:szCs w:val="24"/>
          <w:lang w:eastAsia="fr-FR"/>
        </w:rPr>
        <w:t>nouveau-nés</w:t>
      </w:r>
      <w:r w:rsidR="00011BE9" w:rsidRPr="000A4A0F">
        <w:rPr>
          <w:rFonts w:ascii="Times New Roman" w:eastAsia="Times New Roman" w:hAnsi="Times New Roman" w:cs="Times New Roman"/>
          <w:color w:val="000000"/>
          <w:sz w:val="24"/>
          <w:szCs w:val="24"/>
          <w:lang w:eastAsia="fr-FR"/>
        </w:rPr>
        <w:t xml:space="preserve"> </w:t>
      </w:r>
      <w:r w:rsidR="000A5D50" w:rsidRPr="000A4A0F">
        <w:rPr>
          <w:rFonts w:ascii="Times New Roman" w:eastAsia="Times New Roman" w:hAnsi="Times New Roman" w:cs="Times New Roman"/>
          <w:color w:val="000000"/>
          <w:sz w:val="24"/>
          <w:szCs w:val="24"/>
          <w:lang w:eastAsia="fr-FR"/>
        </w:rPr>
        <w:t>ictérique</w:t>
      </w:r>
      <w:r w:rsidR="00011BE9" w:rsidRPr="000A4A0F">
        <w:rPr>
          <w:rFonts w:ascii="Times New Roman" w:eastAsia="Times New Roman" w:hAnsi="Times New Roman" w:cs="Times New Roman"/>
          <w:color w:val="000000"/>
          <w:sz w:val="24"/>
          <w:szCs w:val="24"/>
          <w:lang w:eastAsia="fr-FR"/>
        </w:rPr>
        <w:t xml:space="preserve"> </w:t>
      </w:r>
      <w:r w:rsidR="000A5D50" w:rsidRPr="000A4A0F">
        <w:rPr>
          <w:rFonts w:ascii="Times New Roman" w:eastAsia="Times New Roman" w:hAnsi="Times New Roman" w:cs="Times New Roman"/>
          <w:color w:val="000000"/>
          <w:sz w:val="24"/>
          <w:szCs w:val="24"/>
          <w:lang w:eastAsia="fr-FR"/>
        </w:rPr>
        <w:t>étaient</w:t>
      </w:r>
      <w:r w:rsidR="00011BE9" w:rsidRPr="000A4A0F">
        <w:rPr>
          <w:rFonts w:ascii="Times New Roman" w:eastAsia="Times New Roman" w:hAnsi="Times New Roman" w:cs="Times New Roman"/>
          <w:color w:val="000000"/>
          <w:sz w:val="24"/>
          <w:szCs w:val="24"/>
          <w:lang w:eastAsia="fr-FR"/>
        </w:rPr>
        <w:t xml:space="preserve"> soit </w:t>
      </w:r>
      <w:r w:rsidR="000A5D50" w:rsidRPr="000A4A0F">
        <w:rPr>
          <w:rFonts w:ascii="Times New Roman" w:eastAsia="Times New Roman" w:hAnsi="Times New Roman" w:cs="Times New Roman"/>
          <w:color w:val="000000"/>
          <w:sz w:val="24"/>
          <w:szCs w:val="24"/>
          <w:lang w:eastAsia="fr-FR"/>
        </w:rPr>
        <w:t>référés</w:t>
      </w:r>
      <w:r w:rsidR="00011BE9" w:rsidRPr="000A4A0F">
        <w:rPr>
          <w:rFonts w:ascii="Times New Roman" w:eastAsia="Times New Roman" w:hAnsi="Times New Roman" w:cs="Times New Roman"/>
          <w:color w:val="000000"/>
          <w:sz w:val="24"/>
          <w:szCs w:val="24"/>
          <w:lang w:eastAsia="fr-FR"/>
        </w:rPr>
        <w:t xml:space="preserve"> (40%) soit </w:t>
      </w:r>
      <w:r w:rsidR="000A5D50" w:rsidRPr="000A4A0F">
        <w:rPr>
          <w:rFonts w:ascii="Times New Roman" w:eastAsia="Times New Roman" w:hAnsi="Times New Roman" w:cs="Times New Roman"/>
          <w:color w:val="000000"/>
          <w:sz w:val="24"/>
          <w:szCs w:val="24"/>
          <w:lang w:eastAsia="fr-FR"/>
        </w:rPr>
        <w:t>amené</w:t>
      </w:r>
      <w:r w:rsidR="00011BE9" w:rsidRPr="000A4A0F">
        <w:rPr>
          <w:rFonts w:ascii="Times New Roman" w:eastAsia="Times New Roman" w:hAnsi="Times New Roman" w:cs="Times New Roman"/>
          <w:color w:val="000000"/>
          <w:sz w:val="24"/>
          <w:szCs w:val="24"/>
          <w:lang w:eastAsia="fr-FR"/>
        </w:rPr>
        <w:t xml:space="preserve"> directement par les </w:t>
      </w:r>
      <w:r w:rsidR="000A5D50" w:rsidRPr="000A4A0F">
        <w:rPr>
          <w:rFonts w:ascii="Times New Roman" w:eastAsia="Times New Roman" w:hAnsi="Times New Roman" w:cs="Times New Roman"/>
          <w:color w:val="000000"/>
          <w:sz w:val="24"/>
          <w:szCs w:val="24"/>
          <w:lang w:eastAsia="fr-FR"/>
        </w:rPr>
        <w:t>parent (</w:t>
      </w:r>
      <w:r w:rsidR="00011BE9" w:rsidRPr="000A4A0F">
        <w:rPr>
          <w:rFonts w:ascii="Times New Roman" w:eastAsia="Times New Roman" w:hAnsi="Times New Roman" w:cs="Times New Roman"/>
          <w:color w:val="000000"/>
          <w:sz w:val="24"/>
          <w:szCs w:val="24"/>
          <w:lang w:eastAsia="fr-FR"/>
        </w:rPr>
        <w:t>25.9%)</w:t>
      </w:r>
    </w:p>
    <w:p w14:paraId="590087FA" w14:textId="77777777" w:rsidR="003F48BB" w:rsidRPr="000A4A0F" w:rsidRDefault="003F48BB"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1C203258" w14:textId="77777777" w:rsidR="00CC200F" w:rsidRPr="000A4A0F" w:rsidRDefault="006B7CA8"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eastAsia="Times New Roman" w:hAnsi="Times New Roman" w:cs="Times New Roman"/>
          <w:b/>
          <w:color w:val="000000"/>
          <w:sz w:val="24"/>
          <w:szCs w:val="24"/>
          <w:lang w:eastAsia="fr-FR"/>
        </w:rPr>
        <w:t>AGE A L’ADMISSION</w:t>
      </w:r>
    </w:p>
    <w:p w14:paraId="7EF87999" w14:textId="77777777" w:rsidR="003F48BB" w:rsidRPr="000A4A0F" w:rsidRDefault="003F48BB"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p>
    <w:p w14:paraId="29A411C4" w14:textId="6D8769F3" w:rsidR="00696AA7" w:rsidRPr="000A4A0F" w:rsidRDefault="00CC200F"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22.1% de nouveau-nés ont été admis dans les 24 </w:t>
      </w:r>
      <w:r w:rsidR="00011BE9" w:rsidRPr="000A4A0F">
        <w:rPr>
          <w:rFonts w:ascii="Times New Roman" w:eastAsia="Times New Roman" w:hAnsi="Times New Roman" w:cs="Times New Roman"/>
          <w:color w:val="000000"/>
          <w:sz w:val="24"/>
          <w:szCs w:val="24"/>
          <w:lang w:eastAsia="fr-FR"/>
        </w:rPr>
        <w:t>premières</w:t>
      </w:r>
      <w:r w:rsidRPr="000A4A0F">
        <w:rPr>
          <w:rFonts w:ascii="Times New Roman" w:eastAsia="Times New Roman" w:hAnsi="Times New Roman" w:cs="Times New Roman"/>
          <w:color w:val="000000"/>
          <w:sz w:val="24"/>
          <w:szCs w:val="24"/>
          <w:lang w:eastAsia="fr-FR"/>
        </w:rPr>
        <w:t xml:space="preserve"> heures</w:t>
      </w:r>
      <w:r w:rsidR="000A5D50" w:rsidRPr="000A4A0F">
        <w:rPr>
          <w:rFonts w:ascii="Times New Roman" w:eastAsia="Times New Roman" w:hAnsi="Times New Roman" w:cs="Times New Roman"/>
          <w:color w:val="000000"/>
          <w:sz w:val="24"/>
          <w:szCs w:val="24"/>
          <w:lang w:eastAsia="fr-FR"/>
        </w:rPr>
        <w:t>, 11.5</w:t>
      </w:r>
      <w:r w:rsidRPr="000A4A0F">
        <w:rPr>
          <w:rFonts w:ascii="Times New Roman" w:eastAsia="Times New Roman" w:hAnsi="Times New Roman" w:cs="Times New Roman"/>
          <w:color w:val="000000"/>
          <w:sz w:val="24"/>
          <w:szCs w:val="24"/>
          <w:lang w:eastAsia="fr-FR"/>
        </w:rPr>
        <w:t>% dans les 24h-48h</w:t>
      </w:r>
      <w:r w:rsidR="000A5D50" w:rsidRPr="000A4A0F">
        <w:rPr>
          <w:rFonts w:ascii="Times New Roman" w:eastAsia="Times New Roman" w:hAnsi="Times New Roman" w:cs="Times New Roman"/>
          <w:color w:val="000000"/>
          <w:sz w:val="24"/>
          <w:szCs w:val="24"/>
          <w:lang w:eastAsia="fr-FR"/>
        </w:rPr>
        <w:t>, 19.8</w:t>
      </w:r>
      <w:r w:rsidRPr="000A4A0F">
        <w:rPr>
          <w:rFonts w:ascii="Times New Roman" w:eastAsia="Times New Roman" w:hAnsi="Times New Roman" w:cs="Times New Roman"/>
          <w:color w:val="000000"/>
          <w:sz w:val="24"/>
          <w:szCs w:val="24"/>
          <w:lang w:eastAsia="fr-FR"/>
        </w:rPr>
        <w:t>% dans les 48-</w:t>
      </w:r>
      <w:r w:rsidR="003F48BB" w:rsidRPr="000A4A0F">
        <w:rPr>
          <w:rFonts w:ascii="Times New Roman" w:eastAsia="Times New Roman" w:hAnsi="Times New Roman" w:cs="Times New Roman"/>
          <w:color w:val="000000"/>
          <w:sz w:val="24"/>
          <w:szCs w:val="24"/>
          <w:lang w:eastAsia="fr-FR"/>
        </w:rPr>
        <w:t>72heures et 46,6% dans les 72h.</w:t>
      </w:r>
    </w:p>
    <w:p w14:paraId="32BEEF8F" w14:textId="015B0914" w:rsidR="003F48BB" w:rsidRPr="000A4A0F" w:rsidRDefault="003F48BB"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L’incompatibilité sanguine </w:t>
      </w:r>
      <w:r w:rsidR="005F2ED3" w:rsidRPr="000A4A0F">
        <w:rPr>
          <w:rFonts w:ascii="Times New Roman" w:hAnsi="Times New Roman" w:cs="Times New Roman"/>
          <w:sz w:val="24"/>
          <w:szCs w:val="24"/>
        </w:rPr>
        <w:t>fœto-maternelle</w:t>
      </w:r>
      <w:r w:rsidRPr="000A4A0F">
        <w:rPr>
          <w:rFonts w:ascii="Times New Roman" w:hAnsi="Times New Roman" w:cs="Times New Roman"/>
          <w:sz w:val="24"/>
          <w:szCs w:val="24"/>
        </w:rPr>
        <w:t xml:space="preserve"> (IFM) constitue l’une des causes majeures d’ictère néonatal sévère dont la principale caractéristique est d’être un ictère à bilirubine indirecte survenant tôt dans les 24 premières heures.</w:t>
      </w:r>
    </w:p>
    <w:p w14:paraId="34621B52" w14:textId="77777777" w:rsidR="003F48BB" w:rsidRPr="000A4A0F" w:rsidRDefault="003F48BB"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164A423B" w14:textId="77777777" w:rsidR="000E4AED" w:rsidRPr="000A4A0F" w:rsidRDefault="006B7CA8"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eastAsia="Times New Roman" w:hAnsi="Times New Roman" w:cs="Times New Roman"/>
          <w:b/>
          <w:color w:val="000000"/>
          <w:sz w:val="24"/>
          <w:szCs w:val="24"/>
          <w:lang w:eastAsia="fr-FR"/>
        </w:rPr>
        <w:t>ETIOLOGIES </w:t>
      </w:r>
    </w:p>
    <w:p w14:paraId="3EC93B4B" w14:textId="77777777" w:rsidR="00166B4E" w:rsidRPr="000A4A0F" w:rsidRDefault="00166B4E"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p>
    <w:p w14:paraId="39DB837D" w14:textId="77777777" w:rsidR="00C262BE" w:rsidRPr="000A4A0F" w:rsidRDefault="007E7A98"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Dans notre é</w:t>
      </w:r>
      <w:r w:rsidR="00C262BE" w:rsidRPr="000A4A0F">
        <w:rPr>
          <w:rFonts w:ascii="Times New Roman" w:eastAsia="Times New Roman" w:hAnsi="Times New Roman" w:cs="Times New Roman"/>
          <w:color w:val="000000"/>
          <w:sz w:val="24"/>
          <w:szCs w:val="24"/>
          <w:lang w:eastAsia="fr-FR"/>
        </w:rPr>
        <w:t>tude</w:t>
      </w:r>
      <w:r w:rsidRPr="000A4A0F">
        <w:rPr>
          <w:rFonts w:ascii="Times New Roman" w:eastAsia="Times New Roman" w:hAnsi="Times New Roman" w:cs="Times New Roman"/>
          <w:color w:val="000000"/>
          <w:sz w:val="24"/>
          <w:szCs w:val="24"/>
          <w:lang w:eastAsia="fr-FR"/>
        </w:rPr>
        <w:t>, les</w:t>
      </w:r>
      <w:r w:rsidR="00C262BE" w:rsidRPr="000A4A0F">
        <w:rPr>
          <w:rFonts w:ascii="Times New Roman" w:eastAsia="Times New Roman" w:hAnsi="Times New Roman" w:cs="Times New Roman"/>
          <w:color w:val="000000"/>
          <w:sz w:val="24"/>
          <w:szCs w:val="24"/>
          <w:lang w:eastAsia="fr-FR"/>
        </w:rPr>
        <w:t xml:space="preserve"> </w:t>
      </w:r>
      <w:r w:rsidRPr="000A4A0F">
        <w:rPr>
          <w:rFonts w:ascii="Times New Roman" w:eastAsia="Times New Roman" w:hAnsi="Times New Roman" w:cs="Times New Roman"/>
          <w:color w:val="000000"/>
          <w:sz w:val="24"/>
          <w:szCs w:val="24"/>
          <w:lang w:eastAsia="fr-FR"/>
        </w:rPr>
        <w:t>étiologies</w:t>
      </w:r>
      <w:r w:rsidR="00C262BE" w:rsidRPr="000A4A0F">
        <w:rPr>
          <w:rFonts w:ascii="Times New Roman" w:eastAsia="Times New Roman" w:hAnsi="Times New Roman" w:cs="Times New Roman"/>
          <w:color w:val="000000"/>
          <w:sz w:val="24"/>
          <w:szCs w:val="24"/>
          <w:lang w:eastAsia="fr-FR"/>
        </w:rPr>
        <w:t xml:space="preserve"> sont </w:t>
      </w:r>
      <w:r w:rsidR="00736037" w:rsidRPr="000A4A0F">
        <w:rPr>
          <w:rFonts w:ascii="Times New Roman" w:eastAsia="Times New Roman" w:hAnsi="Times New Roman" w:cs="Times New Roman"/>
          <w:color w:val="000000"/>
          <w:sz w:val="24"/>
          <w:szCs w:val="24"/>
          <w:lang w:eastAsia="fr-FR"/>
        </w:rPr>
        <w:t>résumées</w:t>
      </w:r>
      <w:r w:rsidR="00C262BE" w:rsidRPr="000A4A0F">
        <w:rPr>
          <w:rFonts w:ascii="Times New Roman" w:eastAsia="Times New Roman" w:hAnsi="Times New Roman" w:cs="Times New Roman"/>
          <w:color w:val="000000"/>
          <w:sz w:val="24"/>
          <w:szCs w:val="24"/>
          <w:lang w:eastAsia="fr-FR"/>
        </w:rPr>
        <w:t xml:space="preserve"> dans </w:t>
      </w:r>
      <w:r w:rsidR="00C262BE" w:rsidRPr="00106BD7">
        <w:rPr>
          <w:rFonts w:ascii="Times New Roman" w:eastAsia="Times New Roman" w:hAnsi="Times New Roman" w:cs="Times New Roman"/>
          <w:color w:val="000000"/>
          <w:sz w:val="24"/>
          <w:szCs w:val="24"/>
          <w:highlight w:val="yellow"/>
          <w:lang w:eastAsia="fr-FR"/>
        </w:rPr>
        <w:t>le tableau no 5.</w:t>
      </w:r>
    </w:p>
    <w:p w14:paraId="355012C6" w14:textId="01A2281D" w:rsidR="00794379" w:rsidRPr="000A4A0F" w:rsidRDefault="002A0CC4"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N</w:t>
      </w:r>
      <w:r w:rsidR="00794379" w:rsidRPr="000A4A0F">
        <w:rPr>
          <w:rFonts w:ascii="Times New Roman" w:eastAsia="Times New Roman" w:hAnsi="Times New Roman" w:cs="Times New Roman"/>
          <w:color w:val="000000"/>
          <w:sz w:val="24"/>
          <w:szCs w:val="24"/>
          <w:lang w:eastAsia="fr-FR"/>
        </w:rPr>
        <w:t>ous remarquons que plusieurs causes peuvent être associ</w:t>
      </w:r>
      <w:r w:rsidR="006B7CA8" w:rsidRPr="000A4A0F">
        <w:rPr>
          <w:rFonts w:ascii="Times New Roman" w:eastAsia="Times New Roman" w:hAnsi="Times New Roman" w:cs="Times New Roman"/>
          <w:color w:val="000000"/>
          <w:sz w:val="24"/>
          <w:szCs w:val="24"/>
          <w:lang w:eastAsia="fr-FR"/>
        </w:rPr>
        <w:t>é</w:t>
      </w:r>
      <w:r w:rsidR="00794379" w:rsidRPr="000A4A0F">
        <w:rPr>
          <w:rFonts w:ascii="Times New Roman" w:eastAsia="Times New Roman" w:hAnsi="Times New Roman" w:cs="Times New Roman"/>
          <w:color w:val="000000"/>
          <w:sz w:val="24"/>
          <w:szCs w:val="24"/>
          <w:lang w:eastAsia="fr-FR"/>
        </w:rPr>
        <w:t>e</w:t>
      </w:r>
      <w:r w:rsidR="006B7CA8" w:rsidRPr="000A4A0F">
        <w:rPr>
          <w:rFonts w:ascii="Times New Roman" w:eastAsia="Times New Roman" w:hAnsi="Times New Roman" w:cs="Times New Roman"/>
          <w:color w:val="000000"/>
          <w:sz w:val="24"/>
          <w:szCs w:val="24"/>
          <w:lang w:eastAsia="fr-FR"/>
        </w:rPr>
        <w:t>s</w:t>
      </w:r>
      <w:r w:rsidR="00794379" w:rsidRPr="000A4A0F">
        <w:rPr>
          <w:rFonts w:ascii="Times New Roman" w:eastAsia="Times New Roman" w:hAnsi="Times New Roman" w:cs="Times New Roman"/>
          <w:color w:val="000000"/>
          <w:sz w:val="24"/>
          <w:szCs w:val="24"/>
          <w:lang w:eastAsia="fr-FR"/>
        </w:rPr>
        <w:t xml:space="preserve"> pour générer un ictère.</w:t>
      </w:r>
    </w:p>
    <w:p w14:paraId="5BED10E4" w14:textId="77777777" w:rsidR="00C262BE" w:rsidRPr="000A4A0F" w:rsidRDefault="00C262BE"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Les </w:t>
      </w:r>
      <w:r w:rsidR="006A4776" w:rsidRPr="000A4A0F">
        <w:rPr>
          <w:rFonts w:ascii="Times New Roman" w:eastAsia="Times New Roman" w:hAnsi="Times New Roman" w:cs="Times New Roman"/>
          <w:color w:val="000000"/>
          <w:sz w:val="24"/>
          <w:szCs w:val="24"/>
          <w:lang w:eastAsia="fr-FR"/>
        </w:rPr>
        <w:t>incompatibilités</w:t>
      </w:r>
      <w:r w:rsidRPr="000A4A0F">
        <w:rPr>
          <w:rFonts w:ascii="Times New Roman" w:eastAsia="Times New Roman" w:hAnsi="Times New Roman" w:cs="Times New Roman"/>
          <w:color w:val="000000"/>
          <w:sz w:val="24"/>
          <w:szCs w:val="24"/>
          <w:lang w:eastAsia="fr-FR"/>
        </w:rPr>
        <w:t xml:space="preserve"> dans le système </w:t>
      </w:r>
      <w:r w:rsidR="006A4776" w:rsidRPr="000A4A0F">
        <w:rPr>
          <w:rFonts w:ascii="Times New Roman" w:eastAsia="Times New Roman" w:hAnsi="Times New Roman" w:cs="Times New Roman"/>
          <w:color w:val="000000"/>
          <w:sz w:val="24"/>
          <w:szCs w:val="24"/>
          <w:lang w:eastAsia="fr-FR"/>
        </w:rPr>
        <w:t>rhésus</w:t>
      </w:r>
      <w:r w:rsidRPr="000A4A0F">
        <w:rPr>
          <w:rFonts w:ascii="Times New Roman" w:eastAsia="Times New Roman" w:hAnsi="Times New Roman" w:cs="Times New Roman"/>
          <w:color w:val="000000"/>
          <w:sz w:val="24"/>
          <w:szCs w:val="24"/>
          <w:lang w:eastAsia="fr-FR"/>
        </w:rPr>
        <w:t xml:space="preserve"> et ABO viennent en </w:t>
      </w:r>
      <w:r w:rsidR="006A4776" w:rsidRPr="000A4A0F">
        <w:rPr>
          <w:rFonts w:ascii="Times New Roman" w:eastAsia="Times New Roman" w:hAnsi="Times New Roman" w:cs="Times New Roman"/>
          <w:color w:val="000000"/>
          <w:sz w:val="24"/>
          <w:szCs w:val="24"/>
          <w:lang w:eastAsia="fr-FR"/>
        </w:rPr>
        <w:t>première</w:t>
      </w:r>
      <w:r w:rsidRPr="000A4A0F">
        <w:rPr>
          <w:rFonts w:ascii="Times New Roman" w:eastAsia="Times New Roman" w:hAnsi="Times New Roman" w:cs="Times New Roman"/>
          <w:color w:val="000000"/>
          <w:sz w:val="24"/>
          <w:szCs w:val="24"/>
          <w:lang w:eastAsia="fr-FR"/>
        </w:rPr>
        <w:t xml:space="preserve"> position avec 43</w:t>
      </w:r>
      <w:r w:rsidR="009602F1" w:rsidRPr="000A4A0F">
        <w:rPr>
          <w:rFonts w:ascii="Times New Roman" w:eastAsia="Times New Roman" w:hAnsi="Times New Roman" w:cs="Times New Roman"/>
          <w:color w:val="000000"/>
          <w:sz w:val="24"/>
          <w:szCs w:val="24"/>
          <w:lang w:eastAsia="fr-FR"/>
        </w:rPr>
        <w:t>.3</w:t>
      </w:r>
      <w:r w:rsidRPr="000A4A0F">
        <w:rPr>
          <w:rFonts w:ascii="Times New Roman" w:eastAsia="Times New Roman" w:hAnsi="Times New Roman" w:cs="Times New Roman"/>
          <w:color w:val="000000"/>
          <w:sz w:val="24"/>
          <w:szCs w:val="24"/>
          <w:lang w:eastAsia="fr-FR"/>
        </w:rPr>
        <w:t>%</w:t>
      </w:r>
      <w:r w:rsidR="006A4776" w:rsidRPr="000A4A0F">
        <w:rPr>
          <w:rFonts w:ascii="Times New Roman" w:eastAsia="Times New Roman" w:hAnsi="Times New Roman" w:cs="Times New Roman"/>
          <w:color w:val="000000"/>
          <w:sz w:val="24"/>
          <w:szCs w:val="24"/>
          <w:lang w:eastAsia="fr-FR"/>
        </w:rPr>
        <w:t>, suivie</w:t>
      </w:r>
      <w:r w:rsidRPr="000A4A0F">
        <w:rPr>
          <w:rFonts w:ascii="Times New Roman" w:eastAsia="Times New Roman" w:hAnsi="Times New Roman" w:cs="Times New Roman"/>
          <w:color w:val="000000"/>
          <w:sz w:val="24"/>
          <w:szCs w:val="24"/>
          <w:lang w:eastAsia="fr-FR"/>
        </w:rPr>
        <w:t xml:space="preserve"> de la </w:t>
      </w:r>
      <w:r w:rsidR="006A4776" w:rsidRPr="000A4A0F">
        <w:rPr>
          <w:rFonts w:ascii="Times New Roman" w:eastAsia="Times New Roman" w:hAnsi="Times New Roman" w:cs="Times New Roman"/>
          <w:color w:val="000000"/>
          <w:sz w:val="24"/>
          <w:szCs w:val="24"/>
          <w:lang w:eastAsia="fr-FR"/>
        </w:rPr>
        <w:t xml:space="preserve">prématurité dans 41%, les infections dans 28.7%, G6PD déficient dans 11.9% et autres étiologies dans 11.2%. </w:t>
      </w:r>
    </w:p>
    <w:p w14:paraId="30ADE84D" w14:textId="5FE9F38F" w:rsidR="00736037" w:rsidRPr="000A4A0F" w:rsidRDefault="00736037"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Mi</w:t>
      </w:r>
      <w:r w:rsidR="009602F1" w:rsidRPr="000A4A0F">
        <w:rPr>
          <w:rFonts w:ascii="Times New Roman" w:eastAsia="Times New Roman" w:hAnsi="Times New Roman" w:cs="Times New Roman"/>
          <w:color w:val="000000"/>
          <w:sz w:val="24"/>
          <w:szCs w:val="24"/>
          <w:lang w:eastAsia="fr-FR"/>
        </w:rPr>
        <w:t>chael S. et col au canada ont</w:t>
      </w:r>
      <w:r w:rsidRPr="000A4A0F">
        <w:rPr>
          <w:rFonts w:ascii="Times New Roman" w:eastAsia="Times New Roman" w:hAnsi="Times New Roman" w:cs="Times New Roman"/>
          <w:color w:val="000000"/>
          <w:sz w:val="24"/>
          <w:szCs w:val="24"/>
          <w:lang w:eastAsia="fr-FR"/>
        </w:rPr>
        <w:t xml:space="preserve"> trouvé successivement l’incompatibilité ABO, suivi de la déficience en G6PD</w:t>
      </w:r>
      <w:r w:rsidR="00100EAA" w:rsidRPr="000A4A0F">
        <w:rPr>
          <w:rFonts w:ascii="Times New Roman" w:eastAsia="Times New Roman" w:hAnsi="Times New Roman" w:cs="Times New Roman"/>
          <w:color w:val="000000"/>
          <w:sz w:val="24"/>
          <w:szCs w:val="24"/>
          <w:lang w:eastAsia="fr-FR"/>
        </w:rPr>
        <w:t>, autres</w:t>
      </w:r>
      <w:r w:rsidRPr="000A4A0F">
        <w:rPr>
          <w:rFonts w:ascii="Times New Roman" w:eastAsia="Times New Roman" w:hAnsi="Times New Roman" w:cs="Times New Roman"/>
          <w:color w:val="000000"/>
          <w:sz w:val="24"/>
          <w:szCs w:val="24"/>
          <w:lang w:eastAsia="fr-FR"/>
        </w:rPr>
        <w:t xml:space="preserve"> </w:t>
      </w:r>
      <w:r w:rsidR="000E4AED" w:rsidRPr="000A4A0F">
        <w:rPr>
          <w:rFonts w:ascii="Times New Roman" w:eastAsia="Times New Roman" w:hAnsi="Times New Roman" w:cs="Times New Roman"/>
          <w:color w:val="000000"/>
          <w:sz w:val="24"/>
          <w:szCs w:val="24"/>
          <w:lang w:eastAsia="fr-FR"/>
        </w:rPr>
        <w:t>incompatibilités, du</w:t>
      </w:r>
      <w:r w:rsidRPr="000A4A0F">
        <w:rPr>
          <w:rFonts w:ascii="Times New Roman" w:eastAsia="Times New Roman" w:hAnsi="Times New Roman" w:cs="Times New Roman"/>
          <w:color w:val="000000"/>
          <w:sz w:val="24"/>
          <w:szCs w:val="24"/>
          <w:lang w:eastAsia="fr-FR"/>
        </w:rPr>
        <w:t xml:space="preserve"> </w:t>
      </w:r>
      <w:r w:rsidR="00B97C04" w:rsidRPr="000A4A0F">
        <w:rPr>
          <w:rFonts w:ascii="Times New Roman" w:eastAsia="Times New Roman" w:hAnsi="Times New Roman" w:cs="Times New Roman"/>
          <w:color w:val="000000"/>
          <w:sz w:val="24"/>
          <w:szCs w:val="24"/>
          <w:lang w:eastAsia="fr-FR"/>
        </w:rPr>
        <w:t>sepsis, hypothyroïdie</w:t>
      </w:r>
      <w:r w:rsidR="002B4F9C">
        <w:rPr>
          <w:rFonts w:ascii="Times New Roman" w:eastAsia="Times New Roman" w:hAnsi="Times New Roman" w:cs="Times New Roman"/>
          <w:color w:val="000000"/>
          <w:sz w:val="24"/>
          <w:szCs w:val="24"/>
          <w:lang w:eastAsia="fr-FR"/>
        </w:rPr>
        <w:t xml:space="preserve"> et </w:t>
      </w:r>
      <w:proofErr w:type="spellStart"/>
      <w:r w:rsidR="002B4F9C">
        <w:rPr>
          <w:rFonts w:ascii="Times New Roman" w:eastAsia="Times New Roman" w:hAnsi="Times New Roman" w:cs="Times New Roman"/>
          <w:color w:val="000000"/>
          <w:sz w:val="24"/>
          <w:szCs w:val="24"/>
          <w:lang w:eastAsia="fr-FR"/>
        </w:rPr>
        <w:t>Hb</w:t>
      </w:r>
      <w:proofErr w:type="spellEnd"/>
      <w:r w:rsidR="002B4F9C">
        <w:rPr>
          <w:rFonts w:ascii="Times New Roman" w:eastAsia="Times New Roman" w:hAnsi="Times New Roman" w:cs="Times New Roman"/>
          <w:color w:val="000000"/>
          <w:sz w:val="24"/>
          <w:szCs w:val="24"/>
          <w:lang w:eastAsia="fr-FR"/>
        </w:rPr>
        <w:t xml:space="preserve"> instable</w:t>
      </w:r>
      <w:r w:rsidR="0054083D" w:rsidRPr="000A4A0F">
        <w:rPr>
          <w:rFonts w:ascii="Times New Roman" w:eastAsia="Times New Roman" w:hAnsi="Times New Roman" w:cs="Times New Roman"/>
          <w:color w:val="000000"/>
          <w:sz w:val="24"/>
          <w:szCs w:val="24"/>
          <w:lang w:eastAsia="fr-FR"/>
        </w:rPr>
        <w:t>.</w:t>
      </w:r>
      <w:r w:rsidR="002B4F9C">
        <w:rPr>
          <w:rFonts w:ascii="Times New Roman" w:eastAsia="Times New Roman" w:hAnsi="Times New Roman" w:cs="Times New Roman"/>
          <w:color w:val="000000"/>
          <w:sz w:val="24"/>
          <w:szCs w:val="24"/>
          <w:lang w:eastAsia="fr-FR"/>
        </w:rPr>
        <w:fldChar w:fldCharType="begin" w:fldLock="1"/>
      </w:r>
      <w:r w:rsidR="004F4A84">
        <w:rPr>
          <w:rFonts w:ascii="Times New Roman" w:eastAsia="Times New Roman" w:hAnsi="Times New Roman" w:cs="Times New Roman"/>
          <w:color w:val="000000"/>
          <w:sz w:val="24"/>
          <w:szCs w:val="24"/>
          <w:lang w:eastAsia="fr-FR"/>
        </w:rPr>
        <w:instrText>ADDIN CSL_CITATION {"citationItems":[{"id":"ITEM-1","itemData":{"DOI":"10.4269/ajtmh.14-0194","author":[{"dropping-particle":"","family":"Larue","given":"Nicole","non-dropping-particle":"","parse-names":false,"suffix":""},{"dropping-particle":"","family":"Kahn","given":"Maria","non-dropping-particle":"","parse-names":false,"suffix":""},{"dropping-particle":"","family":"Murray","given":"Marjorie","non-dropping-particle":"","parse-names":false,"suffix":""},{"dropping-particle":"","family":"Leader","given":"Brandon T","non-dropping-particle":"","parse-names":false,"suffix":""},{"dropping-particle":"","family":"Bansil","given":"Pooja","non-dropping-particle":"","parse-names":false,"suffix":""},{"dropping-particle":"","family":"Mcgray","given":"Sarah","non-dropping-particle":"","parse-names":false,"suffix":""},{"dropping-particle":"","family":"Kalnoky","given":"Michael","non-dropping-particle":"","parse-names":false,"suffix":""},{"dropping-particle":"","family":"Zhang","given":"Hao","non-dropping-particle":"","parse-names":false,"suffix":""},{"dropping-particle":"","family":"Huang","given":"Huiqiang","non-dropping-particle":"","parse-names":false,"suffix":""},{"dropping-particle":"","family":"Jiang","given":"Hui","non-dropping-particle":"","parse-names":false,"suffix":""},{"dropping-particle":"","family":"Domingo","given":"Gonzalo J","non-dropping-particle":"","parse-names":false,"suffix":""}],"id":"ITEM-1","issue":"4","issued":{"date-parts":[["2014"]]},"page":"854-861","title":"Comparison of Quantitative and Qualitative Tests for Glucose-6-Phosphate Dehydrogenase Deficiency","type":"article-journal","volume":"91"},"uris":["http://www.mendeley.com/documents/?uuid=b0381848-fd3f-4aae-8ed0-e97ccc518af5","http://www.mendeley.com/documents/?uuid=795144b9-ea1c-4e38-9d8a-d1306c611dc4"]}],"mendeley":{"formattedCitation":"(27)","plainTextFormattedCitation":"(27)","previouslyFormattedCitation":"(28)"},"properties":{"noteIndex":0},"schema":"https://github.com/citation-style-language/schema/raw/master/csl-citation.json"}</w:instrText>
      </w:r>
      <w:r w:rsidR="002B4F9C">
        <w:rPr>
          <w:rFonts w:ascii="Times New Roman" w:eastAsia="Times New Roman" w:hAnsi="Times New Roman" w:cs="Times New Roman"/>
          <w:color w:val="000000"/>
          <w:sz w:val="24"/>
          <w:szCs w:val="24"/>
          <w:lang w:eastAsia="fr-FR"/>
        </w:rPr>
        <w:fldChar w:fldCharType="separate"/>
      </w:r>
      <w:r w:rsidR="004F4A84" w:rsidRPr="004F4A84">
        <w:rPr>
          <w:rFonts w:ascii="Times New Roman" w:eastAsia="Times New Roman" w:hAnsi="Times New Roman" w:cs="Times New Roman"/>
          <w:noProof/>
          <w:color w:val="000000"/>
          <w:sz w:val="24"/>
          <w:szCs w:val="24"/>
          <w:lang w:eastAsia="fr-FR"/>
        </w:rPr>
        <w:t>(27)</w:t>
      </w:r>
      <w:r w:rsidR="002B4F9C">
        <w:rPr>
          <w:rFonts w:ascii="Times New Roman" w:eastAsia="Times New Roman" w:hAnsi="Times New Roman" w:cs="Times New Roman"/>
          <w:color w:val="000000"/>
          <w:sz w:val="24"/>
          <w:szCs w:val="24"/>
          <w:lang w:eastAsia="fr-FR"/>
        </w:rPr>
        <w:fldChar w:fldCharType="end"/>
      </w:r>
    </w:p>
    <w:p w14:paraId="1AB593EA" w14:textId="63F48294" w:rsidR="00D931E8" w:rsidRPr="000A4A0F" w:rsidRDefault="00D931E8"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roofErr w:type="spellStart"/>
      <w:r w:rsidRPr="000A4A0F">
        <w:rPr>
          <w:rFonts w:ascii="Times New Roman" w:eastAsia="Times New Roman" w:hAnsi="Times New Roman" w:cs="Times New Roman"/>
          <w:color w:val="000000"/>
          <w:sz w:val="24"/>
          <w:szCs w:val="24"/>
          <w:lang w:eastAsia="fr-FR"/>
        </w:rPr>
        <w:lastRenderedPageBreak/>
        <w:t>Irshad</w:t>
      </w:r>
      <w:proofErr w:type="spellEnd"/>
      <w:r w:rsidRPr="000A4A0F">
        <w:rPr>
          <w:rFonts w:ascii="Times New Roman" w:eastAsia="Times New Roman" w:hAnsi="Times New Roman" w:cs="Times New Roman"/>
          <w:color w:val="000000"/>
          <w:sz w:val="24"/>
          <w:szCs w:val="24"/>
          <w:lang w:eastAsia="fr-FR"/>
        </w:rPr>
        <w:t xml:space="preserve"> et col en 2011 ont trouvé successivement comme étiologie</w:t>
      </w:r>
      <w:r w:rsidR="009602F1" w:rsidRPr="000A4A0F">
        <w:rPr>
          <w:rFonts w:ascii="Times New Roman" w:eastAsia="Times New Roman" w:hAnsi="Times New Roman" w:cs="Times New Roman"/>
          <w:color w:val="000000"/>
          <w:sz w:val="24"/>
          <w:szCs w:val="24"/>
          <w:lang w:eastAsia="fr-FR"/>
        </w:rPr>
        <w:t>s</w:t>
      </w:r>
      <w:r w:rsidRPr="000A4A0F">
        <w:rPr>
          <w:rFonts w:ascii="Times New Roman" w:eastAsia="Times New Roman" w:hAnsi="Times New Roman" w:cs="Times New Roman"/>
          <w:color w:val="000000"/>
          <w:sz w:val="24"/>
          <w:szCs w:val="24"/>
          <w:lang w:eastAsia="fr-FR"/>
        </w:rPr>
        <w:t xml:space="preserve"> de l’</w:t>
      </w:r>
      <w:r w:rsidR="009602F1" w:rsidRPr="000A4A0F">
        <w:rPr>
          <w:rFonts w:ascii="Times New Roman" w:eastAsia="Times New Roman" w:hAnsi="Times New Roman" w:cs="Times New Roman"/>
          <w:color w:val="000000"/>
          <w:sz w:val="24"/>
          <w:szCs w:val="24"/>
          <w:lang w:eastAsia="fr-FR"/>
        </w:rPr>
        <w:t>ictère</w:t>
      </w:r>
      <w:r w:rsidRPr="000A4A0F">
        <w:rPr>
          <w:rFonts w:ascii="Times New Roman" w:eastAsia="Times New Roman" w:hAnsi="Times New Roman" w:cs="Times New Roman"/>
          <w:color w:val="000000"/>
          <w:sz w:val="24"/>
          <w:szCs w:val="24"/>
          <w:lang w:eastAsia="fr-FR"/>
        </w:rPr>
        <w:t>,</w:t>
      </w:r>
      <w:r w:rsidR="009602F1" w:rsidRPr="000A4A0F">
        <w:rPr>
          <w:rFonts w:ascii="Times New Roman" w:eastAsia="Times New Roman" w:hAnsi="Times New Roman" w:cs="Times New Roman"/>
          <w:color w:val="000000"/>
          <w:sz w:val="24"/>
          <w:szCs w:val="24"/>
          <w:lang w:eastAsia="fr-FR"/>
        </w:rPr>
        <w:t xml:space="preserve"> </w:t>
      </w:r>
      <w:r w:rsidRPr="000A4A0F">
        <w:rPr>
          <w:rFonts w:ascii="Times New Roman" w:eastAsia="Times New Roman" w:hAnsi="Times New Roman" w:cs="Times New Roman"/>
          <w:color w:val="000000"/>
          <w:sz w:val="24"/>
          <w:szCs w:val="24"/>
          <w:lang w:eastAsia="fr-FR"/>
        </w:rPr>
        <w:t>l’incompatib</w:t>
      </w:r>
      <w:r w:rsidR="009602F1" w:rsidRPr="000A4A0F">
        <w:rPr>
          <w:rFonts w:ascii="Times New Roman" w:eastAsia="Times New Roman" w:hAnsi="Times New Roman" w:cs="Times New Roman"/>
          <w:color w:val="000000"/>
          <w:sz w:val="24"/>
          <w:szCs w:val="24"/>
          <w:lang w:eastAsia="fr-FR"/>
        </w:rPr>
        <w:t>ilité</w:t>
      </w:r>
      <w:r w:rsidRPr="000A4A0F">
        <w:rPr>
          <w:rFonts w:ascii="Times New Roman" w:eastAsia="Times New Roman" w:hAnsi="Times New Roman" w:cs="Times New Roman"/>
          <w:color w:val="000000"/>
          <w:sz w:val="24"/>
          <w:szCs w:val="24"/>
          <w:lang w:eastAsia="fr-FR"/>
        </w:rPr>
        <w:t xml:space="preserve"> ABO dans (39</w:t>
      </w:r>
      <w:r w:rsidR="00855534" w:rsidRPr="000A4A0F">
        <w:rPr>
          <w:rFonts w:ascii="Times New Roman" w:eastAsia="Times New Roman" w:hAnsi="Times New Roman" w:cs="Times New Roman"/>
          <w:color w:val="000000"/>
          <w:sz w:val="24"/>
          <w:szCs w:val="24"/>
          <w:lang w:eastAsia="fr-FR"/>
        </w:rPr>
        <w:t>%</w:t>
      </w:r>
      <w:r w:rsidRPr="000A4A0F">
        <w:rPr>
          <w:rFonts w:ascii="Times New Roman" w:eastAsia="Times New Roman" w:hAnsi="Times New Roman" w:cs="Times New Roman"/>
          <w:color w:val="000000"/>
          <w:sz w:val="24"/>
          <w:szCs w:val="24"/>
          <w:lang w:eastAsia="fr-FR"/>
        </w:rPr>
        <w:t xml:space="preserve">) suivi du déficit en </w:t>
      </w:r>
      <w:r w:rsidR="00855534" w:rsidRPr="000A4A0F">
        <w:rPr>
          <w:rFonts w:ascii="Times New Roman" w:eastAsia="Times New Roman" w:hAnsi="Times New Roman" w:cs="Times New Roman"/>
          <w:color w:val="000000"/>
          <w:sz w:val="24"/>
          <w:szCs w:val="24"/>
          <w:lang w:eastAsia="fr-FR"/>
        </w:rPr>
        <w:t>G6PD (</w:t>
      </w:r>
      <w:r w:rsidRPr="000A4A0F">
        <w:rPr>
          <w:rFonts w:ascii="Times New Roman" w:eastAsia="Times New Roman" w:hAnsi="Times New Roman" w:cs="Times New Roman"/>
          <w:color w:val="000000"/>
          <w:sz w:val="24"/>
          <w:szCs w:val="24"/>
          <w:lang w:eastAsia="fr-FR"/>
        </w:rPr>
        <w:t>34</w:t>
      </w:r>
      <w:r w:rsidR="00855534" w:rsidRPr="000A4A0F">
        <w:rPr>
          <w:rFonts w:ascii="Times New Roman" w:eastAsia="Times New Roman" w:hAnsi="Times New Roman" w:cs="Times New Roman"/>
          <w:color w:val="000000"/>
          <w:sz w:val="24"/>
          <w:szCs w:val="24"/>
          <w:lang w:eastAsia="fr-FR"/>
        </w:rPr>
        <w:t>%</w:t>
      </w:r>
      <w:r w:rsidRPr="000A4A0F">
        <w:rPr>
          <w:rFonts w:ascii="Times New Roman" w:eastAsia="Times New Roman" w:hAnsi="Times New Roman" w:cs="Times New Roman"/>
          <w:color w:val="000000"/>
          <w:sz w:val="24"/>
          <w:szCs w:val="24"/>
          <w:lang w:eastAsia="fr-FR"/>
        </w:rPr>
        <w:t xml:space="preserve">) et </w:t>
      </w:r>
      <w:r w:rsidR="009602F1" w:rsidRPr="000A4A0F">
        <w:rPr>
          <w:rFonts w:ascii="Times New Roman" w:eastAsia="Times New Roman" w:hAnsi="Times New Roman" w:cs="Times New Roman"/>
          <w:color w:val="000000"/>
          <w:sz w:val="24"/>
          <w:szCs w:val="24"/>
          <w:lang w:eastAsia="fr-FR"/>
        </w:rPr>
        <w:t>des septicémies (26.</w:t>
      </w:r>
      <w:r w:rsidRPr="000A4A0F">
        <w:rPr>
          <w:rFonts w:ascii="Times New Roman" w:eastAsia="Times New Roman" w:hAnsi="Times New Roman" w:cs="Times New Roman"/>
          <w:color w:val="000000"/>
          <w:sz w:val="24"/>
          <w:szCs w:val="24"/>
          <w:lang w:eastAsia="fr-FR"/>
        </w:rPr>
        <w:t>1</w:t>
      </w:r>
      <w:r w:rsidR="009602F1" w:rsidRPr="000A4A0F">
        <w:rPr>
          <w:rFonts w:ascii="Times New Roman" w:eastAsia="Times New Roman" w:hAnsi="Times New Roman" w:cs="Times New Roman"/>
          <w:color w:val="000000"/>
          <w:sz w:val="24"/>
          <w:szCs w:val="24"/>
          <w:lang w:eastAsia="fr-FR"/>
        </w:rPr>
        <w:t>%</w:t>
      </w:r>
      <w:r w:rsidR="002B4F9C">
        <w:rPr>
          <w:rFonts w:ascii="Times New Roman" w:eastAsia="Times New Roman" w:hAnsi="Times New Roman" w:cs="Times New Roman"/>
          <w:color w:val="000000"/>
          <w:sz w:val="24"/>
          <w:szCs w:val="24"/>
          <w:lang w:eastAsia="fr-FR"/>
        </w:rPr>
        <w:t>)</w:t>
      </w:r>
      <w:r w:rsidR="0054083D" w:rsidRPr="000A4A0F">
        <w:rPr>
          <w:rFonts w:ascii="Times New Roman" w:eastAsia="Times New Roman" w:hAnsi="Times New Roman" w:cs="Times New Roman"/>
          <w:color w:val="000000"/>
          <w:sz w:val="24"/>
          <w:szCs w:val="24"/>
          <w:lang w:eastAsia="fr-FR"/>
        </w:rPr>
        <w:t>.</w:t>
      </w:r>
    </w:p>
    <w:p w14:paraId="42F8257D" w14:textId="77777777" w:rsidR="00D931E8" w:rsidRPr="000A4A0F" w:rsidRDefault="00E60E95"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roofErr w:type="spellStart"/>
      <w:r w:rsidRPr="000A4A0F">
        <w:rPr>
          <w:rFonts w:ascii="Times New Roman" w:eastAsia="Times New Roman" w:hAnsi="Times New Roman" w:cs="Times New Roman"/>
          <w:color w:val="000000"/>
          <w:sz w:val="24"/>
          <w:szCs w:val="24"/>
          <w:lang w:eastAsia="fr-FR"/>
        </w:rPr>
        <w:t>Yadollah</w:t>
      </w:r>
      <w:proofErr w:type="spellEnd"/>
      <w:r w:rsidRPr="000A4A0F">
        <w:rPr>
          <w:rFonts w:ascii="Times New Roman" w:eastAsia="Times New Roman" w:hAnsi="Times New Roman" w:cs="Times New Roman"/>
          <w:color w:val="000000"/>
          <w:sz w:val="24"/>
          <w:szCs w:val="24"/>
          <w:lang w:eastAsia="fr-FR"/>
        </w:rPr>
        <w:t xml:space="preserve"> et col en Inde ont </w:t>
      </w:r>
      <w:r w:rsidR="00471045" w:rsidRPr="000A4A0F">
        <w:rPr>
          <w:rFonts w:ascii="Times New Roman" w:eastAsia="Times New Roman" w:hAnsi="Times New Roman" w:cs="Times New Roman"/>
          <w:color w:val="000000"/>
          <w:sz w:val="24"/>
          <w:szCs w:val="24"/>
          <w:lang w:eastAsia="fr-FR"/>
        </w:rPr>
        <w:t>trouvé</w:t>
      </w:r>
      <w:r w:rsidRPr="000A4A0F">
        <w:rPr>
          <w:rFonts w:ascii="Times New Roman" w:eastAsia="Times New Roman" w:hAnsi="Times New Roman" w:cs="Times New Roman"/>
          <w:color w:val="000000"/>
          <w:sz w:val="24"/>
          <w:szCs w:val="24"/>
          <w:lang w:eastAsia="fr-FR"/>
        </w:rPr>
        <w:t xml:space="preserve"> une </w:t>
      </w:r>
      <w:r w:rsidR="000E4AED" w:rsidRPr="000A4A0F">
        <w:rPr>
          <w:rFonts w:ascii="Times New Roman" w:eastAsia="Times New Roman" w:hAnsi="Times New Roman" w:cs="Times New Roman"/>
          <w:color w:val="000000"/>
          <w:sz w:val="24"/>
          <w:szCs w:val="24"/>
          <w:lang w:eastAsia="fr-FR"/>
        </w:rPr>
        <w:t>prévalence</w:t>
      </w:r>
      <w:r w:rsidRPr="000A4A0F">
        <w:rPr>
          <w:rFonts w:ascii="Times New Roman" w:eastAsia="Times New Roman" w:hAnsi="Times New Roman" w:cs="Times New Roman"/>
          <w:color w:val="000000"/>
          <w:sz w:val="24"/>
          <w:szCs w:val="24"/>
          <w:lang w:eastAsia="fr-FR"/>
        </w:rPr>
        <w:t xml:space="preserve"> d’</w:t>
      </w:r>
      <w:r w:rsidR="00D931E8" w:rsidRPr="000A4A0F">
        <w:rPr>
          <w:rFonts w:ascii="Times New Roman" w:eastAsia="Times New Roman" w:hAnsi="Times New Roman" w:cs="Times New Roman"/>
          <w:color w:val="000000"/>
          <w:sz w:val="24"/>
          <w:szCs w:val="24"/>
          <w:lang w:eastAsia="fr-FR"/>
        </w:rPr>
        <w:t>incompatibilité</w:t>
      </w:r>
      <w:r w:rsidRPr="000A4A0F">
        <w:rPr>
          <w:rFonts w:ascii="Times New Roman" w:eastAsia="Times New Roman" w:hAnsi="Times New Roman" w:cs="Times New Roman"/>
          <w:color w:val="000000"/>
          <w:sz w:val="24"/>
          <w:szCs w:val="24"/>
          <w:lang w:eastAsia="fr-FR"/>
        </w:rPr>
        <w:t xml:space="preserve"> ABO chez le nouveau-né </w:t>
      </w:r>
      <w:r w:rsidR="00D931E8" w:rsidRPr="000A4A0F">
        <w:rPr>
          <w:rFonts w:ascii="Times New Roman" w:eastAsia="Times New Roman" w:hAnsi="Times New Roman" w:cs="Times New Roman"/>
          <w:color w:val="000000"/>
          <w:sz w:val="24"/>
          <w:szCs w:val="24"/>
          <w:lang w:eastAsia="fr-FR"/>
        </w:rPr>
        <w:t>ictérique</w:t>
      </w:r>
      <w:r w:rsidRPr="000A4A0F">
        <w:rPr>
          <w:rFonts w:ascii="Times New Roman" w:eastAsia="Times New Roman" w:hAnsi="Times New Roman" w:cs="Times New Roman"/>
          <w:color w:val="000000"/>
          <w:sz w:val="24"/>
          <w:szCs w:val="24"/>
          <w:lang w:eastAsia="fr-FR"/>
        </w:rPr>
        <w:t xml:space="preserve"> dans 16.9% </w:t>
      </w:r>
      <w:r w:rsidR="00307AE0" w:rsidRPr="000A4A0F">
        <w:rPr>
          <w:rFonts w:ascii="Times New Roman" w:eastAsia="Times New Roman" w:hAnsi="Times New Roman" w:cs="Times New Roman"/>
          <w:color w:val="000000"/>
          <w:sz w:val="24"/>
          <w:szCs w:val="24"/>
          <w:lang w:eastAsia="fr-FR"/>
        </w:rPr>
        <w:t xml:space="preserve">; </w:t>
      </w:r>
      <w:proofErr w:type="spellStart"/>
      <w:r w:rsidR="00307AE0" w:rsidRPr="000A4A0F">
        <w:rPr>
          <w:rFonts w:ascii="Times New Roman" w:eastAsia="Times New Roman" w:hAnsi="Times New Roman" w:cs="Times New Roman"/>
          <w:color w:val="000000"/>
          <w:sz w:val="24"/>
          <w:szCs w:val="24"/>
          <w:lang w:eastAsia="fr-FR"/>
        </w:rPr>
        <w:t>Erdeve</w:t>
      </w:r>
      <w:proofErr w:type="spellEnd"/>
      <w:r w:rsidRPr="000A4A0F">
        <w:rPr>
          <w:rFonts w:ascii="Times New Roman" w:eastAsia="Times New Roman" w:hAnsi="Times New Roman" w:cs="Times New Roman"/>
          <w:color w:val="000000"/>
          <w:sz w:val="24"/>
          <w:szCs w:val="24"/>
          <w:lang w:eastAsia="fr-FR"/>
        </w:rPr>
        <w:t xml:space="preserve"> O et col en Turquie ont trouvé une prévalence d’</w:t>
      </w:r>
      <w:r w:rsidR="00D931E8" w:rsidRPr="000A4A0F">
        <w:rPr>
          <w:rFonts w:ascii="Times New Roman" w:eastAsia="Times New Roman" w:hAnsi="Times New Roman" w:cs="Times New Roman"/>
          <w:color w:val="000000"/>
          <w:sz w:val="24"/>
          <w:szCs w:val="24"/>
          <w:lang w:eastAsia="fr-FR"/>
        </w:rPr>
        <w:t>incompatibilité</w:t>
      </w:r>
      <w:r w:rsidRPr="000A4A0F">
        <w:rPr>
          <w:rFonts w:ascii="Times New Roman" w:eastAsia="Times New Roman" w:hAnsi="Times New Roman" w:cs="Times New Roman"/>
          <w:color w:val="000000"/>
          <w:sz w:val="24"/>
          <w:szCs w:val="24"/>
          <w:lang w:eastAsia="fr-FR"/>
        </w:rPr>
        <w:t xml:space="preserve"> ABO chez le </w:t>
      </w:r>
      <w:r w:rsidR="000E4AED" w:rsidRPr="000A4A0F">
        <w:rPr>
          <w:rFonts w:ascii="Times New Roman" w:eastAsia="Times New Roman" w:hAnsi="Times New Roman" w:cs="Times New Roman"/>
          <w:color w:val="000000"/>
          <w:sz w:val="24"/>
          <w:szCs w:val="24"/>
          <w:lang w:eastAsia="fr-FR"/>
        </w:rPr>
        <w:t>nouveau-né</w:t>
      </w:r>
      <w:r w:rsidRPr="000A4A0F">
        <w:rPr>
          <w:rFonts w:ascii="Times New Roman" w:eastAsia="Times New Roman" w:hAnsi="Times New Roman" w:cs="Times New Roman"/>
          <w:color w:val="000000"/>
          <w:sz w:val="24"/>
          <w:szCs w:val="24"/>
          <w:lang w:eastAsia="fr-FR"/>
        </w:rPr>
        <w:t xml:space="preserve"> </w:t>
      </w:r>
      <w:r w:rsidR="00D931E8" w:rsidRPr="000A4A0F">
        <w:rPr>
          <w:rFonts w:ascii="Times New Roman" w:eastAsia="Times New Roman" w:hAnsi="Times New Roman" w:cs="Times New Roman"/>
          <w:color w:val="000000"/>
          <w:sz w:val="24"/>
          <w:szCs w:val="24"/>
          <w:lang w:eastAsia="fr-FR"/>
        </w:rPr>
        <w:t>ictérique</w:t>
      </w:r>
      <w:r w:rsidRPr="000A4A0F">
        <w:rPr>
          <w:rFonts w:ascii="Times New Roman" w:eastAsia="Times New Roman" w:hAnsi="Times New Roman" w:cs="Times New Roman"/>
          <w:color w:val="000000"/>
          <w:sz w:val="24"/>
          <w:szCs w:val="24"/>
          <w:lang w:eastAsia="fr-FR"/>
        </w:rPr>
        <w:t xml:space="preserve"> dans 21.3% </w:t>
      </w:r>
      <w:r w:rsidR="00394A5D" w:rsidRPr="000A4A0F">
        <w:rPr>
          <w:rFonts w:ascii="Times New Roman" w:eastAsia="Times New Roman" w:hAnsi="Times New Roman" w:cs="Times New Roman"/>
          <w:color w:val="000000"/>
          <w:sz w:val="24"/>
          <w:szCs w:val="24"/>
          <w:lang w:eastAsia="fr-FR"/>
        </w:rPr>
        <w:t xml:space="preserve">; </w:t>
      </w:r>
      <w:proofErr w:type="spellStart"/>
      <w:r w:rsidR="00394A5D" w:rsidRPr="000A4A0F">
        <w:rPr>
          <w:rFonts w:ascii="Times New Roman" w:eastAsia="Times New Roman" w:hAnsi="Times New Roman" w:cs="Times New Roman"/>
          <w:color w:val="000000"/>
          <w:sz w:val="24"/>
          <w:szCs w:val="24"/>
          <w:lang w:eastAsia="fr-FR"/>
        </w:rPr>
        <w:t>Rasul</w:t>
      </w:r>
      <w:proofErr w:type="spellEnd"/>
      <w:r w:rsidRPr="000A4A0F">
        <w:rPr>
          <w:rFonts w:ascii="Times New Roman" w:eastAsia="Times New Roman" w:hAnsi="Times New Roman" w:cs="Times New Roman"/>
          <w:color w:val="000000"/>
          <w:sz w:val="24"/>
          <w:szCs w:val="24"/>
          <w:lang w:eastAsia="fr-FR"/>
        </w:rPr>
        <w:t xml:space="preserve"> et col (2010) au Bangladesh ont </w:t>
      </w:r>
      <w:r w:rsidR="00E4278C" w:rsidRPr="000A4A0F">
        <w:rPr>
          <w:rFonts w:ascii="Times New Roman" w:eastAsia="Times New Roman" w:hAnsi="Times New Roman" w:cs="Times New Roman"/>
          <w:color w:val="000000"/>
          <w:sz w:val="24"/>
          <w:szCs w:val="24"/>
          <w:lang w:eastAsia="fr-FR"/>
        </w:rPr>
        <w:t>trouvé</w:t>
      </w:r>
      <w:r w:rsidRPr="000A4A0F">
        <w:rPr>
          <w:rFonts w:ascii="Times New Roman" w:eastAsia="Times New Roman" w:hAnsi="Times New Roman" w:cs="Times New Roman"/>
          <w:color w:val="000000"/>
          <w:sz w:val="24"/>
          <w:szCs w:val="24"/>
          <w:lang w:eastAsia="fr-FR"/>
        </w:rPr>
        <w:t xml:space="preserve"> 11,3%.</w:t>
      </w:r>
      <w:r w:rsidR="00E4278C" w:rsidRPr="000A4A0F">
        <w:rPr>
          <w:rFonts w:ascii="Times New Roman" w:eastAsia="Times New Roman" w:hAnsi="Times New Roman" w:cs="Times New Roman"/>
          <w:color w:val="000000"/>
          <w:sz w:val="24"/>
          <w:szCs w:val="24"/>
          <w:lang w:eastAsia="fr-FR"/>
        </w:rPr>
        <w:t>Alkhotani A et col(2014) en Arabie Saoudite ont trouvé 31.6% </w:t>
      </w:r>
      <w:r w:rsidR="00394A5D" w:rsidRPr="000A4A0F">
        <w:rPr>
          <w:rFonts w:ascii="Times New Roman" w:eastAsia="Times New Roman" w:hAnsi="Times New Roman" w:cs="Times New Roman"/>
          <w:color w:val="000000"/>
          <w:sz w:val="24"/>
          <w:szCs w:val="24"/>
          <w:lang w:eastAsia="fr-FR"/>
        </w:rPr>
        <w:t>; Shah</w:t>
      </w:r>
      <w:r w:rsidR="00E4278C" w:rsidRPr="000A4A0F">
        <w:rPr>
          <w:rFonts w:ascii="Times New Roman" w:eastAsia="Times New Roman" w:hAnsi="Times New Roman" w:cs="Times New Roman"/>
          <w:color w:val="000000"/>
          <w:sz w:val="24"/>
          <w:szCs w:val="24"/>
          <w:lang w:eastAsia="fr-FR"/>
        </w:rPr>
        <w:t xml:space="preserve"> A et </w:t>
      </w:r>
      <w:r w:rsidR="00394A5D" w:rsidRPr="000A4A0F">
        <w:rPr>
          <w:rFonts w:ascii="Times New Roman" w:eastAsia="Times New Roman" w:hAnsi="Times New Roman" w:cs="Times New Roman"/>
          <w:color w:val="000000"/>
          <w:sz w:val="24"/>
          <w:szCs w:val="24"/>
          <w:lang w:eastAsia="fr-FR"/>
        </w:rPr>
        <w:t xml:space="preserve">col, </w:t>
      </w:r>
      <w:proofErr w:type="spellStart"/>
      <w:r w:rsidR="00394A5D" w:rsidRPr="000A4A0F">
        <w:rPr>
          <w:rFonts w:ascii="Times New Roman" w:eastAsia="Times New Roman" w:hAnsi="Times New Roman" w:cs="Times New Roman"/>
          <w:color w:val="000000"/>
          <w:sz w:val="24"/>
          <w:szCs w:val="24"/>
          <w:lang w:eastAsia="fr-FR"/>
        </w:rPr>
        <w:t>Henny</w:t>
      </w:r>
      <w:r w:rsidR="00E4278C" w:rsidRPr="000A4A0F">
        <w:rPr>
          <w:rFonts w:ascii="Times New Roman" w:eastAsia="Times New Roman" w:hAnsi="Times New Roman" w:cs="Times New Roman"/>
          <w:color w:val="000000"/>
          <w:sz w:val="24"/>
          <w:szCs w:val="24"/>
          <w:lang w:eastAsia="fr-FR"/>
        </w:rPr>
        <w:t>-harry</w:t>
      </w:r>
      <w:proofErr w:type="spellEnd"/>
      <w:r w:rsidR="00E4278C" w:rsidRPr="000A4A0F">
        <w:rPr>
          <w:rFonts w:ascii="Times New Roman" w:eastAsia="Times New Roman" w:hAnsi="Times New Roman" w:cs="Times New Roman"/>
          <w:color w:val="000000"/>
          <w:sz w:val="24"/>
          <w:szCs w:val="24"/>
          <w:lang w:eastAsia="fr-FR"/>
        </w:rPr>
        <w:t xml:space="preserve"> et col en Inde ont </w:t>
      </w:r>
      <w:r w:rsidR="00C20A2F" w:rsidRPr="000A4A0F">
        <w:rPr>
          <w:rFonts w:ascii="Times New Roman" w:eastAsia="Times New Roman" w:hAnsi="Times New Roman" w:cs="Times New Roman"/>
          <w:color w:val="000000"/>
          <w:sz w:val="24"/>
          <w:szCs w:val="24"/>
          <w:lang w:eastAsia="fr-FR"/>
        </w:rPr>
        <w:t>trouvé</w:t>
      </w:r>
      <w:r w:rsidR="00E4278C" w:rsidRPr="000A4A0F">
        <w:rPr>
          <w:rFonts w:ascii="Times New Roman" w:eastAsia="Times New Roman" w:hAnsi="Times New Roman" w:cs="Times New Roman"/>
          <w:color w:val="000000"/>
          <w:sz w:val="24"/>
          <w:szCs w:val="24"/>
          <w:lang w:eastAsia="fr-FR"/>
        </w:rPr>
        <w:t xml:space="preserve"> successivement 15% et 35%.</w:t>
      </w:r>
    </w:p>
    <w:p w14:paraId="44C31011" w14:textId="77777777" w:rsidR="00100EAA" w:rsidRPr="000A4A0F" w:rsidRDefault="00100EA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La prévalence du déficit en G6PD chez le nouveau-né ictérique dans notre </w:t>
      </w:r>
      <w:r w:rsidR="00B97C04" w:rsidRPr="000A4A0F">
        <w:rPr>
          <w:rFonts w:ascii="Times New Roman" w:eastAsia="Times New Roman" w:hAnsi="Times New Roman" w:cs="Times New Roman"/>
          <w:color w:val="000000"/>
          <w:sz w:val="24"/>
          <w:szCs w:val="24"/>
          <w:lang w:eastAsia="fr-FR"/>
        </w:rPr>
        <w:t>étude</w:t>
      </w:r>
      <w:r w:rsidRPr="000A4A0F">
        <w:rPr>
          <w:rFonts w:ascii="Times New Roman" w:eastAsia="Times New Roman" w:hAnsi="Times New Roman" w:cs="Times New Roman"/>
          <w:color w:val="000000"/>
          <w:sz w:val="24"/>
          <w:szCs w:val="24"/>
          <w:lang w:eastAsia="fr-FR"/>
        </w:rPr>
        <w:t xml:space="preserve"> est de 11.9%.</w:t>
      </w:r>
    </w:p>
    <w:p w14:paraId="0A4C25FC" w14:textId="186C550C" w:rsidR="00154DD5" w:rsidRPr="000A4A0F" w:rsidRDefault="00100EA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roofErr w:type="spellStart"/>
      <w:r w:rsidRPr="000A4A0F">
        <w:rPr>
          <w:rFonts w:ascii="Times New Roman" w:eastAsia="Times New Roman" w:hAnsi="Times New Roman" w:cs="Times New Roman"/>
          <w:color w:val="000000"/>
          <w:sz w:val="24"/>
          <w:szCs w:val="24"/>
          <w:lang w:eastAsia="fr-FR"/>
        </w:rPr>
        <w:t>Mutombo</w:t>
      </w:r>
      <w:proofErr w:type="spellEnd"/>
      <w:r w:rsidRPr="000A4A0F">
        <w:rPr>
          <w:rFonts w:ascii="Times New Roman" w:eastAsia="Times New Roman" w:hAnsi="Times New Roman" w:cs="Times New Roman"/>
          <w:color w:val="000000"/>
          <w:sz w:val="24"/>
          <w:szCs w:val="24"/>
          <w:lang w:eastAsia="fr-FR"/>
        </w:rPr>
        <w:t xml:space="preserve"> et coll en RD</w:t>
      </w:r>
      <w:r w:rsidR="00B97C04" w:rsidRPr="000A4A0F">
        <w:rPr>
          <w:rFonts w:ascii="Times New Roman" w:eastAsia="Times New Roman" w:hAnsi="Times New Roman" w:cs="Times New Roman"/>
          <w:color w:val="000000"/>
          <w:sz w:val="24"/>
          <w:szCs w:val="24"/>
          <w:lang w:eastAsia="fr-FR"/>
        </w:rPr>
        <w:t xml:space="preserve"> Congo, ont</w:t>
      </w:r>
      <w:r w:rsidRPr="000A4A0F">
        <w:rPr>
          <w:rFonts w:ascii="Times New Roman" w:eastAsia="Times New Roman" w:hAnsi="Times New Roman" w:cs="Times New Roman"/>
          <w:color w:val="000000"/>
          <w:sz w:val="24"/>
          <w:szCs w:val="24"/>
          <w:lang w:eastAsia="fr-FR"/>
        </w:rPr>
        <w:t xml:space="preserve"> </w:t>
      </w:r>
      <w:r w:rsidR="00B97C04" w:rsidRPr="000A4A0F">
        <w:rPr>
          <w:rFonts w:ascii="Times New Roman" w:eastAsia="Times New Roman" w:hAnsi="Times New Roman" w:cs="Times New Roman"/>
          <w:color w:val="000000"/>
          <w:sz w:val="24"/>
          <w:szCs w:val="24"/>
          <w:lang w:eastAsia="fr-FR"/>
        </w:rPr>
        <w:t>trouvé</w:t>
      </w:r>
      <w:r w:rsidRPr="000A4A0F">
        <w:rPr>
          <w:rFonts w:ascii="Times New Roman" w:eastAsia="Times New Roman" w:hAnsi="Times New Roman" w:cs="Times New Roman"/>
          <w:color w:val="000000"/>
          <w:sz w:val="24"/>
          <w:szCs w:val="24"/>
          <w:lang w:eastAsia="fr-FR"/>
        </w:rPr>
        <w:t xml:space="preserve"> une </w:t>
      </w:r>
      <w:r w:rsidR="00B97C04" w:rsidRPr="000A4A0F">
        <w:rPr>
          <w:rFonts w:ascii="Times New Roman" w:eastAsia="Times New Roman" w:hAnsi="Times New Roman" w:cs="Times New Roman"/>
          <w:color w:val="000000"/>
          <w:sz w:val="24"/>
          <w:szCs w:val="24"/>
          <w:lang w:eastAsia="fr-FR"/>
        </w:rPr>
        <w:t>prévalence</w:t>
      </w:r>
      <w:r w:rsidRPr="000A4A0F">
        <w:rPr>
          <w:rFonts w:ascii="Times New Roman" w:eastAsia="Times New Roman" w:hAnsi="Times New Roman" w:cs="Times New Roman"/>
          <w:color w:val="000000"/>
          <w:sz w:val="24"/>
          <w:szCs w:val="24"/>
          <w:lang w:eastAsia="fr-FR"/>
        </w:rPr>
        <w:t xml:space="preserve"> de 4.9% plus bas que dans notre </w:t>
      </w:r>
      <w:r w:rsidR="00B97C04" w:rsidRPr="000A4A0F">
        <w:rPr>
          <w:rFonts w:ascii="Times New Roman" w:eastAsia="Times New Roman" w:hAnsi="Times New Roman" w:cs="Times New Roman"/>
          <w:color w:val="000000"/>
          <w:sz w:val="24"/>
          <w:szCs w:val="24"/>
          <w:lang w:eastAsia="fr-FR"/>
        </w:rPr>
        <w:t>série</w:t>
      </w:r>
      <w:r w:rsidR="009A1D4B" w:rsidRPr="000A4A0F">
        <w:rPr>
          <w:rFonts w:ascii="Times New Roman" w:eastAsia="Times New Roman" w:hAnsi="Times New Roman" w:cs="Times New Roman"/>
          <w:color w:val="000000"/>
          <w:sz w:val="24"/>
          <w:szCs w:val="24"/>
          <w:lang w:eastAsia="fr-FR"/>
        </w:rPr>
        <w:t>.</w:t>
      </w:r>
      <w:r w:rsidR="00106BD7" w:rsidRPr="00106BD7">
        <w:rPr>
          <w:rFonts w:ascii="Times New Roman" w:eastAsia="Times New Roman" w:hAnsi="Times New Roman" w:cs="Times New Roman"/>
          <w:color w:val="FF0000"/>
          <w:sz w:val="24"/>
          <w:szCs w:val="24"/>
          <w:lang w:eastAsia="fr-FR"/>
        </w:rPr>
        <w:t xml:space="preserve"> (Référence)</w:t>
      </w:r>
    </w:p>
    <w:p w14:paraId="2659E4CD" w14:textId="507C10CF" w:rsidR="00ED369A" w:rsidRPr="000A4A0F" w:rsidRDefault="00100EA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Par cont</w:t>
      </w:r>
      <w:r w:rsidR="00B97C04" w:rsidRPr="000A4A0F">
        <w:rPr>
          <w:rFonts w:ascii="Times New Roman" w:eastAsia="Times New Roman" w:hAnsi="Times New Roman" w:cs="Times New Roman"/>
          <w:color w:val="000000"/>
          <w:sz w:val="24"/>
          <w:szCs w:val="24"/>
          <w:lang w:eastAsia="fr-FR"/>
        </w:rPr>
        <w:t xml:space="preserve">re </w:t>
      </w:r>
      <w:proofErr w:type="spellStart"/>
      <w:r w:rsidR="00B97C04" w:rsidRPr="000A4A0F">
        <w:rPr>
          <w:rFonts w:ascii="Times New Roman" w:eastAsia="Times New Roman" w:hAnsi="Times New Roman" w:cs="Times New Roman"/>
          <w:color w:val="000000"/>
          <w:sz w:val="24"/>
          <w:szCs w:val="24"/>
          <w:lang w:eastAsia="fr-FR"/>
        </w:rPr>
        <w:t>Diala</w:t>
      </w:r>
      <w:proofErr w:type="spellEnd"/>
      <w:r w:rsidR="00B97C04" w:rsidRPr="000A4A0F">
        <w:rPr>
          <w:rFonts w:ascii="Times New Roman" w:eastAsia="Times New Roman" w:hAnsi="Times New Roman" w:cs="Times New Roman"/>
          <w:color w:val="000000"/>
          <w:sz w:val="24"/>
          <w:szCs w:val="24"/>
          <w:lang w:eastAsia="fr-FR"/>
        </w:rPr>
        <w:t xml:space="preserve"> et al en 2018</w:t>
      </w:r>
      <w:r w:rsidR="00ED369A" w:rsidRPr="000A4A0F">
        <w:rPr>
          <w:rFonts w:ascii="Times New Roman" w:eastAsia="Times New Roman" w:hAnsi="Times New Roman" w:cs="Times New Roman"/>
          <w:color w:val="000000"/>
          <w:sz w:val="24"/>
          <w:szCs w:val="24"/>
          <w:lang w:eastAsia="fr-FR"/>
        </w:rPr>
        <w:t xml:space="preserve"> au Nigeria ont</w:t>
      </w:r>
      <w:r w:rsidRPr="000A4A0F">
        <w:rPr>
          <w:rFonts w:ascii="Times New Roman" w:eastAsia="Times New Roman" w:hAnsi="Times New Roman" w:cs="Times New Roman"/>
          <w:color w:val="000000"/>
          <w:sz w:val="24"/>
          <w:szCs w:val="24"/>
          <w:lang w:eastAsia="fr-FR"/>
        </w:rPr>
        <w:t xml:space="preserve"> trouvé de</w:t>
      </w:r>
      <w:r w:rsidR="00ED369A" w:rsidRPr="000A4A0F">
        <w:rPr>
          <w:rFonts w:ascii="Times New Roman" w:eastAsia="Times New Roman" w:hAnsi="Times New Roman" w:cs="Times New Roman"/>
          <w:color w:val="000000"/>
          <w:sz w:val="24"/>
          <w:szCs w:val="24"/>
          <w:lang w:eastAsia="fr-FR"/>
        </w:rPr>
        <w:t>s</w:t>
      </w:r>
      <w:r w:rsidRPr="000A4A0F">
        <w:rPr>
          <w:rFonts w:ascii="Times New Roman" w:eastAsia="Times New Roman" w:hAnsi="Times New Roman" w:cs="Times New Roman"/>
          <w:color w:val="000000"/>
          <w:sz w:val="24"/>
          <w:szCs w:val="24"/>
          <w:lang w:eastAsia="fr-FR"/>
        </w:rPr>
        <w:t xml:space="preserve"> résultats presque s</w:t>
      </w:r>
      <w:r w:rsidR="00B97C04" w:rsidRPr="000A4A0F">
        <w:rPr>
          <w:rFonts w:ascii="Times New Roman" w:eastAsia="Times New Roman" w:hAnsi="Times New Roman" w:cs="Times New Roman"/>
          <w:color w:val="000000"/>
          <w:sz w:val="24"/>
          <w:szCs w:val="24"/>
          <w:lang w:eastAsia="fr-FR"/>
        </w:rPr>
        <w:t>imilaire</w:t>
      </w:r>
      <w:r w:rsidR="00ED369A" w:rsidRPr="000A4A0F">
        <w:rPr>
          <w:rFonts w:ascii="Times New Roman" w:eastAsia="Times New Roman" w:hAnsi="Times New Roman" w:cs="Times New Roman"/>
          <w:color w:val="000000"/>
          <w:sz w:val="24"/>
          <w:szCs w:val="24"/>
          <w:lang w:eastAsia="fr-FR"/>
        </w:rPr>
        <w:t xml:space="preserve">s avec </w:t>
      </w:r>
      <w:r w:rsidR="00B97C04" w:rsidRPr="000A4A0F">
        <w:rPr>
          <w:rFonts w:ascii="Times New Roman" w:eastAsia="Times New Roman" w:hAnsi="Times New Roman" w:cs="Times New Roman"/>
          <w:color w:val="000000"/>
          <w:sz w:val="24"/>
          <w:szCs w:val="24"/>
          <w:lang w:eastAsia="fr-FR"/>
        </w:rPr>
        <w:t xml:space="preserve">une prévalence de </w:t>
      </w:r>
      <w:r w:rsidR="009A1D4B" w:rsidRPr="000A4A0F">
        <w:rPr>
          <w:rFonts w:ascii="Times New Roman" w:eastAsia="Times New Roman" w:hAnsi="Times New Roman" w:cs="Times New Roman"/>
          <w:color w:val="000000"/>
          <w:sz w:val="24"/>
          <w:szCs w:val="24"/>
          <w:lang w:eastAsia="fr-FR"/>
        </w:rPr>
        <w:t>15%</w:t>
      </w:r>
    </w:p>
    <w:p w14:paraId="61AB6569" w14:textId="77777777" w:rsidR="00631380" w:rsidRPr="000A4A0F" w:rsidRDefault="00631380"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Lake et al en 2019 en Ethiopie ;</w:t>
      </w:r>
      <w:proofErr w:type="spellStart"/>
      <w:r w:rsidRPr="000A4A0F">
        <w:rPr>
          <w:rFonts w:ascii="Times New Roman" w:eastAsia="Times New Roman" w:hAnsi="Times New Roman" w:cs="Times New Roman"/>
          <w:color w:val="000000"/>
          <w:sz w:val="24"/>
          <w:szCs w:val="24"/>
          <w:lang w:eastAsia="fr-FR"/>
        </w:rPr>
        <w:t>Kassa</w:t>
      </w:r>
      <w:proofErr w:type="spellEnd"/>
      <w:r w:rsidRPr="000A4A0F">
        <w:rPr>
          <w:rFonts w:ascii="Times New Roman" w:eastAsia="Times New Roman" w:hAnsi="Times New Roman" w:cs="Times New Roman"/>
          <w:color w:val="000000"/>
          <w:sz w:val="24"/>
          <w:szCs w:val="24"/>
          <w:lang w:eastAsia="fr-FR"/>
        </w:rPr>
        <w:t xml:space="preserve"> et al 2018 en Ethiopie,</w:t>
      </w:r>
      <w:r w:rsidR="00ED369A" w:rsidRPr="000A4A0F">
        <w:rPr>
          <w:rFonts w:ascii="Times New Roman" w:eastAsia="Times New Roman" w:hAnsi="Times New Roman" w:cs="Times New Roman"/>
          <w:color w:val="000000"/>
          <w:sz w:val="24"/>
          <w:szCs w:val="24"/>
          <w:lang w:eastAsia="fr-FR"/>
        </w:rPr>
        <w:t xml:space="preserve"> </w:t>
      </w:r>
      <w:proofErr w:type="spellStart"/>
      <w:r w:rsidRPr="000A4A0F">
        <w:rPr>
          <w:rFonts w:ascii="Times New Roman" w:eastAsia="Times New Roman" w:hAnsi="Times New Roman" w:cs="Times New Roman"/>
          <w:color w:val="000000"/>
          <w:sz w:val="24"/>
          <w:szCs w:val="24"/>
          <w:lang w:eastAsia="fr-FR"/>
        </w:rPr>
        <w:t>Onyearugha</w:t>
      </w:r>
      <w:proofErr w:type="spellEnd"/>
      <w:r w:rsidRPr="000A4A0F">
        <w:rPr>
          <w:rFonts w:ascii="Times New Roman" w:eastAsia="Times New Roman" w:hAnsi="Times New Roman" w:cs="Times New Roman"/>
          <w:color w:val="000000"/>
          <w:sz w:val="24"/>
          <w:szCs w:val="24"/>
          <w:lang w:eastAsia="fr-FR"/>
        </w:rPr>
        <w:t xml:space="preserve"> et al en 2011 au Nigeria,</w:t>
      </w:r>
      <w:r w:rsidR="00ED369A" w:rsidRPr="000A4A0F">
        <w:rPr>
          <w:rFonts w:ascii="Times New Roman" w:eastAsia="Times New Roman" w:hAnsi="Times New Roman" w:cs="Times New Roman"/>
          <w:color w:val="000000"/>
          <w:sz w:val="24"/>
          <w:szCs w:val="24"/>
          <w:lang w:eastAsia="fr-FR"/>
        </w:rPr>
        <w:t xml:space="preserve"> </w:t>
      </w:r>
      <w:proofErr w:type="spellStart"/>
      <w:r w:rsidRPr="000A4A0F">
        <w:rPr>
          <w:rFonts w:ascii="Times New Roman" w:eastAsia="Times New Roman" w:hAnsi="Times New Roman" w:cs="Times New Roman"/>
          <w:color w:val="000000"/>
          <w:sz w:val="24"/>
          <w:szCs w:val="24"/>
          <w:lang w:eastAsia="fr-FR"/>
        </w:rPr>
        <w:t>Osuorah</w:t>
      </w:r>
      <w:proofErr w:type="spellEnd"/>
      <w:r w:rsidRPr="000A4A0F">
        <w:rPr>
          <w:rFonts w:ascii="Times New Roman" w:eastAsia="Times New Roman" w:hAnsi="Times New Roman" w:cs="Times New Roman"/>
          <w:color w:val="000000"/>
          <w:sz w:val="24"/>
          <w:szCs w:val="24"/>
          <w:lang w:eastAsia="fr-FR"/>
        </w:rPr>
        <w:t xml:space="preserve"> et al en 2018 au </w:t>
      </w:r>
      <w:proofErr w:type="spellStart"/>
      <w:r w:rsidRPr="000A4A0F">
        <w:rPr>
          <w:rFonts w:ascii="Times New Roman" w:eastAsia="Times New Roman" w:hAnsi="Times New Roman" w:cs="Times New Roman"/>
          <w:color w:val="000000"/>
          <w:sz w:val="24"/>
          <w:szCs w:val="24"/>
          <w:lang w:eastAsia="fr-FR"/>
        </w:rPr>
        <w:t>Nigeria,Badejoko</w:t>
      </w:r>
      <w:proofErr w:type="spellEnd"/>
      <w:r w:rsidRPr="000A4A0F">
        <w:rPr>
          <w:rFonts w:ascii="Times New Roman" w:eastAsia="Times New Roman" w:hAnsi="Times New Roman" w:cs="Times New Roman"/>
          <w:color w:val="000000"/>
          <w:sz w:val="24"/>
          <w:szCs w:val="24"/>
          <w:lang w:eastAsia="fr-FR"/>
        </w:rPr>
        <w:t xml:space="preserve"> et al en 2014 a</w:t>
      </w:r>
      <w:r w:rsidR="00154DD5" w:rsidRPr="000A4A0F">
        <w:rPr>
          <w:rFonts w:ascii="Times New Roman" w:eastAsia="Times New Roman" w:hAnsi="Times New Roman" w:cs="Times New Roman"/>
          <w:color w:val="000000"/>
          <w:sz w:val="24"/>
          <w:szCs w:val="24"/>
          <w:lang w:eastAsia="fr-FR"/>
        </w:rPr>
        <w:t xml:space="preserve">u </w:t>
      </w:r>
      <w:proofErr w:type="spellStart"/>
      <w:r w:rsidR="00154DD5" w:rsidRPr="000A4A0F">
        <w:rPr>
          <w:rFonts w:ascii="Times New Roman" w:eastAsia="Times New Roman" w:hAnsi="Times New Roman" w:cs="Times New Roman"/>
          <w:color w:val="000000"/>
          <w:sz w:val="24"/>
          <w:szCs w:val="24"/>
          <w:lang w:eastAsia="fr-FR"/>
        </w:rPr>
        <w:t>Nigeria,Emokpae</w:t>
      </w:r>
      <w:proofErr w:type="spellEnd"/>
      <w:r w:rsidR="00154DD5" w:rsidRPr="000A4A0F">
        <w:rPr>
          <w:rFonts w:ascii="Times New Roman" w:eastAsia="Times New Roman" w:hAnsi="Times New Roman" w:cs="Times New Roman"/>
          <w:color w:val="000000"/>
          <w:sz w:val="24"/>
          <w:szCs w:val="24"/>
          <w:lang w:eastAsia="fr-FR"/>
        </w:rPr>
        <w:t xml:space="preserve"> et al en 2018 </w:t>
      </w:r>
      <w:r w:rsidRPr="000A4A0F">
        <w:rPr>
          <w:rFonts w:ascii="Times New Roman" w:eastAsia="Times New Roman" w:hAnsi="Times New Roman" w:cs="Times New Roman"/>
          <w:color w:val="000000"/>
          <w:sz w:val="24"/>
          <w:szCs w:val="24"/>
          <w:lang w:eastAsia="fr-FR"/>
        </w:rPr>
        <w:t xml:space="preserve">au </w:t>
      </w:r>
      <w:proofErr w:type="spellStart"/>
      <w:r w:rsidRPr="000A4A0F">
        <w:rPr>
          <w:rFonts w:ascii="Times New Roman" w:eastAsia="Times New Roman" w:hAnsi="Times New Roman" w:cs="Times New Roman"/>
          <w:color w:val="000000"/>
          <w:sz w:val="24"/>
          <w:szCs w:val="24"/>
          <w:lang w:eastAsia="fr-FR"/>
        </w:rPr>
        <w:t>Nigeria,Wolf</w:t>
      </w:r>
      <w:proofErr w:type="spellEnd"/>
      <w:r w:rsidRPr="000A4A0F">
        <w:rPr>
          <w:rFonts w:ascii="Times New Roman" w:eastAsia="Times New Roman" w:hAnsi="Times New Roman" w:cs="Times New Roman"/>
          <w:color w:val="000000"/>
          <w:sz w:val="24"/>
          <w:szCs w:val="24"/>
          <w:lang w:eastAsia="fr-FR"/>
        </w:rPr>
        <w:t xml:space="preserve"> et al en 19</w:t>
      </w:r>
      <w:r w:rsidR="00154DD5" w:rsidRPr="000A4A0F">
        <w:rPr>
          <w:rFonts w:ascii="Times New Roman" w:eastAsia="Times New Roman" w:hAnsi="Times New Roman" w:cs="Times New Roman"/>
          <w:color w:val="000000"/>
          <w:sz w:val="24"/>
          <w:szCs w:val="24"/>
          <w:lang w:eastAsia="fr-FR"/>
        </w:rPr>
        <w:t>97 au Zimbabwe</w:t>
      </w:r>
      <w:r w:rsidRPr="000A4A0F">
        <w:rPr>
          <w:rFonts w:ascii="Times New Roman" w:eastAsia="Times New Roman" w:hAnsi="Times New Roman" w:cs="Times New Roman"/>
          <w:color w:val="000000"/>
          <w:sz w:val="24"/>
          <w:szCs w:val="24"/>
          <w:lang w:eastAsia="fr-FR"/>
        </w:rPr>
        <w:t xml:space="preserve"> ont </w:t>
      </w:r>
      <w:r w:rsidR="00154DD5" w:rsidRPr="000A4A0F">
        <w:rPr>
          <w:rFonts w:ascii="Times New Roman" w:eastAsia="Times New Roman" w:hAnsi="Times New Roman" w:cs="Times New Roman"/>
          <w:color w:val="000000"/>
          <w:sz w:val="24"/>
          <w:szCs w:val="24"/>
          <w:lang w:eastAsia="fr-FR"/>
        </w:rPr>
        <w:t>trouvé</w:t>
      </w:r>
      <w:r w:rsidR="00ED369A" w:rsidRPr="000A4A0F">
        <w:rPr>
          <w:rFonts w:ascii="Times New Roman" w:eastAsia="Times New Roman" w:hAnsi="Times New Roman" w:cs="Times New Roman"/>
          <w:color w:val="000000"/>
          <w:sz w:val="24"/>
          <w:szCs w:val="24"/>
          <w:lang w:eastAsia="fr-FR"/>
        </w:rPr>
        <w:t xml:space="preserve"> successivement </w:t>
      </w:r>
      <w:r w:rsidR="00154DD5" w:rsidRPr="000A4A0F">
        <w:rPr>
          <w:rFonts w:ascii="Times New Roman" w:eastAsia="Times New Roman" w:hAnsi="Times New Roman" w:cs="Times New Roman"/>
          <w:color w:val="000000"/>
          <w:sz w:val="24"/>
          <w:szCs w:val="24"/>
          <w:lang w:eastAsia="fr-FR"/>
        </w:rPr>
        <w:t>37.3%,</w:t>
      </w:r>
      <w:r w:rsidR="00ED369A" w:rsidRPr="000A4A0F">
        <w:rPr>
          <w:rFonts w:ascii="Times New Roman" w:eastAsia="Times New Roman" w:hAnsi="Times New Roman" w:cs="Times New Roman"/>
          <w:color w:val="000000"/>
          <w:sz w:val="24"/>
          <w:szCs w:val="24"/>
          <w:lang w:eastAsia="fr-FR"/>
        </w:rPr>
        <w:t xml:space="preserve"> </w:t>
      </w:r>
      <w:r w:rsidR="00154DD5" w:rsidRPr="000A4A0F">
        <w:rPr>
          <w:rFonts w:ascii="Times New Roman" w:eastAsia="Times New Roman" w:hAnsi="Times New Roman" w:cs="Times New Roman"/>
          <w:color w:val="000000"/>
          <w:sz w:val="24"/>
          <w:szCs w:val="24"/>
          <w:lang w:eastAsia="fr-FR"/>
        </w:rPr>
        <w:t>44.9%,</w:t>
      </w:r>
      <w:r w:rsidR="00ED369A" w:rsidRPr="000A4A0F">
        <w:rPr>
          <w:rFonts w:ascii="Times New Roman" w:eastAsia="Times New Roman" w:hAnsi="Times New Roman" w:cs="Times New Roman"/>
          <w:color w:val="000000"/>
          <w:sz w:val="24"/>
          <w:szCs w:val="24"/>
          <w:lang w:eastAsia="fr-FR"/>
        </w:rPr>
        <w:t xml:space="preserve"> </w:t>
      </w:r>
      <w:r w:rsidR="00154DD5" w:rsidRPr="000A4A0F">
        <w:rPr>
          <w:rFonts w:ascii="Times New Roman" w:eastAsia="Times New Roman" w:hAnsi="Times New Roman" w:cs="Times New Roman"/>
          <w:color w:val="000000"/>
          <w:sz w:val="24"/>
          <w:szCs w:val="24"/>
          <w:lang w:eastAsia="fr-FR"/>
        </w:rPr>
        <w:t>35%,</w:t>
      </w:r>
      <w:r w:rsidR="00ED369A" w:rsidRPr="000A4A0F">
        <w:rPr>
          <w:rFonts w:ascii="Times New Roman" w:eastAsia="Times New Roman" w:hAnsi="Times New Roman" w:cs="Times New Roman"/>
          <w:color w:val="000000"/>
          <w:sz w:val="24"/>
          <w:szCs w:val="24"/>
          <w:lang w:eastAsia="fr-FR"/>
        </w:rPr>
        <w:t xml:space="preserve"> 34.</w:t>
      </w:r>
      <w:r w:rsidR="00154DD5" w:rsidRPr="000A4A0F">
        <w:rPr>
          <w:rFonts w:ascii="Times New Roman" w:eastAsia="Times New Roman" w:hAnsi="Times New Roman" w:cs="Times New Roman"/>
          <w:color w:val="000000"/>
          <w:sz w:val="24"/>
          <w:szCs w:val="24"/>
          <w:lang w:eastAsia="fr-FR"/>
        </w:rPr>
        <w:t>1%,</w:t>
      </w:r>
      <w:r w:rsidR="00ED369A" w:rsidRPr="000A4A0F">
        <w:rPr>
          <w:rFonts w:ascii="Times New Roman" w:eastAsia="Times New Roman" w:hAnsi="Times New Roman" w:cs="Times New Roman"/>
          <w:color w:val="000000"/>
          <w:sz w:val="24"/>
          <w:szCs w:val="24"/>
          <w:lang w:eastAsia="fr-FR"/>
        </w:rPr>
        <w:t xml:space="preserve"> </w:t>
      </w:r>
      <w:r w:rsidR="00154DD5" w:rsidRPr="000A4A0F">
        <w:rPr>
          <w:rFonts w:ascii="Times New Roman" w:eastAsia="Times New Roman" w:hAnsi="Times New Roman" w:cs="Times New Roman"/>
          <w:color w:val="000000"/>
          <w:sz w:val="24"/>
          <w:szCs w:val="24"/>
          <w:lang w:eastAsia="fr-FR"/>
        </w:rPr>
        <w:t>20%,</w:t>
      </w:r>
      <w:r w:rsidR="00ED369A" w:rsidRPr="000A4A0F">
        <w:rPr>
          <w:rFonts w:ascii="Times New Roman" w:eastAsia="Times New Roman" w:hAnsi="Times New Roman" w:cs="Times New Roman"/>
          <w:color w:val="000000"/>
          <w:sz w:val="24"/>
          <w:szCs w:val="24"/>
          <w:lang w:eastAsia="fr-FR"/>
        </w:rPr>
        <w:t xml:space="preserve"> 22.</w:t>
      </w:r>
      <w:r w:rsidR="00154DD5" w:rsidRPr="000A4A0F">
        <w:rPr>
          <w:rFonts w:ascii="Times New Roman" w:eastAsia="Times New Roman" w:hAnsi="Times New Roman" w:cs="Times New Roman"/>
          <w:color w:val="000000"/>
          <w:sz w:val="24"/>
          <w:szCs w:val="24"/>
          <w:lang w:eastAsia="fr-FR"/>
        </w:rPr>
        <w:t>1%,</w:t>
      </w:r>
      <w:r w:rsidR="00ED369A" w:rsidRPr="000A4A0F">
        <w:rPr>
          <w:rFonts w:ascii="Times New Roman" w:eastAsia="Times New Roman" w:hAnsi="Times New Roman" w:cs="Times New Roman"/>
          <w:color w:val="000000"/>
          <w:sz w:val="24"/>
          <w:szCs w:val="24"/>
          <w:lang w:eastAsia="fr-FR"/>
        </w:rPr>
        <w:t xml:space="preserve"> 25%.</w:t>
      </w:r>
    </w:p>
    <w:p w14:paraId="6955E63A" w14:textId="77777777" w:rsidR="00B871C5" w:rsidRPr="000A4A0F" w:rsidRDefault="00B871C5"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1F6E1C49" w14:textId="34E294BF" w:rsidR="00B871C5" w:rsidRPr="000A4A0F" w:rsidRDefault="00ED369A"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eastAsia="Times New Roman" w:hAnsi="Times New Roman" w:cs="Times New Roman"/>
          <w:b/>
          <w:color w:val="000000"/>
          <w:sz w:val="24"/>
          <w:szCs w:val="24"/>
          <w:lang w:eastAsia="fr-FR"/>
        </w:rPr>
        <w:t>ANEMIE </w:t>
      </w:r>
    </w:p>
    <w:p w14:paraId="4A53FB00" w14:textId="70814224" w:rsidR="00D931E8" w:rsidRPr="000A4A0F" w:rsidRDefault="007E7A98"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Dans notre série l’anémie a été retrouv</w:t>
      </w:r>
      <w:r w:rsidR="00ED369A" w:rsidRPr="000A4A0F">
        <w:rPr>
          <w:rFonts w:ascii="Times New Roman" w:eastAsia="Times New Roman" w:hAnsi="Times New Roman" w:cs="Times New Roman"/>
          <w:color w:val="000000"/>
          <w:sz w:val="24"/>
          <w:szCs w:val="24"/>
          <w:lang w:eastAsia="fr-FR"/>
        </w:rPr>
        <w:t>é</w:t>
      </w:r>
      <w:r w:rsidRPr="000A4A0F">
        <w:rPr>
          <w:rFonts w:ascii="Times New Roman" w:eastAsia="Times New Roman" w:hAnsi="Times New Roman" w:cs="Times New Roman"/>
          <w:color w:val="000000"/>
          <w:sz w:val="24"/>
          <w:szCs w:val="24"/>
          <w:lang w:eastAsia="fr-FR"/>
        </w:rPr>
        <w:t>e dans</w:t>
      </w:r>
      <w:r w:rsidRPr="000A4A0F">
        <w:rPr>
          <w:rFonts w:ascii="Times New Roman" w:eastAsia="Times New Roman" w:hAnsi="Times New Roman" w:cs="Times New Roman"/>
          <w:b/>
          <w:color w:val="000000"/>
          <w:sz w:val="24"/>
          <w:szCs w:val="24"/>
          <w:lang w:eastAsia="fr-FR"/>
        </w:rPr>
        <w:t xml:space="preserve"> </w:t>
      </w:r>
      <w:r w:rsidR="00B871C5" w:rsidRPr="000A4A0F">
        <w:rPr>
          <w:rFonts w:ascii="Times New Roman" w:eastAsia="Times New Roman" w:hAnsi="Times New Roman" w:cs="Times New Roman"/>
          <w:color w:val="000000"/>
          <w:sz w:val="24"/>
          <w:szCs w:val="24"/>
          <w:lang w:eastAsia="fr-FR"/>
        </w:rPr>
        <w:t>25</w:t>
      </w:r>
      <w:r w:rsidRPr="000A4A0F">
        <w:rPr>
          <w:rFonts w:ascii="Times New Roman" w:eastAsia="Times New Roman" w:hAnsi="Times New Roman" w:cs="Times New Roman"/>
          <w:color w:val="000000"/>
          <w:sz w:val="24"/>
          <w:szCs w:val="24"/>
          <w:lang w:eastAsia="fr-FR"/>
        </w:rPr>
        <w:t>% chez le nouveau-né</w:t>
      </w:r>
      <w:r w:rsidR="000A4630" w:rsidRPr="000A4A0F">
        <w:rPr>
          <w:rFonts w:ascii="Times New Roman" w:eastAsia="Times New Roman" w:hAnsi="Times New Roman" w:cs="Times New Roman"/>
          <w:color w:val="000000"/>
          <w:sz w:val="24"/>
          <w:szCs w:val="24"/>
          <w:lang w:eastAsia="fr-FR"/>
        </w:rPr>
        <w:t>s</w:t>
      </w:r>
      <w:r w:rsidRPr="000A4A0F">
        <w:rPr>
          <w:rFonts w:ascii="Times New Roman" w:eastAsia="Times New Roman" w:hAnsi="Times New Roman" w:cs="Times New Roman"/>
          <w:color w:val="000000"/>
          <w:sz w:val="24"/>
          <w:szCs w:val="24"/>
          <w:lang w:eastAsia="fr-FR"/>
        </w:rPr>
        <w:t xml:space="preserve"> ictérique</w:t>
      </w:r>
      <w:r w:rsidR="000A4630" w:rsidRPr="000A4A0F">
        <w:rPr>
          <w:rFonts w:ascii="Times New Roman" w:eastAsia="Times New Roman" w:hAnsi="Times New Roman" w:cs="Times New Roman"/>
          <w:color w:val="000000"/>
          <w:sz w:val="24"/>
          <w:szCs w:val="24"/>
          <w:lang w:eastAsia="fr-FR"/>
        </w:rPr>
        <w:t>s</w:t>
      </w:r>
      <w:r w:rsidRPr="000A4A0F">
        <w:rPr>
          <w:rFonts w:ascii="Times New Roman" w:eastAsia="Times New Roman" w:hAnsi="Times New Roman" w:cs="Times New Roman"/>
          <w:color w:val="000000"/>
          <w:sz w:val="24"/>
          <w:szCs w:val="24"/>
          <w:lang w:eastAsia="fr-FR"/>
        </w:rPr>
        <w:t xml:space="preserve"> et ayant nécessité d’une transfusion.</w:t>
      </w:r>
    </w:p>
    <w:p w14:paraId="6E83BB28" w14:textId="0B04C083" w:rsidR="00B871C5" w:rsidRPr="000A4A0F" w:rsidRDefault="00B871C5"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Les Facteurs associés à l’anémie chez les nouveau-nés ictériques  sont la prématurité [</w:t>
      </w:r>
      <w:proofErr w:type="spellStart"/>
      <w:r w:rsidRPr="000A4A0F">
        <w:rPr>
          <w:rFonts w:ascii="Times New Roman" w:eastAsia="Times New Roman" w:hAnsi="Times New Roman" w:cs="Times New Roman"/>
          <w:color w:val="000000"/>
          <w:sz w:val="24"/>
          <w:szCs w:val="24"/>
          <w:lang w:eastAsia="fr-FR"/>
        </w:rPr>
        <w:t>ORa</w:t>
      </w:r>
      <w:proofErr w:type="spellEnd"/>
      <w:r w:rsidRPr="000A4A0F">
        <w:rPr>
          <w:rFonts w:ascii="Times New Roman" w:eastAsia="Times New Roman" w:hAnsi="Times New Roman" w:cs="Times New Roman"/>
          <w:color w:val="000000"/>
          <w:sz w:val="24"/>
          <w:szCs w:val="24"/>
          <w:lang w:eastAsia="fr-FR"/>
        </w:rPr>
        <w:t xml:space="preserve"> (IC : </w:t>
      </w:r>
      <w:r w:rsidRPr="00106BD7">
        <w:rPr>
          <w:rFonts w:ascii="Times New Roman" w:eastAsia="Times New Roman" w:hAnsi="Times New Roman" w:cs="Times New Roman"/>
          <w:color w:val="000000"/>
          <w:sz w:val="24"/>
          <w:szCs w:val="24"/>
          <w:highlight w:val="yellow"/>
          <w:lang w:eastAsia="fr-FR"/>
        </w:rPr>
        <w:t>95%), p=12,18(1,06-139,7), p=0.045], l’incompatibilité ABO [</w:t>
      </w:r>
      <w:proofErr w:type="spellStart"/>
      <w:r w:rsidRPr="00106BD7">
        <w:rPr>
          <w:rFonts w:ascii="Times New Roman" w:eastAsia="Times New Roman" w:hAnsi="Times New Roman" w:cs="Times New Roman"/>
          <w:color w:val="000000"/>
          <w:sz w:val="24"/>
          <w:szCs w:val="24"/>
          <w:highlight w:val="yellow"/>
          <w:lang w:eastAsia="fr-FR"/>
        </w:rPr>
        <w:t>ORa</w:t>
      </w:r>
      <w:proofErr w:type="spellEnd"/>
      <w:r w:rsidRPr="00106BD7">
        <w:rPr>
          <w:rFonts w:ascii="Times New Roman" w:eastAsia="Times New Roman" w:hAnsi="Times New Roman" w:cs="Times New Roman"/>
          <w:color w:val="000000"/>
          <w:sz w:val="24"/>
          <w:szCs w:val="24"/>
          <w:highlight w:val="yellow"/>
          <w:lang w:eastAsia="fr-FR"/>
        </w:rPr>
        <w:t xml:space="preserve"> (IC : 95%), p=11.58 (2.66-50.32), p=0.001] ; </w:t>
      </w:r>
      <w:r w:rsidR="0014366E" w:rsidRPr="00106BD7">
        <w:rPr>
          <w:rFonts w:ascii="Times New Roman" w:eastAsia="Times New Roman" w:hAnsi="Times New Roman" w:cs="Times New Roman"/>
          <w:color w:val="000000"/>
          <w:sz w:val="24"/>
          <w:szCs w:val="24"/>
          <w:highlight w:val="yellow"/>
          <w:lang w:eastAsia="fr-FR"/>
        </w:rPr>
        <w:t>Hyper bilirubinémie</w:t>
      </w:r>
      <w:r w:rsidRPr="00106BD7">
        <w:rPr>
          <w:rFonts w:ascii="Times New Roman" w:eastAsia="Times New Roman" w:hAnsi="Times New Roman" w:cs="Times New Roman"/>
          <w:color w:val="000000"/>
          <w:sz w:val="24"/>
          <w:szCs w:val="24"/>
          <w:highlight w:val="yellow"/>
          <w:lang w:eastAsia="fr-FR"/>
        </w:rPr>
        <w:t xml:space="preserve"> (&gt;20mg/dl) [</w:t>
      </w:r>
      <w:proofErr w:type="spellStart"/>
      <w:r w:rsidRPr="00106BD7">
        <w:rPr>
          <w:rFonts w:ascii="Times New Roman" w:eastAsia="Times New Roman" w:hAnsi="Times New Roman" w:cs="Times New Roman"/>
          <w:color w:val="000000"/>
          <w:sz w:val="24"/>
          <w:szCs w:val="24"/>
          <w:highlight w:val="yellow"/>
          <w:lang w:eastAsia="fr-FR"/>
        </w:rPr>
        <w:t>ORa</w:t>
      </w:r>
      <w:proofErr w:type="spellEnd"/>
      <w:r w:rsidRPr="00106BD7">
        <w:rPr>
          <w:rFonts w:ascii="Times New Roman" w:eastAsia="Times New Roman" w:hAnsi="Times New Roman" w:cs="Times New Roman"/>
          <w:color w:val="000000"/>
          <w:sz w:val="24"/>
          <w:szCs w:val="24"/>
          <w:highlight w:val="yellow"/>
          <w:lang w:eastAsia="fr-FR"/>
        </w:rPr>
        <w:t xml:space="preserve"> (IC : 95%), p=6.95 (1.39-34,63), p=0.</w:t>
      </w:r>
      <w:commentRangeStart w:id="69"/>
      <w:r w:rsidRPr="00106BD7">
        <w:rPr>
          <w:rFonts w:ascii="Times New Roman" w:eastAsia="Times New Roman" w:hAnsi="Times New Roman" w:cs="Times New Roman"/>
          <w:color w:val="000000"/>
          <w:sz w:val="24"/>
          <w:szCs w:val="24"/>
          <w:highlight w:val="yellow"/>
          <w:lang w:eastAsia="fr-FR"/>
        </w:rPr>
        <w:t>018</w:t>
      </w:r>
      <w:commentRangeEnd w:id="69"/>
      <w:r w:rsidR="00106BD7">
        <w:rPr>
          <w:rStyle w:val="Marquedecommentaire"/>
        </w:rPr>
        <w:commentReference w:id="69"/>
      </w:r>
      <w:r w:rsidRPr="00106BD7">
        <w:rPr>
          <w:rFonts w:ascii="Times New Roman" w:eastAsia="Times New Roman" w:hAnsi="Times New Roman" w:cs="Times New Roman"/>
          <w:color w:val="000000"/>
          <w:sz w:val="24"/>
          <w:szCs w:val="24"/>
          <w:highlight w:val="yellow"/>
          <w:lang w:eastAsia="fr-FR"/>
        </w:rPr>
        <w:t>].</w:t>
      </w:r>
    </w:p>
    <w:p w14:paraId="65EFB967" w14:textId="77777777" w:rsidR="007952B1" w:rsidRPr="000A4A0F" w:rsidRDefault="007952B1"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3198C179" w14:textId="77777777" w:rsidR="00297BF8" w:rsidRPr="000A4A0F" w:rsidRDefault="00B871C5"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L’Anémie va s’expliquer chez </w:t>
      </w:r>
      <w:r w:rsidR="00297BF8" w:rsidRPr="000A4A0F">
        <w:rPr>
          <w:rFonts w:ascii="Times New Roman" w:eastAsia="Times New Roman" w:hAnsi="Times New Roman" w:cs="Times New Roman"/>
          <w:color w:val="000000"/>
          <w:sz w:val="24"/>
          <w:szCs w:val="24"/>
          <w:lang w:eastAsia="fr-FR"/>
        </w:rPr>
        <w:t>les prématurés</w:t>
      </w:r>
      <w:r w:rsidRPr="000A4A0F">
        <w:rPr>
          <w:rFonts w:ascii="Times New Roman" w:eastAsia="Times New Roman" w:hAnsi="Times New Roman" w:cs="Times New Roman"/>
          <w:color w:val="000000"/>
          <w:sz w:val="24"/>
          <w:szCs w:val="24"/>
          <w:lang w:eastAsia="fr-FR"/>
        </w:rPr>
        <w:t xml:space="preserve"> au </w:t>
      </w:r>
      <w:r w:rsidR="00297BF8" w:rsidRPr="000A4A0F">
        <w:rPr>
          <w:rFonts w:ascii="Times New Roman" w:eastAsia="Times New Roman" w:hAnsi="Times New Roman" w:cs="Times New Roman"/>
          <w:color w:val="000000"/>
          <w:sz w:val="24"/>
          <w:szCs w:val="24"/>
          <w:lang w:eastAsia="fr-FR"/>
        </w:rPr>
        <w:t>départ</w:t>
      </w:r>
      <w:r w:rsidRPr="000A4A0F">
        <w:rPr>
          <w:rFonts w:ascii="Times New Roman" w:eastAsia="Times New Roman" w:hAnsi="Times New Roman" w:cs="Times New Roman"/>
          <w:color w:val="000000"/>
          <w:sz w:val="24"/>
          <w:szCs w:val="24"/>
          <w:lang w:eastAsia="fr-FR"/>
        </w:rPr>
        <w:t xml:space="preserve"> par une </w:t>
      </w:r>
      <w:r w:rsidR="00297BF8" w:rsidRPr="000A4A0F">
        <w:rPr>
          <w:rFonts w:ascii="Times New Roman" w:eastAsia="Times New Roman" w:hAnsi="Times New Roman" w:cs="Times New Roman"/>
          <w:color w:val="000000"/>
          <w:sz w:val="24"/>
          <w:szCs w:val="24"/>
          <w:lang w:eastAsia="fr-FR"/>
        </w:rPr>
        <w:t>hyper hémolyse</w:t>
      </w:r>
      <w:r w:rsidRPr="000A4A0F">
        <w:rPr>
          <w:rFonts w:ascii="Times New Roman" w:eastAsia="Times New Roman" w:hAnsi="Times New Roman" w:cs="Times New Roman"/>
          <w:color w:val="000000"/>
          <w:sz w:val="24"/>
          <w:szCs w:val="24"/>
          <w:lang w:eastAsia="fr-FR"/>
        </w:rPr>
        <w:t xml:space="preserve"> physiologique par passage à la vie extra </w:t>
      </w:r>
      <w:r w:rsidR="00297BF8" w:rsidRPr="000A4A0F">
        <w:rPr>
          <w:rFonts w:ascii="Times New Roman" w:eastAsia="Times New Roman" w:hAnsi="Times New Roman" w:cs="Times New Roman"/>
          <w:color w:val="000000"/>
          <w:sz w:val="24"/>
          <w:szCs w:val="24"/>
          <w:lang w:eastAsia="fr-FR"/>
        </w:rPr>
        <w:t>utérine</w:t>
      </w:r>
      <w:r w:rsidRPr="000A4A0F">
        <w:rPr>
          <w:rFonts w:ascii="Times New Roman" w:eastAsia="Times New Roman" w:hAnsi="Times New Roman" w:cs="Times New Roman"/>
          <w:color w:val="000000"/>
          <w:sz w:val="24"/>
          <w:szCs w:val="24"/>
          <w:lang w:eastAsia="fr-FR"/>
        </w:rPr>
        <w:t xml:space="preserve"> mais également par une </w:t>
      </w:r>
      <w:r w:rsidR="00297BF8" w:rsidRPr="000A4A0F">
        <w:rPr>
          <w:rFonts w:ascii="Times New Roman" w:eastAsia="Times New Roman" w:hAnsi="Times New Roman" w:cs="Times New Roman"/>
          <w:color w:val="000000"/>
          <w:sz w:val="24"/>
          <w:szCs w:val="24"/>
          <w:lang w:eastAsia="fr-FR"/>
        </w:rPr>
        <w:t>durée</w:t>
      </w:r>
      <w:r w:rsidRPr="000A4A0F">
        <w:rPr>
          <w:rFonts w:ascii="Times New Roman" w:eastAsia="Times New Roman" w:hAnsi="Times New Roman" w:cs="Times New Roman"/>
          <w:color w:val="000000"/>
          <w:sz w:val="24"/>
          <w:szCs w:val="24"/>
          <w:lang w:eastAsia="fr-FR"/>
        </w:rPr>
        <w:t xml:space="preserve"> de vie de GR qui est courte</w:t>
      </w:r>
      <w:r w:rsidR="00297BF8" w:rsidRPr="000A4A0F">
        <w:rPr>
          <w:rFonts w:ascii="Times New Roman" w:eastAsia="Times New Roman" w:hAnsi="Times New Roman" w:cs="Times New Roman"/>
          <w:color w:val="000000"/>
          <w:sz w:val="24"/>
          <w:szCs w:val="24"/>
          <w:lang w:eastAsia="fr-FR"/>
        </w:rPr>
        <w:t xml:space="preserve"> et enfin par des réserves insuffisantes et la régénération de GR au niveau de la moelle osseuse immature.</w:t>
      </w:r>
    </w:p>
    <w:p w14:paraId="0CC468A8" w14:textId="77777777" w:rsidR="007952B1" w:rsidRPr="000A4A0F" w:rsidRDefault="007952B1"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0F6E41E3" w14:textId="4C42FCC6" w:rsidR="00297BF8" w:rsidRPr="000A4A0F" w:rsidRDefault="00297BF8"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heme="minorHAnsi" w:hAnsi="Times New Roman" w:cs="Times New Roman"/>
          <w:color w:val="000000"/>
          <w:sz w:val="24"/>
          <w:szCs w:val="24"/>
        </w:rPr>
        <w:t xml:space="preserve">Durant la vie fœtale, la PaO2 normale est aux alentours de 30 </w:t>
      </w:r>
      <w:proofErr w:type="spellStart"/>
      <w:r w:rsidRPr="000A4A0F">
        <w:rPr>
          <w:rFonts w:ascii="Times New Roman" w:eastAsiaTheme="minorHAnsi" w:hAnsi="Times New Roman" w:cs="Times New Roman"/>
          <w:color w:val="000000"/>
          <w:sz w:val="24"/>
          <w:szCs w:val="24"/>
        </w:rPr>
        <w:t>mmHg</w:t>
      </w:r>
      <w:proofErr w:type="spellEnd"/>
      <w:r w:rsidRPr="000A4A0F">
        <w:rPr>
          <w:rFonts w:ascii="Times New Roman" w:eastAsiaTheme="minorHAnsi" w:hAnsi="Times New Roman" w:cs="Times New Roman"/>
          <w:color w:val="000000"/>
          <w:sz w:val="24"/>
          <w:szCs w:val="24"/>
        </w:rPr>
        <w:t>, et le fœtus vit dans des conditions d’oxygénation équivalente à celles retrouvées à une altitude de 8500 m. Heureusement qu’il possède l’hémoglobine fœtale, et celle-ci est relativement élevée.</w:t>
      </w:r>
    </w:p>
    <w:p w14:paraId="7646A67F" w14:textId="6A5F34BE" w:rsidR="00297BF8" w:rsidRPr="000A4A0F" w:rsidRDefault="00297BF8" w:rsidP="006612D9">
      <w:pPr>
        <w:shd w:val="clear" w:color="auto" w:fill="FFFFFF"/>
        <w:spacing w:after="0" w:line="360" w:lineRule="auto"/>
        <w:jc w:val="both"/>
        <w:textAlignment w:val="baseline"/>
        <w:rPr>
          <w:rFonts w:ascii="Times New Roman" w:eastAsiaTheme="minorHAnsi" w:hAnsi="Times New Roman" w:cs="Times New Roman"/>
          <w:color w:val="000000"/>
          <w:sz w:val="24"/>
          <w:szCs w:val="24"/>
        </w:rPr>
      </w:pPr>
      <w:r w:rsidRPr="000A4A0F">
        <w:rPr>
          <w:rFonts w:ascii="Times New Roman" w:eastAsiaTheme="minorHAnsi" w:hAnsi="Times New Roman" w:cs="Times New Roman"/>
          <w:color w:val="000000"/>
          <w:sz w:val="24"/>
          <w:szCs w:val="24"/>
        </w:rPr>
        <w:lastRenderedPageBreak/>
        <w:t>A la naissance, la Pa02 s’élève rapidement, et l’hémoglobine est physiologiquement détruite ce qui peut générer en même temps une anémie et une hyperbilirubinémie.</w:t>
      </w:r>
    </w:p>
    <w:p w14:paraId="32128D53" w14:textId="77777777" w:rsidR="007952B1" w:rsidRPr="000A4A0F" w:rsidRDefault="007952B1" w:rsidP="006612D9">
      <w:pPr>
        <w:shd w:val="clear" w:color="auto" w:fill="FFFFFF"/>
        <w:spacing w:after="0" w:line="360" w:lineRule="auto"/>
        <w:jc w:val="both"/>
        <w:textAlignment w:val="baseline"/>
        <w:rPr>
          <w:rFonts w:ascii="Times New Roman" w:eastAsiaTheme="minorHAnsi" w:hAnsi="Times New Roman" w:cs="Times New Roman"/>
          <w:color w:val="000000"/>
          <w:sz w:val="24"/>
          <w:szCs w:val="24"/>
        </w:rPr>
      </w:pPr>
    </w:p>
    <w:p w14:paraId="0BE03E4D" w14:textId="684D9DA2" w:rsidR="007952B1" w:rsidRPr="000A4A0F" w:rsidRDefault="007952B1"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L’iso-immunisation ABO est une cause courante d’hyper-bilirubinémie grave. Les bébés dont le sang de la mère est de groupe O ont un rapport de cotes d’hyper</w:t>
      </w:r>
      <w:r w:rsidR="002B4F9C">
        <w:rPr>
          <w:rFonts w:ascii="Times New Roman" w:hAnsi="Times New Roman" w:cs="Times New Roman"/>
          <w:sz w:val="24"/>
          <w:szCs w:val="24"/>
        </w:rPr>
        <w:t>-bilirubinémie grave de 2,9</w:t>
      </w:r>
      <w:r w:rsidRPr="000A4A0F">
        <w:rPr>
          <w:rFonts w:ascii="Times New Roman" w:hAnsi="Times New Roman" w:cs="Times New Roman"/>
          <w:sz w:val="24"/>
          <w:szCs w:val="24"/>
        </w:rPr>
        <w:t>.</w:t>
      </w:r>
      <w:r w:rsidR="002B4F9C">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{"citationItems":[{"id":"ITEM-1","itemData":{"author":[{"dropping-particle":"","family":"Shapiro","given":"Steven M.","non-dropping-particle":"","parse-names":false,"suffix":""}],"container-title":"Seminars in Fetal &amp; Neonatal Medicine","id":"ITEM-1","issued":{"date-parts":[["2010"]]},"page":"157–163","title":"Chronic bilirubin encephalopathy: diagnosis and outcome","type":"article-journal","volume":"15"},"uris":["http://www.mendeley.com/documents/?uuid=d390b296-d5e9-4d9c-b6cb-664733c81b61","http://www.mendeley.com/documents/?uuid=b9330166-a51b-454e-aeb3-91a9e41ae26c"]}],"mendeley":{"formattedCitation":"(57)","plainTextFormattedCitation":"(57)","previouslyFormattedCitation":"(58)"},"properties":{"noteIndex":0},"schema":"https://github.com/citation-style-language/schema/raw/master/csl-citation.json"}</w:instrText>
      </w:r>
      <w:r w:rsidR="002B4F9C">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(57)</w:t>
      </w:r>
      <w:r w:rsidR="002B4F9C">
        <w:rPr>
          <w:rFonts w:ascii="Times New Roman" w:hAnsi="Times New Roman" w:cs="Times New Roman"/>
          <w:sz w:val="24"/>
          <w:szCs w:val="24"/>
        </w:rPr>
        <w:fldChar w:fldCharType="end"/>
      </w:r>
      <w:r w:rsidRPr="000A4A0F">
        <w:rPr>
          <w:rFonts w:ascii="Times New Roman" w:hAnsi="Times New Roman" w:cs="Times New Roman"/>
          <w:sz w:val="24"/>
          <w:szCs w:val="24"/>
        </w:rPr>
        <w:t xml:space="preserve"> L'incompatibilité dans le système ABO est souvent due à une immunisation A/O (mère de groupe O développant des anticorps anti-A contre son fœtus du groupe A). Elle donne lieu à un ictère précoce et intense associé à une anémie post natale.</w:t>
      </w:r>
    </w:p>
    <w:p w14:paraId="003BA973" w14:textId="2F17147A" w:rsidR="007952B1" w:rsidRPr="000A4A0F" w:rsidRDefault="007952B1" w:rsidP="006612D9">
      <w:pPr>
        <w:shd w:val="clear" w:color="auto" w:fill="FFFFFF"/>
        <w:spacing w:after="0" w:line="360" w:lineRule="auto"/>
        <w:jc w:val="both"/>
        <w:textAlignment w:val="baseline"/>
        <w:rPr>
          <w:rFonts w:ascii="Times New Roman" w:eastAsiaTheme="minorHAnsi" w:hAnsi="Times New Roman" w:cs="Times New Roman"/>
          <w:color w:val="000000"/>
          <w:sz w:val="24"/>
          <w:szCs w:val="24"/>
        </w:rPr>
      </w:pPr>
      <w:r w:rsidRPr="000A4A0F">
        <w:rPr>
          <w:rFonts w:ascii="Times New Roman" w:hAnsi="Times New Roman" w:cs="Times New Roman"/>
          <w:sz w:val="24"/>
          <w:szCs w:val="24"/>
        </w:rPr>
        <w:t>En général, il n'y a pas de maladie anténatale. Chez le nouveau-né, elle se résume à un ictère dont le caractère majeur est d'être précoce. Il s'accompagne d'une anémie parfois retardée. Les manifestations sont possibles, et même assez fréquentes dès le premier enfant.</w:t>
      </w:r>
    </w:p>
    <w:p w14:paraId="0C06B10D" w14:textId="77777777" w:rsidR="00297BF8" w:rsidRPr="000A4A0F" w:rsidRDefault="00297BF8"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12D0F8BC" w14:textId="77777777" w:rsidR="00D931E8" w:rsidRPr="000A4A0F" w:rsidRDefault="00ED369A"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eastAsia="Times New Roman" w:hAnsi="Times New Roman" w:cs="Times New Roman"/>
          <w:b/>
          <w:color w:val="000000"/>
          <w:sz w:val="24"/>
          <w:szCs w:val="24"/>
          <w:lang w:eastAsia="fr-FR"/>
        </w:rPr>
        <w:t>TRAIT DREPANOCYTAIRE </w:t>
      </w:r>
    </w:p>
    <w:p w14:paraId="75E2ED94" w14:textId="5721269E" w:rsidR="00977DD7" w:rsidRPr="000A4A0F" w:rsidRDefault="00977DD7"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Dans notre étude, 11.9% soit 16 nouve</w:t>
      </w:r>
      <w:r w:rsidR="007952B1" w:rsidRPr="000A4A0F">
        <w:rPr>
          <w:rFonts w:ascii="Times New Roman" w:eastAsia="Times New Roman" w:hAnsi="Times New Roman" w:cs="Times New Roman"/>
          <w:color w:val="000000"/>
          <w:sz w:val="24"/>
          <w:szCs w:val="24"/>
          <w:lang w:eastAsia="fr-FR"/>
        </w:rPr>
        <w:t xml:space="preserve">au-né </w:t>
      </w:r>
      <w:r w:rsidR="00AD53CA" w:rsidRPr="000A4A0F">
        <w:rPr>
          <w:rFonts w:ascii="Times New Roman" w:eastAsia="Times New Roman" w:hAnsi="Times New Roman" w:cs="Times New Roman"/>
          <w:color w:val="000000"/>
          <w:sz w:val="24"/>
          <w:szCs w:val="24"/>
          <w:lang w:eastAsia="fr-FR"/>
        </w:rPr>
        <w:t>avaient</w:t>
      </w:r>
      <w:r w:rsidRPr="000A4A0F">
        <w:rPr>
          <w:rFonts w:ascii="Times New Roman" w:eastAsia="Times New Roman" w:hAnsi="Times New Roman" w:cs="Times New Roman"/>
          <w:color w:val="000000"/>
          <w:sz w:val="24"/>
          <w:szCs w:val="24"/>
          <w:lang w:eastAsia="fr-FR"/>
        </w:rPr>
        <w:t xml:space="preserve"> un génotype d’</w:t>
      </w:r>
      <w:proofErr w:type="spellStart"/>
      <w:r w:rsidRPr="000A4A0F">
        <w:rPr>
          <w:rFonts w:ascii="Times New Roman" w:eastAsia="Times New Roman" w:hAnsi="Times New Roman" w:cs="Times New Roman"/>
          <w:color w:val="000000"/>
          <w:sz w:val="24"/>
          <w:szCs w:val="24"/>
          <w:lang w:eastAsia="fr-FR"/>
        </w:rPr>
        <w:t>HbAS</w:t>
      </w:r>
      <w:proofErr w:type="spellEnd"/>
      <w:r w:rsidRPr="000A4A0F">
        <w:rPr>
          <w:rFonts w:ascii="Times New Roman" w:eastAsia="Times New Roman" w:hAnsi="Times New Roman" w:cs="Times New Roman"/>
          <w:color w:val="000000"/>
          <w:sz w:val="24"/>
          <w:szCs w:val="24"/>
          <w:lang w:eastAsia="fr-FR"/>
        </w:rPr>
        <w:t>.</w:t>
      </w:r>
    </w:p>
    <w:p w14:paraId="77A01F61" w14:textId="77777777" w:rsidR="008805CF" w:rsidRPr="000A4A0F" w:rsidRDefault="00AD53CA"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hAnsi="Times New Roman" w:cs="Times New Roman"/>
          <w:sz w:val="24"/>
          <w:szCs w:val="24"/>
        </w:rPr>
        <w:t xml:space="preserve">Les hémoglobinopathies peuvent être liées à un défaut de structure d'une chaine de globine ou à un défaut de synthèse. On se trouve devant une situation unique, car on assiste à un changement rapide des chaines de globines synthétisées durant les dernières semaines de la période fœtale. Les hémoglobinopathies, en dehors de l’alpha-thalassémie majeure ne s’expriment pas ou peu durant la période néonatale. Les mutations de la chaine β sont en général asymptomatiques à la naissance et ne s'exprimeront qu'après l'âge de 2 mois, car l'hémoglobine A constitué moins de 30 % de l'ensemble des hémoglobines à la naissance. C’est le cas notamment pour l’hémoglobine S, variante la plus fréquente responsable de </w:t>
      </w:r>
      <w:r w:rsidR="008805CF" w:rsidRPr="000A4A0F">
        <w:rPr>
          <w:rFonts w:ascii="Times New Roman" w:hAnsi="Times New Roman" w:cs="Times New Roman"/>
          <w:sz w:val="24"/>
          <w:szCs w:val="24"/>
        </w:rPr>
        <w:t>la drépanocytose.</w:t>
      </w:r>
    </w:p>
    <w:p w14:paraId="08A27850" w14:textId="179766D8" w:rsidR="007508AE" w:rsidRPr="000A4A0F" w:rsidRDefault="008805CF" w:rsidP="006612D9">
      <w:pPr>
        <w:shd w:val="clear" w:color="auto" w:fill="FFFFFF"/>
        <w:spacing w:after="0" w:line="360" w:lineRule="auto"/>
        <w:jc w:val="both"/>
        <w:textAlignment w:val="baseline"/>
        <w:rPr>
          <w:rFonts w:ascii="Times New Roman" w:hAnsi="Times New Roman" w:cs="Times New Roman"/>
          <w:sz w:val="24"/>
          <w:szCs w:val="24"/>
        </w:rPr>
      </w:pPr>
      <w:proofErr w:type="spellStart"/>
      <w:r w:rsidRPr="000A4A0F">
        <w:rPr>
          <w:rFonts w:ascii="Times New Roman" w:hAnsi="Times New Roman" w:cs="Times New Roman"/>
          <w:sz w:val="24"/>
          <w:szCs w:val="24"/>
        </w:rPr>
        <w:t>L.Tshilolo</w:t>
      </w:r>
      <w:proofErr w:type="spellEnd"/>
      <w:r w:rsidRPr="000A4A0F">
        <w:rPr>
          <w:rFonts w:ascii="Times New Roman" w:hAnsi="Times New Roman" w:cs="Times New Roman"/>
          <w:sz w:val="24"/>
          <w:szCs w:val="24"/>
        </w:rPr>
        <w:t xml:space="preserve"> et col ‘ Programme de </w:t>
      </w:r>
      <w:r w:rsidR="009A44F4" w:rsidRPr="000A4A0F">
        <w:rPr>
          <w:rFonts w:ascii="Times New Roman" w:hAnsi="Times New Roman" w:cs="Times New Roman"/>
          <w:sz w:val="24"/>
          <w:szCs w:val="24"/>
        </w:rPr>
        <w:t>dépistage</w:t>
      </w:r>
      <w:r w:rsidRPr="000A4A0F">
        <w:rPr>
          <w:rFonts w:ascii="Times New Roman" w:hAnsi="Times New Roman" w:cs="Times New Roman"/>
          <w:sz w:val="24"/>
          <w:szCs w:val="24"/>
        </w:rPr>
        <w:t xml:space="preserve"> </w:t>
      </w:r>
      <w:r w:rsidR="009A44F4" w:rsidRPr="000A4A0F">
        <w:rPr>
          <w:rFonts w:ascii="Times New Roman" w:hAnsi="Times New Roman" w:cs="Times New Roman"/>
          <w:sz w:val="24"/>
          <w:szCs w:val="24"/>
        </w:rPr>
        <w:t>néonatal</w:t>
      </w:r>
      <w:r w:rsidRPr="000A4A0F">
        <w:rPr>
          <w:rFonts w:ascii="Times New Roman" w:hAnsi="Times New Roman" w:cs="Times New Roman"/>
          <w:sz w:val="24"/>
          <w:szCs w:val="24"/>
        </w:rPr>
        <w:t xml:space="preserve"> et de soins pour la </w:t>
      </w:r>
      <w:r w:rsidR="009A44F4" w:rsidRPr="000A4A0F">
        <w:rPr>
          <w:rFonts w:ascii="Times New Roman" w:hAnsi="Times New Roman" w:cs="Times New Roman"/>
          <w:sz w:val="24"/>
          <w:szCs w:val="24"/>
        </w:rPr>
        <w:t>drépanocytose</w:t>
      </w:r>
      <w:r w:rsidRPr="000A4A0F">
        <w:rPr>
          <w:rFonts w:ascii="Times New Roman" w:hAnsi="Times New Roman" w:cs="Times New Roman"/>
          <w:sz w:val="24"/>
          <w:szCs w:val="24"/>
        </w:rPr>
        <w:t xml:space="preserve"> en Afrique </w:t>
      </w:r>
      <w:r w:rsidR="009A44F4" w:rsidRPr="000A4A0F">
        <w:rPr>
          <w:rFonts w:ascii="Times New Roman" w:hAnsi="Times New Roman" w:cs="Times New Roman"/>
          <w:sz w:val="24"/>
          <w:szCs w:val="24"/>
        </w:rPr>
        <w:t>subsaharienne’, étude réalisé à Kinshasa en RD Congo avait trouvé une prévalence de 838/4116 patients ce qui correspond à environ 20.4%.</w:t>
      </w:r>
      <w:r w:rsidR="00B06C2A">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DOI":"10.1016/j.puhe.2007.12.005","author":[{"dropping-particle":"","family":"Tshilolo","given":"L","non-dropping-particle":"","parse-names":false,"suffix":""},{"dropping-particle":"","family":"Kafando","given":"E","non-dropping-particle":"","parse-names":false,"suffix":""},{"dropping-particle":"","family":"Sawadogo","given":"M","non-dropping-particle":"","parse-names":false,"suffix":""},{"dropping-particle":"","family":"Cotton","given":"F","non-dropping-particle":"","parse-names":false,"suffix":""},{"dropping-particle":"","family":"Vertongen","given":"F","non-dropping-particle":"","parse-names":false,"suffix":""}],"id":"ITEM-1","issued":{"date-parts":[["2008"]]},"title":"Neonatal screening and clinical care programmes for sickle cell disorders in sub-Saharan Africa : Lessons from pilot studies","type":"article-journal"},"uris":["http://www.mendeley.com/documents/?uuid=080b13e6-6fd1-49e6-8228-36d486f89803","http://www.mendeley.com/documents/?uuid=33a715f3-0b64-4e7c-9dc9-0d3dfdb6e8f3"]}],"mendeley":{"formattedCitation":"(29)","plainTextFormattedCitation":"(29)","previouslyFormattedCitation":"(30)"},"properties":{"noteIndex":0},"schema":"https://github.com/citation-style-language/schema/raw/master/csl-citation.json"}</w:instrText>
      </w:r>
      <w:r w:rsidR="00B06C2A">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(29)</w:t>
      </w:r>
      <w:r w:rsidR="00B06C2A">
        <w:rPr>
          <w:rFonts w:ascii="Times New Roman" w:hAnsi="Times New Roman" w:cs="Times New Roman"/>
          <w:sz w:val="24"/>
          <w:szCs w:val="24"/>
        </w:rPr>
        <w:fldChar w:fldCharType="end"/>
      </w:r>
    </w:p>
    <w:p w14:paraId="526E10E4" w14:textId="574C1131" w:rsidR="00AD53CA" w:rsidRPr="000A4A0F" w:rsidRDefault="0014366E" w:rsidP="006612D9">
      <w:pPr>
        <w:shd w:val="clear" w:color="auto" w:fill="FFFFFF"/>
        <w:spacing w:after="0" w:line="360" w:lineRule="auto"/>
        <w:jc w:val="both"/>
        <w:textAlignment w:val="baseline"/>
        <w:rPr>
          <w:rFonts w:ascii="Times New Roman" w:hAnsi="Times New Roman" w:cs="Times New Roman"/>
          <w:sz w:val="24"/>
          <w:szCs w:val="24"/>
        </w:rPr>
      </w:pPr>
      <w:proofErr w:type="spellStart"/>
      <w:r w:rsidRPr="000A4A0F">
        <w:rPr>
          <w:rFonts w:ascii="Times New Roman" w:hAnsi="Times New Roman" w:cs="Times New Roman"/>
          <w:sz w:val="24"/>
          <w:szCs w:val="24"/>
        </w:rPr>
        <w:t>B.Tshimanga</w:t>
      </w:r>
      <w:proofErr w:type="spellEnd"/>
      <w:r w:rsidRPr="000A4A0F">
        <w:rPr>
          <w:rFonts w:ascii="Times New Roman" w:hAnsi="Times New Roman" w:cs="Times New Roman"/>
          <w:sz w:val="24"/>
          <w:szCs w:val="24"/>
        </w:rPr>
        <w:t xml:space="preserve"> </w:t>
      </w:r>
      <w:proofErr w:type="spellStart"/>
      <w:r w:rsidRPr="000A4A0F">
        <w:rPr>
          <w:rFonts w:ascii="Times New Roman" w:hAnsi="Times New Roman" w:cs="Times New Roman"/>
          <w:sz w:val="24"/>
          <w:szCs w:val="24"/>
        </w:rPr>
        <w:t>k,Gini</w:t>
      </w:r>
      <w:proofErr w:type="spellEnd"/>
      <w:r w:rsidRPr="000A4A0F">
        <w:rPr>
          <w:rFonts w:ascii="Times New Roman" w:hAnsi="Times New Roman" w:cs="Times New Roman"/>
          <w:sz w:val="24"/>
          <w:szCs w:val="24"/>
        </w:rPr>
        <w:t xml:space="preserve"> et </w:t>
      </w:r>
      <w:proofErr w:type="spellStart"/>
      <w:r w:rsidRPr="000A4A0F">
        <w:rPr>
          <w:rFonts w:ascii="Times New Roman" w:hAnsi="Times New Roman" w:cs="Times New Roman"/>
          <w:sz w:val="24"/>
          <w:szCs w:val="24"/>
        </w:rPr>
        <w:t>Ehungu</w:t>
      </w:r>
      <w:proofErr w:type="spellEnd"/>
      <w:r w:rsidRPr="000A4A0F">
        <w:rPr>
          <w:rFonts w:ascii="Times New Roman" w:hAnsi="Times New Roman" w:cs="Times New Roman"/>
          <w:sz w:val="24"/>
          <w:szCs w:val="24"/>
        </w:rPr>
        <w:t xml:space="preserve"> et col</w:t>
      </w:r>
      <w:r w:rsidR="002635B1" w:rsidRPr="000A4A0F">
        <w:rPr>
          <w:rFonts w:ascii="Times New Roman" w:hAnsi="Times New Roman" w:cs="Times New Roman"/>
          <w:sz w:val="24"/>
          <w:szCs w:val="24"/>
        </w:rPr>
        <w:t xml:space="preserve"> dans leur </w:t>
      </w:r>
      <w:r w:rsidR="00435199" w:rsidRPr="000A4A0F">
        <w:rPr>
          <w:rFonts w:ascii="Times New Roman" w:hAnsi="Times New Roman" w:cs="Times New Roman"/>
          <w:sz w:val="24"/>
          <w:szCs w:val="24"/>
        </w:rPr>
        <w:t>étude</w:t>
      </w:r>
      <w:r w:rsidR="002635B1" w:rsidRPr="000A4A0F">
        <w:rPr>
          <w:rFonts w:ascii="Times New Roman" w:hAnsi="Times New Roman" w:cs="Times New Roman"/>
          <w:sz w:val="24"/>
          <w:szCs w:val="24"/>
        </w:rPr>
        <w:t xml:space="preserve"> ‘Le taux élevé de drépanocytose en Afrique subsaharienne souligne la nécessité pour dépister tous les enfants atteints d'anémie sévère pour la maladie’, ont</w:t>
      </w:r>
      <w:r w:rsidRPr="000A4A0F">
        <w:rPr>
          <w:rFonts w:ascii="Times New Roman" w:hAnsi="Times New Roman" w:cs="Times New Roman"/>
          <w:sz w:val="24"/>
          <w:szCs w:val="24"/>
        </w:rPr>
        <w:t xml:space="preserve"> trouvé une </w:t>
      </w:r>
      <w:r w:rsidR="002635B1" w:rsidRPr="000A4A0F">
        <w:rPr>
          <w:rFonts w:ascii="Times New Roman" w:hAnsi="Times New Roman" w:cs="Times New Roman"/>
          <w:sz w:val="24"/>
          <w:szCs w:val="24"/>
        </w:rPr>
        <w:t xml:space="preserve">prévalence de 5.6% des enfants porteurs de trait </w:t>
      </w:r>
      <w:r w:rsidR="00435199" w:rsidRPr="000A4A0F">
        <w:rPr>
          <w:rFonts w:ascii="Times New Roman" w:hAnsi="Times New Roman" w:cs="Times New Roman"/>
          <w:sz w:val="24"/>
          <w:szCs w:val="24"/>
        </w:rPr>
        <w:t>drépanocytaire</w:t>
      </w:r>
      <w:r w:rsidR="002B4F9C">
        <w:rPr>
          <w:rFonts w:ascii="Times New Roman" w:hAnsi="Times New Roman" w:cs="Times New Roman"/>
          <w:sz w:val="24"/>
          <w:szCs w:val="24"/>
        </w:rPr>
        <w:t>.</w:t>
      </w:r>
      <w:r w:rsidR="00A8119D">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{"citationItems":[{"id":"ITEM-1","itemData":{"DOI":"10.1111/apa.13040","author":[{"dropping-particle":"","family":"Kadima","given":"Bertin Tshimanga","non-dropping-particle":"","parse-names":false,"suffix":""},{"dropping-particle":"","family":"Lambert","given":"Jean","non-dropping-particle":"","parse-names":false,"suffix":""},{"dropping-particle":"","family":"Ehungu","given":"Gini","non-dropping-particle":"","parse-names":false,"suffix":""}],"id":"ITEM-1","issued":{"date-parts":[["2015"]]},"page":"1269-1273","title":"High rate of sickle cell anaemia in Sub-Saharan Africa underlines the need to screen all children with severe anaemia for the disease","type":"article-journal"},"uris":["http://www.mendeley.com/documents/?uuid=2994cfcf-2001-4963-ba59-7d68f9a76683","http://www.mendeley.com/documents/?uuid=8bdc0af4-8ff5-4952-b1d0-4416fdfc276d"]}],"mendeley":{"formattedCitation":"(58)","plainTextFormattedCitation":"(58)","previouslyFormattedCitation":"(59)"},"properties":{"noteIndex":0},"schema":"https://github.com/citation-style-language/schema/raw/master/csl-citation.json"}</w:instrText>
      </w:r>
      <w:r w:rsidR="00A8119D">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(58)</w:t>
      </w:r>
      <w:r w:rsidR="00A8119D">
        <w:rPr>
          <w:rFonts w:ascii="Times New Roman" w:hAnsi="Times New Roman" w:cs="Times New Roman"/>
          <w:sz w:val="24"/>
          <w:szCs w:val="24"/>
        </w:rPr>
        <w:fldChar w:fldCharType="end"/>
      </w:r>
    </w:p>
    <w:p w14:paraId="555E8ED8" w14:textId="6E07E648" w:rsidR="00485735" w:rsidRPr="000A4A0F" w:rsidRDefault="008325EC" w:rsidP="006612D9">
      <w:pPr>
        <w:shd w:val="clear" w:color="auto" w:fill="FFFFFF"/>
        <w:spacing w:after="0" w:line="360" w:lineRule="auto"/>
        <w:jc w:val="both"/>
        <w:textAlignment w:val="baseline"/>
        <w:rPr>
          <w:rFonts w:ascii="Times New Roman" w:hAnsi="Times New Roman" w:cs="Times New Roman"/>
          <w:sz w:val="24"/>
          <w:szCs w:val="24"/>
        </w:rPr>
      </w:pPr>
      <w:r w:rsidRPr="000A4A0F">
        <w:rPr>
          <w:rFonts w:ascii="Times New Roman" w:eastAsiaTheme="minorHAnsi" w:hAnsi="Times New Roman" w:cs="Times New Roman"/>
          <w:color w:val="000000"/>
          <w:sz w:val="24"/>
          <w:szCs w:val="24"/>
        </w:rPr>
        <w:t xml:space="preserve">B. </w:t>
      </w:r>
      <w:proofErr w:type="spellStart"/>
      <w:r w:rsidRPr="000A4A0F">
        <w:rPr>
          <w:rFonts w:ascii="Times New Roman" w:eastAsiaTheme="minorHAnsi" w:hAnsi="Times New Roman" w:cs="Times New Roman"/>
          <w:color w:val="000000"/>
          <w:sz w:val="24"/>
          <w:szCs w:val="24"/>
        </w:rPr>
        <w:t>Agasa</w:t>
      </w:r>
      <w:proofErr w:type="spellEnd"/>
      <w:r w:rsidRPr="000A4A0F">
        <w:rPr>
          <w:rFonts w:ascii="Times New Roman" w:eastAsiaTheme="minorHAnsi" w:hAnsi="Times New Roman" w:cs="Times New Roman"/>
          <w:color w:val="000000"/>
          <w:sz w:val="24"/>
          <w:szCs w:val="24"/>
        </w:rPr>
        <w:t xml:space="preserve">, K. </w:t>
      </w:r>
      <w:proofErr w:type="spellStart"/>
      <w:r w:rsidRPr="000A4A0F">
        <w:rPr>
          <w:rFonts w:ascii="Times New Roman" w:eastAsiaTheme="minorHAnsi" w:hAnsi="Times New Roman" w:cs="Times New Roman"/>
          <w:color w:val="000000"/>
          <w:sz w:val="24"/>
          <w:szCs w:val="24"/>
        </w:rPr>
        <w:t>Bosunga</w:t>
      </w:r>
      <w:proofErr w:type="spellEnd"/>
      <w:r w:rsidRPr="000A4A0F">
        <w:rPr>
          <w:rFonts w:ascii="Times New Roman" w:eastAsiaTheme="minorHAnsi" w:hAnsi="Times New Roman" w:cs="Times New Roman"/>
          <w:color w:val="000000"/>
          <w:sz w:val="24"/>
          <w:szCs w:val="24"/>
        </w:rPr>
        <w:t xml:space="preserve">, A. </w:t>
      </w:r>
      <w:proofErr w:type="spellStart"/>
      <w:r w:rsidRPr="000A4A0F">
        <w:rPr>
          <w:rFonts w:ascii="Times New Roman" w:eastAsiaTheme="minorHAnsi" w:hAnsi="Times New Roman" w:cs="Times New Roman"/>
          <w:color w:val="000000"/>
          <w:sz w:val="24"/>
          <w:szCs w:val="24"/>
        </w:rPr>
        <w:t>Opara</w:t>
      </w:r>
      <w:proofErr w:type="spellEnd"/>
      <w:r w:rsidRPr="000A4A0F">
        <w:rPr>
          <w:rFonts w:ascii="Times New Roman" w:hAnsi="Times New Roman" w:cs="Times New Roman"/>
          <w:sz w:val="24"/>
          <w:szCs w:val="24"/>
        </w:rPr>
        <w:t xml:space="preserve">  et col dans leur sur ‘</w:t>
      </w:r>
      <w:r w:rsidR="00485735" w:rsidRPr="000A4A0F">
        <w:rPr>
          <w:rFonts w:ascii="Times New Roman" w:hAnsi="Times New Roman" w:cs="Times New Roman"/>
          <w:sz w:val="24"/>
          <w:szCs w:val="24"/>
        </w:rPr>
        <w:t xml:space="preserve">Prévalence de la drépanocytose dans une région du nord-est de la République Démocratique du Congo : quel impact sur la transfusion </w:t>
      </w:r>
      <w:r w:rsidRPr="000A4A0F">
        <w:rPr>
          <w:rFonts w:ascii="Times New Roman" w:hAnsi="Times New Roman" w:cs="Times New Roman"/>
          <w:sz w:val="24"/>
          <w:szCs w:val="24"/>
        </w:rPr>
        <w:t xml:space="preserve">politique’ avaient trouvé une prévalence de 23,3%. </w:t>
      </w:r>
      <w:r w:rsidR="00A8119D">
        <w:rPr>
          <w:rFonts w:ascii="Times New Roman" w:hAnsi="Times New Roman" w:cs="Times New Roman"/>
          <w:sz w:val="24"/>
          <w:szCs w:val="24"/>
        </w:rPr>
        <w:fldChar w:fldCharType="begin" w:fldLock="1"/>
      </w:r>
      <w:r w:rsidR="004F4A84">
        <w:rPr>
          <w:rFonts w:ascii="Times New Roman" w:hAnsi="Times New Roman" w:cs="Times New Roman"/>
          <w:sz w:val="24"/>
          <w:szCs w:val="24"/>
        </w:rPr>
        <w:instrText>ADDIN CSL_CITATION {"citationItems":[{"id":"ITEM-1","itemData":{"DOI":"10.1111/j.1365-3148.2009.00943.x","author":[{"dropping-particle":"","family":"Agasa","given":"B","non-dropping-particle":"","parse-names":false,"suffix":""},{"dropping-particle":"","family":"Bosunga","given":"K","non-dropping-particle":"","parse-names":false,"suffix":""},{"dropping-particle":"","family":"Opara","given":"A","non-dropping-particle":"","parse-names":false,"suffix":""},{"dropping-particle":"","family":"Tshilumba","given":"K","non-dropping-particle":"","parse-names":false,"suffix":""},{"dropping-particle":"","family":"Dupont","given":"E","non-dropping-particle":"","parse-names":false,"suffix":""},{"dropping-particle":"","family":"Vertongen","given":"F","non-dropping-particle":"","parse-names":false,"suffix":""},{"dropping-particle":"","family":"Cotton","given":"F","non-dropping-particle":"","parse-names":false,"suffix":""}],"id":"ITEM-1","issued":{"date-parts":[["2010"]]},"page":"62-65","title":"Prevalence of sickle cell disease in a northeastern region of the Democratic Republic of Congo : what impact on transfusion policy ?","type":"article-journal"},"uris":["http://www.mendeley.com/documents/?uuid=f6aa0e7d-b14c-4993-b0a9-002fbdd090db","http://www.mendeley.com/documents/?uuid=66cfdf93-65e3-4358-ba6a-7da88f4949b5"]}],"mendeley":{"formattedCitation":"(59)","plainTextFormattedCitation":"(59)","previouslyFormattedCitation":"(60)"},"properties":{"noteIndex":0},"schema":"https://github.com/citation-style-language/schema/raw/master/csl-citation.json"}</w:instrText>
      </w:r>
      <w:r w:rsidR="00A8119D">
        <w:rPr>
          <w:rFonts w:ascii="Times New Roman" w:hAnsi="Times New Roman" w:cs="Times New Roman"/>
          <w:sz w:val="24"/>
          <w:szCs w:val="24"/>
        </w:rPr>
        <w:fldChar w:fldCharType="separate"/>
      </w:r>
      <w:r w:rsidR="004F4A84" w:rsidRPr="004F4A84">
        <w:rPr>
          <w:rFonts w:ascii="Times New Roman" w:hAnsi="Times New Roman" w:cs="Times New Roman"/>
          <w:noProof/>
          <w:sz w:val="24"/>
          <w:szCs w:val="24"/>
        </w:rPr>
        <w:t>(59)</w:t>
      </w:r>
      <w:r w:rsidR="00A8119D">
        <w:rPr>
          <w:rFonts w:ascii="Times New Roman" w:hAnsi="Times New Roman" w:cs="Times New Roman"/>
          <w:sz w:val="24"/>
          <w:szCs w:val="24"/>
        </w:rPr>
        <w:fldChar w:fldCharType="end"/>
      </w:r>
    </w:p>
    <w:p w14:paraId="7891B3EA" w14:textId="3BAA105D" w:rsidR="00435199" w:rsidRPr="000A4A0F" w:rsidRDefault="00214776"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Cette prévalence de trait drépanocytaire est très élevée comparativement à celle trouvait par Amanda et col en 2017 dans une </w:t>
      </w:r>
      <w:r w:rsidR="002B4F9C" w:rsidRPr="000A4A0F">
        <w:rPr>
          <w:rFonts w:ascii="Times New Roman" w:eastAsia="Times New Roman" w:hAnsi="Times New Roman" w:cs="Times New Roman"/>
          <w:color w:val="000000"/>
          <w:sz w:val="24"/>
          <w:szCs w:val="24"/>
          <w:lang w:eastAsia="fr-FR"/>
        </w:rPr>
        <w:t>étude réalisée</w:t>
      </w:r>
      <w:r w:rsidRPr="000A4A0F">
        <w:rPr>
          <w:rFonts w:ascii="Times New Roman" w:eastAsia="Times New Roman" w:hAnsi="Times New Roman" w:cs="Times New Roman"/>
          <w:color w:val="000000"/>
          <w:sz w:val="24"/>
          <w:szCs w:val="24"/>
          <w:lang w:eastAsia="fr-FR"/>
        </w:rPr>
        <w:t xml:space="preserve"> au Sud-</w:t>
      </w:r>
      <w:r w:rsidR="002B4F9C" w:rsidRPr="000A4A0F">
        <w:rPr>
          <w:rFonts w:ascii="Times New Roman" w:eastAsia="Times New Roman" w:hAnsi="Times New Roman" w:cs="Times New Roman"/>
          <w:color w:val="000000"/>
          <w:sz w:val="24"/>
          <w:szCs w:val="24"/>
          <w:lang w:eastAsia="fr-FR"/>
        </w:rPr>
        <w:t>Kivu et</w:t>
      </w:r>
      <w:r w:rsidRPr="000A4A0F">
        <w:rPr>
          <w:rFonts w:ascii="Times New Roman" w:eastAsia="Times New Roman" w:hAnsi="Times New Roman" w:cs="Times New Roman"/>
          <w:color w:val="000000"/>
          <w:sz w:val="24"/>
          <w:szCs w:val="24"/>
          <w:lang w:eastAsia="fr-FR"/>
        </w:rPr>
        <w:t xml:space="preserve"> au Congo-</w:t>
      </w:r>
      <w:r w:rsidR="00A8119D" w:rsidRPr="000A4A0F">
        <w:rPr>
          <w:rFonts w:ascii="Times New Roman" w:eastAsia="Times New Roman" w:hAnsi="Times New Roman" w:cs="Times New Roman"/>
          <w:color w:val="000000"/>
          <w:sz w:val="24"/>
          <w:szCs w:val="24"/>
          <w:lang w:eastAsia="fr-FR"/>
        </w:rPr>
        <w:t>central sur</w:t>
      </w:r>
      <w:r w:rsidRPr="000A4A0F">
        <w:rPr>
          <w:rFonts w:ascii="Times New Roman" w:eastAsia="Times New Roman" w:hAnsi="Times New Roman" w:cs="Times New Roman"/>
          <w:color w:val="000000"/>
          <w:sz w:val="24"/>
          <w:szCs w:val="24"/>
          <w:lang w:eastAsia="fr-FR"/>
        </w:rPr>
        <w:t xml:space="preserve"> « Les </w:t>
      </w:r>
      <w:r w:rsidRPr="000A4A0F">
        <w:rPr>
          <w:rFonts w:ascii="Times New Roman" w:eastAsia="Times New Roman" w:hAnsi="Times New Roman" w:cs="Times New Roman"/>
          <w:color w:val="000000"/>
          <w:sz w:val="24"/>
          <w:szCs w:val="24"/>
          <w:lang w:eastAsia="fr-FR"/>
        </w:rPr>
        <w:lastRenderedPageBreak/>
        <w:t xml:space="preserve">concentrations sériques de récepteurs de transferrine solubles sont élevées chez les enfants congolais avec des variantes G6PD, mais pas de variantes drépanocytaires ou d'alpha-thalassémie». Dans cette étude, </w:t>
      </w:r>
      <w:r w:rsidR="00A8119D" w:rsidRPr="000A4A0F">
        <w:rPr>
          <w:rFonts w:ascii="Times New Roman" w:eastAsia="Times New Roman" w:hAnsi="Times New Roman" w:cs="Times New Roman"/>
          <w:color w:val="000000"/>
          <w:sz w:val="24"/>
          <w:szCs w:val="24"/>
          <w:lang w:eastAsia="fr-FR"/>
        </w:rPr>
        <w:t>ils ont</w:t>
      </w:r>
      <w:r w:rsidRPr="000A4A0F">
        <w:rPr>
          <w:rFonts w:ascii="Times New Roman" w:eastAsia="Times New Roman" w:hAnsi="Times New Roman" w:cs="Times New Roman"/>
          <w:color w:val="000000"/>
          <w:sz w:val="24"/>
          <w:szCs w:val="24"/>
          <w:lang w:eastAsia="fr-FR"/>
        </w:rPr>
        <w:t xml:space="preserve"> trouvé une prévalence de 6% de trait </w:t>
      </w:r>
      <w:r w:rsidR="00A8119D" w:rsidRPr="000A4A0F">
        <w:rPr>
          <w:rFonts w:ascii="Times New Roman" w:eastAsia="Times New Roman" w:hAnsi="Times New Roman" w:cs="Times New Roman"/>
          <w:color w:val="000000"/>
          <w:sz w:val="24"/>
          <w:szCs w:val="24"/>
          <w:lang w:eastAsia="fr-FR"/>
        </w:rPr>
        <w:t>drépanocytaire chez</w:t>
      </w:r>
      <w:r w:rsidRPr="000A4A0F">
        <w:rPr>
          <w:rFonts w:ascii="Times New Roman" w:eastAsia="Times New Roman" w:hAnsi="Times New Roman" w:cs="Times New Roman"/>
          <w:color w:val="000000"/>
          <w:sz w:val="24"/>
          <w:szCs w:val="24"/>
          <w:lang w:eastAsia="fr-FR"/>
        </w:rPr>
        <w:t xml:space="preserve"> les enfants de 6-59 mois au Sud-Kivu par contre une prévalence plus élevée au Congo-Central de 16%</w:t>
      </w:r>
    </w:p>
    <w:p w14:paraId="1B48045B" w14:textId="2053FCF4" w:rsidR="000275CD" w:rsidRPr="000A4A0F" w:rsidRDefault="000275CD"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Michael </w:t>
      </w:r>
      <w:proofErr w:type="spellStart"/>
      <w:r w:rsidRPr="000A4A0F">
        <w:rPr>
          <w:rFonts w:ascii="Times New Roman" w:eastAsia="Times New Roman" w:hAnsi="Times New Roman" w:cs="Times New Roman"/>
          <w:color w:val="000000"/>
          <w:sz w:val="24"/>
          <w:szCs w:val="24"/>
          <w:lang w:eastAsia="fr-FR"/>
        </w:rPr>
        <w:t>Sgro</w:t>
      </w:r>
      <w:proofErr w:type="spellEnd"/>
      <w:r w:rsidRPr="000A4A0F">
        <w:rPr>
          <w:rFonts w:ascii="Times New Roman" w:eastAsia="Times New Roman" w:hAnsi="Times New Roman" w:cs="Times New Roman"/>
          <w:color w:val="000000"/>
          <w:sz w:val="24"/>
          <w:szCs w:val="24"/>
          <w:lang w:eastAsia="fr-FR"/>
        </w:rPr>
        <w:t xml:space="preserve"> et col dans leur étude sur l’incidence de cause de l’</w:t>
      </w:r>
      <w:r w:rsidR="000F069C" w:rsidRPr="000A4A0F">
        <w:rPr>
          <w:rFonts w:ascii="Times New Roman" w:eastAsia="Times New Roman" w:hAnsi="Times New Roman" w:cs="Times New Roman"/>
          <w:color w:val="000000"/>
          <w:sz w:val="24"/>
          <w:szCs w:val="24"/>
          <w:lang w:eastAsia="fr-FR"/>
        </w:rPr>
        <w:t>hyper bilirubinémie</w:t>
      </w:r>
      <w:r w:rsidRPr="000A4A0F">
        <w:rPr>
          <w:rFonts w:ascii="Times New Roman" w:eastAsia="Times New Roman" w:hAnsi="Times New Roman" w:cs="Times New Roman"/>
          <w:color w:val="000000"/>
          <w:sz w:val="24"/>
          <w:szCs w:val="24"/>
          <w:lang w:eastAsia="fr-FR"/>
        </w:rPr>
        <w:t xml:space="preserve"> au canada ont trouvé 1/93 patient un </w:t>
      </w:r>
      <w:proofErr w:type="spellStart"/>
      <w:r w:rsidRPr="000A4A0F">
        <w:rPr>
          <w:rFonts w:ascii="Times New Roman" w:eastAsia="Times New Roman" w:hAnsi="Times New Roman" w:cs="Times New Roman"/>
          <w:color w:val="000000"/>
          <w:sz w:val="24"/>
          <w:szCs w:val="24"/>
          <w:lang w:eastAsia="fr-FR"/>
        </w:rPr>
        <w:t>Hb</w:t>
      </w:r>
      <w:proofErr w:type="spellEnd"/>
      <w:r w:rsidRPr="000A4A0F">
        <w:rPr>
          <w:rFonts w:ascii="Times New Roman" w:eastAsia="Times New Roman" w:hAnsi="Times New Roman" w:cs="Times New Roman"/>
          <w:color w:val="000000"/>
          <w:sz w:val="24"/>
          <w:szCs w:val="24"/>
          <w:lang w:eastAsia="fr-FR"/>
        </w:rPr>
        <w:t xml:space="preserve"> instable.</w:t>
      </w:r>
    </w:p>
    <w:p w14:paraId="01215048" w14:textId="77777777" w:rsidR="00AD53CA" w:rsidRPr="000A4A0F" w:rsidRDefault="00AD53CA"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34DBE6A2" w14:textId="77777777" w:rsidR="000275CD" w:rsidRPr="000A4A0F" w:rsidRDefault="000A4630"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eastAsia="Times New Roman" w:hAnsi="Times New Roman" w:cs="Times New Roman"/>
          <w:b/>
          <w:color w:val="000000"/>
          <w:sz w:val="24"/>
          <w:szCs w:val="24"/>
          <w:lang w:eastAsia="fr-FR"/>
        </w:rPr>
        <w:t>DUREE MEDIANE D’HOSPITALISATION </w:t>
      </w:r>
    </w:p>
    <w:p w14:paraId="732BAAF1" w14:textId="77777777" w:rsidR="00F96DAD" w:rsidRPr="000A4A0F" w:rsidRDefault="00F96DAD"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La durée médiane d’hospitalisation dans notre étude était de 6 jours avec des extrêmes allant de 3-13jours.</w:t>
      </w:r>
    </w:p>
    <w:p w14:paraId="6D49D470" w14:textId="25D4900A" w:rsidR="00F96DAD" w:rsidRPr="000A4A0F" w:rsidRDefault="00F96DAD"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roofErr w:type="spellStart"/>
      <w:r w:rsidRPr="000A4A0F">
        <w:rPr>
          <w:rFonts w:ascii="Times New Roman" w:eastAsia="Times New Roman" w:hAnsi="Times New Roman" w:cs="Times New Roman"/>
          <w:color w:val="000000"/>
          <w:sz w:val="24"/>
          <w:szCs w:val="24"/>
          <w:lang w:eastAsia="fr-FR"/>
        </w:rPr>
        <w:t>Bognon</w:t>
      </w:r>
      <w:proofErr w:type="spellEnd"/>
      <w:r w:rsidRPr="000A4A0F">
        <w:rPr>
          <w:rFonts w:ascii="Times New Roman" w:eastAsia="Times New Roman" w:hAnsi="Times New Roman" w:cs="Times New Roman"/>
          <w:color w:val="000000"/>
          <w:sz w:val="24"/>
          <w:szCs w:val="24"/>
          <w:lang w:eastAsia="fr-FR"/>
        </w:rPr>
        <w:t xml:space="preserve"> G et col au Benin ont trouvé une durée médiane d’hospitalisation de 3 jours avec des </w:t>
      </w:r>
      <w:r w:rsidR="00970970" w:rsidRPr="000A4A0F">
        <w:rPr>
          <w:rFonts w:ascii="Times New Roman" w:eastAsia="Times New Roman" w:hAnsi="Times New Roman" w:cs="Times New Roman"/>
          <w:color w:val="000000"/>
          <w:sz w:val="24"/>
          <w:szCs w:val="24"/>
          <w:lang w:eastAsia="fr-FR"/>
        </w:rPr>
        <w:t>extrêmes allant de 24h à 13jour(100).</w:t>
      </w:r>
    </w:p>
    <w:p w14:paraId="4467B450" w14:textId="77777777" w:rsidR="00F96DAD" w:rsidRPr="000A4A0F" w:rsidRDefault="000A4630"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r w:rsidRPr="000A4A0F">
        <w:rPr>
          <w:rFonts w:ascii="Times New Roman" w:eastAsia="Times New Roman" w:hAnsi="Times New Roman" w:cs="Times New Roman"/>
          <w:b/>
          <w:color w:val="000000"/>
          <w:sz w:val="24"/>
          <w:szCs w:val="24"/>
          <w:lang w:eastAsia="fr-FR"/>
        </w:rPr>
        <w:t>DECES </w:t>
      </w:r>
    </w:p>
    <w:p w14:paraId="0156DAB3" w14:textId="49A69C2E" w:rsidR="00684E66" w:rsidRPr="000A4A0F" w:rsidRDefault="00204E5B"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Plusieurs auteurs africains ont trouvé des taux de létalité variables 3,6% au Kenya, 2,9% en Tanzanie et au Cameroun .Dans notre </w:t>
      </w:r>
      <w:r w:rsidR="00684E66" w:rsidRPr="000A4A0F">
        <w:rPr>
          <w:rFonts w:ascii="Times New Roman" w:eastAsia="Times New Roman" w:hAnsi="Times New Roman" w:cs="Times New Roman"/>
          <w:color w:val="000000"/>
          <w:sz w:val="24"/>
          <w:szCs w:val="24"/>
          <w:lang w:eastAsia="fr-FR"/>
        </w:rPr>
        <w:t>série</w:t>
      </w:r>
      <w:r w:rsidRPr="000A4A0F">
        <w:rPr>
          <w:rFonts w:ascii="Times New Roman" w:eastAsia="Times New Roman" w:hAnsi="Times New Roman" w:cs="Times New Roman"/>
          <w:color w:val="000000"/>
          <w:sz w:val="24"/>
          <w:szCs w:val="24"/>
          <w:lang w:eastAsia="fr-FR"/>
        </w:rPr>
        <w:t xml:space="preserve"> le taux de décès était de 6,6%.</w:t>
      </w:r>
    </w:p>
    <w:p w14:paraId="5E099881" w14:textId="2CADCA63" w:rsidR="00684E66" w:rsidRPr="000A4A0F" w:rsidRDefault="00684E66"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AC74E8">
        <w:rPr>
          <w:rFonts w:ascii="Times New Roman" w:eastAsia="Times New Roman" w:hAnsi="Times New Roman" w:cs="Times New Roman"/>
          <w:color w:val="000000"/>
          <w:sz w:val="24"/>
          <w:szCs w:val="24"/>
          <w:highlight w:val="yellow"/>
          <w:lang w:eastAsia="fr-FR"/>
        </w:rPr>
        <w:t>L</w:t>
      </w:r>
      <w:r w:rsidR="000F069C" w:rsidRPr="00AC74E8">
        <w:rPr>
          <w:rFonts w:ascii="Times New Roman" w:eastAsia="Times New Roman" w:hAnsi="Times New Roman" w:cs="Times New Roman"/>
          <w:color w:val="000000"/>
          <w:sz w:val="24"/>
          <w:szCs w:val="24"/>
          <w:highlight w:val="yellow"/>
          <w:lang w:eastAsia="fr-FR"/>
        </w:rPr>
        <w:t>e</w:t>
      </w:r>
      <w:r w:rsidR="00257694" w:rsidRPr="00AC74E8">
        <w:rPr>
          <w:rFonts w:ascii="Times New Roman" w:eastAsia="Times New Roman" w:hAnsi="Times New Roman" w:cs="Times New Roman"/>
          <w:color w:val="000000"/>
          <w:sz w:val="24"/>
          <w:szCs w:val="24"/>
          <w:highlight w:val="yellow"/>
          <w:lang w:eastAsia="fr-FR"/>
        </w:rPr>
        <w:t xml:space="preserve"> décès était corrélé à</w:t>
      </w:r>
      <w:r w:rsidR="00F96DAD" w:rsidRPr="00AC74E8">
        <w:rPr>
          <w:rFonts w:ascii="Times New Roman" w:eastAsia="Times New Roman" w:hAnsi="Times New Roman" w:cs="Times New Roman"/>
          <w:color w:val="000000"/>
          <w:sz w:val="24"/>
          <w:szCs w:val="24"/>
          <w:highlight w:val="yellow"/>
          <w:lang w:eastAsia="fr-FR"/>
        </w:rPr>
        <w:t xml:space="preserve"> l’infection</w:t>
      </w:r>
      <w:r w:rsidR="000F069C" w:rsidRPr="00AC74E8">
        <w:rPr>
          <w:rFonts w:ascii="Times New Roman" w:eastAsia="Times New Roman" w:hAnsi="Times New Roman" w:cs="Times New Roman"/>
          <w:color w:val="000000"/>
          <w:sz w:val="24"/>
          <w:szCs w:val="24"/>
          <w:highlight w:val="yellow"/>
          <w:lang w:eastAsia="fr-FR"/>
        </w:rPr>
        <w:t xml:space="preserve"> plus </w:t>
      </w:r>
      <w:r w:rsidRPr="00AC74E8">
        <w:rPr>
          <w:rFonts w:ascii="Times New Roman" w:eastAsia="Times New Roman" w:hAnsi="Times New Roman" w:cs="Times New Roman"/>
          <w:color w:val="000000"/>
          <w:sz w:val="24"/>
          <w:szCs w:val="24"/>
          <w:highlight w:val="yellow"/>
          <w:lang w:eastAsia="fr-FR"/>
        </w:rPr>
        <w:t>ictère [</w:t>
      </w:r>
      <w:proofErr w:type="spellStart"/>
      <w:r w:rsidRPr="00AC74E8">
        <w:rPr>
          <w:rFonts w:ascii="Times New Roman" w:eastAsia="Times New Roman" w:hAnsi="Times New Roman" w:cs="Times New Roman"/>
          <w:color w:val="000000"/>
          <w:sz w:val="24"/>
          <w:szCs w:val="24"/>
          <w:highlight w:val="yellow"/>
          <w:lang w:eastAsia="fr-FR"/>
        </w:rPr>
        <w:t>ORa</w:t>
      </w:r>
      <w:proofErr w:type="spellEnd"/>
      <w:r w:rsidRPr="00AC74E8">
        <w:rPr>
          <w:rFonts w:ascii="Times New Roman" w:eastAsia="Times New Roman" w:hAnsi="Times New Roman" w:cs="Times New Roman"/>
          <w:color w:val="000000"/>
          <w:sz w:val="24"/>
          <w:szCs w:val="24"/>
          <w:highlight w:val="yellow"/>
          <w:lang w:eastAsia="fr-FR"/>
        </w:rPr>
        <w:t xml:space="preserve"> (IC : 95%), p=9 (1.29-66.67), p=0.026]</w:t>
      </w:r>
      <w:r w:rsidR="000F069C" w:rsidRPr="00AC74E8">
        <w:rPr>
          <w:rFonts w:ascii="Times New Roman" w:eastAsia="Times New Roman" w:hAnsi="Times New Roman" w:cs="Times New Roman"/>
          <w:color w:val="000000"/>
          <w:sz w:val="24"/>
          <w:szCs w:val="24"/>
          <w:highlight w:val="yellow"/>
          <w:lang w:eastAsia="fr-FR"/>
        </w:rPr>
        <w:t xml:space="preserve"> et l’ictère associé</w:t>
      </w:r>
      <w:r w:rsidR="00F96DAD" w:rsidRPr="00AC74E8">
        <w:rPr>
          <w:rFonts w:ascii="Times New Roman" w:eastAsia="Times New Roman" w:hAnsi="Times New Roman" w:cs="Times New Roman"/>
          <w:color w:val="000000"/>
          <w:sz w:val="24"/>
          <w:szCs w:val="24"/>
          <w:highlight w:val="yellow"/>
          <w:lang w:eastAsia="fr-FR"/>
        </w:rPr>
        <w:t xml:space="preserve"> </w:t>
      </w:r>
      <w:r w:rsidRPr="00AC74E8">
        <w:rPr>
          <w:rFonts w:ascii="Times New Roman" w:eastAsia="Times New Roman" w:hAnsi="Times New Roman" w:cs="Times New Roman"/>
          <w:color w:val="000000"/>
          <w:sz w:val="24"/>
          <w:szCs w:val="24"/>
          <w:highlight w:val="yellow"/>
          <w:lang w:eastAsia="fr-FR"/>
        </w:rPr>
        <w:t>prématurité</w:t>
      </w:r>
      <w:r w:rsidRPr="000A4A0F">
        <w:rPr>
          <w:rFonts w:ascii="Times New Roman" w:eastAsia="Times New Roman" w:hAnsi="Times New Roman" w:cs="Times New Roman"/>
          <w:color w:val="000000"/>
          <w:sz w:val="24"/>
          <w:szCs w:val="24"/>
          <w:lang w:eastAsia="fr-FR"/>
        </w:rPr>
        <w:t xml:space="preserve"> [</w:t>
      </w:r>
      <w:proofErr w:type="spellStart"/>
      <w:r w:rsidRPr="000A4A0F">
        <w:rPr>
          <w:rFonts w:ascii="Times New Roman" w:eastAsia="Times New Roman" w:hAnsi="Times New Roman" w:cs="Times New Roman"/>
          <w:color w:val="000000"/>
          <w:sz w:val="24"/>
          <w:szCs w:val="24"/>
          <w:lang w:eastAsia="fr-FR"/>
        </w:rPr>
        <w:t>ORa</w:t>
      </w:r>
      <w:proofErr w:type="spellEnd"/>
      <w:r w:rsidRPr="000A4A0F">
        <w:rPr>
          <w:rFonts w:ascii="Times New Roman" w:eastAsia="Times New Roman" w:hAnsi="Times New Roman" w:cs="Times New Roman"/>
          <w:color w:val="000000"/>
          <w:sz w:val="24"/>
          <w:szCs w:val="24"/>
          <w:lang w:eastAsia="fr-FR"/>
        </w:rPr>
        <w:t xml:space="preserve"> (IC : 95%), p=3.96 (1.85-18.4), p=0.040]</w:t>
      </w:r>
      <w:r w:rsidR="00F96DAD" w:rsidRPr="000A4A0F">
        <w:rPr>
          <w:rFonts w:ascii="Times New Roman" w:eastAsia="Times New Roman" w:hAnsi="Times New Roman" w:cs="Times New Roman"/>
          <w:color w:val="000000"/>
          <w:sz w:val="24"/>
          <w:szCs w:val="24"/>
          <w:lang w:eastAsia="fr-FR"/>
        </w:rPr>
        <w:t>.</w:t>
      </w:r>
    </w:p>
    <w:p w14:paraId="312C85E0" w14:textId="7A315566" w:rsidR="00684E66" w:rsidRPr="000A4A0F" w:rsidRDefault="000F069C"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AC74E8">
        <w:rPr>
          <w:rFonts w:ascii="Times New Roman" w:eastAsia="Times New Roman" w:hAnsi="Times New Roman" w:cs="Times New Roman"/>
          <w:color w:val="000000"/>
          <w:sz w:val="24"/>
          <w:szCs w:val="24"/>
          <w:highlight w:val="yellow"/>
          <w:lang w:eastAsia="fr-FR"/>
        </w:rPr>
        <w:t xml:space="preserve">L’infection est un </w:t>
      </w:r>
      <w:r w:rsidR="00D273A4" w:rsidRPr="00AC74E8">
        <w:rPr>
          <w:rFonts w:ascii="Times New Roman" w:eastAsia="Times New Roman" w:hAnsi="Times New Roman" w:cs="Times New Roman"/>
          <w:color w:val="000000"/>
          <w:sz w:val="24"/>
          <w:szCs w:val="24"/>
          <w:highlight w:val="yellow"/>
          <w:lang w:eastAsia="fr-FR"/>
        </w:rPr>
        <w:t>problème</w:t>
      </w:r>
      <w:r w:rsidRPr="00AC74E8">
        <w:rPr>
          <w:rFonts w:ascii="Times New Roman" w:eastAsia="Times New Roman" w:hAnsi="Times New Roman" w:cs="Times New Roman"/>
          <w:color w:val="000000"/>
          <w:sz w:val="24"/>
          <w:szCs w:val="24"/>
          <w:highlight w:val="yellow"/>
          <w:lang w:eastAsia="fr-FR"/>
        </w:rPr>
        <w:t xml:space="preserve"> de santé publique en Afrique en général et à Bukavu en </w:t>
      </w:r>
      <w:r w:rsidR="00D273A4" w:rsidRPr="00AC74E8">
        <w:rPr>
          <w:rFonts w:ascii="Times New Roman" w:eastAsia="Times New Roman" w:hAnsi="Times New Roman" w:cs="Times New Roman"/>
          <w:color w:val="000000"/>
          <w:sz w:val="24"/>
          <w:szCs w:val="24"/>
          <w:highlight w:val="yellow"/>
          <w:lang w:eastAsia="fr-FR"/>
        </w:rPr>
        <w:t>particulier. La prise abusive des antibiotiques va sélectionner de germes multi résistant difficile à traiter ce qui augmente davantage le risque de décès en période en néonatal lorsqu’il est associé d’autres comorbidité</w:t>
      </w:r>
      <w:r w:rsidR="00D273A4" w:rsidRPr="000A4A0F">
        <w:rPr>
          <w:rFonts w:ascii="Times New Roman" w:eastAsia="Times New Roman" w:hAnsi="Times New Roman" w:cs="Times New Roman"/>
          <w:color w:val="000000"/>
          <w:sz w:val="24"/>
          <w:szCs w:val="24"/>
          <w:lang w:eastAsia="fr-FR"/>
        </w:rPr>
        <w:t>. Le système immunitaire étant encore moins sélectif pendant cette période, l’infection va vite se propager avec moins de résistance et par conséquent le décès qui peut suivre.</w:t>
      </w:r>
    </w:p>
    <w:p w14:paraId="418A10BF" w14:textId="68B143C1" w:rsidR="00E55A09" w:rsidRPr="000A4A0F" w:rsidRDefault="00D273A4"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La prématurité vient en 2</w:t>
      </w:r>
      <w:r w:rsidRPr="000A4A0F">
        <w:rPr>
          <w:rFonts w:ascii="Times New Roman" w:eastAsia="Times New Roman" w:hAnsi="Times New Roman" w:cs="Times New Roman"/>
          <w:color w:val="000000"/>
          <w:sz w:val="24"/>
          <w:szCs w:val="24"/>
          <w:vertAlign w:val="superscript"/>
          <w:lang w:eastAsia="fr-FR"/>
        </w:rPr>
        <w:t>ème</w:t>
      </w:r>
      <w:r w:rsidRPr="000A4A0F">
        <w:rPr>
          <w:rFonts w:ascii="Times New Roman" w:eastAsia="Times New Roman" w:hAnsi="Times New Roman" w:cs="Times New Roman"/>
          <w:color w:val="000000"/>
          <w:sz w:val="24"/>
          <w:szCs w:val="24"/>
          <w:lang w:eastAsia="fr-FR"/>
        </w:rPr>
        <w:t xml:space="preserve"> position comme un facteur de mauvais pronostic </w:t>
      </w:r>
      <w:r w:rsidR="003A014B" w:rsidRPr="000A4A0F">
        <w:rPr>
          <w:rFonts w:ascii="Times New Roman" w:eastAsia="Times New Roman" w:hAnsi="Times New Roman" w:cs="Times New Roman"/>
          <w:color w:val="000000"/>
          <w:sz w:val="24"/>
          <w:szCs w:val="24"/>
          <w:lang w:eastAsia="fr-FR"/>
        </w:rPr>
        <w:t xml:space="preserve">chez les nouveau nés ictérique </w:t>
      </w:r>
      <w:r w:rsidRPr="000A4A0F">
        <w:rPr>
          <w:rFonts w:ascii="Times New Roman" w:eastAsia="Times New Roman" w:hAnsi="Times New Roman" w:cs="Times New Roman"/>
          <w:color w:val="000000"/>
          <w:sz w:val="24"/>
          <w:szCs w:val="24"/>
          <w:lang w:eastAsia="fr-FR"/>
        </w:rPr>
        <w:t xml:space="preserve">du fait que tout </w:t>
      </w:r>
      <w:r w:rsidR="000D3037" w:rsidRPr="000A4A0F">
        <w:rPr>
          <w:rFonts w:ascii="Times New Roman" w:eastAsia="Times New Roman" w:hAnsi="Times New Roman" w:cs="Times New Roman"/>
          <w:color w:val="000000"/>
          <w:sz w:val="24"/>
          <w:szCs w:val="24"/>
          <w:lang w:eastAsia="fr-FR"/>
        </w:rPr>
        <w:t>évalue</w:t>
      </w:r>
      <w:r w:rsidRPr="000A4A0F">
        <w:rPr>
          <w:rFonts w:ascii="Times New Roman" w:eastAsia="Times New Roman" w:hAnsi="Times New Roman" w:cs="Times New Roman"/>
          <w:color w:val="000000"/>
          <w:sz w:val="24"/>
          <w:szCs w:val="24"/>
          <w:lang w:eastAsia="fr-FR"/>
        </w:rPr>
        <w:t xml:space="preserve"> au </w:t>
      </w:r>
      <w:r w:rsidR="000D3037" w:rsidRPr="000A4A0F">
        <w:rPr>
          <w:rFonts w:ascii="Times New Roman" w:eastAsia="Times New Roman" w:hAnsi="Times New Roman" w:cs="Times New Roman"/>
          <w:color w:val="000000"/>
          <w:sz w:val="24"/>
          <w:szCs w:val="24"/>
          <w:lang w:eastAsia="fr-FR"/>
        </w:rPr>
        <w:t>ralenti</w:t>
      </w:r>
      <w:r w:rsidRPr="000A4A0F">
        <w:rPr>
          <w:rFonts w:ascii="Times New Roman" w:eastAsia="Times New Roman" w:hAnsi="Times New Roman" w:cs="Times New Roman"/>
          <w:color w:val="000000"/>
          <w:sz w:val="24"/>
          <w:szCs w:val="24"/>
          <w:lang w:eastAsia="fr-FR"/>
        </w:rPr>
        <w:t xml:space="preserve"> </w:t>
      </w:r>
      <w:r w:rsidR="000D3037" w:rsidRPr="000A4A0F">
        <w:rPr>
          <w:rFonts w:ascii="Times New Roman" w:eastAsia="Times New Roman" w:hAnsi="Times New Roman" w:cs="Times New Roman"/>
          <w:color w:val="000000"/>
          <w:sz w:val="24"/>
          <w:szCs w:val="24"/>
          <w:lang w:eastAsia="fr-FR"/>
        </w:rPr>
        <w:t>dans cette population .</w:t>
      </w:r>
      <w:r w:rsidR="000D3037" w:rsidRPr="00AC74E8">
        <w:rPr>
          <w:rFonts w:ascii="Times New Roman" w:eastAsia="Times New Roman" w:hAnsi="Times New Roman" w:cs="Times New Roman"/>
          <w:color w:val="000000"/>
          <w:sz w:val="24"/>
          <w:szCs w:val="24"/>
          <w:highlight w:val="yellow"/>
          <w:lang w:eastAsia="fr-FR"/>
        </w:rPr>
        <w:t>Le décès peut s’explique dans cette tranche d’âge par les difficultés rencontrées dans la prise en charge de très grande prématurité à cause de ressource matérielle performante moins disponible dans le pays du tiers monde en général .</w:t>
      </w:r>
    </w:p>
    <w:p w14:paraId="104B9DB9" w14:textId="31E33314" w:rsidR="00204E5B" w:rsidRPr="000A4A0F" w:rsidRDefault="00204E5B"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roofErr w:type="spellStart"/>
      <w:r w:rsidRPr="000A4A0F">
        <w:rPr>
          <w:rFonts w:ascii="Times New Roman" w:eastAsia="Times New Roman" w:hAnsi="Times New Roman" w:cs="Times New Roman"/>
          <w:color w:val="000000"/>
          <w:sz w:val="24"/>
          <w:szCs w:val="24"/>
          <w:lang w:eastAsia="fr-FR"/>
        </w:rPr>
        <w:t>Bognon</w:t>
      </w:r>
      <w:proofErr w:type="spellEnd"/>
      <w:r w:rsidRPr="000A4A0F">
        <w:rPr>
          <w:rFonts w:ascii="Times New Roman" w:eastAsia="Times New Roman" w:hAnsi="Times New Roman" w:cs="Times New Roman"/>
          <w:color w:val="000000"/>
          <w:sz w:val="24"/>
          <w:szCs w:val="24"/>
          <w:lang w:eastAsia="fr-FR"/>
        </w:rPr>
        <w:t xml:space="preserve"> G et col au </w:t>
      </w:r>
      <w:r w:rsidR="00A8119D" w:rsidRPr="000A4A0F">
        <w:rPr>
          <w:rFonts w:ascii="Times New Roman" w:eastAsia="Times New Roman" w:hAnsi="Times New Roman" w:cs="Times New Roman"/>
          <w:color w:val="000000"/>
          <w:sz w:val="24"/>
          <w:szCs w:val="24"/>
          <w:lang w:eastAsia="fr-FR"/>
        </w:rPr>
        <w:t xml:space="preserve">Benin </w:t>
      </w:r>
      <w:r w:rsidR="00A8119D" w:rsidRPr="000A4A0F">
        <w:rPr>
          <w:rFonts w:ascii="Times New Roman" w:hAnsi="Times New Roman" w:cs="Times New Roman"/>
          <w:sz w:val="24"/>
          <w:szCs w:val="24"/>
        </w:rPr>
        <w:t>avaient</w:t>
      </w:r>
      <w:r w:rsidRPr="000A4A0F">
        <w:rPr>
          <w:rFonts w:ascii="Times New Roman" w:hAnsi="Times New Roman" w:cs="Times New Roman"/>
          <w:sz w:val="24"/>
          <w:szCs w:val="24"/>
        </w:rPr>
        <w:t xml:space="preserve"> trouvé une évolution défavorable de l’ictère néonatal laquelle était associée de façon statistiquement significative au mode d’admission (p=0,0001), à l’incompatibilité </w:t>
      </w:r>
      <w:r w:rsidR="00110DBB" w:rsidRPr="000A4A0F">
        <w:rPr>
          <w:rFonts w:ascii="Times New Roman" w:hAnsi="Times New Roman" w:cs="Times New Roman"/>
          <w:sz w:val="24"/>
          <w:szCs w:val="24"/>
        </w:rPr>
        <w:t>fœto-maternelle</w:t>
      </w:r>
      <w:r w:rsidRPr="000A4A0F">
        <w:rPr>
          <w:rFonts w:ascii="Times New Roman" w:hAnsi="Times New Roman" w:cs="Times New Roman"/>
          <w:sz w:val="24"/>
          <w:szCs w:val="24"/>
        </w:rPr>
        <w:t xml:space="preserve"> dans les systèmes ABO et rhésus (0,01) et à la prématurité (0,004).</w:t>
      </w:r>
    </w:p>
    <w:p w14:paraId="534C3091" w14:textId="77777777" w:rsidR="00204E5B" w:rsidRPr="000A4A0F" w:rsidRDefault="00204E5B"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357FF3A0" w14:textId="71E75266" w:rsidR="00210EC5" w:rsidRPr="00154ECA" w:rsidRDefault="00154ECA" w:rsidP="00154ECA">
      <w:pPr>
        <w:suppressAutoHyphens w:val="0"/>
        <w:spacing w:after="0" w:line="360" w:lineRule="auto"/>
        <w:jc w:val="both"/>
        <w:rPr>
          <w:rFonts w:ascii="Times New Roman" w:eastAsia="Times New Roman" w:hAnsi="Times New Roman" w:cs="Times New Roman"/>
          <w:color w:val="000000"/>
          <w:sz w:val="24"/>
          <w:szCs w:val="24"/>
          <w:lang w:eastAsia="fr-FR"/>
        </w:rPr>
      </w:pPr>
      <w:bookmarkStart w:id="70" w:name="_Toc87049082"/>
      <w:r>
        <w:rPr>
          <w:rFonts w:ascii="Times New Roman" w:eastAsia="Times New Roman" w:hAnsi="Times New Roman" w:cs="Times New Roman"/>
          <w:color w:val="000000"/>
          <w:sz w:val="24"/>
          <w:szCs w:val="24"/>
          <w:lang w:eastAsia="fr-FR"/>
        </w:rPr>
        <w:lastRenderedPageBreak/>
        <w:t xml:space="preserve">   </w:t>
      </w:r>
      <w:r w:rsidR="00210EC5" w:rsidRPr="000A4A0F">
        <w:rPr>
          <w:sz w:val="24"/>
          <w:szCs w:val="24"/>
        </w:rPr>
        <w:t>CONCLUSION ET RECOMMANDATIONS</w:t>
      </w:r>
      <w:bookmarkEnd w:id="70"/>
    </w:p>
    <w:p w14:paraId="72C9FC31" w14:textId="77777777" w:rsidR="0054083D" w:rsidRPr="000A4A0F" w:rsidRDefault="0054083D" w:rsidP="006612D9">
      <w:pPr>
        <w:pStyle w:val="Titre1"/>
        <w:spacing w:before="0" w:beforeAutospacing="0" w:after="0" w:afterAutospacing="0" w:line="360" w:lineRule="auto"/>
        <w:jc w:val="both"/>
        <w:rPr>
          <w:sz w:val="24"/>
          <w:szCs w:val="24"/>
        </w:rPr>
      </w:pPr>
    </w:p>
    <w:p w14:paraId="08B20371" w14:textId="77777777" w:rsidR="00B81B8E" w:rsidRPr="000A4A0F" w:rsidRDefault="00BF61FD" w:rsidP="006612D9">
      <w:pPr>
        <w:pStyle w:val="Titre2"/>
        <w:numPr>
          <w:ilvl w:val="0"/>
          <w:numId w:val="38"/>
        </w:numPr>
        <w:spacing w:before="0" w:line="360" w:lineRule="auto"/>
        <w:jc w:val="both"/>
        <w:rPr>
          <w:rFonts w:ascii="Times New Roman" w:hAnsi="Times New Roman" w:cs="Times New Roman"/>
          <w:b/>
          <w:sz w:val="24"/>
          <w:szCs w:val="24"/>
        </w:rPr>
      </w:pPr>
      <w:bookmarkStart w:id="71" w:name="_Toc87049083"/>
      <w:r w:rsidRPr="000A4A0F">
        <w:rPr>
          <w:rFonts w:ascii="Times New Roman" w:hAnsi="Times New Roman" w:cs="Times New Roman"/>
          <w:b/>
          <w:sz w:val="24"/>
          <w:szCs w:val="24"/>
        </w:rPr>
        <w:t>CONCLUSION</w:t>
      </w:r>
      <w:bookmarkEnd w:id="71"/>
    </w:p>
    <w:p w14:paraId="303AB003" w14:textId="189F274E" w:rsidR="00B81B8E" w:rsidRPr="00672667" w:rsidRDefault="00B81B8E"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La prévalence de l’ictère a</w:t>
      </w:r>
      <w:r w:rsidR="00F96DAD" w:rsidRPr="000A4A0F">
        <w:rPr>
          <w:rFonts w:ascii="Times New Roman" w:eastAsia="Times New Roman" w:hAnsi="Times New Roman" w:cs="Times New Roman"/>
          <w:color w:val="000000"/>
          <w:sz w:val="24"/>
          <w:szCs w:val="24"/>
          <w:lang w:eastAsia="fr-FR"/>
        </w:rPr>
        <w:t>u</w:t>
      </w:r>
      <w:r w:rsidRPr="000A4A0F">
        <w:rPr>
          <w:rFonts w:ascii="Times New Roman" w:eastAsia="Times New Roman" w:hAnsi="Times New Roman" w:cs="Times New Roman"/>
          <w:color w:val="000000"/>
          <w:sz w:val="24"/>
          <w:szCs w:val="24"/>
          <w:lang w:eastAsia="fr-FR"/>
        </w:rPr>
        <w:t xml:space="preserve"> SIN de l’HPGRB est de </w:t>
      </w:r>
      <w:r w:rsidR="00F96DAD" w:rsidRPr="000A4A0F">
        <w:rPr>
          <w:rFonts w:ascii="Times New Roman" w:eastAsia="Times New Roman" w:hAnsi="Times New Roman" w:cs="Times New Roman"/>
          <w:color w:val="000000"/>
          <w:sz w:val="24"/>
          <w:szCs w:val="24"/>
          <w:lang w:eastAsia="fr-FR"/>
        </w:rPr>
        <w:t>18.6</w:t>
      </w:r>
      <w:r w:rsidR="00672667">
        <w:rPr>
          <w:rFonts w:ascii="Times New Roman" w:eastAsia="Times New Roman" w:hAnsi="Times New Roman" w:cs="Times New Roman"/>
          <w:color w:val="000000"/>
          <w:sz w:val="24"/>
          <w:szCs w:val="24"/>
          <w:lang w:eastAsia="fr-FR"/>
        </w:rPr>
        <w:t>%. N</w:t>
      </w:r>
      <w:r w:rsidR="000F6F0C">
        <w:rPr>
          <w:rFonts w:ascii="Times New Roman" w:eastAsia="Times New Roman" w:hAnsi="Times New Roman" w:cs="Times New Roman"/>
          <w:color w:val="000000"/>
          <w:sz w:val="24"/>
          <w:szCs w:val="24"/>
          <w:lang w:eastAsia="fr-FR"/>
        </w:rPr>
        <w:t>ous avons observ</w:t>
      </w:r>
      <w:r w:rsidR="000F6F0C" w:rsidRPr="000A4A0F">
        <w:rPr>
          <w:rFonts w:ascii="Times New Roman" w:eastAsia="Times New Roman" w:hAnsi="Times New Roman" w:cs="Times New Roman"/>
          <w:color w:val="000000"/>
          <w:sz w:val="24"/>
          <w:szCs w:val="24"/>
          <w:lang w:eastAsia="fr-FR"/>
        </w:rPr>
        <w:t>é</w:t>
      </w:r>
      <w:r w:rsidR="00672667">
        <w:rPr>
          <w:rFonts w:ascii="Times New Roman" w:eastAsia="Times New Roman" w:hAnsi="Times New Roman" w:cs="Times New Roman"/>
          <w:color w:val="000000"/>
          <w:sz w:val="24"/>
          <w:szCs w:val="24"/>
          <w:lang w:eastAsia="fr-FR"/>
        </w:rPr>
        <w:t xml:space="preserve"> que </w:t>
      </w:r>
      <w:r w:rsidRPr="000A4A0F">
        <w:rPr>
          <w:rFonts w:ascii="Times New Roman" w:eastAsia="Times New Roman" w:hAnsi="Times New Roman" w:cs="Times New Roman"/>
          <w:color w:val="000000"/>
          <w:sz w:val="24"/>
          <w:szCs w:val="24"/>
          <w:lang w:eastAsia="fr-FR"/>
        </w:rPr>
        <w:t xml:space="preserve">comme </w:t>
      </w:r>
      <w:r w:rsidR="00672667">
        <w:rPr>
          <w:rFonts w:ascii="Times New Roman" w:eastAsia="Times New Roman" w:hAnsi="Times New Roman" w:cs="Times New Roman"/>
          <w:color w:val="000000"/>
          <w:sz w:val="24"/>
          <w:szCs w:val="24"/>
          <w:lang w:eastAsia="fr-FR"/>
        </w:rPr>
        <w:t xml:space="preserve"> les i</w:t>
      </w:r>
      <w:r w:rsidR="007A18D6" w:rsidRPr="000A4A0F">
        <w:rPr>
          <w:rFonts w:ascii="Times New Roman" w:eastAsia="Times New Roman" w:hAnsi="Times New Roman" w:cs="Times New Roman"/>
          <w:color w:val="000000"/>
          <w:sz w:val="24"/>
          <w:szCs w:val="24"/>
          <w:lang w:eastAsia="fr-FR"/>
        </w:rPr>
        <w:t>ncompatibilité</w:t>
      </w:r>
      <w:r w:rsidR="000F6F0C">
        <w:rPr>
          <w:rFonts w:ascii="Times New Roman" w:eastAsia="Times New Roman" w:hAnsi="Times New Roman" w:cs="Times New Roman"/>
          <w:color w:val="000000"/>
          <w:sz w:val="24"/>
          <w:szCs w:val="24"/>
          <w:lang w:eastAsia="fr-FR"/>
        </w:rPr>
        <w:t>s</w:t>
      </w:r>
      <w:r w:rsidRPr="000A4A0F">
        <w:rPr>
          <w:rFonts w:ascii="Times New Roman" w:eastAsia="Times New Roman" w:hAnsi="Times New Roman" w:cs="Times New Roman"/>
          <w:color w:val="000000"/>
          <w:sz w:val="24"/>
          <w:szCs w:val="24"/>
          <w:lang w:eastAsia="fr-FR"/>
        </w:rPr>
        <w:t xml:space="preserve"> </w:t>
      </w:r>
      <w:r w:rsidR="00672667">
        <w:rPr>
          <w:rFonts w:ascii="Times New Roman" w:eastAsia="Times New Roman" w:hAnsi="Times New Roman" w:cs="Times New Roman"/>
          <w:color w:val="000000"/>
          <w:sz w:val="24"/>
          <w:szCs w:val="24"/>
          <w:lang w:eastAsia="fr-FR"/>
        </w:rPr>
        <w:t xml:space="preserve"> dans le </w:t>
      </w:r>
      <w:proofErr w:type="spellStart"/>
      <w:r w:rsidR="00672667">
        <w:rPr>
          <w:rFonts w:ascii="Times New Roman" w:eastAsia="Times New Roman" w:hAnsi="Times New Roman" w:cs="Times New Roman"/>
          <w:color w:val="000000"/>
          <w:sz w:val="24"/>
          <w:szCs w:val="24"/>
          <w:lang w:eastAsia="fr-FR"/>
        </w:rPr>
        <w:t>systeme</w:t>
      </w:r>
      <w:proofErr w:type="spellEnd"/>
      <w:r w:rsidR="00672667">
        <w:rPr>
          <w:rFonts w:ascii="Times New Roman" w:eastAsia="Times New Roman" w:hAnsi="Times New Roman" w:cs="Times New Roman"/>
          <w:color w:val="000000"/>
          <w:sz w:val="24"/>
          <w:szCs w:val="24"/>
          <w:lang w:eastAsia="fr-FR"/>
        </w:rPr>
        <w:t xml:space="preserve"> </w:t>
      </w:r>
      <w:r w:rsidRPr="000A4A0F">
        <w:rPr>
          <w:rFonts w:ascii="Times New Roman" w:eastAsia="Times New Roman" w:hAnsi="Times New Roman" w:cs="Times New Roman"/>
          <w:color w:val="000000"/>
          <w:sz w:val="24"/>
          <w:szCs w:val="24"/>
          <w:lang w:eastAsia="fr-FR"/>
        </w:rPr>
        <w:t xml:space="preserve">ABO et </w:t>
      </w:r>
      <w:r w:rsidR="00A51D83" w:rsidRPr="000A4A0F">
        <w:rPr>
          <w:rFonts w:ascii="Times New Roman" w:eastAsia="Times New Roman" w:hAnsi="Times New Roman" w:cs="Times New Roman"/>
          <w:color w:val="000000"/>
          <w:sz w:val="24"/>
          <w:szCs w:val="24"/>
          <w:lang w:eastAsia="fr-FR"/>
        </w:rPr>
        <w:t>Rh</w:t>
      </w:r>
      <w:r w:rsidR="000F6F0C" w:rsidRPr="000A4A0F">
        <w:rPr>
          <w:rFonts w:ascii="Times New Roman" w:eastAsia="Times New Roman" w:hAnsi="Times New Roman" w:cs="Times New Roman"/>
          <w:color w:val="000000"/>
          <w:sz w:val="24"/>
          <w:szCs w:val="24"/>
          <w:lang w:eastAsia="fr-FR"/>
        </w:rPr>
        <w:t>é</w:t>
      </w:r>
      <w:r w:rsidR="00672667">
        <w:rPr>
          <w:rFonts w:ascii="Times New Roman" w:eastAsia="Times New Roman" w:hAnsi="Times New Roman" w:cs="Times New Roman"/>
          <w:color w:val="000000"/>
          <w:sz w:val="24"/>
          <w:szCs w:val="24"/>
          <w:lang w:eastAsia="fr-FR"/>
        </w:rPr>
        <w:t>sus</w:t>
      </w:r>
      <w:r w:rsidRPr="000A4A0F">
        <w:rPr>
          <w:rFonts w:ascii="Times New Roman" w:eastAsia="Times New Roman" w:hAnsi="Times New Roman" w:cs="Times New Roman"/>
          <w:color w:val="000000"/>
          <w:sz w:val="24"/>
          <w:szCs w:val="24"/>
          <w:lang w:eastAsia="fr-FR"/>
        </w:rPr>
        <w:t>,</w:t>
      </w:r>
      <w:r w:rsidR="00BF61FD" w:rsidRPr="000A4A0F">
        <w:rPr>
          <w:rFonts w:ascii="Times New Roman" w:eastAsia="Times New Roman" w:hAnsi="Times New Roman" w:cs="Times New Roman"/>
          <w:color w:val="000000"/>
          <w:sz w:val="24"/>
          <w:szCs w:val="24"/>
          <w:lang w:eastAsia="fr-FR"/>
        </w:rPr>
        <w:t xml:space="preserve"> </w:t>
      </w:r>
      <w:r w:rsidR="00672667">
        <w:rPr>
          <w:rFonts w:ascii="Times New Roman" w:eastAsia="Times New Roman" w:hAnsi="Times New Roman" w:cs="Times New Roman"/>
          <w:color w:val="000000"/>
          <w:sz w:val="24"/>
          <w:szCs w:val="24"/>
          <w:lang w:eastAsia="fr-FR"/>
        </w:rPr>
        <w:t>la prématurité, les i</w:t>
      </w:r>
      <w:r w:rsidR="007A18D6" w:rsidRPr="000A4A0F">
        <w:rPr>
          <w:rFonts w:ascii="Times New Roman" w:eastAsia="Times New Roman" w:hAnsi="Times New Roman" w:cs="Times New Roman"/>
          <w:color w:val="000000"/>
          <w:sz w:val="24"/>
          <w:szCs w:val="24"/>
          <w:lang w:eastAsia="fr-FR"/>
        </w:rPr>
        <w:t>nfection</w:t>
      </w:r>
      <w:r w:rsidR="00672667">
        <w:rPr>
          <w:rFonts w:ascii="Times New Roman" w:eastAsia="Times New Roman" w:hAnsi="Times New Roman" w:cs="Times New Roman"/>
          <w:color w:val="000000"/>
          <w:sz w:val="24"/>
          <w:szCs w:val="24"/>
          <w:lang w:eastAsia="fr-FR"/>
        </w:rPr>
        <w:t xml:space="preserve">s ainsi que le </w:t>
      </w:r>
      <w:r w:rsidR="00BF61FD" w:rsidRPr="000A4A0F">
        <w:rPr>
          <w:rFonts w:ascii="Times New Roman" w:eastAsia="Times New Roman" w:hAnsi="Times New Roman" w:cs="Times New Roman"/>
          <w:color w:val="000000"/>
          <w:sz w:val="24"/>
          <w:szCs w:val="24"/>
          <w:lang w:eastAsia="fr-FR"/>
        </w:rPr>
        <w:t>d</w:t>
      </w:r>
      <w:r w:rsidR="00760D61" w:rsidRPr="000A4A0F">
        <w:rPr>
          <w:rFonts w:ascii="Times New Roman" w:eastAsia="Times New Roman" w:hAnsi="Times New Roman" w:cs="Times New Roman"/>
          <w:color w:val="000000"/>
          <w:sz w:val="24"/>
          <w:szCs w:val="24"/>
          <w:lang w:eastAsia="fr-FR"/>
        </w:rPr>
        <w:t>éficit</w:t>
      </w:r>
      <w:r w:rsidR="00672667">
        <w:rPr>
          <w:rFonts w:ascii="Times New Roman" w:eastAsia="Times New Roman" w:hAnsi="Times New Roman" w:cs="Times New Roman"/>
          <w:color w:val="000000"/>
          <w:sz w:val="24"/>
          <w:szCs w:val="24"/>
          <w:lang w:eastAsia="fr-FR"/>
        </w:rPr>
        <w:t xml:space="preserve"> en G6PD</w:t>
      </w:r>
      <w:r w:rsidR="000F6F0C">
        <w:rPr>
          <w:rFonts w:ascii="Times New Roman" w:eastAsia="Times New Roman" w:hAnsi="Times New Roman" w:cs="Times New Roman"/>
          <w:color w:val="000000"/>
          <w:sz w:val="24"/>
          <w:szCs w:val="24"/>
          <w:lang w:eastAsia="fr-FR"/>
        </w:rPr>
        <w:t xml:space="preserve"> </w:t>
      </w:r>
      <w:proofErr w:type="spellStart"/>
      <w:r w:rsidR="000F6F0C">
        <w:rPr>
          <w:rFonts w:ascii="Times New Roman" w:eastAsia="Times New Roman" w:hAnsi="Times New Roman" w:cs="Times New Roman"/>
          <w:color w:val="000000"/>
          <w:sz w:val="24"/>
          <w:szCs w:val="24"/>
          <w:lang w:eastAsia="fr-FR"/>
        </w:rPr>
        <w:t>etaient</w:t>
      </w:r>
      <w:proofErr w:type="spellEnd"/>
      <w:r w:rsidR="000F6F0C">
        <w:rPr>
          <w:rFonts w:ascii="Times New Roman" w:eastAsia="Times New Roman" w:hAnsi="Times New Roman" w:cs="Times New Roman"/>
          <w:color w:val="000000"/>
          <w:sz w:val="24"/>
          <w:szCs w:val="24"/>
          <w:lang w:eastAsia="fr-FR"/>
        </w:rPr>
        <w:t xml:space="preserve"> associ</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 xml:space="preserve">s </w:t>
      </w:r>
      <w:proofErr w:type="spellStart"/>
      <w:r w:rsidR="000F6F0C">
        <w:rPr>
          <w:rFonts w:ascii="Times New Roman" w:eastAsia="Times New Roman" w:hAnsi="Times New Roman" w:cs="Times New Roman"/>
          <w:color w:val="000000"/>
          <w:sz w:val="24"/>
          <w:szCs w:val="24"/>
          <w:lang w:eastAsia="fr-FR"/>
        </w:rPr>
        <w:t>a</w:t>
      </w:r>
      <w:proofErr w:type="spellEnd"/>
      <w:r w:rsidR="000F6F0C">
        <w:rPr>
          <w:rFonts w:ascii="Times New Roman" w:eastAsia="Times New Roman" w:hAnsi="Times New Roman" w:cs="Times New Roman"/>
          <w:color w:val="000000"/>
          <w:sz w:val="24"/>
          <w:szCs w:val="24"/>
          <w:lang w:eastAsia="fr-FR"/>
        </w:rPr>
        <w:t xml:space="preserve"> une hyperbilirubin</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mie non conjugu</w:t>
      </w:r>
      <w:r w:rsidR="000F6F0C" w:rsidRPr="000A4A0F">
        <w:rPr>
          <w:rFonts w:ascii="Times New Roman" w:eastAsia="Times New Roman" w:hAnsi="Times New Roman" w:cs="Times New Roman"/>
          <w:color w:val="000000"/>
          <w:sz w:val="24"/>
          <w:szCs w:val="24"/>
          <w:lang w:eastAsia="fr-FR"/>
        </w:rPr>
        <w:t>é</w:t>
      </w:r>
      <w:r w:rsidR="00672667">
        <w:rPr>
          <w:rFonts w:ascii="Times New Roman" w:eastAsia="Times New Roman" w:hAnsi="Times New Roman" w:cs="Times New Roman"/>
          <w:color w:val="000000"/>
          <w:sz w:val="24"/>
          <w:szCs w:val="24"/>
          <w:lang w:eastAsia="fr-FR"/>
        </w:rPr>
        <w:t xml:space="preserve">e </w:t>
      </w:r>
      <w:proofErr w:type="spellStart"/>
      <w:r w:rsidR="00672667">
        <w:rPr>
          <w:rFonts w:ascii="Times New Roman" w:eastAsia="Times New Roman" w:hAnsi="Times New Roman" w:cs="Times New Roman"/>
          <w:color w:val="000000"/>
          <w:sz w:val="24"/>
          <w:szCs w:val="24"/>
          <w:lang w:eastAsia="fr-FR"/>
        </w:rPr>
        <w:t>tres</w:t>
      </w:r>
      <w:proofErr w:type="spellEnd"/>
      <w:r w:rsidR="00672667">
        <w:rPr>
          <w:rFonts w:ascii="Times New Roman" w:eastAsia="Times New Roman" w:hAnsi="Times New Roman" w:cs="Times New Roman"/>
          <w:color w:val="000000"/>
          <w:sz w:val="24"/>
          <w:szCs w:val="24"/>
          <w:lang w:eastAsia="fr-FR"/>
        </w:rPr>
        <w:t xml:space="preserve"> grave. 16,6%</w:t>
      </w:r>
      <w:r w:rsidR="000F6F0C">
        <w:rPr>
          <w:rFonts w:ascii="Times New Roman" w:eastAsia="Times New Roman" w:hAnsi="Times New Roman" w:cs="Times New Roman"/>
          <w:color w:val="000000"/>
          <w:sz w:val="24"/>
          <w:szCs w:val="24"/>
          <w:lang w:eastAsia="fr-FR"/>
        </w:rPr>
        <w:t xml:space="preserve"> de nouveau-n</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 xml:space="preserve">s avaient </w:t>
      </w:r>
      <w:proofErr w:type="spellStart"/>
      <w:r w:rsidR="000F6F0C">
        <w:rPr>
          <w:rFonts w:ascii="Times New Roman" w:eastAsia="Times New Roman" w:hAnsi="Times New Roman" w:cs="Times New Roman"/>
          <w:color w:val="000000"/>
          <w:sz w:val="24"/>
          <w:szCs w:val="24"/>
          <w:lang w:eastAsia="fr-FR"/>
        </w:rPr>
        <w:t>developp</w:t>
      </w:r>
      <w:r w:rsidR="000F6F0C" w:rsidRPr="000A4A0F">
        <w:rPr>
          <w:rFonts w:ascii="Times New Roman" w:eastAsia="Times New Roman" w:hAnsi="Times New Roman" w:cs="Times New Roman"/>
          <w:color w:val="000000"/>
          <w:sz w:val="24"/>
          <w:szCs w:val="24"/>
          <w:lang w:eastAsia="fr-FR"/>
        </w:rPr>
        <w:t>é</w:t>
      </w:r>
      <w:proofErr w:type="spellEnd"/>
      <w:r w:rsidR="00672667">
        <w:rPr>
          <w:rFonts w:ascii="Times New Roman" w:eastAsia="Times New Roman" w:hAnsi="Times New Roman" w:cs="Times New Roman"/>
          <w:color w:val="000000"/>
          <w:sz w:val="24"/>
          <w:szCs w:val="24"/>
          <w:lang w:eastAsia="fr-FR"/>
        </w:rPr>
        <w:t xml:space="preserve"> l’</w:t>
      </w:r>
      <w:r w:rsidR="000F6F0C">
        <w:rPr>
          <w:rFonts w:ascii="Times New Roman" w:eastAsia="Times New Roman" w:hAnsi="Times New Roman" w:cs="Times New Roman"/>
          <w:color w:val="000000"/>
          <w:sz w:val="24"/>
          <w:szCs w:val="24"/>
          <w:lang w:eastAsia="fr-FR"/>
        </w:rPr>
        <w:t>an</w:t>
      </w:r>
      <w:r w:rsidR="000F6F0C" w:rsidRPr="000A4A0F">
        <w:rPr>
          <w:rFonts w:ascii="Times New Roman" w:eastAsia="Times New Roman" w:hAnsi="Times New Roman" w:cs="Times New Roman"/>
          <w:color w:val="000000"/>
          <w:sz w:val="24"/>
          <w:szCs w:val="24"/>
          <w:lang w:eastAsia="fr-FR"/>
        </w:rPr>
        <w:t>é</w:t>
      </w:r>
      <w:r w:rsidR="00672667">
        <w:rPr>
          <w:rFonts w:ascii="Times New Roman" w:eastAsia="Times New Roman" w:hAnsi="Times New Roman" w:cs="Times New Roman"/>
          <w:color w:val="000000"/>
          <w:sz w:val="24"/>
          <w:szCs w:val="24"/>
          <w:lang w:eastAsia="fr-FR"/>
        </w:rPr>
        <w:t>mie et 11,9%</w:t>
      </w:r>
      <w:r w:rsidR="000F6F0C">
        <w:rPr>
          <w:rFonts w:ascii="Times New Roman" w:eastAsia="Times New Roman" w:hAnsi="Times New Roman" w:cs="Times New Roman"/>
          <w:color w:val="000000"/>
          <w:sz w:val="24"/>
          <w:szCs w:val="24"/>
          <w:lang w:eastAsia="fr-FR"/>
        </w:rPr>
        <w:t xml:space="preserve"> de nouveau-n</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s avait le trait dr</w:t>
      </w:r>
      <w:r w:rsidR="000F6F0C" w:rsidRPr="000A4A0F">
        <w:rPr>
          <w:rFonts w:ascii="Times New Roman" w:eastAsia="Times New Roman" w:hAnsi="Times New Roman" w:cs="Times New Roman"/>
          <w:color w:val="000000"/>
          <w:sz w:val="24"/>
          <w:szCs w:val="24"/>
          <w:lang w:eastAsia="fr-FR"/>
        </w:rPr>
        <w:t>é</w:t>
      </w:r>
      <w:r w:rsidR="00672667">
        <w:rPr>
          <w:rFonts w:ascii="Times New Roman" w:eastAsia="Times New Roman" w:hAnsi="Times New Roman" w:cs="Times New Roman"/>
          <w:color w:val="000000"/>
          <w:sz w:val="24"/>
          <w:szCs w:val="24"/>
          <w:lang w:eastAsia="fr-FR"/>
        </w:rPr>
        <w:t>panocytaire. Environ 7%</w:t>
      </w:r>
      <w:r w:rsidR="000F6F0C">
        <w:rPr>
          <w:rFonts w:ascii="Times New Roman" w:eastAsia="Times New Roman" w:hAnsi="Times New Roman" w:cs="Times New Roman"/>
          <w:color w:val="000000"/>
          <w:sz w:val="24"/>
          <w:szCs w:val="24"/>
          <w:lang w:eastAsia="fr-FR"/>
        </w:rPr>
        <w:t xml:space="preserve"> de nouveau-n</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 xml:space="preserve">s </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 xml:space="preserve">taient </w:t>
      </w:r>
      <w:proofErr w:type="spellStart"/>
      <w:r w:rsidR="000F6F0C">
        <w:rPr>
          <w:rFonts w:ascii="Times New Roman" w:eastAsia="Times New Roman" w:hAnsi="Times New Roman" w:cs="Times New Roman"/>
          <w:color w:val="000000"/>
          <w:sz w:val="24"/>
          <w:szCs w:val="24"/>
          <w:lang w:eastAsia="fr-FR"/>
        </w:rPr>
        <w:t>d</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ced</w:t>
      </w:r>
      <w:r w:rsidR="000F6F0C" w:rsidRPr="000A4A0F">
        <w:rPr>
          <w:rFonts w:ascii="Times New Roman" w:eastAsia="Times New Roman" w:hAnsi="Times New Roman" w:cs="Times New Roman"/>
          <w:color w:val="000000"/>
          <w:sz w:val="24"/>
          <w:szCs w:val="24"/>
          <w:lang w:eastAsia="fr-FR"/>
        </w:rPr>
        <w:t>é</w:t>
      </w:r>
      <w:r w:rsidR="00672667">
        <w:rPr>
          <w:rFonts w:ascii="Times New Roman" w:eastAsia="Times New Roman" w:hAnsi="Times New Roman" w:cs="Times New Roman"/>
          <w:color w:val="000000"/>
          <w:sz w:val="24"/>
          <w:szCs w:val="24"/>
          <w:lang w:eastAsia="fr-FR"/>
        </w:rPr>
        <w:t>s</w:t>
      </w:r>
      <w:proofErr w:type="spellEnd"/>
      <w:r w:rsidR="00672667">
        <w:rPr>
          <w:rFonts w:ascii="Times New Roman" w:eastAsia="Times New Roman" w:hAnsi="Times New Roman" w:cs="Times New Roman"/>
          <w:color w:val="000000"/>
          <w:sz w:val="24"/>
          <w:szCs w:val="24"/>
          <w:lang w:eastAsia="fr-FR"/>
        </w:rPr>
        <w:t>. L</w:t>
      </w:r>
      <w:r w:rsidR="000F6F0C">
        <w:rPr>
          <w:rFonts w:ascii="Times New Roman" w:eastAsia="Times New Roman" w:hAnsi="Times New Roman" w:cs="Times New Roman"/>
          <w:color w:val="000000"/>
          <w:sz w:val="24"/>
          <w:szCs w:val="24"/>
          <w:lang w:eastAsia="fr-FR"/>
        </w:rPr>
        <w:t xml:space="preserve">e risque de </w:t>
      </w:r>
      <w:proofErr w:type="spellStart"/>
      <w:r w:rsidR="000F6F0C">
        <w:rPr>
          <w:rFonts w:ascii="Times New Roman" w:eastAsia="Times New Roman" w:hAnsi="Times New Roman" w:cs="Times New Roman"/>
          <w:color w:val="000000"/>
          <w:sz w:val="24"/>
          <w:szCs w:val="24"/>
          <w:lang w:eastAsia="fr-FR"/>
        </w:rPr>
        <w:t>d</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ces</w:t>
      </w:r>
      <w:proofErr w:type="spellEnd"/>
      <w:r w:rsidR="000F6F0C">
        <w:rPr>
          <w:rFonts w:ascii="Times New Roman" w:eastAsia="Times New Roman" w:hAnsi="Times New Roman" w:cs="Times New Roman"/>
          <w:color w:val="000000"/>
          <w:sz w:val="24"/>
          <w:szCs w:val="24"/>
          <w:lang w:eastAsia="fr-FR"/>
        </w:rPr>
        <w:t xml:space="preserve"> </w:t>
      </w:r>
      <w:r w:rsidR="000F6F0C" w:rsidRPr="000A4A0F">
        <w:rPr>
          <w:rFonts w:ascii="Times New Roman" w:eastAsia="Times New Roman" w:hAnsi="Times New Roman" w:cs="Times New Roman"/>
          <w:color w:val="000000"/>
          <w:sz w:val="24"/>
          <w:szCs w:val="24"/>
          <w:lang w:eastAsia="fr-FR"/>
        </w:rPr>
        <w:t>é</w:t>
      </w:r>
      <w:r w:rsidR="00672667">
        <w:rPr>
          <w:rFonts w:ascii="Times New Roman" w:eastAsia="Times New Roman" w:hAnsi="Times New Roman" w:cs="Times New Roman"/>
          <w:color w:val="000000"/>
          <w:sz w:val="24"/>
          <w:szCs w:val="24"/>
          <w:lang w:eastAsia="fr-FR"/>
        </w:rPr>
        <w:t xml:space="preserve">tait plus lie </w:t>
      </w:r>
      <w:proofErr w:type="spellStart"/>
      <w:r w:rsidR="00672667">
        <w:rPr>
          <w:rFonts w:ascii="Times New Roman" w:eastAsia="Times New Roman" w:hAnsi="Times New Roman" w:cs="Times New Roman"/>
          <w:color w:val="000000"/>
          <w:sz w:val="24"/>
          <w:szCs w:val="24"/>
          <w:lang w:eastAsia="fr-FR"/>
        </w:rPr>
        <w:t>a</w:t>
      </w:r>
      <w:proofErr w:type="spellEnd"/>
      <w:r w:rsidR="00672667">
        <w:rPr>
          <w:rFonts w:ascii="Times New Roman" w:eastAsia="Times New Roman" w:hAnsi="Times New Roman" w:cs="Times New Roman"/>
          <w:color w:val="000000"/>
          <w:sz w:val="24"/>
          <w:szCs w:val="24"/>
          <w:lang w:eastAsia="fr-FR"/>
        </w:rPr>
        <w:t xml:space="preserve"> l’infection ainsi qu’</w:t>
      </w:r>
      <w:proofErr w:type="spellStart"/>
      <w:r w:rsidR="000F6F0C">
        <w:rPr>
          <w:rFonts w:ascii="Times New Roman" w:eastAsia="Times New Roman" w:hAnsi="Times New Roman" w:cs="Times New Roman"/>
          <w:color w:val="000000"/>
          <w:sz w:val="24"/>
          <w:szCs w:val="24"/>
          <w:lang w:eastAsia="fr-FR"/>
        </w:rPr>
        <w:t>a</w:t>
      </w:r>
      <w:proofErr w:type="spellEnd"/>
      <w:r w:rsidR="000F6F0C">
        <w:rPr>
          <w:rFonts w:ascii="Times New Roman" w:eastAsia="Times New Roman" w:hAnsi="Times New Roman" w:cs="Times New Roman"/>
          <w:color w:val="000000"/>
          <w:sz w:val="24"/>
          <w:szCs w:val="24"/>
          <w:lang w:eastAsia="fr-FR"/>
        </w:rPr>
        <w:t xml:space="preserve"> la pr</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maturit</w:t>
      </w:r>
      <w:r w:rsidR="000F6F0C" w:rsidRPr="000A4A0F">
        <w:rPr>
          <w:rFonts w:ascii="Times New Roman" w:eastAsia="Times New Roman" w:hAnsi="Times New Roman" w:cs="Times New Roman"/>
          <w:color w:val="000000"/>
          <w:sz w:val="24"/>
          <w:szCs w:val="24"/>
          <w:lang w:eastAsia="fr-FR"/>
        </w:rPr>
        <w:t>é</w:t>
      </w:r>
      <w:r w:rsidR="00672667">
        <w:rPr>
          <w:rFonts w:ascii="Times New Roman" w:eastAsia="Times New Roman" w:hAnsi="Times New Roman" w:cs="Times New Roman"/>
          <w:color w:val="000000"/>
          <w:sz w:val="24"/>
          <w:szCs w:val="24"/>
          <w:lang w:eastAsia="fr-FR"/>
        </w:rPr>
        <w:t>.</w:t>
      </w:r>
      <w:r w:rsidR="000F6F0C">
        <w:rPr>
          <w:rFonts w:ascii="Times New Roman" w:eastAsia="Times New Roman" w:hAnsi="Times New Roman" w:cs="Times New Roman"/>
          <w:color w:val="000000"/>
          <w:sz w:val="24"/>
          <w:szCs w:val="24"/>
          <w:lang w:eastAsia="fr-FR"/>
        </w:rPr>
        <w:t xml:space="preserve"> La mortalit</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 xml:space="preserve"> durant la p</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riode n</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 xml:space="preserve">onatale reste un </w:t>
      </w:r>
      <w:proofErr w:type="spellStart"/>
      <w:r w:rsidR="000F6F0C">
        <w:rPr>
          <w:rFonts w:ascii="Times New Roman" w:eastAsia="Times New Roman" w:hAnsi="Times New Roman" w:cs="Times New Roman"/>
          <w:color w:val="000000"/>
          <w:sz w:val="24"/>
          <w:szCs w:val="24"/>
          <w:lang w:eastAsia="fr-FR"/>
        </w:rPr>
        <w:t>d</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fit</w:t>
      </w:r>
      <w:proofErr w:type="spellEnd"/>
      <w:r w:rsidR="000F6F0C">
        <w:rPr>
          <w:rFonts w:ascii="Times New Roman" w:eastAsia="Times New Roman" w:hAnsi="Times New Roman" w:cs="Times New Roman"/>
          <w:color w:val="000000"/>
          <w:sz w:val="24"/>
          <w:szCs w:val="24"/>
          <w:lang w:eastAsia="fr-FR"/>
        </w:rPr>
        <w:t xml:space="preserve"> dans les pays en voie de d</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 xml:space="preserve">veloppement, </w:t>
      </w:r>
      <w:r w:rsidR="00672667">
        <w:rPr>
          <w:rFonts w:ascii="Times New Roman" w:eastAsia="Times New Roman" w:hAnsi="Times New Roman" w:cs="Times New Roman"/>
          <w:color w:val="000000"/>
          <w:sz w:val="24"/>
          <w:szCs w:val="24"/>
          <w:lang w:eastAsia="fr-FR"/>
        </w:rPr>
        <w:t xml:space="preserve"> </w:t>
      </w:r>
      <w:r w:rsidR="000F6F0C">
        <w:rPr>
          <w:rFonts w:ascii="Times New Roman" w:eastAsia="Times New Roman" w:hAnsi="Times New Roman" w:cs="Times New Roman"/>
          <w:color w:val="000000"/>
          <w:sz w:val="24"/>
          <w:szCs w:val="24"/>
          <w:lang w:eastAsia="fr-FR"/>
        </w:rPr>
        <w:t>les infections, la pr</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maturit</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 xml:space="preserve"> constituent le lourd fardeau durant cette p</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riode de vie. En vue  de diminuer la mortalit</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 xml:space="preserve"> n</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 xml:space="preserve">onatale, les mesures pour lutter contre les infections </w:t>
      </w:r>
      <w:proofErr w:type="spellStart"/>
      <w:r w:rsidR="000F6F0C">
        <w:rPr>
          <w:rFonts w:ascii="Times New Roman" w:eastAsia="Times New Roman" w:hAnsi="Times New Roman" w:cs="Times New Roman"/>
          <w:color w:val="000000"/>
          <w:sz w:val="24"/>
          <w:szCs w:val="24"/>
          <w:lang w:eastAsia="fr-FR"/>
        </w:rPr>
        <w:t>materno</w:t>
      </w:r>
      <w:proofErr w:type="spellEnd"/>
      <w:r w:rsidR="000F6F0C">
        <w:rPr>
          <w:rFonts w:ascii="Times New Roman" w:eastAsia="Times New Roman" w:hAnsi="Times New Roman" w:cs="Times New Roman"/>
          <w:color w:val="000000"/>
          <w:sz w:val="24"/>
          <w:szCs w:val="24"/>
          <w:lang w:eastAsia="fr-FR"/>
        </w:rPr>
        <w:t>-transmises ainsi que  la pr</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maturit</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 xml:space="preserve"> devraient </w:t>
      </w:r>
      <w:proofErr w:type="spellStart"/>
      <w:r w:rsidR="000F6F0C">
        <w:rPr>
          <w:rFonts w:ascii="Times New Roman" w:eastAsia="Times New Roman" w:hAnsi="Times New Roman" w:cs="Times New Roman"/>
          <w:color w:val="000000"/>
          <w:sz w:val="24"/>
          <w:szCs w:val="24"/>
          <w:lang w:eastAsia="fr-FR"/>
        </w:rPr>
        <w:t>etre</w:t>
      </w:r>
      <w:proofErr w:type="spellEnd"/>
      <w:r w:rsidR="000F6F0C">
        <w:rPr>
          <w:rFonts w:ascii="Times New Roman" w:eastAsia="Times New Roman" w:hAnsi="Times New Roman" w:cs="Times New Roman"/>
          <w:color w:val="000000"/>
          <w:sz w:val="24"/>
          <w:szCs w:val="24"/>
          <w:lang w:eastAsia="fr-FR"/>
        </w:rPr>
        <w:t xml:space="preserve"> renforc</w:t>
      </w:r>
      <w:r w:rsidR="000F6F0C" w:rsidRPr="000A4A0F">
        <w:rPr>
          <w:rFonts w:ascii="Times New Roman" w:eastAsia="Times New Roman" w:hAnsi="Times New Roman" w:cs="Times New Roman"/>
          <w:color w:val="000000"/>
          <w:sz w:val="24"/>
          <w:szCs w:val="24"/>
          <w:lang w:eastAsia="fr-FR"/>
        </w:rPr>
        <w:t>é</w:t>
      </w:r>
      <w:r w:rsidR="000F6F0C">
        <w:rPr>
          <w:rFonts w:ascii="Times New Roman" w:eastAsia="Times New Roman" w:hAnsi="Times New Roman" w:cs="Times New Roman"/>
          <w:color w:val="000000"/>
          <w:sz w:val="24"/>
          <w:szCs w:val="24"/>
          <w:lang w:eastAsia="fr-FR"/>
        </w:rPr>
        <w:t xml:space="preserve">es. Une attention </w:t>
      </w:r>
      <w:proofErr w:type="spellStart"/>
      <w:r w:rsidR="000F6F0C">
        <w:rPr>
          <w:rFonts w:ascii="Times New Roman" w:eastAsia="Times New Roman" w:hAnsi="Times New Roman" w:cs="Times New Roman"/>
          <w:color w:val="000000"/>
          <w:sz w:val="24"/>
          <w:szCs w:val="24"/>
          <w:lang w:eastAsia="fr-FR"/>
        </w:rPr>
        <w:t>particuliere</w:t>
      </w:r>
      <w:proofErr w:type="spellEnd"/>
      <w:r w:rsidR="000F6F0C">
        <w:rPr>
          <w:rFonts w:ascii="Times New Roman" w:eastAsia="Times New Roman" w:hAnsi="Times New Roman" w:cs="Times New Roman"/>
          <w:color w:val="000000"/>
          <w:sz w:val="24"/>
          <w:szCs w:val="24"/>
          <w:lang w:eastAsia="fr-FR"/>
        </w:rPr>
        <w:t xml:space="preserve"> devrait </w:t>
      </w:r>
      <w:proofErr w:type="spellStart"/>
      <w:r w:rsidR="000F6F0C">
        <w:rPr>
          <w:rFonts w:ascii="Times New Roman" w:eastAsia="Times New Roman" w:hAnsi="Times New Roman" w:cs="Times New Roman"/>
          <w:color w:val="000000"/>
          <w:sz w:val="24"/>
          <w:szCs w:val="24"/>
          <w:lang w:eastAsia="fr-FR"/>
        </w:rPr>
        <w:t>etre</w:t>
      </w:r>
      <w:proofErr w:type="spellEnd"/>
      <w:r w:rsidR="000F6F0C">
        <w:rPr>
          <w:rFonts w:ascii="Times New Roman" w:eastAsia="Times New Roman" w:hAnsi="Times New Roman" w:cs="Times New Roman"/>
          <w:color w:val="000000"/>
          <w:sz w:val="24"/>
          <w:szCs w:val="24"/>
          <w:lang w:eastAsia="fr-FR"/>
        </w:rPr>
        <w:t xml:space="preserve"> mise sur les </w:t>
      </w:r>
      <w:proofErr w:type="spellStart"/>
      <w:r w:rsidR="000F6F0C">
        <w:rPr>
          <w:rFonts w:ascii="Times New Roman" w:eastAsia="Times New Roman" w:hAnsi="Times New Roman" w:cs="Times New Roman"/>
          <w:color w:val="000000"/>
          <w:sz w:val="24"/>
          <w:szCs w:val="24"/>
          <w:lang w:eastAsia="fr-FR"/>
        </w:rPr>
        <w:t>hemoglobinopathies</w:t>
      </w:r>
      <w:proofErr w:type="spellEnd"/>
      <w:r w:rsidR="000F6F0C">
        <w:rPr>
          <w:rFonts w:ascii="Times New Roman" w:eastAsia="Times New Roman" w:hAnsi="Times New Roman" w:cs="Times New Roman"/>
          <w:color w:val="000000"/>
          <w:sz w:val="24"/>
          <w:szCs w:val="24"/>
          <w:lang w:eastAsia="fr-FR"/>
        </w:rPr>
        <w:t>.</w:t>
      </w:r>
    </w:p>
    <w:p w14:paraId="73803F0C" w14:textId="77777777" w:rsidR="00B81B8E" w:rsidRPr="000A4A0F" w:rsidRDefault="00B81B8E"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p>
    <w:p w14:paraId="19FFA9DF" w14:textId="77777777" w:rsidR="00B81B8E" w:rsidRPr="000A4A0F" w:rsidRDefault="00210EC5" w:rsidP="006612D9">
      <w:pPr>
        <w:pStyle w:val="Titre2"/>
        <w:numPr>
          <w:ilvl w:val="0"/>
          <w:numId w:val="38"/>
        </w:numPr>
        <w:spacing w:before="0" w:line="360" w:lineRule="auto"/>
        <w:jc w:val="both"/>
        <w:rPr>
          <w:rFonts w:ascii="Times New Roman" w:eastAsia="Times New Roman" w:hAnsi="Times New Roman" w:cs="Times New Roman"/>
          <w:b/>
          <w:sz w:val="24"/>
          <w:szCs w:val="24"/>
          <w:lang w:eastAsia="fr-FR"/>
        </w:rPr>
      </w:pPr>
      <w:bookmarkStart w:id="72" w:name="_Toc87049084"/>
      <w:r w:rsidRPr="000A4A0F">
        <w:rPr>
          <w:rFonts w:ascii="Times New Roman" w:eastAsia="Times New Roman" w:hAnsi="Times New Roman" w:cs="Times New Roman"/>
          <w:b/>
          <w:sz w:val="24"/>
          <w:szCs w:val="24"/>
          <w:lang w:eastAsia="fr-FR"/>
        </w:rPr>
        <w:t>RECOMMANDATIONS :</w:t>
      </w:r>
      <w:bookmarkEnd w:id="72"/>
    </w:p>
    <w:p w14:paraId="002482E4" w14:textId="77777777" w:rsidR="008A1EC3" w:rsidRPr="000A4A0F" w:rsidRDefault="008A1EC3" w:rsidP="006612D9">
      <w:p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fr-FR"/>
        </w:rPr>
      </w:pPr>
    </w:p>
    <w:p w14:paraId="652ACD7D" w14:textId="2A79FCA8" w:rsidR="00C77FE8" w:rsidRPr="00C77FE8" w:rsidRDefault="00C77FE8" w:rsidP="00C77FE8">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roofErr w:type="spellStart"/>
      <w:r w:rsidRPr="00AC74E8">
        <w:rPr>
          <w:rFonts w:ascii="Times New Roman" w:eastAsia="Times New Roman" w:hAnsi="Times New Roman" w:cs="Times New Roman"/>
          <w:color w:val="000000"/>
          <w:sz w:val="24"/>
          <w:szCs w:val="24"/>
          <w:highlight w:val="yellow"/>
          <w:lang w:eastAsia="fr-FR"/>
        </w:rPr>
        <w:t>Identfier</w:t>
      </w:r>
      <w:proofErr w:type="spellEnd"/>
      <w:r w:rsidRPr="00AC74E8">
        <w:rPr>
          <w:rFonts w:ascii="Times New Roman" w:eastAsia="Times New Roman" w:hAnsi="Times New Roman" w:cs="Times New Roman"/>
          <w:color w:val="000000"/>
          <w:sz w:val="24"/>
          <w:szCs w:val="24"/>
          <w:highlight w:val="yellow"/>
          <w:lang w:eastAsia="fr-FR"/>
        </w:rPr>
        <w:t xml:space="preserve"> </w:t>
      </w:r>
      <w:proofErr w:type="spellStart"/>
      <w:r w:rsidRPr="00AC74E8">
        <w:rPr>
          <w:rFonts w:ascii="Times New Roman" w:eastAsia="Times New Roman" w:hAnsi="Times New Roman" w:cs="Times New Roman"/>
          <w:color w:val="000000"/>
          <w:sz w:val="24"/>
          <w:szCs w:val="24"/>
          <w:highlight w:val="yellow"/>
          <w:lang w:eastAsia="fr-FR"/>
        </w:rPr>
        <w:t>déja</w:t>
      </w:r>
      <w:proofErr w:type="spellEnd"/>
      <w:r>
        <w:rPr>
          <w:rFonts w:ascii="Times New Roman" w:eastAsia="Times New Roman" w:hAnsi="Times New Roman" w:cs="Times New Roman"/>
          <w:color w:val="000000"/>
          <w:sz w:val="24"/>
          <w:szCs w:val="24"/>
          <w:lang w:eastAsia="fr-FR"/>
        </w:rPr>
        <w:t xml:space="preserve"> dans la communaut</w:t>
      </w:r>
      <w:r w:rsidRPr="000A4A0F">
        <w:rPr>
          <w:rFonts w:ascii="Times New Roman" w:eastAsia="Times New Roman" w:hAnsi="Times New Roman" w:cs="Times New Roman"/>
          <w:color w:val="000000"/>
          <w:sz w:val="24"/>
          <w:szCs w:val="24"/>
          <w:lang w:eastAsia="fr-FR"/>
        </w:rPr>
        <w:t>é</w:t>
      </w:r>
      <w:r>
        <w:rPr>
          <w:rFonts w:ascii="Times New Roman" w:eastAsia="Times New Roman" w:hAnsi="Times New Roman" w:cs="Times New Roman"/>
          <w:color w:val="000000"/>
          <w:sz w:val="24"/>
          <w:szCs w:val="24"/>
          <w:lang w:eastAsia="fr-FR"/>
        </w:rPr>
        <w:t xml:space="preserve"> tous ces nouveau-n</w:t>
      </w:r>
      <w:r w:rsidRPr="000A4A0F">
        <w:rPr>
          <w:rFonts w:ascii="Times New Roman" w:eastAsia="Times New Roman" w:hAnsi="Times New Roman" w:cs="Times New Roman"/>
          <w:color w:val="000000"/>
          <w:sz w:val="24"/>
          <w:szCs w:val="24"/>
          <w:lang w:eastAsia="fr-FR"/>
        </w:rPr>
        <w:t>é</w:t>
      </w:r>
      <w:r>
        <w:rPr>
          <w:rFonts w:ascii="Times New Roman" w:eastAsia="Times New Roman" w:hAnsi="Times New Roman" w:cs="Times New Roman"/>
          <w:color w:val="000000"/>
          <w:sz w:val="24"/>
          <w:szCs w:val="24"/>
          <w:lang w:eastAsia="fr-FR"/>
        </w:rPr>
        <w:t>s  avec des r</w:t>
      </w:r>
      <w:r w:rsidRPr="000A4A0F">
        <w:rPr>
          <w:rFonts w:ascii="Times New Roman" w:eastAsia="Times New Roman" w:hAnsi="Times New Roman" w:cs="Times New Roman"/>
          <w:color w:val="000000"/>
          <w:sz w:val="24"/>
          <w:szCs w:val="24"/>
          <w:lang w:eastAsia="fr-FR"/>
        </w:rPr>
        <w:t>é</w:t>
      </w:r>
      <w:r>
        <w:rPr>
          <w:rFonts w:ascii="Times New Roman" w:eastAsia="Times New Roman" w:hAnsi="Times New Roman" w:cs="Times New Roman"/>
          <w:color w:val="000000"/>
          <w:sz w:val="24"/>
          <w:szCs w:val="24"/>
          <w:lang w:eastAsia="fr-FR"/>
        </w:rPr>
        <w:t>sultats pathologiques et envisager une prise en charge multidisciplinaire</w:t>
      </w:r>
    </w:p>
    <w:p w14:paraId="43068129" w14:textId="4B4AD3CF" w:rsidR="00E34320" w:rsidRPr="000A4A0F" w:rsidRDefault="000F6F0C"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N</w:t>
      </w:r>
      <w:r w:rsidR="00C77FE8">
        <w:rPr>
          <w:rFonts w:ascii="Times New Roman" w:eastAsia="Times New Roman" w:hAnsi="Times New Roman" w:cs="Times New Roman"/>
          <w:color w:val="000000"/>
          <w:sz w:val="24"/>
          <w:szCs w:val="24"/>
          <w:lang w:eastAsia="fr-FR"/>
        </w:rPr>
        <w:t xml:space="preserve">ous recommandons un </w:t>
      </w:r>
      <w:proofErr w:type="spellStart"/>
      <w:r w:rsidR="00C77FE8">
        <w:rPr>
          <w:rFonts w:ascii="Times New Roman" w:eastAsia="Times New Roman" w:hAnsi="Times New Roman" w:cs="Times New Roman"/>
          <w:color w:val="000000"/>
          <w:sz w:val="24"/>
          <w:szCs w:val="24"/>
          <w:lang w:eastAsia="fr-FR"/>
        </w:rPr>
        <w:t>depistage</w:t>
      </w:r>
      <w:proofErr w:type="spellEnd"/>
      <w:r w:rsidR="00C77FE8">
        <w:rPr>
          <w:rFonts w:ascii="Times New Roman" w:eastAsia="Times New Roman" w:hAnsi="Times New Roman" w:cs="Times New Roman"/>
          <w:color w:val="000000"/>
          <w:sz w:val="24"/>
          <w:szCs w:val="24"/>
          <w:lang w:eastAsia="fr-FR"/>
        </w:rPr>
        <w:t xml:space="preserve"> syst</w:t>
      </w:r>
      <w:r w:rsidR="00C77FE8" w:rsidRPr="000A4A0F">
        <w:rPr>
          <w:rFonts w:ascii="Times New Roman" w:eastAsia="Times New Roman" w:hAnsi="Times New Roman" w:cs="Times New Roman"/>
          <w:color w:val="000000"/>
          <w:sz w:val="24"/>
          <w:szCs w:val="24"/>
          <w:lang w:eastAsia="fr-FR"/>
        </w:rPr>
        <w:t>é</w:t>
      </w:r>
      <w:r>
        <w:rPr>
          <w:rFonts w:ascii="Times New Roman" w:eastAsia="Times New Roman" w:hAnsi="Times New Roman" w:cs="Times New Roman"/>
          <w:color w:val="000000"/>
          <w:sz w:val="24"/>
          <w:szCs w:val="24"/>
          <w:lang w:eastAsia="fr-FR"/>
        </w:rPr>
        <w:t xml:space="preserve">matique pour la </w:t>
      </w:r>
      <w:r w:rsidRPr="00AC74E8">
        <w:rPr>
          <w:rFonts w:ascii="Times New Roman" w:eastAsia="Times New Roman" w:hAnsi="Times New Roman" w:cs="Times New Roman"/>
          <w:color w:val="000000"/>
          <w:sz w:val="24"/>
          <w:szCs w:val="24"/>
          <w:highlight w:val="yellow"/>
          <w:lang w:eastAsia="fr-FR"/>
        </w:rPr>
        <w:t xml:space="preserve">recherche </w:t>
      </w:r>
      <w:proofErr w:type="spellStart"/>
      <w:r w:rsidRPr="00AC74E8">
        <w:rPr>
          <w:rFonts w:ascii="Times New Roman" w:eastAsia="Times New Roman" w:hAnsi="Times New Roman" w:cs="Times New Roman"/>
          <w:color w:val="000000"/>
          <w:sz w:val="24"/>
          <w:szCs w:val="24"/>
          <w:highlight w:val="yellow"/>
          <w:lang w:eastAsia="fr-FR"/>
        </w:rPr>
        <w:t>des</w:t>
      </w:r>
      <w:proofErr w:type="spellEnd"/>
      <w:r w:rsidRPr="00AC74E8">
        <w:rPr>
          <w:rFonts w:ascii="Times New Roman" w:eastAsia="Times New Roman" w:hAnsi="Times New Roman" w:cs="Times New Roman"/>
          <w:color w:val="000000"/>
          <w:sz w:val="24"/>
          <w:szCs w:val="24"/>
          <w:highlight w:val="yellow"/>
          <w:lang w:eastAsia="fr-FR"/>
        </w:rPr>
        <w:t xml:space="preserve"> ces </w:t>
      </w:r>
      <w:proofErr w:type="spellStart"/>
      <w:r w:rsidR="00C77FE8" w:rsidRPr="00AC74E8">
        <w:rPr>
          <w:rFonts w:ascii="Times New Roman" w:eastAsia="Times New Roman" w:hAnsi="Times New Roman" w:cs="Times New Roman"/>
          <w:color w:val="000000"/>
          <w:sz w:val="24"/>
          <w:szCs w:val="24"/>
          <w:highlight w:val="yellow"/>
          <w:lang w:eastAsia="fr-FR"/>
        </w:rPr>
        <w:t>differentes</w:t>
      </w:r>
      <w:proofErr w:type="spellEnd"/>
      <w:r w:rsidR="00C77FE8" w:rsidRPr="00AC74E8">
        <w:rPr>
          <w:rFonts w:ascii="Times New Roman" w:eastAsia="Times New Roman" w:hAnsi="Times New Roman" w:cs="Times New Roman"/>
          <w:color w:val="000000"/>
          <w:sz w:val="24"/>
          <w:szCs w:val="24"/>
          <w:highlight w:val="yellow"/>
          <w:lang w:eastAsia="fr-FR"/>
        </w:rPr>
        <w:t xml:space="preserve"> maladies géné</w:t>
      </w:r>
      <w:r w:rsidRPr="00AC74E8">
        <w:rPr>
          <w:rFonts w:ascii="Times New Roman" w:eastAsia="Times New Roman" w:hAnsi="Times New Roman" w:cs="Times New Roman"/>
          <w:color w:val="000000"/>
          <w:sz w:val="24"/>
          <w:szCs w:val="24"/>
          <w:highlight w:val="yellow"/>
          <w:lang w:eastAsia="fr-FR"/>
        </w:rPr>
        <w:t>tiques</w:t>
      </w:r>
      <w:r>
        <w:rPr>
          <w:rFonts w:ascii="Times New Roman" w:eastAsia="Times New Roman" w:hAnsi="Times New Roman" w:cs="Times New Roman"/>
          <w:color w:val="000000"/>
          <w:sz w:val="24"/>
          <w:szCs w:val="24"/>
          <w:lang w:eastAsia="fr-FR"/>
        </w:rPr>
        <w:t xml:space="preserve"> </w:t>
      </w:r>
      <w:r w:rsidR="00C77FE8">
        <w:rPr>
          <w:rFonts w:ascii="Times New Roman" w:eastAsia="Times New Roman" w:hAnsi="Times New Roman" w:cs="Times New Roman"/>
          <w:color w:val="000000"/>
          <w:sz w:val="24"/>
          <w:szCs w:val="24"/>
          <w:lang w:eastAsia="fr-FR"/>
        </w:rPr>
        <w:t>dont la pr</w:t>
      </w:r>
      <w:r w:rsidR="00C77FE8" w:rsidRPr="000A4A0F">
        <w:rPr>
          <w:rFonts w:ascii="Times New Roman" w:eastAsia="Times New Roman" w:hAnsi="Times New Roman" w:cs="Times New Roman"/>
          <w:color w:val="000000"/>
          <w:sz w:val="24"/>
          <w:szCs w:val="24"/>
          <w:lang w:eastAsia="fr-FR"/>
        </w:rPr>
        <w:t>é</w:t>
      </w:r>
      <w:r w:rsidR="00C77FE8">
        <w:rPr>
          <w:rFonts w:ascii="Times New Roman" w:eastAsia="Times New Roman" w:hAnsi="Times New Roman" w:cs="Times New Roman"/>
          <w:color w:val="000000"/>
          <w:sz w:val="24"/>
          <w:szCs w:val="24"/>
          <w:lang w:eastAsia="fr-FR"/>
        </w:rPr>
        <w:t xml:space="preserve">valence </w:t>
      </w:r>
      <w:r w:rsidR="00C77FE8" w:rsidRPr="000A4A0F">
        <w:rPr>
          <w:rFonts w:ascii="Times New Roman" w:eastAsia="Times New Roman" w:hAnsi="Times New Roman" w:cs="Times New Roman"/>
          <w:color w:val="000000"/>
          <w:sz w:val="24"/>
          <w:szCs w:val="24"/>
          <w:lang w:eastAsia="fr-FR"/>
        </w:rPr>
        <w:t>é</w:t>
      </w:r>
      <w:r w:rsidR="00C77FE8">
        <w:rPr>
          <w:rFonts w:ascii="Times New Roman" w:eastAsia="Times New Roman" w:hAnsi="Times New Roman" w:cs="Times New Roman"/>
          <w:color w:val="000000"/>
          <w:sz w:val="24"/>
          <w:szCs w:val="24"/>
          <w:lang w:eastAsia="fr-FR"/>
        </w:rPr>
        <w:t xml:space="preserve">tait </w:t>
      </w:r>
      <w:r w:rsidR="00C77FE8" w:rsidRPr="000A4A0F">
        <w:rPr>
          <w:rFonts w:ascii="Times New Roman" w:eastAsia="Times New Roman" w:hAnsi="Times New Roman" w:cs="Times New Roman"/>
          <w:color w:val="000000"/>
          <w:sz w:val="24"/>
          <w:szCs w:val="24"/>
          <w:lang w:eastAsia="fr-FR"/>
        </w:rPr>
        <w:t>é</w:t>
      </w:r>
      <w:r w:rsidR="00C77FE8">
        <w:rPr>
          <w:rFonts w:ascii="Times New Roman" w:eastAsia="Times New Roman" w:hAnsi="Times New Roman" w:cs="Times New Roman"/>
          <w:color w:val="000000"/>
          <w:sz w:val="24"/>
          <w:szCs w:val="24"/>
          <w:lang w:eastAsia="fr-FR"/>
        </w:rPr>
        <w:t>lev</w:t>
      </w:r>
      <w:r w:rsidR="00C77FE8" w:rsidRPr="000A4A0F">
        <w:rPr>
          <w:rFonts w:ascii="Times New Roman" w:eastAsia="Times New Roman" w:hAnsi="Times New Roman" w:cs="Times New Roman"/>
          <w:color w:val="000000"/>
          <w:sz w:val="24"/>
          <w:szCs w:val="24"/>
          <w:lang w:eastAsia="fr-FR"/>
        </w:rPr>
        <w:t>é</w:t>
      </w:r>
      <w:r w:rsidR="00C77FE8">
        <w:rPr>
          <w:rFonts w:ascii="Times New Roman" w:eastAsia="Times New Roman" w:hAnsi="Times New Roman" w:cs="Times New Roman"/>
          <w:color w:val="000000"/>
          <w:sz w:val="24"/>
          <w:szCs w:val="24"/>
          <w:lang w:eastAsia="fr-FR"/>
        </w:rPr>
        <w:t>e dans notre population. C’est notamment le d</w:t>
      </w:r>
      <w:r w:rsidR="00C77FE8" w:rsidRPr="000A4A0F">
        <w:rPr>
          <w:rFonts w:ascii="Times New Roman" w:eastAsia="Times New Roman" w:hAnsi="Times New Roman" w:cs="Times New Roman"/>
          <w:color w:val="000000"/>
          <w:sz w:val="24"/>
          <w:szCs w:val="24"/>
          <w:lang w:eastAsia="fr-FR"/>
        </w:rPr>
        <w:t>é</w:t>
      </w:r>
      <w:r w:rsidR="00C77FE8">
        <w:rPr>
          <w:rFonts w:ascii="Times New Roman" w:eastAsia="Times New Roman" w:hAnsi="Times New Roman" w:cs="Times New Roman"/>
          <w:color w:val="000000"/>
          <w:sz w:val="24"/>
          <w:szCs w:val="24"/>
          <w:lang w:eastAsia="fr-FR"/>
        </w:rPr>
        <w:t>pistage syst</w:t>
      </w:r>
      <w:r w:rsidR="00C77FE8" w:rsidRPr="000A4A0F">
        <w:rPr>
          <w:rFonts w:ascii="Times New Roman" w:eastAsia="Times New Roman" w:hAnsi="Times New Roman" w:cs="Times New Roman"/>
          <w:color w:val="000000"/>
          <w:sz w:val="24"/>
          <w:szCs w:val="24"/>
          <w:lang w:eastAsia="fr-FR"/>
        </w:rPr>
        <w:t>é</w:t>
      </w:r>
      <w:r w:rsidR="00C77FE8">
        <w:rPr>
          <w:rFonts w:ascii="Times New Roman" w:eastAsia="Times New Roman" w:hAnsi="Times New Roman" w:cs="Times New Roman"/>
          <w:color w:val="000000"/>
          <w:sz w:val="24"/>
          <w:szCs w:val="24"/>
          <w:lang w:eastAsia="fr-FR"/>
        </w:rPr>
        <w:t>matique de la dr</w:t>
      </w:r>
      <w:r w:rsidR="00C77FE8" w:rsidRPr="000A4A0F">
        <w:rPr>
          <w:rFonts w:ascii="Times New Roman" w:eastAsia="Times New Roman" w:hAnsi="Times New Roman" w:cs="Times New Roman"/>
          <w:color w:val="000000"/>
          <w:sz w:val="24"/>
          <w:szCs w:val="24"/>
          <w:lang w:eastAsia="fr-FR"/>
        </w:rPr>
        <w:t>é</w:t>
      </w:r>
      <w:r w:rsidR="00C77FE8">
        <w:rPr>
          <w:rFonts w:ascii="Times New Roman" w:eastAsia="Times New Roman" w:hAnsi="Times New Roman" w:cs="Times New Roman"/>
          <w:color w:val="000000"/>
          <w:sz w:val="24"/>
          <w:szCs w:val="24"/>
          <w:lang w:eastAsia="fr-FR"/>
        </w:rPr>
        <w:t xml:space="preserve">panocytose, qui reste une maladie </w:t>
      </w:r>
      <w:proofErr w:type="spellStart"/>
      <w:r w:rsidR="00C77FE8">
        <w:rPr>
          <w:rFonts w:ascii="Times New Roman" w:eastAsia="Times New Roman" w:hAnsi="Times New Roman" w:cs="Times New Roman"/>
          <w:color w:val="000000"/>
          <w:sz w:val="24"/>
          <w:szCs w:val="24"/>
          <w:lang w:eastAsia="fr-FR"/>
        </w:rPr>
        <w:t>neglig</w:t>
      </w:r>
      <w:r w:rsidR="00C77FE8" w:rsidRPr="000A4A0F">
        <w:rPr>
          <w:rFonts w:ascii="Times New Roman" w:eastAsia="Times New Roman" w:hAnsi="Times New Roman" w:cs="Times New Roman"/>
          <w:color w:val="000000"/>
          <w:sz w:val="24"/>
          <w:szCs w:val="24"/>
          <w:lang w:eastAsia="fr-FR"/>
        </w:rPr>
        <w:t>é</w:t>
      </w:r>
      <w:r w:rsidR="00C77FE8">
        <w:rPr>
          <w:rFonts w:ascii="Times New Roman" w:eastAsia="Times New Roman" w:hAnsi="Times New Roman" w:cs="Times New Roman"/>
          <w:color w:val="000000"/>
          <w:sz w:val="24"/>
          <w:szCs w:val="24"/>
          <w:lang w:eastAsia="fr-FR"/>
        </w:rPr>
        <w:t>e</w:t>
      </w:r>
      <w:proofErr w:type="spellEnd"/>
      <w:r w:rsidR="00C77FE8">
        <w:rPr>
          <w:rFonts w:ascii="Times New Roman" w:eastAsia="Times New Roman" w:hAnsi="Times New Roman" w:cs="Times New Roman"/>
          <w:color w:val="000000"/>
          <w:sz w:val="24"/>
          <w:szCs w:val="24"/>
          <w:lang w:eastAsia="fr-FR"/>
        </w:rPr>
        <w:t>. La recherche du d</w:t>
      </w:r>
      <w:r w:rsidR="00C77FE8" w:rsidRPr="000A4A0F">
        <w:rPr>
          <w:rFonts w:ascii="Times New Roman" w:eastAsia="Times New Roman" w:hAnsi="Times New Roman" w:cs="Times New Roman"/>
          <w:color w:val="000000"/>
          <w:sz w:val="24"/>
          <w:szCs w:val="24"/>
          <w:lang w:eastAsia="fr-FR"/>
        </w:rPr>
        <w:t>é</w:t>
      </w:r>
      <w:r w:rsidR="00C77FE8">
        <w:rPr>
          <w:rFonts w:ascii="Times New Roman" w:eastAsia="Times New Roman" w:hAnsi="Times New Roman" w:cs="Times New Roman"/>
          <w:color w:val="000000"/>
          <w:sz w:val="24"/>
          <w:szCs w:val="24"/>
          <w:lang w:eastAsia="fr-FR"/>
        </w:rPr>
        <w:t xml:space="preserve">ficit en G6PD de </w:t>
      </w:r>
      <w:r w:rsidR="00E34320" w:rsidRPr="00E34320">
        <w:rPr>
          <w:rFonts w:ascii="Times New Roman" w:eastAsia="Times New Roman" w:hAnsi="Times New Roman" w:cs="Times New Roman"/>
          <w:color w:val="000000"/>
          <w:sz w:val="24"/>
          <w:szCs w:val="24"/>
          <w:lang w:eastAsia="fr-FR"/>
        </w:rPr>
        <w:t xml:space="preserve">même </w:t>
      </w:r>
      <w:r w:rsidR="00C77FE8">
        <w:rPr>
          <w:rFonts w:ascii="Times New Roman" w:eastAsia="Times New Roman" w:hAnsi="Times New Roman" w:cs="Times New Roman"/>
          <w:color w:val="000000"/>
          <w:sz w:val="24"/>
          <w:szCs w:val="24"/>
          <w:lang w:eastAsia="fr-FR"/>
        </w:rPr>
        <w:t xml:space="preserve">que </w:t>
      </w:r>
      <w:r w:rsidR="00E34320" w:rsidRPr="00E34320">
        <w:rPr>
          <w:rFonts w:ascii="Times New Roman" w:eastAsia="Times New Roman" w:hAnsi="Times New Roman" w:cs="Times New Roman"/>
          <w:color w:val="000000"/>
          <w:sz w:val="24"/>
          <w:szCs w:val="24"/>
          <w:lang w:eastAsia="fr-FR"/>
        </w:rPr>
        <w:t xml:space="preserve">la mucoviscidose, l’hypothyroïdie qui ont </w:t>
      </w:r>
      <w:r w:rsidR="00C77FE8" w:rsidRPr="00E34320">
        <w:rPr>
          <w:rFonts w:ascii="Times New Roman" w:eastAsia="Times New Roman" w:hAnsi="Times New Roman" w:cs="Times New Roman"/>
          <w:color w:val="000000"/>
          <w:sz w:val="24"/>
          <w:szCs w:val="24"/>
          <w:lang w:eastAsia="fr-FR"/>
        </w:rPr>
        <w:t>été</w:t>
      </w:r>
      <w:r w:rsidR="00C77FE8">
        <w:rPr>
          <w:rFonts w:ascii="Times New Roman" w:eastAsia="Times New Roman" w:hAnsi="Times New Roman" w:cs="Times New Roman"/>
          <w:color w:val="000000"/>
          <w:sz w:val="24"/>
          <w:szCs w:val="24"/>
          <w:lang w:eastAsia="fr-FR"/>
        </w:rPr>
        <w:t xml:space="preserve"> retrouv</w:t>
      </w:r>
      <w:r w:rsidR="00C77FE8" w:rsidRPr="000A4A0F">
        <w:rPr>
          <w:rFonts w:ascii="Times New Roman" w:eastAsia="Times New Roman" w:hAnsi="Times New Roman" w:cs="Times New Roman"/>
          <w:color w:val="000000"/>
          <w:sz w:val="24"/>
          <w:szCs w:val="24"/>
          <w:lang w:eastAsia="fr-FR"/>
        </w:rPr>
        <w:t>é</w:t>
      </w:r>
      <w:r w:rsidR="00C77FE8">
        <w:rPr>
          <w:rFonts w:ascii="Times New Roman" w:eastAsia="Times New Roman" w:hAnsi="Times New Roman" w:cs="Times New Roman"/>
          <w:color w:val="000000"/>
          <w:sz w:val="24"/>
          <w:szCs w:val="24"/>
          <w:lang w:eastAsia="fr-FR"/>
        </w:rPr>
        <w:t xml:space="preserve">es dans </w:t>
      </w:r>
      <w:proofErr w:type="spellStart"/>
      <w:r w:rsidR="00C77FE8">
        <w:rPr>
          <w:rFonts w:ascii="Times New Roman" w:eastAsia="Times New Roman" w:hAnsi="Times New Roman" w:cs="Times New Roman"/>
          <w:color w:val="000000"/>
          <w:sz w:val="24"/>
          <w:szCs w:val="24"/>
          <w:lang w:eastAsia="fr-FR"/>
        </w:rPr>
        <w:t>lapopulation</w:t>
      </w:r>
      <w:proofErr w:type="spellEnd"/>
      <w:r w:rsidR="00C77FE8">
        <w:rPr>
          <w:rFonts w:ascii="Times New Roman" w:eastAsia="Times New Roman" w:hAnsi="Times New Roman" w:cs="Times New Roman"/>
          <w:color w:val="000000"/>
          <w:sz w:val="24"/>
          <w:szCs w:val="24"/>
          <w:lang w:eastAsia="fr-FR"/>
        </w:rPr>
        <w:t xml:space="preserve"> </w:t>
      </w:r>
      <w:proofErr w:type="spellStart"/>
      <w:r w:rsidR="00C77FE8">
        <w:rPr>
          <w:rFonts w:ascii="Times New Roman" w:eastAsia="Times New Roman" w:hAnsi="Times New Roman" w:cs="Times New Roman"/>
          <w:color w:val="000000"/>
          <w:sz w:val="24"/>
          <w:szCs w:val="24"/>
          <w:lang w:eastAsia="fr-FR"/>
        </w:rPr>
        <w:t>etudi</w:t>
      </w:r>
      <w:r w:rsidR="00C77FE8" w:rsidRPr="000A4A0F">
        <w:rPr>
          <w:rFonts w:ascii="Times New Roman" w:eastAsia="Times New Roman" w:hAnsi="Times New Roman" w:cs="Times New Roman"/>
          <w:color w:val="000000"/>
          <w:sz w:val="24"/>
          <w:szCs w:val="24"/>
          <w:lang w:eastAsia="fr-FR"/>
        </w:rPr>
        <w:t>é</w:t>
      </w:r>
      <w:r w:rsidR="00C77FE8">
        <w:rPr>
          <w:rFonts w:ascii="Times New Roman" w:eastAsia="Times New Roman" w:hAnsi="Times New Roman" w:cs="Times New Roman"/>
          <w:color w:val="000000"/>
          <w:sz w:val="24"/>
          <w:szCs w:val="24"/>
          <w:lang w:eastAsia="fr-FR"/>
        </w:rPr>
        <w:t>e</w:t>
      </w:r>
      <w:proofErr w:type="spellEnd"/>
      <w:r w:rsidR="00C77FE8">
        <w:rPr>
          <w:rFonts w:ascii="Times New Roman" w:eastAsia="Times New Roman" w:hAnsi="Times New Roman" w:cs="Times New Roman"/>
          <w:color w:val="000000"/>
          <w:sz w:val="24"/>
          <w:szCs w:val="24"/>
          <w:lang w:eastAsia="fr-FR"/>
        </w:rPr>
        <w:t xml:space="preserve">. </w:t>
      </w:r>
      <w:r w:rsidR="00E34320" w:rsidRPr="00E34320">
        <w:rPr>
          <w:rFonts w:ascii="Times New Roman" w:eastAsia="Times New Roman" w:hAnsi="Times New Roman" w:cs="Times New Roman"/>
          <w:color w:val="000000"/>
          <w:sz w:val="24"/>
          <w:szCs w:val="24"/>
          <w:lang w:eastAsia="fr-FR"/>
        </w:rPr>
        <w:t xml:space="preserve"> </w:t>
      </w:r>
    </w:p>
    <w:p w14:paraId="7AA0E42A" w14:textId="5DC88FE3" w:rsidR="00431000" w:rsidRPr="000A4A0F" w:rsidRDefault="007A18D6"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Nous encourageons un bon suivi </w:t>
      </w:r>
      <w:r w:rsidR="000A707D" w:rsidRPr="000A4A0F">
        <w:rPr>
          <w:rFonts w:ascii="Times New Roman" w:eastAsia="Times New Roman" w:hAnsi="Times New Roman" w:cs="Times New Roman"/>
          <w:color w:val="000000"/>
          <w:sz w:val="24"/>
          <w:szCs w:val="24"/>
          <w:lang w:eastAsia="fr-FR"/>
        </w:rPr>
        <w:t xml:space="preserve">de grossesse par les obstétriciens </w:t>
      </w:r>
      <w:r w:rsidR="00431000" w:rsidRPr="000A4A0F">
        <w:rPr>
          <w:rFonts w:ascii="Times New Roman" w:eastAsia="Times New Roman" w:hAnsi="Times New Roman" w:cs="Times New Roman"/>
          <w:color w:val="000000"/>
          <w:sz w:val="24"/>
          <w:szCs w:val="24"/>
          <w:lang w:eastAsia="fr-FR"/>
        </w:rPr>
        <w:t>pendant</w:t>
      </w:r>
      <w:r w:rsidR="00ED2B9C" w:rsidRPr="000A4A0F">
        <w:rPr>
          <w:rFonts w:ascii="Times New Roman" w:eastAsia="Times New Roman" w:hAnsi="Times New Roman" w:cs="Times New Roman"/>
          <w:color w:val="000000"/>
          <w:sz w:val="24"/>
          <w:szCs w:val="24"/>
          <w:lang w:eastAsia="fr-FR"/>
        </w:rPr>
        <w:t xml:space="preserve"> le</w:t>
      </w:r>
      <w:r w:rsidR="00C77FE8">
        <w:rPr>
          <w:rFonts w:ascii="Times New Roman" w:eastAsia="Times New Roman" w:hAnsi="Times New Roman" w:cs="Times New Roman"/>
          <w:color w:val="000000"/>
          <w:sz w:val="24"/>
          <w:szCs w:val="24"/>
          <w:lang w:eastAsia="fr-FR"/>
        </w:rPr>
        <w:t>s</w:t>
      </w:r>
      <w:r w:rsidR="00ED2B9C" w:rsidRPr="000A4A0F">
        <w:rPr>
          <w:rFonts w:ascii="Times New Roman" w:eastAsia="Times New Roman" w:hAnsi="Times New Roman" w:cs="Times New Roman"/>
          <w:color w:val="000000"/>
          <w:sz w:val="24"/>
          <w:szCs w:val="24"/>
          <w:lang w:eastAsia="fr-FR"/>
        </w:rPr>
        <w:t xml:space="preserve"> CPN au cours duquel une recherche infectieuse serait encouragée et </w:t>
      </w:r>
      <w:r w:rsidR="00C77FE8">
        <w:rPr>
          <w:rFonts w:ascii="Times New Roman" w:eastAsia="Times New Roman" w:hAnsi="Times New Roman" w:cs="Times New Roman"/>
          <w:color w:val="000000"/>
          <w:sz w:val="24"/>
          <w:szCs w:val="24"/>
          <w:lang w:eastAsia="fr-FR"/>
        </w:rPr>
        <w:t>le test de C</w:t>
      </w:r>
      <w:r w:rsidR="00321D73" w:rsidRPr="000A4A0F">
        <w:rPr>
          <w:rFonts w:ascii="Times New Roman" w:eastAsia="Times New Roman" w:hAnsi="Times New Roman" w:cs="Times New Roman"/>
          <w:color w:val="000000"/>
          <w:sz w:val="24"/>
          <w:szCs w:val="24"/>
          <w:lang w:eastAsia="fr-FR"/>
        </w:rPr>
        <w:t xml:space="preserve">oombs </w:t>
      </w:r>
      <w:r w:rsidR="00C77FE8" w:rsidRPr="000A4A0F">
        <w:rPr>
          <w:rFonts w:ascii="Times New Roman" w:eastAsia="Times New Roman" w:hAnsi="Times New Roman" w:cs="Times New Roman"/>
          <w:color w:val="000000"/>
          <w:sz w:val="24"/>
          <w:szCs w:val="24"/>
          <w:lang w:eastAsia="fr-FR"/>
        </w:rPr>
        <w:t>indirect demeure</w:t>
      </w:r>
      <w:r w:rsidR="000A707D" w:rsidRPr="000A4A0F">
        <w:rPr>
          <w:rFonts w:ascii="Times New Roman" w:eastAsia="Times New Roman" w:hAnsi="Times New Roman" w:cs="Times New Roman"/>
          <w:color w:val="000000"/>
          <w:sz w:val="24"/>
          <w:szCs w:val="24"/>
          <w:lang w:eastAsia="fr-FR"/>
        </w:rPr>
        <w:t xml:space="preserve"> </w:t>
      </w:r>
      <w:r w:rsidR="00210EC5" w:rsidRPr="000A4A0F">
        <w:rPr>
          <w:rFonts w:ascii="Times New Roman" w:eastAsia="Times New Roman" w:hAnsi="Times New Roman" w:cs="Times New Roman"/>
          <w:color w:val="000000"/>
          <w:sz w:val="24"/>
          <w:szCs w:val="24"/>
          <w:lang w:eastAsia="fr-FR"/>
        </w:rPr>
        <w:t>indispensable</w:t>
      </w:r>
      <w:r w:rsidR="000A707D" w:rsidRPr="000A4A0F">
        <w:rPr>
          <w:rFonts w:ascii="Times New Roman" w:eastAsia="Times New Roman" w:hAnsi="Times New Roman" w:cs="Times New Roman"/>
          <w:color w:val="000000"/>
          <w:sz w:val="24"/>
          <w:szCs w:val="24"/>
          <w:lang w:eastAsia="fr-FR"/>
        </w:rPr>
        <w:t xml:space="preserve"> dans le bilan</w:t>
      </w:r>
      <w:r w:rsidR="00ED2B9C" w:rsidRPr="000A4A0F">
        <w:rPr>
          <w:rFonts w:ascii="Times New Roman" w:eastAsia="Times New Roman" w:hAnsi="Times New Roman" w:cs="Times New Roman"/>
          <w:color w:val="000000"/>
          <w:sz w:val="24"/>
          <w:szCs w:val="24"/>
          <w:lang w:eastAsia="fr-FR"/>
        </w:rPr>
        <w:t xml:space="preserve"> de suivi</w:t>
      </w:r>
      <w:r w:rsidR="000A707D" w:rsidRPr="000A4A0F">
        <w:rPr>
          <w:rFonts w:ascii="Times New Roman" w:eastAsia="Times New Roman" w:hAnsi="Times New Roman" w:cs="Times New Roman"/>
          <w:color w:val="000000"/>
          <w:sz w:val="24"/>
          <w:szCs w:val="24"/>
          <w:lang w:eastAsia="fr-FR"/>
        </w:rPr>
        <w:t>.</w:t>
      </w:r>
    </w:p>
    <w:p w14:paraId="2843D75C" w14:textId="304DA5EC" w:rsidR="00DB79BC" w:rsidRPr="000A4A0F" w:rsidRDefault="00DB79BC"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Les infections et la prématurité constituent un facteur de mauvais pronostic ; un diagnostic précoce et une antibiothérapie ciblée reste recommandée. </w:t>
      </w:r>
    </w:p>
    <w:p w14:paraId="7F4201C9" w14:textId="1E1805D7" w:rsidR="000A707D" w:rsidRPr="000A4A0F" w:rsidRDefault="000A707D"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t xml:space="preserve"> </w:t>
      </w:r>
      <w:r w:rsidR="00753D20" w:rsidRPr="000A4A0F">
        <w:rPr>
          <w:rFonts w:ascii="Times New Roman" w:eastAsia="Times New Roman" w:hAnsi="Times New Roman" w:cs="Times New Roman"/>
          <w:color w:val="000000"/>
          <w:sz w:val="24"/>
          <w:szCs w:val="24"/>
          <w:lang w:eastAsia="fr-FR"/>
        </w:rPr>
        <w:t>S</w:t>
      </w:r>
      <w:r w:rsidR="00760D61" w:rsidRPr="000A4A0F">
        <w:rPr>
          <w:rFonts w:ascii="Times New Roman" w:eastAsia="Times New Roman" w:hAnsi="Times New Roman" w:cs="Times New Roman"/>
          <w:color w:val="000000"/>
          <w:sz w:val="24"/>
          <w:szCs w:val="24"/>
          <w:lang w:eastAsia="fr-FR"/>
        </w:rPr>
        <w:t xml:space="preserve">outenons l’examen clinique </w:t>
      </w:r>
      <w:r w:rsidR="00C77FE8">
        <w:rPr>
          <w:rFonts w:ascii="Times New Roman" w:eastAsia="Times New Roman" w:hAnsi="Times New Roman" w:cs="Times New Roman"/>
          <w:color w:val="000000"/>
          <w:sz w:val="24"/>
          <w:szCs w:val="24"/>
          <w:lang w:eastAsia="fr-FR"/>
        </w:rPr>
        <w:t>avant sortie de l’Hôpital et des consultations</w:t>
      </w:r>
      <w:r w:rsidR="00760D61" w:rsidRPr="000A4A0F">
        <w:rPr>
          <w:rFonts w:ascii="Times New Roman" w:eastAsia="Times New Roman" w:hAnsi="Times New Roman" w:cs="Times New Roman"/>
          <w:color w:val="000000"/>
          <w:sz w:val="24"/>
          <w:szCs w:val="24"/>
          <w:lang w:eastAsia="fr-FR"/>
        </w:rPr>
        <w:t xml:space="preserve"> systématique</w:t>
      </w:r>
      <w:r w:rsidR="00C77FE8">
        <w:rPr>
          <w:rFonts w:ascii="Times New Roman" w:eastAsia="Times New Roman" w:hAnsi="Times New Roman" w:cs="Times New Roman"/>
          <w:color w:val="000000"/>
          <w:sz w:val="24"/>
          <w:szCs w:val="24"/>
          <w:lang w:eastAsia="fr-FR"/>
        </w:rPr>
        <w:t>s</w:t>
      </w:r>
      <w:r w:rsidR="00760D61" w:rsidRPr="000A4A0F">
        <w:rPr>
          <w:rFonts w:ascii="Times New Roman" w:eastAsia="Times New Roman" w:hAnsi="Times New Roman" w:cs="Times New Roman"/>
          <w:color w:val="000000"/>
          <w:sz w:val="24"/>
          <w:szCs w:val="24"/>
          <w:lang w:eastAsia="fr-FR"/>
        </w:rPr>
        <w:t xml:space="preserve"> </w:t>
      </w:r>
      <w:r w:rsidR="00C77FE8">
        <w:rPr>
          <w:rFonts w:ascii="Times New Roman" w:eastAsia="Times New Roman" w:hAnsi="Times New Roman" w:cs="Times New Roman"/>
          <w:color w:val="000000"/>
          <w:sz w:val="24"/>
          <w:szCs w:val="24"/>
          <w:lang w:eastAsia="fr-FR"/>
        </w:rPr>
        <w:t>telles que recommand</w:t>
      </w:r>
      <w:r w:rsidR="00C77FE8" w:rsidRPr="000A4A0F">
        <w:rPr>
          <w:rFonts w:ascii="Times New Roman" w:eastAsia="Times New Roman" w:hAnsi="Times New Roman" w:cs="Times New Roman"/>
          <w:color w:val="000000"/>
          <w:sz w:val="24"/>
          <w:szCs w:val="24"/>
          <w:lang w:eastAsia="fr-FR"/>
        </w:rPr>
        <w:t>é</w:t>
      </w:r>
      <w:r w:rsidR="00C77FE8">
        <w:rPr>
          <w:rFonts w:ascii="Times New Roman" w:eastAsia="Times New Roman" w:hAnsi="Times New Roman" w:cs="Times New Roman"/>
          <w:color w:val="000000"/>
          <w:sz w:val="24"/>
          <w:szCs w:val="24"/>
          <w:lang w:eastAsia="fr-FR"/>
        </w:rPr>
        <w:t xml:space="preserve">es. </w:t>
      </w:r>
    </w:p>
    <w:p w14:paraId="224B6700" w14:textId="77777777" w:rsidR="007C1C49" w:rsidRPr="000A4A0F" w:rsidRDefault="007C1C49" w:rsidP="006612D9">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fr-FR"/>
        </w:rPr>
      </w:pPr>
    </w:p>
    <w:p w14:paraId="41BB40A5" w14:textId="5B5810A4" w:rsidR="00C11CE3" w:rsidRPr="000A4A0F" w:rsidRDefault="00C11CE3" w:rsidP="006612D9">
      <w:pPr>
        <w:suppressAutoHyphens w:val="0"/>
        <w:spacing w:after="0" w:line="360" w:lineRule="auto"/>
        <w:jc w:val="both"/>
        <w:rPr>
          <w:rFonts w:ascii="Times New Roman" w:eastAsia="Times New Roman" w:hAnsi="Times New Roman" w:cs="Times New Roman"/>
          <w:color w:val="000000"/>
          <w:sz w:val="24"/>
          <w:szCs w:val="24"/>
          <w:lang w:eastAsia="fr-FR"/>
        </w:rPr>
      </w:pPr>
      <w:r w:rsidRPr="000A4A0F">
        <w:rPr>
          <w:rFonts w:ascii="Times New Roman" w:eastAsia="Times New Roman" w:hAnsi="Times New Roman" w:cs="Times New Roman"/>
          <w:color w:val="000000"/>
          <w:sz w:val="24"/>
          <w:szCs w:val="24"/>
          <w:lang w:eastAsia="fr-FR"/>
        </w:rPr>
        <w:br w:type="page"/>
      </w:r>
    </w:p>
    <w:p w14:paraId="779D5858" w14:textId="77777777" w:rsidR="004B4A2F" w:rsidRPr="00344791" w:rsidRDefault="00A047B5" w:rsidP="006612D9">
      <w:pPr>
        <w:pStyle w:val="Titre1"/>
        <w:spacing w:before="0" w:beforeAutospacing="0" w:after="0" w:afterAutospacing="0" w:line="360" w:lineRule="auto"/>
        <w:jc w:val="both"/>
        <w:rPr>
          <w:sz w:val="24"/>
          <w:szCs w:val="24"/>
          <w:lang w:val="en-US"/>
        </w:rPr>
      </w:pPr>
      <w:bookmarkStart w:id="73" w:name="_Toc87049085"/>
      <w:r w:rsidRPr="00344791">
        <w:rPr>
          <w:sz w:val="24"/>
          <w:szCs w:val="24"/>
          <w:lang w:val="en-US"/>
        </w:rPr>
        <w:lastRenderedPageBreak/>
        <w:t>REFERENCE BIBLIOGRAPHIQUE</w:t>
      </w:r>
      <w:bookmarkEnd w:id="73"/>
    </w:p>
    <w:p w14:paraId="7DEC3222" w14:textId="425BDCD1" w:rsidR="004F4A84" w:rsidRPr="00344791" w:rsidRDefault="00792748"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004F4A84" w:rsidRPr="00344791">
        <w:rPr>
          <w:rFonts w:ascii="Times New Roman" w:hAnsi="Times New Roman" w:cs="Times New Roman"/>
          <w:noProof/>
          <w:sz w:val="24"/>
          <w:szCs w:val="24"/>
          <w:lang w:val="en-US"/>
        </w:rPr>
        <w:t xml:space="preserve">1. </w:t>
      </w:r>
      <w:r w:rsidR="004F4A84" w:rsidRPr="00344791">
        <w:rPr>
          <w:rFonts w:ascii="Times New Roman" w:hAnsi="Times New Roman" w:cs="Times New Roman"/>
          <w:noProof/>
          <w:sz w:val="24"/>
          <w:szCs w:val="24"/>
          <w:lang w:val="en-US"/>
        </w:rPr>
        <w:tab/>
        <w:t xml:space="preserve">Willy T, Hansen R. Pioneers in the Scientific Study of Neonatal Jaundice and Kernicterus. 2000;106(2):1–7. </w:t>
      </w:r>
    </w:p>
    <w:p w14:paraId="694C3E5B"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344791">
        <w:rPr>
          <w:rFonts w:ascii="Times New Roman" w:hAnsi="Times New Roman" w:cs="Times New Roman"/>
          <w:noProof/>
          <w:sz w:val="24"/>
          <w:szCs w:val="24"/>
          <w:lang w:val="en-US"/>
        </w:rPr>
        <w:t xml:space="preserve">2. </w:t>
      </w:r>
      <w:r w:rsidRPr="00344791">
        <w:rPr>
          <w:rFonts w:ascii="Times New Roman" w:hAnsi="Times New Roman" w:cs="Times New Roman"/>
          <w:noProof/>
          <w:sz w:val="24"/>
          <w:szCs w:val="24"/>
          <w:lang w:val="en-US"/>
        </w:rPr>
        <w:tab/>
        <w:t xml:space="preserve">Mori R, Slusher TM, Fahmy N, Paul VK, Du L, Okolo AA, et al. newborn : incidence and impairment estimates for 2010 at regional and global levels. </w:t>
      </w:r>
      <w:r w:rsidRPr="004F4A84">
        <w:rPr>
          <w:rFonts w:ascii="Times New Roman" w:hAnsi="Times New Roman" w:cs="Times New Roman"/>
          <w:noProof/>
          <w:sz w:val="24"/>
          <w:szCs w:val="24"/>
        </w:rPr>
        <w:t xml:space="preserve">2013;74(December). </w:t>
      </w:r>
    </w:p>
    <w:p w14:paraId="2D011A94"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4F4A84">
        <w:rPr>
          <w:rFonts w:ascii="Times New Roman" w:hAnsi="Times New Roman" w:cs="Times New Roman"/>
          <w:noProof/>
          <w:sz w:val="24"/>
          <w:szCs w:val="24"/>
        </w:rPr>
        <w:t xml:space="preserve">3. </w:t>
      </w:r>
      <w:r w:rsidRPr="004F4A84">
        <w:rPr>
          <w:rFonts w:ascii="Times New Roman" w:hAnsi="Times New Roman" w:cs="Times New Roman"/>
          <w:noProof/>
          <w:sz w:val="24"/>
          <w:szCs w:val="24"/>
        </w:rPr>
        <w:tab/>
        <w:t xml:space="preserve">Battisti PO, Cours C De, Médecine F De, Liège U De, Définitions A. Diagnostic et prise en charge de l ’ hyperbilirubinémie ( à partir de 35 semaines d ’ âge gestationnel ). :1–26. </w:t>
      </w:r>
    </w:p>
    <w:p w14:paraId="1E655A5D"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4. </w:t>
      </w:r>
      <w:r w:rsidRPr="00344791">
        <w:rPr>
          <w:rFonts w:ascii="Times New Roman" w:hAnsi="Times New Roman" w:cs="Times New Roman"/>
          <w:noProof/>
          <w:sz w:val="24"/>
          <w:szCs w:val="24"/>
          <w:lang w:val="en-US"/>
        </w:rPr>
        <w:tab/>
        <w:t xml:space="preserve">Heydarian F, Khatami SF, Parvaresh P, Rezanejad M. ABO Hemolytic Disease Leading to Hyperbilirubinemia in Term Newborns : Value of Immunohematological Tests. 2012;3(2):45–9. </w:t>
      </w:r>
    </w:p>
    <w:p w14:paraId="314856E9"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5. </w:t>
      </w:r>
      <w:r w:rsidRPr="00344791">
        <w:rPr>
          <w:rFonts w:ascii="Times New Roman" w:hAnsi="Times New Roman" w:cs="Times New Roman"/>
          <w:noProof/>
          <w:sz w:val="24"/>
          <w:szCs w:val="24"/>
          <w:lang w:val="en-US"/>
        </w:rPr>
        <w:tab/>
        <w:t xml:space="preserve">Tikmani SS, Warraich HJ, Abbasi F, Rizvi A, Darmstadt GL. Incidence of neonatal hyperbilirubinemia : a population-based prospective study in Pakistan. 2010;15(5):502–7. </w:t>
      </w:r>
    </w:p>
    <w:p w14:paraId="3F3AFA2B"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6. </w:t>
      </w:r>
      <w:r w:rsidRPr="00344791">
        <w:rPr>
          <w:rFonts w:ascii="Times New Roman" w:hAnsi="Times New Roman" w:cs="Times New Roman"/>
          <w:noProof/>
          <w:sz w:val="24"/>
          <w:szCs w:val="24"/>
          <w:lang w:val="en-US"/>
        </w:rPr>
        <w:tab/>
        <w:t xml:space="preserve">Manning D, Todd P, Maxwell M, Platt MJ. Prospective surveillance study of severe hyperbilirubinaemia in the newborn in the UK and Ireland. 2007;342–6. </w:t>
      </w:r>
    </w:p>
    <w:p w14:paraId="549C0F13"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7. </w:t>
      </w:r>
      <w:r w:rsidRPr="00344791">
        <w:rPr>
          <w:rFonts w:ascii="Times New Roman" w:hAnsi="Times New Roman" w:cs="Times New Roman"/>
          <w:noProof/>
          <w:sz w:val="24"/>
          <w:szCs w:val="24"/>
          <w:lang w:val="en-US"/>
        </w:rPr>
        <w:tab/>
        <w:t xml:space="preserve">Bjerre JV, Petersen JR, Ebbesen F. Surveillance of extreme hyperbilirubinaemia in Denmark . A method to identify the newborn infants. 2008;1030–4. </w:t>
      </w:r>
    </w:p>
    <w:p w14:paraId="01FB2260"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8. </w:t>
      </w:r>
      <w:r w:rsidRPr="00344791">
        <w:rPr>
          <w:rFonts w:ascii="Times New Roman" w:hAnsi="Times New Roman" w:cs="Times New Roman"/>
          <w:noProof/>
          <w:sz w:val="24"/>
          <w:szCs w:val="24"/>
          <w:lang w:val="en-US"/>
        </w:rPr>
        <w:tab/>
        <w:t xml:space="preserve">Abolghasemi H, Mehrani H, Amid A. An update on the prevalence of glucose-6-phosphate dehydrogenase deficiency and neonatal jaundice in Tehran neonates. 2004;37:241–4. </w:t>
      </w:r>
    </w:p>
    <w:p w14:paraId="1A626184"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9. </w:t>
      </w:r>
      <w:r w:rsidRPr="00344791">
        <w:rPr>
          <w:rFonts w:ascii="Times New Roman" w:hAnsi="Times New Roman" w:cs="Times New Roman"/>
          <w:noProof/>
          <w:sz w:val="24"/>
          <w:szCs w:val="24"/>
          <w:lang w:val="en-US"/>
        </w:rPr>
        <w:tab/>
        <w:t xml:space="preserve">Mashako MR, Mashako YK, Kabamba. Clinical profile and determinants for nuclear jaundice in newborns at North-Kivu provincial hospital in Democratic Republic of Congo. 2018;11(2):2918–25. </w:t>
      </w:r>
    </w:p>
    <w:p w14:paraId="4B43D7FA"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10. </w:t>
      </w:r>
      <w:r w:rsidRPr="00344791">
        <w:rPr>
          <w:rFonts w:ascii="Times New Roman" w:hAnsi="Times New Roman" w:cs="Times New Roman"/>
          <w:noProof/>
          <w:sz w:val="24"/>
          <w:szCs w:val="24"/>
          <w:lang w:val="en-US"/>
        </w:rPr>
        <w:tab/>
        <w:t xml:space="preserve">Mutombo JD, Kabuya MS, Kayembe CM, Luboya ON. Case series. 2014;8688:1–8. </w:t>
      </w:r>
    </w:p>
    <w:p w14:paraId="04C16632"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11. </w:t>
      </w:r>
      <w:r w:rsidRPr="00344791">
        <w:rPr>
          <w:rFonts w:ascii="Times New Roman" w:hAnsi="Times New Roman" w:cs="Times New Roman"/>
          <w:noProof/>
          <w:sz w:val="24"/>
          <w:szCs w:val="24"/>
          <w:lang w:val="en-US"/>
        </w:rPr>
        <w:tab/>
        <w:t xml:space="preserve">Hadj IB, Boukhris R, Khalsi F, Namouchi M, Bougmiza I, Tinsa F, et al. </w:t>
      </w:r>
      <w:r w:rsidRPr="004F4A84">
        <w:rPr>
          <w:rFonts w:ascii="Times New Roman" w:hAnsi="Times New Roman" w:cs="Times New Roman"/>
          <w:noProof/>
          <w:sz w:val="24"/>
          <w:szCs w:val="24"/>
        </w:rPr>
        <w:t xml:space="preserve">ARTICLE ORIGINAL ABO hemolytic disease of newborn : Does newborn ’ s blood group a risk factor Ictère hémolytique par incompatibilité ABO : Le type du groupe sanguin du nouveau-né constitue-t-il un facteur de risque ? </w:t>
      </w:r>
      <w:r w:rsidRPr="00344791">
        <w:rPr>
          <w:rFonts w:ascii="Times New Roman" w:hAnsi="Times New Roman" w:cs="Times New Roman"/>
          <w:noProof/>
          <w:sz w:val="24"/>
          <w:szCs w:val="24"/>
          <w:lang w:val="en-US"/>
        </w:rPr>
        <w:t xml:space="preserve">2014;97(03):455–60. </w:t>
      </w:r>
    </w:p>
    <w:p w14:paraId="0A7A2D83"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344791">
        <w:rPr>
          <w:rFonts w:ascii="Times New Roman" w:hAnsi="Times New Roman" w:cs="Times New Roman"/>
          <w:noProof/>
          <w:sz w:val="24"/>
          <w:szCs w:val="24"/>
          <w:lang w:val="en-US"/>
        </w:rPr>
        <w:t xml:space="preserve">12. </w:t>
      </w:r>
      <w:r w:rsidRPr="00344791">
        <w:rPr>
          <w:rFonts w:ascii="Times New Roman" w:hAnsi="Times New Roman" w:cs="Times New Roman"/>
          <w:noProof/>
          <w:sz w:val="24"/>
          <w:szCs w:val="24"/>
          <w:lang w:val="en-US"/>
        </w:rPr>
        <w:tab/>
        <w:t xml:space="preserve">Maisels MJ, Watchko JF, Bhutani VK, Stevenson DK. An approach to the management of hyperbilirubinemia in the preterm infant less than 35 weeks of gestation. </w:t>
      </w:r>
      <w:r w:rsidRPr="004F4A84">
        <w:rPr>
          <w:rFonts w:ascii="Times New Roman" w:hAnsi="Times New Roman" w:cs="Times New Roman"/>
          <w:noProof/>
          <w:sz w:val="24"/>
          <w:szCs w:val="24"/>
        </w:rPr>
        <w:t xml:space="preserve">J Perinatol. 2012;(June):660–4. </w:t>
      </w:r>
    </w:p>
    <w:p w14:paraId="0C30A78D"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4F4A84">
        <w:rPr>
          <w:rFonts w:ascii="Times New Roman" w:hAnsi="Times New Roman" w:cs="Times New Roman"/>
          <w:noProof/>
          <w:sz w:val="24"/>
          <w:szCs w:val="24"/>
        </w:rPr>
        <w:t xml:space="preserve">13. </w:t>
      </w:r>
      <w:r w:rsidRPr="004F4A84">
        <w:rPr>
          <w:rFonts w:ascii="Times New Roman" w:hAnsi="Times New Roman" w:cs="Times New Roman"/>
          <w:noProof/>
          <w:sz w:val="24"/>
          <w:szCs w:val="24"/>
        </w:rPr>
        <w:tab/>
        <w:t xml:space="preserve">Trivin. Physiologie de la bilirubine. In: EMC. 1998th ed. Elsevier Inc.; 1998. </w:t>
      </w:r>
    </w:p>
    <w:p w14:paraId="41987F19"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4F4A84">
        <w:rPr>
          <w:rFonts w:ascii="Times New Roman" w:hAnsi="Times New Roman" w:cs="Times New Roman"/>
          <w:noProof/>
          <w:sz w:val="24"/>
          <w:szCs w:val="24"/>
        </w:rPr>
        <w:t xml:space="preserve">14. </w:t>
      </w:r>
      <w:r w:rsidRPr="004F4A84">
        <w:rPr>
          <w:rFonts w:ascii="Times New Roman" w:hAnsi="Times New Roman" w:cs="Times New Roman"/>
          <w:noProof/>
          <w:sz w:val="24"/>
          <w:szCs w:val="24"/>
        </w:rPr>
        <w:tab/>
        <w:t xml:space="preserve">Labrune P, Trioche-Eberschweiler P G V. Diagnostic de l’ictère du nouveau-né. In: </w:t>
      </w:r>
      <w:r w:rsidRPr="004F4A84">
        <w:rPr>
          <w:rFonts w:ascii="Times New Roman" w:hAnsi="Times New Roman" w:cs="Times New Roman"/>
          <w:noProof/>
          <w:sz w:val="24"/>
          <w:szCs w:val="24"/>
        </w:rPr>
        <w:lastRenderedPageBreak/>
        <w:t xml:space="preserve">EMC. 2010th ed. Elsevier Inc.; 2010. p. 6. </w:t>
      </w:r>
    </w:p>
    <w:p w14:paraId="1250C8BD"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4F4A84">
        <w:rPr>
          <w:rFonts w:ascii="Times New Roman" w:hAnsi="Times New Roman" w:cs="Times New Roman"/>
          <w:noProof/>
          <w:sz w:val="24"/>
          <w:szCs w:val="24"/>
        </w:rPr>
        <w:t xml:space="preserve">15. </w:t>
      </w:r>
      <w:r w:rsidRPr="004F4A84">
        <w:rPr>
          <w:rFonts w:ascii="Times New Roman" w:hAnsi="Times New Roman" w:cs="Times New Roman"/>
          <w:noProof/>
          <w:sz w:val="24"/>
          <w:szCs w:val="24"/>
        </w:rPr>
        <w:tab/>
        <w:t xml:space="preserve">A B. Pédiatrie pour le praticien. 4ème. Masson; 2003. 681 p. </w:t>
      </w:r>
    </w:p>
    <w:p w14:paraId="4031A84B"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4F4A84">
        <w:rPr>
          <w:rFonts w:ascii="Times New Roman" w:hAnsi="Times New Roman" w:cs="Times New Roman"/>
          <w:noProof/>
          <w:sz w:val="24"/>
          <w:szCs w:val="24"/>
        </w:rPr>
        <w:t xml:space="preserve">16. </w:t>
      </w:r>
      <w:r w:rsidRPr="004F4A84">
        <w:rPr>
          <w:rFonts w:ascii="Times New Roman" w:hAnsi="Times New Roman" w:cs="Times New Roman"/>
          <w:noProof/>
          <w:sz w:val="24"/>
          <w:szCs w:val="24"/>
        </w:rPr>
        <w:tab/>
        <w:t xml:space="preserve">Med Taieb Jomni1,&amp;, Mouna Largueche1, Badreddine Ben Kaab1, Imen Abdelaal1, Syrine Bellakhal1 MHD. La néphrotoxicite secondaire à l’hyperbilribinemie: à propos d’un cas. Pan Afr Med J. 2015;8688:2–4. </w:t>
      </w:r>
    </w:p>
    <w:p w14:paraId="4C121079"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4F4A84">
        <w:rPr>
          <w:rFonts w:ascii="Times New Roman" w:hAnsi="Times New Roman" w:cs="Times New Roman"/>
          <w:noProof/>
          <w:sz w:val="24"/>
          <w:szCs w:val="24"/>
        </w:rPr>
        <w:t xml:space="preserve">17. </w:t>
      </w:r>
      <w:r w:rsidRPr="004F4A84">
        <w:rPr>
          <w:rFonts w:ascii="Times New Roman" w:hAnsi="Times New Roman" w:cs="Times New Roman"/>
          <w:noProof/>
          <w:sz w:val="24"/>
          <w:szCs w:val="24"/>
        </w:rPr>
        <w:tab/>
        <w:t xml:space="preserve">Y O. Place du traitement substitutif en albumine dans le transport des médicaments, des hormones, des éléctrolytes et d’autres substances. Ann françaises d’anesthésie réanimation. 1996;532–542:15,4. </w:t>
      </w:r>
    </w:p>
    <w:p w14:paraId="6C0ED9E1"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4F4A84">
        <w:rPr>
          <w:rFonts w:ascii="Times New Roman" w:hAnsi="Times New Roman" w:cs="Times New Roman"/>
          <w:noProof/>
          <w:sz w:val="24"/>
          <w:szCs w:val="24"/>
        </w:rPr>
        <w:t xml:space="preserve">18. </w:t>
      </w:r>
      <w:r w:rsidRPr="004F4A84">
        <w:rPr>
          <w:rFonts w:ascii="Times New Roman" w:hAnsi="Times New Roman" w:cs="Times New Roman"/>
          <w:noProof/>
          <w:sz w:val="24"/>
          <w:szCs w:val="24"/>
        </w:rPr>
        <w:tab/>
        <w:t xml:space="preserve">C.E A. Effect of ibuprofen on bilirubin-albumin binding. </w:t>
      </w:r>
      <w:r w:rsidRPr="00344791">
        <w:rPr>
          <w:rFonts w:ascii="Times New Roman" w:hAnsi="Times New Roman" w:cs="Times New Roman"/>
          <w:noProof/>
          <w:sz w:val="24"/>
          <w:szCs w:val="24"/>
          <w:lang w:val="en-US"/>
        </w:rPr>
        <w:t xml:space="preserve">J pediatics. 2004;386–8:144,3. </w:t>
      </w:r>
    </w:p>
    <w:p w14:paraId="10C98A79"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19. </w:t>
      </w:r>
      <w:r w:rsidRPr="00344791">
        <w:rPr>
          <w:rFonts w:ascii="Times New Roman" w:hAnsi="Times New Roman" w:cs="Times New Roman"/>
          <w:noProof/>
          <w:sz w:val="24"/>
          <w:szCs w:val="24"/>
          <w:lang w:val="en-US"/>
        </w:rPr>
        <w:tab/>
        <w:t xml:space="preserve">Diot C., Kibleur Y DL. Effect of ibuprofen on bilirubin-albumin binding in vitro at concentrations observed during treatment of patent ductus arteriosus. Early Hum Dev. 2010;315–7:86, 5. </w:t>
      </w:r>
    </w:p>
    <w:p w14:paraId="1ED1EFA5"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20. </w:t>
      </w:r>
      <w:r w:rsidRPr="00344791">
        <w:rPr>
          <w:rFonts w:ascii="Times New Roman" w:hAnsi="Times New Roman" w:cs="Times New Roman"/>
          <w:noProof/>
          <w:sz w:val="24"/>
          <w:szCs w:val="24"/>
          <w:lang w:val="en-US"/>
        </w:rPr>
        <w:tab/>
        <w:t xml:space="preserve">Steven M. Shapiro M. Bilirubin Toxicity in the Developing Nervous System. Pediatr Neurol. 2003;29(5):409–21. </w:t>
      </w:r>
    </w:p>
    <w:p w14:paraId="76E33C71"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344791">
        <w:rPr>
          <w:rFonts w:ascii="Times New Roman" w:hAnsi="Times New Roman" w:cs="Times New Roman"/>
          <w:noProof/>
          <w:sz w:val="24"/>
          <w:szCs w:val="24"/>
          <w:lang w:val="en-US"/>
        </w:rPr>
        <w:t xml:space="preserve">21. </w:t>
      </w:r>
      <w:r w:rsidRPr="00344791">
        <w:rPr>
          <w:rFonts w:ascii="Times New Roman" w:hAnsi="Times New Roman" w:cs="Times New Roman"/>
          <w:noProof/>
          <w:sz w:val="24"/>
          <w:szCs w:val="24"/>
          <w:lang w:val="en-US"/>
        </w:rPr>
        <w:tab/>
        <w:t xml:space="preserve">Vinod K. Bhutani RJ. Bilirubin Neurotoxicity in Preterm Infants: Risk and Prevention. </w:t>
      </w:r>
      <w:r w:rsidRPr="004F4A84">
        <w:rPr>
          <w:rFonts w:ascii="Times New Roman" w:hAnsi="Times New Roman" w:cs="Times New Roman"/>
          <w:noProof/>
          <w:sz w:val="24"/>
          <w:szCs w:val="24"/>
        </w:rPr>
        <w:t xml:space="preserve">J Clin Neonatol. 2013;(2). </w:t>
      </w:r>
    </w:p>
    <w:p w14:paraId="0692C167"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4F4A84">
        <w:rPr>
          <w:rFonts w:ascii="Times New Roman" w:hAnsi="Times New Roman" w:cs="Times New Roman"/>
          <w:noProof/>
          <w:sz w:val="24"/>
          <w:szCs w:val="24"/>
        </w:rPr>
        <w:t xml:space="preserve">22. </w:t>
      </w:r>
      <w:r w:rsidRPr="004F4A84">
        <w:rPr>
          <w:rFonts w:ascii="Times New Roman" w:hAnsi="Times New Roman" w:cs="Times New Roman"/>
          <w:noProof/>
          <w:sz w:val="24"/>
          <w:szCs w:val="24"/>
        </w:rPr>
        <w:tab/>
        <w:t xml:space="preserve">Mohammed CHU, Tairan H, Aboussad A, Néonatologie S De, Ibn H, Chu T, et al. Résultats et analyses. 2009;1–4. </w:t>
      </w:r>
    </w:p>
    <w:p w14:paraId="471233C1"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4F4A84">
        <w:rPr>
          <w:rFonts w:ascii="Times New Roman" w:hAnsi="Times New Roman" w:cs="Times New Roman"/>
          <w:noProof/>
          <w:sz w:val="24"/>
          <w:szCs w:val="24"/>
        </w:rPr>
        <w:t xml:space="preserve">23. </w:t>
      </w:r>
      <w:r w:rsidRPr="004F4A84">
        <w:rPr>
          <w:rFonts w:ascii="Times New Roman" w:hAnsi="Times New Roman" w:cs="Times New Roman"/>
          <w:noProof/>
          <w:sz w:val="24"/>
          <w:szCs w:val="24"/>
        </w:rPr>
        <w:tab/>
        <w:t xml:space="preserve">Senterre T., Minon J.M.  and RJ. L’allo-immunisation foeto-maternelle ABO peut être sévère. </w:t>
      </w:r>
      <w:r w:rsidRPr="00344791">
        <w:rPr>
          <w:rFonts w:ascii="Times New Roman" w:hAnsi="Times New Roman" w:cs="Times New Roman"/>
          <w:noProof/>
          <w:sz w:val="24"/>
          <w:szCs w:val="24"/>
          <w:lang w:val="en-US"/>
        </w:rPr>
        <w:t xml:space="preserve">Arch Pédiatrie,. 2009;18(3):279–82. </w:t>
      </w:r>
    </w:p>
    <w:p w14:paraId="20585AD1"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344791">
        <w:rPr>
          <w:rFonts w:ascii="Times New Roman" w:hAnsi="Times New Roman" w:cs="Times New Roman"/>
          <w:noProof/>
          <w:sz w:val="24"/>
          <w:szCs w:val="24"/>
          <w:lang w:val="en-US"/>
        </w:rPr>
        <w:t xml:space="preserve">24. </w:t>
      </w:r>
      <w:r w:rsidRPr="00344791">
        <w:rPr>
          <w:rFonts w:ascii="Times New Roman" w:hAnsi="Times New Roman" w:cs="Times New Roman"/>
          <w:noProof/>
          <w:sz w:val="24"/>
          <w:szCs w:val="24"/>
          <w:lang w:val="en-US"/>
        </w:rPr>
        <w:tab/>
        <w:t xml:space="preserve">C. KM and H. Understanding and preventing severe neonatal hyperbilirubinemia: is bilirubin neurotoxity really a concern in the developed world? clin perinatol. </w:t>
      </w:r>
      <w:r w:rsidRPr="004F4A84">
        <w:rPr>
          <w:rFonts w:ascii="Times New Roman" w:hAnsi="Times New Roman" w:cs="Times New Roman"/>
          <w:noProof/>
          <w:sz w:val="24"/>
          <w:szCs w:val="24"/>
        </w:rPr>
        <w:t xml:space="preserve">2004;31(3):555–75. </w:t>
      </w:r>
    </w:p>
    <w:p w14:paraId="78A0C662"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4F4A84">
        <w:rPr>
          <w:rFonts w:ascii="Times New Roman" w:hAnsi="Times New Roman" w:cs="Times New Roman"/>
          <w:noProof/>
          <w:sz w:val="24"/>
          <w:szCs w:val="24"/>
        </w:rPr>
        <w:t xml:space="preserve">25. </w:t>
      </w:r>
      <w:r w:rsidRPr="004F4A84">
        <w:rPr>
          <w:rFonts w:ascii="Times New Roman" w:hAnsi="Times New Roman" w:cs="Times New Roman"/>
          <w:noProof/>
          <w:sz w:val="24"/>
          <w:szCs w:val="24"/>
        </w:rPr>
        <w:tab/>
        <w:t xml:space="preserve">A. Corteya, M. Elzaabib, T. Waegemansb, B. Rochb YA. Efficacite et tolerance des immunoglobulines polyvalentes dans l’hyperbilirubinemie neonatale par incompatibilite´ ABO. </w:t>
      </w:r>
      <w:r w:rsidRPr="00344791">
        <w:rPr>
          <w:rFonts w:ascii="Times New Roman" w:hAnsi="Times New Roman" w:cs="Times New Roman"/>
          <w:noProof/>
          <w:sz w:val="24"/>
          <w:szCs w:val="24"/>
          <w:lang w:val="en-US"/>
        </w:rPr>
        <w:t xml:space="preserve">Meta-analyse Arch Pediatr. 2014;21:976–83. </w:t>
      </w:r>
    </w:p>
    <w:p w14:paraId="4AE7A239"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26. </w:t>
      </w:r>
      <w:r w:rsidRPr="00344791">
        <w:rPr>
          <w:rFonts w:ascii="Times New Roman" w:hAnsi="Times New Roman" w:cs="Times New Roman"/>
          <w:noProof/>
          <w:sz w:val="24"/>
          <w:szCs w:val="24"/>
          <w:lang w:val="en-US"/>
        </w:rPr>
        <w:tab/>
        <w:t xml:space="preserve">Joseph R, Ho LY, Gomez JM  et al. Mass newborn screening for glucose-6-phosphate dehydrogenase deficiency in Singapore. Southeast Asian J Trop Med Public Heal. 1999;70–1(30). </w:t>
      </w:r>
    </w:p>
    <w:p w14:paraId="33475207"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27. </w:t>
      </w:r>
      <w:r w:rsidRPr="00344791">
        <w:rPr>
          <w:rFonts w:ascii="Times New Roman" w:hAnsi="Times New Roman" w:cs="Times New Roman"/>
          <w:noProof/>
          <w:sz w:val="24"/>
          <w:szCs w:val="24"/>
          <w:lang w:val="en-US"/>
        </w:rPr>
        <w:tab/>
        <w:t xml:space="preserve">Larue N, Kahn M, Murray M, Leader BT, Bansil P, Mcgray S, et al. Comparison of Quantitative and Qualitative Tests for Glucose-6-Phosphate Dehydrogenase Deficiency. 2014;91(4):854–61. </w:t>
      </w:r>
    </w:p>
    <w:p w14:paraId="5222B0E8"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28. </w:t>
      </w:r>
      <w:r w:rsidRPr="00344791">
        <w:rPr>
          <w:rFonts w:ascii="Times New Roman" w:hAnsi="Times New Roman" w:cs="Times New Roman"/>
          <w:noProof/>
          <w:sz w:val="24"/>
          <w:szCs w:val="24"/>
          <w:lang w:val="en-US"/>
        </w:rPr>
        <w:tab/>
        <w:t xml:space="preserve">Ghaber Sidi Mohamed1, 2, 3, Salem Mohamed Lemine1, 3, Shagh Cheibetta2, </w:t>
      </w:r>
      <w:r w:rsidRPr="00344791">
        <w:rPr>
          <w:rFonts w:ascii="Times New Roman" w:hAnsi="Times New Roman" w:cs="Times New Roman"/>
          <w:noProof/>
          <w:sz w:val="24"/>
          <w:szCs w:val="24"/>
          <w:lang w:val="en-US"/>
        </w:rPr>
        <w:lastRenderedPageBreak/>
        <w:t xml:space="preserve">Aminetou Mohamed2 3. </w:t>
      </w:r>
      <w:r w:rsidRPr="004F4A84">
        <w:rPr>
          <w:rFonts w:ascii="Times New Roman" w:hAnsi="Times New Roman" w:cs="Times New Roman"/>
          <w:noProof/>
          <w:sz w:val="24"/>
          <w:szCs w:val="24"/>
        </w:rPr>
        <w:t xml:space="preserve">Dépistage néonatal du déficit en glucose 6 phosphate déshydrogénase (G6PD) en Mauritanie. </w:t>
      </w:r>
      <w:r w:rsidRPr="00344791">
        <w:rPr>
          <w:rFonts w:ascii="Times New Roman" w:hAnsi="Times New Roman" w:cs="Times New Roman"/>
          <w:noProof/>
          <w:sz w:val="24"/>
          <w:szCs w:val="24"/>
          <w:lang w:val="en-US"/>
        </w:rPr>
        <w:t xml:space="preserve">PAMJ Clin Med. 2018;ISSN 1937-. </w:t>
      </w:r>
    </w:p>
    <w:p w14:paraId="17E9905F"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29. </w:t>
      </w:r>
      <w:r w:rsidRPr="00344791">
        <w:rPr>
          <w:rFonts w:ascii="Times New Roman" w:hAnsi="Times New Roman" w:cs="Times New Roman"/>
          <w:noProof/>
          <w:sz w:val="24"/>
          <w:szCs w:val="24"/>
          <w:lang w:val="en-US"/>
        </w:rPr>
        <w:tab/>
        <w:t xml:space="preserve">Tshilolo L, Kafando E, Sawadogo M, Cotton F, Vertongen F. Neonatal screening and clinical care programmes for sickle cell disorders in sub-Saharan Africa : Lessons from pilot studies. 2008; </w:t>
      </w:r>
    </w:p>
    <w:p w14:paraId="7654490D"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30. </w:t>
      </w:r>
      <w:r w:rsidRPr="00344791">
        <w:rPr>
          <w:rFonts w:ascii="Times New Roman" w:hAnsi="Times New Roman" w:cs="Times New Roman"/>
          <w:noProof/>
          <w:sz w:val="24"/>
          <w:szCs w:val="24"/>
          <w:lang w:val="en-US"/>
        </w:rPr>
        <w:tab/>
        <w:t xml:space="preserve">Kappas A, Drummond GS VT. A single dose of Sn mesoporphyrin prevents development of severe hyperbilirubinemia in glucose-6-phosphate dehydrogenase-deficient newborns. Pediatrics. 2001;108(26):1-6,. </w:t>
      </w:r>
    </w:p>
    <w:p w14:paraId="1A836EF0"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344791">
        <w:rPr>
          <w:rFonts w:ascii="Times New Roman" w:hAnsi="Times New Roman" w:cs="Times New Roman"/>
          <w:noProof/>
          <w:sz w:val="24"/>
          <w:szCs w:val="24"/>
          <w:lang w:val="en-US"/>
        </w:rPr>
        <w:t xml:space="preserve">31. </w:t>
      </w:r>
      <w:r w:rsidRPr="00344791">
        <w:rPr>
          <w:rFonts w:ascii="Times New Roman" w:hAnsi="Times New Roman" w:cs="Times New Roman"/>
          <w:noProof/>
          <w:sz w:val="24"/>
          <w:szCs w:val="24"/>
          <w:lang w:val="en-US"/>
        </w:rPr>
        <w:tab/>
        <w:t xml:space="preserve">W. H. Johnston, Violetta Angara, Ruth Baumal, W. A. Hawke, Robert H. Johnson, Sylvia Keet MW. ERYTHROBLASTOSIS FETALIS AND HYPERBILIRUBINEMIA: A Five-year Follow-up with Neurological, Psychological, and Audiological Evaluation. </w:t>
      </w:r>
      <w:r w:rsidRPr="004F4A84">
        <w:rPr>
          <w:rFonts w:ascii="Times New Roman" w:hAnsi="Times New Roman" w:cs="Times New Roman"/>
          <w:noProof/>
          <w:sz w:val="24"/>
          <w:szCs w:val="24"/>
        </w:rPr>
        <w:t xml:space="preserve">Pediatrics. 1967;39:88. </w:t>
      </w:r>
    </w:p>
    <w:p w14:paraId="3F43A05D"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4F4A84">
        <w:rPr>
          <w:rFonts w:ascii="Times New Roman" w:hAnsi="Times New Roman" w:cs="Times New Roman"/>
          <w:noProof/>
          <w:sz w:val="24"/>
          <w:szCs w:val="24"/>
        </w:rPr>
        <w:t xml:space="preserve">32. </w:t>
      </w:r>
      <w:r w:rsidRPr="004F4A84">
        <w:rPr>
          <w:rFonts w:ascii="Times New Roman" w:hAnsi="Times New Roman" w:cs="Times New Roman"/>
          <w:noProof/>
          <w:sz w:val="24"/>
          <w:szCs w:val="24"/>
        </w:rPr>
        <w:tab/>
        <w:t xml:space="preserve">Cynober T, Bader Meunier B BY. anémie hémolytique du nouveau né. Pediatr Mal infectueuse. 2002;4–002(R-40):6. </w:t>
      </w:r>
    </w:p>
    <w:p w14:paraId="206BEBF3"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4F4A84">
        <w:rPr>
          <w:rFonts w:ascii="Times New Roman" w:hAnsi="Times New Roman" w:cs="Times New Roman"/>
          <w:noProof/>
          <w:sz w:val="24"/>
          <w:szCs w:val="24"/>
        </w:rPr>
        <w:t xml:space="preserve">33. </w:t>
      </w:r>
      <w:r w:rsidRPr="004F4A84">
        <w:rPr>
          <w:rFonts w:ascii="Times New Roman" w:hAnsi="Times New Roman" w:cs="Times New Roman"/>
          <w:noProof/>
          <w:sz w:val="24"/>
          <w:szCs w:val="24"/>
        </w:rPr>
        <w:tab/>
        <w:t xml:space="preserve">Bosma PJ, Chowdhury JR, Bakker C  et al. </w:t>
      </w:r>
      <w:r w:rsidRPr="00344791">
        <w:rPr>
          <w:rFonts w:ascii="Times New Roman" w:hAnsi="Times New Roman" w:cs="Times New Roman"/>
          <w:noProof/>
          <w:sz w:val="24"/>
          <w:szCs w:val="24"/>
          <w:lang w:val="en-US"/>
        </w:rPr>
        <w:t xml:space="preserve">The genetic basis of the reduced expression of bilirubin UDP-glucuronosyltransferase 1 in Gilbert’s syndrome. N Engl J Med. 1995;333:1171–5. </w:t>
      </w:r>
    </w:p>
    <w:p w14:paraId="67478CC9"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34. </w:t>
      </w:r>
      <w:r w:rsidRPr="00344791">
        <w:rPr>
          <w:rFonts w:ascii="Times New Roman" w:hAnsi="Times New Roman" w:cs="Times New Roman"/>
          <w:noProof/>
          <w:sz w:val="24"/>
          <w:szCs w:val="24"/>
          <w:lang w:val="en-US"/>
        </w:rPr>
        <w:tab/>
        <w:t xml:space="preserve">Beutler E, Gelbart T DA. Racial variability in the UDP-glucuronosyltransferase 1 (UGT1A1) promoter: a balanced polymorphism for regulation of bilirubin metabolism? Proc Natl Acad Sci U S A. 1998;95:: 8170-4. </w:t>
      </w:r>
    </w:p>
    <w:p w14:paraId="3EF0EE1C"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35. </w:t>
      </w:r>
      <w:r w:rsidRPr="00344791">
        <w:rPr>
          <w:rFonts w:ascii="Times New Roman" w:hAnsi="Times New Roman" w:cs="Times New Roman"/>
          <w:noProof/>
          <w:sz w:val="24"/>
          <w:szCs w:val="24"/>
          <w:lang w:val="en-US"/>
        </w:rPr>
        <w:tab/>
        <w:t xml:space="preserve">Akaba K, Kimura T, Sasaki A  et al. Neonatal hyperbilirubinemia and mutation of the bilirubin uridine diphosphate-glucuronosyltransferase gene: a common missense mutation among Japanese, Koreans and Chinese. Biochem Mol Biol Int. 1998;46:21–6. </w:t>
      </w:r>
    </w:p>
    <w:p w14:paraId="3BEB8203"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36. </w:t>
      </w:r>
      <w:r w:rsidRPr="00344791">
        <w:rPr>
          <w:rFonts w:ascii="Times New Roman" w:hAnsi="Times New Roman" w:cs="Times New Roman"/>
          <w:noProof/>
          <w:sz w:val="24"/>
          <w:szCs w:val="24"/>
          <w:lang w:val="en-US"/>
        </w:rPr>
        <w:tab/>
        <w:t xml:space="preserve">Kaplan M, Renbaum P, Levy-Lahad E, Hammerman C, Lahad A BE. Gilbert syndrome and glucose-6-phosphate dehydrogenase deficiency: a dose-dependent genetic interaction crucial to neonatal hyperbilirubinemia. Proc Natl Acad Sci U S A. 1997;94:12128-32. </w:t>
      </w:r>
    </w:p>
    <w:p w14:paraId="54E77EC3"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37. </w:t>
      </w:r>
      <w:r w:rsidRPr="00344791">
        <w:rPr>
          <w:rFonts w:ascii="Times New Roman" w:hAnsi="Times New Roman" w:cs="Times New Roman"/>
          <w:noProof/>
          <w:sz w:val="24"/>
          <w:szCs w:val="24"/>
          <w:lang w:val="en-US"/>
        </w:rPr>
        <w:tab/>
        <w:t xml:space="preserve">M Atkinson 1 H Budge2. Review of the NICE guidance on neonatal jaundice. </w:t>
      </w:r>
    </w:p>
    <w:p w14:paraId="4FF6D83B"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38. </w:t>
      </w:r>
      <w:r w:rsidRPr="00344791">
        <w:rPr>
          <w:rFonts w:ascii="Times New Roman" w:hAnsi="Times New Roman" w:cs="Times New Roman"/>
          <w:noProof/>
          <w:sz w:val="24"/>
          <w:szCs w:val="24"/>
          <w:lang w:val="en-US"/>
        </w:rPr>
        <w:tab/>
        <w:t xml:space="preserve">M. Jeffrey Maisels, M.B., B.Ch.  and A. Phototherapy for Neonatal Jaundice. N Engl J Med. 358:920–8. </w:t>
      </w:r>
    </w:p>
    <w:p w14:paraId="4BD21DA9"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344791">
        <w:rPr>
          <w:rFonts w:ascii="Times New Roman" w:hAnsi="Times New Roman" w:cs="Times New Roman"/>
          <w:noProof/>
          <w:sz w:val="24"/>
          <w:szCs w:val="24"/>
          <w:lang w:val="en-US"/>
        </w:rPr>
        <w:t xml:space="preserve">39. </w:t>
      </w:r>
      <w:r w:rsidRPr="00344791">
        <w:rPr>
          <w:rFonts w:ascii="Times New Roman" w:hAnsi="Times New Roman" w:cs="Times New Roman"/>
          <w:noProof/>
          <w:sz w:val="24"/>
          <w:szCs w:val="24"/>
          <w:lang w:val="en-US"/>
        </w:rPr>
        <w:tab/>
        <w:t xml:space="preserve">Salma Naderi, Fatemeh Safdarian, Davood Mazloomi EB. Efficacy of Double and Triple Phototherapy in Term Newborns With Hyperbilirubinemia:The First Clinical Trial.itle. Pediatr Neonatol. </w:t>
      </w:r>
      <w:r w:rsidRPr="004F4A84">
        <w:rPr>
          <w:rFonts w:ascii="Times New Roman" w:hAnsi="Times New Roman" w:cs="Times New Roman"/>
          <w:noProof/>
          <w:sz w:val="24"/>
          <w:szCs w:val="24"/>
        </w:rPr>
        <w:t xml:space="preserve">50(6):.:266−269. </w:t>
      </w:r>
    </w:p>
    <w:p w14:paraId="56C8A825"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4F4A84">
        <w:rPr>
          <w:rFonts w:ascii="Times New Roman" w:hAnsi="Times New Roman" w:cs="Times New Roman"/>
          <w:noProof/>
          <w:sz w:val="24"/>
          <w:szCs w:val="24"/>
        </w:rPr>
        <w:t xml:space="preserve">40. </w:t>
      </w:r>
      <w:r w:rsidRPr="004F4A84">
        <w:rPr>
          <w:rFonts w:ascii="Times New Roman" w:hAnsi="Times New Roman" w:cs="Times New Roman"/>
          <w:noProof/>
          <w:sz w:val="24"/>
          <w:szCs w:val="24"/>
        </w:rPr>
        <w:tab/>
        <w:t xml:space="preserve">Langevin LDMM and. Prise en charge de l’hyperbilirubinémie du nouveau-né à terme </w:t>
      </w:r>
      <w:r w:rsidRPr="004F4A84">
        <w:rPr>
          <w:rFonts w:ascii="Times New Roman" w:hAnsi="Times New Roman" w:cs="Times New Roman"/>
          <w:noProof/>
          <w:sz w:val="24"/>
          <w:szCs w:val="24"/>
        </w:rPr>
        <w:lastRenderedPageBreak/>
        <w:t xml:space="preserve">en maternité. Arch Pédiatrie,. 1998;5, 10:1156 1161. </w:t>
      </w:r>
    </w:p>
    <w:p w14:paraId="6AE785C8"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4F4A84">
        <w:rPr>
          <w:rFonts w:ascii="Times New Roman" w:hAnsi="Times New Roman" w:cs="Times New Roman"/>
          <w:noProof/>
          <w:sz w:val="24"/>
          <w:szCs w:val="24"/>
        </w:rPr>
        <w:t xml:space="preserve">41. </w:t>
      </w:r>
      <w:r w:rsidRPr="004F4A84">
        <w:rPr>
          <w:rFonts w:ascii="Times New Roman" w:hAnsi="Times New Roman" w:cs="Times New Roman"/>
          <w:noProof/>
          <w:sz w:val="24"/>
          <w:szCs w:val="24"/>
        </w:rPr>
        <w:tab/>
        <w:t xml:space="preserve">A. CR and S. Photothérapie et mort subite du nourrisson. Arch Pédiatrie,. 1999;6, 1.:113–113. </w:t>
      </w:r>
    </w:p>
    <w:p w14:paraId="4F042A8A"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4F4A84">
        <w:rPr>
          <w:rFonts w:ascii="Times New Roman" w:hAnsi="Times New Roman" w:cs="Times New Roman"/>
          <w:noProof/>
          <w:sz w:val="24"/>
          <w:szCs w:val="24"/>
        </w:rPr>
        <w:t xml:space="preserve">42. </w:t>
      </w:r>
      <w:r w:rsidRPr="004F4A84">
        <w:rPr>
          <w:rFonts w:ascii="Times New Roman" w:hAnsi="Times New Roman" w:cs="Times New Roman"/>
          <w:noProof/>
          <w:sz w:val="24"/>
          <w:szCs w:val="24"/>
        </w:rPr>
        <w:tab/>
        <w:t xml:space="preserve">Lachaux VSA and De. Point de vue actuel sur la photothérapie. J Pédiatrie Puériculture, . 3, 8:457–66. </w:t>
      </w:r>
    </w:p>
    <w:p w14:paraId="6DE0C4B9"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4F4A84">
        <w:rPr>
          <w:rFonts w:ascii="Times New Roman" w:hAnsi="Times New Roman" w:cs="Times New Roman"/>
          <w:noProof/>
          <w:sz w:val="24"/>
          <w:szCs w:val="24"/>
        </w:rPr>
        <w:t xml:space="preserve">43. </w:t>
      </w:r>
      <w:r w:rsidRPr="004F4A84">
        <w:rPr>
          <w:rFonts w:ascii="Times New Roman" w:hAnsi="Times New Roman" w:cs="Times New Roman"/>
          <w:noProof/>
          <w:sz w:val="24"/>
          <w:szCs w:val="24"/>
        </w:rPr>
        <w:tab/>
        <w:t xml:space="preserve">102. Tatli M.M., Minnet C., Kocyigit A.  </w:t>
      </w:r>
      <w:r w:rsidRPr="00344791">
        <w:rPr>
          <w:rFonts w:ascii="Times New Roman" w:hAnsi="Times New Roman" w:cs="Times New Roman"/>
          <w:noProof/>
          <w:sz w:val="24"/>
          <w:szCs w:val="24"/>
          <w:lang w:val="en-US"/>
        </w:rPr>
        <w:t xml:space="preserve">et al. Phototherapy increases DNA damage in lymphocytes of hyperbilirubinemic neonates. </w:t>
      </w:r>
      <w:r w:rsidRPr="004F4A84">
        <w:rPr>
          <w:rFonts w:ascii="Times New Roman" w:hAnsi="Times New Roman" w:cs="Times New Roman"/>
          <w:noProof/>
          <w:sz w:val="24"/>
          <w:szCs w:val="24"/>
        </w:rPr>
        <w:t xml:space="preserve">Mutat Res,. 2008;654;1:93–5. </w:t>
      </w:r>
    </w:p>
    <w:p w14:paraId="62E7F02E"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4F4A84">
        <w:rPr>
          <w:rFonts w:ascii="Times New Roman" w:hAnsi="Times New Roman" w:cs="Times New Roman"/>
          <w:noProof/>
          <w:sz w:val="24"/>
          <w:szCs w:val="24"/>
        </w:rPr>
        <w:t xml:space="preserve">44. </w:t>
      </w:r>
      <w:r w:rsidRPr="004F4A84">
        <w:rPr>
          <w:rFonts w:ascii="Times New Roman" w:hAnsi="Times New Roman" w:cs="Times New Roman"/>
          <w:noProof/>
          <w:sz w:val="24"/>
          <w:szCs w:val="24"/>
        </w:rPr>
        <w:tab/>
        <w:t xml:space="preserve">AFSSAPS. Transfusion de globules rouges homologues : produits, indications, alternatives. (http://www.afssaps.fr/var/afssaps_site/storage/original/application/d8b9ffd3b83d066e452dfaf1274dd307.pd). </w:t>
      </w:r>
    </w:p>
    <w:p w14:paraId="76F60207"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4F4A84">
        <w:rPr>
          <w:rFonts w:ascii="Times New Roman" w:hAnsi="Times New Roman" w:cs="Times New Roman"/>
          <w:noProof/>
          <w:sz w:val="24"/>
          <w:szCs w:val="24"/>
        </w:rPr>
        <w:t xml:space="preserve">45. </w:t>
      </w:r>
      <w:r w:rsidRPr="004F4A84">
        <w:rPr>
          <w:rFonts w:ascii="Times New Roman" w:hAnsi="Times New Roman" w:cs="Times New Roman"/>
          <w:noProof/>
          <w:sz w:val="24"/>
          <w:szCs w:val="24"/>
        </w:rPr>
        <w:tab/>
        <w:t xml:space="preserve">Soulié J.C., Larsen M., Andreu G.  et al. Étude rétrospective de l’exsanguinotransfusion du nouveau-né au moyen de sang reconstitué. Bilan de 60 échanges. Transfusion. Clin Biol. 1999;6, 3:166-173. </w:t>
      </w:r>
    </w:p>
    <w:p w14:paraId="56B8C745"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4F4A84">
        <w:rPr>
          <w:rFonts w:ascii="Times New Roman" w:hAnsi="Times New Roman" w:cs="Times New Roman"/>
          <w:noProof/>
          <w:sz w:val="24"/>
          <w:szCs w:val="24"/>
        </w:rPr>
        <w:t xml:space="preserve">46. </w:t>
      </w:r>
      <w:r w:rsidRPr="004F4A84">
        <w:rPr>
          <w:rFonts w:ascii="Times New Roman" w:hAnsi="Times New Roman" w:cs="Times New Roman"/>
          <w:noProof/>
          <w:sz w:val="24"/>
          <w:szCs w:val="24"/>
        </w:rPr>
        <w:tab/>
        <w:t xml:space="preserve">Caldera R, Maynier M, Sender A, Brossard Y TD. </w:t>
      </w:r>
      <w:r w:rsidRPr="00344791">
        <w:rPr>
          <w:rFonts w:ascii="Times New Roman" w:hAnsi="Times New Roman" w:cs="Times New Roman"/>
          <w:noProof/>
          <w:sz w:val="24"/>
          <w:szCs w:val="24"/>
          <w:lang w:val="en-US"/>
        </w:rPr>
        <w:t xml:space="preserve">The effect of human albumin in association with intensive phototherapy in the management of neonatal jaundice. Arch Fr Pediatr. 1993;50(5):399–402. </w:t>
      </w:r>
    </w:p>
    <w:p w14:paraId="09C17E4F"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47. </w:t>
      </w:r>
      <w:r w:rsidRPr="00344791">
        <w:rPr>
          <w:rFonts w:ascii="Times New Roman" w:hAnsi="Times New Roman" w:cs="Times New Roman"/>
          <w:noProof/>
          <w:sz w:val="24"/>
          <w:szCs w:val="24"/>
          <w:lang w:val="en-US"/>
        </w:rPr>
        <w:tab/>
        <w:t xml:space="preserve">Nakamura SMS and H. Bilirubin and the auditory system. J Perinatol , pp. 2001;21, n:S52–S55,. </w:t>
      </w:r>
    </w:p>
    <w:p w14:paraId="5F1740D0"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48. </w:t>
      </w:r>
      <w:r w:rsidRPr="00344791">
        <w:rPr>
          <w:rFonts w:ascii="Times New Roman" w:hAnsi="Times New Roman" w:cs="Times New Roman"/>
          <w:noProof/>
          <w:sz w:val="24"/>
          <w:szCs w:val="24"/>
          <w:lang w:val="en-US"/>
        </w:rPr>
        <w:tab/>
        <w:t xml:space="preserve">PLoS ONE. Hyperbilirubinemia and neurodevelopmental outcome of very low birthweight infants: results from the lift cohort,. vol 7, no 1,. 2012;article e3. </w:t>
      </w:r>
    </w:p>
    <w:p w14:paraId="1A1E5A89"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49. </w:t>
      </w:r>
      <w:r w:rsidRPr="00344791">
        <w:rPr>
          <w:rFonts w:ascii="Times New Roman" w:hAnsi="Times New Roman" w:cs="Times New Roman"/>
          <w:noProof/>
          <w:sz w:val="24"/>
          <w:szCs w:val="24"/>
          <w:lang w:val="en-US"/>
        </w:rPr>
        <w:tab/>
        <w:t xml:space="preserve">J. Busa, J. Harrison JC et al. Year 2007 position statement: principles and guidelines for early hearing detection and intervention programs. Pediatrics,. 2007;120,:898–921. </w:t>
      </w:r>
    </w:p>
    <w:p w14:paraId="1983ED9F"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50. </w:t>
      </w:r>
      <w:r w:rsidRPr="00344791">
        <w:rPr>
          <w:rFonts w:ascii="Times New Roman" w:hAnsi="Times New Roman" w:cs="Times New Roman"/>
          <w:noProof/>
          <w:sz w:val="24"/>
          <w:szCs w:val="24"/>
          <w:lang w:val="en-US"/>
        </w:rPr>
        <w:tab/>
        <w:t xml:space="preserve">Bhutani VK JL. Synopsis report from the pilot USA Kernicterus. Regist J Perinatol. 2009;29(suppl 1:S4–S7. </w:t>
      </w:r>
    </w:p>
    <w:p w14:paraId="753FBAE9"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51. </w:t>
      </w:r>
      <w:r w:rsidRPr="00344791">
        <w:rPr>
          <w:rFonts w:ascii="Times New Roman" w:hAnsi="Times New Roman" w:cs="Times New Roman"/>
          <w:noProof/>
          <w:sz w:val="24"/>
          <w:szCs w:val="24"/>
          <w:lang w:val="en-US"/>
        </w:rPr>
        <w:tab/>
        <w:t xml:space="preserve">Powers KM, Miller S SS. Exposure to excessive hyperbilirubinemia earlier in neurodevelopment is associated with auditory-predominant kernicterus subtype. Ann Neurol. 2008;64(Suppl.1:S105. </w:t>
      </w:r>
    </w:p>
    <w:p w14:paraId="28F267CB"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52. </w:t>
      </w:r>
      <w:r w:rsidRPr="00344791">
        <w:rPr>
          <w:rFonts w:ascii="Times New Roman" w:hAnsi="Times New Roman" w:cs="Times New Roman"/>
          <w:noProof/>
          <w:sz w:val="24"/>
          <w:szCs w:val="24"/>
          <w:lang w:val="en-US"/>
        </w:rPr>
        <w:tab/>
        <w:t xml:space="preserve">V.K. Bhutani LJ. Kernicterus in late preterm infants cared for as term healthy infants, Semin. Perinatol. Semin Perinatol. 2006;30 (2):89–97. </w:t>
      </w:r>
    </w:p>
    <w:p w14:paraId="7684A6FE"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53. </w:t>
      </w:r>
      <w:r w:rsidRPr="00344791">
        <w:rPr>
          <w:rFonts w:ascii="Times New Roman" w:hAnsi="Times New Roman" w:cs="Times New Roman"/>
          <w:noProof/>
          <w:sz w:val="24"/>
          <w:szCs w:val="24"/>
          <w:lang w:val="en-US"/>
        </w:rPr>
        <w:tab/>
        <w:t xml:space="preserve">Satish Saluja, Asha Agarwal NK. Auditory neuropathy spectrum disorder in late preterm and term infants with severe jaundice. Int J Pediatr Otorhinolaryngol. 2010;74:1292–1297. </w:t>
      </w:r>
    </w:p>
    <w:p w14:paraId="5A074CB7"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54. </w:t>
      </w:r>
      <w:r w:rsidRPr="00344791">
        <w:rPr>
          <w:rFonts w:ascii="Times New Roman" w:hAnsi="Times New Roman" w:cs="Times New Roman"/>
          <w:noProof/>
          <w:sz w:val="24"/>
          <w:szCs w:val="24"/>
          <w:lang w:val="en-US"/>
        </w:rPr>
        <w:tab/>
        <w:t xml:space="preserve">A. Oulmaatia, *, F. Hmamia , M. Hidab AB. High prevalence of hypothyroidism </w:t>
      </w:r>
      <w:r w:rsidRPr="00344791">
        <w:rPr>
          <w:rFonts w:ascii="Times New Roman" w:hAnsi="Times New Roman" w:cs="Times New Roman"/>
          <w:noProof/>
          <w:sz w:val="24"/>
          <w:szCs w:val="24"/>
          <w:lang w:val="en-US"/>
        </w:rPr>
        <w:lastRenderedPageBreak/>
        <w:t xml:space="preserve">among children hospitalized in a neonatal intensive care unit in Morocco. </w:t>
      </w:r>
    </w:p>
    <w:p w14:paraId="6516FECA"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55. </w:t>
      </w:r>
      <w:r w:rsidRPr="00344791">
        <w:rPr>
          <w:rFonts w:ascii="Times New Roman" w:hAnsi="Times New Roman" w:cs="Times New Roman"/>
          <w:noProof/>
          <w:sz w:val="24"/>
          <w:szCs w:val="24"/>
          <w:lang w:val="en-US"/>
        </w:rPr>
        <w:tab/>
        <w:t xml:space="preserve">Nevenka Bujandric1 JG. Exchange Transfusion for Severe Neonatal Hyperbilirubinemia:17 Years’ Experience from Vojvodina, Serbia, Indian J Hematol Blood Transfus. Indian J Hematol Blood Transfus. 32(2):208–214. </w:t>
      </w:r>
    </w:p>
    <w:p w14:paraId="3E398451"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56. </w:t>
      </w:r>
      <w:r w:rsidRPr="00344791">
        <w:rPr>
          <w:rFonts w:ascii="Times New Roman" w:hAnsi="Times New Roman" w:cs="Times New Roman"/>
          <w:noProof/>
          <w:sz w:val="24"/>
          <w:szCs w:val="24"/>
          <w:lang w:val="en-US"/>
        </w:rPr>
        <w:tab/>
        <w:t xml:space="preserve">Bognon G, Tchiakpe N, Padonou C AF. </w:t>
      </w:r>
      <w:r w:rsidRPr="004F4A84">
        <w:rPr>
          <w:rFonts w:ascii="Times New Roman" w:hAnsi="Times New Roman" w:cs="Times New Roman"/>
          <w:noProof/>
          <w:sz w:val="24"/>
          <w:szCs w:val="24"/>
        </w:rPr>
        <w:t xml:space="preserve">Ictère néonatal, Etude des facteurs associés au Centre Hospitalier Départemental de l’Ouéme-Plateau. </w:t>
      </w:r>
      <w:r w:rsidRPr="00344791">
        <w:rPr>
          <w:rFonts w:ascii="Times New Roman" w:hAnsi="Times New Roman" w:cs="Times New Roman"/>
          <w:noProof/>
          <w:sz w:val="24"/>
          <w:szCs w:val="24"/>
          <w:lang w:val="en-US"/>
        </w:rPr>
        <w:t xml:space="preserve">JAfr Paediatr Gen Med. 2019;Numero 7:32 à 37. </w:t>
      </w:r>
    </w:p>
    <w:p w14:paraId="3F95F7B6"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57. </w:t>
      </w:r>
      <w:r w:rsidRPr="00344791">
        <w:rPr>
          <w:rFonts w:ascii="Times New Roman" w:hAnsi="Times New Roman" w:cs="Times New Roman"/>
          <w:noProof/>
          <w:sz w:val="24"/>
          <w:szCs w:val="24"/>
          <w:lang w:val="en-US"/>
        </w:rPr>
        <w:tab/>
        <w:t xml:space="preserve">Shapiro SM. Chronic bilirubin encephalopathy: diagnosis and outcome. Semin Fetal Neonatal Med. 2010;15:157–163. </w:t>
      </w:r>
    </w:p>
    <w:p w14:paraId="774CC440"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58. </w:t>
      </w:r>
      <w:r w:rsidRPr="00344791">
        <w:rPr>
          <w:rFonts w:ascii="Times New Roman" w:hAnsi="Times New Roman" w:cs="Times New Roman"/>
          <w:noProof/>
          <w:sz w:val="24"/>
          <w:szCs w:val="24"/>
          <w:lang w:val="en-US"/>
        </w:rPr>
        <w:tab/>
        <w:t xml:space="preserve">Kadima BT, Lambert J, Ehungu G. High rate of sickle cell anaemia in Sub-Saharan Africa underlines the need to screen all children with severe anaemia for the disease. 2015;1269–73. </w:t>
      </w:r>
    </w:p>
    <w:p w14:paraId="5711C1DC" w14:textId="77777777" w:rsidR="004F4A84" w:rsidRPr="00344791"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344791">
        <w:rPr>
          <w:rFonts w:ascii="Times New Roman" w:hAnsi="Times New Roman" w:cs="Times New Roman"/>
          <w:noProof/>
          <w:sz w:val="24"/>
          <w:szCs w:val="24"/>
          <w:lang w:val="en-US"/>
        </w:rPr>
        <w:t xml:space="preserve">59. </w:t>
      </w:r>
      <w:r w:rsidRPr="00344791">
        <w:rPr>
          <w:rFonts w:ascii="Times New Roman" w:hAnsi="Times New Roman" w:cs="Times New Roman"/>
          <w:noProof/>
          <w:sz w:val="24"/>
          <w:szCs w:val="24"/>
          <w:lang w:val="en-US"/>
        </w:rPr>
        <w:tab/>
        <w:t xml:space="preserve">Agasa B, Bosunga K, Opara A, Tshilumba K, Dupont E, Vertongen F, et al. Prevalence of sickle cell disease in a northeastern region of the Democratic Republic of Congo : what impact on transfusion policy ? 2010;62–5. </w:t>
      </w:r>
    </w:p>
    <w:p w14:paraId="5F470371" w14:textId="77777777" w:rsidR="004F4A84" w:rsidRPr="004F4A84" w:rsidRDefault="004F4A84" w:rsidP="006612D9">
      <w:pPr>
        <w:widowControl w:val="0"/>
        <w:autoSpaceDE w:val="0"/>
        <w:autoSpaceDN w:val="0"/>
        <w:adjustRightInd w:val="0"/>
        <w:spacing w:after="0" w:line="360" w:lineRule="auto"/>
        <w:ind w:left="640" w:hanging="640"/>
        <w:rPr>
          <w:rFonts w:ascii="Times New Roman" w:hAnsi="Times New Roman" w:cs="Times New Roman"/>
          <w:noProof/>
          <w:sz w:val="24"/>
        </w:rPr>
      </w:pPr>
      <w:r w:rsidRPr="00344791">
        <w:rPr>
          <w:rFonts w:ascii="Times New Roman" w:hAnsi="Times New Roman" w:cs="Times New Roman"/>
          <w:noProof/>
          <w:sz w:val="24"/>
          <w:szCs w:val="24"/>
          <w:lang w:val="en-US"/>
        </w:rPr>
        <w:t xml:space="preserve">60. </w:t>
      </w:r>
      <w:r w:rsidRPr="00344791">
        <w:rPr>
          <w:rFonts w:ascii="Times New Roman" w:hAnsi="Times New Roman" w:cs="Times New Roman"/>
          <w:noProof/>
          <w:sz w:val="24"/>
          <w:szCs w:val="24"/>
          <w:lang w:val="en-US"/>
        </w:rPr>
        <w:tab/>
        <w:t xml:space="preserve">Messner KH, Maisels MJ L-DA. Phototoxicity to the newborn primate retina. </w:t>
      </w:r>
      <w:r w:rsidRPr="004F4A84">
        <w:rPr>
          <w:rFonts w:ascii="Times New Roman" w:hAnsi="Times New Roman" w:cs="Times New Roman"/>
          <w:noProof/>
          <w:sz w:val="24"/>
          <w:szCs w:val="24"/>
        </w:rPr>
        <w:t xml:space="preserve">Invest Ophthalmol Vis Sci. 17(2):178-1 82. </w:t>
      </w:r>
    </w:p>
    <w:p w14:paraId="2607D048" w14:textId="273BBE51" w:rsidR="00CD10E7" w:rsidRPr="002B3A4D" w:rsidRDefault="00792748" w:rsidP="006612D9">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fldChar w:fldCharType="end"/>
      </w:r>
    </w:p>
    <w:p w14:paraId="50FBBB00" w14:textId="77777777" w:rsidR="00792748" w:rsidRPr="002B3A4D" w:rsidRDefault="00792748" w:rsidP="006612D9">
      <w:pPr>
        <w:spacing w:after="0" w:line="360" w:lineRule="auto"/>
        <w:jc w:val="both"/>
        <w:rPr>
          <w:rFonts w:ascii="Times New Roman" w:hAnsi="Times New Roman" w:cs="Times New Roman"/>
          <w:sz w:val="24"/>
          <w:szCs w:val="24"/>
        </w:rPr>
      </w:pPr>
    </w:p>
    <w:p w14:paraId="742B4162" w14:textId="77777777" w:rsidR="00A8119D" w:rsidRPr="002B3A4D" w:rsidRDefault="00A8119D" w:rsidP="006612D9">
      <w:pPr>
        <w:spacing w:after="0" w:line="360" w:lineRule="auto"/>
        <w:jc w:val="both"/>
        <w:rPr>
          <w:rFonts w:ascii="Times New Roman" w:hAnsi="Times New Roman" w:cs="Times New Roman"/>
          <w:sz w:val="24"/>
          <w:szCs w:val="24"/>
        </w:rPr>
      </w:pPr>
    </w:p>
    <w:p w14:paraId="3A783281" w14:textId="77777777" w:rsidR="00A8119D" w:rsidRPr="002B3A4D" w:rsidRDefault="00A8119D" w:rsidP="006612D9">
      <w:pPr>
        <w:spacing w:after="0" w:line="360" w:lineRule="auto"/>
        <w:jc w:val="both"/>
        <w:rPr>
          <w:rFonts w:ascii="Times New Roman" w:hAnsi="Times New Roman" w:cs="Times New Roman"/>
          <w:sz w:val="24"/>
          <w:szCs w:val="24"/>
        </w:rPr>
      </w:pPr>
    </w:p>
    <w:p w14:paraId="303659E7" w14:textId="77777777" w:rsidR="00A8119D" w:rsidRPr="002B3A4D" w:rsidRDefault="00A8119D" w:rsidP="006612D9">
      <w:pPr>
        <w:spacing w:after="0" w:line="360" w:lineRule="auto"/>
        <w:jc w:val="both"/>
        <w:rPr>
          <w:rFonts w:ascii="Times New Roman" w:hAnsi="Times New Roman" w:cs="Times New Roman"/>
          <w:sz w:val="24"/>
          <w:szCs w:val="24"/>
        </w:rPr>
      </w:pPr>
    </w:p>
    <w:p w14:paraId="3023C0FF" w14:textId="77777777" w:rsidR="00A8119D" w:rsidRPr="002B3A4D" w:rsidRDefault="00A8119D" w:rsidP="006612D9">
      <w:pPr>
        <w:spacing w:after="0" w:line="360" w:lineRule="auto"/>
        <w:jc w:val="both"/>
        <w:rPr>
          <w:rFonts w:ascii="Times New Roman" w:hAnsi="Times New Roman" w:cs="Times New Roman"/>
          <w:sz w:val="24"/>
          <w:szCs w:val="24"/>
        </w:rPr>
      </w:pPr>
    </w:p>
    <w:p w14:paraId="66AFB473" w14:textId="77777777" w:rsidR="00A8119D" w:rsidRPr="002B3A4D" w:rsidRDefault="00A8119D" w:rsidP="006612D9">
      <w:pPr>
        <w:spacing w:after="0" w:line="360" w:lineRule="auto"/>
        <w:jc w:val="both"/>
        <w:rPr>
          <w:rFonts w:ascii="Times New Roman" w:hAnsi="Times New Roman" w:cs="Times New Roman"/>
          <w:sz w:val="24"/>
          <w:szCs w:val="24"/>
        </w:rPr>
      </w:pPr>
    </w:p>
    <w:p w14:paraId="7DAA9A5B" w14:textId="77777777" w:rsidR="00A8119D" w:rsidRPr="002B3A4D" w:rsidRDefault="00A8119D" w:rsidP="006612D9">
      <w:pPr>
        <w:spacing w:after="0" w:line="360" w:lineRule="auto"/>
        <w:jc w:val="both"/>
        <w:rPr>
          <w:rFonts w:ascii="Times New Roman" w:hAnsi="Times New Roman" w:cs="Times New Roman"/>
          <w:sz w:val="24"/>
          <w:szCs w:val="24"/>
        </w:rPr>
      </w:pPr>
    </w:p>
    <w:p w14:paraId="14F09B8F" w14:textId="77777777" w:rsidR="00A8119D" w:rsidRPr="002B3A4D" w:rsidRDefault="00A8119D" w:rsidP="006612D9">
      <w:pPr>
        <w:spacing w:after="0" w:line="360" w:lineRule="auto"/>
        <w:jc w:val="both"/>
        <w:rPr>
          <w:rFonts w:ascii="Times New Roman" w:hAnsi="Times New Roman" w:cs="Times New Roman"/>
          <w:sz w:val="24"/>
          <w:szCs w:val="24"/>
        </w:rPr>
      </w:pPr>
    </w:p>
    <w:p w14:paraId="6D8C7239" w14:textId="77777777" w:rsidR="00A8119D" w:rsidRPr="002B3A4D" w:rsidRDefault="00A8119D" w:rsidP="006612D9">
      <w:pPr>
        <w:spacing w:after="0" w:line="360" w:lineRule="auto"/>
        <w:jc w:val="both"/>
        <w:rPr>
          <w:rFonts w:ascii="Times New Roman" w:hAnsi="Times New Roman" w:cs="Times New Roman"/>
          <w:sz w:val="24"/>
          <w:szCs w:val="24"/>
        </w:rPr>
      </w:pPr>
    </w:p>
    <w:p w14:paraId="4006D42A" w14:textId="77777777" w:rsidR="00A8119D" w:rsidRPr="002B3A4D" w:rsidRDefault="00A8119D" w:rsidP="006612D9">
      <w:pPr>
        <w:spacing w:after="0" w:line="360" w:lineRule="auto"/>
        <w:jc w:val="both"/>
        <w:rPr>
          <w:rFonts w:ascii="Times New Roman" w:hAnsi="Times New Roman" w:cs="Times New Roman"/>
          <w:sz w:val="24"/>
          <w:szCs w:val="24"/>
        </w:rPr>
      </w:pPr>
    </w:p>
    <w:p w14:paraId="610638FB" w14:textId="77777777" w:rsidR="00A8119D" w:rsidRPr="002B3A4D" w:rsidRDefault="00A8119D" w:rsidP="006612D9">
      <w:pPr>
        <w:spacing w:after="0" w:line="360" w:lineRule="auto"/>
        <w:jc w:val="both"/>
        <w:rPr>
          <w:rFonts w:ascii="Times New Roman" w:hAnsi="Times New Roman" w:cs="Times New Roman"/>
          <w:sz w:val="24"/>
          <w:szCs w:val="24"/>
        </w:rPr>
      </w:pPr>
    </w:p>
    <w:p w14:paraId="46C4DA56" w14:textId="77777777" w:rsidR="00A8119D" w:rsidRPr="002B3A4D" w:rsidRDefault="00A8119D" w:rsidP="006612D9">
      <w:pPr>
        <w:spacing w:after="0" w:line="360" w:lineRule="auto"/>
        <w:jc w:val="both"/>
        <w:rPr>
          <w:rFonts w:ascii="Times New Roman" w:hAnsi="Times New Roman" w:cs="Times New Roman"/>
          <w:sz w:val="24"/>
          <w:szCs w:val="24"/>
        </w:rPr>
      </w:pPr>
    </w:p>
    <w:p w14:paraId="08F8F754" w14:textId="77777777" w:rsidR="00A8119D" w:rsidRPr="002B3A4D" w:rsidRDefault="00A8119D" w:rsidP="006612D9">
      <w:pPr>
        <w:spacing w:after="0" w:line="360" w:lineRule="auto"/>
        <w:jc w:val="both"/>
        <w:rPr>
          <w:rFonts w:ascii="Times New Roman" w:hAnsi="Times New Roman" w:cs="Times New Roman"/>
          <w:sz w:val="24"/>
          <w:szCs w:val="24"/>
        </w:rPr>
      </w:pPr>
    </w:p>
    <w:p w14:paraId="5234FC13" w14:textId="77777777" w:rsidR="00A8119D" w:rsidRPr="002B3A4D" w:rsidRDefault="00A8119D" w:rsidP="006612D9">
      <w:pPr>
        <w:spacing w:after="0" w:line="360" w:lineRule="auto"/>
        <w:jc w:val="both"/>
        <w:rPr>
          <w:rFonts w:ascii="Times New Roman" w:hAnsi="Times New Roman" w:cs="Times New Roman"/>
          <w:sz w:val="24"/>
          <w:szCs w:val="24"/>
        </w:rPr>
      </w:pPr>
    </w:p>
    <w:p w14:paraId="55B74556" w14:textId="77777777" w:rsidR="00A8119D" w:rsidRPr="002B3A4D" w:rsidRDefault="00A8119D" w:rsidP="006612D9">
      <w:pPr>
        <w:spacing w:after="0" w:line="360" w:lineRule="auto"/>
        <w:jc w:val="both"/>
        <w:rPr>
          <w:rFonts w:ascii="Times New Roman" w:hAnsi="Times New Roman" w:cs="Times New Roman"/>
          <w:sz w:val="24"/>
          <w:szCs w:val="24"/>
        </w:rPr>
      </w:pPr>
    </w:p>
    <w:p w14:paraId="43352BC3" w14:textId="424FDBA7" w:rsidR="00CD10E7" w:rsidRPr="000A4A0F" w:rsidRDefault="00CD10E7" w:rsidP="000A4A0F">
      <w:pPr>
        <w:pStyle w:val="Sansinterligne"/>
        <w:spacing w:line="360" w:lineRule="auto"/>
        <w:jc w:val="both"/>
        <w:rPr>
          <w:rFonts w:ascii="Times New Roman" w:hAnsi="Times New Roman" w:cs="Times New Roman"/>
          <w:b/>
          <w:sz w:val="24"/>
          <w:szCs w:val="24"/>
        </w:rPr>
      </w:pPr>
      <w:r w:rsidRPr="000A4A0F">
        <w:rPr>
          <w:rFonts w:ascii="Times New Roman" w:eastAsiaTheme="minorHAnsi" w:hAnsi="Times New Roman" w:cs="Times New Roman"/>
          <w:b/>
          <w:color w:val="000000"/>
          <w:sz w:val="24"/>
          <w:szCs w:val="24"/>
        </w:rPr>
        <w:t>In</w:t>
      </w:r>
      <w:r w:rsidRPr="003D079A">
        <w:rPr>
          <w:rFonts w:ascii="Times New Roman" w:eastAsiaTheme="minorHAnsi" w:hAnsi="Times New Roman" w:cs="Times New Roman"/>
          <w:b/>
          <w:color w:val="000000"/>
          <w:sz w:val="24"/>
          <w:szCs w:val="24"/>
          <w:highlight w:val="yellow"/>
        </w:rPr>
        <w:t>cidence des ictères sévères et nucléaires au ni</w:t>
      </w:r>
      <w:r w:rsidR="00A8119D" w:rsidRPr="003D079A">
        <w:rPr>
          <w:rFonts w:ascii="Times New Roman" w:eastAsiaTheme="minorHAnsi" w:hAnsi="Times New Roman" w:cs="Times New Roman"/>
          <w:b/>
          <w:color w:val="000000"/>
          <w:sz w:val="24"/>
          <w:szCs w:val="24"/>
          <w:highlight w:val="yellow"/>
        </w:rPr>
        <w:t>veau des pays de tiers monde</w:t>
      </w:r>
      <w:r w:rsidRPr="003D079A">
        <w:rPr>
          <w:rFonts w:ascii="Times New Roman" w:eastAsiaTheme="minorHAnsi" w:hAnsi="Times New Roman" w:cs="Times New Roman"/>
          <w:b/>
          <w:color w:val="000000"/>
          <w:sz w:val="24"/>
          <w:szCs w:val="24"/>
          <w:highlight w:val="yellow"/>
        </w:rPr>
        <w:t>.</w:t>
      </w:r>
      <w:commentRangeStart w:id="74"/>
      <w:r w:rsidR="00A8119D" w:rsidRPr="003D079A">
        <w:rPr>
          <w:rFonts w:ascii="Times New Roman" w:eastAsiaTheme="minorHAnsi" w:hAnsi="Times New Roman" w:cs="Times New Roman"/>
          <w:b/>
          <w:color w:val="000000"/>
          <w:sz w:val="24"/>
          <w:szCs w:val="24"/>
          <w:highlight w:val="yellow"/>
        </w:rPr>
        <w:fldChar w:fldCharType="begin" w:fldLock="1"/>
      </w:r>
      <w:r w:rsidR="004F4A84" w:rsidRPr="003D079A">
        <w:rPr>
          <w:rFonts w:ascii="Times New Roman" w:eastAsiaTheme="minorHAnsi" w:hAnsi="Times New Roman" w:cs="Times New Roman"/>
          <w:b/>
          <w:color w:val="000000"/>
          <w:sz w:val="24"/>
          <w:szCs w:val="24"/>
          <w:highlight w:val="yellow"/>
        </w:rPr>
        <w:instrText>ADDIN CSL_CITATION {"citationItems":[{"id":"ITEM-1","itemData":{"author":[{"dropping-particle":"","family":"Messner KH, Maisels MJ","given":"Leure-DuPree AE:","non-dropping-particle":"","parse-names":false,"suffix":""}],"container-title":"Invest Ophthalmol Vis Sci","id":"ITEM-1","issued":{"date-parts":[["0"]]},"page":"178-1 82.","title":"Phototoxicity to the newborn primate retina.","type":"article-journal","volume":"17(2):"},"uris":["http://www.mendeley.com/documents/?uuid=7fdede8c-718a-4a3d-94b0-cbb3456ac57b","http://www.mendeley.com/documents/?uuid=d39a5c86-c126-4451-9b8d-5cbad8542953"]}],"mendeley":{"formattedCitation":"(60)","plainTextFormattedCitation":"(60)","previouslyFormattedCitation":"(61)"},"properties":{"noteIndex":0},"schema":"https://github.com/citation-style-language/schema/raw/master/csl-citation.json"}</w:instrText>
      </w:r>
      <w:r w:rsidR="00A8119D" w:rsidRPr="003D079A">
        <w:rPr>
          <w:rFonts w:ascii="Times New Roman" w:eastAsiaTheme="minorHAnsi" w:hAnsi="Times New Roman" w:cs="Times New Roman"/>
          <w:b/>
          <w:color w:val="000000"/>
          <w:sz w:val="24"/>
          <w:szCs w:val="24"/>
          <w:highlight w:val="yellow"/>
        </w:rPr>
        <w:fldChar w:fldCharType="separate"/>
      </w:r>
      <w:r w:rsidR="004F4A84" w:rsidRPr="003D079A">
        <w:rPr>
          <w:rFonts w:ascii="Times New Roman" w:eastAsiaTheme="minorHAnsi" w:hAnsi="Times New Roman" w:cs="Times New Roman"/>
          <w:noProof/>
          <w:color w:val="000000"/>
          <w:sz w:val="24"/>
          <w:szCs w:val="24"/>
          <w:highlight w:val="yellow"/>
        </w:rPr>
        <w:t>(60)</w:t>
      </w:r>
      <w:r w:rsidR="00A8119D" w:rsidRPr="003D079A">
        <w:rPr>
          <w:rFonts w:ascii="Times New Roman" w:eastAsiaTheme="minorHAnsi" w:hAnsi="Times New Roman" w:cs="Times New Roman"/>
          <w:b/>
          <w:color w:val="000000"/>
          <w:sz w:val="24"/>
          <w:szCs w:val="24"/>
          <w:highlight w:val="yellow"/>
        </w:rPr>
        <w:fldChar w:fldCharType="end"/>
      </w:r>
      <w:commentRangeEnd w:id="74"/>
      <w:r w:rsidR="003D079A">
        <w:rPr>
          <w:rStyle w:val="Marquedecommentaire"/>
        </w:rPr>
        <w:commentReference w:id="74"/>
      </w:r>
    </w:p>
    <w:p w14:paraId="31503765" w14:textId="36383841" w:rsidR="00F160EE" w:rsidRPr="000A4A0F" w:rsidRDefault="00CD10E7" w:rsidP="000A4A0F">
      <w:pPr>
        <w:pStyle w:val="Paragraphedeliste"/>
        <w:spacing w:before="200" w:after="200" w:line="360" w:lineRule="auto"/>
        <w:ind w:left="644"/>
        <w:jc w:val="both"/>
        <w:rPr>
          <w:rFonts w:ascii="Times New Roman" w:hAnsi="Times New Roman" w:cs="Times New Roman"/>
          <w:sz w:val="24"/>
          <w:szCs w:val="24"/>
          <w:lang w:val="en-US"/>
        </w:rPr>
      </w:pPr>
      <w:r w:rsidRPr="000A4A0F">
        <w:rPr>
          <w:rFonts w:ascii="Times New Roman" w:hAnsi="Times New Roman" w:cs="Times New Roman"/>
          <w:noProof/>
          <w:sz w:val="24"/>
          <w:szCs w:val="24"/>
          <w:lang w:eastAsia="fr-FR"/>
        </w:rPr>
        <w:lastRenderedPageBreak/>
        <w:drawing>
          <wp:inline distT="0" distB="0" distL="0" distR="0" wp14:anchorId="25D2F141" wp14:editId="0775A943">
            <wp:extent cx="5760085" cy="4281805"/>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4281805"/>
                    </a:xfrm>
                    <a:prstGeom prst="rect">
                      <a:avLst/>
                    </a:prstGeom>
                    <a:noFill/>
                    <a:ln>
                      <a:noFill/>
                    </a:ln>
                  </pic:spPr>
                </pic:pic>
              </a:graphicData>
            </a:graphic>
          </wp:inline>
        </w:drawing>
      </w:r>
    </w:p>
    <w:sectPr w:rsidR="00F160EE" w:rsidRPr="000A4A0F" w:rsidSect="00A76C0E">
      <w:headerReference w:type="default" r:id="rId31"/>
      <w:footerReference w:type="default" r:id="rId32"/>
      <w:pgSz w:w="11906" w:h="16838"/>
      <w:pgMar w:top="1417" w:right="1417" w:bottom="1134" w:left="1418" w:header="0"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user" w:date="2021-11-25T17:01:00Z" w:initials="u">
    <w:p w14:paraId="373D2D58" w14:textId="3FDEE285" w:rsidR="002B265C" w:rsidRDefault="002B265C">
      <w:pPr>
        <w:pStyle w:val="Commentaire"/>
      </w:pPr>
      <w:r>
        <w:rPr>
          <w:rStyle w:val="Marquedecommentaire"/>
        </w:rPr>
        <w:annotationRef/>
      </w:r>
      <w:r>
        <w:t>L’aube de l’histoire humaine =18ie siècle ??</w:t>
      </w:r>
    </w:p>
  </w:comment>
  <w:comment w:id="7" w:author="user" w:date="2021-11-25T17:02:00Z" w:initials="u">
    <w:p w14:paraId="64A4DAE3" w14:textId="10875A1D" w:rsidR="002B265C" w:rsidRDefault="002B265C">
      <w:pPr>
        <w:pStyle w:val="Commentaire"/>
      </w:pPr>
      <w:r>
        <w:rPr>
          <w:rStyle w:val="Marquedecommentaire"/>
        </w:rPr>
        <w:annotationRef/>
      </w:r>
      <w:r>
        <w:t>Phrase inachevée</w:t>
      </w:r>
    </w:p>
  </w:comment>
  <w:comment w:id="8" w:author="user" w:date="2021-11-25T17:03:00Z" w:initials="u">
    <w:p w14:paraId="3398CF2C" w14:textId="108251AB" w:rsidR="002B265C" w:rsidRDefault="002B265C">
      <w:pPr>
        <w:pStyle w:val="Commentaire"/>
      </w:pPr>
      <w:r>
        <w:rPr>
          <w:rStyle w:val="Marquedecommentaire"/>
        </w:rPr>
        <w:annotationRef/>
      </w:r>
      <w:r>
        <w:t>Qui ? Mr Baumes a analysé seulement 10 cas ?</w:t>
      </w:r>
    </w:p>
  </w:comment>
  <w:comment w:id="11" w:author="user" w:date="2021-11-25T17:07:00Z" w:initials="u">
    <w:p w14:paraId="6B4CFA9D" w14:textId="348F1F71" w:rsidR="002B265C" w:rsidRDefault="002B265C">
      <w:pPr>
        <w:pStyle w:val="Commentaire"/>
      </w:pPr>
      <w:r>
        <w:rPr>
          <w:rStyle w:val="Marquedecommentaire"/>
        </w:rPr>
        <w:annotationRef/>
      </w:r>
      <w:r>
        <w:t xml:space="preserve">Phrase longue et incompréhensible, à reformuler </w:t>
      </w:r>
    </w:p>
  </w:comment>
  <w:comment w:id="13" w:author="user" w:date="2021-11-25T17:13:00Z" w:initials="u">
    <w:p w14:paraId="2987FD1C" w14:textId="222D156B" w:rsidR="00537D00" w:rsidRDefault="00537D00">
      <w:pPr>
        <w:pStyle w:val="Commentaire"/>
      </w:pPr>
      <w:r>
        <w:rPr>
          <w:rStyle w:val="Marquedecommentaire"/>
        </w:rPr>
        <w:annotationRef/>
      </w:r>
      <w:r>
        <w:t>Ici, je pense qu’il s’agit plutôt de la fréquence</w:t>
      </w:r>
    </w:p>
  </w:comment>
  <w:comment w:id="16" w:author="user" w:date="2021-11-25T17:13:00Z" w:initials="u">
    <w:p w14:paraId="013F122C" w14:textId="2C4C1936" w:rsidR="00537D00" w:rsidRDefault="00537D00">
      <w:pPr>
        <w:pStyle w:val="Commentaire"/>
      </w:pPr>
      <w:r>
        <w:rPr>
          <w:rStyle w:val="Marquedecommentaire"/>
        </w:rPr>
        <w:annotationRef/>
      </w:r>
      <w:r>
        <w:t>Je ne vois pas l’importance de la référence à ce niveau</w:t>
      </w:r>
    </w:p>
  </w:comment>
  <w:comment w:id="17" w:author="user" w:date="2021-11-25T17:14:00Z" w:initials="u">
    <w:p w14:paraId="63C18154" w14:textId="77777777" w:rsidR="00537D00" w:rsidRDefault="00537D00">
      <w:pPr>
        <w:pStyle w:val="Commentaire"/>
      </w:pPr>
      <w:r>
        <w:rPr>
          <w:rStyle w:val="Marquedecommentaire"/>
        </w:rPr>
        <w:annotationRef/>
      </w:r>
      <w:r>
        <w:t xml:space="preserve">A </w:t>
      </w:r>
      <w:r>
        <w:t xml:space="preserve">réformuler car l’ictère peut aussi être cholestatique </w:t>
      </w:r>
    </w:p>
    <w:p w14:paraId="290B1B51" w14:textId="6B62DC80" w:rsidR="00537D00" w:rsidRDefault="00537D00">
      <w:pPr>
        <w:pStyle w:val="Commentaire"/>
      </w:pPr>
      <w:r>
        <w:t>Pas toujours lié à une hémolyse !!!</w:t>
      </w:r>
    </w:p>
  </w:comment>
  <w:comment w:id="19" w:author="user" w:date="2021-11-25T17:18:00Z" w:initials="u">
    <w:p w14:paraId="4AB20041" w14:textId="66511657" w:rsidR="00537D00" w:rsidRDefault="00537D00">
      <w:pPr>
        <w:pStyle w:val="Commentaire"/>
      </w:pPr>
      <w:r>
        <w:rPr>
          <w:rStyle w:val="Marquedecommentaire"/>
        </w:rPr>
        <w:annotationRef/>
      </w:r>
      <w:r>
        <w:t>Figure sans titre ??</w:t>
      </w:r>
    </w:p>
  </w:comment>
  <w:comment w:id="20" w:author="user" w:date="2021-11-25T17:18:00Z" w:initials="u">
    <w:p w14:paraId="73CEC082" w14:textId="77777777" w:rsidR="00537D00" w:rsidRDefault="00537D00" w:rsidP="00537D00">
      <w:pPr>
        <w:pStyle w:val="Commentaire"/>
      </w:pPr>
      <w:r>
        <w:rPr>
          <w:rStyle w:val="Marquedecommentaire"/>
        </w:rPr>
        <w:annotationRef/>
      </w:r>
      <w:r>
        <w:rPr>
          <w:rStyle w:val="Marquedecommentaire"/>
        </w:rPr>
        <w:annotationRef/>
      </w:r>
      <w:r>
        <w:t>Figure sans titre ??</w:t>
      </w:r>
    </w:p>
    <w:p w14:paraId="226A754C" w14:textId="6922B6E1" w:rsidR="00537D00" w:rsidRDefault="00537D00">
      <w:pPr>
        <w:pStyle w:val="Commentaire"/>
      </w:pPr>
    </w:p>
  </w:comment>
  <w:comment w:id="40" w:author="user" w:date="2021-11-25T17:21:00Z" w:initials="u">
    <w:p w14:paraId="7B13788C" w14:textId="147C4E96" w:rsidR="00281974" w:rsidRDefault="00281974">
      <w:pPr>
        <w:pStyle w:val="Commentaire"/>
      </w:pPr>
      <w:r>
        <w:rPr>
          <w:rStyle w:val="Marquedecommentaire"/>
        </w:rPr>
        <w:annotationRef/>
      </w:r>
      <w:r>
        <w:t>Je trouve qu’il y a trop de détails qui n’apportent rien au travail</w:t>
      </w:r>
    </w:p>
  </w:comment>
  <w:comment w:id="41" w:author="user" w:date="2021-11-25T17:22:00Z" w:initials="u">
    <w:p w14:paraId="7FDF8E9B" w14:textId="00F17413" w:rsidR="00281974" w:rsidRDefault="00281974">
      <w:pPr>
        <w:pStyle w:val="Commentaire"/>
      </w:pPr>
      <w:r>
        <w:rPr>
          <w:rStyle w:val="Marquedecommentaire"/>
        </w:rPr>
        <w:annotationRef/>
      </w:r>
      <w:r>
        <w:t>Cette partie ne devrait pas figurer dans la partie prise en charge !</w:t>
      </w:r>
    </w:p>
  </w:comment>
  <w:comment w:id="44" w:author="user" w:date="2021-11-25T17:25:00Z" w:initials="u">
    <w:p w14:paraId="30097DB4" w14:textId="51051FE7" w:rsidR="00281974" w:rsidRDefault="00281974">
      <w:pPr>
        <w:pStyle w:val="Commentaire"/>
      </w:pPr>
      <w:r>
        <w:rPr>
          <w:rStyle w:val="Marquedecommentaire"/>
        </w:rPr>
        <w:annotationRef/>
      </w:r>
      <w:r w:rsidR="00DB4384">
        <w:t>Ca fait partie de la méthodologie (doit venir après)</w:t>
      </w:r>
    </w:p>
  </w:comment>
  <w:comment w:id="45" w:author="user" w:date="2021-11-25T17:35:00Z" w:initials="u">
    <w:p w14:paraId="6487DC31" w14:textId="102432BF" w:rsidR="00DB4384" w:rsidRDefault="00DB4384">
      <w:pPr>
        <w:pStyle w:val="Commentaire"/>
      </w:pPr>
      <w:r>
        <w:rPr>
          <w:rStyle w:val="Marquedecommentaire"/>
        </w:rPr>
        <w:annotationRef/>
      </w:r>
      <w:r>
        <w:t>CECI N’a pas de place ici</w:t>
      </w:r>
    </w:p>
  </w:comment>
  <w:comment w:id="46" w:author="user" w:date="2021-11-25T17:30:00Z" w:initials="u">
    <w:p w14:paraId="4CA5B1EB" w14:textId="4D8BC1ED" w:rsidR="00DB4384" w:rsidRDefault="00DB4384">
      <w:pPr>
        <w:pStyle w:val="Commentaire"/>
      </w:pPr>
      <w:r>
        <w:rPr>
          <w:rStyle w:val="Marquedecommentaire"/>
        </w:rPr>
        <w:annotationRef/>
      </w:r>
    </w:p>
  </w:comment>
  <w:comment w:id="47" w:author="user" w:date="2021-11-25T17:30:00Z" w:initials="u">
    <w:p w14:paraId="5FF5D8FC" w14:textId="42ED790E" w:rsidR="00DB4384" w:rsidRDefault="00DB4384">
      <w:pPr>
        <w:pStyle w:val="Commentaire"/>
      </w:pPr>
      <w:r>
        <w:rPr>
          <w:rStyle w:val="Marquedecommentaire"/>
        </w:rPr>
        <w:annotationRef/>
      </w:r>
      <w:r>
        <w:t xml:space="preserve">Image sans titre </w:t>
      </w:r>
    </w:p>
  </w:comment>
  <w:comment w:id="52" w:author="user" w:date="2021-11-25T17:38:00Z" w:initials="u">
    <w:p w14:paraId="36267CCD" w14:textId="0A5F8592" w:rsidR="00DB4384" w:rsidRDefault="00DB4384">
      <w:pPr>
        <w:pStyle w:val="Commentaire"/>
      </w:pPr>
      <w:r>
        <w:rPr>
          <w:rStyle w:val="Marquedecommentaire"/>
        </w:rPr>
        <w:annotationRef/>
      </w:r>
      <w:r>
        <w:t>En quoi, c’est une variable qualitative ?</w:t>
      </w:r>
    </w:p>
  </w:comment>
  <w:comment w:id="53" w:author="user" w:date="2021-11-25T17:38:00Z" w:initials="u">
    <w:p w14:paraId="0D93D722" w14:textId="4E634501" w:rsidR="00DB4384" w:rsidRDefault="00DB4384">
      <w:pPr>
        <w:pStyle w:val="Commentaire"/>
      </w:pPr>
      <w:r>
        <w:rPr>
          <w:rStyle w:val="Marquedecommentaire"/>
        </w:rPr>
        <w:annotationRef/>
      </w:r>
      <w:r>
        <w:t>En quoi, c’est une variable ?</w:t>
      </w:r>
    </w:p>
  </w:comment>
  <w:comment w:id="57" w:author="user" w:date="2021-11-25T17:42:00Z" w:initials="u">
    <w:p w14:paraId="614044C9" w14:textId="77777777" w:rsidR="00E0777E" w:rsidRDefault="00E0777E">
      <w:pPr>
        <w:pStyle w:val="Commentaire"/>
      </w:pPr>
      <w:r>
        <w:rPr>
          <w:rStyle w:val="Marquedecommentaire"/>
        </w:rPr>
        <w:annotationRef/>
      </w:r>
      <w:r>
        <w:t>Titre non expressif</w:t>
      </w:r>
    </w:p>
    <w:p w14:paraId="32427209" w14:textId="4A85D955" w:rsidR="00E0777E" w:rsidRDefault="00E0777E">
      <w:pPr>
        <w:pStyle w:val="Commentaire"/>
      </w:pPr>
      <w:r>
        <w:t>Le premier tableau doit d’abord concerné les nouveau-nés</w:t>
      </w:r>
    </w:p>
  </w:comment>
  <w:comment w:id="58" w:author="user" w:date="2021-11-25T17:43:00Z" w:initials="u">
    <w:p w14:paraId="0BEF6654" w14:textId="72266B71" w:rsidR="00E0777E" w:rsidRDefault="00E0777E">
      <w:pPr>
        <w:pStyle w:val="Commentaire"/>
      </w:pPr>
      <w:r>
        <w:rPr>
          <w:rStyle w:val="Marquedecommentaire"/>
        </w:rPr>
        <w:annotationRef/>
      </w:r>
      <w:r>
        <w:t>Fratrie de la mère ??</w:t>
      </w:r>
    </w:p>
  </w:comment>
  <w:comment w:id="59" w:author="user" w:date="2021-11-25T17:44:00Z" w:initials="u">
    <w:p w14:paraId="46F4C5C9" w14:textId="3E78E5C1" w:rsidR="00E0777E" w:rsidRDefault="00E0777E">
      <w:pPr>
        <w:pStyle w:val="Commentaire"/>
      </w:pPr>
      <w:r>
        <w:rPr>
          <w:rStyle w:val="Marquedecommentaire"/>
        </w:rPr>
        <w:annotationRef/>
      </w:r>
      <w:r>
        <w:t>Moyenne toujours accompagnée de l’écart type</w:t>
      </w:r>
    </w:p>
  </w:comment>
  <w:comment w:id="60" w:author="user" w:date="2021-11-25T17:46:00Z" w:initials="u">
    <w:p w14:paraId="4D163532" w14:textId="77777777" w:rsidR="00E0777E" w:rsidRDefault="00E0777E">
      <w:pPr>
        <w:pStyle w:val="Commentaire"/>
      </w:pPr>
      <w:r>
        <w:rPr>
          <w:rStyle w:val="Marquedecommentaire"/>
        </w:rPr>
        <w:annotationRef/>
      </w:r>
      <w:r>
        <w:t>Pourquoi le n est aussi très bas ici ?</w:t>
      </w:r>
    </w:p>
    <w:p w14:paraId="1D3C405C" w14:textId="197709A3" w:rsidR="00E0777E" w:rsidRDefault="00E0777E">
      <w:pPr>
        <w:pStyle w:val="Commentaire"/>
      </w:pPr>
      <w:r>
        <w:t xml:space="preserve">Une malformation est clinique. Il y en a ou </w:t>
      </w:r>
      <w:r>
        <w:t>il y en a pas !</w:t>
      </w:r>
    </w:p>
  </w:comment>
  <w:comment w:id="61" w:author="user" w:date="2021-11-25T17:51:00Z" w:initials="u">
    <w:p w14:paraId="38D8035D" w14:textId="357E0395" w:rsidR="00C1024E" w:rsidRDefault="00C1024E">
      <w:pPr>
        <w:pStyle w:val="Commentaire"/>
      </w:pPr>
      <w:r>
        <w:rPr>
          <w:rStyle w:val="Marquedecommentaire"/>
        </w:rPr>
        <w:annotationRef/>
      </w:r>
      <w:r>
        <w:t xml:space="preserve">Réécrire </w:t>
      </w:r>
    </w:p>
  </w:comment>
  <w:comment w:id="63" w:author="user" w:date="2021-11-25T17:50:00Z" w:initials="u">
    <w:p w14:paraId="15B7BDBF" w14:textId="5CEE9DA9" w:rsidR="00E0777E" w:rsidRDefault="00E0777E">
      <w:pPr>
        <w:pStyle w:val="Commentaire"/>
      </w:pPr>
      <w:r>
        <w:rPr>
          <w:rStyle w:val="Marquedecommentaire"/>
        </w:rPr>
        <w:annotationRef/>
      </w:r>
      <w:r w:rsidR="00343865">
        <w:t>N’est ni une donnée clinique ni</w:t>
      </w:r>
      <w:r>
        <w:t xml:space="preserve"> paraclinique</w:t>
      </w:r>
      <w:r w:rsidR="00343865">
        <w:t xml:space="preserve"> (</w:t>
      </w:r>
      <w:r w:rsidR="00343865">
        <w:t>cfr titre du tableau)</w:t>
      </w:r>
    </w:p>
  </w:comment>
  <w:comment w:id="64" w:author="user" w:date="2021-11-25T17:50:00Z" w:initials="u">
    <w:p w14:paraId="483913AB" w14:textId="4654A8AE" w:rsidR="00C1024E" w:rsidRDefault="00C1024E">
      <w:pPr>
        <w:pStyle w:val="Commentaire"/>
      </w:pPr>
      <w:r>
        <w:rPr>
          <w:rStyle w:val="Marquedecommentaire"/>
        </w:rPr>
        <w:annotationRef/>
      </w:r>
      <w:r>
        <w:t xml:space="preserve">A réécrire </w:t>
      </w:r>
    </w:p>
  </w:comment>
  <w:comment w:id="69" w:author="user" w:date="2021-11-25T20:50:00Z" w:initials="u">
    <w:p w14:paraId="0F0759CC" w14:textId="01786D86" w:rsidR="00106BD7" w:rsidRDefault="00106BD7">
      <w:pPr>
        <w:pStyle w:val="Commentaire"/>
      </w:pPr>
      <w:r>
        <w:rPr>
          <w:rStyle w:val="Marquedecommentaire"/>
        </w:rPr>
        <w:annotationRef/>
      </w:r>
      <w:r>
        <w:t xml:space="preserve">Vous n’êtes pas obligé de remettre tous les chiffres à ce niveau comme c’est le cas de la présentation des résultats </w:t>
      </w:r>
    </w:p>
  </w:comment>
  <w:comment w:id="74" w:author="user" w:date="2021-11-25T17:56:00Z" w:initials="u">
    <w:p w14:paraId="500F0C73" w14:textId="5AD929AB" w:rsidR="003D079A" w:rsidRDefault="003D079A">
      <w:pPr>
        <w:pStyle w:val="Commentaire"/>
      </w:pPr>
      <w:r>
        <w:rPr>
          <w:rStyle w:val="Marquedecommentaire"/>
        </w:rPr>
        <w:annotationRef/>
      </w:r>
      <w:r>
        <w:t>N’a pas de place ici</w:t>
      </w:r>
    </w:p>
    <w:p w14:paraId="2CC2CA95" w14:textId="6C5D858B" w:rsidR="003D079A" w:rsidRDefault="003D079A">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3D2D58" w15:done="0"/>
  <w15:commentEx w15:paraId="64A4DAE3" w15:done="0"/>
  <w15:commentEx w15:paraId="3398CF2C" w15:done="0"/>
  <w15:commentEx w15:paraId="6B4CFA9D" w15:done="0"/>
  <w15:commentEx w15:paraId="2987FD1C" w15:done="0"/>
  <w15:commentEx w15:paraId="013F122C" w15:done="0"/>
  <w15:commentEx w15:paraId="290B1B51" w15:done="0"/>
  <w15:commentEx w15:paraId="4AB20041" w15:done="0"/>
  <w15:commentEx w15:paraId="226A754C" w15:done="0"/>
  <w15:commentEx w15:paraId="7B13788C" w15:done="0"/>
  <w15:commentEx w15:paraId="7FDF8E9B" w15:done="0"/>
  <w15:commentEx w15:paraId="30097DB4" w15:done="0"/>
  <w15:commentEx w15:paraId="6487DC31" w15:done="0"/>
  <w15:commentEx w15:paraId="4CA5B1EB" w15:done="0"/>
  <w15:commentEx w15:paraId="5FF5D8FC" w15:done="0"/>
  <w15:commentEx w15:paraId="36267CCD" w15:done="0"/>
  <w15:commentEx w15:paraId="0D93D722" w15:done="0"/>
  <w15:commentEx w15:paraId="32427209" w15:done="0"/>
  <w15:commentEx w15:paraId="0BEF6654" w15:done="0"/>
  <w15:commentEx w15:paraId="46F4C5C9" w15:done="0"/>
  <w15:commentEx w15:paraId="1D3C405C" w15:done="0"/>
  <w15:commentEx w15:paraId="38D8035D" w15:done="0"/>
  <w15:commentEx w15:paraId="15B7BDBF" w15:done="0"/>
  <w15:commentEx w15:paraId="483913AB" w15:done="0"/>
  <w15:commentEx w15:paraId="0F0759CC" w15:done="0"/>
  <w15:commentEx w15:paraId="2CC2CA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99F8" w16cex:dateUtc="2021-11-25T15:01:00Z"/>
  <w16cex:commentExtensible w16cex:durableId="255099F9" w16cex:dateUtc="2021-11-25T15:02:00Z"/>
  <w16cex:commentExtensible w16cex:durableId="255099FA" w16cex:dateUtc="2021-11-25T15:03:00Z"/>
  <w16cex:commentExtensible w16cex:durableId="255099FB" w16cex:dateUtc="2021-11-25T15:07:00Z"/>
  <w16cex:commentExtensible w16cex:durableId="255099FC" w16cex:dateUtc="2021-11-25T15:13:00Z"/>
  <w16cex:commentExtensible w16cex:durableId="255099FD" w16cex:dateUtc="2021-11-25T15:13:00Z"/>
  <w16cex:commentExtensible w16cex:durableId="255099FE" w16cex:dateUtc="2021-11-25T15:14:00Z"/>
  <w16cex:commentExtensible w16cex:durableId="255099FF" w16cex:dateUtc="2021-11-25T15:18:00Z"/>
  <w16cex:commentExtensible w16cex:durableId="25509A00" w16cex:dateUtc="2021-11-25T15:18:00Z"/>
  <w16cex:commentExtensible w16cex:durableId="25509A01" w16cex:dateUtc="2021-11-25T15:21:00Z"/>
  <w16cex:commentExtensible w16cex:durableId="25509A02" w16cex:dateUtc="2021-11-25T15:22:00Z"/>
  <w16cex:commentExtensible w16cex:durableId="25509A03" w16cex:dateUtc="2021-11-25T15:25:00Z"/>
  <w16cex:commentExtensible w16cex:durableId="25509A04" w16cex:dateUtc="2021-11-25T15:35:00Z"/>
  <w16cex:commentExtensible w16cex:durableId="25509A05" w16cex:dateUtc="2021-11-25T15:30:00Z"/>
  <w16cex:commentExtensible w16cex:durableId="25509A06" w16cex:dateUtc="2021-11-25T15:30:00Z"/>
  <w16cex:commentExtensible w16cex:durableId="25509A07" w16cex:dateUtc="2021-11-25T15:38:00Z"/>
  <w16cex:commentExtensible w16cex:durableId="25509A08" w16cex:dateUtc="2021-11-25T15:38:00Z"/>
  <w16cex:commentExtensible w16cex:durableId="25509A09" w16cex:dateUtc="2021-11-25T15:42:00Z"/>
  <w16cex:commentExtensible w16cex:durableId="25509A0A" w16cex:dateUtc="2021-11-25T15:43:00Z"/>
  <w16cex:commentExtensible w16cex:durableId="25509A0B" w16cex:dateUtc="2021-11-25T15:44:00Z"/>
  <w16cex:commentExtensible w16cex:durableId="25509A0C" w16cex:dateUtc="2021-11-25T15:46:00Z"/>
  <w16cex:commentExtensible w16cex:durableId="25509A0D" w16cex:dateUtc="2021-11-25T15:51:00Z"/>
  <w16cex:commentExtensible w16cex:durableId="25509A0E" w16cex:dateUtc="2021-11-25T15:50:00Z"/>
  <w16cex:commentExtensible w16cex:durableId="25509A0F" w16cex:dateUtc="2021-11-25T15:50:00Z"/>
  <w16cex:commentExtensible w16cex:durableId="25509A10" w16cex:dateUtc="2021-11-25T18:50:00Z"/>
  <w16cex:commentExtensible w16cex:durableId="25509A11" w16cex:dateUtc="2021-11-25T15: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3D2D58" w16cid:durableId="255099F8"/>
  <w16cid:commentId w16cid:paraId="64A4DAE3" w16cid:durableId="255099F9"/>
  <w16cid:commentId w16cid:paraId="3398CF2C" w16cid:durableId="255099FA"/>
  <w16cid:commentId w16cid:paraId="6B4CFA9D" w16cid:durableId="255099FB"/>
  <w16cid:commentId w16cid:paraId="2987FD1C" w16cid:durableId="255099FC"/>
  <w16cid:commentId w16cid:paraId="013F122C" w16cid:durableId="255099FD"/>
  <w16cid:commentId w16cid:paraId="290B1B51" w16cid:durableId="255099FE"/>
  <w16cid:commentId w16cid:paraId="4AB20041" w16cid:durableId="255099FF"/>
  <w16cid:commentId w16cid:paraId="226A754C" w16cid:durableId="25509A00"/>
  <w16cid:commentId w16cid:paraId="7B13788C" w16cid:durableId="25509A01"/>
  <w16cid:commentId w16cid:paraId="7FDF8E9B" w16cid:durableId="25509A02"/>
  <w16cid:commentId w16cid:paraId="30097DB4" w16cid:durableId="25509A03"/>
  <w16cid:commentId w16cid:paraId="6487DC31" w16cid:durableId="25509A04"/>
  <w16cid:commentId w16cid:paraId="4CA5B1EB" w16cid:durableId="25509A05"/>
  <w16cid:commentId w16cid:paraId="5FF5D8FC" w16cid:durableId="25509A06"/>
  <w16cid:commentId w16cid:paraId="36267CCD" w16cid:durableId="25509A07"/>
  <w16cid:commentId w16cid:paraId="0D93D722" w16cid:durableId="25509A08"/>
  <w16cid:commentId w16cid:paraId="32427209" w16cid:durableId="25509A09"/>
  <w16cid:commentId w16cid:paraId="0BEF6654" w16cid:durableId="25509A0A"/>
  <w16cid:commentId w16cid:paraId="46F4C5C9" w16cid:durableId="25509A0B"/>
  <w16cid:commentId w16cid:paraId="1D3C405C" w16cid:durableId="25509A0C"/>
  <w16cid:commentId w16cid:paraId="38D8035D" w16cid:durableId="25509A0D"/>
  <w16cid:commentId w16cid:paraId="15B7BDBF" w16cid:durableId="25509A0E"/>
  <w16cid:commentId w16cid:paraId="483913AB" w16cid:durableId="25509A0F"/>
  <w16cid:commentId w16cid:paraId="0F0759CC" w16cid:durableId="25509A10"/>
  <w16cid:commentId w16cid:paraId="2CC2CA95" w16cid:durableId="25509A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E64E2" w14:textId="77777777" w:rsidR="00645D5A" w:rsidRDefault="00645D5A" w:rsidP="00553076">
      <w:pPr>
        <w:spacing w:after="0" w:line="240" w:lineRule="auto"/>
      </w:pPr>
      <w:r>
        <w:separator/>
      </w:r>
    </w:p>
  </w:endnote>
  <w:endnote w:type="continuationSeparator" w:id="0">
    <w:p w14:paraId="0C07F884" w14:textId="77777777" w:rsidR="00645D5A" w:rsidRDefault="00645D5A" w:rsidP="00553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233779"/>
      <w:docPartObj>
        <w:docPartGallery w:val="Page Numbers (Bottom of Page)"/>
        <w:docPartUnique/>
      </w:docPartObj>
    </w:sdtPr>
    <w:sdtEndPr>
      <w:rPr>
        <w:noProof/>
      </w:rPr>
    </w:sdtEndPr>
    <w:sdtContent>
      <w:p w14:paraId="3C9F9E14" w14:textId="4653C8B7" w:rsidR="002B265C" w:rsidRDefault="002B265C">
        <w:pPr>
          <w:pStyle w:val="Pieddepage"/>
          <w:jc w:val="center"/>
        </w:pPr>
        <w:r>
          <w:fldChar w:fldCharType="begin"/>
        </w:r>
        <w:r>
          <w:instrText xml:space="preserve"> PAGE   \* MERGEFORMAT </w:instrText>
        </w:r>
        <w:r>
          <w:fldChar w:fldCharType="separate"/>
        </w:r>
        <w:r w:rsidR="005C5719">
          <w:rPr>
            <w:noProof/>
          </w:rPr>
          <w:t>75</w:t>
        </w:r>
        <w:r>
          <w:rPr>
            <w:noProof/>
          </w:rPr>
          <w:fldChar w:fldCharType="end"/>
        </w:r>
      </w:p>
    </w:sdtContent>
  </w:sdt>
  <w:p w14:paraId="71C8D403" w14:textId="77777777" w:rsidR="002B265C" w:rsidRDefault="002B265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8327B" w14:textId="77777777" w:rsidR="00645D5A" w:rsidRDefault="00645D5A" w:rsidP="00553076">
      <w:pPr>
        <w:spacing w:after="0" w:line="240" w:lineRule="auto"/>
      </w:pPr>
      <w:r>
        <w:separator/>
      </w:r>
    </w:p>
  </w:footnote>
  <w:footnote w:type="continuationSeparator" w:id="0">
    <w:p w14:paraId="2E09E582" w14:textId="77777777" w:rsidR="00645D5A" w:rsidRDefault="00645D5A" w:rsidP="005530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F20E0" w14:textId="77777777" w:rsidR="002B265C" w:rsidRDefault="002B265C" w:rsidP="00905C80">
    <w:pPr>
      <w:pStyle w:val="En-tte"/>
      <w:contextualSpacing/>
    </w:pPr>
    <w:r>
      <w:ptab w:relativeTo="indent"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3"/>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B5D17B8"/>
    <w:multiLevelType w:val="hybridMultilevel"/>
    <w:tmpl w:val="47248EB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EF7E17"/>
    <w:multiLevelType w:val="hybridMultilevel"/>
    <w:tmpl w:val="042C82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2F790B"/>
    <w:multiLevelType w:val="hybridMultilevel"/>
    <w:tmpl w:val="97D08312"/>
    <w:lvl w:ilvl="0" w:tplc="8FEE35A6">
      <w:start w:val="1"/>
      <w:numFmt w:val="low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104E24F3"/>
    <w:multiLevelType w:val="hybridMultilevel"/>
    <w:tmpl w:val="B59CCF28"/>
    <w:lvl w:ilvl="0" w:tplc="0432639C">
      <w:start w:val="1"/>
      <w:numFmt w:val="lowerLetter"/>
      <w:lvlText w:val="%1)"/>
      <w:lvlJc w:val="left"/>
      <w:pPr>
        <w:ind w:left="1080" w:hanging="360"/>
      </w:pPr>
      <w:rPr>
        <w:rFonts w:eastAsia="DejaVu Sans" w:hint="default"/>
        <w:b w:val="0"/>
        <w:color w:val="00000A"/>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1923AF4"/>
    <w:multiLevelType w:val="hybridMultilevel"/>
    <w:tmpl w:val="3F46B7E8"/>
    <w:lvl w:ilvl="0" w:tplc="9ECC7EF6">
      <w:start w:val="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126269E5"/>
    <w:multiLevelType w:val="hybridMultilevel"/>
    <w:tmpl w:val="8BF4B15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4E84FBD"/>
    <w:multiLevelType w:val="hybridMultilevel"/>
    <w:tmpl w:val="A6A6AE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2F3768"/>
    <w:multiLevelType w:val="hybridMultilevel"/>
    <w:tmpl w:val="AE905D88"/>
    <w:lvl w:ilvl="0" w:tplc="8018AF0A">
      <w:start w:val="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1B111A07"/>
    <w:multiLevelType w:val="hybridMultilevel"/>
    <w:tmpl w:val="92BCA2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C273344"/>
    <w:multiLevelType w:val="hybridMultilevel"/>
    <w:tmpl w:val="9F6EBEC8"/>
    <w:lvl w:ilvl="0" w:tplc="040C0017">
      <w:start w:val="1"/>
      <w:numFmt w:val="lowerLetter"/>
      <w:lvlText w:val="%1)"/>
      <w:lvlJc w:val="left"/>
      <w:pPr>
        <w:ind w:left="720" w:hanging="360"/>
      </w:pPr>
      <w:rPr>
        <w:rFonts w:hint="default"/>
      </w:rPr>
    </w:lvl>
    <w:lvl w:ilvl="1" w:tplc="040C000B">
      <w:start w:val="1"/>
      <w:numFmt w:val="bullet"/>
      <w:lvlText w:val=""/>
      <w:lvlJc w:val="left"/>
      <w:pPr>
        <w:ind w:left="1440" w:hanging="360"/>
      </w:pPr>
      <w:rPr>
        <w:rFonts w:ascii="Wingdings" w:hAnsi="Wingdings" w:hint="default"/>
      </w:rPr>
    </w:lvl>
    <w:lvl w:ilvl="2" w:tplc="8BBE8770">
      <w:start w:val="1"/>
      <w:numFmt w:val="upp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27282F"/>
    <w:multiLevelType w:val="hybridMultilevel"/>
    <w:tmpl w:val="9A5657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502EE1"/>
    <w:multiLevelType w:val="hybridMultilevel"/>
    <w:tmpl w:val="62F4C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0A6FB8"/>
    <w:multiLevelType w:val="hybridMultilevel"/>
    <w:tmpl w:val="61DA50A8"/>
    <w:lvl w:ilvl="0" w:tplc="040C0017">
      <w:start w:val="1"/>
      <w:numFmt w:val="lowerLetter"/>
      <w:lvlText w:val="%1)"/>
      <w:lvlJc w:val="left"/>
      <w:pPr>
        <w:ind w:left="720" w:hanging="360"/>
      </w:pPr>
      <w:rPr>
        <w:rFonts w:hint="default"/>
      </w:rPr>
    </w:lvl>
    <w:lvl w:ilvl="1" w:tplc="040C000B">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FB214BE"/>
    <w:multiLevelType w:val="hybridMultilevel"/>
    <w:tmpl w:val="51C0AF8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2BE0681"/>
    <w:multiLevelType w:val="hybridMultilevel"/>
    <w:tmpl w:val="B8B8DF4A"/>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3714E72"/>
    <w:multiLevelType w:val="hybridMultilevel"/>
    <w:tmpl w:val="3F16C3CC"/>
    <w:lvl w:ilvl="0" w:tplc="040C0017">
      <w:start w:val="1"/>
      <w:numFmt w:val="lowerLetter"/>
      <w:lvlText w:val="%1)"/>
      <w:lvlJc w:val="left"/>
      <w:pPr>
        <w:ind w:left="720" w:hanging="360"/>
      </w:pPr>
      <w:rPr>
        <w:rFonts w:hint="default"/>
      </w:rPr>
    </w:lvl>
    <w:lvl w:ilvl="1" w:tplc="040C000B">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6467CFC"/>
    <w:multiLevelType w:val="hybridMultilevel"/>
    <w:tmpl w:val="6A68778E"/>
    <w:lvl w:ilvl="0" w:tplc="040C0001">
      <w:start w:val="1"/>
      <w:numFmt w:val="bullet"/>
      <w:lvlText w:val=""/>
      <w:lvlJc w:val="left"/>
      <w:pPr>
        <w:ind w:left="720" w:hanging="360"/>
      </w:pPr>
      <w:rPr>
        <w:rFonts w:ascii="Symbol" w:hAnsi="Symbol" w:hint="default"/>
      </w:rPr>
    </w:lvl>
    <w:lvl w:ilvl="1" w:tplc="00D8DA0A">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87141B1"/>
    <w:multiLevelType w:val="hybridMultilevel"/>
    <w:tmpl w:val="936C31C6"/>
    <w:lvl w:ilvl="0" w:tplc="77300CE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2ECA375D"/>
    <w:multiLevelType w:val="hybridMultilevel"/>
    <w:tmpl w:val="3B627C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59E2D24"/>
    <w:multiLevelType w:val="hybridMultilevel"/>
    <w:tmpl w:val="322ABF1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AD659A7"/>
    <w:multiLevelType w:val="hybridMultilevel"/>
    <w:tmpl w:val="54860F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250BAB"/>
    <w:multiLevelType w:val="hybridMultilevel"/>
    <w:tmpl w:val="3CCE3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75430C2"/>
    <w:multiLevelType w:val="hybridMultilevel"/>
    <w:tmpl w:val="B200289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8CE4E1D"/>
    <w:multiLevelType w:val="hybridMultilevel"/>
    <w:tmpl w:val="A81A56B0"/>
    <w:lvl w:ilvl="0" w:tplc="22D23DF8">
      <w:start w:val="1"/>
      <w:numFmt w:val="low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4937151E"/>
    <w:multiLevelType w:val="hybridMultilevel"/>
    <w:tmpl w:val="B7D61A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9C37234"/>
    <w:multiLevelType w:val="hybridMultilevel"/>
    <w:tmpl w:val="31FE5E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A3510F5"/>
    <w:multiLevelType w:val="hybridMultilevel"/>
    <w:tmpl w:val="626649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24688E"/>
    <w:multiLevelType w:val="hybridMultilevel"/>
    <w:tmpl w:val="D23037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D372A5"/>
    <w:multiLevelType w:val="hybridMultilevel"/>
    <w:tmpl w:val="E75A271E"/>
    <w:lvl w:ilvl="0" w:tplc="B36229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5E90320"/>
    <w:multiLevelType w:val="hybridMultilevel"/>
    <w:tmpl w:val="039E34A6"/>
    <w:lvl w:ilvl="0" w:tplc="040C000D">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1" w15:restartNumberingAfterBreak="0">
    <w:nsid w:val="5A3A28D2"/>
    <w:multiLevelType w:val="hybridMultilevel"/>
    <w:tmpl w:val="12F6A7F8"/>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2" w15:restartNumberingAfterBreak="0">
    <w:nsid w:val="5D390CB6"/>
    <w:multiLevelType w:val="hybridMultilevel"/>
    <w:tmpl w:val="F6BC46FA"/>
    <w:lvl w:ilvl="0" w:tplc="26EC7C32">
      <w:start w:val="1"/>
      <w:numFmt w:val="bullet"/>
      <w:lvlText w:val="-"/>
      <w:lvlJc w:val="left"/>
      <w:pPr>
        <w:ind w:left="720" w:hanging="360"/>
      </w:pPr>
      <w:rPr>
        <w:rFonts w:ascii="Times New Roman" w:eastAsia="DejaVu San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31267D8"/>
    <w:multiLevelType w:val="hybridMultilevel"/>
    <w:tmpl w:val="229AD394"/>
    <w:lvl w:ilvl="0" w:tplc="A50E9276">
      <w:start w:val="2"/>
      <w:numFmt w:val="decimal"/>
      <w:lvlText w:val="%1."/>
      <w:lvlJc w:val="left"/>
      <w:pPr>
        <w:ind w:left="720" w:hanging="360"/>
      </w:pPr>
      <w:rPr>
        <w:rFonts w:eastAsiaTheme="majorEastAsia" w:hint="default"/>
        <w:color w:val="2E74B5"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4445DEE"/>
    <w:multiLevelType w:val="hybridMultilevel"/>
    <w:tmpl w:val="BE1E3976"/>
    <w:lvl w:ilvl="0" w:tplc="69BA82BA">
      <w:start w:val="4"/>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52B7498"/>
    <w:multiLevelType w:val="multilevel"/>
    <w:tmpl w:val="87F8C27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C5264B1"/>
    <w:multiLevelType w:val="hybridMultilevel"/>
    <w:tmpl w:val="92D8E8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D314567"/>
    <w:multiLevelType w:val="hybridMultilevel"/>
    <w:tmpl w:val="9E5CB3C8"/>
    <w:lvl w:ilvl="0" w:tplc="317E374A">
      <w:start w:val="1"/>
      <w:numFmt w:val="low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8" w15:restartNumberingAfterBreak="0">
    <w:nsid w:val="6F2F203A"/>
    <w:multiLevelType w:val="hybridMultilevel"/>
    <w:tmpl w:val="A0F8F2F8"/>
    <w:lvl w:ilvl="0" w:tplc="040C000F">
      <w:start w:val="1"/>
      <w:numFmt w:val="decimal"/>
      <w:lvlText w:val="%1."/>
      <w:lvlJc w:val="left"/>
      <w:pPr>
        <w:ind w:left="502" w:hanging="360"/>
      </w:p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9" w15:restartNumberingAfterBreak="0">
    <w:nsid w:val="73153F2D"/>
    <w:multiLevelType w:val="hybridMultilevel"/>
    <w:tmpl w:val="DB8E61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36E202F"/>
    <w:multiLevelType w:val="hybridMultilevel"/>
    <w:tmpl w:val="C3D69BAE"/>
    <w:lvl w:ilvl="0" w:tplc="040C000B">
      <w:start w:val="1"/>
      <w:numFmt w:val="bullet"/>
      <w:lvlText w:val=""/>
      <w:lvlJc w:val="left"/>
      <w:pPr>
        <w:ind w:left="720" w:hanging="360"/>
      </w:pPr>
      <w:rPr>
        <w:rFonts w:ascii="Wingdings" w:hAnsi="Wingding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5A46846"/>
    <w:multiLevelType w:val="hybridMultilevel"/>
    <w:tmpl w:val="8E40D290"/>
    <w:lvl w:ilvl="0" w:tplc="040C0015">
      <w:start w:val="5"/>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8CB58D2"/>
    <w:multiLevelType w:val="hybridMultilevel"/>
    <w:tmpl w:val="3D8A432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A637F93"/>
    <w:multiLevelType w:val="hybridMultilevel"/>
    <w:tmpl w:val="81981CC2"/>
    <w:lvl w:ilvl="0" w:tplc="245EB4F0">
      <w:start w:val="2"/>
      <w:numFmt w:val="bullet"/>
      <w:lvlText w:val="-"/>
      <w:lvlJc w:val="left"/>
      <w:pPr>
        <w:ind w:left="720" w:hanging="360"/>
      </w:pPr>
      <w:rPr>
        <w:rFonts w:ascii="Calibri" w:eastAsia="DejaVu San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DB44826"/>
    <w:multiLevelType w:val="hybridMultilevel"/>
    <w:tmpl w:val="431CE1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2B6860"/>
    <w:multiLevelType w:val="hybridMultilevel"/>
    <w:tmpl w:val="5602F1A2"/>
    <w:lvl w:ilvl="0" w:tplc="42F8A7A0">
      <w:start w:val="1"/>
      <w:numFmt w:val="upperRoman"/>
      <w:lvlText w:val="%1."/>
      <w:lvlJc w:val="left"/>
      <w:pPr>
        <w:ind w:left="1080" w:hanging="72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8"/>
  </w:num>
  <w:num w:numId="2">
    <w:abstractNumId w:val="21"/>
  </w:num>
  <w:num w:numId="3">
    <w:abstractNumId w:val="12"/>
  </w:num>
  <w:num w:numId="4">
    <w:abstractNumId w:val="44"/>
  </w:num>
  <w:num w:numId="5">
    <w:abstractNumId w:val="28"/>
  </w:num>
  <w:num w:numId="6">
    <w:abstractNumId w:val="23"/>
  </w:num>
  <w:num w:numId="7">
    <w:abstractNumId w:val="1"/>
  </w:num>
  <w:num w:numId="8">
    <w:abstractNumId w:val="30"/>
  </w:num>
  <w:num w:numId="9">
    <w:abstractNumId w:val="25"/>
  </w:num>
  <w:num w:numId="10">
    <w:abstractNumId w:val="35"/>
  </w:num>
  <w:num w:numId="11">
    <w:abstractNumId w:val="39"/>
  </w:num>
  <w:num w:numId="12">
    <w:abstractNumId w:val="26"/>
  </w:num>
  <w:num w:numId="13">
    <w:abstractNumId w:val="9"/>
  </w:num>
  <w:num w:numId="14">
    <w:abstractNumId w:val="45"/>
  </w:num>
  <w:num w:numId="15">
    <w:abstractNumId w:val="17"/>
  </w:num>
  <w:num w:numId="16">
    <w:abstractNumId w:val="42"/>
  </w:num>
  <w:num w:numId="17">
    <w:abstractNumId w:val="2"/>
  </w:num>
  <w:num w:numId="18">
    <w:abstractNumId w:val="11"/>
  </w:num>
  <w:num w:numId="19">
    <w:abstractNumId w:val="5"/>
  </w:num>
  <w:num w:numId="20">
    <w:abstractNumId w:val="43"/>
  </w:num>
  <w:num w:numId="21">
    <w:abstractNumId w:val="8"/>
  </w:num>
  <w:num w:numId="22">
    <w:abstractNumId w:val="33"/>
  </w:num>
  <w:num w:numId="23">
    <w:abstractNumId w:val="34"/>
  </w:num>
  <w:num w:numId="24">
    <w:abstractNumId w:val="4"/>
  </w:num>
  <w:num w:numId="25">
    <w:abstractNumId w:val="24"/>
  </w:num>
  <w:num w:numId="26">
    <w:abstractNumId w:val="15"/>
  </w:num>
  <w:num w:numId="27">
    <w:abstractNumId w:val="6"/>
  </w:num>
  <w:num w:numId="28">
    <w:abstractNumId w:val="40"/>
  </w:num>
  <w:num w:numId="29">
    <w:abstractNumId w:val="10"/>
  </w:num>
  <w:num w:numId="30">
    <w:abstractNumId w:val="16"/>
  </w:num>
  <w:num w:numId="31">
    <w:abstractNumId w:val="13"/>
  </w:num>
  <w:num w:numId="32">
    <w:abstractNumId w:val="3"/>
  </w:num>
  <w:num w:numId="33">
    <w:abstractNumId w:val="37"/>
  </w:num>
  <w:num w:numId="34">
    <w:abstractNumId w:val="20"/>
  </w:num>
  <w:num w:numId="35">
    <w:abstractNumId w:val="41"/>
  </w:num>
  <w:num w:numId="36">
    <w:abstractNumId w:val="31"/>
  </w:num>
  <w:num w:numId="37">
    <w:abstractNumId w:val="22"/>
  </w:num>
  <w:num w:numId="38">
    <w:abstractNumId w:val="36"/>
  </w:num>
  <w:num w:numId="39">
    <w:abstractNumId w:val="29"/>
  </w:num>
  <w:num w:numId="40">
    <w:abstractNumId w:val="7"/>
  </w:num>
  <w:num w:numId="41">
    <w:abstractNumId w:val="0"/>
  </w:num>
  <w:num w:numId="42">
    <w:abstractNumId w:val="18"/>
  </w:num>
  <w:num w:numId="43">
    <w:abstractNumId w:val="14"/>
  </w:num>
  <w:num w:numId="44">
    <w:abstractNumId w:val="19"/>
  </w:num>
  <w:num w:numId="45">
    <w:abstractNumId w:val="27"/>
  </w:num>
  <w:num w:numId="46">
    <w:abstractNumId w:val="32"/>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DDC"/>
    <w:rsid w:val="00000324"/>
    <w:rsid w:val="000004E8"/>
    <w:rsid w:val="000008FA"/>
    <w:rsid w:val="00000E42"/>
    <w:rsid w:val="00001D2E"/>
    <w:rsid w:val="00005595"/>
    <w:rsid w:val="0000678B"/>
    <w:rsid w:val="00007400"/>
    <w:rsid w:val="000115C6"/>
    <w:rsid w:val="00011BE9"/>
    <w:rsid w:val="000120F7"/>
    <w:rsid w:val="00013A8E"/>
    <w:rsid w:val="00014D97"/>
    <w:rsid w:val="000158C1"/>
    <w:rsid w:val="00016152"/>
    <w:rsid w:val="0001727C"/>
    <w:rsid w:val="0002037C"/>
    <w:rsid w:val="00020E8D"/>
    <w:rsid w:val="00022876"/>
    <w:rsid w:val="000275CD"/>
    <w:rsid w:val="00027B06"/>
    <w:rsid w:val="00030205"/>
    <w:rsid w:val="000307E2"/>
    <w:rsid w:val="00032606"/>
    <w:rsid w:val="00032E9A"/>
    <w:rsid w:val="00033DCD"/>
    <w:rsid w:val="00034345"/>
    <w:rsid w:val="0003439F"/>
    <w:rsid w:val="000347EE"/>
    <w:rsid w:val="00035922"/>
    <w:rsid w:val="00036432"/>
    <w:rsid w:val="00040790"/>
    <w:rsid w:val="0004461D"/>
    <w:rsid w:val="00045FC5"/>
    <w:rsid w:val="000464D1"/>
    <w:rsid w:val="00047DC2"/>
    <w:rsid w:val="00047E7B"/>
    <w:rsid w:val="000532F9"/>
    <w:rsid w:val="00054492"/>
    <w:rsid w:val="00057BD8"/>
    <w:rsid w:val="00060E46"/>
    <w:rsid w:val="000613C8"/>
    <w:rsid w:val="0006212E"/>
    <w:rsid w:val="000626C0"/>
    <w:rsid w:val="000628B8"/>
    <w:rsid w:val="00064015"/>
    <w:rsid w:val="000646DD"/>
    <w:rsid w:val="00064F41"/>
    <w:rsid w:val="000657BC"/>
    <w:rsid w:val="000657F3"/>
    <w:rsid w:val="00066870"/>
    <w:rsid w:val="00070A2F"/>
    <w:rsid w:val="00071763"/>
    <w:rsid w:val="0007491A"/>
    <w:rsid w:val="00075F68"/>
    <w:rsid w:val="000776C9"/>
    <w:rsid w:val="000816A5"/>
    <w:rsid w:val="00083F0E"/>
    <w:rsid w:val="000915B8"/>
    <w:rsid w:val="000923E5"/>
    <w:rsid w:val="0009371F"/>
    <w:rsid w:val="000944D7"/>
    <w:rsid w:val="000A04AC"/>
    <w:rsid w:val="000A072E"/>
    <w:rsid w:val="000A4630"/>
    <w:rsid w:val="000A4A0F"/>
    <w:rsid w:val="000A4E74"/>
    <w:rsid w:val="000A513C"/>
    <w:rsid w:val="000A5D50"/>
    <w:rsid w:val="000A6366"/>
    <w:rsid w:val="000A707D"/>
    <w:rsid w:val="000B01B1"/>
    <w:rsid w:val="000B0D87"/>
    <w:rsid w:val="000B15C9"/>
    <w:rsid w:val="000B187F"/>
    <w:rsid w:val="000B3046"/>
    <w:rsid w:val="000B4052"/>
    <w:rsid w:val="000B41F1"/>
    <w:rsid w:val="000B668E"/>
    <w:rsid w:val="000B6AE0"/>
    <w:rsid w:val="000C018A"/>
    <w:rsid w:val="000C2781"/>
    <w:rsid w:val="000C4589"/>
    <w:rsid w:val="000C47DE"/>
    <w:rsid w:val="000C47EF"/>
    <w:rsid w:val="000C57AA"/>
    <w:rsid w:val="000C62D3"/>
    <w:rsid w:val="000C6DD2"/>
    <w:rsid w:val="000D24F7"/>
    <w:rsid w:val="000D285E"/>
    <w:rsid w:val="000D2C52"/>
    <w:rsid w:val="000D3037"/>
    <w:rsid w:val="000D6804"/>
    <w:rsid w:val="000D7523"/>
    <w:rsid w:val="000D76C2"/>
    <w:rsid w:val="000E2265"/>
    <w:rsid w:val="000E2B05"/>
    <w:rsid w:val="000E4AED"/>
    <w:rsid w:val="000E73B4"/>
    <w:rsid w:val="000F069C"/>
    <w:rsid w:val="000F6EA5"/>
    <w:rsid w:val="000F6F0C"/>
    <w:rsid w:val="000F7097"/>
    <w:rsid w:val="001005AD"/>
    <w:rsid w:val="00100AC8"/>
    <w:rsid w:val="00100EAA"/>
    <w:rsid w:val="00104862"/>
    <w:rsid w:val="00104EF1"/>
    <w:rsid w:val="00106BD7"/>
    <w:rsid w:val="00110DBB"/>
    <w:rsid w:val="001132B0"/>
    <w:rsid w:val="001176F1"/>
    <w:rsid w:val="001214DE"/>
    <w:rsid w:val="00124A8D"/>
    <w:rsid w:val="001255A9"/>
    <w:rsid w:val="00126E6E"/>
    <w:rsid w:val="0013083C"/>
    <w:rsid w:val="00131481"/>
    <w:rsid w:val="00131EC3"/>
    <w:rsid w:val="0013281A"/>
    <w:rsid w:val="00133730"/>
    <w:rsid w:val="001350A1"/>
    <w:rsid w:val="00135938"/>
    <w:rsid w:val="00137111"/>
    <w:rsid w:val="001400E7"/>
    <w:rsid w:val="00141F68"/>
    <w:rsid w:val="00142DC8"/>
    <w:rsid w:val="0014366E"/>
    <w:rsid w:val="00143ED8"/>
    <w:rsid w:val="00145819"/>
    <w:rsid w:val="00145C4B"/>
    <w:rsid w:val="00146E61"/>
    <w:rsid w:val="00147EF2"/>
    <w:rsid w:val="00151947"/>
    <w:rsid w:val="00151EA1"/>
    <w:rsid w:val="00154DD5"/>
    <w:rsid w:val="00154DFE"/>
    <w:rsid w:val="00154ECA"/>
    <w:rsid w:val="00155770"/>
    <w:rsid w:val="001559D3"/>
    <w:rsid w:val="001605F6"/>
    <w:rsid w:val="00163EB5"/>
    <w:rsid w:val="00166B4E"/>
    <w:rsid w:val="001676B3"/>
    <w:rsid w:val="00172E50"/>
    <w:rsid w:val="00173776"/>
    <w:rsid w:val="00174D84"/>
    <w:rsid w:val="00176877"/>
    <w:rsid w:val="001776AE"/>
    <w:rsid w:val="0018180E"/>
    <w:rsid w:val="00182DA6"/>
    <w:rsid w:val="00185526"/>
    <w:rsid w:val="00185B54"/>
    <w:rsid w:val="00185C21"/>
    <w:rsid w:val="00186B4B"/>
    <w:rsid w:val="0018700E"/>
    <w:rsid w:val="00187FCB"/>
    <w:rsid w:val="0019257C"/>
    <w:rsid w:val="00192A7B"/>
    <w:rsid w:val="00194EE9"/>
    <w:rsid w:val="0019637D"/>
    <w:rsid w:val="00197A8D"/>
    <w:rsid w:val="001A357E"/>
    <w:rsid w:val="001A3EBB"/>
    <w:rsid w:val="001A499F"/>
    <w:rsid w:val="001A5179"/>
    <w:rsid w:val="001A549D"/>
    <w:rsid w:val="001A5A89"/>
    <w:rsid w:val="001A7166"/>
    <w:rsid w:val="001A7176"/>
    <w:rsid w:val="001A79F0"/>
    <w:rsid w:val="001A7E25"/>
    <w:rsid w:val="001A7F2C"/>
    <w:rsid w:val="001B2D35"/>
    <w:rsid w:val="001B3F25"/>
    <w:rsid w:val="001B44C7"/>
    <w:rsid w:val="001B4ACF"/>
    <w:rsid w:val="001B4DDC"/>
    <w:rsid w:val="001B57BD"/>
    <w:rsid w:val="001B7C66"/>
    <w:rsid w:val="001C0381"/>
    <w:rsid w:val="001C0427"/>
    <w:rsid w:val="001C1138"/>
    <w:rsid w:val="001C215C"/>
    <w:rsid w:val="001C2302"/>
    <w:rsid w:val="001C46AF"/>
    <w:rsid w:val="001C501A"/>
    <w:rsid w:val="001C6F21"/>
    <w:rsid w:val="001C6FB4"/>
    <w:rsid w:val="001D1090"/>
    <w:rsid w:val="001D19AB"/>
    <w:rsid w:val="001D4C2E"/>
    <w:rsid w:val="001D53A7"/>
    <w:rsid w:val="001D6E2C"/>
    <w:rsid w:val="001E06DA"/>
    <w:rsid w:val="001E2AAF"/>
    <w:rsid w:val="001E3142"/>
    <w:rsid w:val="001E3358"/>
    <w:rsid w:val="001E3C6B"/>
    <w:rsid w:val="001E7C7A"/>
    <w:rsid w:val="001E7DE6"/>
    <w:rsid w:val="001F0989"/>
    <w:rsid w:val="001F0CE3"/>
    <w:rsid w:val="001F2D5A"/>
    <w:rsid w:val="001F3BC4"/>
    <w:rsid w:val="001F3F96"/>
    <w:rsid w:val="001F4FA1"/>
    <w:rsid w:val="001F522B"/>
    <w:rsid w:val="001F7BEB"/>
    <w:rsid w:val="00200ABC"/>
    <w:rsid w:val="00201D1A"/>
    <w:rsid w:val="002039E6"/>
    <w:rsid w:val="00204728"/>
    <w:rsid w:val="00204B3C"/>
    <w:rsid w:val="00204E5B"/>
    <w:rsid w:val="00210EC5"/>
    <w:rsid w:val="002113EB"/>
    <w:rsid w:val="00211CB5"/>
    <w:rsid w:val="00213292"/>
    <w:rsid w:val="00214776"/>
    <w:rsid w:val="00220F95"/>
    <w:rsid w:val="002225D5"/>
    <w:rsid w:val="00223876"/>
    <w:rsid w:val="002275CB"/>
    <w:rsid w:val="00230778"/>
    <w:rsid w:val="00231695"/>
    <w:rsid w:val="0023770E"/>
    <w:rsid w:val="0024019E"/>
    <w:rsid w:val="00241FEC"/>
    <w:rsid w:val="002439C4"/>
    <w:rsid w:val="00243F13"/>
    <w:rsid w:val="002451E2"/>
    <w:rsid w:val="002455BB"/>
    <w:rsid w:val="002467BE"/>
    <w:rsid w:val="00246AFC"/>
    <w:rsid w:val="00253B33"/>
    <w:rsid w:val="0025432E"/>
    <w:rsid w:val="00254F72"/>
    <w:rsid w:val="00256A01"/>
    <w:rsid w:val="00257694"/>
    <w:rsid w:val="00261531"/>
    <w:rsid w:val="0026246D"/>
    <w:rsid w:val="002635B1"/>
    <w:rsid w:val="00264370"/>
    <w:rsid w:val="00266692"/>
    <w:rsid w:val="002675E6"/>
    <w:rsid w:val="002718DB"/>
    <w:rsid w:val="00272E07"/>
    <w:rsid w:val="002737DB"/>
    <w:rsid w:val="00273B52"/>
    <w:rsid w:val="002750AA"/>
    <w:rsid w:val="00276FEB"/>
    <w:rsid w:val="00281974"/>
    <w:rsid w:val="00282821"/>
    <w:rsid w:val="002836FD"/>
    <w:rsid w:val="00284B0C"/>
    <w:rsid w:val="002855E8"/>
    <w:rsid w:val="00287116"/>
    <w:rsid w:val="00291093"/>
    <w:rsid w:val="00293924"/>
    <w:rsid w:val="002946D7"/>
    <w:rsid w:val="00295160"/>
    <w:rsid w:val="00295A42"/>
    <w:rsid w:val="00297144"/>
    <w:rsid w:val="00297BF8"/>
    <w:rsid w:val="002A0CC4"/>
    <w:rsid w:val="002A24E0"/>
    <w:rsid w:val="002A3447"/>
    <w:rsid w:val="002A5658"/>
    <w:rsid w:val="002B0E9A"/>
    <w:rsid w:val="002B134E"/>
    <w:rsid w:val="002B265C"/>
    <w:rsid w:val="002B35B6"/>
    <w:rsid w:val="002B3A4D"/>
    <w:rsid w:val="002B4F9C"/>
    <w:rsid w:val="002B5D8D"/>
    <w:rsid w:val="002B7F98"/>
    <w:rsid w:val="002C094E"/>
    <w:rsid w:val="002C6B17"/>
    <w:rsid w:val="002D0B7E"/>
    <w:rsid w:val="002D49F7"/>
    <w:rsid w:val="002D72E9"/>
    <w:rsid w:val="002E0640"/>
    <w:rsid w:val="002E103D"/>
    <w:rsid w:val="002E2697"/>
    <w:rsid w:val="002E2FBA"/>
    <w:rsid w:val="002E4E40"/>
    <w:rsid w:val="002E6B50"/>
    <w:rsid w:val="002F2163"/>
    <w:rsid w:val="002F3624"/>
    <w:rsid w:val="002F5477"/>
    <w:rsid w:val="002F6EDC"/>
    <w:rsid w:val="00303342"/>
    <w:rsid w:val="00303F13"/>
    <w:rsid w:val="00304D89"/>
    <w:rsid w:val="00307AE0"/>
    <w:rsid w:val="00313CD3"/>
    <w:rsid w:val="0031434C"/>
    <w:rsid w:val="00317294"/>
    <w:rsid w:val="0031778A"/>
    <w:rsid w:val="00321D73"/>
    <w:rsid w:val="003244C3"/>
    <w:rsid w:val="00324877"/>
    <w:rsid w:val="00326712"/>
    <w:rsid w:val="0033000A"/>
    <w:rsid w:val="00332F9D"/>
    <w:rsid w:val="0033724D"/>
    <w:rsid w:val="00337289"/>
    <w:rsid w:val="00342801"/>
    <w:rsid w:val="00342D08"/>
    <w:rsid w:val="00343865"/>
    <w:rsid w:val="00344004"/>
    <w:rsid w:val="0034468D"/>
    <w:rsid w:val="00344791"/>
    <w:rsid w:val="00346031"/>
    <w:rsid w:val="00346086"/>
    <w:rsid w:val="0034758D"/>
    <w:rsid w:val="00352F4E"/>
    <w:rsid w:val="00354B1D"/>
    <w:rsid w:val="0035625F"/>
    <w:rsid w:val="00356D13"/>
    <w:rsid w:val="00360CD4"/>
    <w:rsid w:val="00360EEF"/>
    <w:rsid w:val="00362202"/>
    <w:rsid w:val="00362D53"/>
    <w:rsid w:val="003653FD"/>
    <w:rsid w:val="003655DE"/>
    <w:rsid w:val="00372208"/>
    <w:rsid w:val="003727F8"/>
    <w:rsid w:val="00373586"/>
    <w:rsid w:val="00377FD3"/>
    <w:rsid w:val="00380BDD"/>
    <w:rsid w:val="0038240F"/>
    <w:rsid w:val="00382AD0"/>
    <w:rsid w:val="00383964"/>
    <w:rsid w:val="00384E95"/>
    <w:rsid w:val="00386111"/>
    <w:rsid w:val="00386E81"/>
    <w:rsid w:val="003908FF"/>
    <w:rsid w:val="00394922"/>
    <w:rsid w:val="00394A5D"/>
    <w:rsid w:val="00395A0B"/>
    <w:rsid w:val="00397362"/>
    <w:rsid w:val="0039739A"/>
    <w:rsid w:val="00397848"/>
    <w:rsid w:val="003A014B"/>
    <w:rsid w:val="003A199E"/>
    <w:rsid w:val="003A25A7"/>
    <w:rsid w:val="003A743D"/>
    <w:rsid w:val="003B0004"/>
    <w:rsid w:val="003B17DA"/>
    <w:rsid w:val="003B34D7"/>
    <w:rsid w:val="003B4591"/>
    <w:rsid w:val="003B6321"/>
    <w:rsid w:val="003C4851"/>
    <w:rsid w:val="003C551A"/>
    <w:rsid w:val="003D079A"/>
    <w:rsid w:val="003D22D2"/>
    <w:rsid w:val="003D322A"/>
    <w:rsid w:val="003D3947"/>
    <w:rsid w:val="003D57B7"/>
    <w:rsid w:val="003D639F"/>
    <w:rsid w:val="003D7F7A"/>
    <w:rsid w:val="003E0ED3"/>
    <w:rsid w:val="003E2B15"/>
    <w:rsid w:val="003E34EC"/>
    <w:rsid w:val="003E6C4E"/>
    <w:rsid w:val="003F0AAE"/>
    <w:rsid w:val="003F0BB7"/>
    <w:rsid w:val="003F1209"/>
    <w:rsid w:val="003F4129"/>
    <w:rsid w:val="003F48BB"/>
    <w:rsid w:val="003F53BA"/>
    <w:rsid w:val="003F6029"/>
    <w:rsid w:val="003F758E"/>
    <w:rsid w:val="00400D5D"/>
    <w:rsid w:val="004032E6"/>
    <w:rsid w:val="0040459B"/>
    <w:rsid w:val="004054E5"/>
    <w:rsid w:val="00406941"/>
    <w:rsid w:val="00406BE8"/>
    <w:rsid w:val="00407862"/>
    <w:rsid w:val="0041444E"/>
    <w:rsid w:val="00415000"/>
    <w:rsid w:val="004220DF"/>
    <w:rsid w:val="004229CB"/>
    <w:rsid w:val="00423223"/>
    <w:rsid w:val="004256B3"/>
    <w:rsid w:val="00427691"/>
    <w:rsid w:val="00430557"/>
    <w:rsid w:val="00431000"/>
    <w:rsid w:val="00431CD0"/>
    <w:rsid w:val="0043294D"/>
    <w:rsid w:val="004332E2"/>
    <w:rsid w:val="00435199"/>
    <w:rsid w:val="00435A58"/>
    <w:rsid w:val="00436949"/>
    <w:rsid w:val="00440730"/>
    <w:rsid w:val="00441237"/>
    <w:rsid w:val="00442911"/>
    <w:rsid w:val="004445C7"/>
    <w:rsid w:val="00444872"/>
    <w:rsid w:val="00444F07"/>
    <w:rsid w:val="00446005"/>
    <w:rsid w:val="00446754"/>
    <w:rsid w:val="00446E3D"/>
    <w:rsid w:val="004473F0"/>
    <w:rsid w:val="00447446"/>
    <w:rsid w:val="00447497"/>
    <w:rsid w:val="00450377"/>
    <w:rsid w:val="0045137D"/>
    <w:rsid w:val="00452CC6"/>
    <w:rsid w:val="00453A78"/>
    <w:rsid w:val="004547C6"/>
    <w:rsid w:val="00454F68"/>
    <w:rsid w:val="0045562A"/>
    <w:rsid w:val="00457461"/>
    <w:rsid w:val="0046212D"/>
    <w:rsid w:val="004651BE"/>
    <w:rsid w:val="00466B7C"/>
    <w:rsid w:val="00467A6E"/>
    <w:rsid w:val="00471045"/>
    <w:rsid w:val="004715FF"/>
    <w:rsid w:val="00472319"/>
    <w:rsid w:val="004731B8"/>
    <w:rsid w:val="00474CB7"/>
    <w:rsid w:val="00476CB8"/>
    <w:rsid w:val="00481797"/>
    <w:rsid w:val="00483E9F"/>
    <w:rsid w:val="00485735"/>
    <w:rsid w:val="00485743"/>
    <w:rsid w:val="00486F94"/>
    <w:rsid w:val="004900D5"/>
    <w:rsid w:val="00490296"/>
    <w:rsid w:val="004921B5"/>
    <w:rsid w:val="004A67E6"/>
    <w:rsid w:val="004A6BBE"/>
    <w:rsid w:val="004A7E88"/>
    <w:rsid w:val="004B3AE9"/>
    <w:rsid w:val="004B4A2F"/>
    <w:rsid w:val="004C2FD6"/>
    <w:rsid w:val="004C7238"/>
    <w:rsid w:val="004D0C69"/>
    <w:rsid w:val="004D1366"/>
    <w:rsid w:val="004D151A"/>
    <w:rsid w:val="004D2A10"/>
    <w:rsid w:val="004D6BC6"/>
    <w:rsid w:val="004E0091"/>
    <w:rsid w:val="004E17DB"/>
    <w:rsid w:val="004E6E20"/>
    <w:rsid w:val="004F1755"/>
    <w:rsid w:val="004F4A84"/>
    <w:rsid w:val="00500EEB"/>
    <w:rsid w:val="00502385"/>
    <w:rsid w:val="00502D78"/>
    <w:rsid w:val="00505512"/>
    <w:rsid w:val="00510321"/>
    <w:rsid w:val="00514A70"/>
    <w:rsid w:val="00515116"/>
    <w:rsid w:val="005203C1"/>
    <w:rsid w:val="0052158F"/>
    <w:rsid w:val="0052174A"/>
    <w:rsid w:val="00525924"/>
    <w:rsid w:val="00525C2F"/>
    <w:rsid w:val="00526D9D"/>
    <w:rsid w:val="005279B9"/>
    <w:rsid w:val="0053061E"/>
    <w:rsid w:val="00532067"/>
    <w:rsid w:val="00532352"/>
    <w:rsid w:val="0053242E"/>
    <w:rsid w:val="00537D00"/>
    <w:rsid w:val="0054083D"/>
    <w:rsid w:val="005449EE"/>
    <w:rsid w:val="005451B5"/>
    <w:rsid w:val="0054578A"/>
    <w:rsid w:val="00545EB9"/>
    <w:rsid w:val="005518C3"/>
    <w:rsid w:val="00553076"/>
    <w:rsid w:val="00553099"/>
    <w:rsid w:val="005551B5"/>
    <w:rsid w:val="00556715"/>
    <w:rsid w:val="00560F66"/>
    <w:rsid w:val="00565C6B"/>
    <w:rsid w:val="00566190"/>
    <w:rsid w:val="00566C9D"/>
    <w:rsid w:val="00567100"/>
    <w:rsid w:val="00567D3F"/>
    <w:rsid w:val="00570AF7"/>
    <w:rsid w:val="0057133F"/>
    <w:rsid w:val="00571462"/>
    <w:rsid w:val="00571FCA"/>
    <w:rsid w:val="00572B8B"/>
    <w:rsid w:val="0057322D"/>
    <w:rsid w:val="005738AA"/>
    <w:rsid w:val="005761A8"/>
    <w:rsid w:val="00576A79"/>
    <w:rsid w:val="00580297"/>
    <w:rsid w:val="00580725"/>
    <w:rsid w:val="005813E6"/>
    <w:rsid w:val="00581708"/>
    <w:rsid w:val="00581BA6"/>
    <w:rsid w:val="00582DDA"/>
    <w:rsid w:val="00583595"/>
    <w:rsid w:val="00590410"/>
    <w:rsid w:val="00594316"/>
    <w:rsid w:val="005962D7"/>
    <w:rsid w:val="00597543"/>
    <w:rsid w:val="00597840"/>
    <w:rsid w:val="005A18D6"/>
    <w:rsid w:val="005A1D4E"/>
    <w:rsid w:val="005A2122"/>
    <w:rsid w:val="005A4B00"/>
    <w:rsid w:val="005A522F"/>
    <w:rsid w:val="005A69A0"/>
    <w:rsid w:val="005A7099"/>
    <w:rsid w:val="005A7491"/>
    <w:rsid w:val="005A7768"/>
    <w:rsid w:val="005B0E6F"/>
    <w:rsid w:val="005B1261"/>
    <w:rsid w:val="005B1C34"/>
    <w:rsid w:val="005B5EC4"/>
    <w:rsid w:val="005B707C"/>
    <w:rsid w:val="005C1758"/>
    <w:rsid w:val="005C3E45"/>
    <w:rsid w:val="005C466D"/>
    <w:rsid w:val="005C5719"/>
    <w:rsid w:val="005C5CA8"/>
    <w:rsid w:val="005C741C"/>
    <w:rsid w:val="005C79F0"/>
    <w:rsid w:val="005C7F4F"/>
    <w:rsid w:val="005D04C6"/>
    <w:rsid w:val="005D069B"/>
    <w:rsid w:val="005E062C"/>
    <w:rsid w:val="005E1763"/>
    <w:rsid w:val="005E2D60"/>
    <w:rsid w:val="005E3C12"/>
    <w:rsid w:val="005E4EF6"/>
    <w:rsid w:val="005E76A1"/>
    <w:rsid w:val="005F2ED3"/>
    <w:rsid w:val="005F7C29"/>
    <w:rsid w:val="005F7E63"/>
    <w:rsid w:val="00600A36"/>
    <w:rsid w:val="00600D6C"/>
    <w:rsid w:val="006021C4"/>
    <w:rsid w:val="00602ACB"/>
    <w:rsid w:val="00604638"/>
    <w:rsid w:val="00611866"/>
    <w:rsid w:val="00614957"/>
    <w:rsid w:val="0061511D"/>
    <w:rsid w:val="00621A9E"/>
    <w:rsid w:val="006222AD"/>
    <w:rsid w:val="00623A2E"/>
    <w:rsid w:val="00624CAB"/>
    <w:rsid w:val="006261BF"/>
    <w:rsid w:val="006263AB"/>
    <w:rsid w:val="006300C1"/>
    <w:rsid w:val="00631380"/>
    <w:rsid w:val="006341A1"/>
    <w:rsid w:val="00634D9D"/>
    <w:rsid w:val="00635E6C"/>
    <w:rsid w:val="00643AA4"/>
    <w:rsid w:val="00643E13"/>
    <w:rsid w:val="00643EA1"/>
    <w:rsid w:val="00644659"/>
    <w:rsid w:val="00645A44"/>
    <w:rsid w:val="00645D5A"/>
    <w:rsid w:val="006474DB"/>
    <w:rsid w:val="00647F86"/>
    <w:rsid w:val="0065099E"/>
    <w:rsid w:val="00652E80"/>
    <w:rsid w:val="006541E6"/>
    <w:rsid w:val="00654844"/>
    <w:rsid w:val="00660889"/>
    <w:rsid w:val="006612D9"/>
    <w:rsid w:val="00662D12"/>
    <w:rsid w:val="00666467"/>
    <w:rsid w:val="00671610"/>
    <w:rsid w:val="00671EC9"/>
    <w:rsid w:val="00672667"/>
    <w:rsid w:val="00672BD4"/>
    <w:rsid w:val="0067373A"/>
    <w:rsid w:val="00674011"/>
    <w:rsid w:val="0067605F"/>
    <w:rsid w:val="0067788F"/>
    <w:rsid w:val="006779B2"/>
    <w:rsid w:val="00677EBF"/>
    <w:rsid w:val="0068190F"/>
    <w:rsid w:val="00682821"/>
    <w:rsid w:val="00684AB3"/>
    <w:rsid w:val="00684E66"/>
    <w:rsid w:val="0069005B"/>
    <w:rsid w:val="00690321"/>
    <w:rsid w:val="00690C6D"/>
    <w:rsid w:val="006911F4"/>
    <w:rsid w:val="006939D3"/>
    <w:rsid w:val="006961D9"/>
    <w:rsid w:val="0069675A"/>
    <w:rsid w:val="00696AA7"/>
    <w:rsid w:val="00697201"/>
    <w:rsid w:val="006A4776"/>
    <w:rsid w:val="006A5CDC"/>
    <w:rsid w:val="006A6561"/>
    <w:rsid w:val="006A6BBE"/>
    <w:rsid w:val="006B055B"/>
    <w:rsid w:val="006B12B4"/>
    <w:rsid w:val="006B6881"/>
    <w:rsid w:val="006B7CA8"/>
    <w:rsid w:val="006C2458"/>
    <w:rsid w:val="006C270B"/>
    <w:rsid w:val="006C5C63"/>
    <w:rsid w:val="006C703E"/>
    <w:rsid w:val="006D0712"/>
    <w:rsid w:val="006D1592"/>
    <w:rsid w:val="006D4356"/>
    <w:rsid w:val="006D44B0"/>
    <w:rsid w:val="006D4665"/>
    <w:rsid w:val="006D499C"/>
    <w:rsid w:val="006D5A50"/>
    <w:rsid w:val="006D62C1"/>
    <w:rsid w:val="006D6458"/>
    <w:rsid w:val="006D753D"/>
    <w:rsid w:val="006E18CC"/>
    <w:rsid w:val="006E1AEE"/>
    <w:rsid w:val="006E440C"/>
    <w:rsid w:val="006E497A"/>
    <w:rsid w:val="006E6D5E"/>
    <w:rsid w:val="006F2E9B"/>
    <w:rsid w:val="006F3B8A"/>
    <w:rsid w:val="006F6219"/>
    <w:rsid w:val="006F678A"/>
    <w:rsid w:val="006F6F03"/>
    <w:rsid w:val="00700256"/>
    <w:rsid w:val="00703EEA"/>
    <w:rsid w:val="007041A1"/>
    <w:rsid w:val="00705CD0"/>
    <w:rsid w:val="0070699D"/>
    <w:rsid w:val="007103B5"/>
    <w:rsid w:val="00712F06"/>
    <w:rsid w:val="00713254"/>
    <w:rsid w:val="00713ED8"/>
    <w:rsid w:val="00714A86"/>
    <w:rsid w:val="00714C03"/>
    <w:rsid w:val="00715057"/>
    <w:rsid w:val="0071665F"/>
    <w:rsid w:val="00720FCB"/>
    <w:rsid w:val="00721F92"/>
    <w:rsid w:val="00723BAB"/>
    <w:rsid w:val="00724ACD"/>
    <w:rsid w:val="007307FC"/>
    <w:rsid w:val="00730A38"/>
    <w:rsid w:val="0073272A"/>
    <w:rsid w:val="00732FB7"/>
    <w:rsid w:val="00735640"/>
    <w:rsid w:val="00736037"/>
    <w:rsid w:val="0074173F"/>
    <w:rsid w:val="00742D8C"/>
    <w:rsid w:val="00745E68"/>
    <w:rsid w:val="0074671E"/>
    <w:rsid w:val="00746FA8"/>
    <w:rsid w:val="00747AB1"/>
    <w:rsid w:val="00747C7A"/>
    <w:rsid w:val="007508AE"/>
    <w:rsid w:val="00750B35"/>
    <w:rsid w:val="0075160A"/>
    <w:rsid w:val="00752010"/>
    <w:rsid w:val="00753D20"/>
    <w:rsid w:val="00754959"/>
    <w:rsid w:val="00757481"/>
    <w:rsid w:val="00757E56"/>
    <w:rsid w:val="00760D61"/>
    <w:rsid w:val="00761084"/>
    <w:rsid w:val="007620B8"/>
    <w:rsid w:val="00762300"/>
    <w:rsid w:val="00763B0F"/>
    <w:rsid w:val="00765F91"/>
    <w:rsid w:val="007664D4"/>
    <w:rsid w:val="00767FCE"/>
    <w:rsid w:val="0077053B"/>
    <w:rsid w:val="007732F5"/>
    <w:rsid w:val="00775510"/>
    <w:rsid w:val="00776541"/>
    <w:rsid w:val="00776ECE"/>
    <w:rsid w:val="00786B2C"/>
    <w:rsid w:val="00787844"/>
    <w:rsid w:val="00790712"/>
    <w:rsid w:val="0079183E"/>
    <w:rsid w:val="00792748"/>
    <w:rsid w:val="00792CEB"/>
    <w:rsid w:val="00794379"/>
    <w:rsid w:val="007946ED"/>
    <w:rsid w:val="007952B1"/>
    <w:rsid w:val="007A18D6"/>
    <w:rsid w:val="007A215F"/>
    <w:rsid w:val="007A2268"/>
    <w:rsid w:val="007A40C4"/>
    <w:rsid w:val="007A42A6"/>
    <w:rsid w:val="007A7DBE"/>
    <w:rsid w:val="007B2D49"/>
    <w:rsid w:val="007B538A"/>
    <w:rsid w:val="007C01FA"/>
    <w:rsid w:val="007C0BA7"/>
    <w:rsid w:val="007C1C49"/>
    <w:rsid w:val="007C7026"/>
    <w:rsid w:val="007D0053"/>
    <w:rsid w:val="007D0406"/>
    <w:rsid w:val="007D052A"/>
    <w:rsid w:val="007D0A60"/>
    <w:rsid w:val="007D2866"/>
    <w:rsid w:val="007D55A7"/>
    <w:rsid w:val="007D5D62"/>
    <w:rsid w:val="007D5DBA"/>
    <w:rsid w:val="007E1CFC"/>
    <w:rsid w:val="007E2F36"/>
    <w:rsid w:val="007E332C"/>
    <w:rsid w:val="007E3B33"/>
    <w:rsid w:val="007E6878"/>
    <w:rsid w:val="007E7A98"/>
    <w:rsid w:val="007E7E7D"/>
    <w:rsid w:val="007F2E14"/>
    <w:rsid w:val="007F4CC1"/>
    <w:rsid w:val="007F5F28"/>
    <w:rsid w:val="007F63A7"/>
    <w:rsid w:val="007F747C"/>
    <w:rsid w:val="007F74A7"/>
    <w:rsid w:val="00803744"/>
    <w:rsid w:val="008052A1"/>
    <w:rsid w:val="00807048"/>
    <w:rsid w:val="00807250"/>
    <w:rsid w:val="00811184"/>
    <w:rsid w:val="00811E1F"/>
    <w:rsid w:val="0081460C"/>
    <w:rsid w:val="00816C0C"/>
    <w:rsid w:val="00823A49"/>
    <w:rsid w:val="00823D04"/>
    <w:rsid w:val="0082708D"/>
    <w:rsid w:val="0083095C"/>
    <w:rsid w:val="008309B2"/>
    <w:rsid w:val="00830D7C"/>
    <w:rsid w:val="008312CF"/>
    <w:rsid w:val="008325EC"/>
    <w:rsid w:val="00832AEB"/>
    <w:rsid w:val="008361B1"/>
    <w:rsid w:val="00836C9F"/>
    <w:rsid w:val="00837EC4"/>
    <w:rsid w:val="00840FA9"/>
    <w:rsid w:val="00842081"/>
    <w:rsid w:val="0084464B"/>
    <w:rsid w:val="00844FA1"/>
    <w:rsid w:val="008456D5"/>
    <w:rsid w:val="00846BCC"/>
    <w:rsid w:val="00850E78"/>
    <w:rsid w:val="00852E4F"/>
    <w:rsid w:val="00855215"/>
    <w:rsid w:val="008554CE"/>
    <w:rsid w:val="00855534"/>
    <w:rsid w:val="00860DCC"/>
    <w:rsid w:val="008610A3"/>
    <w:rsid w:val="0086186B"/>
    <w:rsid w:val="00861AB1"/>
    <w:rsid w:val="00870468"/>
    <w:rsid w:val="008726BB"/>
    <w:rsid w:val="008745F6"/>
    <w:rsid w:val="008769AF"/>
    <w:rsid w:val="008778C9"/>
    <w:rsid w:val="008805CF"/>
    <w:rsid w:val="008814A5"/>
    <w:rsid w:val="00884DA1"/>
    <w:rsid w:val="00885472"/>
    <w:rsid w:val="00885D10"/>
    <w:rsid w:val="00886C53"/>
    <w:rsid w:val="008877EE"/>
    <w:rsid w:val="00892190"/>
    <w:rsid w:val="00893321"/>
    <w:rsid w:val="00893A3B"/>
    <w:rsid w:val="00894428"/>
    <w:rsid w:val="008958BE"/>
    <w:rsid w:val="00895EFB"/>
    <w:rsid w:val="008A024B"/>
    <w:rsid w:val="008A1875"/>
    <w:rsid w:val="008A1EC3"/>
    <w:rsid w:val="008A2764"/>
    <w:rsid w:val="008A2A5C"/>
    <w:rsid w:val="008A2B27"/>
    <w:rsid w:val="008A4295"/>
    <w:rsid w:val="008B05BE"/>
    <w:rsid w:val="008B069D"/>
    <w:rsid w:val="008B152C"/>
    <w:rsid w:val="008B2938"/>
    <w:rsid w:val="008B2AE2"/>
    <w:rsid w:val="008C0B3F"/>
    <w:rsid w:val="008C346A"/>
    <w:rsid w:val="008C47D1"/>
    <w:rsid w:val="008C5531"/>
    <w:rsid w:val="008C69C6"/>
    <w:rsid w:val="008D0A3F"/>
    <w:rsid w:val="008D1743"/>
    <w:rsid w:val="008D241D"/>
    <w:rsid w:val="008D2CF2"/>
    <w:rsid w:val="008D4AFC"/>
    <w:rsid w:val="008D6522"/>
    <w:rsid w:val="008D780A"/>
    <w:rsid w:val="008E0216"/>
    <w:rsid w:val="008E418B"/>
    <w:rsid w:val="008E736C"/>
    <w:rsid w:val="008E7D8C"/>
    <w:rsid w:val="008F2250"/>
    <w:rsid w:val="008F2D03"/>
    <w:rsid w:val="008F32D7"/>
    <w:rsid w:val="008F4A2A"/>
    <w:rsid w:val="008F65B6"/>
    <w:rsid w:val="00902DEF"/>
    <w:rsid w:val="00903671"/>
    <w:rsid w:val="009039D7"/>
    <w:rsid w:val="0090532A"/>
    <w:rsid w:val="00905B82"/>
    <w:rsid w:val="00905C80"/>
    <w:rsid w:val="00906FC4"/>
    <w:rsid w:val="00907648"/>
    <w:rsid w:val="00910C18"/>
    <w:rsid w:val="009118AD"/>
    <w:rsid w:val="00912964"/>
    <w:rsid w:val="00912AAE"/>
    <w:rsid w:val="009159BF"/>
    <w:rsid w:val="00915B7C"/>
    <w:rsid w:val="00916544"/>
    <w:rsid w:val="009172E0"/>
    <w:rsid w:val="009218AE"/>
    <w:rsid w:val="0092230C"/>
    <w:rsid w:val="00924820"/>
    <w:rsid w:val="0092607E"/>
    <w:rsid w:val="009263D9"/>
    <w:rsid w:val="00926675"/>
    <w:rsid w:val="009278D9"/>
    <w:rsid w:val="009279E8"/>
    <w:rsid w:val="00927DAB"/>
    <w:rsid w:val="009331B7"/>
    <w:rsid w:val="00937539"/>
    <w:rsid w:val="009400D3"/>
    <w:rsid w:val="00941D26"/>
    <w:rsid w:val="00943352"/>
    <w:rsid w:val="009500E4"/>
    <w:rsid w:val="009502C2"/>
    <w:rsid w:val="00952BCD"/>
    <w:rsid w:val="00953CE2"/>
    <w:rsid w:val="0095601D"/>
    <w:rsid w:val="009569A1"/>
    <w:rsid w:val="0095713E"/>
    <w:rsid w:val="009576AC"/>
    <w:rsid w:val="00957AAE"/>
    <w:rsid w:val="009602F1"/>
    <w:rsid w:val="00960B46"/>
    <w:rsid w:val="00961E7B"/>
    <w:rsid w:val="009648CF"/>
    <w:rsid w:val="009659ED"/>
    <w:rsid w:val="00970970"/>
    <w:rsid w:val="00971848"/>
    <w:rsid w:val="009730D4"/>
    <w:rsid w:val="00975C2A"/>
    <w:rsid w:val="00977DD7"/>
    <w:rsid w:val="0098047E"/>
    <w:rsid w:val="00980A7F"/>
    <w:rsid w:val="00982282"/>
    <w:rsid w:val="009836FC"/>
    <w:rsid w:val="00987079"/>
    <w:rsid w:val="009873D9"/>
    <w:rsid w:val="009877AE"/>
    <w:rsid w:val="009903FA"/>
    <w:rsid w:val="009912DD"/>
    <w:rsid w:val="00997F32"/>
    <w:rsid w:val="009A0025"/>
    <w:rsid w:val="009A1691"/>
    <w:rsid w:val="009A1D4B"/>
    <w:rsid w:val="009A24FF"/>
    <w:rsid w:val="009A3152"/>
    <w:rsid w:val="009A3EFA"/>
    <w:rsid w:val="009A44F4"/>
    <w:rsid w:val="009B1B8C"/>
    <w:rsid w:val="009B2532"/>
    <w:rsid w:val="009B28F9"/>
    <w:rsid w:val="009B3982"/>
    <w:rsid w:val="009B4107"/>
    <w:rsid w:val="009B5ACA"/>
    <w:rsid w:val="009B624A"/>
    <w:rsid w:val="009B654F"/>
    <w:rsid w:val="009B721D"/>
    <w:rsid w:val="009C0BC3"/>
    <w:rsid w:val="009C20B3"/>
    <w:rsid w:val="009C44E9"/>
    <w:rsid w:val="009C548D"/>
    <w:rsid w:val="009C5820"/>
    <w:rsid w:val="009C72F6"/>
    <w:rsid w:val="009D0374"/>
    <w:rsid w:val="009D18B6"/>
    <w:rsid w:val="009D253A"/>
    <w:rsid w:val="009D2916"/>
    <w:rsid w:val="009D2CA4"/>
    <w:rsid w:val="009D4829"/>
    <w:rsid w:val="009D5576"/>
    <w:rsid w:val="009D7251"/>
    <w:rsid w:val="009E046F"/>
    <w:rsid w:val="009E056B"/>
    <w:rsid w:val="009E2707"/>
    <w:rsid w:val="009E597B"/>
    <w:rsid w:val="009E68C0"/>
    <w:rsid w:val="009F09DD"/>
    <w:rsid w:val="009F09E5"/>
    <w:rsid w:val="009F0E59"/>
    <w:rsid w:val="009F1BC9"/>
    <w:rsid w:val="009F2252"/>
    <w:rsid w:val="009F356B"/>
    <w:rsid w:val="009F3594"/>
    <w:rsid w:val="009F4B09"/>
    <w:rsid w:val="00A00767"/>
    <w:rsid w:val="00A00C6F"/>
    <w:rsid w:val="00A00E92"/>
    <w:rsid w:val="00A0142F"/>
    <w:rsid w:val="00A027B5"/>
    <w:rsid w:val="00A03054"/>
    <w:rsid w:val="00A030F4"/>
    <w:rsid w:val="00A04259"/>
    <w:rsid w:val="00A043EB"/>
    <w:rsid w:val="00A047B5"/>
    <w:rsid w:val="00A04DC8"/>
    <w:rsid w:val="00A051E1"/>
    <w:rsid w:val="00A059AD"/>
    <w:rsid w:val="00A074A4"/>
    <w:rsid w:val="00A10548"/>
    <w:rsid w:val="00A15746"/>
    <w:rsid w:val="00A16B8C"/>
    <w:rsid w:val="00A177A2"/>
    <w:rsid w:val="00A17C4D"/>
    <w:rsid w:val="00A2008E"/>
    <w:rsid w:val="00A2345B"/>
    <w:rsid w:val="00A2467D"/>
    <w:rsid w:val="00A24AB4"/>
    <w:rsid w:val="00A25235"/>
    <w:rsid w:val="00A25412"/>
    <w:rsid w:val="00A2707F"/>
    <w:rsid w:val="00A32145"/>
    <w:rsid w:val="00A40291"/>
    <w:rsid w:val="00A41894"/>
    <w:rsid w:val="00A419AD"/>
    <w:rsid w:val="00A41DDE"/>
    <w:rsid w:val="00A444D5"/>
    <w:rsid w:val="00A44EE6"/>
    <w:rsid w:val="00A478BA"/>
    <w:rsid w:val="00A47975"/>
    <w:rsid w:val="00A47B3B"/>
    <w:rsid w:val="00A5131B"/>
    <w:rsid w:val="00A51D83"/>
    <w:rsid w:val="00A5480A"/>
    <w:rsid w:val="00A57178"/>
    <w:rsid w:val="00A60F84"/>
    <w:rsid w:val="00A6105C"/>
    <w:rsid w:val="00A6476A"/>
    <w:rsid w:val="00A647B0"/>
    <w:rsid w:val="00A64D60"/>
    <w:rsid w:val="00A716EE"/>
    <w:rsid w:val="00A7363B"/>
    <w:rsid w:val="00A73C4D"/>
    <w:rsid w:val="00A74323"/>
    <w:rsid w:val="00A7459C"/>
    <w:rsid w:val="00A75CF6"/>
    <w:rsid w:val="00A76C0E"/>
    <w:rsid w:val="00A80C60"/>
    <w:rsid w:val="00A8119D"/>
    <w:rsid w:val="00A844D5"/>
    <w:rsid w:val="00A852D7"/>
    <w:rsid w:val="00A85C37"/>
    <w:rsid w:val="00A871B0"/>
    <w:rsid w:val="00A87D7F"/>
    <w:rsid w:val="00A91036"/>
    <w:rsid w:val="00A93E23"/>
    <w:rsid w:val="00A95533"/>
    <w:rsid w:val="00A96F9A"/>
    <w:rsid w:val="00AA166E"/>
    <w:rsid w:val="00AA2197"/>
    <w:rsid w:val="00AA539E"/>
    <w:rsid w:val="00AA71B4"/>
    <w:rsid w:val="00AA79D2"/>
    <w:rsid w:val="00AB4ED5"/>
    <w:rsid w:val="00AB5679"/>
    <w:rsid w:val="00AB658E"/>
    <w:rsid w:val="00AB7085"/>
    <w:rsid w:val="00AB736F"/>
    <w:rsid w:val="00AC2066"/>
    <w:rsid w:val="00AC2889"/>
    <w:rsid w:val="00AC2D0B"/>
    <w:rsid w:val="00AC36FA"/>
    <w:rsid w:val="00AC74E8"/>
    <w:rsid w:val="00AD2CFA"/>
    <w:rsid w:val="00AD53CA"/>
    <w:rsid w:val="00AE0718"/>
    <w:rsid w:val="00AE2A95"/>
    <w:rsid w:val="00AE34CF"/>
    <w:rsid w:val="00AE3582"/>
    <w:rsid w:val="00AE3E36"/>
    <w:rsid w:val="00AE5488"/>
    <w:rsid w:val="00AE5791"/>
    <w:rsid w:val="00AE5D36"/>
    <w:rsid w:val="00AE77BE"/>
    <w:rsid w:val="00AE7F35"/>
    <w:rsid w:val="00AF143A"/>
    <w:rsid w:val="00AF1C88"/>
    <w:rsid w:val="00AF21B0"/>
    <w:rsid w:val="00AF2564"/>
    <w:rsid w:val="00AF34B8"/>
    <w:rsid w:val="00AF414B"/>
    <w:rsid w:val="00AF4802"/>
    <w:rsid w:val="00AF5716"/>
    <w:rsid w:val="00AF695B"/>
    <w:rsid w:val="00B027F8"/>
    <w:rsid w:val="00B03524"/>
    <w:rsid w:val="00B06C2A"/>
    <w:rsid w:val="00B07C89"/>
    <w:rsid w:val="00B12E69"/>
    <w:rsid w:val="00B13E5B"/>
    <w:rsid w:val="00B148CA"/>
    <w:rsid w:val="00B15DA0"/>
    <w:rsid w:val="00B216D3"/>
    <w:rsid w:val="00B21DB6"/>
    <w:rsid w:val="00B2468B"/>
    <w:rsid w:val="00B25AC3"/>
    <w:rsid w:val="00B279D1"/>
    <w:rsid w:val="00B301B0"/>
    <w:rsid w:val="00B30448"/>
    <w:rsid w:val="00B30BCA"/>
    <w:rsid w:val="00B32B57"/>
    <w:rsid w:val="00B35E49"/>
    <w:rsid w:val="00B367CF"/>
    <w:rsid w:val="00B3692E"/>
    <w:rsid w:val="00B37945"/>
    <w:rsid w:val="00B40245"/>
    <w:rsid w:val="00B4026D"/>
    <w:rsid w:val="00B41EEE"/>
    <w:rsid w:val="00B448B5"/>
    <w:rsid w:val="00B46771"/>
    <w:rsid w:val="00B47118"/>
    <w:rsid w:val="00B51D0D"/>
    <w:rsid w:val="00B53191"/>
    <w:rsid w:val="00B53625"/>
    <w:rsid w:val="00B5495F"/>
    <w:rsid w:val="00B568E3"/>
    <w:rsid w:val="00B56D6C"/>
    <w:rsid w:val="00B56FCB"/>
    <w:rsid w:val="00B636AA"/>
    <w:rsid w:val="00B64F8B"/>
    <w:rsid w:val="00B70D83"/>
    <w:rsid w:val="00B71B7E"/>
    <w:rsid w:val="00B727F5"/>
    <w:rsid w:val="00B72867"/>
    <w:rsid w:val="00B738A9"/>
    <w:rsid w:val="00B73FAB"/>
    <w:rsid w:val="00B77262"/>
    <w:rsid w:val="00B777BD"/>
    <w:rsid w:val="00B81B8E"/>
    <w:rsid w:val="00B826DA"/>
    <w:rsid w:val="00B830E0"/>
    <w:rsid w:val="00B832DA"/>
    <w:rsid w:val="00B8616A"/>
    <w:rsid w:val="00B865E3"/>
    <w:rsid w:val="00B871C5"/>
    <w:rsid w:val="00B87D2C"/>
    <w:rsid w:val="00B90C74"/>
    <w:rsid w:val="00B91B33"/>
    <w:rsid w:val="00B9275B"/>
    <w:rsid w:val="00B9292D"/>
    <w:rsid w:val="00B93AA9"/>
    <w:rsid w:val="00B949E9"/>
    <w:rsid w:val="00B97C04"/>
    <w:rsid w:val="00B97C19"/>
    <w:rsid w:val="00BA0D0A"/>
    <w:rsid w:val="00BA1766"/>
    <w:rsid w:val="00BA36C0"/>
    <w:rsid w:val="00BA37D5"/>
    <w:rsid w:val="00BA4256"/>
    <w:rsid w:val="00BA5E84"/>
    <w:rsid w:val="00BA6A1E"/>
    <w:rsid w:val="00BB183E"/>
    <w:rsid w:val="00BC0492"/>
    <w:rsid w:val="00BC0880"/>
    <w:rsid w:val="00BD5EE3"/>
    <w:rsid w:val="00BD6224"/>
    <w:rsid w:val="00BD63DA"/>
    <w:rsid w:val="00BD6EB1"/>
    <w:rsid w:val="00BD6EC1"/>
    <w:rsid w:val="00BE0F9A"/>
    <w:rsid w:val="00BE0FCE"/>
    <w:rsid w:val="00BE3839"/>
    <w:rsid w:val="00BE487E"/>
    <w:rsid w:val="00BF0525"/>
    <w:rsid w:val="00BF20CA"/>
    <w:rsid w:val="00BF49E8"/>
    <w:rsid w:val="00BF61FD"/>
    <w:rsid w:val="00BF6BC0"/>
    <w:rsid w:val="00BF7E58"/>
    <w:rsid w:val="00C00E3D"/>
    <w:rsid w:val="00C030DE"/>
    <w:rsid w:val="00C073BC"/>
    <w:rsid w:val="00C07E42"/>
    <w:rsid w:val="00C1024E"/>
    <w:rsid w:val="00C104D5"/>
    <w:rsid w:val="00C11B31"/>
    <w:rsid w:val="00C11CE3"/>
    <w:rsid w:val="00C11DDA"/>
    <w:rsid w:val="00C13041"/>
    <w:rsid w:val="00C13916"/>
    <w:rsid w:val="00C15A7B"/>
    <w:rsid w:val="00C15AFA"/>
    <w:rsid w:val="00C16AA6"/>
    <w:rsid w:val="00C1794F"/>
    <w:rsid w:val="00C20A2F"/>
    <w:rsid w:val="00C2187F"/>
    <w:rsid w:val="00C227E9"/>
    <w:rsid w:val="00C24C66"/>
    <w:rsid w:val="00C25F64"/>
    <w:rsid w:val="00C262BE"/>
    <w:rsid w:val="00C304FB"/>
    <w:rsid w:val="00C30D90"/>
    <w:rsid w:val="00C3237C"/>
    <w:rsid w:val="00C33734"/>
    <w:rsid w:val="00C35834"/>
    <w:rsid w:val="00C42989"/>
    <w:rsid w:val="00C43272"/>
    <w:rsid w:val="00C436D2"/>
    <w:rsid w:val="00C43C70"/>
    <w:rsid w:val="00C454B6"/>
    <w:rsid w:val="00C45AA7"/>
    <w:rsid w:val="00C465DE"/>
    <w:rsid w:val="00C47E8E"/>
    <w:rsid w:val="00C51F33"/>
    <w:rsid w:val="00C5317A"/>
    <w:rsid w:val="00C55FDF"/>
    <w:rsid w:val="00C56F0C"/>
    <w:rsid w:val="00C671F6"/>
    <w:rsid w:val="00C674FF"/>
    <w:rsid w:val="00C67636"/>
    <w:rsid w:val="00C67D5F"/>
    <w:rsid w:val="00C7020B"/>
    <w:rsid w:val="00C723A0"/>
    <w:rsid w:val="00C72AC5"/>
    <w:rsid w:val="00C73C43"/>
    <w:rsid w:val="00C7407F"/>
    <w:rsid w:val="00C762FB"/>
    <w:rsid w:val="00C77A51"/>
    <w:rsid w:val="00C77D5F"/>
    <w:rsid w:val="00C77E40"/>
    <w:rsid w:val="00C77FE8"/>
    <w:rsid w:val="00C81E10"/>
    <w:rsid w:val="00C81E52"/>
    <w:rsid w:val="00C85309"/>
    <w:rsid w:val="00C8682D"/>
    <w:rsid w:val="00C87F47"/>
    <w:rsid w:val="00C91B60"/>
    <w:rsid w:val="00C92759"/>
    <w:rsid w:val="00C9662F"/>
    <w:rsid w:val="00C97116"/>
    <w:rsid w:val="00CA26D4"/>
    <w:rsid w:val="00CA28E4"/>
    <w:rsid w:val="00CA2EB5"/>
    <w:rsid w:val="00CA42D1"/>
    <w:rsid w:val="00CB09E4"/>
    <w:rsid w:val="00CC16B2"/>
    <w:rsid w:val="00CC200F"/>
    <w:rsid w:val="00CC2C14"/>
    <w:rsid w:val="00CD04F6"/>
    <w:rsid w:val="00CD07CF"/>
    <w:rsid w:val="00CD10E7"/>
    <w:rsid w:val="00CD1D49"/>
    <w:rsid w:val="00CD302B"/>
    <w:rsid w:val="00CD4A84"/>
    <w:rsid w:val="00CD761E"/>
    <w:rsid w:val="00CE0D35"/>
    <w:rsid w:val="00CE4563"/>
    <w:rsid w:val="00CE5B80"/>
    <w:rsid w:val="00CE68A4"/>
    <w:rsid w:val="00CF1358"/>
    <w:rsid w:val="00CF2EAE"/>
    <w:rsid w:val="00CF2F02"/>
    <w:rsid w:val="00CF3AD3"/>
    <w:rsid w:val="00CF582A"/>
    <w:rsid w:val="00D00245"/>
    <w:rsid w:val="00D0441A"/>
    <w:rsid w:val="00D07F5F"/>
    <w:rsid w:val="00D11A92"/>
    <w:rsid w:val="00D11FBC"/>
    <w:rsid w:val="00D12F3A"/>
    <w:rsid w:val="00D16E1E"/>
    <w:rsid w:val="00D21177"/>
    <w:rsid w:val="00D22643"/>
    <w:rsid w:val="00D228E4"/>
    <w:rsid w:val="00D249B9"/>
    <w:rsid w:val="00D2546B"/>
    <w:rsid w:val="00D273A4"/>
    <w:rsid w:val="00D27A87"/>
    <w:rsid w:val="00D36121"/>
    <w:rsid w:val="00D375D7"/>
    <w:rsid w:val="00D41617"/>
    <w:rsid w:val="00D43E08"/>
    <w:rsid w:val="00D4465D"/>
    <w:rsid w:val="00D446F3"/>
    <w:rsid w:val="00D454A4"/>
    <w:rsid w:val="00D459E3"/>
    <w:rsid w:val="00D47562"/>
    <w:rsid w:val="00D561AD"/>
    <w:rsid w:val="00D6002C"/>
    <w:rsid w:val="00D63876"/>
    <w:rsid w:val="00D640A8"/>
    <w:rsid w:val="00D6672A"/>
    <w:rsid w:val="00D67F73"/>
    <w:rsid w:val="00D7258D"/>
    <w:rsid w:val="00D73A4F"/>
    <w:rsid w:val="00D74574"/>
    <w:rsid w:val="00D7674D"/>
    <w:rsid w:val="00D772B3"/>
    <w:rsid w:val="00D77975"/>
    <w:rsid w:val="00D77C88"/>
    <w:rsid w:val="00D820A8"/>
    <w:rsid w:val="00D8239D"/>
    <w:rsid w:val="00D831D6"/>
    <w:rsid w:val="00D83257"/>
    <w:rsid w:val="00D84F96"/>
    <w:rsid w:val="00D852BA"/>
    <w:rsid w:val="00D85A13"/>
    <w:rsid w:val="00D862E8"/>
    <w:rsid w:val="00D90DAD"/>
    <w:rsid w:val="00D931E8"/>
    <w:rsid w:val="00D95E17"/>
    <w:rsid w:val="00DA1659"/>
    <w:rsid w:val="00DA4B48"/>
    <w:rsid w:val="00DA5FB4"/>
    <w:rsid w:val="00DA7DA6"/>
    <w:rsid w:val="00DB139B"/>
    <w:rsid w:val="00DB269C"/>
    <w:rsid w:val="00DB2E8B"/>
    <w:rsid w:val="00DB4384"/>
    <w:rsid w:val="00DB543A"/>
    <w:rsid w:val="00DB64FE"/>
    <w:rsid w:val="00DB79BC"/>
    <w:rsid w:val="00DC1270"/>
    <w:rsid w:val="00DC16D8"/>
    <w:rsid w:val="00DC5989"/>
    <w:rsid w:val="00DC5C68"/>
    <w:rsid w:val="00DC5E5C"/>
    <w:rsid w:val="00DD0068"/>
    <w:rsid w:val="00DD1147"/>
    <w:rsid w:val="00DD234A"/>
    <w:rsid w:val="00DD414C"/>
    <w:rsid w:val="00DD60CC"/>
    <w:rsid w:val="00DD6473"/>
    <w:rsid w:val="00DE052C"/>
    <w:rsid w:val="00DE1061"/>
    <w:rsid w:val="00DE1594"/>
    <w:rsid w:val="00DE16EE"/>
    <w:rsid w:val="00DE2095"/>
    <w:rsid w:val="00DE2C4A"/>
    <w:rsid w:val="00DE3124"/>
    <w:rsid w:val="00DE4B28"/>
    <w:rsid w:val="00DE5600"/>
    <w:rsid w:val="00DF01AC"/>
    <w:rsid w:val="00DF08D8"/>
    <w:rsid w:val="00DF3F5A"/>
    <w:rsid w:val="00DF4A51"/>
    <w:rsid w:val="00DF5136"/>
    <w:rsid w:val="00DF573C"/>
    <w:rsid w:val="00DF5D78"/>
    <w:rsid w:val="00DF7E4E"/>
    <w:rsid w:val="00E00470"/>
    <w:rsid w:val="00E049B0"/>
    <w:rsid w:val="00E0777E"/>
    <w:rsid w:val="00E10CF7"/>
    <w:rsid w:val="00E12DBC"/>
    <w:rsid w:val="00E16804"/>
    <w:rsid w:val="00E17A74"/>
    <w:rsid w:val="00E21738"/>
    <w:rsid w:val="00E25FBB"/>
    <w:rsid w:val="00E30C5B"/>
    <w:rsid w:val="00E3153B"/>
    <w:rsid w:val="00E33D02"/>
    <w:rsid w:val="00E3413D"/>
    <w:rsid w:val="00E34320"/>
    <w:rsid w:val="00E35A45"/>
    <w:rsid w:val="00E36A23"/>
    <w:rsid w:val="00E37154"/>
    <w:rsid w:val="00E37D88"/>
    <w:rsid w:val="00E40C59"/>
    <w:rsid w:val="00E40F0C"/>
    <w:rsid w:val="00E4278C"/>
    <w:rsid w:val="00E43D10"/>
    <w:rsid w:val="00E50861"/>
    <w:rsid w:val="00E5086E"/>
    <w:rsid w:val="00E51612"/>
    <w:rsid w:val="00E520B0"/>
    <w:rsid w:val="00E526A8"/>
    <w:rsid w:val="00E526BF"/>
    <w:rsid w:val="00E52E33"/>
    <w:rsid w:val="00E541B5"/>
    <w:rsid w:val="00E54542"/>
    <w:rsid w:val="00E54556"/>
    <w:rsid w:val="00E54D83"/>
    <w:rsid w:val="00E55A09"/>
    <w:rsid w:val="00E57F05"/>
    <w:rsid w:val="00E60E95"/>
    <w:rsid w:val="00E629D9"/>
    <w:rsid w:val="00E63FF5"/>
    <w:rsid w:val="00E65A11"/>
    <w:rsid w:val="00E65BCE"/>
    <w:rsid w:val="00E66939"/>
    <w:rsid w:val="00E71B4D"/>
    <w:rsid w:val="00E71C9B"/>
    <w:rsid w:val="00E831A7"/>
    <w:rsid w:val="00E8645E"/>
    <w:rsid w:val="00E87246"/>
    <w:rsid w:val="00E91B91"/>
    <w:rsid w:val="00E91C41"/>
    <w:rsid w:val="00E95C8E"/>
    <w:rsid w:val="00E95E37"/>
    <w:rsid w:val="00E95EC0"/>
    <w:rsid w:val="00E979B2"/>
    <w:rsid w:val="00EA01C6"/>
    <w:rsid w:val="00EA0A70"/>
    <w:rsid w:val="00EA2705"/>
    <w:rsid w:val="00EA4D1C"/>
    <w:rsid w:val="00EA7627"/>
    <w:rsid w:val="00EA7A81"/>
    <w:rsid w:val="00EB1661"/>
    <w:rsid w:val="00EB39BF"/>
    <w:rsid w:val="00EB6538"/>
    <w:rsid w:val="00EB7116"/>
    <w:rsid w:val="00EC05C2"/>
    <w:rsid w:val="00EC39AB"/>
    <w:rsid w:val="00EC4576"/>
    <w:rsid w:val="00EC7B7E"/>
    <w:rsid w:val="00ED00A6"/>
    <w:rsid w:val="00ED0138"/>
    <w:rsid w:val="00ED19DE"/>
    <w:rsid w:val="00ED2893"/>
    <w:rsid w:val="00ED2B9C"/>
    <w:rsid w:val="00ED34A8"/>
    <w:rsid w:val="00ED369A"/>
    <w:rsid w:val="00ED4873"/>
    <w:rsid w:val="00ED7DBE"/>
    <w:rsid w:val="00EE10D5"/>
    <w:rsid w:val="00EE17F0"/>
    <w:rsid w:val="00EE2080"/>
    <w:rsid w:val="00EE363C"/>
    <w:rsid w:val="00EE36B6"/>
    <w:rsid w:val="00EE7250"/>
    <w:rsid w:val="00EF352E"/>
    <w:rsid w:val="00F033B7"/>
    <w:rsid w:val="00F05256"/>
    <w:rsid w:val="00F114C2"/>
    <w:rsid w:val="00F1183B"/>
    <w:rsid w:val="00F120F6"/>
    <w:rsid w:val="00F122CA"/>
    <w:rsid w:val="00F14CAE"/>
    <w:rsid w:val="00F160EE"/>
    <w:rsid w:val="00F1658B"/>
    <w:rsid w:val="00F1687E"/>
    <w:rsid w:val="00F16B06"/>
    <w:rsid w:val="00F250B1"/>
    <w:rsid w:val="00F25665"/>
    <w:rsid w:val="00F263D9"/>
    <w:rsid w:val="00F37086"/>
    <w:rsid w:val="00F42CB1"/>
    <w:rsid w:val="00F4669F"/>
    <w:rsid w:val="00F47932"/>
    <w:rsid w:val="00F47B87"/>
    <w:rsid w:val="00F55604"/>
    <w:rsid w:val="00F566CC"/>
    <w:rsid w:val="00F5705E"/>
    <w:rsid w:val="00F61591"/>
    <w:rsid w:val="00F638E4"/>
    <w:rsid w:val="00F6448B"/>
    <w:rsid w:val="00F77D11"/>
    <w:rsid w:val="00F82991"/>
    <w:rsid w:val="00F837F1"/>
    <w:rsid w:val="00F83A7E"/>
    <w:rsid w:val="00F851AA"/>
    <w:rsid w:val="00F85ABC"/>
    <w:rsid w:val="00F8656A"/>
    <w:rsid w:val="00F871FB"/>
    <w:rsid w:val="00F87FC5"/>
    <w:rsid w:val="00F90DCF"/>
    <w:rsid w:val="00F917B3"/>
    <w:rsid w:val="00F94A7B"/>
    <w:rsid w:val="00F96119"/>
    <w:rsid w:val="00F96154"/>
    <w:rsid w:val="00F96DAD"/>
    <w:rsid w:val="00FA0A47"/>
    <w:rsid w:val="00FA0F3C"/>
    <w:rsid w:val="00FA1849"/>
    <w:rsid w:val="00FA2B9A"/>
    <w:rsid w:val="00FA4C8F"/>
    <w:rsid w:val="00FB0C8A"/>
    <w:rsid w:val="00FB419C"/>
    <w:rsid w:val="00FB4946"/>
    <w:rsid w:val="00FB6704"/>
    <w:rsid w:val="00FB7489"/>
    <w:rsid w:val="00FC3FF5"/>
    <w:rsid w:val="00FC4BB6"/>
    <w:rsid w:val="00FC67C5"/>
    <w:rsid w:val="00FD1344"/>
    <w:rsid w:val="00FD2828"/>
    <w:rsid w:val="00FD45FB"/>
    <w:rsid w:val="00FD4823"/>
    <w:rsid w:val="00FD6AEE"/>
    <w:rsid w:val="00FE1C6D"/>
    <w:rsid w:val="00FE3FDB"/>
    <w:rsid w:val="00FE53E9"/>
    <w:rsid w:val="00FE5422"/>
    <w:rsid w:val="00FE5CDC"/>
    <w:rsid w:val="00FE5E75"/>
    <w:rsid w:val="00FF1EA7"/>
    <w:rsid w:val="00FF1F4C"/>
    <w:rsid w:val="00FF2736"/>
    <w:rsid w:val="00FF3258"/>
    <w:rsid w:val="00FF4167"/>
    <w:rsid w:val="00FF46EE"/>
    <w:rsid w:val="00FF6AA4"/>
    <w:rsid w:val="00FF7A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5C0FD6"/>
  <w15:chartTrackingRefBased/>
  <w15:docId w15:val="{0ABEE96A-3AD4-4ED9-9A19-27DDBCDDD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DDC"/>
    <w:pPr>
      <w:suppressAutoHyphens/>
      <w:spacing w:line="252" w:lineRule="auto"/>
    </w:pPr>
    <w:rPr>
      <w:rFonts w:ascii="Calibri" w:eastAsia="DejaVu Sans" w:hAnsi="Calibri" w:cs="Calibri"/>
      <w:color w:val="00000A"/>
    </w:rPr>
  </w:style>
  <w:style w:type="paragraph" w:styleId="Titre1">
    <w:name w:val="heading 1"/>
    <w:basedOn w:val="Normal"/>
    <w:link w:val="Titre1Car"/>
    <w:uiPriority w:val="9"/>
    <w:qFormat/>
    <w:rsid w:val="00D47562"/>
    <w:pPr>
      <w:suppressAutoHyphens w:val="0"/>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fr-FR"/>
    </w:rPr>
  </w:style>
  <w:style w:type="paragraph" w:styleId="Titre2">
    <w:name w:val="heading 2"/>
    <w:basedOn w:val="Normal"/>
    <w:next w:val="Normal"/>
    <w:link w:val="Titre2Car"/>
    <w:uiPriority w:val="9"/>
    <w:unhideWhenUsed/>
    <w:qFormat/>
    <w:rsid w:val="001D4C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5551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E5086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F4B09"/>
    <w:pPr>
      <w:ind w:left="720"/>
      <w:contextualSpacing/>
    </w:pPr>
  </w:style>
  <w:style w:type="character" w:styleId="Lienhypertexte">
    <w:name w:val="Hyperlink"/>
    <w:basedOn w:val="Policepardfaut"/>
    <w:uiPriority w:val="99"/>
    <w:unhideWhenUsed/>
    <w:rsid w:val="00372208"/>
    <w:rPr>
      <w:color w:val="0563C1" w:themeColor="hyperlink"/>
      <w:u w:val="single"/>
    </w:rPr>
  </w:style>
  <w:style w:type="character" w:customStyle="1" w:styleId="Titre1Car">
    <w:name w:val="Titre 1 Car"/>
    <w:basedOn w:val="Policepardfaut"/>
    <w:link w:val="Titre1"/>
    <w:uiPriority w:val="9"/>
    <w:rsid w:val="00D47562"/>
    <w:rPr>
      <w:rFonts w:ascii="Times New Roman" w:eastAsia="Times New Roman" w:hAnsi="Times New Roman" w:cs="Times New Roman"/>
      <w:b/>
      <w:bCs/>
      <w:kern w:val="36"/>
      <w:sz w:val="48"/>
      <w:szCs w:val="48"/>
      <w:lang w:eastAsia="fr-FR"/>
    </w:rPr>
  </w:style>
  <w:style w:type="paragraph" w:styleId="En-tte">
    <w:name w:val="header"/>
    <w:basedOn w:val="Normal"/>
    <w:link w:val="En-tteCar"/>
    <w:uiPriority w:val="99"/>
    <w:unhideWhenUsed/>
    <w:rsid w:val="00553076"/>
    <w:pPr>
      <w:tabs>
        <w:tab w:val="center" w:pos="4536"/>
        <w:tab w:val="right" w:pos="9072"/>
      </w:tabs>
      <w:spacing w:after="0" w:line="240" w:lineRule="auto"/>
    </w:pPr>
  </w:style>
  <w:style w:type="character" w:customStyle="1" w:styleId="En-tteCar">
    <w:name w:val="En-tête Car"/>
    <w:basedOn w:val="Policepardfaut"/>
    <w:link w:val="En-tte"/>
    <w:uiPriority w:val="99"/>
    <w:rsid w:val="00553076"/>
    <w:rPr>
      <w:rFonts w:ascii="Calibri" w:eastAsia="DejaVu Sans" w:hAnsi="Calibri" w:cs="Calibri"/>
      <w:color w:val="00000A"/>
    </w:rPr>
  </w:style>
  <w:style w:type="paragraph" w:styleId="Pieddepage">
    <w:name w:val="footer"/>
    <w:basedOn w:val="Normal"/>
    <w:link w:val="PieddepageCar"/>
    <w:uiPriority w:val="99"/>
    <w:unhideWhenUsed/>
    <w:rsid w:val="005530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3076"/>
    <w:rPr>
      <w:rFonts w:ascii="Calibri" w:eastAsia="DejaVu Sans" w:hAnsi="Calibri" w:cs="Calibri"/>
      <w:color w:val="00000A"/>
    </w:rPr>
  </w:style>
  <w:style w:type="table" w:styleId="Grilledutableau">
    <w:name w:val="Table Grid"/>
    <w:basedOn w:val="TableauNormal"/>
    <w:uiPriority w:val="39"/>
    <w:rsid w:val="007A42A6"/>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m-vol-iss-date">
    <w:name w:val="fm-vol-iss-date"/>
    <w:basedOn w:val="Policepardfaut"/>
    <w:rsid w:val="00481797"/>
  </w:style>
  <w:style w:type="character" w:customStyle="1" w:styleId="doi">
    <w:name w:val="doi"/>
    <w:basedOn w:val="Policepardfaut"/>
    <w:rsid w:val="00481797"/>
  </w:style>
  <w:style w:type="character" w:customStyle="1" w:styleId="a">
    <w:name w:val="_"/>
    <w:basedOn w:val="Policepardfaut"/>
    <w:rsid w:val="00C55FDF"/>
  </w:style>
  <w:style w:type="character" w:customStyle="1" w:styleId="ff3">
    <w:name w:val="ff3"/>
    <w:basedOn w:val="Policepardfaut"/>
    <w:rsid w:val="00C55FDF"/>
  </w:style>
  <w:style w:type="character" w:customStyle="1" w:styleId="ff4">
    <w:name w:val="ff4"/>
    <w:basedOn w:val="Policepardfaut"/>
    <w:rsid w:val="00C55FDF"/>
  </w:style>
  <w:style w:type="paragraph" w:customStyle="1" w:styleId="Default">
    <w:name w:val="Default"/>
    <w:rsid w:val="0013281A"/>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Sansinterligne">
    <w:name w:val="No Spacing"/>
    <w:uiPriority w:val="1"/>
    <w:qFormat/>
    <w:rsid w:val="00905C80"/>
    <w:pPr>
      <w:suppressAutoHyphens/>
      <w:spacing w:after="0" w:line="240" w:lineRule="auto"/>
    </w:pPr>
    <w:rPr>
      <w:rFonts w:ascii="Calibri" w:eastAsia="DejaVu Sans" w:hAnsi="Calibri" w:cs="Calibri"/>
      <w:color w:val="00000A"/>
    </w:rPr>
  </w:style>
  <w:style w:type="paragraph" w:styleId="Titre">
    <w:name w:val="Title"/>
    <w:basedOn w:val="Normal"/>
    <w:next w:val="Normal"/>
    <w:link w:val="TitreCar"/>
    <w:uiPriority w:val="10"/>
    <w:qFormat/>
    <w:rsid w:val="00905C8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905C8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05C80"/>
    <w:pPr>
      <w:numPr>
        <w:ilvl w:val="1"/>
      </w:numPr>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uiPriority w:val="11"/>
    <w:rsid w:val="00905C80"/>
    <w:rPr>
      <w:rFonts w:eastAsiaTheme="minorEastAsia"/>
      <w:color w:val="5A5A5A" w:themeColor="text1" w:themeTint="A5"/>
      <w:spacing w:val="15"/>
    </w:rPr>
  </w:style>
  <w:style w:type="character" w:styleId="lev">
    <w:name w:val="Strong"/>
    <w:basedOn w:val="Policepardfaut"/>
    <w:uiPriority w:val="22"/>
    <w:qFormat/>
    <w:rsid w:val="00905C80"/>
    <w:rPr>
      <w:b/>
      <w:bCs/>
    </w:rPr>
  </w:style>
  <w:style w:type="character" w:customStyle="1" w:styleId="Titre2Car">
    <w:name w:val="Titre 2 Car"/>
    <w:basedOn w:val="Policepardfaut"/>
    <w:link w:val="Titre2"/>
    <w:uiPriority w:val="9"/>
    <w:rsid w:val="001D4C2E"/>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5551B5"/>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E50861"/>
    <w:rPr>
      <w:rFonts w:asciiTheme="majorHAnsi" w:eastAsiaTheme="majorEastAsia" w:hAnsiTheme="majorHAnsi" w:cstheme="majorBidi"/>
      <w:i/>
      <w:iCs/>
      <w:color w:val="2E74B5" w:themeColor="accent1" w:themeShade="BF"/>
    </w:rPr>
  </w:style>
  <w:style w:type="paragraph" w:styleId="En-ttedetabledesmatires">
    <w:name w:val="TOC Heading"/>
    <w:basedOn w:val="Titre1"/>
    <w:next w:val="Normal"/>
    <w:uiPriority w:val="39"/>
    <w:unhideWhenUsed/>
    <w:qFormat/>
    <w:rsid w:val="00450377"/>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M2">
    <w:name w:val="toc 2"/>
    <w:basedOn w:val="Normal"/>
    <w:next w:val="Normal"/>
    <w:autoRedefine/>
    <w:uiPriority w:val="39"/>
    <w:unhideWhenUsed/>
    <w:rsid w:val="00450377"/>
    <w:pPr>
      <w:suppressAutoHyphens w:val="0"/>
      <w:spacing w:after="100" w:line="259" w:lineRule="auto"/>
      <w:ind w:left="220"/>
    </w:pPr>
    <w:rPr>
      <w:rFonts w:asciiTheme="minorHAnsi" w:eastAsiaTheme="minorEastAsia" w:hAnsiTheme="minorHAnsi" w:cs="Times New Roman"/>
      <w:color w:val="auto"/>
      <w:lang w:eastAsia="fr-FR"/>
    </w:rPr>
  </w:style>
  <w:style w:type="paragraph" w:styleId="TM1">
    <w:name w:val="toc 1"/>
    <w:basedOn w:val="Normal"/>
    <w:next w:val="Normal"/>
    <w:autoRedefine/>
    <w:uiPriority w:val="39"/>
    <w:unhideWhenUsed/>
    <w:rsid w:val="00450377"/>
    <w:pPr>
      <w:suppressAutoHyphens w:val="0"/>
      <w:spacing w:after="100" w:line="259" w:lineRule="auto"/>
    </w:pPr>
    <w:rPr>
      <w:rFonts w:asciiTheme="minorHAnsi" w:eastAsiaTheme="minorEastAsia" w:hAnsiTheme="minorHAnsi" w:cs="Times New Roman"/>
      <w:color w:val="auto"/>
      <w:lang w:eastAsia="fr-FR"/>
    </w:rPr>
  </w:style>
  <w:style w:type="paragraph" w:styleId="TM3">
    <w:name w:val="toc 3"/>
    <w:basedOn w:val="Normal"/>
    <w:next w:val="Normal"/>
    <w:autoRedefine/>
    <w:uiPriority w:val="39"/>
    <w:unhideWhenUsed/>
    <w:rsid w:val="00450377"/>
    <w:pPr>
      <w:suppressAutoHyphens w:val="0"/>
      <w:spacing w:after="100" w:line="259" w:lineRule="auto"/>
      <w:ind w:left="440"/>
    </w:pPr>
    <w:rPr>
      <w:rFonts w:asciiTheme="minorHAnsi" w:eastAsiaTheme="minorEastAsia" w:hAnsiTheme="minorHAnsi" w:cs="Times New Roman"/>
      <w:color w:val="auto"/>
      <w:lang w:eastAsia="fr-FR"/>
    </w:rPr>
  </w:style>
  <w:style w:type="paragraph" w:styleId="TM4">
    <w:name w:val="toc 4"/>
    <w:basedOn w:val="Normal"/>
    <w:next w:val="Normal"/>
    <w:autoRedefine/>
    <w:uiPriority w:val="39"/>
    <w:unhideWhenUsed/>
    <w:rsid w:val="00450377"/>
    <w:pPr>
      <w:spacing w:after="100"/>
      <w:ind w:left="660"/>
    </w:pPr>
  </w:style>
  <w:style w:type="table" w:styleId="TableauListe6Couleur-Accentuation3">
    <w:name w:val="List Table 6 Colorful Accent 3"/>
    <w:basedOn w:val="TableauNormal"/>
    <w:uiPriority w:val="51"/>
    <w:rsid w:val="00C9275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Marquedecommentaire">
    <w:name w:val="annotation reference"/>
    <w:basedOn w:val="Policepardfaut"/>
    <w:uiPriority w:val="99"/>
    <w:semiHidden/>
    <w:unhideWhenUsed/>
    <w:rsid w:val="002B265C"/>
    <w:rPr>
      <w:sz w:val="16"/>
      <w:szCs w:val="16"/>
    </w:rPr>
  </w:style>
  <w:style w:type="paragraph" w:styleId="Commentaire">
    <w:name w:val="annotation text"/>
    <w:basedOn w:val="Normal"/>
    <w:link w:val="CommentaireCar"/>
    <w:uiPriority w:val="99"/>
    <w:semiHidden/>
    <w:unhideWhenUsed/>
    <w:rsid w:val="002B265C"/>
    <w:pPr>
      <w:spacing w:line="240" w:lineRule="auto"/>
    </w:pPr>
    <w:rPr>
      <w:sz w:val="20"/>
      <w:szCs w:val="20"/>
    </w:rPr>
  </w:style>
  <w:style w:type="character" w:customStyle="1" w:styleId="CommentaireCar">
    <w:name w:val="Commentaire Car"/>
    <w:basedOn w:val="Policepardfaut"/>
    <w:link w:val="Commentaire"/>
    <w:uiPriority w:val="99"/>
    <w:semiHidden/>
    <w:rsid w:val="002B265C"/>
    <w:rPr>
      <w:rFonts w:ascii="Calibri" w:eastAsia="DejaVu Sans" w:hAnsi="Calibri" w:cs="Calibri"/>
      <w:color w:val="00000A"/>
      <w:sz w:val="20"/>
      <w:szCs w:val="20"/>
    </w:rPr>
  </w:style>
  <w:style w:type="paragraph" w:styleId="Objetducommentaire">
    <w:name w:val="annotation subject"/>
    <w:basedOn w:val="Commentaire"/>
    <w:next w:val="Commentaire"/>
    <w:link w:val="ObjetducommentaireCar"/>
    <w:uiPriority w:val="99"/>
    <w:semiHidden/>
    <w:unhideWhenUsed/>
    <w:rsid w:val="002B265C"/>
    <w:rPr>
      <w:b/>
      <w:bCs/>
    </w:rPr>
  </w:style>
  <w:style w:type="character" w:customStyle="1" w:styleId="ObjetducommentaireCar">
    <w:name w:val="Objet du commentaire Car"/>
    <w:basedOn w:val="CommentaireCar"/>
    <w:link w:val="Objetducommentaire"/>
    <w:uiPriority w:val="99"/>
    <w:semiHidden/>
    <w:rsid w:val="002B265C"/>
    <w:rPr>
      <w:rFonts w:ascii="Calibri" w:eastAsia="DejaVu Sans" w:hAnsi="Calibri" w:cs="Calibri"/>
      <w:b/>
      <w:bCs/>
      <w:color w:val="00000A"/>
      <w:sz w:val="20"/>
      <w:szCs w:val="20"/>
    </w:rPr>
  </w:style>
  <w:style w:type="paragraph" w:styleId="Textedebulles">
    <w:name w:val="Balloon Text"/>
    <w:basedOn w:val="Normal"/>
    <w:link w:val="TextedebullesCar"/>
    <w:uiPriority w:val="99"/>
    <w:semiHidden/>
    <w:unhideWhenUsed/>
    <w:rsid w:val="002B26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B265C"/>
    <w:rPr>
      <w:rFonts w:ascii="Segoe UI" w:eastAsia="DejaVu Sans" w:hAnsi="Segoe UI" w:cs="Segoe UI"/>
      <w:color w:val="00000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7498">
      <w:bodyDiv w:val="1"/>
      <w:marLeft w:val="0"/>
      <w:marRight w:val="0"/>
      <w:marTop w:val="0"/>
      <w:marBottom w:val="0"/>
      <w:divBdr>
        <w:top w:val="none" w:sz="0" w:space="0" w:color="auto"/>
        <w:left w:val="none" w:sz="0" w:space="0" w:color="auto"/>
        <w:bottom w:val="none" w:sz="0" w:space="0" w:color="auto"/>
        <w:right w:val="none" w:sz="0" w:space="0" w:color="auto"/>
      </w:divBdr>
      <w:divsChild>
        <w:div w:id="89393816">
          <w:marLeft w:val="0"/>
          <w:marRight w:val="0"/>
          <w:marTop w:val="0"/>
          <w:marBottom w:val="0"/>
          <w:divBdr>
            <w:top w:val="none" w:sz="0" w:space="0" w:color="auto"/>
            <w:left w:val="none" w:sz="0" w:space="0" w:color="auto"/>
            <w:bottom w:val="none" w:sz="0" w:space="0" w:color="auto"/>
            <w:right w:val="none" w:sz="0" w:space="0" w:color="auto"/>
          </w:divBdr>
        </w:div>
        <w:div w:id="128476604">
          <w:marLeft w:val="0"/>
          <w:marRight w:val="0"/>
          <w:marTop w:val="0"/>
          <w:marBottom w:val="0"/>
          <w:divBdr>
            <w:top w:val="none" w:sz="0" w:space="0" w:color="auto"/>
            <w:left w:val="none" w:sz="0" w:space="0" w:color="auto"/>
            <w:bottom w:val="none" w:sz="0" w:space="0" w:color="auto"/>
            <w:right w:val="none" w:sz="0" w:space="0" w:color="auto"/>
          </w:divBdr>
        </w:div>
        <w:div w:id="324473926">
          <w:marLeft w:val="0"/>
          <w:marRight w:val="0"/>
          <w:marTop w:val="0"/>
          <w:marBottom w:val="0"/>
          <w:divBdr>
            <w:top w:val="none" w:sz="0" w:space="0" w:color="auto"/>
            <w:left w:val="none" w:sz="0" w:space="0" w:color="auto"/>
            <w:bottom w:val="none" w:sz="0" w:space="0" w:color="auto"/>
            <w:right w:val="none" w:sz="0" w:space="0" w:color="auto"/>
          </w:divBdr>
        </w:div>
        <w:div w:id="1095712038">
          <w:marLeft w:val="0"/>
          <w:marRight w:val="0"/>
          <w:marTop w:val="0"/>
          <w:marBottom w:val="0"/>
          <w:divBdr>
            <w:top w:val="none" w:sz="0" w:space="0" w:color="auto"/>
            <w:left w:val="none" w:sz="0" w:space="0" w:color="auto"/>
            <w:bottom w:val="none" w:sz="0" w:space="0" w:color="auto"/>
            <w:right w:val="none" w:sz="0" w:space="0" w:color="auto"/>
          </w:divBdr>
        </w:div>
        <w:div w:id="1152412009">
          <w:marLeft w:val="0"/>
          <w:marRight w:val="0"/>
          <w:marTop w:val="0"/>
          <w:marBottom w:val="0"/>
          <w:divBdr>
            <w:top w:val="none" w:sz="0" w:space="0" w:color="auto"/>
            <w:left w:val="none" w:sz="0" w:space="0" w:color="auto"/>
            <w:bottom w:val="none" w:sz="0" w:space="0" w:color="auto"/>
            <w:right w:val="none" w:sz="0" w:space="0" w:color="auto"/>
          </w:divBdr>
        </w:div>
        <w:div w:id="1369986471">
          <w:marLeft w:val="0"/>
          <w:marRight w:val="0"/>
          <w:marTop w:val="0"/>
          <w:marBottom w:val="0"/>
          <w:divBdr>
            <w:top w:val="none" w:sz="0" w:space="0" w:color="auto"/>
            <w:left w:val="none" w:sz="0" w:space="0" w:color="auto"/>
            <w:bottom w:val="none" w:sz="0" w:space="0" w:color="auto"/>
            <w:right w:val="none" w:sz="0" w:space="0" w:color="auto"/>
          </w:divBdr>
        </w:div>
        <w:div w:id="1679694244">
          <w:marLeft w:val="0"/>
          <w:marRight w:val="0"/>
          <w:marTop w:val="0"/>
          <w:marBottom w:val="0"/>
          <w:divBdr>
            <w:top w:val="none" w:sz="0" w:space="0" w:color="auto"/>
            <w:left w:val="none" w:sz="0" w:space="0" w:color="auto"/>
            <w:bottom w:val="none" w:sz="0" w:space="0" w:color="auto"/>
            <w:right w:val="none" w:sz="0" w:space="0" w:color="auto"/>
          </w:divBdr>
        </w:div>
        <w:div w:id="2068336027">
          <w:marLeft w:val="0"/>
          <w:marRight w:val="0"/>
          <w:marTop w:val="0"/>
          <w:marBottom w:val="0"/>
          <w:divBdr>
            <w:top w:val="none" w:sz="0" w:space="0" w:color="auto"/>
            <w:left w:val="none" w:sz="0" w:space="0" w:color="auto"/>
            <w:bottom w:val="none" w:sz="0" w:space="0" w:color="auto"/>
            <w:right w:val="none" w:sz="0" w:space="0" w:color="auto"/>
          </w:divBdr>
        </w:div>
      </w:divsChild>
    </w:div>
    <w:div w:id="49426964">
      <w:bodyDiv w:val="1"/>
      <w:marLeft w:val="0"/>
      <w:marRight w:val="0"/>
      <w:marTop w:val="0"/>
      <w:marBottom w:val="0"/>
      <w:divBdr>
        <w:top w:val="none" w:sz="0" w:space="0" w:color="auto"/>
        <w:left w:val="none" w:sz="0" w:space="0" w:color="auto"/>
        <w:bottom w:val="none" w:sz="0" w:space="0" w:color="auto"/>
        <w:right w:val="none" w:sz="0" w:space="0" w:color="auto"/>
      </w:divBdr>
      <w:divsChild>
        <w:div w:id="220292614">
          <w:marLeft w:val="0"/>
          <w:marRight w:val="0"/>
          <w:marTop w:val="0"/>
          <w:marBottom w:val="0"/>
          <w:divBdr>
            <w:top w:val="none" w:sz="0" w:space="0" w:color="auto"/>
            <w:left w:val="none" w:sz="0" w:space="0" w:color="auto"/>
            <w:bottom w:val="none" w:sz="0" w:space="0" w:color="auto"/>
            <w:right w:val="none" w:sz="0" w:space="0" w:color="auto"/>
          </w:divBdr>
        </w:div>
        <w:div w:id="287322992">
          <w:marLeft w:val="0"/>
          <w:marRight w:val="0"/>
          <w:marTop w:val="0"/>
          <w:marBottom w:val="0"/>
          <w:divBdr>
            <w:top w:val="none" w:sz="0" w:space="0" w:color="auto"/>
            <w:left w:val="none" w:sz="0" w:space="0" w:color="auto"/>
            <w:bottom w:val="none" w:sz="0" w:space="0" w:color="auto"/>
            <w:right w:val="none" w:sz="0" w:space="0" w:color="auto"/>
          </w:divBdr>
        </w:div>
        <w:div w:id="348340889">
          <w:marLeft w:val="0"/>
          <w:marRight w:val="0"/>
          <w:marTop w:val="0"/>
          <w:marBottom w:val="0"/>
          <w:divBdr>
            <w:top w:val="none" w:sz="0" w:space="0" w:color="auto"/>
            <w:left w:val="none" w:sz="0" w:space="0" w:color="auto"/>
            <w:bottom w:val="none" w:sz="0" w:space="0" w:color="auto"/>
            <w:right w:val="none" w:sz="0" w:space="0" w:color="auto"/>
          </w:divBdr>
        </w:div>
        <w:div w:id="407534835">
          <w:marLeft w:val="0"/>
          <w:marRight w:val="0"/>
          <w:marTop w:val="0"/>
          <w:marBottom w:val="0"/>
          <w:divBdr>
            <w:top w:val="none" w:sz="0" w:space="0" w:color="auto"/>
            <w:left w:val="none" w:sz="0" w:space="0" w:color="auto"/>
            <w:bottom w:val="none" w:sz="0" w:space="0" w:color="auto"/>
            <w:right w:val="none" w:sz="0" w:space="0" w:color="auto"/>
          </w:divBdr>
        </w:div>
        <w:div w:id="428046085">
          <w:marLeft w:val="0"/>
          <w:marRight w:val="0"/>
          <w:marTop w:val="0"/>
          <w:marBottom w:val="0"/>
          <w:divBdr>
            <w:top w:val="none" w:sz="0" w:space="0" w:color="auto"/>
            <w:left w:val="none" w:sz="0" w:space="0" w:color="auto"/>
            <w:bottom w:val="none" w:sz="0" w:space="0" w:color="auto"/>
            <w:right w:val="none" w:sz="0" w:space="0" w:color="auto"/>
          </w:divBdr>
        </w:div>
        <w:div w:id="998070785">
          <w:marLeft w:val="0"/>
          <w:marRight w:val="0"/>
          <w:marTop w:val="0"/>
          <w:marBottom w:val="0"/>
          <w:divBdr>
            <w:top w:val="none" w:sz="0" w:space="0" w:color="auto"/>
            <w:left w:val="none" w:sz="0" w:space="0" w:color="auto"/>
            <w:bottom w:val="none" w:sz="0" w:space="0" w:color="auto"/>
            <w:right w:val="none" w:sz="0" w:space="0" w:color="auto"/>
          </w:divBdr>
        </w:div>
        <w:div w:id="1437555631">
          <w:marLeft w:val="0"/>
          <w:marRight w:val="0"/>
          <w:marTop w:val="0"/>
          <w:marBottom w:val="0"/>
          <w:divBdr>
            <w:top w:val="none" w:sz="0" w:space="0" w:color="auto"/>
            <w:left w:val="none" w:sz="0" w:space="0" w:color="auto"/>
            <w:bottom w:val="none" w:sz="0" w:space="0" w:color="auto"/>
            <w:right w:val="none" w:sz="0" w:space="0" w:color="auto"/>
          </w:divBdr>
        </w:div>
        <w:div w:id="1761678926">
          <w:marLeft w:val="0"/>
          <w:marRight w:val="0"/>
          <w:marTop w:val="0"/>
          <w:marBottom w:val="0"/>
          <w:divBdr>
            <w:top w:val="none" w:sz="0" w:space="0" w:color="auto"/>
            <w:left w:val="none" w:sz="0" w:space="0" w:color="auto"/>
            <w:bottom w:val="none" w:sz="0" w:space="0" w:color="auto"/>
            <w:right w:val="none" w:sz="0" w:space="0" w:color="auto"/>
          </w:divBdr>
        </w:div>
      </w:divsChild>
    </w:div>
    <w:div w:id="70810990">
      <w:bodyDiv w:val="1"/>
      <w:marLeft w:val="0"/>
      <w:marRight w:val="0"/>
      <w:marTop w:val="0"/>
      <w:marBottom w:val="0"/>
      <w:divBdr>
        <w:top w:val="none" w:sz="0" w:space="0" w:color="auto"/>
        <w:left w:val="none" w:sz="0" w:space="0" w:color="auto"/>
        <w:bottom w:val="none" w:sz="0" w:space="0" w:color="auto"/>
        <w:right w:val="none" w:sz="0" w:space="0" w:color="auto"/>
      </w:divBdr>
      <w:divsChild>
        <w:div w:id="322053757">
          <w:marLeft w:val="0"/>
          <w:marRight w:val="0"/>
          <w:marTop w:val="0"/>
          <w:marBottom w:val="0"/>
          <w:divBdr>
            <w:top w:val="none" w:sz="0" w:space="0" w:color="auto"/>
            <w:left w:val="none" w:sz="0" w:space="0" w:color="auto"/>
            <w:bottom w:val="none" w:sz="0" w:space="0" w:color="auto"/>
            <w:right w:val="none" w:sz="0" w:space="0" w:color="auto"/>
          </w:divBdr>
        </w:div>
        <w:div w:id="654722792">
          <w:marLeft w:val="0"/>
          <w:marRight w:val="0"/>
          <w:marTop w:val="0"/>
          <w:marBottom w:val="0"/>
          <w:divBdr>
            <w:top w:val="none" w:sz="0" w:space="0" w:color="auto"/>
            <w:left w:val="none" w:sz="0" w:space="0" w:color="auto"/>
            <w:bottom w:val="none" w:sz="0" w:space="0" w:color="auto"/>
            <w:right w:val="none" w:sz="0" w:space="0" w:color="auto"/>
          </w:divBdr>
        </w:div>
        <w:div w:id="679160603">
          <w:marLeft w:val="0"/>
          <w:marRight w:val="0"/>
          <w:marTop w:val="0"/>
          <w:marBottom w:val="0"/>
          <w:divBdr>
            <w:top w:val="none" w:sz="0" w:space="0" w:color="auto"/>
            <w:left w:val="none" w:sz="0" w:space="0" w:color="auto"/>
            <w:bottom w:val="none" w:sz="0" w:space="0" w:color="auto"/>
            <w:right w:val="none" w:sz="0" w:space="0" w:color="auto"/>
          </w:divBdr>
        </w:div>
        <w:div w:id="780563892">
          <w:marLeft w:val="0"/>
          <w:marRight w:val="0"/>
          <w:marTop w:val="0"/>
          <w:marBottom w:val="0"/>
          <w:divBdr>
            <w:top w:val="none" w:sz="0" w:space="0" w:color="auto"/>
            <w:left w:val="none" w:sz="0" w:space="0" w:color="auto"/>
            <w:bottom w:val="none" w:sz="0" w:space="0" w:color="auto"/>
            <w:right w:val="none" w:sz="0" w:space="0" w:color="auto"/>
          </w:divBdr>
        </w:div>
        <w:div w:id="937906215">
          <w:marLeft w:val="0"/>
          <w:marRight w:val="0"/>
          <w:marTop w:val="0"/>
          <w:marBottom w:val="0"/>
          <w:divBdr>
            <w:top w:val="none" w:sz="0" w:space="0" w:color="auto"/>
            <w:left w:val="none" w:sz="0" w:space="0" w:color="auto"/>
            <w:bottom w:val="none" w:sz="0" w:space="0" w:color="auto"/>
            <w:right w:val="none" w:sz="0" w:space="0" w:color="auto"/>
          </w:divBdr>
        </w:div>
        <w:div w:id="1233660918">
          <w:marLeft w:val="0"/>
          <w:marRight w:val="0"/>
          <w:marTop w:val="0"/>
          <w:marBottom w:val="0"/>
          <w:divBdr>
            <w:top w:val="none" w:sz="0" w:space="0" w:color="auto"/>
            <w:left w:val="none" w:sz="0" w:space="0" w:color="auto"/>
            <w:bottom w:val="none" w:sz="0" w:space="0" w:color="auto"/>
            <w:right w:val="none" w:sz="0" w:space="0" w:color="auto"/>
          </w:divBdr>
        </w:div>
        <w:div w:id="1401096187">
          <w:marLeft w:val="0"/>
          <w:marRight w:val="0"/>
          <w:marTop w:val="0"/>
          <w:marBottom w:val="0"/>
          <w:divBdr>
            <w:top w:val="none" w:sz="0" w:space="0" w:color="auto"/>
            <w:left w:val="none" w:sz="0" w:space="0" w:color="auto"/>
            <w:bottom w:val="none" w:sz="0" w:space="0" w:color="auto"/>
            <w:right w:val="none" w:sz="0" w:space="0" w:color="auto"/>
          </w:divBdr>
        </w:div>
        <w:div w:id="1480615357">
          <w:marLeft w:val="0"/>
          <w:marRight w:val="0"/>
          <w:marTop w:val="0"/>
          <w:marBottom w:val="0"/>
          <w:divBdr>
            <w:top w:val="none" w:sz="0" w:space="0" w:color="auto"/>
            <w:left w:val="none" w:sz="0" w:space="0" w:color="auto"/>
            <w:bottom w:val="none" w:sz="0" w:space="0" w:color="auto"/>
            <w:right w:val="none" w:sz="0" w:space="0" w:color="auto"/>
          </w:divBdr>
        </w:div>
      </w:divsChild>
    </w:div>
    <w:div w:id="81606717">
      <w:bodyDiv w:val="1"/>
      <w:marLeft w:val="0"/>
      <w:marRight w:val="0"/>
      <w:marTop w:val="0"/>
      <w:marBottom w:val="0"/>
      <w:divBdr>
        <w:top w:val="none" w:sz="0" w:space="0" w:color="auto"/>
        <w:left w:val="none" w:sz="0" w:space="0" w:color="auto"/>
        <w:bottom w:val="none" w:sz="0" w:space="0" w:color="auto"/>
        <w:right w:val="none" w:sz="0" w:space="0" w:color="auto"/>
      </w:divBdr>
      <w:divsChild>
        <w:div w:id="113063769">
          <w:marLeft w:val="0"/>
          <w:marRight w:val="0"/>
          <w:marTop w:val="0"/>
          <w:marBottom w:val="0"/>
          <w:divBdr>
            <w:top w:val="none" w:sz="0" w:space="0" w:color="auto"/>
            <w:left w:val="none" w:sz="0" w:space="0" w:color="auto"/>
            <w:bottom w:val="none" w:sz="0" w:space="0" w:color="auto"/>
            <w:right w:val="none" w:sz="0" w:space="0" w:color="auto"/>
          </w:divBdr>
        </w:div>
        <w:div w:id="400518433">
          <w:marLeft w:val="0"/>
          <w:marRight w:val="0"/>
          <w:marTop w:val="0"/>
          <w:marBottom w:val="0"/>
          <w:divBdr>
            <w:top w:val="none" w:sz="0" w:space="0" w:color="auto"/>
            <w:left w:val="none" w:sz="0" w:space="0" w:color="auto"/>
            <w:bottom w:val="none" w:sz="0" w:space="0" w:color="auto"/>
            <w:right w:val="none" w:sz="0" w:space="0" w:color="auto"/>
          </w:divBdr>
        </w:div>
        <w:div w:id="987514037">
          <w:marLeft w:val="0"/>
          <w:marRight w:val="0"/>
          <w:marTop w:val="0"/>
          <w:marBottom w:val="0"/>
          <w:divBdr>
            <w:top w:val="none" w:sz="0" w:space="0" w:color="auto"/>
            <w:left w:val="none" w:sz="0" w:space="0" w:color="auto"/>
            <w:bottom w:val="none" w:sz="0" w:space="0" w:color="auto"/>
            <w:right w:val="none" w:sz="0" w:space="0" w:color="auto"/>
          </w:divBdr>
        </w:div>
        <w:div w:id="1072773317">
          <w:marLeft w:val="0"/>
          <w:marRight w:val="0"/>
          <w:marTop w:val="0"/>
          <w:marBottom w:val="0"/>
          <w:divBdr>
            <w:top w:val="none" w:sz="0" w:space="0" w:color="auto"/>
            <w:left w:val="none" w:sz="0" w:space="0" w:color="auto"/>
            <w:bottom w:val="none" w:sz="0" w:space="0" w:color="auto"/>
            <w:right w:val="none" w:sz="0" w:space="0" w:color="auto"/>
          </w:divBdr>
        </w:div>
        <w:div w:id="1146049003">
          <w:marLeft w:val="0"/>
          <w:marRight w:val="0"/>
          <w:marTop w:val="0"/>
          <w:marBottom w:val="0"/>
          <w:divBdr>
            <w:top w:val="none" w:sz="0" w:space="0" w:color="auto"/>
            <w:left w:val="none" w:sz="0" w:space="0" w:color="auto"/>
            <w:bottom w:val="none" w:sz="0" w:space="0" w:color="auto"/>
            <w:right w:val="none" w:sz="0" w:space="0" w:color="auto"/>
          </w:divBdr>
        </w:div>
        <w:div w:id="1610577455">
          <w:marLeft w:val="0"/>
          <w:marRight w:val="0"/>
          <w:marTop w:val="0"/>
          <w:marBottom w:val="0"/>
          <w:divBdr>
            <w:top w:val="none" w:sz="0" w:space="0" w:color="auto"/>
            <w:left w:val="none" w:sz="0" w:space="0" w:color="auto"/>
            <w:bottom w:val="none" w:sz="0" w:space="0" w:color="auto"/>
            <w:right w:val="none" w:sz="0" w:space="0" w:color="auto"/>
          </w:divBdr>
        </w:div>
        <w:div w:id="1759714548">
          <w:marLeft w:val="0"/>
          <w:marRight w:val="0"/>
          <w:marTop w:val="0"/>
          <w:marBottom w:val="0"/>
          <w:divBdr>
            <w:top w:val="none" w:sz="0" w:space="0" w:color="auto"/>
            <w:left w:val="none" w:sz="0" w:space="0" w:color="auto"/>
            <w:bottom w:val="none" w:sz="0" w:space="0" w:color="auto"/>
            <w:right w:val="none" w:sz="0" w:space="0" w:color="auto"/>
          </w:divBdr>
        </w:div>
        <w:div w:id="1992977799">
          <w:marLeft w:val="0"/>
          <w:marRight w:val="0"/>
          <w:marTop w:val="0"/>
          <w:marBottom w:val="0"/>
          <w:divBdr>
            <w:top w:val="none" w:sz="0" w:space="0" w:color="auto"/>
            <w:left w:val="none" w:sz="0" w:space="0" w:color="auto"/>
            <w:bottom w:val="none" w:sz="0" w:space="0" w:color="auto"/>
            <w:right w:val="none" w:sz="0" w:space="0" w:color="auto"/>
          </w:divBdr>
        </w:div>
      </w:divsChild>
    </w:div>
    <w:div w:id="95446573">
      <w:bodyDiv w:val="1"/>
      <w:marLeft w:val="0"/>
      <w:marRight w:val="0"/>
      <w:marTop w:val="0"/>
      <w:marBottom w:val="0"/>
      <w:divBdr>
        <w:top w:val="none" w:sz="0" w:space="0" w:color="auto"/>
        <w:left w:val="none" w:sz="0" w:space="0" w:color="auto"/>
        <w:bottom w:val="none" w:sz="0" w:space="0" w:color="auto"/>
        <w:right w:val="none" w:sz="0" w:space="0" w:color="auto"/>
      </w:divBdr>
      <w:divsChild>
        <w:div w:id="346518393">
          <w:marLeft w:val="0"/>
          <w:marRight w:val="0"/>
          <w:marTop w:val="0"/>
          <w:marBottom w:val="0"/>
          <w:divBdr>
            <w:top w:val="none" w:sz="0" w:space="0" w:color="auto"/>
            <w:left w:val="none" w:sz="0" w:space="0" w:color="auto"/>
            <w:bottom w:val="none" w:sz="0" w:space="0" w:color="auto"/>
            <w:right w:val="none" w:sz="0" w:space="0" w:color="auto"/>
          </w:divBdr>
        </w:div>
        <w:div w:id="953292282">
          <w:marLeft w:val="0"/>
          <w:marRight w:val="0"/>
          <w:marTop w:val="0"/>
          <w:marBottom w:val="0"/>
          <w:divBdr>
            <w:top w:val="none" w:sz="0" w:space="0" w:color="auto"/>
            <w:left w:val="none" w:sz="0" w:space="0" w:color="auto"/>
            <w:bottom w:val="none" w:sz="0" w:space="0" w:color="auto"/>
            <w:right w:val="none" w:sz="0" w:space="0" w:color="auto"/>
          </w:divBdr>
        </w:div>
        <w:div w:id="1177840086">
          <w:marLeft w:val="0"/>
          <w:marRight w:val="0"/>
          <w:marTop w:val="0"/>
          <w:marBottom w:val="0"/>
          <w:divBdr>
            <w:top w:val="none" w:sz="0" w:space="0" w:color="auto"/>
            <w:left w:val="none" w:sz="0" w:space="0" w:color="auto"/>
            <w:bottom w:val="none" w:sz="0" w:space="0" w:color="auto"/>
            <w:right w:val="none" w:sz="0" w:space="0" w:color="auto"/>
          </w:divBdr>
        </w:div>
        <w:div w:id="1428690328">
          <w:marLeft w:val="0"/>
          <w:marRight w:val="0"/>
          <w:marTop w:val="0"/>
          <w:marBottom w:val="0"/>
          <w:divBdr>
            <w:top w:val="none" w:sz="0" w:space="0" w:color="auto"/>
            <w:left w:val="none" w:sz="0" w:space="0" w:color="auto"/>
            <w:bottom w:val="none" w:sz="0" w:space="0" w:color="auto"/>
            <w:right w:val="none" w:sz="0" w:space="0" w:color="auto"/>
          </w:divBdr>
        </w:div>
        <w:div w:id="1593052680">
          <w:marLeft w:val="0"/>
          <w:marRight w:val="0"/>
          <w:marTop w:val="0"/>
          <w:marBottom w:val="0"/>
          <w:divBdr>
            <w:top w:val="none" w:sz="0" w:space="0" w:color="auto"/>
            <w:left w:val="none" w:sz="0" w:space="0" w:color="auto"/>
            <w:bottom w:val="none" w:sz="0" w:space="0" w:color="auto"/>
            <w:right w:val="none" w:sz="0" w:space="0" w:color="auto"/>
          </w:divBdr>
        </w:div>
        <w:div w:id="1683510178">
          <w:marLeft w:val="0"/>
          <w:marRight w:val="0"/>
          <w:marTop w:val="0"/>
          <w:marBottom w:val="0"/>
          <w:divBdr>
            <w:top w:val="none" w:sz="0" w:space="0" w:color="auto"/>
            <w:left w:val="none" w:sz="0" w:space="0" w:color="auto"/>
            <w:bottom w:val="none" w:sz="0" w:space="0" w:color="auto"/>
            <w:right w:val="none" w:sz="0" w:space="0" w:color="auto"/>
          </w:divBdr>
        </w:div>
        <w:div w:id="1901207303">
          <w:marLeft w:val="0"/>
          <w:marRight w:val="0"/>
          <w:marTop w:val="0"/>
          <w:marBottom w:val="0"/>
          <w:divBdr>
            <w:top w:val="none" w:sz="0" w:space="0" w:color="auto"/>
            <w:left w:val="none" w:sz="0" w:space="0" w:color="auto"/>
            <w:bottom w:val="none" w:sz="0" w:space="0" w:color="auto"/>
            <w:right w:val="none" w:sz="0" w:space="0" w:color="auto"/>
          </w:divBdr>
        </w:div>
        <w:div w:id="2104178203">
          <w:marLeft w:val="0"/>
          <w:marRight w:val="0"/>
          <w:marTop w:val="0"/>
          <w:marBottom w:val="0"/>
          <w:divBdr>
            <w:top w:val="none" w:sz="0" w:space="0" w:color="auto"/>
            <w:left w:val="none" w:sz="0" w:space="0" w:color="auto"/>
            <w:bottom w:val="none" w:sz="0" w:space="0" w:color="auto"/>
            <w:right w:val="none" w:sz="0" w:space="0" w:color="auto"/>
          </w:divBdr>
        </w:div>
      </w:divsChild>
    </w:div>
    <w:div w:id="121115998">
      <w:bodyDiv w:val="1"/>
      <w:marLeft w:val="0"/>
      <w:marRight w:val="0"/>
      <w:marTop w:val="0"/>
      <w:marBottom w:val="0"/>
      <w:divBdr>
        <w:top w:val="none" w:sz="0" w:space="0" w:color="auto"/>
        <w:left w:val="none" w:sz="0" w:space="0" w:color="auto"/>
        <w:bottom w:val="none" w:sz="0" w:space="0" w:color="auto"/>
        <w:right w:val="none" w:sz="0" w:space="0" w:color="auto"/>
      </w:divBdr>
      <w:divsChild>
        <w:div w:id="437216293">
          <w:marLeft w:val="0"/>
          <w:marRight w:val="0"/>
          <w:marTop w:val="0"/>
          <w:marBottom w:val="0"/>
          <w:divBdr>
            <w:top w:val="none" w:sz="0" w:space="0" w:color="auto"/>
            <w:left w:val="none" w:sz="0" w:space="0" w:color="auto"/>
            <w:bottom w:val="none" w:sz="0" w:space="0" w:color="auto"/>
            <w:right w:val="none" w:sz="0" w:space="0" w:color="auto"/>
          </w:divBdr>
        </w:div>
        <w:div w:id="661353637">
          <w:marLeft w:val="0"/>
          <w:marRight w:val="0"/>
          <w:marTop w:val="0"/>
          <w:marBottom w:val="0"/>
          <w:divBdr>
            <w:top w:val="none" w:sz="0" w:space="0" w:color="auto"/>
            <w:left w:val="none" w:sz="0" w:space="0" w:color="auto"/>
            <w:bottom w:val="none" w:sz="0" w:space="0" w:color="auto"/>
            <w:right w:val="none" w:sz="0" w:space="0" w:color="auto"/>
          </w:divBdr>
        </w:div>
        <w:div w:id="708452844">
          <w:marLeft w:val="0"/>
          <w:marRight w:val="0"/>
          <w:marTop w:val="0"/>
          <w:marBottom w:val="0"/>
          <w:divBdr>
            <w:top w:val="none" w:sz="0" w:space="0" w:color="auto"/>
            <w:left w:val="none" w:sz="0" w:space="0" w:color="auto"/>
            <w:bottom w:val="none" w:sz="0" w:space="0" w:color="auto"/>
            <w:right w:val="none" w:sz="0" w:space="0" w:color="auto"/>
          </w:divBdr>
        </w:div>
        <w:div w:id="1333878354">
          <w:marLeft w:val="0"/>
          <w:marRight w:val="0"/>
          <w:marTop w:val="0"/>
          <w:marBottom w:val="0"/>
          <w:divBdr>
            <w:top w:val="none" w:sz="0" w:space="0" w:color="auto"/>
            <w:left w:val="none" w:sz="0" w:space="0" w:color="auto"/>
            <w:bottom w:val="none" w:sz="0" w:space="0" w:color="auto"/>
            <w:right w:val="none" w:sz="0" w:space="0" w:color="auto"/>
          </w:divBdr>
        </w:div>
        <w:div w:id="1513954968">
          <w:marLeft w:val="0"/>
          <w:marRight w:val="0"/>
          <w:marTop w:val="0"/>
          <w:marBottom w:val="0"/>
          <w:divBdr>
            <w:top w:val="none" w:sz="0" w:space="0" w:color="auto"/>
            <w:left w:val="none" w:sz="0" w:space="0" w:color="auto"/>
            <w:bottom w:val="none" w:sz="0" w:space="0" w:color="auto"/>
            <w:right w:val="none" w:sz="0" w:space="0" w:color="auto"/>
          </w:divBdr>
        </w:div>
        <w:div w:id="1583488730">
          <w:marLeft w:val="0"/>
          <w:marRight w:val="0"/>
          <w:marTop w:val="0"/>
          <w:marBottom w:val="0"/>
          <w:divBdr>
            <w:top w:val="none" w:sz="0" w:space="0" w:color="auto"/>
            <w:left w:val="none" w:sz="0" w:space="0" w:color="auto"/>
            <w:bottom w:val="none" w:sz="0" w:space="0" w:color="auto"/>
            <w:right w:val="none" w:sz="0" w:space="0" w:color="auto"/>
          </w:divBdr>
        </w:div>
        <w:div w:id="1699550635">
          <w:marLeft w:val="0"/>
          <w:marRight w:val="0"/>
          <w:marTop w:val="0"/>
          <w:marBottom w:val="0"/>
          <w:divBdr>
            <w:top w:val="none" w:sz="0" w:space="0" w:color="auto"/>
            <w:left w:val="none" w:sz="0" w:space="0" w:color="auto"/>
            <w:bottom w:val="none" w:sz="0" w:space="0" w:color="auto"/>
            <w:right w:val="none" w:sz="0" w:space="0" w:color="auto"/>
          </w:divBdr>
        </w:div>
        <w:div w:id="1940025277">
          <w:marLeft w:val="0"/>
          <w:marRight w:val="0"/>
          <w:marTop w:val="0"/>
          <w:marBottom w:val="0"/>
          <w:divBdr>
            <w:top w:val="none" w:sz="0" w:space="0" w:color="auto"/>
            <w:left w:val="none" w:sz="0" w:space="0" w:color="auto"/>
            <w:bottom w:val="none" w:sz="0" w:space="0" w:color="auto"/>
            <w:right w:val="none" w:sz="0" w:space="0" w:color="auto"/>
          </w:divBdr>
        </w:div>
      </w:divsChild>
    </w:div>
    <w:div w:id="161239737">
      <w:bodyDiv w:val="1"/>
      <w:marLeft w:val="0"/>
      <w:marRight w:val="0"/>
      <w:marTop w:val="0"/>
      <w:marBottom w:val="0"/>
      <w:divBdr>
        <w:top w:val="none" w:sz="0" w:space="0" w:color="auto"/>
        <w:left w:val="none" w:sz="0" w:space="0" w:color="auto"/>
        <w:bottom w:val="none" w:sz="0" w:space="0" w:color="auto"/>
        <w:right w:val="none" w:sz="0" w:space="0" w:color="auto"/>
      </w:divBdr>
      <w:divsChild>
        <w:div w:id="8066576">
          <w:marLeft w:val="0"/>
          <w:marRight w:val="0"/>
          <w:marTop w:val="0"/>
          <w:marBottom w:val="0"/>
          <w:divBdr>
            <w:top w:val="none" w:sz="0" w:space="0" w:color="auto"/>
            <w:left w:val="none" w:sz="0" w:space="0" w:color="auto"/>
            <w:bottom w:val="none" w:sz="0" w:space="0" w:color="auto"/>
            <w:right w:val="none" w:sz="0" w:space="0" w:color="auto"/>
          </w:divBdr>
        </w:div>
        <w:div w:id="32199259">
          <w:marLeft w:val="0"/>
          <w:marRight w:val="0"/>
          <w:marTop w:val="0"/>
          <w:marBottom w:val="0"/>
          <w:divBdr>
            <w:top w:val="none" w:sz="0" w:space="0" w:color="auto"/>
            <w:left w:val="none" w:sz="0" w:space="0" w:color="auto"/>
            <w:bottom w:val="none" w:sz="0" w:space="0" w:color="auto"/>
            <w:right w:val="none" w:sz="0" w:space="0" w:color="auto"/>
          </w:divBdr>
        </w:div>
        <w:div w:id="263924181">
          <w:marLeft w:val="0"/>
          <w:marRight w:val="0"/>
          <w:marTop w:val="0"/>
          <w:marBottom w:val="0"/>
          <w:divBdr>
            <w:top w:val="none" w:sz="0" w:space="0" w:color="auto"/>
            <w:left w:val="none" w:sz="0" w:space="0" w:color="auto"/>
            <w:bottom w:val="none" w:sz="0" w:space="0" w:color="auto"/>
            <w:right w:val="none" w:sz="0" w:space="0" w:color="auto"/>
          </w:divBdr>
        </w:div>
        <w:div w:id="651980464">
          <w:marLeft w:val="0"/>
          <w:marRight w:val="0"/>
          <w:marTop w:val="0"/>
          <w:marBottom w:val="0"/>
          <w:divBdr>
            <w:top w:val="none" w:sz="0" w:space="0" w:color="auto"/>
            <w:left w:val="none" w:sz="0" w:space="0" w:color="auto"/>
            <w:bottom w:val="none" w:sz="0" w:space="0" w:color="auto"/>
            <w:right w:val="none" w:sz="0" w:space="0" w:color="auto"/>
          </w:divBdr>
        </w:div>
        <w:div w:id="1263610491">
          <w:marLeft w:val="0"/>
          <w:marRight w:val="0"/>
          <w:marTop w:val="0"/>
          <w:marBottom w:val="0"/>
          <w:divBdr>
            <w:top w:val="none" w:sz="0" w:space="0" w:color="auto"/>
            <w:left w:val="none" w:sz="0" w:space="0" w:color="auto"/>
            <w:bottom w:val="none" w:sz="0" w:space="0" w:color="auto"/>
            <w:right w:val="none" w:sz="0" w:space="0" w:color="auto"/>
          </w:divBdr>
        </w:div>
        <w:div w:id="1416394186">
          <w:marLeft w:val="0"/>
          <w:marRight w:val="0"/>
          <w:marTop w:val="0"/>
          <w:marBottom w:val="0"/>
          <w:divBdr>
            <w:top w:val="none" w:sz="0" w:space="0" w:color="auto"/>
            <w:left w:val="none" w:sz="0" w:space="0" w:color="auto"/>
            <w:bottom w:val="none" w:sz="0" w:space="0" w:color="auto"/>
            <w:right w:val="none" w:sz="0" w:space="0" w:color="auto"/>
          </w:divBdr>
        </w:div>
        <w:div w:id="1652833326">
          <w:marLeft w:val="0"/>
          <w:marRight w:val="0"/>
          <w:marTop w:val="0"/>
          <w:marBottom w:val="0"/>
          <w:divBdr>
            <w:top w:val="none" w:sz="0" w:space="0" w:color="auto"/>
            <w:left w:val="none" w:sz="0" w:space="0" w:color="auto"/>
            <w:bottom w:val="none" w:sz="0" w:space="0" w:color="auto"/>
            <w:right w:val="none" w:sz="0" w:space="0" w:color="auto"/>
          </w:divBdr>
        </w:div>
        <w:div w:id="1741633461">
          <w:marLeft w:val="0"/>
          <w:marRight w:val="0"/>
          <w:marTop w:val="0"/>
          <w:marBottom w:val="0"/>
          <w:divBdr>
            <w:top w:val="none" w:sz="0" w:space="0" w:color="auto"/>
            <w:left w:val="none" w:sz="0" w:space="0" w:color="auto"/>
            <w:bottom w:val="none" w:sz="0" w:space="0" w:color="auto"/>
            <w:right w:val="none" w:sz="0" w:space="0" w:color="auto"/>
          </w:divBdr>
        </w:div>
      </w:divsChild>
    </w:div>
    <w:div w:id="239214385">
      <w:bodyDiv w:val="1"/>
      <w:marLeft w:val="0"/>
      <w:marRight w:val="0"/>
      <w:marTop w:val="0"/>
      <w:marBottom w:val="0"/>
      <w:divBdr>
        <w:top w:val="none" w:sz="0" w:space="0" w:color="auto"/>
        <w:left w:val="none" w:sz="0" w:space="0" w:color="auto"/>
        <w:bottom w:val="none" w:sz="0" w:space="0" w:color="auto"/>
        <w:right w:val="none" w:sz="0" w:space="0" w:color="auto"/>
      </w:divBdr>
      <w:divsChild>
        <w:div w:id="467168644">
          <w:marLeft w:val="0"/>
          <w:marRight w:val="0"/>
          <w:marTop w:val="0"/>
          <w:marBottom w:val="0"/>
          <w:divBdr>
            <w:top w:val="none" w:sz="0" w:space="0" w:color="auto"/>
            <w:left w:val="none" w:sz="0" w:space="0" w:color="auto"/>
            <w:bottom w:val="none" w:sz="0" w:space="0" w:color="auto"/>
            <w:right w:val="none" w:sz="0" w:space="0" w:color="auto"/>
          </w:divBdr>
        </w:div>
        <w:div w:id="496844616">
          <w:marLeft w:val="0"/>
          <w:marRight w:val="0"/>
          <w:marTop w:val="0"/>
          <w:marBottom w:val="0"/>
          <w:divBdr>
            <w:top w:val="none" w:sz="0" w:space="0" w:color="auto"/>
            <w:left w:val="none" w:sz="0" w:space="0" w:color="auto"/>
            <w:bottom w:val="none" w:sz="0" w:space="0" w:color="auto"/>
            <w:right w:val="none" w:sz="0" w:space="0" w:color="auto"/>
          </w:divBdr>
        </w:div>
        <w:div w:id="656959233">
          <w:marLeft w:val="0"/>
          <w:marRight w:val="0"/>
          <w:marTop w:val="0"/>
          <w:marBottom w:val="0"/>
          <w:divBdr>
            <w:top w:val="none" w:sz="0" w:space="0" w:color="auto"/>
            <w:left w:val="none" w:sz="0" w:space="0" w:color="auto"/>
            <w:bottom w:val="none" w:sz="0" w:space="0" w:color="auto"/>
            <w:right w:val="none" w:sz="0" w:space="0" w:color="auto"/>
          </w:divBdr>
        </w:div>
        <w:div w:id="1051271765">
          <w:marLeft w:val="0"/>
          <w:marRight w:val="0"/>
          <w:marTop w:val="0"/>
          <w:marBottom w:val="0"/>
          <w:divBdr>
            <w:top w:val="none" w:sz="0" w:space="0" w:color="auto"/>
            <w:left w:val="none" w:sz="0" w:space="0" w:color="auto"/>
            <w:bottom w:val="none" w:sz="0" w:space="0" w:color="auto"/>
            <w:right w:val="none" w:sz="0" w:space="0" w:color="auto"/>
          </w:divBdr>
        </w:div>
        <w:div w:id="1119182395">
          <w:marLeft w:val="0"/>
          <w:marRight w:val="0"/>
          <w:marTop w:val="0"/>
          <w:marBottom w:val="0"/>
          <w:divBdr>
            <w:top w:val="none" w:sz="0" w:space="0" w:color="auto"/>
            <w:left w:val="none" w:sz="0" w:space="0" w:color="auto"/>
            <w:bottom w:val="none" w:sz="0" w:space="0" w:color="auto"/>
            <w:right w:val="none" w:sz="0" w:space="0" w:color="auto"/>
          </w:divBdr>
        </w:div>
        <w:div w:id="1173908460">
          <w:marLeft w:val="0"/>
          <w:marRight w:val="0"/>
          <w:marTop w:val="0"/>
          <w:marBottom w:val="0"/>
          <w:divBdr>
            <w:top w:val="none" w:sz="0" w:space="0" w:color="auto"/>
            <w:left w:val="none" w:sz="0" w:space="0" w:color="auto"/>
            <w:bottom w:val="none" w:sz="0" w:space="0" w:color="auto"/>
            <w:right w:val="none" w:sz="0" w:space="0" w:color="auto"/>
          </w:divBdr>
        </w:div>
        <w:div w:id="1796677390">
          <w:marLeft w:val="0"/>
          <w:marRight w:val="0"/>
          <w:marTop w:val="0"/>
          <w:marBottom w:val="0"/>
          <w:divBdr>
            <w:top w:val="none" w:sz="0" w:space="0" w:color="auto"/>
            <w:left w:val="none" w:sz="0" w:space="0" w:color="auto"/>
            <w:bottom w:val="none" w:sz="0" w:space="0" w:color="auto"/>
            <w:right w:val="none" w:sz="0" w:space="0" w:color="auto"/>
          </w:divBdr>
        </w:div>
        <w:div w:id="2057198517">
          <w:marLeft w:val="0"/>
          <w:marRight w:val="0"/>
          <w:marTop w:val="0"/>
          <w:marBottom w:val="0"/>
          <w:divBdr>
            <w:top w:val="none" w:sz="0" w:space="0" w:color="auto"/>
            <w:left w:val="none" w:sz="0" w:space="0" w:color="auto"/>
            <w:bottom w:val="none" w:sz="0" w:space="0" w:color="auto"/>
            <w:right w:val="none" w:sz="0" w:space="0" w:color="auto"/>
          </w:divBdr>
        </w:div>
      </w:divsChild>
    </w:div>
    <w:div w:id="278073302">
      <w:bodyDiv w:val="1"/>
      <w:marLeft w:val="0"/>
      <w:marRight w:val="0"/>
      <w:marTop w:val="0"/>
      <w:marBottom w:val="0"/>
      <w:divBdr>
        <w:top w:val="none" w:sz="0" w:space="0" w:color="auto"/>
        <w:left w:val="none" w:sz="0" w:space="0" w:color="auto"/>
        <w:bottom w:val="none" w:sz="0" w:space="0" w:color="auto"/>
        <w:right w:val="none" w:sz="0" w:space="0" w:color="auto"/>
      </w:divBdr>
      <w:divsChild>
        <w:div w:id="85660550">
          <w:marLeft w:val="0"/>
          <w:marRight w:val="0"/>
          <w:marTop w:val="0"/>
          <w:marBottom w:val="0"/>
          <w:divBdr>
            <w:top w:val="none" w:sz="0" w:space="0" w:color="auto"/>
            <w:left w:val="none" w:sz="0" w:space="0" w:color="auto"/>
            <w:bottom w:val="none" w:sz="0" w:space="0" w:color="auto"/>
            <w:right w:val="none" w:sz="0" w:space="0" w:color="auto"/>
          </w:divBdr>
        </w:div>
        <w:div w:id="288048717">
          <w:marLeft w:val="0"/>
          <w:marRight w:val="0"/>
          <w:marTop w:val="0"/>
          <w:marBottom w:val="0"/>
          <w:divBdr>
            <w:top w:val="none" w:sz="0" w:space="0" w:color="auto"/>
            <w:left w:val="none" w:sz="0" w:space="0" w:color="auto"/>
            <w:bottom w:val="none" w:sz="0" w:space="0" w:color="auto"/>
            <w:right w:val="none" w:sz="0" w:space="0" w:color="auto"/>
          </w:divBdr>
        </w:div>
        <w:div w:id="769277545">
          <w:marLeft w:val="0"/>
          <w:marRight w:val="0"/>
          <w:marTop w:val="0"/>
          <w:marBottom w:val="0"/>
          <w:divBdr>
            <w:top w:val="none" w:sz="0" w:space="0" w:color="auto"/>
            <w:left w:val="none" w:sz="0" w:space="0" w:color="auto"/>
            <w:bottom w:val="none" w:sz="0" w:space="0" w:color="auto"/>
            <w:right w:val="none" w:sz="0" w:space="0" w:color="auto"/>
          </w:divBdr>
        </w:div>
        <w:div w:id="824052496">
          <w:marLeft w:val="0"/>
          <w:marRight w:val="0"/>
          <w:marTop w:val="0"/>
          <w:marBottom w:val="0"/>
          <w:divBdr>
            <w:top w:val="none" w:sz="0" w:space="0" w:color="auto"/>
            <w:left w:val="none" w:sz="0" w:space="0" w:color="auto"/>
            <w:bottom w:val="none" w:sz="0" w:space="0" w:color="auto"/>
            <w:right w:val="none" w:sz="0" w:space="0" w:color="auto"/>
          </w:divBdr>
        </w:div>
        <w:div w:id="981886259">
          <w:marLeft w:val="0"/>
          <w:marRight w:val="0"/>
          <w:marTop w:val="0"/>
          <w:marBottom w:val="0"/>
          <w:divBdr>
            <w:top w:val="none" w:sz="0" w:space="0" w:color="auto"/>
            <w:left w:val="none" w:sz="0" w:space="0" w:color="auto"/>
            <w:bottom w:val="none" w:sz="0" w:space="0" w:color="auto"/>
            <w:right w:val="none" w:sz="0" w:space="0" w:color="auto"/>
          </w:divBdr>
        </w:div>
        <w:div w:id="1335955312">
          <w:marLeft w:val="0"/>
          <w:marRight w:val="0"/>
          <w:marTop w:val="0"/>
          <w:marBottom w:val="0"/>
          <w:divBdr>
            <w:top w:val="none" w:sz="0" w:space="0" w:color="auto"/>
            <w:left w:val="none" w:sz="0" w:space="0" w:color="auto"/>
            <w:bottom w:val="none" w:sz="0" w:space="0" w:color="auto"/>
            <w:right w:val="none" w:sz="0" w:space="0" w:color="auto"/>
          </w:divBdr>
        </w:div>
        <w:div w:id="1818373748">
          <w:marLeft w:val="0"/>
          <w:marRight w:val="0"/>
          <w:marTop w:val="0"/>
          <w:marBottom w:val="0"/>
          <w:divBdr>
            <w:top w:val="none" w:sz="0" w:space="0" w:color="auto"/>
            <w:left w:val="none" w:sz="0" w:space="0" w:color="auto"/>
            <w:bottom w:val="none" w:sz="0" w:space="0" w:color="auto"/>
            <w:right w:val="none" w:sz="0" w:space="0" w:color="auto"/>
          </w:divBdr>
        </w:div>
        <w:div w:id="2134051474">
          <w:marLeft w:val="0"/>
          <w:marRight w:val="0"/>
          <w:marTop w:val="0"/>
          <w:marBottom w:val="0"/>
          <w:divBdr>
            <w:top w:val="none" w:sz="0" w:space="0" w:color="auto"/>
            <w:left w:val="none" w:sz="0" w:space="0" w:color="auto"/>
            <w:bottom w:val="none" w:sz="0" w:space="0" w:color="auto"/>
            <w:right w:val="none" w:sz="0" w:space="0" w:color="auto"/>
          </w:divBdr>
        </w:div>
      </w:divsChild>
    </w:div>
    <w:div w:id="301734244">
      <w:bodyDiv w:val="1"/>
      <w:marLeft w:val="0"/>
      <w:marRight w:val="0"/>
      <w:marTop w:val="0"/>
      <w:marBottom w:val="0"/>
      <w:divBdr>
        <w:top w:val="none" w:sz="0" w:space="0" w:color="auto"/>
        <w:left w:val="none" w:sz="0" w:space="0" w:color="auto"/>
        <w:bottom w:val="none" w:sz="0" w:space="0" w:color="auto"/>
        <w:right w:val="none" w:sz="0" w:space="0" w:color="auto"/>
      </w:divBdr>
      <w:divsChild>
        <w:div w:id="29040601">
          <w:marLeft w:val="0"/>
          <w:marRight w:val="0"/>
          <w:marTop w:val="0"/>
          <w:marBottom w:val="0"/>
          <w:divBdr>
            <w:top w:val="none" w:sz="0" w:space="0" w:color="auto"/>
            <w:left w:val="none" w:sz="0" w:space="0" w:color="auto"/>
            <w:bottom w:val="none" w:sz="0" w:space="0" w:color="auto"/>
            <w:right w:val="none" w:sz="0" w:space="0" w:color="auto"/>
          </w:divBdr>
        </w:div>
        <w:div w:id="291057196">
          <w:marLeft w:val="0"/>
          <w:marRight w:val="0"/>
          <w:marTop w:val="0"/>
          <w:marBottom w:val="0"/>
          <w:divBdr>
            <w:top w:val="none" w:sz="0" w:space="0" w:color="auto"/>
            <w:left w:val="none" w:sz="0" w:space="0" w:color="auto"/>
            <w:bottom w:val="none" w:sz="0" w:space="0" w:color="auto"/>
            <w:right w:val="none" w:sz="0" w:space="0" w:color="auto"/>
          </w:divBdr>
        </w:div>
        <w:div w:id="330715659">
          <w:marLeft w:val="0"/>
          <w:marRight w:val="0"/>
          <w:marTop w:val="0"/>
          <w:marBottom w:val="0"/>
          <w:divBdr>
            <w:top w:val="none" w:sz="0" w:space="0" w:color="auto"/>
            <w:left w:val="none" w:sz="0" w:space="0" w:color="auto"/>
            <w:bottom w:val="none" w:sz="0" w:space="0" w:color="auto"/>
            <w:right w:val="none" w:sz="0" w:space="0" w:color="auto"/>
          </w:divBdr>
        </w:div>
        <w:div w:id="575556724">
          <w:marLeft w:val="0"/>
          <w:marRight w:val="0"/>
          <w:marTop w:val="0"/>
          <w:marBottom w:val="0"/>
          <w:divBdr>
            <w:top w:val="none" w:sz="0" w:space="0" w:color="auto"/>
            <w:left w:val="none" w:sz="0" w:space="0" w:color="auto"/>
            <w:bottom w:val="none" w:sz="0" w:space="0" w:color="auto"/>
            <w:right w:val="none" w:sz="0" w:space="0" w:color="auto"/>
          </w:divBdr>
        </w:div>
        <w:div w:id="786848835">
          <w:marLeft w:val="0"/>
          <w:marRight w:val="0"/>
          <w:marTop w:val="0"/>
          <w:marBottom w:val="0"/>
          <w:divBdr>
            <w:top w:val="none" w:sz="0" w:space="0" w:color="auto"/>
            <w:left w:val="none" w:sz="0" w:space="0" w:color="auto"/>
            <w:bottom w:val="none" w:sz="0" w:space="0" w:color="auto"/>
            <w:right w:val="none" w:sz="0" w:space="0" w:color="auto"/>
          </w:divBdr>
        </w:div>
        <w:div w:id="1238638484">
          <w:marLeft w:val="0"/>
          <w:marRight w:val="0"/>
          <w:marTop w:val="0"/>
          <w:marBottom w:val="0"/>
          <w:divBdr>
            <w:top w:val="none" w:sz="0" w:space="0" w:color="auto"/>
            <w:left w:val="none" w:sz="0" w:space="0" w:color="auto"/>
            <w:bottom w:val="none" w:sz="0" w:space="0" w:color="auto"/>
            <w:right w:val="none" w:sz="0" w:space="0" w:color="auto"/>
          </w:divBdr>
        </w:div>
        <w:div w:id="1487867039">
          <w:marLeft w:val="0"/>
          <w:marRight w:val="0"/>
          <w:marTop w:val="0"/>
          <w:marBottom w:val="0"/>
          <w:divBdr>
            <w:top w:val="none" w:sz="0" w:space="0" w:color="auto"/>
            <w:left w:val="none" w:sz="0" w:space="0" w:color="auto"/>
            <w:bottom w:val="none" w:sz="0" w:space="0" w:color="auto"/>
            <w:right w:val="none" w:sz="0" w:space="0" w:color="auto"/>
          </w:divBdr>
        </w:div>
        <w:div w:id="1730686656">
          <w:marLeft w:val="0"/>
          <w:marRight w:val="0"/>
          <w:marTop w:val="0"/>
          <w:marBottom w:val="0"/>
          <w:divBdr>
            <w:top w:val="none" w:sz="0" w:space="0" w:color="auto"/>
            <w:left w:val="none" w:sz="0" w:space="0" w:color="auto"/>
            <w:bottom w:val="none" w:sz="0" w:space="0" w:color="auto"/>
            <w:right w:val="none" w:sz="0" w:space="0" w:color="auto"/>
          </w:divBdr>
        </w:div>
      </w:divsChild>
    </w:div>
    <w:div w:id="307052784">
      <w:bodyDiv w:val="1"/>
      <w:marLeft w:val="0"/>
      <w:marRight w:val="0"/>
      <w:marTop w:val="0"/>
      <w:marBottom w:val="0"/>
      <w:divBdr>
        <w:top w:val="none" w:sz="0" w:space="0" w:color="auto"/>
        <w:left w:val="none" w:sz="0" w:space="0" w:color="auto"/>
        <w:bottom w:val="none" w:sz="0" w:space="0" w:color="auto"/>
        <w:right w:val="none" w:sz="0" w:space="0" w:color="auto"/>
      </w:divBdr>
      <w:divsChild>
        <w:div w:id="259527862">
          <w:marLeft w:val="0"/>
          <w:marRight w:val="0"/>
          <w:marTop w:val="0"/>
          <w:marBottom w:val="0"/>
          <w:divBdr>
            <w:top w:val="none" w:sz="0" w:space="0" w:color="auto"/>
            <w:left w:val="none" w:sz="0" w:space="0" w:color="auto"/>
            <w:bottom w:val="none" w:sz="0" w:space="0" w:color="auto"/>
            <w:right w:val="none" w:sz="0" w:space="0" w:color="auto"/>
          </w:divBdr>
        </w:div>
        <w:div w:id="718824402">
          <w:marLeft w:val="0"/>
          <w:marRight w:val="0"/>
          <w:marTop w:val="0"/>
          <w:marBottom w:val="0"/>
          <w:divBdr>
            <w:top w:val="none" w:sz="0" w:space="0" w:color="auto"/>
            <w:left w:val="none" w:sz="0" w:space="0" w:color="auto"/>
            <w:bottom w:val="none" w:sz="0" w:space="0" w:color="auto"/>
            <w:right w:val="none" w:sz="0" w:space="0" w:color="auto"/>
          </w:divBdr>
        </w:div>
        <w:div w:id="1585191000">
          <w:marLeft w:val="0"/>
          <w:marRight w:val="0"/>
          <w:marTop w:val="0"/>
          <w:marBottom w:val="0"/>
          <w:divBdr>
            <w:top w:val="none" w:sz="0" w:space="0" w:color="auto"/>
            <w:left w:val="none" w:sz="0" w:space="0" w:color="auto"/>
            <w:bottom w:val="none" w:sz="0" w:space="0" w:color="auto"/>
            <w:right w:val="none" w:sz="0" w:space="0" w:color="auto"/>
          </w:divBdr>
        </w:div>
        <w:div w:id="1802502607">
          <w:marLeft w:val="0"/>
          <w:marRight w:val="0"/>
          <w:marTop w:val="0"/>
          <w:marBottom w:val="0"/>
          <w:divBdr>
            <w:top w:val="none" w:sz="0" w:space="0" w:color="auto"/>
            <w:left w:val="none" w:sz="0" w:space="0" w:color="auto"/>
            <w:bottom w:val="none" w:sz="0" w:space="0" w:color="auto"/>
            <w:right w:val="none" w:sz="0" w:space="0" w:color="auto"/>
          </w:divBdr>
        </w:div>
        <w:div w:id="1938251499">
          <w:marLeft w:val="0"/>
          <w:marRight w:val="0"/>
          <w:marTop w:val="0"/>
          <w:marBottom w:val="0"/>
          <w:divBdr>
            <w:top w:val="none" w:sz="0" w:space="0" w:color="auto"/>
            <w:left w:val="none" w:sz="0" w:space="0" w:color="auto"/>
            <w:bottom w:val="none" w:sz="0" w:space="0" w:color="auto"/>
            <w:right w:val="none" w:sz="0" w:space="0" w:color="auto"/>
          </w:divBdr>
        </w:div>
        <w:div w:id="1952348316">
          <w:marLeft w:val="0"/>
          <w:marRight w:val="0"/>
          <w:marTop w:val="0"/>
          <w:marBottom w:val="0"/>
          <w:divBdr>
            <w:top w:val="none" w:sz="0" w:space="0" w:color="auto"/>
            <w:left w:val="none" w:sz="0" w:space="0" w:color="auto"/>
            <w:bottom w:val="none" w:sz="0" w:space="0" w:color="auto"/>
            <w:right w:val="none" w:sz="0" w:space="0" w:color="auto"/>
          </w:divBdr>
        </w:div>
        <w:div w:id="2010524995">
          <w:marLeft w:val="0"/>
          <w:marRight w:val="0"/>
          <w:marTop w:val="0"/>
          <w:marBottom w:val="0"/>
          <w:divBdr>
            <w:top w:val="none" w:sz="0" w:space="0" w:color="auto"/>
            <w:left w:val="none" w:sz="0" w:space="0" w:color="auto"/>
            <w:bottom w:val="none" w:sz="0" w:space="0" w:color="auto"/>
            <w:right w:val="none" w:sz="0" w:space="0" w:color="auto"/>
          </w:divBdr>
        </w:div>
        <w:div w:id="2108429546">
          <w:marLeft w:val="0"/>
          <w:marRight w:val="0"/>
          <w:marTop w:val="0"/>
          <w:marBottom w:val="0"/>
          <w:divBdr>
            <w:top w:val="none" w:sz="0" w:space="0" w:color="auto"/>
            <w:left w:val="none" w:sz="0" w:space="0" w:color="auto"/>
            <w:bottom w:val="none" w:sz="0" w:space="0" w:color="auto"/>
            <w:right w:val="none" w:sz="0" w:space="0" w:color="auto"/>
          </w:divBdr>
        </w:div>
      </w:divsChild>
    </w:div>
    <w:div w:id="316880713">
      <w:bodyDiv w:val="1"/>
      <w:marLeft w:val="0"/>
      <w:marRight w:val="0"/>
      <w:marTop w:val="0"/>
      <w:marBottom w:val="0"/>
      <w:divBdr>
        <w:top w:val="none" w:sz="0" w:space="0" w:color="auto"/>
        <w:left w:val="none" w:sz="0" w:space="0" w:color="auto"/>
        <w:bottom w:val="none" w:sz="0" w:space="0" w:color="auto"/>
        <w:right w:val="none" w:sz="0" w:space="0" w:color="auto"/>
      </w:divBdr>
    </w:div>
    <w:div w:id="319578566">
      <w:bodyDiv w:val="1"/>
      <w:marLeft w:val="0"/>
      <w:marRight w:val="0"/>
      <w:marTop w:val="0"/>
      <w:marBottom w:val="0"/>
      <w:divBdr>
        <w:top w:val="none" w:sz="0" w:space="0" w:color="auto"/>
        <w:left w:val="none" w:sz="0" w:space="0" w:color="auto"/>
        <w:bottom w:val="none" w:sz="0" w:space="0" w:color="auto"/>
        <w:right w:val="none" w:sz="0" w:space="0" w:color="auto"/>
      </w:divBdr>
      <w:divsChild>
        <w:div w:id="222376459">
          <w:marLeft w:val="0"/>
          <w:marRight w:val="0"/>
          <w:marTop w:val="0"/>
          <w:marBottom w:val="0"/>
          <w:divBdr>
            <w:top w:val="none" w:sz="0" w:space="0" w:color="auto"/>
            <w:left w:val="none" w:sz="0" w:space="0" w:color="auto"/>
            <w:bottom w:val="none" w:sz="0" w:space="0" w:color="auto"/>
            <w:right w:val="none" w:sz="0" w:space="0" w:color="auto"/>
          </w:divBdr>
        </w:div>
        <w:div w:id="297997111">
          <w:marLeft w:val="0"/>
          <w:marRight w:val="0"/>
          <w:marTop w:val="0"/>
          <w:marBottom w:val="0"/>
          <w:divBdr>
            <w:top w:val="none" w:sz="0" w:space="0" w:color="auto"/>
            <w:left w:val="none" w:sz="0" w:space="0" w:color="auto"/>
            <w:bottom w:val="none" w:sz="0" w:space="0" w:color="auto"/>
            <w:right w:val="none" w:sz="0" w:space="0" w:color="auto"/>
          </w:divBdr>
        </w:div>
        <w:div w:id="564995999">
          <w:marLeft w:val="0"/>
          <w:marRight w:val="0"/>
          <w:marTop w:val="0"/>
          <w:marBottom w:val="0"/>
          <w:divBdr>
            <w:top w:val="none" w:sz="0" w:space="0" w:color="auto"/>
            <w:left w:val="none" w:sz="0" w:space="0" w:color="auto"/>
            <w:bottom w:val="none" w:sz="0" w:space="0" w:color="auto"/>
            <w:right w:val="none" w:sz="0" w:space="0" w:color="auto"/>
          </w:divBdr>
        </w:div>
        <w:div w:id="1110121618">
          <w:marLeft w:val="0"/>
          <w:marRight w:val="0"/>
          <w:marTop w:val="0"/>
          <w:marBottom w:val="0"/>
          <w:divBdr>
            <w:top w:val="none" w:sz="0" w:space="0" w:color="auto"/>
            <w:left w:val="none" w:sz="0" w:space="0" w:color="auto"/>
            <w:bottom w:val="none" w:sz="0" w:space="0" w:color="auto"/>
            <w:right w:val="none" w:sz="0" w:space="0" w:color="auto"/>
          </w:divBdr>
        </w:div>
        <w:div w:id="1115910014">
          <w:marLeft w:val="0"/>
          <w:marRight w:val="0"/>
          <w:marTop w:val="0"/>
          <w:marBottom w:val="0"/>
          <w:divBdr>
            <w:top w:val="none" w:sz="0" w:space="0" w:color="auto"/>
            <w:left w:val="none" w:sz="0" w:space="0" w:color="auto"/>
            <w:bottom w:val="none" w:sz="0" w:space="0" w:color="auto"/>
            <w:right w:val="none" w:sz="0" w:space="0" w:color="auto"/>
          </w:divBdr>
        </w:div>
        <w:div w:id="1507937683">
          <w:marLeft w:val="0"/>
          <w:marRight w:val="0"/>
          <w:marTop w:val="0"/>
          <w:marBottom w:val="0"/>
          <w:divBdr>
            <w:top w:val="none" w:sz="0" w:space="0" w:color="auto"/>
            <w:left w:val="none" w:sz="0" w:space="0" w:color="auto"/>
            <w:bottom w:val="none" w:sz="0" w:space="0" w:color="auto"/>
            <w:right w:val="none" w:sz="0" w:space="0" w:color="auto"/>
          </w:divBdr>
        </w:div>
        <w:div w:id="1543983515">
          <w:marLeft w:val="0"/>
          <w:marRight w:val="0"/>
          <w:marTop w:val="0"/>
          <w:marBottom w:val="0"/>
          <w:divBdr>
            <w:top w:val="none" w:sz="0" w:space="0" w:color="auto"/>
            <w:left w:val="none" w:sz="0" w:space="0" w:color="auto"/>
            <w:bottom w:val="none" w:sz="0" w:space="0" w:color="auto"/>
            <w:right w:val="none" w:sz="0" w:space="0" w:color="auto"/>
          </w:divBdr>
        </w:div>
        <w:div w:id="1852720535">
          <w:marLeft w:val="0"/>
          <w:marRight w:val="0"/>
          <w:marTop w:val="0"/>
          <w:marBottom w:val="0"/>
          <w:divBdr>
            <w:top w:val="none" w:sz="0" w:space="0" w:color="auto"/>
            <w:left w:val="none" w:sz="0" w:space="0" w:color="auto"/>
            <w:bottom w:val="none" w:sz="0" w:space="0" w:color="auto"/>
            <w:right w:val="none" w:sz="0" w:space="0" w:color="auto"/>
          </w:divBdr>
        </w:div>
      </w:divsChild>
    </w:div>
    <w:div w:id="398021130">
      <w:bodyDiv w:val="1"/>
      <w:marLeft w:val="0"/>
      <w:marRight w:val="0"/>
      <w:marTop w:val="0"/>
      <w:marBottom w:val="0"/>
      <w:divBdr>
        <w:top w:val="none" w:sz="0" w:space="0" w:color="auto"/>
        <w:left w:val="none" w:sz="0" w:space="0" w:color="auto"/>
        <w:bottom w:val="none" w:sz="0" w:space="0" w:color="auto"/>
        <w:right w:val="none" w:sz="0" w:space="0" w:color="auto"/>
      </w:divBdr>
      <w:divsChild>
        <w:div w:id="239607311">
          <w:marLeft w:val="0"/>
          <w:marRight w:val="0"/>
          <w:marTop w:val="0"/>
          <w:marBottom w:val="0"/>
          <w:divBdr>
            <w:top w:val="none" w:sz="0" w:space="0" w:color="auto"/>
            <w:left w:val="none" w:sz="0" w:space="0" w:color="auto"/>
            <w:bottom w:val="none" w:sz="0" w:space="0" w:color="auto"/>
            <w:right w:val="none" w:sz="0" w:space="0" w:color="auto"/>
          </w:divBdr>
        </w:div>
        <w:div w:id="485782979">
          <w:marLeft w:val="0"/>
          <w:marRight w:val="0"/>
          <w:marTop w:val="0"/>
          <w:marBottom w:val="0"/>
          <w:divBdr>
            <w:top w:val="none" w:sz="0" w:space="0" w:color="auto"/>
            <w:left w:val="none" w:sz="0" w:space="0" w:color="auto"/>
            <w:bottom w:val="none" w:sz="0" w:space="0" w:color="auto"/>
            <w:right w:val="none" w:sz="0" w:space="0" w:color="auto"/>
          </w:divBdr>
        </w:div>
        <w:div w:id="569778464">
          <w:marLeft w:val="0"/>
          <w:marRight w:val="0"/>
          <w:marTop w:val="0"/>
          <w:marBottom w:val="0"/>
          <w:divBdr>
            <w:top w:val="none" w:sz="0" w:space="0" w:color="auto"/>
            <w:left w:val="none" w:sz="0" w:space="0" w:color="auto"/>
            <w:bottom w:val="none" w:sz="0" w:space="0" w:color="auto"/>
            <w:right w:val="none" w:sz="0" w:space="0" w:color="auto"/>
          </w:divBdr>
        </w:div>
        <w:div w:id="753627511">
          <w:marLeft w:val="0"/>
          <w:marRight w:val="0"/>
          <w:marTop w:val="0"/>
          <w:marBottom w:val="0"/>
          <w:divBdr>
            <w:top w:val="none" w:sz="0" w:space="0" w:color="auto"/>
            <w:left w:val="none" w:sz="0" w:space="0" w:color="auto"/>
            <w:bottom w:val="none" w:sz="0" w:space="0" w:color="auto"/>
            <w:right w:val="none" w:sz="0" w:space="0" w:color="auto"/>
          </w:divBdr>
        </w:div>
        <w:div w:id="1375740736">
          <w:marLeft w:val="0"/>
          <w:marRight w:val="0"/>
          <w:marTop w:val="0"/>
          <w:marBottom w:val="0"/>
          <w:divBdr>
            <w:top w:val="none" w:sz="0" w:space="0" w:color="auto"/>
            <w:left w:val="none" w:sz="0" w:space="0" w:color="auto"/>
            <w:bottom w:val="none" w:sz="0" w:space="0" w:color="auto"/>
            <w:right w:val="none" w:sz="0" w:space="0" w:color="auto"/>
          </w:divBdr>
        </w:div>
        <w:div w:id="1408376798">
          <w:marLeft w:val="0"/>
          <w:marRight w:val="0"/>
          <w:marTop w:val="0"/>
          <w:marBottom w:val="0"/>
          <w:divBdr>
            <w:top w:val="none" w:sz="0" w:space="0" w:color="auto"/>
            <w:left w:val="none" w:sz="0" w:space="0" w:color="auto"/>
            <w:bottom w:val="none" w:sz="0" w:space="0" w:color="auto"/>
            <w:right w:val="none" w:sz="0" w:space="0" w:color="auto"/>
          </w:divBdr>
        </w:div>
        <w:div w:id="1434202785">
          <w:marLeft w:val="0"/>
          <w:marRight w:val="0"/>
          <w:marTop w:val="0"/>
          <w:marBottom w:val="0"/>
          <w:divBdr>
            <w:top w:val="none" w:sz="0" w:space="0" w:color="auto"/>
            <w:left w:val="none" w:sz="0" w:space="0" w:color="auto"/>
            <w:bottom w:val="none" w:sz="0" w:space="0" w:color="auto"/>
            <w:right w:val="none" w:sz="0" w:space="0" w:color="auto"/>
          </w:divBdr>
        </w:div>
        <w:div w:id="1947079242">
          <w:marLeft w:val="0"/>
          <w:marRight w:val="0"/>
          <w:marTop w:val="0"/>
          <w:marBottom w:val="0"/>
          <w:divBdr>
            <w:top w:val="none" w:sz="0" w:space="0" w:color="auto"/>
            <w:left w:val="none" w:sz="0" w:space="0" w:color="auto"/>
            <w:bottom w:val="none" w:sz="0" w:space="0" w:color="auto"/>
            <w:right w:val="none" w:sz="0" w:space="0" w:color="auto"/>
          </w:divBdr>
        </w:div>
      </w:divsChild>
    </w:div>
    <w:div w:id="405302561">
      <w:bodyDiv w:val="1"/>
      <w:marLeft w:val="0"/>
      <w:marRight w:val="0"/>
      <w:marTop w:val="0"/>
      <w:marBottom w:val="0"/>
      <w:divBdr>
        <w:top w:val="none" w:sz="0" w:space="0" w:color="auto"/>
        <w:left w:val="none" w:sz="0" w:space="0" w:color="auto"/>
        <w:bottom w:val="none" w:sz="0" w:space="0" w:color="auto"/>
        <w:right w:val="none" w:sz="0" w:space="0" w:color="auto"/>
      </w:divBdr>
      <w:divsChild>
        <w:div w:id="326247123">
          <w:marLeft w:val="0"/>
          <w:marRight w:val="0"/>
          <w:marTop w:val="0"/>
          <w:marBottom w:val="0"/>
          <w:divBdr>
            <w:top w:val="none" w:sz="0" w:space="0" w:color="auto"/>
            <w:left w:val="none" w:sz="0" w:space="0" w:color="auto"/>
            <w:bottom w:val="none" w:sz="0" w:space="0" w:color="auto"/>
            <w:right w:val="none" w:sz="0" w:space="0" w:color="auto"/>
          </w:divBdr>
        </w:div>
        <w:div w:id="462506917">
          <w:marLeft w:val="0"/>
          <w:marRight w:val="0"/>
          <w:marTop w:val="0"/>
          <w:marBottom w:val="0"/>
          <w:divBdr>
            <w:top w:val="none" w:sz="0" w:space="0" w:color="auto"/>
            <w:left w:val="none" w:sz="0" w:space="0" w:color="auto"/>
            <w:bottom w:val="none" w:sz="0" w:space="0" w:color="auto"/>
            <w:right w:val="none" w:sz="0" w:space="0" w:color="auto"/>
          </w:divBdr>
        </w:div>
        <w:div w:id="700283187">
          <w:marLeft w:val="0"/>
          <w:marRight w:val="0"/>
          <w:marTop w:val="0"/>
          <w:marBottom w:val="0"/>
          <w:divBdr>
            <w:top w:val="none" w:sz="0" w:space="0" w:color="auto"/>
            <w:left w:val="none" w:sz="0" w:space="0" w:color="auto"/>
            <w:bottom w:val="none" w:sz="0" w:space="0" w:color="auto"/>
            <w:right w:val="none" w:sz="0" w:space="0" w:color="auto"/>
          </w:divBdr>
        </w:div>
        <w:div w:id="822895926">
          <w:marLeft w:val="0"/>
          <w:marRight w:val="0"/>
          <w:marTop w:val="0"/>
          <w:marBottom w:val="0"/>
          <w:divBdr>
            <w:top w:val="none" w:sz="0" w:space="0" w:color="auto"/>
            <w:left w:val="none" w:sz="0" w:space="0" w:color="auto"/>
            <w:bottom w:val="none" w:sz="0" w:space="0" w:color="auto"/>
            <w:right w:val="none" w:sz="0" w:space="0" w:color="auto"/>
          </w:divBdr>
        </w:div>
        <w:div w:id="868027998">
          <w:marLeft w:val="0"/>
          <w:marRight w:val="0"/>
          <w:marTop w:val="0"/>
          <w:marBottom w:val="0"/>
          <w:divBdr>
            <w:top w:val="none" w:sz="0" w:space="0" w:color="auto"/>
            <w:left w:val="none" w:sz="0" w:space="0" w:color="auto"/>
            <w:bottom w:val="none" w:sz="0" w:space="0" w:color="auto"/>
            <w:right w:val="none" w:sz="0" w:space="0" w:color="auto"/>
          </w:divBdr>
        </w:div>
        <w:div w:id="930047869">
          <w:marLeft w:val="0"/>
          <w:marRight w:val="0"/>
          <w:marTop w:val="0"/>
          <w:marBottom w:val="0"/>
          <w:divBdr>
            <w:top w:val="none" w:sz="0" w:space="0" w:color="auto"/>
            <w:left w:val="none" w:sz="0" w:space="0" w:color="auto"/>
            <w:bottom w:val="none" w:sz="0" w:space="0" w:color="auto"/>
            <w:right w:val="none" w:sz="0" w:space="0" w:color="auto"/>
          </w:divBdr>
        </w:div>
        <w:div w:id="1342315859">
          <w:marLeft w:val="0"/>
          <w:marRight w:val="0"/>
          <w:marTop w:val="0"/>
          <w:marBottom w:val="0"/>
          <w:divBdr>
            <w:top w:val="none" w:sz="0" w:space="0" w:color="auto"/>
            <w:left w:val="none" w:sz="0" w:space="0" w:color="auto"/>
            <w:bottom w:val="none" w:sz="0" w:space="0" w:color="auto"/>
            <w:right w:val="none" w:sz="0" w:space="0" w:color="auto"/>
          </w:divBdr>
        </w:div>
        <w:div w:id="1776169899">
          <w:marLeft w:val="0"/>
          <w:marRight w:val="0"/>
          <w:marTop w:val="0"/>
          <w:marBottom w:val="0"/>
          <w:divBdr>
            <w:top w:val="none" w:sz="0" w:space="0" w:color="auto"/>
            <w:left w:val="none" w:sz="0" w:space="0" w:color="auto"/>
            <w:bottom w:val="none" w:sz="0" w:space="0" w:color="auto"/>
            <w:right w:val="none" w:sz="0" w:space="0" w:color="auto"/>
          </w:divBdr>
        </w:div>
      </w:divsChild>
    </w:div>
    <w:div w:id="435097957">
      <w:bodyDiv w:val="1"/>
      <w:marLeft w:val="0"/>
      <w:marRight w:val="0"/>
      <w:marTop w:val="0"/>
      <w:marBottom w:val="0"/>
      <w:divBdr>
        <w:top w:val="none" w:sz="0" w:space="0" w:color="auto"/>
        <w:left w:val="none" w:sz="0" w:space="0" w:color="auto"/>
        <w:bottom w:val="none" w:sz="0" w:space="0" w:color="auto"/>
        <w:right w:val="none" w:sz="0" w:space="0" w:color="auto"/>
      </w:divBdr>
      <w:divsChild>
        <w:div w:id="161236708">
          <w:marLeft w:val="0"/>
          <w:marRight w:val="0"/>
          <w:marTop w:val="0"/>
          <w:marBottom w:val="0"/>
          <w:divBdr>
            <w:top w:val="none" w:sz="0" w:space="0" w:color="auto"/>
            <w:left w:val="none" w:sz="0" w:space="0" w:color="auto"/>
            <w:bottom w:val="none" w:sz="0" w:space="0" w:color="auto"/>
            <w:right w:val="none" w:sz="0" w:space="0" w:color="auto"/>
          </w:divBdr>
        </w:div>
        <w:div w:id="400368508">
          <w:marLeft w:val="0"/>
          <w:marRight w:val="0"/>
          <w:marTop w:val="0"/>
          <w:marBottom w:val="0"/>
          <w:divBdr>
            <w:top w:val="none" w:sz="0" w:space="0" w:color="auto"/>
            <w:left w:val="none" w:sz="0" w:space="0" w:color="auto"/>
            <w:bottom w:val="none" w:sz="0" w:space="0" w:color="auto"/>
            <w:right w:val="none" w:sz="0" w:space="0" w:color="auto"/>
          </w:divBdr>
        </w:div>
        <w:div w:id="925384315">
          <w:marLeft w:val="0"/>
          <w:marRight w:val="0"/>
          <w:marTop w:val="0"/>
          <w:marBottom w:val="0"/>
          <w:divBdr>
            <w:top w:val="none" w:sz="0" w:space="0" w:color="auto"/>
            <w:left w:val="none" w:sz="0" w:space="0" w:color="auto"/>
            <w:bottom w:val="none" w:sz="0" w:space="0" w:color="auto"/>
            <w:right w:val="none" w:sz="0" w:space="0" w:color="auto"/>
          </w:divBdr>
        </w:div>
        <w:div w:id="1120102802">
          <w:marLeft w:val="0"/>
          <w:marRight w:val="0"/>
          <w:marTop w:val="0"/>
          <w:marBottom w:val="0"/>
          <w:divBdr>
            <w:top w:val="none" w:sz="0" w:space="0" w:color="auto"/>
            <w:left w:val="none" w:sz="0" w:space="0" w:color="auto"/>
            <w:bottom w:val="none" w:sz="0" w:space="0" w:color="auto"/>
            <w:right w:val="none" w:sz="0" w:space="0" w:color="auto"/>
          </w:divBdr>
        </w:div>
        <w:div w:id="1294945756">
          <w:marLeft w:val="0"/>
          <w:marRight w:val="0"/>
          <w:marTop w:val="0"/>
          <w:marBottom w:val="0"/>
          <w:divBdr>
            <w:top w:val="none" w:sz="0" w:space="0" w:color="auto"/>
            <w:left w:val="none" w:sz="0" w:space="0" w:color="auto"/>
            <w:bottom w:val="none" w:sz="0" w:space="0" w:color="auto"/>
            <w:right w:val="none" w:sz="0" w:space="0" w:color="auto"/>
          </w:divBdr>
        </w:div>
        <w:div w:id="1891500836">
          <w:marLeft w:val="0"/>
          <w:marRight w:val="0"/>
          <w:marTop w:val="0"/>
          <w:marBottom w:val="0"/>
          <w:divBdr>
            <w:top w:val="none" w:sz="0" w:space="0" w:color="auto"/>
            <w:left w:val="none" w:sz="0" w:space="0" w:color="auto"/>
            <w:bottom w:val="none" w:sz="0" w:space="0" w:color="auto"/>
            <w:right w:val="none" w:sz="0" w:space="0" w:color="auto"/>
          </w:divBdr>
        </w:div>
        <w:div w:id="2080515142">
          <w:marLeft w:val="0"/>
          <w:marRight w:val="0"/>
          <w:marTop w:val="0"/>
          <w:marBottom w:val="0"/>
          <w:divBdr>
            <w:top w:val="none" w:sz="0" w:space="0" w:color="auto"/>
            <w:left w:val="none" w:sz="0" w:space="0" w:color="auto"/>
            <w:bottom w:val="none" w:sz="0" w:space="0" w:color="auto"/>
            <w:right w:val="none" w:sz="0" w:space="0" w:color="auto"/>
          </w:divBdr>
        </w:div>
        <w:div w:id="2141268179">
          <w:marLeft w:val="0"/>
          <w:marRight w:val="0"/>
          <w:marTop w:val="0"/>
          <w:marBottom w:val="0"/>
          <w:divBdr>
            <w:top w:val="none" w:sz="0" w:space="0" w:color="auto"/>
            <w:left w:val="none" w:sz="0" w:space="0" w:color="auto"/>
            <w:bottom w:val="none" w:sz="0" w:space="0" w:color="auto"/>
            <w:right w:val="none" w:sz="0" w:space="0" w:color="auto"/>
          </w:divBdr>
        </w:div>
      </w:divsChild>
    </w:div>
    <w:div w:id="492256362">
      <w:bodyDiv w:val="1"/>
      <w:marLeft w:val="0"/>
      <w:marRight w:val="0"/>
      <w:marTop w:val="0"/>
      <w:marBottom w:val="0"/>
      <w:divBdr>
        <w:top w:val="none" w:sz="0" w:space="0" w:color="auto"/>
        <w:left w:val="none" w:sz="0" w:space="0" w:color="auto"/>
        <w:bottom w:val="none" w:sz="0" w:space="0" w:color="auto"/>
        <w:right w:val="none" w:sz="0" w:space="0" w:color="auto"/>
      </w:divBdr>
      <w:divsChild>
        <w:div w:id="785808185">
          <w:marLeft w:val="0"/>
          <w:marRight w:val="0"/>
          <w:marTop w:val="0"/>
          <w:marBottom w:val="0"/>
          <w:divBdr>
            <w:top w:val="none" w:sz="0" w:space="0" w:color="auto"/>
            <w:left w:val="none" w:sz="0" w:space="0" w:color="auto"/>
            <w:bottom w:val="none" w:sz="0" w:space="0" w:color="auto"/>
            <w:right w:val="none" w:sz="0" w:space="0" w:color="auto"/>
          </w:divBdr>
        </w:div>
        <w:div w:id="948123935">
          <w:marLeft w:val="0"/>
          <w:marRight w:val="0"/>
          <w:marTop w:val="0"/>
          <w:marBottom w:val="0"/>
          <w:divBdr>
            <w:top w:val="none" w:sz="0" w:space="0" w:color="auto"/>
            <w:left w:val="none" w:sz="0" w:space="0" w:color="auto"/>
            <w:bottom w:val="none" w:sz="0" w:space="0" w:color="auto"/>
            <w:right w:val="none" w:sz="0" w:space="0" w:color="auto"/>
          </w:divBdr>
        </w:div>
        <w:div w:id="982737315">
          <w:marLeft w:val="0"/>
          <w:marRight w:val="0"/>
          <w:marTop w:val="0"/>
          <w:marBottom w:val="0"/>
          <w:divBdr>
            <w:top w:val="none" w:sz="0" w:space="0" w:color="auto"/>
            <w:left w:val="none" w:sz="0" w:space="0" w:color="auto"/>
            <w:bottom w:val="none" w:sz="0" w:space="0" w:color="auto"/>
            <w:right w:val="none" w:sz="0" w:space="0" w:color="auto"/>
          </w:divBdr>
        </w:div>
        <w:div w:id="1227254731">
          <w:marLeft w:val="0"/>
          <w:marRight w:val="0"/>
          <w:marTop w:val="0"/>
          <w:marBottom w:val="0"/>
          <w:divBdr>
            <w:top w:val="none" w:sz="0" w:space="0" w:color="auto"/>
            <w:left w:val="none" w:sz="0" w:space="0" w:color="auto"/>
            <w:bottom w:val="none" w:sz="0" w:space="0" w:color="auto"/>
            <w:right w:val="none" w:sz="0" w:space="0" w:color="auto"/>
          </w:divBdr>
        </w:div>
        <w:div w:id="1425682550">
          <w:marLeft w:val="0"/>
          <w:marRight w:val="0"/>
          <w:marTop w:val="0"/>
          <w:marBottom w:val="0"/>
          <w:divBdr>
            <w:top w:val="none" w:sz="0" w:space="0" w:color="auto"/>
            <w:left w:val="none" w:sz="0" w:space="0" w:color="auto"/>
            <w:bottom w:val="none" w:sz="0" w:space="0" w:color="auto"/>
            <w:right w:val="none" w:sz="0" w:space="0" w:color="auto"/>
          </w:divBdr>
        </w:div>
        <w:div w:id="1696006225">
          <w:marLeft w:val="0"/>
          <w:marRight w:val="0"/>
          <w:marTop w:val="0"/>
          <w:marBottom w:val="0"/>
          <w:divBdr>
            <w:top w:val="none" w:sz="0" w:space="0" w:color="auto"/>
            <w:left w:val="none" w:sz="0" w:space="0" w:color="auto"/>
            <w:bottom w:val="none" w:sz="0" w:space="0" w:color="auto"/>
            <w:right w:val="none" w:sz="0" w:space="0" w:color="auto"/>
          </w:divBdr>
        </w:div>
        <w:div w:id="1697805836">
          <w:marLeft w:val="0"/>
          <w:marRight w:val="0"/>
          <w:marTop w:val="0"/>
          <w:marBottom w:val="0"/>
          <w:divBdr>
            <w:top w:val="none" w:sz="0" w:space="0" w:color="auto"/>
            <w:left w:val="none" w:sz="0" w:space="0" w:color="auto"/>
            <w:bottom w:val="none" w:sz="0" w:space="0" w:color="auto"/>
            <w:right w:val="none" w:sz="0" w:space="0" w:color="auto"/>
          </w:divBdr>
        </w:div>
        <w:div w:id="1977221631">
          <w:marLeft w:val="0"/>
          <w:marRight w:val="0"/>
          <w:marTop w:val="0"/>
          <w:marBottom w:val="0"/>
          <w:divBdr>
            <w:top w:val="none" w:sz="0" w:space="0" w:color="auto"/>
            <w:left w:val="none" w:sz="0" w:space="0" w:color="auto"/>
            <w:bottom w:val="none" w:sz="0" w:space="0" w:color="auto"/>
            <w:right w:val="none" w:sz="0" w:space="0" w:color="auto"/>
          </w:divBdr>
        </w:div>
      </w:divsChild>
    </w:div>
    <w:div w:id="498665044">
      <w:bodyDiv w:val="1"/>
      <w:marLeft w:val="0"/>
      <w:marRight w:val="0"/>
      <w:marTop w:val="0"/>
      <w:marBottom w:val="0"/>
      <w:divBdr>
        <w:top w:val="none" w:sz="0" w:space="0" w:color="auto"/>
        <w:left w:val="none" w:sz="0" w:space="0" w:color="auto"/>
        <w:bottom w:val="none" w:sz="0" w:space="0" w:color="auto"/>
        <w:right w:val="none" w:sz="0" w:space="0" w:color="auto"/>
      </w:divBdr>
      <w:divsChild>
        <w:div w:id="3292292">
          <w:marLeft w:val="0"/>
          <w:marRight w:val="0"/>
          <w:marTop w:val="0"/>
          <w:marBottom w:val="0"/>
          <w:divBdr>
            <w:top w:val="none" w:sz="0" w:space="0" w:color="auto"/>
            <w:left w:val="none" w:sz="0" w:space="0" w:color="auto"/>
            <w:bottom w:val="none" w:sz="0" w:space="0" w:color="auto"/>
            <w:right w:val="none" w:sz="0" w:space="0" w:color="auto"/>
          </w:divBdr>
        </w:div>
        <w:div w:id="396443730">
          <w:marLeft w:val="0"/>
          <w:marRight w:val="0"/>
          <w:marTop w:val="0"/>
          <w:marBottom w:val="0"/>
          <w:divBdr>
            <w:top w:val="none" w:sz="0" w:space="0" w:color="auto"/>
            <w:left w:val="none" w:sz="0" w:space="0" w:color="auto"/>
            <w:bottom w:val="none" w:sz="0" w:space="0" w:color="auto"/>
            <w:right w:val="none" w:sz="0" w:space="0" w:color="auto"/>
          </w:divBdr>
        </w:div>
        <w:div w:id="699667022">
          <w:marLeft w:val="0"/>
          <w:marRight w:val="0"/>
          <w:marTop w:val="0"/>
          <w:marBottom w:val="0"/>
          <w:divBdr>
            <w:top w:val="none" w:sz="0" w:space="0" w:color="auto"/>
            <w:left w:val="none" w:sz="0" w:space="0" w:color="auto"/>
            <w:bottom w:val="none" w:sz="0" w:space="0" w:color="auto"/>
            <w:right w:val="none" w:sz="0" w:space="0" w:color="auto"/>
          </w:divBdr>
        </w:div>
        <w:div w:id="1234899275">
          <w:marLeft w:val="0"/>
          <w:marRight w:val="0"/>
          <w:marTop w:val="0"/>
          <w:marBottom w:val="0"/>
          <w:divBdr>
            <w:top w:val="none" w:sz="0" w:space="0" w:color="auto"/>
            <w:left w:val="none" w:sz="0" w:space="0" w:color="auto"/>
            <w:bottom w:val="none" w:sz="0" w:space="0" w:color="auto"/>
            <w:right w:val="none" w:sz="0" w:space="0" w:color="auto"/>
          </w:divBdr>
        </w:div>
        <w:div w:id="1274902222">
          <w:marLeft w:val="0"/>
          <w:marRight w:val="0"/>
          <w:marTop w:val="0"/>
          <w:marBottom w:val="0"/>
          <w:divBdr>
            <w:top w:val="none" w:sz="0" w:space="0" w:color="auto"/>
            <w:left w:val="none" w:sz="0" w:space="0" w:color="auto"/>
            <w:bottom w:val="none" w:sz="0" w:space="0" w:color="auto"/>
            <w:right w:val="none" w:sz="0" w:space="0" w:color="auto"/>
          </w:divBdr>
        </w:div>
        <w:div w:id="1439136399">
          <w:marLeft w:val="0"/>
          <w:marRight w:val="0"/>
          <w:marTop w:val="0"/>
          <w:marBottom w:val="0"/>
          <w:divBdr>
            <w:top w:val="none" w:sz="0" w:space="0" w:color="auto"/>
            <w:left w:val="none" w:sz="0" w:space="0" w:color="auto"/>
            <w:bottom w:val="none" w:sz="0" w:space="0" w:color="auto"/>
            <w:right w:val="none" w:sz="0" w:space="0" w:color="auto"/>
          </w:divBdr>
        </w:div>
        <w:div w:id="1658267324">
          <w:marLeft w:val="0"/>
          <w:marRight w:val="0"/>
          <w:marTop w:val="0"/>
          <w:marBottom w:val="0"/>
          <w:divBdr>
            <w:top w:val="none" w:sz="0" w:space="0" w:color="auto"/>
            <w:left w:val="none" w:sz="0" w:space="0" w:color="auto"/>
            <w:bottom w:val="none" w:sz="0" w:space="0" w:color="auto"/>
            <w:right w:val="none" w:sz="0" w:space="0" w:color="auto"/>
          </w:divBdr>
        </w:div>
        <w:div w:id="1711146406">
          <w:marLeft w:val="0"/>
          <w:marRight w:val="0"/>
          <w:marTop w:val="0"/>
          <w:marBottom w:val="0"/>
          <w:divBdr>
            <w:top w:val="none" w:sz="0" w:space="0" w:color="auto"/>
            <w:left w:val="none" w:sz="0" w:space="0" w:color="auto"/>
            <w:bottom w:val="none" w:sz="0" w:space="0" w:color="auto"/>
            <w:right w:val="none" w:sz="0" w:space="0" w:color="auto"/>
          </w:divBdr>
        </w:div>
      </w:divsChild>
    </w:div>
    <w:div w:id="523444916">
      <w:bodyDiv w:val="1"/>
      <w:marLeft w:val="0"/>
      <w:marRight w:val="0"/>
      <w:marTop w:val="0"/>
      <w:marBottom w:val="0"/>
      <w:divBdr>
        <w:top w:val="none" w:sz="0" w:space="0" w:color="auto"/>
        <w:left w:val="none" w:sz="0" w:space="0" w:color="auto"/>
        <w:bottom w:val="none" w:sz="0" w:space="0" w:color="auto"/>
        <w:right w:val="none" w:sz="0" w:space="0" w:color="auto"/>
      </w:divBdr>
      <w:divsChild>
        <w:div w:id="135808030">
          <w:marLeft w:val="0"/>
          <w:marRight w:val="0"/>
          <w:marTop w:val="0"/>
          <w:marBottom w:val="0"/>
          <w:divBdr>
            <w:top w:val="none" w:sz="0" w:space="0" w:color="auto"/>
            <w:left w:val="none" w:sz="0" w:space="0" w:color="auto"/>
            <w:bottom w:val="none" w:sz="0" w:space="0" w:color="auto"/>
            <w:right w:val="none" w:sz="0" w:space="0" w:color="auto"/>
          </w:divBdr>
        </w:div>
        <w:div w:id="393697029">
          <w:marLeft w:val="0"/>
          <w:marRight w:val="0"/>
          <w:marTop w:val="0"/>
          <w:marBottom w:val="0"/>
          <w:divBdr>
            <w:top w:val="none" w:sz="0" w:space="0" w:color="auto"/>
            <w:left w:val="none" w:sz="0" w:space="0" w:color="auto"/>
            <w:bottom w:val="none" w:sz="0" w:space="0" w:color="auto"/>
            <w:right w:val="none" w:sz="0" w:space="0" w:color="auto"/>
          </w:divBdr>
        </w:div>
        <w:div w:id="681779536">
          <w:marLeft w:val="0"/>
          <w:marRight w:val="0"/>
          <w:marTop w:val="0"/>
          <w:marBottom w:val="0"/>
          <w:divBdr>
            <w:top w:val="none" w:sz="0" w:space="0" w:color="auto"/>
            <w:left w:val="none" w:sz="0" w:space="0" w:color="auto"/>
            <w:bottom w:val="none" w:sz="0" w:space="0" w:color="auto"/>
            <w:right w:val="none" w:sz="0" w:space="0" w:color="auto"/>
          </w:divBdr>
        </w:div>
        <w:div w:id="865558833">
          <w:marLeft w:val="0"/>
          <w:marRight w:val="0"/>
          <w:marTop w:val="0"/>
          <w:marBottom w:val="0"/>
          <w:divBdr>
            <w:top w:val="none" w:sz="0" w:space="0" w:color="auto"/>
            <w:left w:val="none" w:sz="0" w:space="0" w:color="auto"/>
            <w:bottom w:val="none" w:sz="0" w:space="0" w:color="auto"/>
            <w:right w:val="none" w:sz="0" w:space="0" w:color="auto"/>
          </w:divBdr>
        </w:div>
        <w:div w:id="978731064">
          <w:marLeft w:val="0"/>
          <w:marRight w:val="0"/>
          <w:marTop w:val="0"/>
          <w:marBottom w:val="0"/>
          <w:divBdr>
            <w:top w:val="none" w:sz="0" w:space="0" w:color="auto"/>
            <w:left w:val="none" w:sz="0" w:space="0" w:color="auto"/>
            <w:bottom w:val="none" w:sz="0" w:space="0" w:color="auto"/>
            <w:right w:val="none" w:sz="0" w:space="0" w:color="auto"/>
          </w:divBdr>
        </w:div>
        <w:div w:id="1230967633">
          <w:marLeft w:val="0"/>
          <w:marRight w:val="0"/>
          <w:marTop w:val="0"/>
          <w:marBottom w:val="0"/>
          <w:divBdr>
            <w:top w:val="none" w:sz="0" w:space="0" w:color="auto"/>
            <w:left w:val="none" w:sz="0" w:space="0" w:color="auto"/>
            <w:bottom w:val="none" w:sz="0" w:space="0" w:color="auto"/>
            <w:right w:val="none" w:sz="0" w:space="0" w:color="auto"/>
          </w:divBdr>
        </w:div>
        <w:div w:id="1503006054">
          <w:marLeft w:val="0"/>
          <w:marRight w:val="0"/>
          <w:marTop w:val="0"/>
          <w:marBottom w:val="0"/>
          <w:divBdr>
            <w:top w:val="none" w:sz="0" w:space="0" w:color="auto"/>
            <w:left w:val="none" w:sz="0" w:space="0" w:color="auto"/>
            <w:bottom w:val="none" w:sz="0" w:space="0" w:color="auto"/>
            <w:right w:val="none" w:sz="0" w:space="0" w:color="auto"/>
          </w:divBdr>
        </w:div>
        <w:div w:id="2109541688">
          <w:marLeft w:val="0"/>
          <w:marRight w:val="0"/>
          <w:marTop w:val="0"/>
          <w:marBottom w:val="0"/>
          <w:divBdr>
            <w:top w:val="none" w:sz="0" w:space="0" w:color="auto"/>
            <w:left w:val="none" w:sz="0" w:space="0" w:color="auto"/>
            <w:bottom w:val="none" w:sz="0" w:space="0" w:color="auto"/>
            <w:right w:val="none" w:sz="0" w:space="0" w:color="auto"/>
          </w:divBdr>
        </w:div>
      </w:divsChild>
    </w:div>
    <w:div w:id="543450619">
      <w:bodyDiv w:val="1"/>
      <w:marLeft w:val="0"/>
      <w:marRight w:val="0"/>
      <w:marTop w:val="0"/>
      <w:marBottom w:val="0"/>
      <w:divBdr>
        <w:top w:val="none" w:sz="0" w:space="0" w:color="auto"/>
        <w:left w:val="none" w:sz="0" w:space="0" w:color="auto"/>
        <w:bottom w:val="none" w:sz="0" w:space="0" w:color="auto"/>
        <w:right w:val="none" w:sz="0" w:space="0" w:color="auto"/>
      </w:divBdr>
      <w:divsChild>
        <w:div w:id="486869404">
          <w:marLeft w:val="0"/>
          <w:marRight w:val="0"/>
          <w:marTop w:val="0"/>
          <w:marBottom w:val="0"/>
          <w:divBdr>
            <w:top w:val="none" w:sz="0" w:space="0" w:color="auto"/>
            <w:left w:val="none" w:sz="0" w:space="0" w:color="auto"/>
            <w:bottom w:val="none" w:sz="0" w:space="0" w:color="auto"/>
            <w:right w:val="none" w:sz="0" w:space="0" w:color="auto"/>
          </w:divBdr>
        </w:div>
        <w:div w:id="1072433687">
          <w:marLeft w:val="0"/>
          <w:marRight w:val="0"/>
          <w:marTop w:val="0"/>
          <w:marBottom w:val="0"/>
          <w:divBdr>
            <w:top w:val="none" w:sz="0" w:space="0" w:color="auto"/>
            <w:left w:val="none" w:sz="0" w:space="0" w:color="auto"/>
            <w:bottom w:val="none" w:sz="0" w:space="0" w:color="auto"/>
            <w:right w:val="none" w:sz="0" w:space="0" w:color="auto"/>
          </w:divBdr>
        </w:div>
        <w:div w:id="1518033422">
          <w:marLeft w:val="0"/>
          <w:marRight w:val="0"/>
          <w:marTop w:val="0"/>
          <w:marBottom w:val="0"/>
          <w:divBdr>
            <w:top w:val="none" w:sz="0" w:space="0" w:color="auto"/>
            <w:left w:val="none" w:sz="0" w:space="0" w:color="auto"/>
            <w:bottom w:val="none" w:sz="0" w:space="0" w:color="auto"/>
            <w:right w:val="none" w:sz="0" w:space="0" w:color="auto"/>
          </w:divBdr>
        </w:div>
        <w:div w:id="1552156412">
          <w:marLeft w:val="0"/>
          <w:marRight w:val="0"/>
          <w:marTop w:val="0"/>
          <w:marBottom w:val="0"/>
          <w:divBdr>
            <w:top w:val="none" w:sz="0" w:space="0" w:color="auto"/>
            <w:left w:val="none" w:sz="0" w:space="0" w:color="auto"/>
            <w:bottom w:val="none" w:sz="0" w:space="0" w:color="auto"/>
            <w:right w:val="none" w:sz="0" w:space="0" w:color="auto"/>
          </w:divBdr>
        </w:div>
        <w:div w:id="1863013319">
          <w:marLeft w:val="0"/>
          <w:marRight w:val="0"/>
          <w:marTop w:val="0"/>
          <w:marBottom w:val="0"/>
          <w:divBdr>
            <w:top w:val="none" w:sz="0" w:space="0" w:color="auto"/>
            <w:left w:val="none" w:sz="0" w:space="0" w:color="auto"/>
            <w:bottom w:val="none" w:sz="0" w:space="0" w:color="auto"/>
            <w:right w:val="none" w:sz="0" w:space="0" w:color="auto"/>
          </w:divBdr>
        </w:div>
        <w:div w:id="1896157020">
          <w:marLeft w:val="0"/>
          <w:marRight w:val="0"/>
          <w:marTop w:val="0"/>
          <w:marBottom w:val="0"/>
          <w:divBdr>
            <w:top w:val="none" w:sz="0" w:space="0" w:color="auto"/>
            <w:left w:val="none" w:sz="0" w:space="0" w:color="auto"/>
            <w:bottom w:val="none" w:sz="0" w:space="0" w:color="auto"/>
            <w:right w:val="none" w:sz="0" w:space="0" w:color="auto"/>
          </w:divBdr>
        </w:div>
        <w:div w:id="2005741244">
          <w:marLeft w:val="0"/>
          <w:marRight w:val="0"/>
          <w:marTop w:val="0"/>
          <w:marBottom w:val="0"/>
          <w:divBdr>
            <w:top w:val="none" w:sz="0" w:space="0" w:color="auto"/>
            <w:left w:val="none" w:sz="0" w:space="0" w:color="auto"/>
            <w:bottom w:val="none" w:sz="0" w:space="0" w:color="auto"/>
            <w:right w:val="none" w:sz="0" w:space="0" w:color="auto"/>
          </w:divBdr>
        </w:div>
        <w:div w:id="2122456976">
          <w:marLeft w:val="0"/>
          <w:marRight w:val="0"/>
          <w:marTop w:val="0"/>
          <w:marBottom w:val="0"/>
          <w:divBdr>
            <w:top w:val="none" w:sz="0" w:space="0" w:color="auto"/>
            <w:left w:val="none" w:sz="0" w:space="0" w:color="auto"/>
            <w:bottom w:val="none" w:sz="0" w:space="0" w:color="auto"/>
            <w:right w:val="none" w:sz="0" w:space="0" w:color="auto"/>
          </w:divBdr>
        </w:div>
      </w:divsChild>
    </w:div>
    <w:div w:id="548077813">
      <w:bodyDiv w:val="1"/>
      <w:marLeft w:val="0"/>
      <w:marRight w:val="0"/>
      <w:marTop w:val="0"/>
      <w:marBottom w:val="0"/>
      <w:divBdr>
        <w:top w:val="none" w:sz="0" w:space="0" w:color="auto"/>
        <w:left w:val="none" w:sz="0" w:space="0" w:color="auto"/>
        <w:bottom w:val="none" w:sz="0" w:space="0" w:color="auto"/>
        <w:right w:val="none" w:sz="0" w:space="0" w:color="auto"/>
      </w:divBdr>
      <w:divsChild>
        <w:div w:id="77792671">
          <w:marLeft w:val="0"/>
          <w:marRight w:val="0"/>
          <w:marTop w:val="0"/>
          <w:marBottom w:val="0"/>
          <w:divBdr>
            <w:top w:val="none" w:sz="0" w:space="0" w:color="auto"/>
            <w:left w:val="none" w:sz="0" w:space="0" w:color="auto"/>
            <w:bottom w:val="none" w:sz="0" w:space="0" w:color="auto"/>
            <w:right w:val="none" w:sz="0" w:space="0" w:color="auto"/>
          </w:divBdr>
        </w:div>
        <w:div w:id="406028076">
          <w:marLeft w:val="0"/>
          <w:marRight w:val="0"/>
          <w:marTop w:val="0"/>
          <w:marBottom w:val="0"/>
          <w:divBdr>
            <w:top w:val="none" w:sz="0" w:space="0" w:color="auto"/>
            <w:left w:val="none" w:sz="0" w:space="0" w:color="auto"/>
            <w:bottom w:val="none" w:sz="0" w:space="0" w:color="auto"/>
            <w:right w:val="none" w:sz="0" w:space="0" w:color="auto"/>
          </w:divBdr>
        </w:div>
        <w:div w:id="647058084">
          <w:marLeft w:val="0"/>
          <w:marRight w:val="0"/>
          <w:marTop w:val="0"/>
          <w:marBottom w:val="0"/>
          <w:divBdr>
            <w:top w:val="none" w:sz="0" w:space="0" w:color="auto"/>
            <w:left w:val="none" w:sz="0" w:space="0" w:color="auto"/>
            <w:bottom w:val="none" w:sz="0" w:space="0" w:color="auto"/>
            <w:right w:val="none" w:sz="0" w:space="0" w:color="auto"/>
          </w:divBdr>
        </w:div>
        <w:div w:id="1059208481">
          <w:marLeft w:val="0"/>
          <w:marRight w:val="0"/>
          <w:marTop w:val="0"/>
          <w:marBottom w:val="0"/>
          <w:divBdr>
            <w:top w:val="none" w:sz="0" w:space="0" w:color="auto"/>
            <w:left w:val="none" w:sz="0" w:space="0" w:color="auto"/>
            <w:bottom w:val="none" w:sz="0" w:space="0" w:color="auto"/>
            <w:right w:val="none" w:sz="0" w:space="0" w:color="auto"/>
          </w:divBdr>
        </w:div>
        <w:div w:id="1192111449">
          <w:marLeft w:val="0"/>
          <w:marRight w:val="0"/>
          <w:marTop w:val="0"/>
          <w:marBottom w:val="0"/>
          <w:divBdr>
            <w:top w:val="none" w:sz="0" w:space="0" w:color="auto"/>
            <w:left w:val="none" w:sz="0" w:space="0" w:color="auto"/>
            <w:bottom w:val="none" w:sz="0" w:space="0" w:color="auto"/>
            <w:right w:val="none" w:sz="0" w:space="0" w:color="auto"/>
          </w:divBdr>
        </w:div>
        <w:div w:id="1311061944">
          <w:marLeft w:val="0"/>
          <w:marRight w:val="0"/>
          <w:marTop w:val="0"/>
          <w:marBottom w:val="0"/>
          <w:divBdr>
            <w:top w:val="none" w:sz="0" w:space="0" w:color="auto"/>
            <w:left w:val="none" w:sz="0" w:space="0" w:color="auto"/>
            <w:bottom w:val="none" w:sz="0" w:space="0" w:color="auto"/>
            <w:right w:val="none" w:sz="0" w:space="0" w:color="auto"/>
          </w:divBdr>
        </w:div>
        <w:div w:id="1750730200">
          <w:marLeft w:val="0"/>
          <w:marRight w:val="0"/>
          <w:marTop w:val="0"/>
          <w:marBottom w:val="0"/>
          <w:divBdr>
            <w:top w:val="none" w:sz="0" w:space="0" w:color="auto"/>
            <w:left w:val="none" w:sz="0" w:space="0" w:color="auto"/>
            <w:bottom w:val="none" w:sz="0" w:space="0" w:color="auto"/>
            <w:right w:val="none" w:sz="0" w:space="0" w:color="auto"/>
          </w:divBdr>
        </w:div>
        <w:div w:id="1877886975">
          <w:marLeft w:val="0"/>
          <w:marRight w:val="0"/>
          <w:marTop w:val="0"/>
          <w:marBottom w:val="0"/>
          <w:divBdr>
            <w:top w:val="none" w:sz="0" w:space="0" w:color="auto"/>
            <w:left w:val="none" w:sz="0" w:space="0" w:color="auto"/>
            <w:bottom w:val="none" w:sz="0" w:space="0" w:color="auto"/>
            <w:right w:val="none" w:sz="0" w:space="0" w:color="auto"/>
          </w:divBdr>
        </w:div>
      </w:divsChild>
    </w:div>
    <w:div w:id="561864068">
      <w:bodyDiv w:val="1"/>
      <w:marLeft w:val="0"/>
      <w:marRight w:val="0"/>
      <w:marTop w:val="0"/>
      <w:marBottom w:val="0"/>
      <w:divBdr>
        <w:top w:val="none" w:sz="0" w:space="0" w:color="auto"/>
        <w:left w:val="none" w:sz="0" w:space="0" w:color="auto"/>
        <w:bottom w:val="none" w:sz="0" w:space="0" w:color="auto"/>
        <w:right w:val="none" w:sz="0" w:space="0" w:color="auto"/>
      </w:divBdr>
      <w:divsChild>
        <w:div w:id="220672878">
          <w:marLeft w:val="0"/>
          <w:marRight w:val="0"/>
          <w:marTop w:val="0"/>
          <w:marBottom w:val="0"/>
          <w:divBdr>
            <w:top w:val="none" w:sz="0" w:space="0" w:color="auto"/>
            <w:left w:val="none" w:sz="0" w:space="0" w:color="auto"/>
            <w:bottom w:val="none" w:sz="0" w:space="0" w:color="auto"/>
            <w:right w:val="none" w:sz="0" w:space="0" w:color="auto"/>
          </w:divBdr>
        </w:div>
        <w:div w:id="338385410">
          <w:marLeft w:val="0"/>
          <w:marRight w:val="0"/>
          <w:marTop w:val="0"/>
          <w:marBottom w:val="0"/>
          <w:divBdr>
            <w:top w:val="none" w:sz="0" w:space="0" w:color="auto"/>
            <w:left w:val="none" w:sz="0" w:space="0" w:color="auto"/>
            <w:bottom w:val="none" w:sz="0" w:space="0" w:color="auto"/>
            <w:right w:val="none" w:sz="0" w:space="0" w:color="auto"/>
          </w:divBdr>
        </w:div>
        <w:div w:id="454368089">
          <w:marLeft w:val="0"/>
          <w:marRight w:val="0"/>
          <w:marTop w:val="0"/>
          <w:marBottom w:val="0"/>
          <w:divBdr>
            <w:top w:val="none" w:sz="0" w:space="0" w:color="auto"/>
            <w:left w:val="none" w:sz="0" w:space="0" w:color="auto"/>
            <w:bottom w:val="none" w:sz="0" w:space="0" w:color="auto"/>
            <w:right w:val="none" w:sz="0" w:space="0" w:color="auto"/>
          </w:divBdr>
        </w:div>
        <w:div w:id="554707501">
          <w:marLeft w:val="0"/>
          <w:marRight w:val="0"/>
          <w:marTop w:val="0"/>
          <w:marBottom w:val="0"/>
          <w:divBdr>
            <w:top w:val="none" w:sz="0" w:space="0" w:color="auto"/>
            <w:left w:val="none" w:sz="0" w:space="0" w:color="auto"/>
            <w:bottom w:val="none" w:sz="0" w:space="0" w:color="auto"/>
            <w:right w:val="none" w:sz="0" w:space="0" w:color="auto"/>
          </w:divBdr>
        </w:div>
        <w:div w:id="578834498">
          <w:marLeft w:val="0"/>
          <w:marRight w:val="0"/>
          <w:marTop w:val="0"/>
          <w:marBottom w:val="0"/>
          <w:divBdr>
            <w:top w:val="none" w:sz="0" w:space="0" w:color="auto"/>
            <w:left w:val="none" w:sz="0" w:space="0" w:color="auto"/>
            <w:bottom w:val="none" w:sz="0" w:space="0" w:color="auto"/>
            <w:right w:val="none" w:sz="0" w:space="0" w:color="auto"/>
          </w:divBdr>
        </w:div>
        <w:div w:id="785004361">
          <w:marLeft w:val="0"/>
          <w:marRight w:val="0"/>
          <w:marTop w:val="0"/>
          <w:marBottom w:val="0"/>
          <w:divBdr>
            <w:top w:val="none" w:sz="0" w:space="0" w:color="auto"/>
            <w:left w:val="none" w:sz="0" w:space="0" w:color="auto"/>
            <w:bottom w:val="none" w:sz="0" w:space="0" w:color="auto"/>
            <w:right w:val="none" w:sz="0" w:space="0" w:color="auto"/>
          </w:divBdr>
        </w:div>
        <w:div w:id="2027750775">
          <w:marLeft w:val="0"/>
          <w:marRight w:val="0"/>
          <w:marTop w:val="0"/>
          <w:marBottom w:val="0"/>
          <w:divBdr>
            <w:top w:val="none" w:sz="0" w:space="0" w:color="auto"/>
            <w:left w:val="none" w:sz="0" w:space="0" w:color="auto"/>
            <w:bottom w:val="none" w:sz="0" w:space="0" w:color="auto"/>
            <w:right w:val="none" w:sz="0" w:space="0" w:color="auto"/>
          </w:divBdr>
        </w:div>
      </w:divsChild>
    </w:div>
    <w:div w:id="601113707">
      <w:bodyDiv w:val="1"/>
      <w:marLeft w:val="0"/>
      <w:marRight w:val="0"/>
      <w:marTop w:val="0"/>
      <w:marBottom w:val="0"/>
      <w:divBdr>
        <w:top w:val="none" w:sz="0" w:space="0" w:color="auto"/>
        <w:left w:val="none" w:sz="0" w:space="0" w:color="auto"/>
        <w:bottom w:val="none" w:sz="0" w:space="0" w:color="auto"/>
        <w:right w:val="none" w:sz="0" w:space="0" w:color="auto"/>
      </w:divBdr>
      <w:divsChild>
        <w:div w:id="351147277">
          <w:marLeft w:val="0"/>
          <w:marRight w:val="0"/>
          <w:marTop w:val="0"/>
          <w:marBottom w:val="0"/>
          <w:divBdr>
            <w:top w:val="none" w:sz="0" w:space="0" w:color="auto"/>
            <w:left w:val="none" w:sz="0" w:space="0" w:color="auto"/>
            <w:bottom w:val="none" w:sz="0" w:space="0" w:color="auto"/>
            <w:right w:val="none" w:sz="0" w:space="0" w:color="auto"/>
          </w:divBdr>
        </w:div>
        <w:div w:id="377821295">
          <w:marLeft w:val="0"/>
          <w:marRight w:val="0"/>
          <w:marTop w:val="0"/>
          <w:marBottom w:val="0"/>
          <w:divBdr>
            <w:top w:val="none" w:sz="0" w:space="0" w:color="auto"/>
            <w:left w:val="none" w:sz="0" w:space="0" w:color="auto"/>
            <w:bottom w:val="none" w:sz="0" w:space="0" w:color="auto"/>
            <w:right w:val="none" w:sz="0" w:space="0" w:color="auto"/>
          </w:divBdr>
        </w:div>
        <w:div w:id="415517368">
          <w:marLeft w:val="0"/>
          <w:marRight w:val="0"/>
          <w:marTop w:val="0"/>
          <w:marBottom w:val="0"/>
          <w:divBdr>
            <w:top w:val="none" w:sz="0" w:space="0" w:color="auto"/>
            <w:left w:val="none" w:sz="0" w:space="0" w:color="auto"/>
            <w:bottom w:val="none" w:sz="0" w:space="0" w:color="auto"/>
            <w:right w:val="none" w:sz="0" w:space="0" w:color="auto"/>
          </w:divBdr>
        </w:div>
        <w:div w:id="524370549">
          <w:marLeft w:val="0"/>
          <w:marRight w:val="0"/>
          <w:marTop w:val="0"/>
          <w:marBottom w:val="0"/>
          <w:divBdr>
            <w:top w:val="none" w:sz="0" w:space="0" w:color="auto"/>
            <w:left w:val="none" w:sz="0" w:space="0" w:color="auto"/>
            <w:bottom w:val="none" w:sz="0" w:space="0" w:color="auto"/>
            <w:right w:val="none" w:sz="0" w:space="0" w:color="auto"/>
          </w:divBdr>
        </w:div>
        <w:div w:id="1009598017">
          <w:marLeft w:val="0"/>
          <w:marRight w:val="0"/>
          <w:marTop w:val="0"/>
          <w:marBottom w:val="0"/>
          <w:divBdr>
            <w:top w:val="none" w:sz="0" w:space="0" w:color="auto"/>
            <w:left w:val="none" w:sz="0" w:space="0" w:color="auto"/>
            <w:bottom w:val="none" w:sz="0" w:space="0" w:color="auto"/>
            <w:right w:val="none" w:sz="0" w:space="0" w:color="auto"/>
          </w:divBdr>
        </w:div>
        <w:div w:id="1628774166">
          <w:marLeft w:val="0"/>
          <w:marRight w:val="0"/>
          <w:marTop w:val="0"/>
          <w:marBottom w:val="0"/>
          <w:divBdr>
            <w:top w:val="none" w:sz="0" w:space="0" w:color="auto"/>
            <w:left w:val="none" w:sz="0" w:space="0" w:color="auto"/>
            <w:bottom w:val="none" w:sz="0" w:space="0" w:color="auto"/>
            <w:right w:val="none" w:sz="0" w:space="0" w:color="auto"/>
          </w:divBdr>
        </w:div>
        <w:div w:id="1880775360">
          <w:marLeft w:val="0"/>
          <w:marRight w:val="0"/>
          <w:marTop w:val="0"/>
          <w:marBottom w:val="0"/>
          <w:divBdr>
            <w:top w:val="none" w:sz="0" w:space="0" w:color="auto"/>
            <w:left w:val="none" w:sz="0" w:space="0" w:color="auto"/>
            <w:bottom w:val="none" w:sz="0" w:space="0" w:color="auto"/>
            <w:right w:val="none" w:sz="0" w:space="0" w:color="auto"/>
          </w:divBdr>
        </w:div>
        <w:div w:id="2072924417">
          <w:marLeft w:val="0"/>
          <w:marRight w:val="0"/>
          <w:marTop w:val="0"/>
          <w:marBottom w:val="0"/>
          <w:divBdr>
            <w:top w:val="none" w:sz="0" w:space="0" w:color="auto"/>
            <w:left w:val="none" w:sz="0" w:space="0" w:color="auto"/>
            <w:bottom w:val="none" w:sz="0" w:space="0" w:color="auto"/>
            <w:right w:val="none" w:sz="0" w:space="0" w:color="auto"/>
          </w:divBdr>
        </w:div>
      </w:divsChild>
    </w:div>
    <w:div w:id="620036197">
      <w:bodyDiv w:val="1"/>
      <w:marLeft w:val="0"/>
      <w:marRight w:val="0"/>
      <w:marTop w:val="0"/>
      <w:marBottom w:val="0"/>
      <w:divBdr>
        <w:top w:val="none" w:sz="0" w:space="0" w:color="auto"/>
        <w:left w:val="none" w:sz="0" w:space="0" w:color="auto"/>
        <w:bottom w:val="none" w:sz="0" w:space="0" w:color="auto"/>
        <w:right w:val="none" w:sz="0" w:space="0" w:color="auto"/>
      </w:divBdr>
      <w:divsChild>
        <w:div w:id="192159552">
          <w:marLeft w:val="0"/>
          <w:marRight w:val="0"/>
          <w:marTop w:val="0"/>
          <w:marBottom w:val="0"/>
          <w:divBdr>
            <w:top w:val="none" w:sz="0" w:space="0" w:color="auto"/>
            <w:left w:val="none" w:sz="0" w:space="0" w:color="auto"/>
            <w:bottom w:val="none" w:sz="0" w:space="0" w:color="auto"/>
            <w:right w:val="none" w:sz="0" w:space="0" w:color="auto"/>
          </w:divBdr>
        </w:div>
        <w:div w:id="432361832">
          <w:marLeft w:val="0"/>
          <w:marRight w:val="0"/>
          <w:marTop w:val="0"/>
          <w:marBottom w:val="0"/>
          <w:divBdr>
            <w:top w:val="none" w:sz="0" w:space="0" w:color="auto"/>
            <w:left w:val="none" w:sz="0" w:space="0" w:color="auto"/>
            <w:bottom w:val="none" w:sz="0" w:space="0" w:color="auto"/>
            <w:right w:val="none" w:sz="0" w:space="0" w:color="auto"/>
          </w:divBdr>
        </w:div>
        <w:div w:id="889808455">
          <w:marLeft w:val="0"/>
          <w:marRight w:val="0"/>
          <w:marTop w:val="0"/>
          <w:marBottom w:val="0"/>
          <w:divBdr>
            <w:top w:val="none" w:sz="0" w:space="0" w:color="auto"/>
            <w:left w:val="none" w:sz="0" w:space="0" w:color="auto"/>
            <w:bottom w:val="none" w:sz="0" w:space="0" w:color="auto"/>
            <w:right w:val="none" w:sz="0" w:space="0" w:color="auto"/>
          </w:divBdr>
        </w:div>
        <w:div w:id="1120759384">
          <w:marLeft w:val="0"/>
          <w:marRight w:val="0"/>
          <w:marTop w:val="0"/>
          <w:marBottom w:val="0"/>
          <w:divBdr>
            <w:top w:val="none" w:sz="0" w:space="0" w:color="auto"/>
            <w:left w:val="none" w:sz="0" w:space="0" w:color="auto"/>
            <w:bottom w:val="none" w:sz="0" w:space="0" w:color="auto"/>
            <w:right w:val="none" w:sz="0" w:space="0" w:color="auto"/>
          </w:divBdr>
        </w:div>
        <w:div w:id="1254047111">
          <w:marLeft w:val="0"/>
          <w:marRight w:val="0"/>
          <w:marTop w:val="0"/>
          <w:marBottom w:val="0"/>
          <w:divBdr>
            <w:top w:val="none" w:sz="0" w:space="0" w:color="auto"/>
            <w:left w:val="none" w:sz="0" w:space="0" w:color="auto"/>
            <w:bottom w:val="none" w:sz="0" w:space="0" w:color="auto"/>
            <w:right w:val="none" w:sz="0" w:space="0" w:color="auto"/>
          </w:divBdr>
        </w:div>
        <w:div w:id="1453358906">
          <w:marLeft w:val="0"/>
          <w:marRight w:val="0"/>
          <w:marTop w:val="0"/>
          <w:marBottom w:val="0"/>
          <w:divBdr>
            <w:top w:val="none" w:sz="0" w:space="0" w:color="auto"/>
            <w:left w:val="none" w:sz="0" w:space="0" w:color="auto"/>
            <w:bottom w:val="none" w:sz="0" w:space="0" w:color="auto"/>
            <w:right w:val="none" w:sz="0" w:space="0" w:color="auto"/>
          </w:divBdr>
        </w:div>
        <w:div w:id="1824200647">
          <w:marLeft w:val="0"/>
          <w:marRight w:val="0"/>
          <w:marTop w:val="0"/>
          <w:marBottom w:val="0"/>
          <w:divBdr>
            <w:top w:val="none" w:sz="0" w:space="0" w:color="auto"/>
            <w:left w:val="none" w:sz="0" w:space="0" w:color="auto"/>
            <w:bottom w:val="none" w:sz="0" w:space="0" w:color="auto"/>
            <w:right w:val="none" w:sz="0" w:space="0" w:color="auto"/>
          </w:divBdr>
        </w:div>
        <w:div w:id="2059165386">
          <w:marLeft w:val="0"/>
          <w:marRight w:val="0"/>
          <w:marTop w:val="0"/>
          <w:marBottom w:val="0"/>
          <w:divBdr>
            <w:top w:val="none" w:sz="0" w:space="0" w:color="auto"/>
            <w:left w:val="none" w:sz="0" w:space="0" w:color="auto"/>
            <w:bottom w:val="none" w:sz="0" w:space="0" w:color="auto"/>
            <w:right w:val="none" w:sz="0" w:space="0" w:color="auto"/>
          </w:divBdr>
        </w:div>
      </w:divsChild>
    </w:div>
    <w:div w:id="626207429">
      <w:bodyDiv w:val="1"/>
      <w:marLeft w:val="0"/>
      <w:marRight w:val="0"/>
      <w:marTop w:val="0"/>
      <w:marBottom w:val="0"/>
      <w:divBdr>
        <w:top w:val="none" w:sz="0" w:space="0" w:color="auto"/>
        <w:left w:val="none" w:sz="0" w:space="0" w:color="auto"/>
        <w:bottom w:val="none" w:sz="0" w:space="0" w:color="auto"/>
        <w:right w:val="none" w:sz="0" w:space="0" w:color="auto"/>
      </w:divBdr>
    </w:div>
    <w:div w:id="627784409">
      <w:bodyDiv w:val="1"/>
      <w:marLeft w:val="0"/>
      <w:marRight w:val="0"/>
      <w:marTop w:val="0"/>
      <w:marBottom w:val="0"/>
      <w:divBdr>
        <w:top w:val="none" w:sz="0" w:space="0" w:color="auto"/>
        <w:left w:val="none" w:sz="0" w:space="0" w:color="auto"/>
        <w:bottom w:val="none" w:sz="0" w:space="0" w:color="auto"/>
        <w:right w:val="none" w:sz="0" w:space="0" w:color="auto"/>
      </w:divBdr>
      <w:divsChild>
        <w:div w:id="38671065">
          <w:marLeft w:val="0"/>
          <w:marRight w:val="0"/>
          <w:marTop w:val="0"/>
          <w:marBottom w:val="0"/>
          <w:divBdr>
            <w:top w:val="none" w:sz="0" w:space="0" w:color="auto"/>
            <w:left w:val="none" w:sz="0" w:space="0" w:color="auto"/>
            <w:bottom w:val="none" w:sz="0" w:space="0" w:color="auto"/>
            <w:right w:val="none" w:sz="0" w:space="0" w:color="auto"/>
          </w:divBdr>
        </w:div>
        <w:div w:id="83495268">
          <w:marLeft w:val="0"/>
          <w:marRight w:val="0"/>
          <w:marTop w:val="0"/>
          <w:marBottom w:val="0"/>
          <w:divBdr>
            <w:top w:val="none" w:sz="0" w:space="0" w:color="auto"/>
            <w:left w:val="none" w:sz="0" w:space="0" w:color="auto"/>
            <w:bottom w:val="none" w:sz="0" w:space="0" w:color="auto"/>
            <w:right w:val="none" w:sz="0" w:space="0" w:color="auto"/>
          </w:divBdr>
        </w:div>
        <w:div w:id="156383777">
          <w:marLeft w:val="0"/>
          <w:marRight w:val="0"/>
          <w:marTop w:val="0"/>
          <w:marBottom w:val="0"/>
          <w:divBdr>
            <w:top w:val="none" w:sz="0" w:space="0" w:color="auto"/>
            <w:left w:val="none" w:sz="0" w:space="0" w:color="auto"/>
            <w:bottom w:val="none" w:sz="0" w:space="0" w:color="auto"/>
            <w:right w:val="none" w:sz="0" w:space="0" w:color="auto"/>
          </w:divBdr>
        </w:div>
        <w:div w:id="345401892">
          <w:marLeft w:val="0"/>
          <w:marRight w:val="0"/>
          <w:marTop w:val="0"/>
          <w:marBottom w:val="0"/>
          <w:divBdr>
            <w:top w:val="none" w:sz="0" w:space="0" w:color="auto"/>
            <w:left w:val="none" w:sz="0" w:space="0" w:color="auto"/>
            <w:bottom w:val="none" w:sz="0" w:space="0" w:color="auto"/>
            <w:right w:val="none" w:sz="0" w:space="0" w:color="auto"/>
          </w:divBdr>
        </w:div>
        <w:div w:id="356740393">
          <w:marLeft w:val="0"/>
          <w:marRight w:val="0"/>
          <w:marTop w:val="0"/>
          <w:marBottom w:val="0"/>
          <w:divBdr>
            <w:top w:val="none" w:sz="0" w:space="0" w:color="auto"/>
            <w:left w:val="none" w:sz="0" w:space="0" w:color="auto"/>
            <w:bottom w:val="none" w:sz="0" w:space="0" w:color="auto"/>
            <w:right w:val="none" w:sz="0" w:space="0" w:color="auto"/>
          </w:divBdr>
        </w:div>
        <w:div w:id="598149294">
          <w:marLeft w:val="0"/>
          <w:marRight w:val="0"/>
          <w:marTop w:val="0"/>
          <w:marBottom w:val="0"/>
          <w:divBdr>
            <w:top w:val="none" w:sz="0" w:space="0" w:color="auto"/>
            <w:left w:val="none" w:sz="0" w:space="0" w:color="auto"/>
            <w:bottom w:val="none" w:sz="0" w:space="0" w:color="auto"/>
            <w:right w:val="none" w:sz="0" w:space="0" w:color="auto"/>
          </w:divBdr>
        </w:div>
        <w:div w:id="1525248876">
          <w:marLeft w:val="0"/>
          <w:marRight w:val="0"/>
          <w:marTop w:val="0"/>
          <w:marBottom w:val="0"/>
          <w:divBdr>
            <w:top w:val="none" w:sz="0" w:space="0" w:color="auto"/>
            <w:left w:val="none" w:sz="0" w:space="0" w:color="auto"/>
            <w:bottom w:val="none" w:sz="0" w:space="0" w:color="auto"/>
            <w:right w:val="none" w:sz="0" w:space="0" w:color="auto"/>
          </w:divBdr>
        </w:div>
        <w:div w:id="1725637921">
          <w:marLeft w:val="0"/>
          <w:marRight w:val="0"/>
          <w:marTop w:val="0"/>
          <w:marBottom w:val="0"/>
          <w:divBdr>
            <w:top w:val="none" w:sz="0" w:space="0" w:color="auto"/>
            <w:left w:val="none" w:sz="0" w:space="0" w:color="auto"/>
            <w:bottom w:val="none" w:sz="0" w:space="0" w:color="auto"/>
            <w:right w:val="none" w:sz="0" w:space="0" w:color="auto"/>
          </w:divBdr>
        </w:div>
      </w:divsChild>
    </w:div>
    <w:div w:id="666178398">
      <w:bodyDiv w:val="1"/>
      <w:marLeft w:val="0"/>
      <w:marRight w:val="0"/>
      <w:marTop w:val="0"/>
      <w:marBottom w:val="0"/>
      <w:divBdr>
        <w:top w:val="none" w:sz="0" w:space="0" w:color="auto"/>
        <w:left w:val="none" w:sz="0" w:space="0" w:color="auto"/>
        <w:bottom w:val="none" w:sz="0" w:space="0" w:color="auto"/>
        <w:right w:val="none" w:sz="0" w:space="0" w:color="auto"/>
      </w:divBdr>
      <w:divsChild>
        <w:div w:id="1095979089">
          <w:marLeft w:val="0"/>
          <w:marRight w:val="0"/>
          <w:marTop w:val="0"/>
          <w:marBottom w:val="0"/>
          <w:divBdr>
            <w:top w:val="none" w:sz="0" w:space="0" w:color="auto"/>
            <w:left w:val="none" w:sz="0" w:space="0" w:color="auto"/>
            <w:bottom w:val="none" w:sz="0" w:space="0" w:color="auto"/>
            <w:right w:val="none" w:sz="0" w:space="0" w:color="auto"/>
          </w:divBdr>
        </w:div>
        <w:div w:id="1419133076">
          <w:marLeft w:val="0"/>
          <w:marRight w:val="0"/>
          <w:marTop w:val="0"/>
          <w:marBottom w:val="0"/>
          <w:divBdr>
            <w:top w:val="none" w:sz="0" w:space="0" w:color="auto"/>
            <w:left w:val="none" w:sz="0" w:space="0" w:color="auto"/>
            <w:bottom w:val="none" w:sz="0" w:space="0" w:color="auto"/>
            <w:right w:val="none" w:sz="0" w:space="0" w:color="auto"/>
          </w:divBdr>
        </w:div>
        <w:div w:id="1473865414">
          <w:marLeft w:val="0"/>
          <w:marRight w:val="0"/>
          <w:marTop w:val="0"/>
          <w:marBottom w:val="0"/>
          <w:divBdr>
            <w:top w:val="none" w:sz="0" w:space="0" w:color="auto"/>
            <w:left w:val="none" w:sz="0" w:space="0" w:color="auto"/>
            <w:bottom w:val="none" w:sz="0" w:space="0" w:color="auto"/>
            <w:right w:val="none" w:sz="0" w:space="0" w:color="auto"/>
          </w:divBdr>
        </w:div>
        <w:div w:id="1596596866">
          <w:marLeft w:val="0"/>
          <w:marRight w:val="0"/>
          <w:marTop w:val="0"/>
          <w:marBottom w:val="0"/>
          <w:divBdr>
            <w:top w:val="none" w:sz="0" w:space="0" w:color="auto"/>
            <w:left w:val="none" w:sz="0" w:space="0" w:color="auto"/>
            <w:bottom w:val="none" w:sz="0" w:space="0" w:color="auto"/>
            <w:right w:val="none" w:sz="0" w:space="0" w:color="auto"/>
          </w:divBdr>
        </w:div>
        <w:div w:id="1618175201">
          <w:marLeft w:val="0"/>
          <w:marRight w:val="0"/>
          <w:marTop w:val="0"/>
          <w:marBottom w:val="0"/>
          <w:divBdr>
            <w:top w:val="none" w:sz="0" w:space="0" w:color="auto"/>
            <w:left w:val="none" w:sz="0" w:space="0" w:color="auto"/>
            <w:bottom w:val="none" w:sz="0" w:space="0" w:color="auto"/>
            <w:right w:val="none" w:sz="0" w:space="0" w:color="auto"/>
          </w:divBdr>
        </w:div>
        <w:div w:id="1736928270">
          <w:marLeft w:val="0"/>
          <w:marRight w:val="0"/>
          <w:marTop w:val="0"/>
          <w:marBottom w:val="0"/>
          <w:divBdr>
            <w:top w:val="none" w:sz="0" w:space="0" w:color="auto"/>
            <w:left w:val="none" w:sz="0" w:space="0" w:color="auto"/>
            <w:bottom w:val="none" w:sz="0" w:space="0" w:color="auto"/>
            <w:right w:val="none" w:sz="0" w:space="0" w:color="auto"/>
          </w:divBdr>
        </w:div>
        <w:div w:id="2112118318">
          <w:marLeft w:val="0"/>
          <w:marRight w:val="0"/>
          <w:marTop w:val="0"/>
          <w:marBottom w:val="0"/>
          <w:divBdr>
            <w:top w:val="none" w:sz="0" w:space="0" w:color="auto"/>
            <w:left w:val="none" w:sz="0" w:space="0" w:color="auto"/>
            <w:bottom w:val="none" w:sz="0" w:space="0" w:color="auto"/>
            <w:right w:val="none" w:sz="0" w:space="0" w:color="auto"/>
          </w:divBdr>
        </w:div>
        <w:div w:id="2141417492">
          <w:marLeft w:val="0"/>
          <w:marRight w:val="0"/>
          <w:marTop w:val="0"/>
          <w:marBottom w:val="0"/>
          <w:divBdr>
            <w:top w:val="none" w:sz="0" w:space="0" w:color="auto"/>
            <w:left w:val="none" w:sz="0" w:space="0" w:color="auto"/>
            <w:bottom w:val="none" w:sz="0" w:space="0" w:color="auto"/>
            <w:right w:val="none" w:sz="0" w:space="0" w:color="auto"/>
          </w:divBdr>
        </w:div>
      </w:divsChild>
    </w:div>
    <w:div w:id="689841331">
      <w:bodyDiv w:val="1"/>
      <w:marLeft w:val="0"/>
      <w:marRight w:val="0"/>
      <w:marTop w:val="0"/>
      <w:marBottom w:val="0"/>
      <w:divBdr>
        <w:top w:val="none" w:sz="0" w:space="0" w:color="auto"/>
        <w:left w:val="none" w:sz="0" w:space="0" w:color="auto"/>
        <w:bottom w:val="none" w:sz="0" w:space="0" w:color="auto"/>
        <w:right w:val="none" w:sz="0" w:space="0" w:color="auto"/>
      </w:divBdr>
      <w:divsChild>
        <w:div w:id="294220766">
          <w:marLeft w:val="0"/>
          <w:marRight w:val="0"/>
          <w:marTop w:val="0"/>
          <w:marBottom w:val="0"/>
          <w:divBdr>
            <w:top w:val="none" w:sz="0" w:space="0" w:color="auto"/>
            <w:left w:val="none" w:sz="0" w:space="0" w:color="auto"/>
            <w:bottom w:val="none" w:sz="0" w:space="0" w:color="auto"/>
            <w:right w:val="none" w:sz="0" w:space="0" w:color="auto"/>
          </w:divBdr>
        </w:div>
        <w:div w:id="467403603">
          <w:marLeft w:val="0"/>
          <w:marRight w:val="0"/>
          <w:marTop w:val="0"/>
          <w:marBottom w:val="0"/>
          <w:divBdr>
            <w:top w:val="none" w:sz="0" w:space="0" w:color="auto"/>
            <w:left w:val="none" w:sz="0" w:space="0" w:color="auto"/>
            <w:bottom w:val="none" w:sz="0" w:space="0" w:color="auto"/>
            <w:right w:val="none" w:sz="0" w:space="0" w:color="auto"/>
          </w:divBdr>
        </w:div>
        <w:div w:id="580791678">
          <w:marLeft w:val="0"/>
          <w:marRight w:val="0"/>
          <w:marTop w:val="0"/>
          <w:marBottom w:val="0"/>
          <w:divBdr>
            <w:top w:val="none" w:sz="0" w:space="0" w:color="auto"/>
            <w:left w:val="none" w:sz="0" w:space="0" w:color="auto"/>
            <w:bottom w:val="none" w:sz="0" w:space="0" w:color="auto"/>
            <w:right w:val="none" w:sz="0" w:space="0" w:color="auto"/>
          </w:divBdr>
        </w:div>
        <w:div w:id="598682474">
          <w:marLeft w:val="0"/>
          <w:marRight w:val="0"/>
          <w:marTop w:val="0"/>
          <w:marBottom w:val="0"/>
          <w:divBdr>
            <w:top w:val="none" w:sz="0" w:space="0" w:color="auto"/>
            <w:left w:val="none" w:sz="0" w:space="0" w:color="auto"/>
            <w:bottom w:val="none" w:sz="0" w:space="0" w:color="auto"/>
            <w:right w:val="none" w:sz="0" w:space="0" w:color="auto"/>
          </w:divBdr>
        </w:div>
        <w:div w:id="1082725620">
          <w:marLeft w:val="0"/>
          <w:marRight w:val="0"/>
          <w:marTop w:val="0"/>
          <w:marBottom w:val="0"/>
          <w:divBdr>
            <w:top w:val="none" w:sz="0" w:space="0" w:color="auto"/>
            <w:left w:val="none" w:sz="0" w:space="0" w:color="auto"/>
            <w:bottom w:val="none" w:sz="0" w:space="0" w:color="auto"/>
            <w:right w:val="none" w:sz="0" w:space="0" w:color="auto"/>
          </w:divBdr>
        </w:div>
        <w:div w:id="1157846158">
          <w:marLeft w:val="0"/>
          <w:marRight w:val="0"/>
          <w:marTop w:val="0"/>
          <w:marBottom w:val="0"/>
          <w:divBdr>
            <w:top w:val="none" w:sz="0" w:space="0" w:color="auto"/>
            <w:left w:val="none" w:sz="0" w:space="0" w:color="auto"/>
            <w:bottom w:val="none" w:sz="0" w:space="0" w:color="auto"/>
            <w:right w:val="none" w:sz="0" w:space="0" w:color="auto"/>
          </w:divBdr>
        </w:div>
        <w:div w:id="1411659297">
          <w:marLeft w:val="0"/>
          <w:marRight w:val="0"/>
          <w:marTop w:val="0"/>
          <w:marBottom w:val="0"/>
          <w:divBdr>
            <w:top w:val="none" w:sz="0" w:space="0" w:color="auto"/>
            <w:left w:val="none" w:sz="0" w:space="0" w:color="auto"/>
            <w:bottom w:val="none" w:sz="0" w:space="0" w:color="auto"/>
            <w:right w:val="none" w:sz="0" w:space="0" w:color="auto"/>
          </w:divBdr>
        </w:div>
        <w:div w:id="2044863078">
          <w:marLeft w:val="0"/>
          <w:marRight w:val="0"/>
          <w:marTop w:val="0"/>
          <w:marBottom w:val="0"/>
          <w:divBdr>
            <w:top w:val="none" w:sz="0" w:space="0" w:color="auto"/>
            <w:left w:val="none" w:sz="0" w:space="0" w:color="auto"/>
            <w:bottom w:val="none" w:sz="0" w:space="0" w:color="auto"/>
            <w:right w:val="none" w:sz="0" w:space="0" w:color="auto"/>
          </w:divBdr>
        </w:div>
      </w:divsChild>
    </w:div>
    <w:div w:id="733091188">
      <w:bodyDiv w:val="1"/>
      <w:marLeft w:val="0"/>
      <w:marRight w:val="0"/>
      <w:marTop w:val="0"/>
      <w:marBottom w:val="0"/>
      <w:divBdr>
        <w:top w:val="none" w:sz="0" w:space="0" w:color="auto"/>
        <w:left w:val="none" w:sz="0" w:space="0" w:color="auto"/>
        <w:bottom w:val="none" w:sz="0" w:space="0" w:color="auto"/>
        <w:right w:val="none" w:sz="0" w:space="0" w:color="auto"/>
      </w:divBdr>
      <w:divsChild>
        <w:div w:id="138233294">
          <w:marLeft w:val="0"/>
          <w:marRight w:val="0"/>
          <w:marTop w:val="0"/>
          <w:marBottom w:val="0"/>
          <w:divBdr>
            <w:top w:val="none" w:sz="0" w:space="0" w:color="auto"/>
            <w:left w:val="none" w:sz="0" w:space="0" w:color="auto"/>
            <w:bottom w:val="none" w:sz="0" w:space="0" w:color="auto"/>
            <w:right w:val="none" w:sz="0" w:space="0" w:color="auto"/>
          </w:divBdr>
        </w:div>
        <w:div w:id="212347866">
          <w:marLeft w:val="0"/>
          <w:marRight w:val="0"/>
          <w:marTop w:val="0"/>
          <w:marBottom w:val="0"/>
          <w:divBdr>
            <w:top w:val="none" w:sz="0" w:space="0" w:color="auto"/>
            <w:left w:val="none" w:sz="0" w:space="0" w:color="auto"/>
            <w:bottom w:val="none" w:sz="0" w:space="0" w:color="auto"/>
            <w:right w:val="none" w:sz="0" w:space="0" w:color="auto"/>
          </w:divBdr>
        </w:div>
        <w:div w:id="943224157">
          <w:marLeft w:val="0"/>
          <w:marRight w:val="0"/>
          <w:marTop w:val="0"/>
          <w:marBottom w:val="0"/>
          <w:divBdr>
            <w:top w:val="none" w:sz="0" w:space="0" w:color="auto"/>
            <w:left w:val="none" w:sz="0" w:space="0" w:color="auto"/>
            <w:bottom w:val="none" w:sz="0" w:space="0" w:color="auto"/>
            <w:right w:val="none" w:sz="0" w:space="0" w:color="auto"/>
          </w:divBdr>
        </w:div>
        <w:div w:id="1008825139">
          <w:marLeft w:val="0"/>
          <w:marRight w:val="0"/>
          <w:marTop w:val="0"/>
          <w:marBottom w:val="0"/>
          <w:divBdr>
            <w:top w:val="none" w:sz="0" w:space="0" w:color="auto"/>
            <w:left w:val="none" w:sz="0" w:space="0" w:color="auto"/>
            <w:bottom w:val="none" w:sz="0" w:space="0" w:color="auto"/>
            <w:right w:val="none" w:sz="0" w:space="0" w:color="auto"/>
          </w:divBdr>
        </w:div>
        <w:div w:id="1109853898">
          <w:marLeft w:val="0"/>
          <w:marRight w:val="0"/>
          <w:marTop w:val="0"/>
          <w:marBottom w:val="0"/>
          <w:divBdr>
            <w:top w:val="none" w:sz="0" w:space="0" w:color="auto"/>
            <w:left w:val="none" w:sz="0" w:space="0" w:color="auto"/>
            <w:bottom w:val="none" w:sz="0" w:space="0" w:color="auto"/>
            <w:right w:val="none" w:sz="0" w:space="0" w:color="auto"/>
          </w:divBdr>
        </w:div>
        <w:div w:id="1394423186">
          <w:marLeft w:val="0"/>
          <w:marRight w:val="0"/>
          <w:marTop w:val="0"/>
          <w:marBottom w:val="0"/>
          <w:divBdr>
            <w:top w:val="none" w:sz="0" w:space="0" w:color="auto"/>
            <w:left w:val="none" w:sz="0" w:space="0" w:color="auto"/>
            <w:bottom w:val="none" w:sz="0" w:space="0" w:color="auto"/>
            <w:right w:val="none" w:sz="0" w:space="0" w:color="auto"/>
          </w:divBdr>
        </w:div>
        <w:div w:id="1435513952">
          <w:marLeft w:val="0"/>
          <w:marRight w:val="0"/>
          <w:marTop w:val="0"/>
          <w:marBottom w:val="0"/>
          <w:divBdr>
            <w:top w:val="none" w:sz="0" w:space="0" w:color="auto"/>
            <w:left w:val="none" w:sz="0" w:space="0" w:color="auto"/>
            <w:bottom w:val="none" w:sz="0" w:space="0" w:color="auto"/>
            <w:right w:val="none" w:sz="0" w:space="0" w:color="auto"/>
          </w:divBdr>
        </w:div>
        <w:div w:id="2049138780">
          <w:marLeft w:val="0"/>
          <w:marRight w:val="0"/>
          <w:marTop w:val="0"/>
          <w:marBottom w:val="0"/>
          <w:divBdr>
            <w:top w:val="none" w:sz="0" w:space="0" w:color="auto"/>
            <w:left w:val="none" w:sz="0" w:space="0" w:color="auto"/>
            <w:bottom w:val="none" w:sz="0" w:space="0" w:color="auto"/>
            <w:right w:val="none" w:sz="0" w:space="0" w:color="auto"/>
          </w:divBdr>
        </w:div>
      </w:divsChild>
    </w:div>
    <w:div w:id="749501147">
      <w:bodyDiv w:val="1"/>
      <w:marLeft w:val="0"/>
      <w:marRight w:val="0"/>
      <w:marTop w:val="0"/>
      <w:marBottom w:val="0"/>
      <w:divBdr>
        <w:top w:val="none" w:sz="0" w:space="0" w:color="auto"/>
        <w:left w:val="none" w:sz="0" w:space="0" w:color="auto"/>
        <w:bottom w:val="none" w:sz="0" w:space="0" w:color="auto"/>
        <w:right w:val="none" w:sz="0" w:space="0" w:color="auto"/>
      </w:divBdr>
      <w:divsChild>
        <w:div w:id="154491682">
          <w:marLeft w:val="0"/>
          <w:marRight w:val="0"/>
          <w:marTop w:val="0"/>
          <w:marBottom w:val="0"/>
          <w:divBdr>
            <w:top w:val="none" w:sz="0" w:space="0" w:color="auto"/>
            <w:left w:val="none" w:sz="0" w:space="0" w:color="auto"/>
            <w:bottom w:val="none" w:sz="0" w:space="0" w:color="auto"/>
            <w:right w:val="none" w:sz="0" w:space="0" w:color="auto"/>
          </w:divBdr>
        </w:div>
        <w:div w:id="309334081">
          <w:marLeft w:val="0"/>
          <w:marRight w:val="0"/>
          <w:marTop w:val="0"/>
          <w:marBottom w:val="0"/>
          <w:divBdr>
            <w:top w:val="none" w:sz="0" w:space="0" w:color="auto"/>
            <w:left w:val="none" w:sz="0" w:space="0" w:color="auto"/>
            <w:bottom w:val="none" w:sz="0" w:space="0" w:color="auto"/>
            <w:right w:val="none" w:sz="0" w:space="0" w:color="auto"/>
          </w:divBdr>
        </w:div>
        <w:div w:id="387605864">
          <w:marLeft w:val="0"/>
          <w:marRight w:val="0"/>
          <w:marTop w:val="0"/>
          <w:marBottom w:val="0"/>
          <w:divBdr>
            <w:top w:val="none" w:sz="0" w:space="0" w:color="auto"/>
            <w:left w:val="none" w:sz="0" w:space="0" w:color="auto"/>
            <w:bottom w:val="none" w:sz="0" w:space="0" w:color="auto"/>
            <w:right w:val="none" w:sz="0" w:space="0" w:color="auto"/>
          </w:divBdr>
        </w:div>
        <w:div w:id="850949344">
          <w:marLeft w:val="0"/>
          <w:marRight w:val="0"/>
          <w:marTop w:val="0"/>
          <w:marBottom w:val="0"/>
          <w:divBdr>
            <w:top w:val="none" w:sz="0" w:space="0" w:color="auto"/>
            <w:left w:val="none" w:sz="0" w:space="0" w:color="auto"/>
            <w:bottom w:val="none" w:sz="0" w:space="0" w:color="auto"/>
            <w:right w:val="none" w:sz="0" w:space="0" w:color="auto"/>
          </w:divBdr>
        </w:div>
        <w:div w:id="1276982247">
          <w:marLeft w:val="0"/>
          <w:marRight w:val="0"/>
          <w:marTop w:val="0"/>
          <w:marBottom w:val="0"/>
          <w:divBdr>
            <w:top w:val="none" w:sz="0" w:space="0" w:color="auto"/>
            <w:left w:val="none" w:sz="0" w:space="0" w:color="auto"/>
            <w:bottom w:val="none" w:sz="0" w:space="0" w:color="auto"/>
            <w:right w:val="none" w:sz="0" w:space="0" w:color="auto"/>
          </w:divBdr>
        </w:div>
        <w:div w:id="1436246114">
          <w:marLeft w:val="0"/>
          <w:marRight w:val="0"/>
          <w:marTop w:val="0"/>
          <w:marBottom w:val="0"/>
          <w:divBdr>
            <w:top w:val="none" w:sz="0" w:space="0" w:color="auto"/>
            <w:left w:val="none" w:sz="0" w:space="0" w:color="auto"/>
            <w:bottom w:val="none" w:sz="0" w:space="0" w:color="auto"/>
            <w:right w:val="none" w:sz="0" w:space="0" w:color="auto"/>
          </w:divBdr>
        </w:div>
        <w:div w:id="1724140703">
          <w:marLeft w:val="0"/>
          <w:marRight w:val="0"/>
          <w:marTop w:val="0"/>
          <w:marBottom w:val="0"/>
          <w:divBdr>
            <w:top w:val="none" w:sz="0" w:space="0" w:color="auto"/>
            <w:left w:val="none" w:sz="0" w:space="0" w:color="auto"/>
            <w:bottom w:val="none" w:sz="0" w:space="0" w:color="auto"/>
            <w:right w:val="none" w:sz="0" w:space="0" w:color="auto"/>
          </w:divBdr>
        </w:div>
        <w:div w:id="2038308810">
          <w:marLeft w:val="0"/>
          <w:marRight w:val="0"/>
          <w:marTop w:val="0"/>
          <w:marBottom w:val="0"/>
          <w:divBdr>
            <w:top w:val="none" w:sz="0" w:space="0" w:color="auto"/>
            <w:left w:val="none" w:sz="0" w:space="0" w:color="auto"/>
            <w:bottom w:val="none" w:sz="0" w:space="0" w:color="auto"/>
            <w:right w:val="none" w:sz="0" w:space="0" w:color="auto"/>
          </w:divBdr>
        </w:div>
      </w:divsChild>
    </w:div>
    <w:div w:id="831915165">
      <w:bodyDiv w:val="1"/>
      <w:marLeft w:val="0"/>
      <w:marRight w:val="0"/>
      <w:marTop w:val="0"/>
      <w:marBottom w:val="0"/>
      <w:divBdr>
        <w:top w:val="none" w:sz="0" w:space="0" w:color="auto"/>
        <w:left w:val="none" w:sz="0" w:space="0" w:color="auto"/>
        <w:bottom w:val="none" w:sz="0" w:space="0" w:color="auto"/>
        <w:right w:val="none" w:sz="0" w:space="0" w:color="auto"/>
      </w:divBdr>
      <w:divsChild>
        <w:div w:id="136655663">
          <w:marLeft w:val="0"/>
          <w:marRight w:val="0"/>
          <w:marTop w:val="0"/>
          <w:marBottom w:val="0"/>
          <w:divBdr>
            <w:top w:val="none" w:sz="0" w:space="0" w:color="auto"/>
            <w:left w:val="none" w:sz="0" w:space="0" w:color="auto"/>
            <w:bottom w:val="none" w:sz="0" w:space="0" w:color="auto"/>
            <w:right w:val="none" w:sz="0" w:space="0" w:color="auto"/>
          </w:divBdr>
        </w:div>
        <w:div w:id="188762638">
          <w:marLeft w:val="0"/>
          <w:marRight w:val="0"/>
          <w:marTop w:val="0"/>
          <w:marBottom w:val="0"/>
          <w:divBdr>
            <w:top w:val="none" w:sz="0" w:space="0" w:color="auto"/>
            <w:left w:val="none" w:sz="0" w:space="0" w:color="auto"/>
            <w:bottom w:val="none" w:sz="0" w:space="0" w:color="auto"/>
            <w:right w:val="none" w:sz="0" w:space="0" w:color="auto"/>
          </w:divBdr>
        </w:div>
        <w:div w:id="406004960">
          <w:marLeft w:val="0"/>
          <w:marRight w:val="0"/>
          <w:marTop w:val="0"/>
          <w:marBottom w:val="0"/>
          <w:divBdr>
            <w:top w:val="none" w:sz="0" w:space="0" w:color="auto"/>
            <w:left w:val="none" w:sz="0" w:space="0" w:color="auto"/>
            <w:bottom w:val="none" w:sz="0" w:space="0" w:color="auto"/>
            <w:right w:val="none" w:sz="0" w:space="0" w:color="auto"/>
          </w:divBdr>
        </w:div>
        <w:div w:id="599338138">
          <w:marLeft w:val="0"/>
          <w:marRight w:val="0"/>
          <w:marTop w:val="0"/>
          <w:marBottom w:val="0"/>
          <w:divBdr>
            <w:top w:val="none" w:sz="0" w:space="0" w:color="auto"/>
            <w:left w:val="none" w:sz="0" w:space="0" w:color="auto"/>
            <w:bottom w:val="none" w:sz="0" w:space="0" w:color="auto"/>
            <w:right w:val="none" w:sz="0" w:space="0" w:color="auto"/>
          </w:divBdr>
        </w:div>
        <w:div w:id="812408674">
          <w:marLeft w:val="0"/>
          <w:marRight w:val="0"/>
          <w:marTop w:val="0"/>
          <w:marBottom w:val="0"/>
          <w:divBdr>
            <w:top w:val="none" w:sz="0" w:space="0" w:color="auto"/>
            <w:left w:val="none" w:sz="0" w:space="0" w:color="auto"/>
            <w:bottom w:val="none" w:sz="0" w:space="0" w:color="auto"/>
            <w:right w:val="none" w:sz="0" w:space="0" w:color="auto"/>
          </w:divBdr>
        </w:div>
        <w:div w:id="866724420">
          <w:marLeft w:val="0"/>
          <w:marRight w:val="0"/>
          <w:marTop w:val="0"/>
          <w:marBottom w:val="0"/>
          <w:divBdr>
            <w:top w:val="none" w:sz="0" w:space="0" w:color="auto"/>
            <w:left w:val="none" w:sz="0" w:space="0" w:color="auto"/>
            <w:bottom w:val="none" w:sz="0" w:space="0" w:color="auto"/>
            <w:right w:val="none" w:sz="0" w:space="0" w:color="auto"/>
          </w:divBdr>
        </w:div>
        <w:div w:id="952204922">
          <w:marLeft w:val="0"/>
          <w:marRight w:val="0"/>
          <w:marTop w:val="0"/>
          <w:marBottom w:val="0"/>
          <w:divBdr>
            <w:top w:val="none" w:sz="0" w:space="0" w:color="auto"/>
            <w:left w:val="none" w:sz="0" w:space="0" w:color="auto"/>
            <w:bottom w:val="none" w:sz="0" w:space="0" w:color="auto"/>
            <w:right w:val="none" w:sz="0" w:space="0" w:color="auto"/>
          </w:divBdr>
        </w:div>
        <w:div w:id="1558394784">
          <w:marLeft w:val="0"/>
          <w:marRight w:val="0"/>
          <w:marTop w:val="0"/>
          <w:marBottom w:val="0"/>
          <w:divBdr>
            <w:top w:val="none" w:sz="0" w:space="0" w:color="auto"/>
            <w:left w:val="none" w:sz="0" w:space="0" w:color="auto"/>
            <w:bottom w:val="none" w:sz="0" w:space="0" w:color="auto"/>
            <w:right w:val="none" w:sz="0" w:space="0" w:color="auto"/>
          </w:divBdr>
        </w:div>
      </w:divsChild>
    </w:div>
    <w:div w:id="840317286">
      <w:bodyDiv w:val="1"/>
      <w:marLeft w:val="0"/>
      <w:marRight w:val="0"/>
      <w:marTop w:val="0"/>
      <w:marBottom w:val="0"/>
      <w:divBdr>
        <w:top w:val="none" w:sz="0" w:space="0" w:color="auto"/>
        <w:left w:val="none" w:sz="0" w:space="0" w:color="auto"/>
        <w:bottom w:val="none" w:sz="0" w:space="0" w:color="auto"/>
        <w:right w:val="none" w:sz="0" w:space="0" w:color="auto"/>
      </w:divBdr>
      <w:divsChild>
        <w:div w:id="89981669">
          <w:marLeft w:val="0"/>
          <w:marRight w:val="0"/>
          <w:marTop w:val="0"/>
          <w:marBottom w:val="0"/>
          <w:divBdr>
            <w:top w:val="none" w:sz="0" w:space="0" w:color="auto"/>
            <w:left w:val="none" w:sz="0" w:space="0" w:color="auto"/>
            <w:bottom w:val="none" w:sz="0" w:space="0" w:color="auto"/>
            <w:right w:val="none" w:sz="0" w:space="0" w:color="auto"/>
          </w:divBdr>
        </w:div>
        <w:div w:id="166794977">
          <w:marLeft w:val="0"/>
          <w:marRight w:val="0"/>
          <w:marTop w:val="0"/>
          <w:marBottom w:val="0"/>
          <w:divBdr>
            <w:top w:val="none" w:sz="0" w:space="0" w:color="auto"/>
            <w:left w:val="none" w:sz="0" w:space="0" w:color="auto"/>
            <w:bottom w:val="none" w:sz="0" w:space="0" w:color="auto"/>
            <w:right w:val="none" w:sz="0" w:space="0" w:color="auto"/>
          </w:divBdr>
        </w:div>
        <w:div w:id="377126737">
          <w:marLeft w:val="0"/>
          <w:marRight w:val="0"/>
          <w:marTop w:val="0"/>
          <w:marBottom w:val="0"/>
          <w:divBdr>
            <w:top w:val="none" w:sz="0" w:space="0" w:color="auto"/>
            <w:left w:val="none" w:sz="0" w:space="0" w:color="auto"/>
            <w:bottom w:val="none" w:sz="0" w:space="0" w:color="auto"/>
            <w:right w:val="none" w:sz="0" w:space="0" w:color="auto"/>
          </w:divBdr>
        </w:div>
        <w:div w:id="1205407561">
          <w:marLeft w:val="0"/>
          <w:marRight w:val="0"/>
          <w:marTop w:val="0"/>
          <w:marBottom w:val="0"/>
          <w:divBdr>
            <w:top w:val="none" w:sz="0" w:space="0" w:color="auto"/>
            <w:left w:val="none" w:sz="0" w:space="0" w:color="auto"/>
            <w:bottom w:val="none" w:sz="0" w:space="0" w:color="auto"/>
            <w:right w:val="none" w:sz="0" w:space="0" w:color="auto"/>
          </w:divBdr>
        </w:div>
        <w:div w:id="1314673476">
          <w:marLeft w:val="0"/>
          <w:marRight w:val="0"/>
          <w:marTop w:val="0"/>
          <w:marBottom w:val="0"/>
          <w:divBdr>
            <w:top w:val="none" w:sz="0" w:space="0" w:color="auto"/>
            <w:left w:val="none" w:sz="0" w:space="0" w:color="auto"/>
            <w:bottom w:val="none" w:sz="0" w:space="0" w:color="auto"/>
            <w:right w:val="none" w:sz="0" w:space="0" w:color="auto"/>
          </w:divBdr>
        </w:div>
        <w:div w:id="1736708767">
          <w:marLeft w:val="0"/>
          <w:marRight w:val="0"/>
          <w:marTop w:val="0"/>
          <w:marBottom w:val="0"/>
          <w:divBdr>
            <w:top w:val="none" w:sz="0" w:space="0" w:color="auto"/>
            <w:left w:val="none" w:sz="0" w:space="0" w:color="auto"/>
            <w:bottom w:val="none" w:sz="0" w:space="0" w:color="auto"/>
            <w:right w:val="none" w:sz="0" w:space="0" w:color="auto"/>
          </w:divBdr>
        </w:div>
        <w:div w:id="1743673851">
          <w:marLeft w:val="0"/>
          <w:marRight w:val="0"/>
          <w:marTop w:val="0"/>
          <w:marBottom w:val="0"/>
          <w:divBdr>
            <w:top w:val="none" w:sz="0" w:space="0" w:color="auto"/>
            <w:left w:val="none" w:sz="0" w:space="0" w:color="auto"/>
            <w:bottom w:val="none" w:sz="0" w:space="0" w:color="auto"/>
            <w:right w:val="none" w:sz="0" w:space="0" w:color="auto"/>
          </w:divBdr>
        </w:div>
        <w:div w:id="1762557705">
          <w:marLeft w:val="0"/>
          <w:marRight w:val="0"/>
          <w:marTop w:val="0"/>
          <w:marBottom w:val="0"/>
          <w:divBdr>
            <w:top w:val="none" w:sz="0" w:space="0" w:color="auto"/>
            <w:left w:val="none" w:sz="0" w:space="0" w:color="auto"/>
            <w:bottom w:val="none" w:sz="0" w:space="0" w:color="auto"/>
            <w:right w:val="none" w:sz="0" w:space="0" w:color="auto"/>
          </w:divBdr>
        </w:div>
      </w:divsChild>
    </w:div>
    <w:div w:id="938558900">
      <w:bodyDiv w:val="1"/>
      <w:marLeft w:val="0"/>
      <w:marRight w:val="0"/>
      <w:marTop w:val="0"/>
      <w:marBottom w:val="0"/>
      <w:divBdr>
        <w:top w:val="none" w:sz="0" w:space="0" w:color="auto"/>
        <w:left w:val="none" w:sz="0" w:space="0" w:color="auto"/>
        <w:bottom w:val="none" w:sz="0" w:space="0" w:color="auto"/>
        <w:right w:val="none" w:sz="0" w:space="0" w:color="auto"/>
      </w:divBdr>
      <w:divsChild>
        <w:div w:id="716511119">
          <w:marLeft w:val="0"/>
          <w:marRight w:val="0"/>
          <w:marTop w:val="0"/>
          <w:marBottom w:val="0"/>
          <w:divBdr>
            <w:top w:val="none" w:sz="0" w:space="0" w:color="auto"/>
            <w:left w:val="none" w:sz="0" w:space="0" w:color="auto"/>
            <w:bottom w:val="none" w:sz="0" w:space="0" w:color="auto"/>
            <w:right w:val="none" w:sz="0" w:space="0" w:color="auto"/>
          </w:divBdr>
        </w:div>
        <w:div w:id="842477319">
          <w:marLeft w:val="0"/>
          <w:marRight w:val="0"/>
          <w:marTop w:val="0"/>
          <w:marBottom w:val="0"/>
          <w:divBdr>
            <w:top w:val="none" w:sz="0" w:space="0" w:color="auto"/>
            <w:left w:val="none" w:sz="0" w:space="0" w:color="auto"/>
            <w:bottom w:val="none" w:sz="0" w:space="0" w:color="auto"/>
            <w:right w:val="none" w:sz="0" w:space="0" w:color="auto"/>
          </w:divBdr>
        </w:div>
        <w:div w:id="1498687532">
          <w:marLeft w:val="0"/>
          <w:marRight w:val="0"/>
          <w:marTop w:val="0"/>
          <w:marBottom w:val="0"/>
          <w:divBdr>
            <w:top w:val="none" w:sz="0" w:space="0" w:color="auto"/>
            <w:left w:val="none" w:sz="0" w:space="0" w:color="auto"/>
            <w:bottom w:val="none" w:sz="0" w:space="0" w:color="auto"/>
            <w:right w:val="none" w:sz="0" w:space="0" w:color="auto"/>
          </w:divBdr>
        </w:div>
      </w:divsChild>
    </w:div>
    <w:div w:id="952632129">
      <w:bodyDiv w:val="1"/>
      <w:marLeft w:val="0"/>
      <w:marRight w:val="0"/>
      <w:marTop w:val="0"/>
      <w:marBottom w:val="0"/>
      <w:divBdr>
        <w:top w:val="none" w:sz="0" w:space="0" w:color="auto"/>
        <w:left w:val="none" w:sz="0" w:space="0" w:color="auto"/>
        <w:bottom w:val="none" w:sz="0" w:space="0" w:color="auto"/>
        <w:right w:val="none" w:sz="0" w:space="0" w:color="auto"/>
      </w:divBdr>
    </w:div>
    <w:div w:id="1018894689">
      <w:bodyDiv w:val="1"/>
      <w:marLeft w:val="0"/>
      <w:marRight w:val="0"/>
      <w:marTop w:val="0"/>
      <w:marBottom w:val="0"/>
      <w:divBdr>
        <w:top w:val="none" w:sz="0" w:space="0" w:color="auto"/>
        <w:left w:val="none" w:sz="0" w:space="0" w:color="auto"/>
        <w:bottom w:val="none" w:sz="0" w:space="0" w:color="auto"/>
        <w:right w:val="none" w:sz="0" w:space="0" w:color="auto"/>
      </w:divBdr>
      <w:divsChild>
        <w:div w:id="532696765">
          <w:marLeft w:val="0"/>
          <w:marRight w:val="0"/>
          <w:marTop w:val="0"/>
          <w:marBottom w:val="0"/>
          <w:divBdr>
            <w:top w:val="none" w:sz="0" w:space="0" w:color="auto"/>
            <w:left w:val="none" w:sz="0" w:space="0" w:color="auto"/>
            <w:bottom w:val="none" w:sz="0" w:space="0" w:color="auto"/>
            <w:right w:val="none" w:sz="0" w:space="0" w:color="auto"/>
          </w:divBdr>
        </w:div>
        <w:div w:id="621543568">
          <w:marLeft w:val="0"/>
          <w:marRight w:val="0"/>
          <w:marTop w:val="0"/>
          <w:marBottom w:val="0"/>
          <w:divBdr>
            <w:top w:val="none" w:sz="0" w:space="0" w:color="auto"/>
            <w:left w:val="none" w:sz="0" w:space="0" w:color="auto"/>
            <w:bottom w:val="none" w:sz="0" w:space="0" w:color="auto"/>
            <w:right w:val="none" w:sz="0" w:space="0" w:color="auto"/>
          </w:divBdr>
        </w:div>
        <w:div w:id="700741275">
          <w:marLeft w:val="0"/>
          <w:marRight w:val="0"/>
          <w:marTop w:val="0"/>
          <w:marBottom w:val="0"/>
          <w:divBdr>
            <w:top w:val="none" w:sz="0" w:space="0" w:color="auto"/>
            <w:left w:val="none" w:sz="0" w:space="0" w:color="auto"/>
            <w:bottom w:val="none" w:sz="0" w:space="0" w:color="auto"/>
            <w:right w:val="none" w:sz="0" w:space="0" w:color="auto"/>
          </w:divBdr>
        </w:div>
        <w:div w:id="703945352">
          <w:marLeft w:val="0"/>
          <w:marRight w:val="0"/>
          <w:marTop w:val="0"/>
          <w:marBottom w:val="0"/>
          <w:divBdr>
            <w:top w:val="none" w:sz="0" w:space="0" w:color="auto"/>
            <w:left w:val="none" w:sz="0" w:space="0" w:color="auto"/>
            <w:bottom w:val="none" w:sz="0" w:space="0" w:color="auto"/>
            <w:right w:val="none" w:sz="0" w:space="0" w:color="auto"/>
          </w:divBdr>
        </w:div>
        <w:div w:id="1084229988">
          <w:marLeft w:val="0"/>
          <w:marRight w:val="0"/>
          <w:marTop w:val="0"/>
          <w:marBottom w:val="0"/>
          <w:divBdr>
            <w:top w:val="none" w:sz="0" w:space="0" w:color="auto"/>
            <w:left w:val="none" w:sz="0" w:space="0" w:color="auto"/>
            <w:bottom w:val="none" w:sz="0" w:space="0" w:color="auto"/>
            <w:right w:val="none" w:sz="0" w:space="0" w:color="auto"/>
          </w:divBdr>
        </w:div>
        <w:div w:id="1194802077">
          <w:marLeft w:val="0"/>
          <w:marRight w:val="0"/>
          <w:marTop w:val="0"/>
          <w:marBottom w:val="0"/>
          <w:divBdr>
            <w:top w:val="none" w:sz="0" w:space="0" w:color="auto"/>
            <w:left w:val="none" w:sz="0" w:space="0" w:color="auto"/>
            <w:bottom w:val="none" w:sz="0" w:space="0" w:color="auto"/>
            <w:right w:val="none" w:sz="0" w:space="0" w:color="auto"/>
          </w:divBdr>
        </w:div>
        <w:div w:id="1369066945">
          <w:marLeft w:val="0"/>
          <w:marRight w:val="0"/>
          <w:marTop w:val="0"/>
          <w:marBottom w:val="0"/>
          <w:divBdr>
            <w:top w:val="none" w:sz="0" w:space="0" w:color="auto"/>
            <w:left w:val="none" w:sz="0" w:space="0" w:color="auto"/>
            <w:bottom w:val="none" w:sz="0" w:space="0" w:color="auto"/>
            <w:right w:val="none" w:sz="0" w:space="0" w:color="auto"/>
          </w:divBdr>
        </w:div>
        <w:div w:id="1928884591">
          <w:marLeft w:val="0"/>
          <w:marRight w:val="0"/>
          <w:marTop w:val="0"/>
          <w:marBottom w:val="0"/>
          <w:divBdr>
            <w:top w:val="none" w:sz="0" w:space="0" w:color="auto"/>
            <w:left w:val="none" w:sz="0" w:space="0" w:color="auto"/>
            <w:bottom w:val="none" w:sz="0" w:space="0" w:color="auto"/>
            <w:right w:val="none" w:sz="0" w:space="0" w:color="auto"/>
          </w:divBdr>
        </w:div>
      </w:divsChild>
    </w:div>
    <w:div w:id="1040401455">
      <w:bodyDiv w:val="1"/>
      <w:marLeft w:val="0"/>
      <w:marRight w:val="0"/>
      <w:marTop w:val="0"/>
      <w:marBottom w:val="0"/>
      <w:divBdr>
        <w:top w:val="none" w:sz="0" w:space="0" w:color="auto"/>
        <w:left w:val="none" w:sz="0" w:space="0" w:color="auto"/>
        <w:bottom w:val="none" w:sz="0" w:space="0" w:color="auto"/>
        <w:right w:val="none" w:sz="0" w:space="0" w:color="auto"/>
      </w:divBdr>
      <w:divsChild>
        <w:div w:id="337924884">
          <w:marLeft w:val="0"/>
          <w:marRight w:val="0"/>
          <w:marTop w:val="0"/>
          <w:marBottom w:val="0"/>
          <w:divBdr>
            <w:top w:val="none" w:sz="0" w:space="0" w:color="auto"/>
            <w:left w:val="none" w:sz="0" w:space="0" w:color="auto"/>
            <w:bottom w:val="none" w:sz="0" w:space="0" w:color="auto"/>
            <w:right w:val="none" w:sz="0" w:space="0" w:color="auto"/>
          </w:divBdr>
        </w:div>
        <w:div w:id="539630191">
          <w:marLeft w:val="0"/>
          <w:marRight w:val="0"/>
          <w:marTop w:val="0"/>
          <w:marBottom w:val="0"/>
          <w:divBdr>
            <w:top w:val="none" w:sz="0" w:space="0" w:color="auto"/>
            <w:left w:val="none" w:sz="0" w:space="0" w:color="auto"/>
            <w:bottom w:val="none" w:sz="0" w:space="0" w:color="auto"/>
            <w:right w:val="none" w:sz="0" w:space="0" w:color="auto"/>
          </w:divBdr>
        </w:div>
        <w:div w:id="573199481">
          <w:marLeft w:val="0"/>
          <w:marRight w:val="0"/>
          <w:marTop w:val="0"/>
          <w:marBottom w:val="0"/>
          <w:divBdr>
            <w:top w:val="none" w:sz="0" w:space="0" w:color="auto"/>
            <w:left w:val="none" w:sz="0" w:space="0" w:color="auto"/>
            <w:bottom w:val="none" w:sz="0" w:space="0" w:color="auto"/>
            <w:right w:val="none" w:sz="0" w:space="0" w:color="auto"/>
          </w:divBdr>
        </w:div>
        <w:div w:id="865751451">
          <w:marLeft w:val="0"/>
          <w:marRight w:val="0"/>
          <w:marTop w:val="0"/>
          <w:marBottom w:val="0"/>
          <w:divBdr>
            <w:top w:val="none" w:sz="0" w:space="0" w:color="auto"/>
            <w:left w:val="none" w:sz="0" w:space="0" w:color="auto"/>
            <w:bottom w:val="none" w:sz="0" w:space="0" w:color="auto"/>
            <w:right w:val="none" w:sz="0" w:space="0" w:color="auto"/>
          </w:divBdr>
        </w:div>
        <w:div w:id="1158570157">
          <w:marLeft w:val="0"/>
          <w:marRight w:val="0"/>
          <w:marTop w:val="0"/>
          <w:marBottom w:val="0"/>
          <w:divBdr>
            <w:top w:val="none" w:sz="0" w:space="0" w:color="auto"/>
            <w:left w:val="none" w:sz="0" w:space="0" w:color="auto"/>
            <w:bottom w:val="none" w:sz="0" w:space="0" w:color="auto"/>
            <w:right w:val="none" w:sz="0" w:space="0" w:color="auto"/>
          </w:divBdr>
        </w:div>
        <w:div w:id="1303072914">
          <w:marLeft w:val="0"/>
          <w:marRight w:val="0"/>
          <w:marTop w:val="0"/>
          <w:marBottom w:val="0"/>
          <w:divBdr>
            <w:top w:val="none" w:sz="0" w:space="0" w:color="auto"/>
            <w:left w:val="none" w:sz="0" w:space="0" w:color="auto"/>
            <w:bottom w:val="none" w:sz="0" w:space="0" w:color="auto"/>
            <w:right w:val="none" w:sz="0" w:space="0" w:color="auto"/>
          </w:divBdr>
        </w:div>
        <w:div w:id="1495343234">
          <w:marLeft w:val="0"/>
          <w:marRight w:val="0"/>
          <w:marTop w:val="0"/>
          <w:marBottom w:val="0"/>
          <w:divBdr>
            <w:top w:val="none" w:sz="0" w:space="0" w:color="auto"/>
            <w:left w:val="none" w:sz="0" w:space="0" w:color="auto"/>
            <w:bottom w:val="none" w:sz="0" w:space="0" w:color="auto"/>
            <w:right w:val="none" w:sz="0" w:space="0" w:color="auto"/>
          </w:divBdr>
        </w:div>
        <w:div w:id="1899245180">
          <w:marLeft w:val="0"/>
          <w:marRight w:val="0"/>
          <w:marTop w:val="0"/>
          <w:marBottom w:val="0"/>
          <w:divBdr>
            <w:top w:val="none" w:sz="0" w:space="0" w:color="auto"/>
            <w:left w:val="none" w:sz="0" w:space="0" w:color="auto"/>
            <w:bottom w:val="none" w:sz="0" w:space="0" w:color="auto"/>
            <w:right w:val="none" w:sz="0" w:space="0" w:color="auto"/>
          </w:divBdr>
        </w:div>
      </w:divsChild>
    </w:div>
    <w:div w:id="1095827486">
      <w:bodyDiv w:val="1"/>
      <w:marLeft w:val="0"/>
      <w:marRight w:val="0"/>
      <w:marTop w:val="0"/>
      <w:marBottom w:val="0"/>
      <w:divBdr>
        <w:top w:val="none" w:sz="0" w:space="0" w:color="auto"/>
        <w:left w:val="none" w:sz="0" w:space="0" w:color="auto"/>
        <w:bottom w:val="none" w:sz="0" w:space="0" w:color="auto"/>
        <w:right w:val="none" w:sz="0" w:space="0" w:color="auto"/>
      </w:divBdr>
      <w:divsChild>
        <w:div w:id="379986455">
          <w:marLeft w:val="0"/>
          <w:marRight w:val="0"/>
          <w:marTop w:val="0"/>
          <w:marBottom w:val="0"/>
          <w:divBdr>
            <w:top w:val="none" w:sz="0" w:space="0" w:color="auto"/>
            <w:left w:val="none" w:sz="0" w:space="0" w:color="auto"/>
            <w:bottom w:val="none" w:sz="0" w:space="0" w:color="auto"/>
            <w:right w:val="none" w:sz="0" w:space="0" w:color="auto"/>
          </w:divBdr>
        </w:div>
        <w:div w:id="1242519626">
          <w:marLeft w:val="0"/>
          <w:marRight w:val="0"/>
          <w:marTop w:val="0"/>
          <w:marBottom w:val="0"/>
          <w:divBdr>
            <w:top w:val="none" w:sz="0" w:space="0" w:color="auto"/>
            <w:left w:val="none" w:sz="0" w:space="0" w:color="auto"/>
            <w:bottom w:val="none" w:sz="0" w:space="0" w:color="auto"/>
            <w:right w:val="none" w:sz="0" w:space="0" w:color="auto"/>
          </w:divBdr>
        </w:div>
        <w:div w:id="1350374641">
          <w:marLeft w:val="0"/>
          <w:marRight w:val="0"/>
          <w:marTop w:val="0"/>
          <w:marBottom w:val="0"/>
          <w:divBdr>
            <w:top w:val="none" w:sz="0" w:space="0" w:color="auto"/>
            <w:left w:val="none" w:sz="0" w:space="0" w:color="auto"/>
            <w:bottom w:val="none" w:sz="0" w:space="0" w:color="auto"/>
            <w:right w:val="none" w:sz="0" w:space="0" w:color="auto"/>
          </w:divBdr>
        </w:div>
        <w:div w:id="1598443599">
          <w:marLeft w:val="0"/>
          <w:marRight w:val="0"/>
          <w:marTop w:val="0"/>
          <w:marBottom w:val="0"/>
          <w:divBdr>
            <w:top w:val="none" w:sz="0" w:space="0" w:color="auto"/>
            <w:left w:val="none" w:sz="0" w:space="0" w:color="auto"/>
            <w:bottom w:val="none" w:sz="0" w:space="0" w:color="auto"/>
            <w:right w:val="none" w:sz="0" w:space="0" w:color="auto"/>
          </w:divBdr>
        </w:div>
        <w:div w:id="1602227500">
          <w:marLeft w:val="0"/>
          <w:marRight w:val="0"/>
          <w:marTop w:val="0"/>
          <w:marBottom w:val="0"/>
          <w:divBdr>
            <w:top w:val="none" w:sz="0" w:space="0" w:color="auto"/>
            <w:left w:val="none" w:sz="0" w:space="0" w:color="auto"/>
            <w:bottom w:val="none" w:sz="0" w:space="0" w:color="auto"/>
            <w:right w:val="none" w:sz="0" w:space="0" w:color="auto"/>
          </w:divBdr>
        </w:div>
        <w:div w:id="1682199330">
          <w:marLeft w:val="0"/>
          <w:marRight w:val="0"/>
          <w:marTop w:val="0"/>
          <w:marBottom w:val="0"/>
          <w:divBdr>
            <w:top w:val="none" w:sz="0" w:space="0" w:color="auto"/>
            <w:left w:val="none" w:sz="0" w:space="0" w:color="auto"/>
            <w:bottom w:val="none" w:sz="0" w:space="0" w:color="auto"/>
            <w:right w:val="none" w:sz="0" w:space="0" w:color="auto"/>
          </w:divBdr>
        </w:div>
        <w:div w:id="1786461548">
          <w:marLeft w:val="0"/>
          <w:marRight w:val="0"/>
          <w:marTop w:val="0"/>
          <w:marBottom w:val="0"/>
          <w:divBdr>
            <w:top w:val="none" w:sz="0" w:space="0" w:color="auto"/>
            <w:left w:val="none" w:sz="0" w:space="0" w:color="auto"/>
            <w:bottom w:val="none" w:sz="0" w:space="0" w:color="auto"/>
            <w:right w:val="none" w:sz="0" w:space="0" w:color="auto"/>
          </w:divBdr>
        </w:div>
        <w:div w:id="2026855639">
          <w:marLeft w:val="0"/>
          <w:marRight w:val="0"/>
          <w:marTop w:val="0"/>
          <w:marBottom w:val="0"/>
          <w:divBdr>
            <w:top w:val="none" w:sz="0" w:space="0" w:color="auto"/>
            <w:left w:val="none" w:sz="0" w:space="0" w:color="auto"/>
            <w:bottom w:val="none" w:sz="0" w:space="0" w:color="auto"/>
            <w:right w:val="none" w:sz="0" w:space="0" w:color="auto"/>
          </w:divBdr>
        </w:div>
      </w:divsChild>
    </w:div>
    <w:div w:id="1115758187">
      <w:bodyDiv w:val="1"/>
      <w:marLeft w:val="0"/>
      <w:marRight w:val="0"/>
      <w:marTop w:val="0"/>
      <w:marBottom w:val="0"/>
      <w:divBdr>
        <w:top w:val="none" w:sz="0" w:space="0" w:color="auto"/>
        <w:left w:val="none" w:sz="0" w:space="0" w:color="auto"/>
        <w:bottom w:val="none" w:sz="0" w:space="0" w:color="auto"/>
        <w:right w:val="none" w:sz="0" w:space="0" w:color="auto"/>
      </w:divBdr>
      <w:divsChild>
        <w:div w:id="321855771">
          <w:marLeft w:val="0"/>
          <w:marRight w:val="0"/>
          <w:marTop w:val="0"/>
          <w:marBottom w:val="0"/>
          <w:divBdr>
            <w:top w:val="none" w:sz="0" w:space="0" w:color="auto"/>
            <w:left w:val="none" w:sz="0" w:space="0" w:color="auto"/>
            <w:bottom w:val="none" w:sz="0" w:space="0" w:color="auto"/>
            <w:right w:val="none" w:sz="0" w:space="0" w:color="auto"/>
          </w:divBdr>
        </w:div>
        <w:div w:id="409235941">
          <w:marLeft w:val="0"/>
          <w:marRight w:val="0"/>
          <w:marTop w:val="0"/>
          <w:marBottom w:val="0"/>
          <w:divBdr>
            <w:top w:val="none" w:sz="0" w:space="0" w:color="auto"/>
            <w:left w:val="none" w:sz="0" w:space="0" w:color="auto"/>
            <w:bottom w:val="none" w:sz="0" w:space="0" w:color="auto"/>
            <w:right w:val="none" w:sz="0" w:space="0" w:color="auto"/>
          </w:divBdr>
        </w:div>
        <w:div w:id="497306544">
          <w:marLeft w:val="0"/>
          <w:marRight w:val="0"/>
          <w:marTop w:val="0"/>
          <w:marBottom w:val="0"/>
          <w:divBdr>
            <w:top w:val="none" w:sz="0" w:space="0" w:color="auto"/>
            <w:left w:val="none" w:sz="0" w:space="0" w:color="auto"/>
            <w:bottom w:val="none" w:sz="0" w:space="0" w:color="auto"/>
            <w:right w:val="none" w:sz="0" w:space="0" w:color="auto"/>
          </w:divBdr>
        </w:div>
        <w:div w:id="559942052">
          <w:marLeft w:val="0"/>
          <w:marRight w:val="0"/>
          <w:marTop w:val="0"/>
          <w:marBottom w:val="0"/>
          <w:divBdr>
            <w:top w:val="none" w:sz="0" w:space="0" w:color="auto"/>
            <w:left w:val="none" w:sz="0" w:space="0" w:color="auto"/>
            <w:bottom w:val="none" w:sz="0" w:space="0" w:color="auto"/>
            <w:right w:val="none" w:sz="0" w:space="0" w:color="auto"/>
          </w:divBdr>
        </w:div>
        <w:div w:id="1420760209">
          <w:marLeft w:val="0"/>
          <w:marRight w:val="0"/>
          <w:marTop w:val="0"/>
          <w:marBottom w:val="0"/>
          <w:divBdr>
            <w:top w:val="none" w:sz="0" w:space="0" w:color="auto"/>
            <w:left w:val="none" w:sz="0" w:space="0" w:color="auto"/>
            <w:bottom w:val="none" w:sz="0" w:space="0" w:color="auto"/>
            <w:right w:val="none" w:sz="0" w:space="0" w:color="auto"/>
          </w:divBdr>
        </w:div>
        <w:div w:id="1897281597">
          <w:marLeft w:val="0"/>
          <w:marRight w:val="0"/>
          <w:marTop w:val="0"/>
          <w:marBottom w:val="0"/>
          <w:divBdr>
            <w:top w:val="none" w:sz="0" w:space="0" w:color="auto"/>
            <w:left w:val="none" w:sz="0" w:space="0" w:color="auto"/>
            <w:bottom w:val="none" w:sz="0" w:space="0" w:color="auto"/>
            <w:right w:val="none" w:sz="0" w:space="0" w:color="auto"/>
          </w:divBdr>
        </w:div>
        <w:div w:id="2026593769">
          <w:marLeft w:val="0"/>
          <w:marRight w:val="0"/>
          <w:marTop w:val="0"/>
          <w:marBottom w:val="0"/>
          <w:divBdr>
            <w:top w:val="none" w:sz="0" w:space="0" w:color="auto"/>
            <w:left w:val="none" w:sz="0" w:space="0" w:color="auto"/>
            <w:bottom w:val="none" w:sz="0" w:space="0" w:color="auto"/>
            <w:right w:val="none" w:sz="0" w:space="0" w:color="auto"/>
          </w:divBdr>
        </w:div>
        <w:div w:id="2098600372">
          <w:marLeft w:val="0"/>
          <w:marRight w:val="0"/>
          <w:marTop w:val="0"/>
          <w:marBottom w:val="0"/>
          <w:divBdr>
            <w:top w:val="none" w:sz="0" w:space="0" w:color="auto"/>
            <w:left w:val="none" w:sz="0" w:space="0" w:color="auto"/>
            <w:bottom w:val="none" w:sz="0" w:space="0" w:color="auto"/>
            <w:right w:val="none" w:sz="0" w:space="0" w:color="auto"/>
          </w:divBdr>
        </w:div>
      </w:divsChild>
    </w:div>
    <w:div w:id="1157572965">
      <w:bodyDiv w:val="1"/>
      <w:marLeft w:val="0"/>
      <w:marRight w:val="0"/>
      <w:marTop w:val="0"/>
      <w:marBottom w:val="0"/>
      <w:divBdr>
        <w:top w:val="none" w:sz="0" w:space="0" w:color="auto"/>
        <w:left w:val="none" w:sz="0" w:space="0" w:color="auto"/>
        <w:bottom w:val="none" w:sz="0" w:space="0" w:color="auto"/>
        <w:right w:val="none" w:sz="0" w:space="0" w:color="auto"/>
      </w:divBdr>
      <w:divsChild>
        <w:div w:id="1160388914">
          <w:marLeft w:val="0"/>
          <w:marRight w:val="0"/>
          <w:marTop w:val="0"/>
          <w:marBottom w:val="0"/>
          <w:divBdr>
            <w:top w:val="none" w:sz="0" w:space="0" w:color="auto"/>
            <w:left w:val="none" w:sz="0" w:space="0" w:color="auto"/>
            <w:bottom w:val="none" w:sz="0" w:space="0" w:color="auto"/>
            <w:right w:val="none" w:sz="0" w:space="0" w:color="auto"/>
          </w:divBdr>
        </w:div>
        <w:div w:id="1383754132">
          <w:marLeft w:val="0"/>
          <w:marRight w:val="0"/>
          <w:marTop w:val="0"/>
          <w:marBottom w:val="0"/>
          <w:divBdr>
            <w:top w:val="none" w:sz="0" w:space="0" w:color="auto"/>
            <w:left w:val="none" w:sz="0" w:space="0" w:color="auto"/>
            <w:bottom w:val="none" w:sz="0" w:space="0" w:color="auto"/>
            <w:right w:val="none" w:sz="0" w:space="0" w:color="auto"/>
          </w:divBdr>
        </w:div>
        <w:div w:id="1424840425">
          <w:marLeft w:val="0"/>
          <w:marRight w:val="0"/>
          <w:marTop w:val="0"/>
          <w:marBottom w:val="0"/>
          <w:divBdr>
            <w:top w:val="none" w:sz="0" w:space="0" w:color="auto"/>
            <w:left w:val="none" w:sz="0" w:space="0" w:color="auto"/>
            <w:bottom w:val="none" w:sz="0" w:space="0" w:color="auto"/>
            <w:right w:val="none" w:sz="0" w:space="0" w:color="auto"/>
          </w:divBdr>
        </w:div>
        <w:div w:id="1438212748">
          <w:marLeft w:val="0"/>
          <w:marRight w:val="0"/>
          <w:marTop w:val="0"/>
          <w:marBottom w:val="0"/>
          <w:divBdr>
            <w:top w:val="none" w:sz="0" w:space="0" w:color="auto"/>
            <w:left w:val="none" w:sz="0" w:space="0" w:color="auto"/>
            <w:bottom w:val="none" w:sz="0" w:space="0" w:color="auto"/>
            <w:right w:val="none" w:sz="0" w:space="0" w:color="auto"/>
          </w:divBdr>
        </w:div>
        <w:div w:id="1569418923">
          <w:marLeft w:val="0"/>
          <w:marRight w:val="0"/>
          <w:marTop w:val="0"/>
          <w:marBottom w:val="0"/>
          <w:divBdr>
            <w:top w:val="none" w:sz="0" w:space="0" w:color="auto"/>
            <w:left w:val="none" w:sz="0" w:space="0" w:color="auto"/>
            <w:bottom w:val="none" w:sz="0" w:space="0" w:color="auto"/>
            <w:right w:val="none" w:sz="0" w:space="0" w:color="auto"/>
          </w:divBdr>
        </w:div>
        <w:div w:id="1978144732">
          <w:marLeft w:val="0"/>
          <w:marRight w:val="0"/>
          <w:marTop w:val="0"/>
          <w:marBottom w:val="0"/>
          <w:divBdr>
            <w:top w:val="none" w:sz="0" w:space="0" w:color="auto"/>
            <w:left w:val="none" w:sz="0" w:space="0" w:color="auto"/>
            <w:bottom w:val="none" w:sz="0" w:space="0" w:color="auto"/>
            <w:right w:val="none" w:sz="0" w:space="0" w:color="auto"/>
          </w:divBdr>
        </w:div>
        <w:div w:id="2036877900">
          <w:marLeft w:val="0"/>
          <w:marRight w:val="0"/>
          <w:marTop w:val="0"/>
          <w:marBottom w:val="0"/>
          <w:divBdr>
            <w:top w:val="none" w:sz="0" w:space="0" w:color="auto"/>
            <w:left w:val="none" w:sz="0" w:space="0" w:color="auto"/>
            <w:bottom w:val="none" w:sz="0" w:space="0" w:color="auto"/>
            <w:right w:val="none" w:sz="0" w:space="0" w:color="auto"/>
          </w:divBdr>
        </w:div>
        <w:div w:id="2094007252">
          <w:marLeft w:val="0"/>
          <w:marRight w:val="0"/>
          <w:marTop w:val="0"/>
          <w:marBottom w:val="0"/>
          <w:divBdr>
            <w:top w:val="none" w:sz="0" w:space="0" w:color="auto"/>
            <w:left w:val="none" w:sz="0" w:space="0" w:color="auto"/>
            <w:bottom w:val="none" w:sz="0" w:space="0" w:color="auto"/>
            <w:right w:val="none" w:sz="0" w:space="0" w:color="auto"/>
          </w:divBdr>
        </w:div>
      </w:divsChild>
    </w:div>
    <w:div w:id="1176338002">
      <w:bodyDiv w:val="1"/>
      <w:marLeft w:val="0"/>
      <w:marRight w:val="0"/>
      <w:marTop w:val="0"/>
      <w:marBottom w:val="0"/>
      <w:divBdr>
        <w:top w:val="none" w:sz="0" w:space="0" w:color="auto"/>
        <w:left w:val="none" w:sz="0" w:space="0" w:color="auto"/>
        <w:bottom w:val="none" w:sz="0" w:space="0" w:color="auto"/>
        <w:right w:val="none" w:sz="0" w:space="0" w:color="auto"/>
      </w:divBdr>
      <w:divsChild>
        <w:div w:id="675377412">
          <w:marLeft w:val="0"/>
          <w:marRight w:val="0"/>
          <w:marTop w:val="0"/>
          <w:marBottom w:val="0"/>
          <w:divBdr>
            <w:top w:val="none" w:sz="0" w:space="0" w:color="auto"/>
            <w:left w:val="none" w:sz="0" w:space="0" w:color="auto"/>
            <w:bottom w:val="none" w:sz="0" w:space="0" w:color="auto"/>
            <w:right w:val="none" w:sz="0" w:space="0" w:color="auto"/>
          </w:divBdr>
        </w:div>
        <w:div w:id="833835310">
          <w:marLeft w:val="0"/>
          <w:marRight w:val="0"/>
          <w:marTop w:val="0"/>
          <w:marBottom w:val="0"/>
          <w:divBdr>
            <w:top w:val="none" w:sz="0" w:space="0" w:color="auto"/>
            <w:left w:val="none" w:sz="0" w:space="0" w:color="auto"/>
            <w:bottom w:val="none" w:sz="0" w:space="0" w:color="auto"/>
            <w:right w:val="none" w:sz="0" w:space="0" w:color="auto"/>
          </w:divBdr>
        </w:div>
        <w:div w:id="888954842">
          <w:marLeft w:val="0"/>
          <w:marRight w:val="0"/>
          <w:marTop w:val="0"/>
          <w:marBottom w:val="0"/>
          <w:divBdr>
            <w:top w:val="none" w:sz="0" w:space="0" w:color="auto"/>
            <w:left w:val="none" w:sz="0" w:space="0" w:color="auto"/>
            <w:bottom w:val="none" w:sz="0" w:space="0" w:color="auto"/>
            <w:right w:val="none" w:sz="0" w:space="0" w:color="auto"/>
          </w:divBdr>
        </w:div>
        <w:div w:id="1269237776">
          <w:marLeft w:val="0"/>
          <w:marRight w:val="0"/>
          <w:marTop w:val="0"/>
          <w:marBottom w:val="0"/>
          <w:divBdr>
            <w:top w:val="none" w:sz="0" w:space="0" w:color="auto"/>
            <w:left w:val="none" w:sz="0" w:space="0" w:color="auto"/>
            <w:bottom w:val="none" w:sz="0" w:space="0" w:color="auto"/>
            <w:right w:val="none" w:sz="0" w:space="0" w:color="auto"/>
          </w:divBdr>
        </w:div>
        <w:div w:id="1348829098">
          <w:marLeft w:val="0"/>
          <w:marRight w:val="0"/>
          <w:marTop w:val="0"/>
          <w:marBottom w:val="0"/>
          <w:divBdr>
            <w:top w:val="none" w:sz="0" w:space="0" w:color="auto"/>
            <w:left w:val="none" w:sz="0" w:space="0" w:color="auto"/>
            <w:bottom w:val="none" w:sz="0" w:space="0" w:color="auto"/>
            <w:right w:val="none" w:sz="0" w:space="0" w:color="auto"/>
          </w:divBdr>
        </w:div>
        <w:div w:id="1536654653">
          <w:marLeft w:val="0"/>
          <w:marRight w:val="0"/>
          <w:marTop w:val="0"/>
          <w:marBottom w:val="0"/>
          <w:divBdr>
            <w:top w:val="none" w:sz="0" w:space="0" w:color="auto"/>
            <w:left w:val="none" w:sz="0" w:space="0" w:color="auto"/>
            <w:bottom w:val="none" w:sz="0" w:space="0" w:color="auto"/>
            <w:right w:val="none" w:sz="0" w:space="0" w:color="auto"/>
          </w:divBdr>
        </w:div>
        <w:div w:id="1601372813">
          <w:marLeft w:val="0"/>
          <w:marRight w:val="0"/>
          <w:marTop w:val="0"/>
          <w:marBottom w:val="0"/>
          <w:divBdr>
            <w:top w:val="none" w:sz="0" w:space="0" w:color="auto"/>
            <w:left w:val="none" w:sz="0" w:space="0" w:color="auto"/>
            <w:bottom w:val="none" w:sz="0" w:space="0" w:color="auto"/>
            <w:right w:val="none" w:sz="0" w:space="0" w:color="auto"/>
          </w:divBdr>
        </w:div>
        <w:div w:id="1938052416">
          <w:marLeft w:val="0"/>
          <w:marRight w:val="0"/>
          <w:marTop w:val="0"/>
          <w:marBottom w:val="0"/>
          <w:divBdr>
            <w:top w:val="none" w:sz="0" w:space="0" w:color="auto"/>
            <w:left w:val="none" w:sz="0" w:space="0" w:color="auto"/>
            <w:bottom w:val="none" w:sz="0" w:space="0" w:color="auto"/>
            <w:right w:val="none" w:sz="0" w:space="0" w:color="auto"/>
          </w:divBdr>
        </w:div>
      </w:divsChild>
    </w:div>
    <w:div w:id="1248227518">
      <w:bodyDiv w:val="1"/>
      <w:marLeft w:val="0"/>
      <w:marRight w:val="0"/>
      <w:marTop w:val="0"/>
      <w:marBottom w:val="0"/>
      <w:divBdr>
        <w:top w:val="none" w:sz="0" w:space="0" w:color="auto"/>
        <w:left w:val="none" w:sz="0" w:space="0" w:color="auto"/>
        <w:bottom w:val="none" w:sz="0" w:space="0" w:color="auto"/>
        <w:right w:val="none" w:sz="0" w:space="0" w:color="auto"/>
      </w:divBdr>
      <w:divsChild>
        <w:div w:id="324406480">
          <w:marLeft w:val="0"/>
          <w:marRight w:val="0"/>
          <w:marTop w:val="0"/>
          <w:marBottom w:val="0"/>
          <w:divBdr>
            <w:top w:val="none" w:sz="0" w:space="0" w:color="auto"/>
            <w:left w:val="none" w:sz="0" w:space="0" w:color="auto"/>
            <w:bottom w:val="none" w:sz="0" w:space="0" w:color="auto"/>
            <w:right w:val="none" w:sz="0" w:space="0" w:color="auto"/>
          </w:divBdr>
        </w:div>
        <w:div w:id="361369066">
          <w:marLeft w:val="0"/>
          <w:marRight w:val="0"/>
          <w:marTop w:val="0"/>
          <w:marBottom w:val="0"/>
          <w:divBdr>
            <w:top w:val="none" w:sz="0" w:space="0" w:color="auto"/>
            <w:left w:val="none" w:sz="0" w:space="0" w:color="auto"/>
            <w:bottom w:val="none" w:sz="0" w:space="0" w:color="auto"/>
            <w:right w:val="none" w:sz="0" w:space="0" w:color="auto"/>
          </w:divBdr>
        </w:div>
        <w:div w:id="744953025">
          <w:marLeft w:val="0"/>
          <w:marRight w:val="0"/>
          <w:marTop w:val="0"/>
          <w:marBottom w:val="0"/>
          <w:divBdr>
            <w:top w:val="none" w:sz="0" w:space="0" w:color="auto"/>
            <w:left w:val="none" w:sz="0" w:space="0" w:color="auto"/>
            <w:bottom w:val="none" w:sz="0" w:space="0" w:color="auto"/>
            <w:right w:val="none" w:sz="0" w:space="0" w:color="auto"/>
          </w:divBdr>
        </w:div>
        <w:div w:id="816071602">
          <w:marLeft w:val="0"/>
          <w:marRight w:val="0"/>
          <w:marTop w:val="0"/>
          <w:marBottom w:val="0"/>
          <w:divBdr>
            <w:top w:val="none" w:sz="0" w:space="0" w:color="auto"/>
            <w:left w:val="none" w:sz="0" w:space="0" w:color="auto"/>
            <w:bottom w:val="none" w:sz="0" w:space="0" w:color="auto"/>
            <w:right w:val="none" w:sz="0" w:space="0" w:color="auto"/>
          </w:divBdr>
        </w:div>
        <w:div w:id="863177867">
          <w:marLeft w:val="0"/>
          <w:marRight w:val="0"/>
          <w:marTop w:val="0"/>
          <w:marBottom w:val="0"/>
          <w:divBdr>
            <w:top w:val="none" w:sz="0" w:space="0" w:color="auto"/>
            <w:left w:val="none" w:sz="0" w:space="0" w:color="auto"/>
            <w:bottom w:val="none" w:sz="0" w:space="0" w:color="auto"/>
            <w:right w:val="none" w:sz="0" w:space="0" w:color="auto"/>
          </w:divBdr>
        </w:div>
        <w:div w:id="1477719183">
          <w:marLeft w:val="0"/>
          <w:marRight w:val="0"/>
          <w:marTop w:val="0"/>
          <w:marBottom w:val="0"/>
          <w:divBdr>
            <w:top w:val="none" w:sz="0" w:space="0" w:color="auto"/>
            <w:left w:val="none" w:sz="0" w:space="0" w:color="auto"/>
            <w:bottom w:val="none" w:sz="0" w:space="0" w:color="auto"/>
            <w:right w:val="none" w:sz="0" w:space="0" w:color="auto"/>
          </w:divBdr>
        </w:div>
        <w:div w:id="1863860977">
          <w:marLeft w:val="0"/>
          <w:marRight w:val="0"/>
          <w:marTop w:val="0"/>
          <w:marBottom w:val="0"/>
          <w:divBdr>
            <w:top w:val="none" w:sz="0" w:space="0" w:color="auto"/>
            <w:left w:val="none" w:sz="0" w:space="0" w:color="auto"/>
            <w:bottom w:val="none" w:sz="0" w:space="0" w:color="auto"/>
            <w:right w:val="none" w:sz="0" w:space="0" w:color="auto"/>
          </w:divBdr>
        </w:div>
      </w:divsChild>
    </w:div>
    <w:div w:id="1248465245">
      <w:bodyDiv w:val="1"/>
      <w:marLeft w:val="0"/>
      <w:marRight w:val="0"/>
      <w:marTop w:val="0"/>
      <w:marBottom w:val="0"/>
      <w:divBdr>
        <w:top w:val="none" w:sz="0" w:space="0" w:color="auto"/>
        <w:left w:val="none" w:sz="0" w:space="0" w:color="auto"/>
        <w:bottom w:val="none" w:sz="0" w:space="0" w:color="auto"/>
        <w:right w:val="none" w:sz="0" w:space="0" w:color="auto"/>
      </w:divBdr>
      <w:divsChild>
        <w:div w:id="129635007">
          <w:marLeft w:val="0"/>
          <w:marRight w:val="0"/>
          <w:marTop w:val="0"/>
          <w:marBottom w:val="0"/>
          <w:divBdr>
            <w:top w:val="none" w:sz="0" w:space="0" w:color="auto"/>
            <w:left w:val="none" w:sz="0" w:space="0" w:color="auto"/>
            <w:bottom w:val="none" w:sz="0" w:space="0" w:color="auto"/>
            <w:right w:val="none" w:sz="0" w:space="0" w:color="auto"/>
          </w:divBdr>
        </w:div>
        <w:div w:id="494608950">
          <w:marLeft w:val="0"/>
          <w:marRight w:val="0"/>
          <w:marTop w:val="0"/>
          <w:marBottom w:val="0"/>
          <w:divBdr>
            <w:top w:val="none" w:sz="0" w:space="0" w:color="auto"/>
            <w:left w:val="none" w:sz="0" w:space="0" w:color="auto"/>
            <w:bottom w:val="none" w:sz="0" w:space="0" w:color="auto"/>
            <w:right w:val="none" w:sz="0" w:space="0" w:color="auto"/>
          </w:divBdr>
        </w:div>
        <w:div w:id="910431839">
          <w:marLeft w:val="0"/>
          <w:marRight w:val="0"/>
          <w:marTop w:val="0"/>
          <w:marBottom w:val="0"/>
          <w:divBdr>
            <w:top w:val="none" w:sz="0" w:space="0" w:color="auto"/>
            <w:left w:val="none" w:sz="0" w:space="0" w:color="auto"/>
            <w:bottom w:val="none" w:sz="0" w:space="0" w:color="auto"/>
            <w:right w:val="none" w:sz="0" w:space="0" w:color="auto"/>
          </w:divBdr>
        </w:div>
        <w:div w:id="1097142440">
          <w:marLeft w:val="0"/>
          <w:marRight w:val="0"/>
          <w:marTop w:val="0"/>
          <w:marBottom w:val="0"/>
          <w:divBdr>
            <w:top w:val="none" w:sz="0" w:space="0" w:color="auto"/>
            <w:left w:val="none" w:sz="0" w:space="0" w:color="auto"/>
            <w:bottom w:val="none" w:sz="0" w:space="0" w:color="auto"/>
            <w:right w:val="none" w:sz="0" w:space="0" w:color="auto"/>
          </w:divBdr>
        </w:div>
        <w:div w:id="1250191399">
          <w:marLeft w:val="0"/>
          <w:marRight w:val="0"/>
          <w:marTop w:val="0"/>
          <w:marBottom w:val="0"/>
          <w:divBdr>
            <w:top w:val="none" w:sz="0" w:space="0" w:color="auto"/>
            <w:left w:val="none" w:sz="0" w:space="0" w:color="auto"/>
            <w:bottom w:val="none" w:sz="0" w:space="0" w:color="auto"/>
            <w:right w:val="none" w:sz="0" w:space="0" w:color="auto"/>
          </w:divBdr>
        </w:div>
        <w:div w:id="1793357642">
          <w:marLeft w:val="0"/>
          <w:marRight w:val="0"/>
          <w:marTop w:val="0"/>
          <w:marBottom w:val="0"/>
          <w:divBdr>
            <w:top w:val="none" w:sz="0" w:space="0" w:color="auto"/>
            <w:left w:val="none" w:sz="0" w:space="0" w:color="auto"/>
            <w:bottom w:val="none" w:sz="0" w:space="0" w:color="auto"/>
            <w:right w:val="none" w:sz="0" w:space="0" w:color="auto"/>
          </w:divBdr>
        </w:div>
        <w:div w:id="1917469565">
          <w:marLeft w:val="0"/>
          <w:marRight w:val="0"/>
          <w:marTop w:val="0"/>
          <w:marBottom w:val="0"/>
          <w:divBdr>
            <w:top w:val="none" w:sz="0" w:space="0" w:color="auto"/>
            <w:left w:val="none" w:sz="0" w:space="0" w:color="auto"/>
            <w:bottom w:val="none" w:sz="0" w:space="0" w:color="auto"/>
            <w:right w:val="none" w:sz="0" w:space="0" w:color="auto"/>
          </w:divBdr>
        </w:div>
        <w:div w:id="2141261689">
          <w:marLeft w:val="0"/>
          <w:marRight w:val="0"/>
          <w:marTop w:val="0"/>
          <w:marBottom w:val="0"/>
          <w:divBdr>
            <w:top w:val="none" w:sz="0" w:space="0" w:color="auto"/>
            <w:left w:val="none" w:sz="0" w:space="0" w:color="auto"/>
            <w:bottom w:val="none" w:sz="0" w:space="0" w:color="auto"/>
            <w:right w:val="none" w:sz="0" w:space="0" w:color="auto"/>
          </w:divBdr>
        </w:div>
      </w:divsChild>
    </w:div>
    <w:div w:id="1296060006">
      <w:bodyDiv w:val="1"/>
      <w:marLeft w:val="0"/>
      <w:marRight w:val="0"/>
      <w:marTop w:val="0"/>
      <w:marBottom w:val="0"/>
      <w:divBdr>
        <w:top w:val="none" w:sz="0" w:space="0" w:color="auto"/>
        <w:left w:val="none" w:sz="0" w:space="0" w:color="auto"/>
        <w:bottom w:val="none" w:sz="0" w:space="0" w:color="auto"/>
        <w:right w:val="none" w:sz="0" w:space="0" w:color="auto"/>
      </w:divBdr>
      <w:divsChild>
        <w:div w:id="1769735784">
          <w:marLeft w:val="547"/>
          <w:marRight w:val="0"/>
          <w:marTop w:val="0"/>
          <w:marBottom w:val="0"/>
          <w:divBdr>
            <w:top w:val="none" w:sz="0" w:space="0" w:color="auto"/>
            <w:left w:val="none" w:sz="0" w:space="0" w:color="auto"/>
            <w:bottom w:val="none" w:sz="0" w:space="0" w:color="auto"/>
            <w:right w:val="none" w:sz="0" w:space="0" w:color="auto"/>
          </w:divBdr>
        </w:div>
      </w:divsChild>
    </w:div>
    <w:div w:id="1349482911">
      <w:bodyDiv w:val="1"/>
      <w:marLeft w:val="0"/>
      <w:marRight w:val="0"/>
      <w:marTop w:val="0"/>
      <w:marBottom w:val="0"/>
      <w:divBdr>
        <w:top w:val="none" w:sz="0" w:space="0" w:color="auto"/>
        <w:left w:val="none" w:sz="0" w:space="0" w:color="auto"/>
        <w:bottom w:val="none" w:sz="0" w:space="0" w:color="auto"/>
        <w:right w:val="none" w:sz="0" w:space="0" w:color="auto"/>
      </w:divBdr>
      <w:divsChild>
        <w:div w:id="273221212">
          <w:marLeft w:val="0"/>
          <w:marRight w:val="0"/>
          <w:marTop w:val="0"/>
          <w:marBottom w:val="0"/>
          <w:divBdr>
            <w:top w:val="none" w:sz="0" w:space="0" w:color="auto"/>
            <w:left w:val="none" w:sz="0" w:space="0" w:color="auto"/>
            <w:bottom w:val="none" w:sz="0" w:space="0" w:color="auto"/>
            <w:right w:val="none" w:sz="0" w:space="0" w:color="auto"/>
          </w:divBdr>
        </w:div>
        <w:div w:id="380177511">
          <w:marLeft w:val="0"/>
          <w:marRight w:val="0"/>
          <w:marTop w:val="0"/>
          <w:marBottom w:val="0"/>
          <w:divBdr>
            <w:top w:val="none" w:sz="0" w:space="0" w:color="auto"/>
            <w:left w:val="none" w:sz="0" w:space="0" w:color="auto"/>
            <w:bottom w:val="none" w:sz="0" w:space="0" w:color="auto"/>
            <w:right w:val="none" w:sz="0" w:space="0" w:color="auto"/>
          </w:divBdr>
        </w:div>
        <w:div w:id="1004631853">
          <w:marLeft w:val="0"/>
          <w:marRight w:val="0"/>
          <w:marTop w:val="0"/>
          <w:marBottom w:val="0"/>
          <w:divBdr>
            <w:top w:val="none" w:sz="0" w:space="0" w:color="auto"/>
            <w:left w:val="none" w:sz="0" w:space="0" w:color="auto"/>
            <w:bottom w:val="none" w:sz="0" w:space="0" w:color="auto"/>
            <w:right w:val="none" w:sz="0" w:space="0" w:color="auto"/>
          </w:divBdr>
        </w:div>
        <w:div w:id="1666393309">
          <w:marLeft w:val="0"/>
          <w:marRight w:val="0"/>
          <w:marTop w:val="0"/>
          <w:marBottom w:val="0"/>
          <w:divBdr>
            <w:top w:val="none" w:sz="0" w:space="0" w:color="auto"/>
            <w:left w:val="none" w:sz="0" w:space="0" w:color="auto"/>
            <w:bottom w:val="none" w:sz="0" w:space="0" w:color="auto"/>
            <w:right w:val="none" w:sz="0" w:space="0" w:color="auto"/>
          </w:divBdr>
        </w:div>
        <w:div w:id="1686517466">
          <w:marLeft w:val="0"/>
          <w:marRight w:val="0"/>
          <w:marTop w:val="0"/>
          <w:marBottom w:val="0"/>
          <w:divBdr>
            <w:top w:val="none" w:sz="0" w:space="0" w:color="auto"/>
            <w:left w:val="none" w:sz="0" w:space="0" w:color="auto"/>
            <w:bottom w:val="none" w:sz="0" w:space="0" w:color="auto"/>
            <w:right w:val="none" w:sz="0" w:space="0" w:color="auto"/>
          </w:divBdr>
        </w:div>
        <w:div w:id="1779327941">
          <w:marLeft w:val="0"/>
          <w:marRight w:val="0"/>
          <w:marTop w:val="0"/>
          <w:marBottom w:val="0"/>
          <w:divBdr>
            <w:top w:val="none" w:sz="0" w:space="0" w:color="auto"/>
            <w:left w:val="none" w:sz="0" w:space="0" w:color="auto"/>
            <w:bottom w:val="none" w:sz="0" w:space="0" w:color="auto"/>
            <w:right w:val="none" w:sz="0" w:space="0" w:color="auto"/>
          </w:divBdr>
        </w:div>
        <w:div w:id="1978563091">
          <w:marLeft w:val="0"/>
          <w:marRight w:val="0"/>
          <w:marTop w:val="0"/>
          <w:marBottom w:val="0"/>
          <w:divBdr>
            <w:top w:val="none" w:sz="0" w:space="0" w:color="auto"/>
            <w:left w:val="none" w:sz="0" w:space="0" w:color="auto"/>
            <w:bottom w:val="none" w:sz="0" w:space="0" w:color="auto"/>
            <w:right w:val="none" w:sz="0" w:space="0" w:color="auto"/>
          </w:divBdr>
        </w:div>
      </w:divsChild>
    </w:div>
    <w:div w:id="1385450808">
      <w:bodyDiv w:val="1"/>
      <w:marLeft w:val="0"/>
      <w:marRight w:val="0"/>
      <w:marTop w:val="0"/>
      <w:marBottom w:val="0"/>
      <w:divBdr>
        <w:top w:val="none" w:sz="0" w:space="0" w:color="auto"/>
        <w:left w:val="none" w:sz="0" w:space="0" w:color="auto"/>
        <w:bottom w:val="none" w:sz="0" w:space="0" w:color="auto"/>
        <w:right w:val="none" w:sz="0" w:space="0" w:color="auto"/>
      </w:divBdr>
      <w:divsChild>
        <w:div w:id="125203596">
          <w:marLeft w:val="0"/>
          <w:marRight w:val="0"/>
          <w:marTop w:val="0"/>
          <w:marBottom w:val="0"/>
          <w:divBdr>
            <w:top w:val="none" w:sz="0" w:space="0" w:color="auto"/>
            <w:left w:val="none" w:sz="0" w:space="0" w:color="auto"/>
            <w:bottom w:val="none" w:sz="0" w:space="0" w:color="auto"/>
            <w:right w:val="none" w:sz="0" w:space="0" w:color="auto"/>
          </w:divBdr>
        </w:div>
        <w:div w:id="188883417">
          <w:marLeft w:val="0"/>
          <w:marRight w:val="0"/>
          <w:marTop w:val="0"/>
          <w:marBottom w:val="0"/>
          <w:divBdr>
            <w:top w:val="none" w:sz="0" w:space="0" w:color="auto"/>
            <w:left w:val="none" w:sz="0" w:space="0" w:color="auto"/>
            <w:bottom w:val="none" w:sz="0" w:space="0" w:color="auto"/>
            <w:right w:val="none" w:sz="0" w:space="0" w:color="auto"/>
          </w:divBdr>
        </w:div>
        <w:div w:id="366486188">
          <w:marLeft w:val="0"/>
          <w:marRight w:val="0"/>
          <w:marTop w:val="0"/>
          <w:marBottom w:val="0"/>
          <w:divBdr>
            <w:top w:val="none" w:sz="0" w:space="0" w:color="auto"/>
            <w:left w:val="none" w:sz="0" w:space="0" w:color="auto"/>
            <w:bottom w:val="none" w:sz="0" w:space="0" w:color="auto"/>
            <w:right w:val="none" w:sz="0" w:space="0" w:color="auto"/>
          </w:divBdr>
        </w:div>
        <w:div w:id="564145919">
          <w:marLeft w:val="0"/>
          <w:marRight w:val="0"/>
          <w:marTop w:val="0"/>
          <w:marBottom w:val="0"/>
          <w:divBdr>
            <w:top w:val="none" w:sz="0" w:space="0" w:color="auto"/>
            <w:left w:val="none" w:sz="0" w:space="0" w:color="auto"/>
            <w:bottom w:val="none" w:sz="0" w:space="0" w:color="auto"/>
            <w:right w:val="none" w:sz="0" w:space="0" w:color="auto"/>
          </w:divBdr>
        </w:div>
        <w:div w:id="909117454">
          <w:marLeft w:val="0"/>
          <w:marRight w:val="0"/>
          <w:marTop w:val="0"/>
          <w:marBottom w:val="0"/>
          <w:divBdr>
            <w:top w:val="none" w:sz="0" w:space="0" w:color="auto"/>
            <w:left w:val="none" w:sz="0" w:space="0" w:color="auto"/>
            <w:bottom w:val="none" w:sz="0" w:space="0" w:color="auto"/>
            <w:right w:val="none" w:sz="0" w:space="0" w:color="auto"/>
          </w:divBdr>
        </w:div>
        <w:div w:id="1163396559">
          <w:marLeft w:val="0"/>
          <w:marRight w:val="0"/>
          <w:marTop w:val="0"/>
          <w:marBottom w:val="0"/>
          <w:divBdr>
            <w:top w:val="none" w:sz="0" w:space="0" w:color="auto"/>
            <w:left w:val="none" w:sz="0" w:space="0" w:color="auto"/>
            <w:bottom w:val="none" w:sz="0" w:space="0" w:color="auto"/>
            <w:right w:val="none" w:sz="0" w:space="0" w:color="auto"/>
          </w:divBdr>
        </w:div>
        <w:div w:id="1413968276">
          <w:marLeft w:val="0"/>
          <w:marRight w:val="0"/>
          <w:marTop w:val="0"/>
          <w:marBottom w:val="0"/>
          <w:divBdr>
            <w:top w:val="none" w:sz="0" w:space="0" w:color="auto"/>
            <w:left w:val="none" w:sz="0" w:space="0" w:color="auto"/>
            <w:bottom w:val="none" w:sz="0" w:space="0" w:color="auto"/>
            <w:right w:val="none" w:sz="0" w:space="0" w:color="auto"/>
          </w:divBdr>
        </w:div>
        <w:div w:id="1981879623">
          <w:marLeft w:val="0"/>
          <w:marRight w:val="0"/>
          <w:marTop w:val="0"/>
          <w:marBottom w:val="0"/>
          <w:divBdr>
            <w:top w:val="none" w:sz="0" w:space="0" w:color="auto"/>
            <w:left w:val="none" w:sz="0" w:space="0" w:color="auto"/>
            <w:bottom w:val="none" w:sz="0" w:space="0" w:color="auto"/>
            <w:right w:val="none" w:sz="0" w:space="0" w:color="auto"/>
          </w:divBdr>
        </w:div>
      </w:divsChild>
    </w:div>
    <w:div w:id="1417633091">
      <w:bodyDiv w:val="1"/>
      <w:marLeft w:val="0"/>
      <w:marRight w:val="0"/>
      <w:marTop w:val="0"/>
      <w:marBottom w:val="0"/>
      <w:divBdr>
        <w:top w:val="none" w:sz="0" w:space="0" w:color="auto"/>
        <w:left w:val="none" w:sz="0" w:space="0" w:color="auto"/>
        <w:bottom w:val="none" w:sz="0" w:space="0" w:color="auto"/>
        <w:right w:val="none" w:sz="0" w:space="0" w:color="auto"/>
      </w:divBdr>
      <w:divsChild>
        <w:div w:id="551345">
          <w:marLeft w:val="0"/>
          <w:marRight w:val="0"/>
          <w:marTop w:val="0"/>
          <w:marBottom w:val="0"/>
          <w:divBdr>
            <w:top w:val="none" w:sz="0" w:space="0" w:color="auto"/>
            <w:left w:val="none" w:sz="0" w:space="0" w:color="auto"/>
            <w:bottom w:val="none" w:sz="0" w:space="0" w:color="auto"/>
            <w:right w:val="none" w:sz="0" w:space="0" w:color="auto"/>
          </w:divBdr>
        </w:div>
        <w:div w:id="34699879">
          <w:marLeft w:val="0"/>
          <w:marRight w:val="0"/>
          <w:marTop w:val="0"/>
          <w:marBottom w:val="0"/>
          <w:divBdr>
            <w:top w:val="none" w:sz="0" w:space="0" w:color="auto"/>
            <w:left w:val="none" w:sz="0" w:space="0" w:color="auto"/>
            <w:bottom w:val="none" w:sz="0" w:space="0" w:color="auto"/>
            <w:right w:val="none" w:sz="0" w:space="0" w:color="auto"/>
          </w:divBdr>
        </w:div>
        <w:div w:id="198399623">
          <w:marLeft w:val="0"/>
          <w:marRight w:val="0"/>
          <w:marTop w:val="0"/>
          <w:marBottom w:val="0"/>
          <w:divBdr>
            <w:top w:val="none" w:sz="0" w:space="0" w:color="auto"/>
            <w:left w:val="none" w:sz="0" w:space="0" w:color="auto"/>
            <w:bottom w:val="none" w:sz="0" w:space="0" w:color="auto"/>
            <w:right w:val="none" w:sz="0" w:space="0" w:color="auto"/>
          </w:divBdr>
        </w:div>
        <w:div w:id="659582767">
          <w:marLeft w:val="0"/>
          <w:marRight w:val="0"/>
          <w:marTop w:val="0"/>
          <w:marBottom w:val="0"/>
          <w:divBdr>
            <w:top w:val="none" w:sz="0" w:space="0" w:color="auto"/>
            <w:left w:val="none" w:sz="0" w:space="0" w:color="auto"/>
            <w:bottom w:val="none" w:sz="0" w:space="0" w:color="auto"/>
            <w:right w:val="none" w:sz="0" w:space="0" w:color="auto"/>
          </w:divBdr>
        </w:div>
        <w:div w:id="779372098">
          <w:marLeft w:val="0"/>
          <w:marRight w:val="0"/>
          <w:marTop w:val="0"/>
          <w:marBottom w:val="0"/>
          <w:divBdr>
            <w:top w:val="none" w:sz="0" w:space="0" w:color="auto"/>
            <w:left w:val="none" w:sz="0" w:space="0" w:color="auto"/>
            <w:bottom w:val="none" w:sz="0" w:space="0" w:color="auto"/>
            <w:right w:val="none" w:sz="0" w:space="0" w:color="auto"/>
          </w:divBdr>
        </w:div>
        <w:div w:id="1143502324">
          <w:marLeft w:val="0"/>
          <w:marRight w:val="0"/>
          <w:marTop w:val="0"/>
          <w:marBottom w:val="0"/>
          <w:divBdr>
            <w:top w:val="none" w:sz="0" w:space="0" w:color="auto"/>
            <w:left w:val="none" w:sz="0" w:space="0" w:color="auto"/>
            <w:bottom w:val="none" w:sz="0" w:space="0" w:color="auto"/>
            <w:right w:val="none" w:sz="0" w:space="0" w:color="auto"/>
          </w:divBdr>
        </w:div>
        <w:div w:id="1559784132">
          <w:marLeft w:val="0"/>
          <w:marRight w:val="0"/>
          <w:marTop w:val="0"/>
          <w:marBottom w:val="0"/>
          <w:divBdr>
            <w:top w:val="none" w:sz="0" w:space="0" w:color="auto"/>
            <w:left w:val="none" w:sz="0" w:space="0" w:color="auto"/>
            <w:bottom w:val="none" w:sz="0" w:space="0" w:color="auto"/>
            <w:right w:val="none" w:sz="0" w:space="0" w:color="auto"/>
          </w:divBdr>
        </w:div>
        <w:div w:id="2060274867">
          <w:marLeft w:val="0"/>
          <w:marRight w:val="0"/>
          <w:marTop w:val="0"/>
          <w:marBottom w:val="0"/>
          <w:divBdr>
            <w:top w:val="none" w:sz="0" w:space="0" w:color="auto"/>
            <w:left w:val="none" w:sz="0" w:space="0" w:color="auto"/>
            <w:bottom w:val="none" w:sz="0" w:space="0" w:color="auto"/>
            <w:right w:val="none" w:sz="0" w:space="0" w:color="auto"/>
          </w:divBdr>
        </w:div>
      </w:divsChild>
    </w:div>
    <w:div w:id="1476409941">
      <w:bodyDiv w:val="1"/>
      <w:marLeft w:val="0"/>
      <w:marRight w:val="0"/>
      <w:marTop w:val="0"/>
      <w:marBottom w:val="0"/>
      <w:divBdr>
        <w:top w:val="none" w:sz="0" w:space="0" w:color="auto"/>
        <w:left w:val="none" w:sz="0" w:space="0" w:color="auto"/>
        <w:bottom w:val="none" w:sz="0" w:space="0" w:color="auto"/>
        <w:right w:val="none" w:sz="0" w:space="0" w:color="auto"/>
      </w:divBdr>
      <w:divsChild>
        <w:div w:id="453598286">
          <w:marLeft w:val="0"/>
          <w:marRight w:val="0"/>
          <w:marTop w:val="0"/>
          <w:marBottom w:val="0"/>
          <w:divBdr>
            <w:top w:val="none" w:sz="0" w:space="0" w:color="auto"/>
            <w:left w:val="none" w:sz="0" w:space="0" w:color="auto"/>
            <w:bottom w:val="none" w:sz="0" w:space="0" w:color="auto"/>
            <w:right w:val="none" w:sz="0" w:space="0" w:color="auto"/>
          </w:divBdr>
        </w:div>
        <w:div w:id="517037799">
          <w:marLeft w:val="0"/>
          <w:marRight w:val="0"/>
          <w:marTop w:val="0"/>
          <w:marBottom w:val="0"/>
          <w:divBdr>
            <w:top w:val="none" w:sz="0" w:space="0" w:color="auto"/>
            <w:left w:val="none" w:sz="0" w:space="0" w:color="auto"/>
            <w:bottom w:val="none" w:sz="0" w:space="0" w:color="auto"/>
            <w:right w:val="none" w:sz="0" w:space="0" w:color="auto"/>
          </w:divBdr>
        </w:div>
        <w:div w:id="998849394">
          <w:marLeft w:val="0"/>
          <w:marRight w:val="0"/>
          <w:marTop w:val="0"/>
          <w:marBottom w:val="0"/>
          <w:divBdr>
            <w:top w:val="none" w:sz="0" w:space="0" w:color="auto"/>
            <w:left w:val="none" w:sz="0" w:space="0" w:color="auto"/>
            <w:bottom w:val="none" w:sz="0" w:space="0" w:color="auto"/>
            <w:right w:val="none" w:sz="0" w:space="0" w:color="auto"/>
          </w:divBdr>
        </w:div>
        <w:div w:id="1267613286">
          <w:marLeft w:val="0"/>
          <w:marRight w:val="0"/>
          <w:marTop w:val="0"/>
          <w:marBottom w:val="0"/>
          <w:divBdr>
            <w:top w:val="none" w:sz="0" w:space="0" w:color="auto"/>
            <w:left w:val="none" w:sz="0" w:space="0" w:color="auto"/>
            <w:bottom w:val="none" w:sz="0" w:space="0" w:color="auto"/>
            <w:right w:val="none" w:sz="0" w:space="0" w:color="auto"/>
          </w:divBdr>
        </w:div>
        <w:div w:id="1438259349">
          <w:marLeft w:val="0"/>
          <w:marRight w:val="0"/>
          <w:marTop w:val="0"/>
          <w:marBottom w:val="0"/>
          <w:divBdr>
            <w:top w:val="none" w:sz="0" w:space="0" w:color="auto"/>
            <w:left w:val="none" w:sz="0" w:space="0" w:color="auto"/>
            <w:bottom w:val="none" w:sz="0" w:space="0" w:color="auto"/>
            <w:right w:val="none" w:sz="0" w:space="0" w:color="auto"/>
          </w:divBdr>
        </w:div>
        <w:div w:id="1760717694">
          <w:marLeft w:val="0"/>
          <w:marRight w:val="0"/>
          <w:marTop w:val="0"/>
          <w:marBottom w:val="0"/>
          <w:divBdr>
            <w:top w:val="none" w:sz="0" w:space="0" w:color="auto"/>
            <w:left w:val="none" w:sz="0" w:space="0" w:color="auto"/>
            <w:bottom w:val="none" w:sz="0" w:space="0" w:color="auto"/>
            <w:right w:val="none" w:sz="0" w:space="0" w:color="auto"/>
          </w:divBdr>
        </w:div>
        <w:div w:id="1973904891">
          <w:marLeft w:val="0"/>
          <w:marRight w:val="0"/>
          <w:marTop w:val="0"/>
          <w:marBottom w:val="0"/>
          <w:divBdr>
            <w:top w:val="none" w:sz="0" w:space="0" w:color="auto"/>
            <w:left w:val="none" w:sz="0" w:space="0" w:color="auto"/>
            <w:bottom w:val="none" w:sz="0" w:space="0" w:color="auto"/>
            <w:right w:val="none" w:sz="0" w:space="0" w:color="auto"/>
          </w:divBdr>
        </w:div>
        <w:div w:id="2075616822">
          <w:marLeft w:val="0"/>
          <w:marRight w:val="0"/>
          <w:marTop w:val="0"/>
          <w:marBottom w:val="0"/>
          <w:divBdr>
            <w:top w:val="none" w:sz="0" w:space="0" w:color="auto"/>
            <w:left w:val="none" w:sz="0" w:space="0" w:color="auto"/>
            <w:bottom w:val="none" w:sz="0" w:space="0" w:color="auto"/>
            <w:right w:val="none" w:sz="0" w:space="0" w:color="auto"/>
          </w:divBdr>
        </w:div>
      </w:divsChild>
    </w:div>
    <w:div w:id="1537309536">
      <w:bodyDiv w:val="1"/>
      <w:marLeft w:val="0"/>
      <w:marRight w:val="0"/>
      <w:marTop w:val="0"/>
      <w:marBottom w:val="0"/>
      <w:divBdr>
        <w:top w:val="none" w:sz="0" w:space="0" w:color="auto"/>
        <w:left w:val="none" w:sz="0" w:space="0" w:color="auto"/>
        <w:bottom w:val="none" w:sz="0" w:space="0" w:color="auto"/>
        <w:right w:val="none" w:sz="0" w:space="0" w:color="auto"/>
      </w:divBdr>
      <w:divsChild>
        <w:div w:id="72166022">
          <w:marLeft w:val="0"/>
          <w:marRight w:val="0"/>
          <w:marTop w:val="0"/>
          <w:marBottom w:val="0"/>
          <w:divBdr>
            <w:top w:val="none" w:sz="0" w:space="0" w:color="auto"/>
            <w:left w:val="none" w:sz="0" w:space="0" w:color="auto"/>
            <w:bottom w:val="none" w:sz="0" w:space="0" w:color="auto"/>
            <w:right w:val="none" w:sz="0" w:space="0" w:color="auto"/>
          </w:divBdr>
        </w:div>
        <w:div w:id="326635226">
          <w:marLeft w:val="0"/>
          <w:marRight w:val="0"/>
          <w:marTop w:val="0"/>
          <w:marBottom w:val="0"/>
          <w:divBdr>
            <w:top w:val="none" w:sz="0" w:space="0" w:color="auto"/>
            <w:left w:val="none" w:sz="0" w:space="0" w:color="auto"/>
            <w:bottom w:val="none" w:sz="0" w:space="0" w:color="auto"/>
            <w:right w:val="none" w:sz="0" w:space="0" w:color="auto"/>
          </w:divBdr>
        </w:div>
        <w:div w:id="853109157">
          <w:marLeft w:val="0"/>
          <w:marRight w:val="0"/>
          <w:marTop w:val="0"/>
          <w:marBottom w:val="0"/>
          <w:divBdr>
            <w:top w:val="none" w:sz="0" w:space="0" w:color="auto"/>
            <w:left w:val="none" w:sz="0" w:space="0" w:color="auto"/>
            <w:bottom w:val="none" w:sz="0" w:space="0" w:color="auto"/>
            <w:right w:val="none" w:sz="0" w:space="0" w:color="auto"/>
          </w:divBdr>
        </w:div>
        <w:div w:id="1136291947">
          <w:marLeft w:val="0"/>
          <w:marRight w:val="0"/>
          <w:marTop w:val="0"/>
          <w:marBottom w:val="0"/>
          <w:divBdr>
            <w:top w:val="none" w:sz="0" w:space="0" w:color="auto"/>
            <w:left w:val="none" w:sz="0" w:space="0" w:color="auto"/>
            <w:bottom w:val="none" w:sz="0" w:space="0" w:color="auto"/>
            <w:right w:val="none" w:sz="0" w:space="0" w:color="auto"/>
          </w:divBdr>
        </w:div>
        <w:div w:id="1244602334">
          <w:marLeft w:val="0"/>
          <w:marRight w:val="0"/>
          <w:marTop w:val="0"/>
          <w:marBottom w:val="0"/>
          <w:divBdr>
            <w:top w:val="none" w:sz="0" w:space="0" w:color="auto"/>
            <w:left w:val="none" w:sz="0" w:space="0" w:color="auto"/>
            <w:bottom w:val="none" w:sz="0" w:space="0" w:color="auto"/>
            <w:right w:val="none" w:sz="0" w:space="0" w:color="auto"/>
          </w:divBdr>
        </w:div>
        <w:div w:id="1463576275">
          <w:marLeft w:val="0"/>
          <w:marRight w:val="0"/>
          <w:marTop w:val="0"/>
          <w:marBottom w:val="0"/>
          <w:divBdr>
            <w:top w:val="none" w:sz="0" w:space="0" w:color="auto"/>
            <w:left w:val="none" w:sz="0" w:space="0" w:color="auto"/>
            <w:bottom w:val="none" w:sz="0" w:space="0" w:color="auto"/>
            <w:right w:val="none" w:sz="0" w:space="0" w:color="auto"/>
          </w:divBdr>
        </w:div>
        <w:div w:id="1514420832">
          <w:marLeft w:val="0"/>
          <w:marRight w:val="0"/>
          <w:marTop w:val="0"/>
          <w:marBottom w:val="0"/>
          <w:divBdr>
            <w:top w:val="none" w:sz="0" w:space="0" w:color="auto"/>
            <w:left w:val="none" w:sz="0" w:space="0" w:color="auto"/>
            <w:bottom w:val="none" w:sz="0" w:space="0" w:color="auto"/>
            <w:right w:val="none" w:sz="0" w:space="0" w:color="auto"/>
          </w:divBdr>
        </w:div>
        <w:div w:id="2089420201">
          <w:marLeft w:val="0"/>
          <w:marRight w:val="0"/>
          <w:marTop w:val="0"/>
          <w:marBottom w:val="0"/>
          <w:divBdr>
            <w:top w:val="none" w:sz="0" w:space="0" w:color="auto"/>
            <w:left w:val="none" w:sz="0" w:space="0" w:color="auto"/>
            <w:bottom w:val="none" w:sz="0" w:space="0" w:color="auto"/>
            <w:right w:val="none" w:sz="0" w:space="0" w:color="auto"/>
          </w:divBdr>
        </w:div>
      </w:divsChild>
    </w:div>
    <w:div w:id="1537697583">
      <w:bodyDiv w:val="1"/>
      <w:marLeft w:val="0"/>
      <w:marRight w:val="0"/>
      <w:marTop w:val="0"/>
      <w:marBottom w:val="0"/>
      <w:divBdr>
        <w:top w:val="none" w:sz="0" w:space="0" w:color="auto"/>
        <w:left w:val="none" w:sz="0" w:space="0" w:color="auto"/>
        <w:bottom w:val="none" w:sz="0" w:space="0" w:color="auto"/>
        <w:right w:val="none" w:sz="0" w:space="0" w:color="auto"/>
      </w:divBdr>
      <w:divsChild>
        <w:div w:id="137309827">
          <w:marLeft w:val="0"/>
          <w:marRight w:val="0"/>
          <w:marTop w:val="0"/>
          <w:marBottom w:val="0"/>
          <w:divBdr>
            <w:top w:val="none" w:sz="0" w:space="0" w:color="auto"/>
            <w:left w:val="none" w:sz="0" w:space="0" w:color="auto"/>
            <w:bottom w:val="none" w:sz="0" w:space="0" w:color="auto"/>
            <w:right w:val="none" w:sz="0" w:space="0" w:color="auto"/>
          </w:divBdr>
        </w:div>
        <w:div w:id="608120860">
          <w:marLeft w:val="0"/>
          <w:marRight w:val="0"/>
          <w:marTop w:val="0"/>
          <w:marBottom w:val="0"/>
          <w:divBdr>
            <w:top w:val="none" w:sz="0" w:space="0" w:color="auto"/>
            <w:left w:val="none" w:sz="0" w:space="0" w:color="auto"/>
            <w:bottom w:val="none" w:sz="0" w:space="0" w:color="auto"/>
            <w:right w:val="none" w:sz="0" w:space="0" w:color="auto"/>
          </w:divBdr>
        </w:div>
        <w:div w:id="795222488">
          <w:marLeft w:val="0"/>
          <w:marRight w:val="0"/>
          <w:marTop w:val="0"/>
          <w:marBottom w:val="0"/>
          <w:divBdr>
            <w:top w:val="none" w:sz="0" w:space="0" w:color="auto"/>
            <w:left w:val="none" w:sz="0" w:space="0" w:color="auto"/>
            <w:bottom w:val="none" w:sz="0" w:space="0" w:color="auto"/>
            <w:right w:val="none" w:sz="0" w:space="0" w:color="auto"/>
          </w:divBdr>
        </w:div>
        <w:div w:id="823618688">
          <w:marLeft w:val="0"/>
          <w:marRight w:val="0"/>
          <w:marTop w:val="0"/>
          <w:marBottom w:val="0"/>
          <w:divBdr>
            <w:top w:val="none" w:sz="0" w:space="0" w:color="auto"/>
            <w:left w:val="none" w:sz="0" w:space="0" w:color="auto"/>
            <w:bottom w:val="none" w:sz="0" w:space="0" w:color="auto"/>
            <w:right w:val="none" w:sz="0" w:space="0" w:color="auto"/>
          </w:divBdr>
        </w:div>
        <w:div w:id="1159541996">
          <w:marLeft w:val="0"/>
          <w:marRight w:val="0"/>
          <w:marTop w:val="0"/>
          <w:marBottom w:val="0"/>
          <w:divBdr>
            <w:top w:val="none" w:sz="0" w:space="0" w:color="auto"/>
            <w:left w:val="none" w:sz="0" w:space="0" w:color="auto"/>
            <w:bottom w:val="none" w:sz="0" w:space="0" w:color="auto"/>
            <w:right w:val="none" w:sz="0" w:space="0" w:color="auto"/>
          </w:divBdr>
        </w:div>
        <w:div w:id="1532718382">
          <w:marLeft w:val="0"/>
          <w:marRight w:val="0"/>
          <w:marTop w:val="0"/>
          <w:marBottom w:val="0"/>
          <w:divBdr>
            <w:top w:val="none" w:sz="0" w:space="0" w:color="auto"/>
            <w:left w:val="none" w:sz="0" w:space="0" w:color="auto"/>
            <w:bottom w:val="none" w:sz="0" w:space="0" w:color="auto"/>
            <w:right w:val="none" w:sz="0" w:space="0" w:color="auto"/>
          </w:divBdr>
        </w:div>
        <w:div w:id="1860271900">
          <w:marLeft w:val="0"/>
          <w:marRight w:val="0"/>
          <w:marTop w:val="0"/>
          <w:marBottom w:val="0"/>
          <w:divBdr>
            <w:top w:val="none" w:sz="0" w:space="0" w:color="auto"/>
            <w:left w:val="none" w:sz="0" w:space="0" w:color="auto"/>
            <w:bottom w:val="none" w:sz="0" w:space="0" w:color="auto"/>
            <w:right w:val="none" w:sz="0" w:space="0" w:color="auto"/>
          </w:divBdr>
        </w:div>
        <w:div w:id="2060742063">
          <w:marLeft w:val="0"/>
          <w:marRight w:val="0"/>
          <w:marTop w:val="0"/>
          <w:marBottom w:val="0"/>
          <w:divBdr>
            <w:top w:val="none" w:sz="0" w:space="0" w:color="auto"/>
            <w:left w:val="none" w:sz="0" w:space="0" w:color="auto"/>
            <w:bottom w:val="none" w:sz="0" w:space="0" w:color="auto"/>
            <w:right w:val="none" w:sz="0" w:space="0" w:color="auto"/>
          </w:divBdr>
        </w:div>
      </w:divsChild>
    </w:div>
    <w:div w:id="1600720079">
      <w:bodyDiv w:val="1"/>
      <w:marLeft w:val="0"/>
      <w:marRight w:val="0"/>
      <w:marTop w:val="0"/>
      <w:marBottom w:val="0"/>
      <w:divBdr>
        <w:top w:val="none" w:sz="0" w:space="0" w:color="auto"/>
        <w:left w:val="none" w:sz="0" w:space="0" w:color="auto"/>
        <w:bottom w:val="none" w:sz="0" w:space="0" w:color="auto"/>
        <w:right w:val="none" w:sz="0" w:space="0" w:color="auto"/>
      </w:divBdr>
      <w:divsChild>
        <w:div w:id="67730523">
          <w:marLeft w:val="0"/>
          <w:marRight w:val="0"/>
          <w:marTop w:val="0"/>
          <w:marBottom w:val="0"/>
          <w:divBdr>
            <w:top w:val="none" w:sz="0" w:space="0" w:color="auto"/>
            <w:left w:val="none" w:sz="0" w:space="0" w:color="auto"/>
            <w:bottom w:val="none" w:sz="0" w:space="0" w:color="auto"/>
            <w:right w:val="none" w:sz="0" w:space="0" w:color="auto"/>
          </w:divBdr>
        </w:div>
        <w:div w:id="746807518">
          <w:marLeft w:val="0"/>
          <w:marRight w:val="0"/>
          <w:marTop w:val="0"/>
          <w:marBottom w:val="0"/>
          <w:divBdr>
            <w:top w:val="none" w:sz="0" w:space="0" w:color="auto"/>
            <w:left w:val="none" w:sz="0" w:space="0" w:color="auto"/>
            <w:bottom w:val="none" w:sz="0" w:space="0" w:color="auto"/>
            <w:right w:val="none" w:sz="0" w:space="0" w:color="auto"/>
          </w:divBdr>
        </w:div>
        <w:div w:id="941228272">
          <w:marLeft w:val="0"/>
          <w:marRight w:val="0"/>
          <w:marTop w:val="0"/>
          <w:marBottom w:val="0"/>
          <w:divBdr>
            <w:top w:val="none" w:sz="0" w:space="0" w:color="auto"/>
            <w:left w:val="none" w:sz="0" w:space="0" w:color="auto"/>
            <w:bottom w:val="none" w:sz="0" w:space="0" w:color="auto"/>
            <w:right w:val="none" w:sz="0" w:space="0" w:color="auto"/>
          </w:divBdr>
        </w:div>
        <w:div w:id="942686786">
          <w:marLeft w:val="0"/>
          <w:marRight w:val="0"/>
          <w:marTop w:val="0"/>
          <w:marBottom w:val="0"/>
          <w:divBdr>
            <w:top w:val="none" w:sz="0" w:space="0" w:color="auto"/>
            <w:left w:val="none" w:sz="0" w:space="0" w:color="auto"/>
            <w:bottom w:val="none" w:sz="0" w:space="0" w:color="auto"/>
            <w:right w:val="none" w:sz="0" w:space="0" w:color="auto"/>
          </w:divBdr>
        </w:div>
        <w:div w:id="1220744935">
          <w:marLeft w:val="0"/>
          <w:marRight w:val="0"/>
          <w:marTop w:val="0"/>
          <w:marBottom w:val="0"/>
          <w:divBdr>
            <w:top w:val="none" w:sz="0" w:space="0" w:color="auto"/>
            <w:left w:val="none" w:sz="0" w:space="0" w:color="auto"/>
            <w:bottom w:val="none" w:sz="0" w:space="0" w:color="auto"/>
            <w:right w:val="none" w:sz="0" w:space="0" w:color="auto"/>
          </w:divBdr>
        </w:div>
        <w:div w:id="1296910550">
          <w:marLeft w:val="0"/>
          <w:marRight w:val="0"/>
          <w:marTop w:val="0"/>
          <w:marBottom w:val="0"/>
          <w:divBdr>
            <w:top w:val="none" w:sz="0" w:space="0" w:color="auto"/>
            <w:left w:val="none" w:sz="0" w:space="0" w:color="auto"/>
            <w:bottom w:val="none" w:sz="0" w:space="0" w:color="auto"/>
            <w:right w:val="none" w:sz="0" w:space="0" w:color="auto"/>
          </w:divBdr>
        </w:div>
        <w:div w:id="1702242589">
          <w:marLeft w:val="0"/>
          <w:marRight w:val="0"/>
          <w:marTop w:val="0"/>
          <w:marBottom w:val="0"/>
          <w:divBdr>
            <w:top w:val="none" w:sz="0" w:space="0" w:color="auto"/>
            <w:left w:val="none" w:sz="0" w:space="0" w:color="auto"/>
            <w:bottom w:val="none" w:sz="0" w:space="0" w:color="auto"/>
            <w:right w:val="none" w:sz="0" w:space="0" w:color="auto"/>
          </w:divBdr>
        </w:div>
        <w:div w:id="1781101975">
          <w:marLeft w:val="0"/>
          <w:marRight w:val="0"/>
          <w:marTop w:val="0"/>
          <w:marBottom w:val="0"/>
          <w:divBdr>
            <w:top w:val="none" w:sz="0" w:space="0" w:color="auto"/>
            <w:left w:val="none" w:sz="0" w:space="0" w:color="auto"/>
            <w:bottom w:val="none" w:sz="0" w:space="0" w:color="auto"/>
            <w:right w:val="none" w:sz="0" w:space="0" w:color="auto"/>
          </w:divBdr>
        </w:div>
      </w:divsChild>
    </w:div>
    <w:div w:id="1606890185">
      <w:bodyDiv w:val="1"/>
      <w:marLeft w:val="0"/>
      <w:marRight w:val="0"/>
      <w:marTop w:val="0"/>
      <w:marBottom w:val="0"/>
      <w:divBdr>
        <w:top w:val="none" w:sz="0" w:space="0" w:color="auto"/>
        <w:left w:val="none" w:sz="0" w:space="0" w:color="auto"/>
        <w:bottom w:val="none" w:sz="0" w:space="0" w:color="auto"/>
        <w:right w:val="none" w:sz="0" w:space="0" w:color="auto"/>
      </w:divBdr>
      <w:divsChild>
        <w:div w:id="270556336">
          <w:marLeft w:val="0"/>
          <w:marRight w:val="0"/>
          <w:marTop w:val="0"/>
          <w:marBottom w:val="0"/>
          <w:divBdr>
            <w:top w:val="none" w:sz="0" w:space="0" w:color="auto"/>
            <w:left w:val="none" w:sz="0" w:space="0" w:color="auto"/>
            <w:bottom w:val="none" w:sz="0" w:space="0" w:color="auto"/>
            <w:right w:val="none" w:sz="0" w:space="0" w:color="auto"/>
          </w:divBdr>
        </w:div>
        <w:div w:id="287787863">
          <w:marLeft w:val="0"/>
          <w:marRight w:val="0"/>
          <w:marTop w:val="0"/>
          <w:marBottom w:val="0"/>
          <w:divBdr>
            <w:top w:val="none" w:sz="0" w:space="0" w:color="auto"/>
            <w:left w:val="none" w:sz="0" w:space="0" w:color="auto"/>
            <w:bottom w:val="none" w:sz="0" w:space="0" w:color="auto"/>
            <w:right w:val="none" w:sz="0" w:space="0" w:color="auto"/>
          </w:divBdr>
        </w:div>
        <w:div w:id="705059151">
          <w:marLeft w:val="0"/>
          <w:marRight w:val="0"/>
          <w:marTop w:val="0"/>
          <w:marBottom w:val="0"/>
          <w:divBdr>
            <w:top w:val="none" w:sz="0" w:space="0" w:color="auto"/>
            <w:left w:val="none" w:sz="0" w:space="0" w:color="auto"/>
            <w:bottom w:val="none" w:sz="0" w:space="0" w:color="auto"/>
            <w:right w:val="none" w:sz="0" w:space="0" w:color="auto"/>
          </w:divBdr>
        </w:div>
        <w:div w:id="1018972506">
          <w:marLeft w:val="0"/>
          <w:marRight w:val="0"/>
          <w:marTop w:val="0"/>
          <w:marBottom w:val="0"/>
          <w:divBdr>
            <w:top w:val="none" w:sz="0" w:space="0" w:color="auto"/>
            <w:left w:val="none" w:sz="0" w:space="0" w:color="auto"/>
            <w:bottom w:val="none" w:sz="0" w:space="0" w:color="auto"/>
            <w:right w:val="none" w:sz="0" w:space="0" w:color="auto"/>
          </w:divBdr>
        </w:div>
        <w:div w:id="1077676333">
          <w:marLeft w:val="0"/>
          <w:marRight w:val="0"/>
          <w:marTop w:val="0"/>
          <w:marBottom w:val="0"/>
          <w:divBdr>
            <w:top w:val="none" w:sz="0" w:space="0" w:color="auto"/>
            <w:left w:val="none" w:sz="0" w:space="0" w:color="auto"/>
            <w:bottom w:val="none" w:sz="0" w:space="0" w:color="auto"/>
            <w:right w:val="none" w:sz="0" w:space="0" w:color="auto"/>
          </w:divBdr>
        </w:div>
        <w:div w:id="1596017347">
          <w:marLeft w:val="0"/>
          <w:marRight w:val="0"/>
          <w:marTop w:val="0"/>
          <w:marBottom w:val="0"/>
          <w:divBdr>
            <w:top w:val="none" w:sz="0" w:space="0" w:color="auto"/>
            <w:left w:val="none" w:sz="0" w:space="0" w:color="auto"/>
            <w:bottom w:val="none" w:sz="0" w:space="0" w:color="auto"/>
            <w:right w:val="none" w:sz="0" w:space="0" w:color="auto"/>
          </w:divBdr>
        </w:div>
        <w:div w:id="1769349725">
          <w:marLeft w:val="0"/>
          <w:marRight w:val="0"/>
          <w:marTop w:val="0"/>
          <w:marBottom w:val="0"/>
          <w:divBdr>
            <w:top w:val="none" w:sz="0" w:space="0" w:color="auto"/>
            <w:left w:val="none" w:sz="0" w:space="0" w:color="auto"/>
            <w:bottom w:val="none" w:sz="0" w:space="0" w:color="auto"/>
            <w:right w:val="none" w:sz="0" w:space="0" w:color="auto"/>
          </w:divBdr>
        </w:div>
        <w:div w:id="1946647326">
          <w:marLeft w:val="0"/>
          <w:marRight w:val="0"/>
          <w:marTop w:val="0"/>
          <w:marBottom w:val="0"/>
          <w:divBdr>
            <w:top w:val="none" w:sz="0" w:space="0" w:color="auto"/>
            <w:left w:val="none" w:sz="0" w:space="0" w:color="auto"/>
            <w:bottom w:val="none" w:sz="0" w:space="0" w:color="auto"/>
            <w:right w:val="none" w:sz="0" w:space="0" w:color="auto"/>
          </w:divBdr>
        </w:div>
      </w:divsChild>
    </w:div>
    <w:div w:id="1623880038">
      <w:bodyDiv w:val="1"/>
      <w:marLeft w:val="0"/>
      <w:marRight w:val="0"/>
      <w:marTop w:val="0"/>
      <w:marBottom w:val="0"/>
      <w:divBdr>
        <w:top w:val="none" w:sz="0" w:space="0" w:color="auto"/>
        <w:left w:val="none" w:sz="0" w:space="0" w:color="auto"/>
        <w:bottom w:val="none" w:sz="0" w:space="0" w:color="auto"/>
        <w:right w:val="none" w:sz="0" w:space="0" w:color="auto"/>
      </w:divBdr>
      <w:divsChild>
        <w:div w:id="413359682">
          <w:marLeft w:val="0"/>
          <w:marRight w:val="0"/>
          <w:marTop w:val="0"/>
          <w:marBottom w:val="0"/>
          <w:divBdr>
            <w:top w:val="none" w:sz="0" w:space="0" w:color="auto"/>
            <w:left w:val="none" w:sz="0" w:space="0" w:color="auto"/>
            <w:bottom w:val="none" w:sz="0" w:space="0" w:color="auto"/>
            <w:right w:val="none" w:sz="0" w:space="0" w:color="auto"/>
          </w:divBdr>
        </w:div>
        <w:div w:id="457531546">
          <w:marLeft w:val="0"/>
          <w:marRight w:val="0"/>
          <w:marTop w:val="0"/>
          <w:marBottom w:val="0"/>
          <w:divBdr>
            <w:top w:val="none" w:sz="0" w:space="0" w:color="auto"/>
            <w:left w:val="none" w:sz="0" w:space="0" w:color="auto"/>
            <w:bottom w:val="none" w:sz="0" w:space="0" w:color="auto"/>
            <w:right w:val="none" w:sz="0" w:space="0" w:color="auto"/>
          </w:divBdr>
        </w:div>
        <w:div w:id="464856381">
          <w:marLeft w:val="0"/>
          <w:marRight w:val="0"/>
          <w:marTop w:val="0"/>
          <w:marBottom w:val="0"/>
          <w:divBdr>
            <w:top w:val="none" w:sz="0" w:space="0" w:color="auto"/>
            <w:left w:val="none" w:sz="0" w:space="0" w:color="auto"/>
            <w:bottom w:val="none" w:sz="0" w:space="0" w:color="auto"/>
            <w:right w:val="none" w:sz="0" w:space="0" w:color="auto"/>
          </w:divBdr>
        </w:div>
        <w:div w:id="553591274">
          <w:marLeft w:val="0"/>
          <w:marRight w:val="0"/>
          <w:marTop w:val="0"/>
          <w:marBottom w:val="0"/>
          <w:divBdr>
            <w:top w:val="none" w:sz="0" w:space="0" w:color="auto"/>
            <w:left w:val="none" w:sz="0" w:space="0" w:color="auto"/>
            <w:bottom w:val="none" w:sz="0" w:space="0" w:color="auto"/>
            <w:right w:val="none" w:sz="0" w:space="0" w:color="auto"/>
          </w:divBdr>
        </w:div>
        <w:div w:id="643317505">
          <w:marLeft w:val="0"/>
          <w:marRight w:val="0"/>
          <w:marTop w:val="0"/>
          <w:marBottom w:val="0"/>
          <w:divBdr>
            <w:top w:val="none" w:sz="0" w:space="0" w:color="auto"/>
            <w:left w:val="none" w:sz="0" w:space="0" w:color="auto"/>
            <w:bottom w:val="none" w:sz="0" w:space="0" w:color="auto"/>
            <w:right w:val="none" w:sz="0" w:space="0" w:color="auto"/>
          </w:divBdr>
        </w:div>
        <w:div w:id="653339353">
          <w:marLeft w:val="0"/>
          <w:marRight w:val="0"/>
          <w:marTop w:val="0"/>
          <w:marBottom w:val="0"/>
          <w:divBdr>
            <w:top w:val="none" w:sz="0" w:space="0" w:color="auto"/>
            <w:left w:val="none" w:sz="0" w:space="0" w:color="auto"/>
            <w:bottom w:val="none" w:sz="0" w:space="0" w:color="auto"/>
            <w:right w:val="none" w:sz="0" w:space="0" w:color="auto"/>
          </w:divBdr>
        </w:div>
        <w:div w:id="922497396">
          <w:marLeft w:val="0"/>
          <w:marRight w:val="0"/>
          <w:marTop w:val="0"/>
          <w:marBottom w:val="0"/>
          <w:divBdr>
            <w:top w:val="none" w:sz="0" w:space="0" w:color="auto"/>
            <w:left w:val="none" w:sz="0" w:space="0" w:color="auto"/>
            <w:bottom w:val="none" w:sz="0" w:space="0" w:color="auto"/>
            <w:right w:val="none" w:sz="0" w:space="0" w:color="auto"/>
          </w:divBdr>
        </w:div>
        <w:div w:id="1372874747">
          <w:marLeft w:val="0"/>
          <w:marRight w:val="0"/>
          <w:marTop w:val="0"/>
          <w:marBottom w:val="0"/>
          <w:divBdr>
            <w:top w:val="none" w:sz="0" w:space="0" w:color="auto"/>
            <w:left w:val="none" w:sz="0" w:space="0" w:color="auto"/>
            <w:bottom w:val="none" w:sz="0" w:space="0" w:color="auto"/>
            <w:right w:val="none" w:sz="0" w:space="0" w:color="auto"/>
          </w:divBdr>
        </w:div>
      </w:divsChild>
    </w:div>
    <w:div w:id="1630554938">
      <w:bodyDiv w:val="1"/>
      <w:marLeft w:val="0"/>
      <w:marRight w:val="0"/>
      <w:marTop w:val="0"/>
      <w:marBottom w:val="0"/>
      <w:divBdr>
        <w:top w:val="none" w:sz="0" w:space="0" w:color="auto"/>
        <w:left w:val="none" w:sz="0" w:space="0" w:color="auto"/>
        <w:bottom w:val="none" w:sz="0" w:space="0" w:color="auto"/>
        <w:right w:val="none" w:sz="0" w:space="0" w:color="auto"/>
      </w:divBdr>
      <w:divsChild>
        <w:div w:id="191111441">
          <w:marLeft w:val="0"/>
          <w:marRight w:val="0"/>
          <w:marTop w:val="0"/>
          <w:marBottom w:val="0"/>
          <w:divBdr>
            <w:top w:val="none" w:sz="0" w:space="0" w:color="auto"/>
            <w:left w:val="none" w:sz="0" w:space="0" w:color="auto"/>
            <w:bottom w:val="none" w:sz="0" w:space="0" w:color="auto"/>
            <w:right w:val="none" w:sz="0" w:space="0" w:color="auto"/>
          </w:divBdr>
        </w:div>
        <w:div w:id="258492224">
          <w:marLeft w:val="0"/>
          <w:marRight w:val="0"/>
          <w:marTop w:val="0"/>
          <w:marBottom w:val="0"/>
          <w:divBdr>
            <w:top w:val="none" w:sz="0" w:space="0" w:color="auto"/>
            <w:left w:val="none" w:sz="0" w:space="0" w:color="auto"/>
            <w:bottom w:val="none" w:sz="0" w:space="0" w:color="auto"/>
            <w:right w:val="none" w:sz="0" w:space="0" w:color="auto"/>
          </w:divBdr>
        </w:div>
        <w:div w:id="284235563">
          <w:marLeft w:val="0"/>
          <w:marRight w:val="0"/>
          <w:marTop w:val="0"/>
          <w:marBottom w:val="0"/>
          <w:divBdr>
            <w:top w:val="none" w:sz="0" w:space="0" w:color="auto"/>
            <w:left w:val="none" w:sz="0" w:space="0" w:color="auto"/>
            <w:bottom w:val="none" w:sz="0" w:space="0" w:color="auto"/>
            <w:right w:val="none" w:sz="0" w:space="0" w:color="auto"/>
          </w:divBdr>
        </w:div>
        <w:div w:id="325207719">
          <w:marLeft w:val="0"/>
          <w:marRight w:val="0"/>
          <w:marTop w:val="0"/>
          <w:marBottom w:val="0"/>
          <w:divBdr>
            <w:top w:val="none" w:sz="0" w:space="0" w:color="auto"/>
            <w:left w:val="none" w:sz="0" w:space="0" w:color="auto"/>
            <w:bottom w:val="none" w:sz="0" w:space="0" w:color="auto"/>
            <w:right w:val="none" w:sz="0" w:space="0" w:color="auto"/>
          </w:divBdr>
        </w:div>
        <w:div w:id="447043359">
          <w:marLeft w:val="0"/>
          <w:marRight w:val="0"/>
          <w:marTop w:val="0"/>
          <w:marBottom w:val="0"/>
          <w:divBdr>
            <w:top w:val="none" w:sz="0" w:space="0" w:color="auto"/>
            <w:left w:val="none" w:sz="0" w:space="0" w:color="auto"/>
            <w:bottom w:val="none" w:sz="0" w:space="0" w:color="auto"/>
            <w:right w:val="none" w:sz="0" w:space="0" w:color="auto"/>
          </w:divBdr>
        </w:div>
        <w:div w:id="1268661989">
          <w:marLeft w:val="0"/>
          <w:marRight w:val="0"/>
          <w:marTop w:val="0"/>
          <w:marBottom w:val="0"/>
          <w:divBdr>
            <w:top w:val="none" w:sz="0" w:space="0" w:color="auto"/>
            <w:left w:val="none" w:sz="0" w:space="0" w:color="auto"/>
            <w:bottom w:val="none" w:sz="0" w:space="0" w:color="auto"/>
            <w:right w:val="none" w:sz="0" w:space="0" w:color="auto"/>
          </w:divBdr>
        </w:div>
        <w:div w:id="1435591784">
          <w:marLeft w:val="0"/>
          <w:marRight w:val="0"/>
          <w:marTop w:val="0"/>
          <w:marBottom w:val="0"/>
          <w:divBdr>
            <w:top w:val="none" w:sz="0" w:space="0" w:color="auto"/>
            <w:left w:val="none" w:sz="0" w:space="0" w:color="auto"/>
            <w:bottom w:val="none" w:sz="0" w:space="0" w:color="auto"/>
            <w:right w:val="none" w:sz="0" w:space="0" w:color="auto"/>
          </w:divBdr>
        </w:div>
        <w:div w:id="1676107563">
          <w:marLeft w:val="0"/>
          <w:marRight w:val="0"/>
          <w:marTop w:val="0"/>
          <w:marBottom w:val="0"/>
          <w:divBdr>
            <w:top w:val="none" w:sz="0" w:space="0" w:color="auto"/>
            <w:left w:val="none" w:sz="0" w:space="0" w:color="auto"/>
            <w:bottom w:val="none" w:sz="0" w:space="0" w:color="auto"/>
            <w:right w:val="none" w:sz="0" w:space="0" w:color="auto"/>
          </w:divBdr>
        </w:div>
      </w:divsChild>
    </w:div>
    <w:div w:id="1656881901">
      <w:bodyDiv w:val="1"/>
      <w:marLeft w:val="0"/>
      <w:marRight w:val="0"/>
      <w:marTop w:val="0"/>
      <w:marBottom w:val="0"/>
      <w:divBdr>
        <w:top w:val="none" w:sz="0" w:space="0" w:color="auto"/>
        <w:left w:val="none" w:sz="0" w:space="0" w:color="auto"/>
        <w:bottom w:val="none" w:sz="0" w:space="0" w:color="auto"/>
        <w:right w:val="none" w:sz="0" w:space="0" w:color="auto"/>
      </w:divBdr>
      <w:divsChild>
        <w:div w:id="219556209">
          <w:marLeft w:val="0"/>
          <w:marRight w:val="0"/>
          <w:marTop w:val="0"/>
          <w:marBottom w:val="0"/>
          <w:divBdr>
            <w:top w:val="none" w:sz="0" w:space="0" w:color="auto"/>
            <w:left w:val="none" w:sz="0" w:space="0" w:color="auto"/>
            <w:bottom w:val="none" w:sz="0" w:space="0" w:color="auto"/>
            <w:right w:val="none" w:sz="0" w:space="0" w:color="auto"/>
          </w:divBdr>
        </w:div>
        <w:div w:id="296378052">
          <w:marLeft w:val="0"/>
          <w:marRight w:val="0"/>
          <w:marTop w:val="0"/>
          <w:marBottom w:val="0"/>
          <w:divBdr>
            <w:top w:val="none" w:sz="0" w:space="0" w:color="auto"/>
            <w:left w:val="none" w:sz="0" w:space="0" w:color="auto"/>
            <w:bottom w:val="none" w:sz="0" w:space="0" w:color="auto"/>
            <w:right w:val="none" w:sz="0" w:space="0" w:color="auto"/>
          </w:divBdr>
        </w:div>
        <w:div w:id="739136204">
          <w:marLeft w:val="0"/>
          <w:marRight w:val="0"/>
          <w:marTop w:val="0"/>
          <w:marBottom w:val="0"/>
          <w:divBdr>
            <w:top w:val="none" w:sz="0" w:space="0" w:color="auto"/>
            <w:left w:val="none" w:sz="0" w:space="0" w:color="auto"/>
            <w:bottom w:val="none" w:sz="0" w:space="0" w:color="auto"/>
            <w:right w:val="none" w:sz="0" w:space="0" w:color="auto"/>
          </w:divBdr>
        </w:div>
        <w:div w:id="828834974">
          <w:marLeft w:val="0"/>
          <w:marRight w:val="0"/>
          <w:marTop w:val="0"/>
          <w:marBottom w:val="0"/>
          <w:divBdr>
            <w:top w:val="none" w:sz="0" w:space="0" w:color="auto"/>
            <w:left w:val="none" w:sz="0" w:space="0" w:color="auto"/>
            <w:bottom w:val="none" w:sz="0" w:space="0" w:color="auto"/>
            <w:right w:val="none" w:sz="0" w:space="0" w:color="auto"/>
          </w:divBdr>
        </w:div>
        <w:div w:id="859006863">
          <w:marLeft w:val="0"/>
          <w:marRight w:val="0"/>
          <w:marTop w:val="0"/>
          <w:marBottom w:val="0"/>
          <w:divBdr>
            <w:top w:val="none" w:sz="0" w:space="0" w:color="auto"/>
            <w:left w:val="none" w:sz="0" w:space="0" w:color="auto"/>
            <w:bottom w:val="none" w:sz="0" w:space="0" w:color="auto"/>
            <w:right w:val="none" w:sz="0" w:space="0" w:color="auto"/>
          </w:divBdr>
        </w:div>
        <w:div w:id="891430107">
          <w:marLeft w:val="0"/>
          <w:marRight w:val="0"/>
          <w:marTop w:val="0"/>
          <w:marBottom w:val="0"/>
          <w:divBdr>
            <w:top w:val="none" w:sz="0" w:space="0" w:color="auto"/>
            <w:left w:val="none" w:sz="0" w:space="0" w:color="auto"/>
            <w:bottom w:val="none" w:sz="0" w:space="0" w:color="auto"/>
            <w:right w:val="none" w:sz="0" w:space="0" w:color="auto"/>
          </w:divBdr>
        </w:div>
        <w:div w:id="1857503618">
          <w:marLeft w:val="0"/>
          <w:marRight w:val="0"/>
          <w:marTop w:val="0"/>
          <w:marBottom w:val="0"/>
          <w:divBdr>
            <w:top w:val="none" w:sz="0" w:space="0" w:color="auto"/>
            <w:left w:val="none" w:sz="0" w:space="0" w:color="auto"/>
            <w:bottom w:val="none" w:sz="0" w:space="0" w:color="auto"/>
            <w:right w:val="none" w:sz="0" w:space="0" w:color="auto"/>
          </w:divBdr>
        </w:div>
        <w:div w:id="1978870681">
          <w:marLeft w:val="0"/>
          <w:marRight w:val="0"/>
          <w:marTop w:val="0"/>
          <w:marBottom w:val="0"/>
          <w:divBdr>
            <w:top w:val="none" w:sz="0" w:space="0" w:color="auto"/>
            <w:left w:val="none" w:sz="0" w:space="0" w:color="auto"/>
            <w:bottom w:val="none" w:sz="0" w:space="0" w:color="auto"/>
            <w:right w:val="none" w:sz="0" w:space="0" w:color="auto"/>
          </w:divBdr>
        </w:div>
      </w:divsChild>
    </w:div>
    <w:div w:id="1675183210">
      <w:bodyDiv w:val="1"/>
      <w:marLeft w:val="0"/>
      <w:marRight w:val="0"/>
      <w:marTop w:val="0"/>
      <w:marBottom w:val="0"/>
      <w:divBdr>
        <w:top w:val="none" w:sz="0" w:space="0" w:color="auto"/>
        <w:left w:val="none" w:sz="0" w:space="0" w:color="auto"/>
        <w:bottom w:val="none" w:sz="0" w:space="0" w:color="auto"/>
        <w:right w:val="none" w:sz="0" w:space="0" w:color="auto"/>
      </w:divBdr>
      <w:divsChild>
        <w:div w:id="99373610">
          <w:marLeft w:val="0"/>
          <w:marRight w:val="0"/>
          <w:marTop w:val="0"/>
          <w:marBottom w:val="0"/>
          <w:divBdr>
            <w:top w:val="none" w:sz="0" w:space="0" w:color="auto"/>
            <w:left w:val="none" w:sz="0" w:space="0" w:color="auto"/>
            <w:bottom w:val="none" w:sz="0" w:space="0" w:color="auto"/>
            <w:right w:val="none" w:sz="0" w:space="0" w:color="auto"/>
          </w:divBdr>
        </w:div>
        <w:div w:id="257058515">
          <w:marLeft w:val="0"/>
          <w:marRight w:val="0"/>
          <w:marTop w:val="0"/>
          <w:marBottom w:val="0"/>
          <w:divBdr>
            <w:top w:val="none" w:sz="0" w:space="0" w:color="auto"/>
            <w:left w:val="none" w:sz="0" w:space="0" w:color="auto"/>
            <w:bottom w:val="none" w:sz="0" w:space="0" w:color="auto"/>
            <w:right w:val="none" w:sz="0" w:space="0" w:color="auto"/>
          </w:divBdr>
        </w:div>
        <w:div w:id="369646982">
          <w:marLeft w:val="0"/>
          <w:marRight w:val="0"/>
          <w:marTop w:val="0"/>
          <w:marBottom w:val="0"/>
          <w:divBdr>
            <w:top w:val="none" w:sz="0" w:space="0" w:color="auto"/>
            <w:left w:val="none" w:sz="0" w:space="0" w:color="auto"/>
            <w:bottom w:val="none" w:sz="0" w:space="0" w:color="auto"/>
            <w:right w:val="none" w:sz="0" w:space="0" w:color="auto"/>
          </w:divBdr>
        </w:div>
        <w:div w:id="922878342">
          <w:marLeft w:val="0"/>
          <w:marRight w:val="0"/>
          <w:marTop w:val="0"/>
          <w:marBottom w:val="0"/>
          <w:divBdr>
            <w:top w:val="none" w:sz="0" w:space="0" w:color="auto"/>
            <w:left w:val="none" w:sz="0" w:space="0" w:color="auto"/>
            <w:bottom w:val="none" w:sz="0" w:space="0" w:color="auto"/>
            <w:right w:val="none" w:sz="0" w:space="0" w:color="auto"/>
          </w:divBdr>
        </w:div>
        <w:div w:id="1186602625">
          <w:marLeft w:val="0"/>
          <w:marRight w:val="0"/>
          <w:marTop w:val="0"/>
          <w:marBottom w:val="0"/>
          <w:divBdr>
            <w:top w:val="none" w:sz="0" w:space="0" w:color="auto"/>
            <w:left w:val="none" w:sz="0" w:space="0" w:color="auto"/>
            <w:bottom w:val="none" w:sz="0" w:space="0" w:color="auto"/>
            <w:right w:val="none" w:sz="0" w:space="0" w:color="auto"/>
          </w:divBdr>
        </w:div>
        <w:div w:id="1416586460">
          <w:marLeft w:val="0"/>
          <w:marRight w:val="0"/>
          <w:marTop w:val="0"/>
          <w:marBottom w:val="0"/>
          <w:divBdr>
            <w:top w:val="none" w:sz="0" w:space="0" w:color="auto"/>
            <w:left w:val="none" w:sz="0" w:space="0" w:color="auto"/>
            <w:bottom w:val="none" w:sz="0" w:space="0" w:color="auto"/>
            <w:right w:val="none" w:sz="0" w:space="0" w:color="auto"/>
          </w:divBdr>
        </w:div>
        <w:div w:id="1465657922">
          <w:marLeft w:val="0"/>
          <w:marRight w:val="0"/>
          <w:marTop w:val="0"/>
          <w:marBottom w:val="0"/>
          <w:divBdr>
            <w:top w:val="none" w:sz="0" w:space="0" w:color="auto"/>
            <w:left w:val="none" w:sz="0" w:space="0" w:color="auto"/>
            <w:bottom w:val="none" w:sz="0" w:space="0" w:color="auto"/>
            <w:right w:val="none" w:sz="0" w:space="0" w:color="auto"/>
          </w:divBdr>
        </w:div>
        <w:div w:id="2053770752">
          <w:marLeft w:val="0"/>
          <w:marRight w:val="0"/>
          <w:marTop w:val="0"/>
          <w:marBottom w:val="0"/>
          <w:divBdr>
            <w:top w:val="none" w:sz="0" w:space="0" w:color="auto"/>
            <w:left w:val="none" w:sz="0" w:space="0" w:color="auto"/>
            <w:bottom w:val="none" w:sz="0" w:space="0" w:color="auto"/>
            <w:right w:val="none" w:sz="0" w:space="0" w:color="auto"/>
          </w:divBdr>
        </w:div>
      </w:divsChild>
    </w:div>
    <w:div w:id="1741556567">
      <w:bodyDiv w:val="1"/>
      <w:marLeft w:val="0"/>
      <w:marRight w:val="0"/>
      <w:marTop w:val="0"/>
      <w:marBottom w:val="0"/>
      <w:divBdr>
        <w:top w:val="none" w:sz="0" w:space="0" w:color="auto"/>
        <w:left w:val="none" w:sz="0" w:space="0" w:color="auto"/>
        <w:bottom w:val="none" w:sz="0" w:space="0" w:color="auto"/>
        <w:right w:val="none" w:sz="0" w:space="0" w:color="auto"/>
      </w:divBdr>
      <w:divsChild>
        <w:div w:id="323973123">
          <w:marLeft w:val="0"/>
          <w:marRight w:val="0"/>
          <w:marTop w:val="0"/>
          <w:marBottom w:val="0"/>
          <w:divBdr>
            <w:top w:val="none" w:sz="0" w:space="0" w:color="auto"/>
            <w:left w:val="none" w:sz="0" w:space="0" w:color="auto"/>
            <w:bottom w:val="none" w:sz="0" w:space="0" w:color="auto"/>
            <w:right w:val="none" w:sz="0" w:space="0" w:color="auto"/>
          </w:divBdr>
        </w:div>
        <w:div w:id="396317228">
          <w:marLeft w:val="0"/>
          <w:marRight w:val="0"/>
          <w:marTop w:val="0"/>
          <w:marBottom w:val="0"/>
          <w:divBdr>
            <w:top w:val="none" w:sz="0" w:space="0" w:color="auto"/>
            <w:left w:val="none" w:sz="0" w:space="0" w:color="auto"/>
            <w:bottom w:val="none" w:sz="0" w:space="0" w:color="auto"/>
            <w:right w:val="none" w:sz="0" w:space="0" w:color="auto"/>
          </w:divBdr>
        </w:div>
        <w:div w:id="531695863">
          <w:marLeft w:val="0"/>
          <w:marRight w:val="0"/>
          <w:marTop w:val="0"/>
          <w:marBottom w:val="0"/>
          <w:divBdr>
            <w:top w:val="none" w:sz="0" w:space="0" w:color="auto"/>
            <w:left w:val="none" w:sz="0" w:space="0" w:color="auto"/>
            <w:bottom w:val="none" w:sz="0" w:space="0" w:color="auto"/>
            <w:right w:val="none" w:sz="0" w:space="0" w:color="auto"/>
          </w:divBdr>
        </w:div>
        <w:div w:id="582836648">
          <w:marLeft w:val="0"/>
          <w:marRight w:val="0"/>
          <w:marTop w:val="0"/>
          <w:marBottom w:val="0"/>
          <w:divBdr>
            <w:top w:val="none" w:sz="0" w:space="0" w:color="auto"/>
            <w:left w:val="none" w:sz="0" w:space="0" w:color="auto"/>
            <w:bottom w:val="none" w:sz="0" w:space="0" w:color="auto"/>
            <w:right w:val="none" w:sz="0" w:space="0" w:color="auto"/>
          </w:divBdr>
        </w:div>
        <w:div w:id="1288048432">
          <w:marLeft w:val="0"/>
          <w:marRight w:val="0"/>
          <w:marTop w:val="0"/>
          <w:marBottom w:val="0"/>
          <w:divBdr>
            <w:top w:val="none" w:sz="0" w:space="0" w:color="auto"/>
            <w:left w:val="none" w:sz="0" w:space="0" w:color="auto"/>
            <w:bottom w:val="none" w:sz="0" w:space="0" w:color="auto"/>
            <w:right w:val="none" w:sz="0" w:space="0" w:color="auto"/>
          </w:divBdr>
        </w:div>
        <w:div w:id="1349789586">
          <w:marLeft w:val="0"/>
          <w:marRight w:val="0"/>
          <w:marTop w:val="0"/>
          <w:marBottom w:val="0"/>
          <w:divBdr>
            <w:top w:val="none" w:sz="0" w:space="0" w:color="auto"/>
            <w:left w:val="none" w:sz="0" w:space="0" w:color="auto"/>
            <w:bottom w:val="none" w:sz="0" w:space="0" w:color="auto"/>
            <w:right w:val="none" w:sz="0" w:space="0" w:color="auto"/>
          </w:divBdr>
        </w:div>
        <w:div w:id="1482187198">
          <w:marLeft w:val="0"/>
          <w:marRight w:val="0"/>
          <w:marTop w:val="0"/>
          <w:marBottom w:val="0"/>
          <w:divBdr>
            <w:top w:val="none" w:sz="0" w:space="0" w:color="auto"/>
            <w:left w:val="none" w:sz="0" w:space="0" w:color="auto"/>
            <w:bottom w:val="none" w:sz="0" w:space="0" w:color="auto"/>
            <w:right w:val="none" w:sz="0" w:space="0" w:color="auto"/>
          </w:divBdr>
        </w:div>
        <w:div w:id="1961260016">
          <w:marLeft w:val="0"/>
          <w:marRight w:val="0"/>
          <w:marTop w:val="0"/>
          <w:marBottom w:val="0"/>
          <w:divBdr>
            <w:top w:val="none" w:sz="0" w:space="0" w:color="auto"/>
            <w:left w:val="none" w:sz="0" w:space="0" w:color="auto"/>
            <w:bottom w:val="none" w:sz="0" w:space="0" w:color="auto"/>
            <w:right w:val="none" w:sz="0" w:space="0" w:color="auto"/>
          </w:divBdr>
        </w:div>
      </w:divsChild>
    </w:div>
    <w:div w:id="1801799738">
      <w:bodyDiv w:val="1"/>
      <w:marLeft w:val="0"/>
      <w:marRight w:val="0"/>
      <w:marTop w:val="0"/>
      <w:marBottom w:val="0"/>
      <w:divBdr>
        <w:top w:val="none" w:sz="0" w:space="0" w:color="auto"/>
        <w:left w:val="none" w:sz="0" w:space="0" w:color="auto"/>
        <w:bottom w:val="none" w:sz="0" w:space="0" w:color="auto"/>
        <w:right w:val="none" w:sz="0" w:space="0" w:color="auto"/>
      </w:divBdr>
      <w:divsChild>
        <w:div w:id="46806489">
          <w:marLeft w:val="0"/>
          <w:marRight w:val="0"/>
          <w:marTop w:val="0"/>
          <w:marBottom w:val="0"/>
          <w:divBdr>
            <w:top w:val="none" w:sz="0" w:space="0" w:color="auto"/>
            <w:left w:val="none" w:sz="0" w:space="0" w:color="auto"/>
            <w:bottom w:val="none" w:sz="0" w:space="0" w:color="auto"/>
            <w:right w:val="none" w:sz="0" w:space="0" w:color="auto"/>
          </w:divBdr>
        </w:div>
        <w:div w:id="437025221">
          <w:marLeft w:val="0"/>
          <w:marRight w:val="0"/>
          <w:marTop w:val="0"/>
          <w:marBottom w:val="0"/>
          <w:divBdr>
            <w:top w:val="none" w:sz="0" w:space="0" w:color="auto"/>
            <w:left w:val="none" w:sz="0" w:space="0" w:color="auto"/>
            <w:bottom w:val="none" w:sz="0" w:space="0" w:color="auto"/>
            <w:right w:val="none" w:sz="0" w:space="0" w:color="auto"/>
          </w:divBdr>
        </w:div>
        <w:div w:id="960263124">
          <w:marLeft w:val="0"/>
          <w:marRight w:val="0"/>
          <w:marTop w:val="0"/>
          <w:marBottom w:val="0"/>
          <w:divBdr>
            <w:top w:val="none" w:sz="0" w:space="0" w:color="auto"/>
            <w:left w:val="none" w:sz="0" w:space="0" w:color="auto"/>
            <w:bottom w:val="none" w:sz="0" w:space="0" w:color="auto"/>
            <w:right w:val="none" w:sz="0" w:space="0" w:color="auto"/>
          </w:divBdr>
        </w:div>
        <w:div w:id="995912291">
          <w:marLeft w:val="0"/>
          <w:marRight w:val="0"/>
          <w:marTop w:val="0"/>
          <w:marBottom w:val="0"/>
          <w:divBdr>
            <w:top w:val="none" w:sz="0" w:space="0" w:color="auto"/>
            <w:left w:val="none" w:sz="0" w:space="0" w:color="auto"/>
            <w:bottom w:val="none" w:sz="0" w:space="0" w:color="auto"/>
            <w:right w:val="none" w:sz="0" w:space="0" w:color="auto"/>
          </w:divBdr>
        </w:div>
        <w:div w:id="1277710641">
          <w:marLeft w:val="0"/>
          <w:marRight w:val="0"/>
          <w:marTop w:val="0"/>
          <w:marBottom w:val="0"/>
          <w:divBdr>
            <w:top w:val="none" w:sz="0" w:space="0" w:color="auto"/>
            <w:left w:val="none" w:sz="0" w:space="0" w:color="auto"/>
            <w:bottom w:val="none" w:sz="0" w:space="0" w:color="auto"/>
            <w:right w:val="none" w:sz="0" w:space="0" w:color="auto"/>
          </w:divBdr>
        </w:div>
        <w:div w:id="1424717228">
          <w:marLeft w:val="0"/>
          <w:marRight w:val="0"/>
          <w:marTop w:val="0"/>
          <w:marBottom w:val="0"/>
          <w:divBdr>
            <w:top w:val="none" w:sz="0" w:space="0" w:color="auto"/>
            <w:left w:val="none" w:sz="0" w:space="0" w:color="auto"/>
            <w:bottom w:val="none" w:sz="0" w:space="0" w:color="auto"/>
            <w:right w:val="none" w:sz="0" w:space="0" w:color="auto"/>
          </w:divBdr>
        </w:div>
        <w:div w:id="1583830144">
          <w:marLeft w:val="0"/>
          <w:marRight w:val="0"/>
          <w:marTop w:val="0"/>
          <w:marBottom w:val="0"/>
          <w:divBdr>
            <w:top w:val="none" w:sz="0" w:space="0" w:color="auto"/>
            <w:left w:val="none" w:sz="0" w:space="0" w:color="auto"/>
            <w:bottom w:val="none" w:sz="0" w:space="0" w:color="auto"/>
            <w:right w:val="none" w:sz="0" w:space="0" w:color="auto"/>
          </w:divBdr>
        </w:div>
        <w:div w:id="1977831834">
          <w:marLeft w:val="0"/>
          <w:marRight w:val="0"/>
          <w:marTop w:val="0"/>
          <w:marBottom w:val="0"/>
          <w:divBdr>
            <w:top w:val="none" w:sz="0" w:space="0" w:color="auto"/>
            <w:left w:val="none" w:sz="0" w:space="0" w:color="auto"/>
            <w:bottom w:val="none" w:sz="0" w:space="0" w:color="auto"/>
            <w:right w:val="none" w:sz="0" w:space="0" w:color="auto"/>
          </w:divBdr>
        </w:div>
      </w:divsChild>
    </w:div>
    <w:div w:id="1805930932">
      <w:bodyDiv w:val="1"/>
      <w:marLeft w:val="0"/>
      <w:marRight w:val="0"/>
      <w:marTop w:val="0"/>
      <w:marBottom w:val="0"/>
      <w:divBdr>
        <w:top w:val="none" w:sz="0" w:space="0" w:color="auto"/>
        <w:left w:val="none" w:sz="0" w:space="0" w:color="auto"/>
        <w:bottom w:val="none" w:sz="0" w:space="0" w:color="auto"/>
        <w:right w:val="none" w:sz="0" w:space="0" w:color="auto"/>
      </w:divBdr>
      <w:divsChild>
        <w:div w:id="80298030">
          <w:marLeft w:val="0"/>
          <w:marRight w:val="0"/>
          <w:marTop w:val="0"/>
          <w:marBottom w:val="0"/>
          <w:divBdr>
            <w:top w:val="none" w:sz="0" w:space="0" w:color="auto"/>
            <w:left w:val="none" w:sz="0" w:space="0" w:color="auto"/>
            <w:bottom w:val="none" w:sz="0" w:space="0" w:color="auto"/>
            <w:right w:val="none" w:sz="0" w:space="0" w:color="auto"/>
          </w:divBdr>
        </w:div>
        <w:div w:id="88670474">
          <w:marLeft w:val="0"/>
          <w:marRight w:val="0"/>
          <w:marTop w:val="0"/>
          <w:marBottom w:val="0"/>
          <w:divBdr>
            <w:top w:val="none" w:sz="0" w:space="0" w:color="auto"/>
            <w:left w:val="none" w:sz="0" w:space="0" w:color="auto"/>
            <w:bottom w:val="none" w:sz="0" w:space="0" w:color="auto"/>
            <w:right w:val="none" w:sz="0" w:space="0" w:color="auto"/>
          </w:divBdr>
        </w:div>
        <w:div w:id="123740065">
          <w:marLeft w:val="0"/>
          <w:marRight w:val="0"/>
          <w:marTop w:val="0"/>
          <w:marBottom w:val="0"/>
          <w:divBdr>
            <w:top w:val="none" w:sz="0" w:space="0" w:color="auto"/>
            <w:left w:val="none" w:sz="0" w:space="0" w:color="auto"/>
            <w:bottom w:val="none" w:sz="0" w:space="0" w:color="auto"/>
            <w:right w:val="none" w:sz="0" w:space="0" w:color="auto"/>
          </w:divBdr>
        </w:div>
        <w:div w:id="864828540">
          <w:marLeft w:val="0"/>
          <w:marRight w:val="0"/>
          <w:marTop w:val="0"/>
          <w:marBottom w:val="0"/>
          <w:divBdr>
            <w:top w:val="none" w:sz="0" w:space="0" w:color="auto"/>
            <w:left w:val="none" w:sz="0" w:space="0" w:color="auto"/>
            <w:bottom w:val="none" w:sz="0" w:space="0" w:color="auto"/>
            <w:right w:val="none" w:sz="0" w:space="0" w:color="auto"/>
          </w:divBdr>
        </w:div>
        <w:div w:id="1368868435">
          <w:marLeft w:val="0"/>
          <w:marRight w:val="0"/>
          <w:marTop w:val="0"/>
          <w:marBottom w:val="0"/>
          <w:divBdr>
            <w:top w:val="none" w:sz="0" w:space="0" w:color="auto"/>
            <w:left w:val="none" w:sz="0" w:space="0" w:color="auto"/>
            <w:bottom w:val="none" w:sz="0" w:space="0" w:color="auto"/>
            <w:right w:val="none" w:sz="0" w:space="0" w:color="auto"/>
          </w:divBdr>
        </w:div>
        <w:div w:id="1390150508">
          <w:marLeft w:val="0"/>
          <w:marRight w:val="0"/>
          <w:marTop w:val="0"/>
          <w:marBottom w:val="0"/>
          <w:divBdr>
            <w:top w:val="none" w:sz="0" w:space="0" w:color="auto"/>
            <w:left w:val="none" w:sz="0" w:space="0" w:color="auto"/>
            <w:bottom w:val="none" w:sz="0" w:space="0" w:color="auto"/>
            <w:right w:val="none" w:sz="0" w:space="0" w:color="auto"/>
          </w:divBdr>
        </w:div>
        <w:div w:id="1849054277">
          <w:marLeft w:val="0"/>
          <w:marRight w:val="0"/>
          <w:marTop w:val="0"/>
          <w:marBottom w:val="0"/>
          <w:divBdr>
            <w:top w:val="none" w:sz="0" w:space="0" w:color="auto"/>
            <w:left w:val="none" w:sz="0" w:space="0" w:color="auto"/>
            <w:bottom w:val="none" w:sz="0" w:space="0" w:color="auto"/>
            <w:right w:val="none" w:sz="0" w:space="0" w:color="auto"/>
          </w:divBdr>
        </w:div>
        <w:div w:id="2004508815">
          <w:marLeft w:val="0"/>
          <w:marRight w:val="0"/>
          <w:marTop w:val="0"/>
          <w:marBottom w:val="0"/>
          <w:divBdr>
            <w:top w:val="none" w:sz="0" w:space="0" w:color="auto"/>
            <w:left w:val="none" w:sz="0" w:space="0" w:color="auto"/>
            <w:bottom w:val="none" w:sz="0" w:space="0" w:color="auto"/>
            <w:right w:val="none" w:sz="0" w:space="0" w:color="auto"/>
          </w:divBdr>
        </w:div>
      </w:divsChild>
    </w:div>
    <w:div w:id="1816214954">
      <w:bodyDiv w:val="1"/>
      <w:marLeft w:val="0"/>
      <w:marRight w:val="0"/>
      <w:marTop w:val="0"/>
      <w:marBottom w:val="0"/>
      <w:divBdr>
        <w:top w:val="none" w:sz="0" w:space="0" w:color="auto"/>
        <w:left w:val="none" w:sz="0" w:space="0" w:color="auto"/>
        <w:bottom w:val="none" w:sz="0" w:space="0" w:color="auto"/>
        <w:right w:val="none" w:sz="0" w:space="0" w:color="auto"/>
      </w:divBdr>
      <w:divsChild>
        <w:div w:id="33894175">
          <w:marLeft w:val="0"/>
          <w:marRight w:val="0"/>
          <w:marTop w:val="0"/>
          <w:marBottom w:val="0"/>
          <w:divBdr>
            <w:top w:val="none" w:sz="0" w:space="0" w:color="auto"/>
            <w:left w:val="none" w:sz="0" w:space="0" w:color="auto"/>
            <w:bottom w:val="none" w:sz="0" w:space="0" w:color="auto"/>
            <w:right w:val="none" w:sz="0" w:space="0" w:color="auto"/>
          </w:divBdr>
        </w:div>
        <w:div w:id="1127816173">
          <w:marLeft w:val="0"/>
          <w:marRight w:val="0"/>
          <w:marTop w:val="0"/>
          <w:marBottom w:val="0"/>
          <w:divBdr>
            <w:top w:val="none" w:sz="0" w:space="0" w:color="auto"/>
            <w:left w:val="none" w:sz="0" w:space="0" w:color="auto"/>
            <w:bottom w:val="none" w:sz="0" w:space="0" w:color="auto"/>
            <w:right w:val="none" w:sz="0" w:space="0" w:color="auto"/>
          </w:divBdr>
        </w:div>
        <w:div w:id="1415666831">
          <w:marLeft w:val="0"/>
          <w:marRight w:val="0"/>
          <w:marTop w:val="0"/>
          <w:marBottom w:val="0"/>
          <w:divBdr>
            <w:top w:val="none" w:sz="0" w:space="0" w:color="auto"/>
            <w:left w:val="none" w:sz="0" w:space="0" w:color="auto"/>
            <w:bottom w:val="none" w:sz="0" w:space="0" w:color="auto"/>
            <w:right w:val="none" w:sz="0" w:space="0" w:color="auto"/>
          </w:divBdr>
        </w:div>
        <w:div w:id="1594892889">
          <w:marLeft w:val="0"/>
          <w:marRight w:val="0"/>
          <w:marTop w:val="0"/>
          <w:marBottom w:val="0"/>
          <w:divBdr>
            <w:top w:val="none" w:sz="0" w:space="0" w:color="auto"/>
            <w:left w:val="none" w:sz="0" w:space="0" w:color="auto"/>
            <w:bottom w:val="none" w:sz="0" w:space="0" w:color="auto"/>
            <w:right w:val="none" w:sz="0" w:space="0" w:color="auto"/>
          </w:divBdr>
        </w:div>
        <w:div w:id="1612738984">
          <w:marLeft w:val="0"/>
          <w:marRight w:val="0"/>
          <w:marTop w:val="0"/>
          <w:marBottom w:val="0"/>
          <w:divBdr>
            <w:top w:val="none" w:sz="0" w:space="0" w:color="auto"/>
            <w:left w:val="none" w:sz="0" w:space="0" w:color="auto"/>
            <w:bottom w:val="none" w:sz="0" w:space="0" w:color="auto"/>
            <w:right w:val="none" w:sz="0" w:space="0" w:color="auto"/>
          </w:divBdr>
        </w:div>
        <w:div w:id="1809202112">
          <w:marLeft w:val="0"/>
          <w:marRight w:val="0"/>
          <w:marTop w:val="0"/>
          <w:marBottom w:val="0"/>
          <w:divBdr>
            <w:top w:val="none" w:sz="0" w:space="0" w:color="auto"/>
            <w:left w:val="none" w:sz="0" w:space="0" w:color="auto"/>
            <w:bottom w:val="none" w:sz="0" w:space="0" w:color="auto"/>
            <w:right w:val="none" w:sz="0" w:space="0" w:color="auto"/>
          </w:divBdr>
        </w:div>
        <w:div w:id="1895118554">
          <w:marLeft w:val="0"/>
          <w:marRight w:val="0"/>
          <w:marTop w:val="0"/>
          <w:marBottom w:val="0"/>
          <w:divBdr>
            <w:top w:val="none" w:sz="0" w:space="0" w:color="auto"/>
            <w:left w:val="none" w:sz="0" w:space="0" w:color="auto"/>
            <w:bottom w:val="none" w:sz="0" w:space="0" w:color="auto"/>
            <w:right w:val="none" w:sz="0" w:space="0" w:color="auto"/>
          </w:divBdr>
        </w:div>
        <w:div w:id="1985356178">
          <w:marLeft w:val="0"/>
          <w:marRight w:val="0"/>
          <w:marTop w:val="0"/>
          <w:marBottom w:val="0"/>
          <w:divBdr>
            <w:top w:val="none" w:sz="0" w:space="0" w:color="auto"/>
            <w:left w:val="none" w:sz="0" w:space="0" w:color="auto"/>
            <w:bottom w:val="none" w:sz="0" w:space="0" w:color="auto"/>
            <w:right w:val="none" w:sz="0" w:space="0" w:color="auto"/>
          </w:divBdr>
        </w:div>
      </w:divsChild>
    </w:div>
    <w:div w:id="1823235741">
      <w:bodyDiv w:val="1"/>
      <w:marLeft w:val="0"/>
      <w:marRight w:val="0"/>
      <w:marTop w:val="0"/>
      <w:marBottom w:val="0"/>
      <w:divBdr>
        <w:top w:val="none" w:sz="0" w:space="0" w:color="auto"/>
        <w:left w:val="none" w:sz="0" w:space="0" w:color="auto"/>
        <w:bottom w:val="none" w:sz="0" w:space="0" w:color="auto"/>
        <w:right w:val="none" w:sz="0" w:space="0" w:color="auto"/>
      </w:divBdr>
      <w:divsChild>
        <w:div w:id="265964601">
          <w:marLeft w:val="0"/>
          <w:marRight w:val="0"/>
          <w:marTop w:val="0"/>
          <w:marBottom w:val="0"/>
          <w:divBdr>
            <w:top w:val="none" w:sz="0" w:space="0" w:color="auto"/>
            <w:left w:val="none" w:sz="0" w:space="0" w:color="auto"/>
            <w:bottom w:val="none" w:sz="0" w:space="0" w:color="auto"/>
            <w:right w:val="none" w:sz="0" w:space="0" w:color="auto"/>
          </w:divBdr>
        </w:div>
        <w:div w:id="462238110">
          <w:marLeft w:val="0"/>
          <w:marRight w:val="0"/>
          <w:marTop w:val="0"/>
          <w:marBottom w:val="0"/>
          <w:divBdr>
            <w:top w:val="none" w:sz="0" w:space="0" w:color="auto"/>
            <w:left w:val="none" w:sz="0" w:space="0" w:color="auto"/>
            <w:bottom w:val="none" w:sz="0" w:space="0" w:color="auto"/>
            <w:right w:val="none" w:sz="0" w:space="0" w:color="auto"/>
          </w:divBdr>
        </w:div>
        <w:div w:id="932934707">
          <w:marLeft w:val="0"/>
          <w:marRight w:val="0"/>
          <w:marTop w:val="0"/>
          <w:marBottom w:val="0"/>
          <w:divBdr>
            <w:top w:val="none" w:sz="0" w:space="0" w:color="auto"/>
            <w:left w:val="none" w:sz="0" w:space="0" w:color="auto"/>
            <w:bottom w:val="none" w:sz="0" w:space="0" w:color="auto"/>
            <w:right w:val="none" w:sz="0" w:space="0" w:color="auto"/>
          </w:divBdr>
        </w:div>
        <w:div w:id="1212227989">
          <w:marLeft w:val="0"/>
          <w:marRight w:val="0"/>
          <w:marTop w:val="0"/>
          <w:marBottom w:val="0"/>
          <w:divBdr>
            <w:top w:val="none" w:sz="0" w:space="0" w:color="auto"/>
            <w:left w:val="none" w:sz="0" w:space="0" w:color="auto"/>
            <w:bottom w:val="none" w:sz="0" w:space="0" w:color="auto"/>
            <w:right w:val="none" w:sz="0" w:space="0" w:color="auto"/>
          </w:divBdr>
        </w:div>
        <w:div w:id="1365592700">
          <w:marLeft w:val="0"/>
          <w:marRight w:val="0"/>
          <w:marTop w:val="0"/>
          <w:marBottom w:val="0"/>
          <w:divBdr>
            <w:top w:val="none" w:sz="0" w:space="0" w:color="auto"/>
            <w:left w:val="none" w:sz="0" w:space="0" w:color="auto"/>
            <w:bottom w:val="none" w:sz="0" w:space="0" w:color="auto"/>
            <w:right w:val="none" w:sz="0" w:space="0" w:color="auto"/>
          </w:divBdr>
        </w:div>
        <w:div w:id="1390304514">
          <w:marLeft w:val="0"/>
          <w:marRight w:val="0"/>
          <w:marTop w:val="0"/>
          <w:marBottom w:val="0"/>
          <w:divBdr>
            <w:top w:val="none" w:sz="0" w:space="0" w:color="auto"/>
            <w:left w:val="none" w:sz="0" w:space="0" w:color="auto"/>
            <w:bottom w:val="none" w:sz="0" w:space="0" w:color="auto"/>
            <w:right w:val="none" w:sz="0" w:space="0" w:color="auto"/>
          </w:divBdr>
        </w:div>
        <w:div w:id="1670132929">
          <w:marLeft w:val="0"/>
          <w:marRight w:val="0"/>
          <w:marTop w:val="0"/>
          <w:marBottom w:val="0"/>
          <w:divBdr>
            <w:top w:val="none" w:sz="0" w:space="0" w:color="auto"/>
            <w:left w:val="none" w:sz="0" w:space="0" w:color="auto"/>
            <w:bottom w:val="none" w:sz="0" w:space="0" w:color="auto"/>
            <w:right w:val="none" w:sz="0" w:space="0" w:color="auto"/>
          </w:divBdr>
        </w:div>
        <w:div w:id="1730227569">
          <w:marLeft w:val="0"/>
          <w:marRight w:val="0"/>
          <w:marTop w:val="0"/>
          <w:marBottom w:val="0"/>
          <w:divBdr>
            <w:top w:val="none" w:sz="0" w:space="0" w:color="auto"/>
            <w:left w:val="none" w:sz="0" w:space="0" w:color="auto"/>
            <w:bottom w:val="none" w:sz="0" w:space="0" w:color="auto"/>
            <w:right w:val="none" w:sz="0" w:space="0" w:color="auto"/>
          </w:divBdr>
        </w:div>
      </w:divsChild>
    </w:div>
    <w:div w:id="1921325269">
      <w:bodyDiv w:val="1"/>
      <w:marLeft w:val="0"/>
      <w:marRight w:val="0"/>
      <w:marTop w:val="0"/>
      <w:marBottom w:val="0"/>
      <w:divBdr>
        <w:top w:val="none" w:sz="0" w:space="0" w:color="auto"/>
        <w:left w:val="none" w:sz="0" w:space="0" w:color="auto"/>
        <w:bottom w:val="none" w:sz="0" w:space="0" w:color="auto"/>
        <w:right w:val="none" w:sz="0" w:space="0" w:color="auto"/>
      </w:divBdr>
      <w:divsChild>
        <w:div w:id="239412857">
          <w:marLeft w:val="0"/>
          <w:marRight w:val="0"/>
          <w:marTop w:val="0"/>
          <w:marBottom w:val="0"/>
          <w:divBdr>
            <w:top w:val="none" w:sz="0" w:space="0" w:color="auto"/>
            <w:left w:val="none" w:sz="0" w:space="0" w:color="auto"/>
            <w:bottom w:val="none" w:sz="0" w:space="0" w:color="auto"/>
            <w:right w:val="none" w:sz="0" w:space="0" w:color="auto"/>
          </w:divBdr>
        </w:div>
        <w:div w:id="258567670">
          <w:marLeft w:val="0"/>
          <w:marRight w:val="0"/>
          <w:marTop w:val="0"/>
          <w:marBottom w:val="0"/>
          <w:divBdr>
            <w:top w:val="none" w:sz="0" w:space="0" w:color="auto"/>
            <w:left w:val="none" w:sz="0" w:space="0" w:color="auto"/>
            <w:bottom w:val="none" w:sz="0" w:space="0" w:color="auto"/>
            <w:right w:val="none" w:sz="0" w:space="0" w:color="auto"/>
          </w:divBdr>
        </w:div>
        <w:div w:id="361246194">
          <w:marLeft w:val="0"/>
          <w:marRight w:val="0"/>
          <w:marTop w:val="0"/>
          <w:marBottom w:val="0"/>
          <w:divBdr>
            <w:top w:val="none" w:sz="0" w:space="0" w:color="auto"/>
            <w:left w:val="none" w:sz="0" w:space="0" w:color="auto"/>
            <w:bottom w:val="none" w:sz="0" w:space="0" w:color="auto"/>
            <w:right w:val="none" w:sz="0" w:space="0" w:color="auto"/>
          </w:divBdr>
        </w:div>
        <w:div w:id="603728496">
          <w:marLeft w:val="0"/>
          <w:marRight w:val="0"/>
          <w:marTop w:val="0"/>
          <w:marBottom w:val="0"/>
          <w:divBdr>
            <w:top w:val="none" w:sz="0" w:space="0" w:color="auto"/>
            <w:left w:val="none" w:sz="0" w:space="0" w:color="auto"/>
            <w:bottom w:val="none" w:sz="0" w:space="0" w:color="auto"/>
            <w:right w:val="none" w:sz="0" w:space="0" w:color="auto"/>
          </w:divBdr>
        </w:div>
        <w:div w:id="723137348">
          <w:marLeft w:val="0"/>
          <w:marRight w:val="0"/>
          <w:marTop w:val="0"/>
          <w:marBottom w:val="0"/>
          <w:divBdr>
            <w:top w:val="none" w:sz="0" w:space="0" w:color="auto"/>
            <w:left w:val="none" w:sz="0" w:space="0" w:color="auto"/>
            <w:bottom w:val="none" w:sz="0" w:space="0" w:color="auto"/>
            <w:right w:val="none" w:sz="0" w:space="0" w:color="auto"/>
          </w:divBdr>
        </w:div>
        <w:div w:id="834805258">
          <w:marLeft w:val="0"/>
          <w:marRight w:val="0"/>
          <w:marTop w:val="0"/>
          <w:marBottom w:val="0"/>
          <w:divBdr>
            <w:top w:val="none" w:sz="0" w:space="0" w:color="auto"/>
            <w:left w:val="none" w:sz="0" w:space="0" w:color="auto"/>
            <w:bottom w:val="none" w:sz="0" w:space="0" w:color="auto"/>
            <w:right w:val="none" w:sz="0" w:space="0" w:color="auto"/>
          </w:divBdr>
        </w:div>
        <w:div w:id="890577437">
          <w:marLeft w:val="0"/>
          <w:marRight w:val="0"/>
          <w:marTop w:val="0"/>
          <w:marBottom w:val="0"/>
          <w:divBdr>
            <w:top w:val="none" w:sz="0" w:space="0" w:color="auto"/>
            <w:left w:val="none" w:sz="0" w:space="0" w:color="auto"/>
            <w:bottom w:val="none" w:sz="0" w:space="0" w:color="auto"/>
            <w:right w:val="none" w:sz="0" w:space="0" w:color="auto"/>
          </w:divBdr>
        </w:div>
        <w:div w:id="1260259009">
          <w:marLeft w:val="0"/>
          <w:marRight w:val="0"/>
          <w:marTop w:val="0"/>
          <w:marBottom w:val="0"/>
          <w:divBdr>
            <w:top w:val="none" w:sz="0" w:space="0" w:color="auto"/>
            <w:left w:val="none" w:sz="0" w:space="0" w:color="auto"/>
            <w:bottom w:val="none" w:sz="0" w:space="0" w:color="auto"/>
            <w:right w:val="none" w:sz="0" w:space="0" w:color="auto"/>
          </w:divBdr>
        </w:div>
      </w:divsChild>
    </w:div>
    <w:div w:id="1927499251">
      <w:bodyDiv w:val="1"/>
      <w:marLeft w:val="0"/>
      <w:marRight w:val="0"/>
      <w:marTop w:val="0"/>
      <w:marBottom w:val="0"/>
      <w:divBdr>
        <w:top w:val="none" w:sz="0" w:space="0" w:color="auto"/>
        <w:left w:val="none" w:sz="0" w:space="0" w:color="auto"/>
        <w:bottom w:val="none" w:sz="0" w:space="0" w:color="auto"/>
        <w:right w:val="none" w:sz="0" w:space="0" w:color="auto"/>
      </w:divBdr>
    </w:div>
    <w:div w:id="1944143443">
      <w:bodyDiv w:val="1"/>
      <w:marLeft w:val="0"/>
      <w:marRight w:val="0"/>
      <w:marTop w:val="0"/>
      <w:marBottom w:val="0"/>
      <w:divBdr>
        <w:top w:val="none" w:sz="0" w:space="0" w:color="auto"/>
        <w:left w:val="none" w:sz="0" w:space="0" w:color="auto"/>
        <w:bottom w:val="none" w:sz="0" w:space="0" w:color="auto"/>
        <w:right w:val="none" w:sz="0" w:space="0" w:color="auto"/>
      </w:divBdr>
      <w:divsChild>
        <w:div w:id="524446339">
          <w:marLeft w:val="0"/>
          <w:marRight w:val="0"/>
          <w:marTop w:val="0"/>
          <w:marBottom w:val="0"/>
          <w:divBdr>
            <w:top w:val="none" w:sz="0" w:space="0" w:color="auto"/>
            <w:left w:val="none" w:sz="0" w:space="0" w:color="auto"/>
            <w:bottom w:val="none" w:sz="0" w:space="0" w:color="auto"/>
            <w:right w:val="none" w:sz="0" w:space="0" w:color="auto"/>
          </w:divBdr>
        </w:div>
        <w:div w:id="678241211">
          <w:marLeft w:val="0"/>
          <w:marRight w:val="0"/>
          <w:marTop w:val="0"/>
          <w:marBottom w:val="0"/>
          <w:divBdr>
            <w:top w:val="none" w:sz="0" w:space="0" w:color="auto"/>
            <w:left w:val="none" w:sz="0" w:space="0" w:color="auto"/>
            <w:bottom w:val="none" w:sz="0" w:space="0" w:color="auto"/>
            <w:right w:val="none" w:sz="0" w:space="0" w:color="auto"/>
          </w:divBdr>
        </w:div>
        <w:div w:id="760956462">
          <w:marLeft w:val="0"/>
          <w:marRight w:val="0"/>
          <w:marTop w:val="0"/>
          <w:marBottom w:val="0"/>
          <w:divBdr>
            <w:top w:val="none" w:sz="0" w:space="0" w:color="auto"/>
            <w:left w:val="none" w:sz="0" w:space="0" w:color="auto"/>
            <w:bottom w:val="none" w:sz="0" w:space="0" w:color="auto"/>
            <w:right w:val="none" w:sz="0" w:space="0" w:color="auto"/>
          </w:divBdr>
        </w:div>
        <w:div w:id="974718979">
          <w:marLeft w:val="0"/>
          <w:marRight w:val="0"/>
          <w:marTop w:val="0"/>
          <w:marBottom w:val="0"/>
          <w:divBdr>
            <w:top w:val="none" w:sz="0" w:space="0" w:color="auto"/>
            <w:left w:val="none" w:sz="0" w:space="0" w:color="auto"/>
            <w:bottom w:val="none" w:sz="0" w:space="0" w:color="auto"/>
            <w:right w:val="none" w:sz="0" w:space="0" w:color="auto"/>
          </w:divBdr>
        </w:div>
        <w:div w:id="1370296937">
          <w:marLeft w:val="0"/>
          <w:marRight w:val="0"/>
          <w:marTop w:val="0"/>
          <w:marBottom w:val="0"/>
          <w:divBdr>
            <w:top w:val="none" w:sz="0" w:space="0" w:color="auto"/>
            <w:left w:val="none" w:sz="0" w:space="0" w:color="auto"/>
            <w:bottom w:val="none" w:sz="0" w:space="0" w:color="auto"/>
            <w:right w:val="none" w:sz="0" w:space="0" w:color="auto"/>
          </w:divBdr>
        </w:div>
        <w:div w:id="1481069414">
          <w:marLeft w:val="0"/>
          <w:marRight w:val="0"/>
          <w:marTop w:val="0"/>
          <w:marBottom w:val="0"/>
          <w:divBdr>
            <w:top w:val="none" w:sz="0" w:space="0" w:color="auto"/>
            <w:left w:val="none" w:sz="0" w:space="0" w:color="auto"/>
            <w:bottom w:val="none" w:sz="0" w:space="0" w:color="auto"/>
            <w:right w:val="none" w:sz="0" w:space="0" w:color="auto"/>
          </w:divBdr>
        </w:div>
        <w:div w:id="1558709990">
          <w:marLeft w:val="0"/>
          <w:marRight w:val="0"/>
          <w:marTop w:val="0"/>
          <w:marBottom w:val="0"/>
          <w:divBdr>
            <w:top w:val="none" w:sz="0" w:space="0" w:color="auto"/>
            <w:left w:val="none" w:sz="0" w:space="0" w:color="auto"/>
            <w:bottom w:val="none" w:sz="0" w:space="0" w:color="auto"/>
            <w:right w:val="none" w:sz="0" w:space="0" w:color="auto"/>
          </w:divBdr>
        </w:div>
        <w:div w:id="1935161374">
          <w:marLeft w:val="0"/>
          <w:marRight w:val="0"/>
          <w:marTop w:val="0"/>
          <w:marBottom w:val="0"/>
          <w:divBdr>
            <w:top w:val="none" w:sz="0" w:space="0" w:color="auto"/>
            <w:left w:val="none" w:sz="0" w:space="0" w:color="auto"/>
            <w:bottom w:val="none" w:sz="0" w:space="0" w:color="auto"/>
            <w:right w:val="none" w:sz="0" w:space="0" w:color="auto"/>
          </w:divBdr>
        </w:div>
      </w:divsChild>
    </w:div>
    <w:div w:id="1955358700">
      <w:bodyDiv w:val="1"/>
      <w:marLeft w:val="0"/>
      <w:marRight w:val="0"/>
      <w:marTop w:val="0"/>
      <w:marBottom w:val="0"/>
      <w:divBdr>
        <w:top w:val="none" w:sz="0" w:space="0" w:color="auto"/>
        <w:left w:val="none" w:sz="0" w:space="0" w:color="auto"/>
        <w:bottom w:val="none" w:sz="0" w:space="0" w:color="auto"/>
        <w:right w:val="none" w:sz="0" w:space="0" w:color="auto"/>
      </w:divBdr>
      <w:divsChild>
        <w:div w:id="742378">
          <w:marLeft w:val="0"/>
          <w:marRight w:val="0"/>
          <w:marTop w:val="0"/>
          <w:marBottom w:val="0"/>
          <w:divBdr>
            <w:top w:val="none" w:sz="0" w:space="0" w:color="auto"/>
            <w:left w:val="none" w:sz="0" w:space="0" w:color="auto"/>
            <w:bottom w:val="none" w:sz="0" w:space="0" w:color="auto"/>
            <w:right w:val="none" w:sz="0" w:space="0" w:color="auto"/>
          </w:divBdr>
        </w:div>
        <w:div w:id="45224201">
          <w:marLeft w:val="0"/>
          <w:marRight w:val="0"/>
          <w:marTop w:val="0"/>
          <w:marBottom w:val="0"/>
          <w:divBdr>
            <w:top w:val="none" w:sz="0" w:space="0" w:color="auto"/>
            <w:left w:val="none" w:sz="0" w:space="0" w:color="auto"/>
            <w:bottom w:val="none" w:sz="0" w:space="0" w:color="auto"/>
            <w:right w:val="none" w:sz="0" w:space="0" w:color="auto"/>
          </w:divBdr>
        </w:div>
        <w:div w:id="126510147">
          <w:marLeft w:val="0"/>
          <w:marRight w:val="0"/>
          <w:marTop w:val="0"/>
          <w:marBottom w:val="0"/>
          <w:divBdr>
            <w:top w:val="none" w:sz="0" w:space="0" w:color="auto"/>
            <w:left w:val="none" w:sz="0" w:space="0" w:color="auto"/>
            <w:bottom w:val="none" w:sz="0" w:space="0" w:color="auto"/>
            <w:right w:val="none" w:sz="0" w:space="0" w:color="auto"/>
          </w:divBdr>
        </w:div>
        <w:div w:id="152263971">
          <w:marLeft w:val="0"/>
          <w:marRight w:val="0"/>
          <w:marTop w:val="0"/>
          <w:marBottom w:val="0"/>
          <w:divBdr>
            <w:top w:val="none" w:sz="0" w:space="0" w:color="auto"/>
            <w:left w:val="none" w:sz="0" w:space="0" w:color="auto"/>
            <w:bottom w:val="none" w:sz="0" w:space="0" w:color="auto"/>
            <w:right w:val="none" w:sz="0" w:space="0" w:color="auto"/>
          </w:divBdr>
        </w:div>
        <w:div w:id="806972273">
          <w:marLeft w:val="0"/>
          <w:marRight w:val="0"/>
          <w:marTop w:val="0"/>
          <w:marBottom w:val="0"/>
          <w:divBdr>
            <w:top w:val="none" w:sz="0" w:space="0" w:color="auto"/>
            <w:left w:val="none" w:sz="0" w:space="0" w:color="auto"/>
            <w:bottom w:val="none" w:sz="0" w:space="0" w:color="auto"/>
            <w:right w:val="none" w:sz="0" w:space="0" w:color="auto"/>
          </w:divBdr>
        </w:div>
        <w:div w:id="973367520">
          <w:marLeft w:val="0"/>
          <w:marRight w:val="0"/>
          <w:marTop w:val="0"/>
          <w:marBottom w:val="0"/>
          <w:divBdr>
            <w:top w:val="none" w:sz="0" w:space="0" w:color="auto"/>
            <w:left w:val="none" w:sz="0" w:space="0" w:color="auto"/>
            <w:bottom w:val="none" w:sz="0" w:space="0" w:color="auto"/>
            <w:right w:val="none" w:sz="0" w:space="0" w:color="auto"/>
          </w:divBdr>
        </w:div>
        <w:div w:id="1085028240">
          <w:marLeft w:val="0"/>
          <w:marRight w:val="0"/>
          <w:marTop w:val="0"/>
          <w:marBottom w:val="0"/>
          <w:divBdr>
            <w:top w:val="none" w:sz="0" w:space="0" w:color="auto"/>
            <w:left w:val="none" w:sz="0" w:space="0" w:color="auto"/>
            <w:bottom w:val="none" w:sz="0" w:space="0" w:color="auto"/>
            <w:right w:val="none" w:sz="0" w:space="0" w:color="auto"/>
          </w:divBdr>
        </w:div>
        <w:div w:id="1325207364">
          <w:marLeft w:val="0"/>
          <w:marRight w:val="0"/>
          <w:marTop w:val="0"/>
          <w:marBottom w:val="0"/>
          <w:divBdr>
            <w:top w:val="none" w:sz="0" w:space="0" w:color="auto"/>
            <w:left w:val="none" w:sz="0" w:space="0" w:color="auto"/>
            <w:bottom w:val="none" w:sz="0" w:space="0" w:color="auto"/>
            <w:right w:val="none" w:sz="0" w:space="0" w:color="auto"/>
          </w:divBdr>
        </w:div>
      </w:divsChild>
    </w:div>
    <w:div w:id="1978604784">
      <w:bodyDiv w:val="1"/>
      <w:marLeft w:val="0"/>
      <w:marRight w:val="0"/>
      <w:marTop w:val="0"/>
      <w:marBottom w:val="0"/>
      <w:divBdr>
        <w:top w:val="none" w:sz="0" w:space="0" w:color="auto"/>
        <w:left w:val="none" w:sz="0" w:space="0" w:color="auto"/>
        <w:bottom w:val="none" w:sz="0" w:space="0" w:color="auto"/>
        <w:right w:val="none" w:sz="0" w:space="0" w:color="auto"/>
      </w:divBdr>
      <w:divsChild>
        <w:div w:id="436408851">
          <w:marLeft w:val="0"/>
          <w:marRight w:val="0"/>
          <w:marTop w:val="0"/>
          <w:marBottom w:val="0"/>
          <w:divBdr>
            <w:top w:val="none" w:sz="0" w:space="0" w:color="auto"/>
            <w:left w:val="none" w:sz="0" w:space="0" w:color="auto"/>
            <w:bottom w:val="none" w:sz="0" w:space="0" w:color="auto"/>
            <w:right w:val="none" w:sz="0" w:space="0" w:color="auto"/>
          </w:divBdr>
        </w:div>
        <w:div w:id="442462479">
          <w:marLeft w:val="0"/>
          <w:marRight w:val="0"/>
          <w:marTop w:val="0"/>
          <w:marBottom w:val="0"/>
          <w:divBdr>
            <w:top w:val="none" w:sz="0" w:space="0" w:color="auto"/>
            <w:left w:val="none" w:sz="0" w:space="0" w:color="auto"/>
            <w:bottom w:val="none" w:sz="0" w:space="0" w:color="auto"/>
            <w:right w:val="none" w:sz="0" w:space="0" w:color="auto"/>
          </w:divBdr>
        </w:div>
        <w:div w:id="1187865394">
          <w:marLeft w:val="0"/>
          <w:marRight w:val="0"/>
          <w:marTop w:val="0"/>
          <w:marBottom w:val="0"/>
          <w:divBdr>
            <w:top w:val="none" w:sz="0" w:space="0" w:color="auto"/>
            <w:left w:val="none" w:sz="0" w:space="0" w:color="auto"/>
            <w:bottom w:val="none" w:sz="0" w:space="0" w:color="auto"/>
            <w:right w:val="none" w:sz="0" w:space="0" w:color="auto"/>
          </w:divBdr>
        </w:div>
        <w:div w:id="1359816019">
          <w:marLeft w:val="0"/>
          <w:marRight w:val="0"/>
          <w:marTop w:val="0"/>
          <w:marBottom w:val="0"/>
          <w:divBdr>
            <w:top w:val="none" w:sz="0" w:space="0" w:color="auto"/>
            <w:left w:val="none" w:sz="0" w:space="0" w:color="auto"/>
            <w:bottom w:val="none" w:sz="0" w:space="0" w:color="auto"/>
            <w:right w:val="none" w:sz="0" w:space="0" w:color="auto"/>
          </w:divBdr>
        </w:div>
        <w:div w:id="1416437944">
          <w:marLeft w:val="0"/>
          <w:marRight w:val="0"/>
          <w:marTop w:val="0"/>
          <w:marBottom w:val="0"/>
          <w:divBdr>
            <w:top w:val="none" w:sz="0" w:space="0" w:color="auto"/>
            <w:left w:val="none" w:sz="0" w:space="0" w:color="auto"/>
            <w:bottom w:val="none" w:sz="0" w:space="0" w:color="auto"/>
            <w:right w:val="none" w:sz="0" w:space="0" w:color="auto"/>
          </w:divBdr>
        </w:div>
        <w:div w:id="1584533749">
          <w:marLeft w:val="0"/>
          <w:marRight w:val="0"/>
          <w:marTop w:val="0"/>
          <w:marBottom w:val="0"/>
          <w:divBdr>
            <w:top w:val="none" w:sz="0" w:space="0" w:color="auto"/>
            <w:left w:val="none" w:sz="0" w:space="0" w:color="auto"/>
            <w:bottom w:val="none" w:sz="0" w:space="0" w:color="auto"/>
            <w:right w:val="none" w:sz="0" w:space="0" w:color="auto"/>
          </w:divBdr>
        </w:div>
        <w:div w:id="1797603468">
          <w:marLeft w:val="0"/>
          <w:marRight w:val="0"/>
          <w:marTop w:val="0"/>
          <w:marBottom w:val="0"/>
          <w:divBdr>
            <w:top w:val="none" w:sz="0" w:space="0" w:color="auto"/>
            <w:left w:val="none" w:sz="0" w:space="0" w:color="auto"/>
            <w:bottom w:val="none" w:sz="0" w:space="0" w:color="auto"/>
            <w:right w:val="none" w:sz="0" w:space="0" w:color="auto"/>
          </w:divBdr>
        </w:div>
        <w:div w:id="1812751956">
          <w:marLeft w:val="0"/>
          <w:marRight w:val="0"/>
          <w:marTop w:val="0"/>
          <w:marBottom w:val="0"/>
          <w:divBdr>
            <w:top w:val="none" w:sz="0" w:space="0" w:color="auto"/>
            <w:left w:val="none" w:sz="0" w:space="0" w:color="auto"/>
            <w:bottom w:val="none" w:sz="0" w:space="0" w:color="auto"/>
            <w:right w:val="none" w:sz="0" w:space="0" w:color="auto"/>
          </w:divBdr>
        </w:div>
      </w:divsChild>
    </w:div>
    <w:div w:id="2016223277">
      <w:bodyDiv w:val="1"/>
      <w:marLeft w:val="0"/>
      <w:marRight w:val="0"/>
      <w:marTop w:val="0"/>
      <w:marBottom w:val="0"/>
      <w:divBdr>
        <w:top w:val="none" w:sz="0" w:space="0" w:color="auto"/>
        <w:left w:val="none" w:sz="0" w:space="0" w:color="auto"/>
        <w:bottom w:val="none" w:sz="0" w:space="0" w:color="auto"/>
        <w:right w:val="none" w:sz="0" w:space="0" w:color="auto"/>
      </w:divBdr>
      <w:divsChild>
        <w:div w:id="30619265">
          <w:marLeft w:val="0"/>
          <w:marRight w:val="0"/>
          <w:marTop w:val="0"/>
          <w:marBottom w:val="0"/>
          <w:divBdr>
            <w:top w:val="none" w:sz="0" w:space="0" w:color="auto"/>
            <w:left w:val="none" w:sz="0" w:space="0" w:color="auto"/>
            <w:bottom w:val="none" w:sz="0" w:space="0" w:color="auto"/>
            <w:right w:val="none" w:sz="0" w:space="0" w:color="auto"/>
          </w:divBdr>
        </w:div>
        <w:div w:id="38556959">
          <w:marLeft w:val="0"/>
          <w:marRight w:val="0"/>
          <w:marTop w:val="0"/>
          <w:marBottom w:val="0"/>
          <w:divBdr>
            <w:top w:val="none" w:sz="0" w:space="0" w:color="auto"/>
            <w:left w:val="none" w:sz="0" w:space="0" w:color="auto"/>
            <w:bottom w:val="none" w:sz="0" w:space="0" w:color="auto"/>
            <w:right w:val="none" w:sz="0" w:space="0" w:color="auto"/>
          </w:divBdr>
        </w:div>
        <w:div w:id="163205576">
          <w:marLeft w:val="0"/>
          <w:marRight w:val="0"/>
          <w:marTop w:val="0"/>
          <w:marBottom w:val="0"/>
          <w:divBdr>
            <w:top w:val="none" w:sz="0" w:space="0" w:color="auto"/>
            <w:left w:val="none" w:sz="0" w:space="0" w:color="auto"/>
            <w:bottom w:val="none" w:sz="0" w:space="0" w:color="auto"/>
            <w:right w:val="none" w:sz="0" w:space="0" w:color="auto"/>
          </w:divBdr>
        </w:div>
        <w:div w:id="714550254">
          <w:marLeft w:val="0"/>
          <w:marRight w:val="0"/>
          <w:marTop w:val="0"/>
          <w:marBottom w:val="0"/>
          <w:divBdr>
            <w:top w:val="none" w:sz="0" w:space="0" w:color="auto"/>
            <w:left w:val="none" w:sz="0" w:space="0" w:color="auto"/>
            <w:bottom w:val="none" w:sz="0" w:space="0" w:color="auto"/>
            <w:right w:val="none" w:sz="0" w:space="0" w:color="auto"/>
          </w:divBdr>
        </w:div>
        <w:div w:id="721714359">
          <w:marLeft w:val="0"/>
          <w:marRight w:val="0"/>
          <w:marTop w:val="0"/>
          <w:marBottom w:val="0"/>
          <w:divBdr>
            <w:top w:val="none" w:sz="0" w:space="0" w:color="auto"/>
            <w:left w:val="none" w:sz="0" w:space="0" w:color="auto"/>
            <w:bottom w:val="none" w:sz="0" w:space="0" w:color="auto"/>
            <w:right w:val="none" w:sz="0" w:space="0" w:color="auto"/>
          </w:divBdr>
        </w:div>
        <w:div w:id="953488569">
          <w:marLeft w:val="0"/>
          <w:marRight w:val="0"/>
          <w:marTop w:val="0"/>
          <w:marBottom w:val="0"/>
          <w:divBdr>
            <w:top w:val="none" w:sz="0" w:space="0" w:color="auto"/>
            <w:left w:val="none" w:sz="0" w:space="0" w:color="auto"/>
            <w:bottom w:val="none" w:sz="0" w:space="0" w:color="auto"/>
            <w:right w:val="none" w:sz="0" w:space="0" w:color="auto"/>
          </w:divBdr>
        </w:div>
        <w:div w:id="1681201130">
          <w:marLeft w:val="0"/>
          <w:marRight w:val="0"/>
          <w:marTop w:val="0"/>
          <w:marBottom w:val="0"/>
          <w:divBdr>
            <w:top w:val="none" w:sz="0" w:space="0" w:color="auto"/>
            <w:left w:val="none" w:sz="0" w:space="0" w:color="auto"/>
            <w:bottom w:val="none" w:sz="0" w:space="0" w:color="auto"/>
            <w:right w:val="none" w:sz="0" w:space="0" w:color="auto"/>
          </w:divBdr>
        </w:div>
        <w:div w:id="1735162343">
          <w:marLeft w:val="0"/>
          <w:marRight w:val="0"/>
          <w:marTop w:val="0"/>
          <w:marBottom w:val="0"/>
          <w:divBdr>
            <w:top w:val="none" w:sz="0" w:space="0" w:color="auto"/>
            <w:left w:val="none" w:sz="0" w:space="0" w:color="auto"/>
            <w:bottom w:val="none" w:sz="0" w:space="0" w:color="auto"/>
            <w:right w:val="none" w:sz="0" w:space="0" w:color="auto"/>
          </w:divBdr>
        </w:div>
      </w:divsChild>
    </w:div>
    <w:div w:id="2029477677">
      <w:bodyDiv w:val="1"/>
      <w:marLeft w:val="0"/>
      <w:marRight w:val="0"/>
      <w:marTop w:val="0"/>
      <w:marBottom w:val="0"/>
      <w:divBdr>
        <w:top w:val="none" w:sz="0" w:space="0" w:color="auto"/>
        <w:left w:val="none" w:sz="0" w:space="0" w:color="auto"/>
        <w:bottom w:val="none" w:sz="0" w:space="0" w:color="auto"/>
        <w:right w:val="none" w:sz="0" w:space="0" w:color="auto"/>
      </w:divBdr>
      <w:divsChild>
        <w:div w:id="2556356">
          <w:marLeft w:val="0"/>
          <w:marRight w:val="0"/>
          <w:marTop w:val="0"/>
          <w:marBottom w:val="0"/>
          <w:divBdr>
            <w:top w:val="none" w:sz="0" w:space="0" w:color="auto"/>
            <w:left w:val="none" w:sz="0" w:space="0" w:color="auto"/>
            <w:bottom w:val="none" w:sz="0" w:space="0" w:color="auto"/>
            <w:right w:val="none" w:sz="0" w:space="0" w:color="auto"/>
          </w:divBdr>
        </w:div>
        <w:div w:id="1050421644">
          <w:marLeft w:val="0"/>
          <w:marRight w:val="0"/>
          <w:marTop w:val="0"/>
          <w:marBottom w:val="0"/>
          <w:divBdr>
            <w:top w:val="none" w:sz="0" w:space="0" w:color="auto"/>
            <w:left w:val="none" w:sz="0" w:space="0" w:color="auto"/>
            <w:bottom w:val="none" w:sz="0" w:space="0" w:color="auto"/>
            <w:right w:val="none" w:sz="0" w:space="0" w:color="auto"/>
          </w:divBdr>
        </w:div>
        <w:div w:id="1320427468">
          <w:marLeft w:val="0"/>
          <w:marRight w:val="0"/>
          <w:marTop w:val="0"/>
          <w:marBottom w:val="0"/>
          <w:divBdr>
            <w:top w:val="none" w:sz="0" w:space="0" w:color="auto"/>
            <w:left w:val="none" w:sz="0" w:space="0" w:color="auto"/>
            <w:bottom w:val="none" w:sz="0" w:space="0" w:color="auto"/>
            <w:right w:val="none" w:sz="0" w:space="0" w:color="auto"/>
          </w:divBdr>
        </w:div>
        <w:div w:id="1323659846">
          <w:marLeft w:val="0"/>
          <w:marRight w:val="0"/>
          <w:marTop w:val="0"/>
          <w:marBottom w:val="0"/>
          <w:divBdr>
            <w:top w:val="none" w:sz="0" w:space="0" w:color="auto"/>
            <w:left w:val="none" w:sz="0" w:space="0" w:color="auto"/>
            <w:bottom w:val="none" w:sz="0" w:space="0" w:color="auto"/>
            <w:right w:val="none" w:sz="0" w:space="0" w:color="auto"/>
          </w:divBdr>
        </w:div>
        <w:div w:id="1341465757">
          <w:marLeft w:val="0"/>
          <w:marRight w:val="0"/>
          <w:marTop w:val="0"/>
          <w:marBottom w:val="0"/>
          <w:divBdr>
            <w:top w:val="none" w:sz="0" w:space="0" w:color="auto"/>
            <w:left w:val="none" w:sz="0" w:space="0" w:color="auto"/>
            <w:bottom w:val="none" w:sz="0" w:space="0" w:color="auto"/>
            <w:right w:val="none" w:sz="0" w:space="0" w:color="auto"/>
          </w:divBdr>
        </w:div>
        <w:div w:id="1944263498">
          <w:marLeft w:val="0"/>
          <w:marRight w:val="0"/>
          <w:marTop w:val="0"/>
          <w:marBottom w:val="0"/>
          <w:divBdr>
            <w:top w:val="none" w:sz="0" w:space="0" w:color="auto"/>
            <w:left w:val="none" w:sz="0" w:space="0" w:color="auto"/>
            <w:bottom w:val="none" w:sz="0" w:space="0" w:color="auto"/>
            <w:right w:val="none" w:sz="0" w:space="0" w:color="auto"/>
          </w:divBdr>
        </w:div>
        <w:div w:id="2091656810">
          <w:marLeft w:val="0"/>
          <w:marRight w:val="0"/>
          <w:marTop w:val="0"/>
          <w:marBottom w:val="0"/>
          <w:divBdr>
            <w:top w:val="none" w:sz="0" w:space="0" w:color="auto"/>
            <w:left w:val="none" w:sz="0" w:space="0" w:color="auto"/>
            <w:bottom w:val="none" w:sz="0" w:space="0" w:color="auto"/>
            <w:right w:val="none" w:sz="0" w:space="0" w:color="auto"/>
          </w:divBdr>
        </w:div>
      </w:divsChild>
    </w:div>
    <w:div w:id="2054233886">
      <w:bodyDiv w:val="1"/>
      <w:marLeft w:val="0"/>
      <w:marRight w:val="0"/>
      <w:marTop w:val="0"/>
      <w:marBottom w:val="0"/>
      <w:divBdr>
        <w:top w:val="none" w:sz="0" w:space="0" w:color="auto"/>
        <w:left w:val="none" w:sz="0" w:space="0" w:color="auto"/>
        <w:bottom w:val="none" w:sz="0" w:space="0" w:color="auto"/>
        <w:right w:val="none" w:sz="0" w:space="0" w:color="auto"/>
      </w:divBdr>
      <w:divsChild>
        <w:div w:id="55202478">
          <w:marLeft w:val="0"/>
          <w:marRight w:val="0"/>
          <w:marTop w:val="0"/>
          <w:marBottom w:val="0"/>
          <w:divBdr>
            <w:top w:val="none" w:sz="0" w:space="0" w:color="auto"/>
            <w:left w:val="none" w:sz="0" w:space="0" w:color="auto"/>
            <w:bottom w:val="none" w:sz="0" w:space="0" w:color="auto"/>
            <w:right w:val="none" w:sz="0" w:space="0" w:color="auto"/>
          </w:divBdr>
        </w:div>
        <w:div w:id="237253548">
          <w:marLeft w:val="0"/>
          <w:marRight w:val="0"/>
          <w:marTop w:val="0"/>
          <w:marBottom w:val="0"/>
          <w:divBdr>
            <w:top w:val="none" w:sz="0" w:space="0" w:color="auto"/>
            <w:left w:val="none" w:sz="0" w:space="0" w:color="auto"/>
            <w:bottom w:val="none" w:sz="0" w:space="0" w:color="auto"/>
            <w:right w:val="none" w:sz="0" w:space="0" w:color="auto"/>
          </w:divBdr>
        </w:div>
        <w:div w:id="526719471">
          <w:marLeft w:val="0"/>
          <w:marRight w:val="0"/>
          <w:marTop w:val="0"/>
          <w:marBottom w:val="0"/>
          <w:divBdr>
            <w:top w:val="none" w:sz="0" w:space="0" w:color="auto"/>
            <w:left w:val="none" w:sz="0" w:space="0" w:color="auto"/>
            <w:bottom w:val="none" w:sz="0" w:space="0" w:color="auto"/>
            <w:right w:val="none" w:sz="0" w:space="0" w:color="auto"/>
          </w:divBdr>
        </w:div>
        <w:div w:id="911964673">
          <w:marLeft w:val="0"/>
          <w:marRight w:val="0"/>
          <w:marTop w:val="0"/>
          <w:marBottom w:val="0"/>
          <w:divBdr>
            <w:top w:val="none" w:sz="0" w:space="0" w:color="auto"/>
            <w:left w:val="none" w:sz="0" w:space="0" w:color="auto"/>
            <w:bottom w:val="none" w:sz="0" w:space="0" w:color="auto"/>
            <w:right w:val="none" w:sz="0" w:space="0" w:color="auto"/>
          </w:divBdr>
        </w:div>
        <w:div w:id="1329409500">
          <w:marLeft w:val="0"/>
          <w:marRight w:val="0"/>
          <w:marTop w:val="0"/>
          <w:marBottom w:val="0"/>
          <w:divBdr>
            <w:top w:val="none" w:sz="0" w:space="0" w:color="auto"/>
            <w:left w:val="none" w:sz="0" w:space="0" w:color="auto"/>
            <w:bottom w:val="none" w:sz="0" w:space="0" w:color="auto"/>
            <w:right w:val="none" w:sz="0" w:space="0" w:color="auto"/>
          </w:divBdr>
        </w:div>
        <w:div w:id="1680768893">
          <w:marLeft w:val="0"/>
          <w:marRight w:val="0"/>
          <w:marTop w:val="0"/>
          <w:marBottom w:val="0"/>
          <w:divBdr>
            <w:top w:val="none" w:sz="0" w:space="0" w:color="auto"/>
            <w:left w:val="none" w:sz="0" w:space="0" w:color="auto"/>
            <w:bottom w:val="none" w:sz="0" w:space="0" w:color="auto"/>
            <w:right w:val="none" w:sz="0" w:space="0" w:color="auto"/>
          </w:divBdr>
        </w:div>
        <w:div w:id="1881669865">
          <w:marLeft w:val="0"/>
          <w:marRight w:val="0"/>
          <w:marTop w:val="0"/>
          <w:marBottom w:val="0"/>
          <w:divBdr>
            <w:top w:val="none" w:sz="0" w:space="0" w:color="auto"/>
            <w:left w:val="none" w:sz="0" w:space="0" w:color="auto"/>
            <w:bottom w:val="none" w:sz="0" w:space="0" w:color="auto"/>
            <w:right w:val="none" w:sz="0" w:space="0" w:color="auto"/>
          </w:divBdr>
        </w:div>
        <w:div w:id="1906067026">
          <w:marLeft w:val="0"/>
          <w:marRight w:val="0"/>
          <w:marTop w:val="0"/>
          <w:marBottom w:val="0"/>
          <w:divBdr>
            <w:top w:val="none" w:sz="0" w:space="0" w:color="auto"/>
            <w:left w:val="none" w:sz="0" w:space="0" w:color="auto"/>
            <w:bottom w:val="none" w:sz="0" w:space="0" w:color="auto"/>
            <w:right w:val="none" w:sz="0" w:space="0" w:color="auto"/>
          </w:divBdr>
        </w:div>
      </w:divsChild>
    </w:div>
    <w:div w:id="2101292191">
      <w:bodyDiv w:val="1"/>
      <w:marLeft w:val="0"/>
      <w:marRight w:val="0"/>
      <w:marTop w:val="0"/>
      <w:marBottom w:val="0"/>
      <w:divBdr>
        <w:top w:val="none" w:sz="0" w:space="0" w:color="auto"/>
        <w:left w:val="none" w:sz="0" w:space="0" w:color="auto"/>
        <w:bottom w:val="none" w:sz="0" w:space="0" w:color="auto"/>
        <w:right w:val="none" w:sz="0" w:space="0" w:color="auto"/>
      </w:divBdr>
      <w:divsChild>
        <w:div w:id="111485542">
          <w:marLeft w:val="0"/>
          <w:marRight w:val="0"/>
          <w:marTop w:val="0"/>
          <w:marBottom w:val="0"/>
          <w:divBdr>
            <w:top w:val="none" w:sz="0" w:space="0" w:color="auto"/>
            <w:left w:val="none" w:sz="0" w:space="0" w:color="auto"/>
            <w:bottom w:val="none" w:sz="0" w:space="0" w:color="auto"/>
            <w:right w:val="none" w:sz="0" w:space="0" w:color="auto"/>
          </w:divBdr>
        </w:div>
        <w:div w:id="304816403">
          <w:marLeft w:val="0"/>
          <w:marRight w:val="0"/>
          <w:marTop w:val="0"/>
          <w:marBottom w:val="0"/>
          <w:divBdr>
            <w:top w:val="none" w:sz="0" w:space="0" w:color="auto"/>
            <w:left w:val="none" w:sz="0" w:space="0" w:color="auto"/>
            <w:bottom w:val="none" w:sz="0" w:space="0" w:color="auto"/>
            <w:right w:val="none" w:sz="0" w:space="0" w:color="auto"/>
          </w:divBdr>
        </w:div>
        <w:div w:id="537812741">
          <w:marLeft w:val="0"/>
          <w:marRight w:val="0"/>
          <w:marTop w:val="0"/>
          <w:marBottom w:val="0"/>
          <w:divBdr>
            <w:top w:val="none" w:sz="0" w:space="0" w:color="auto"/>
            <w:left w:val="none" w:sz="0" w:space="0" w:color="auto"/>
            <w:bottom w:val="none" w:sz="0" w:space="0" w:color="auto"/>
            <w:right w:val="none" w:sz="0" w:space="0" w:color="auto"/>
          </w:divBdr>
        </w:div>
        <w:div w:id="725108416">
          <w:marLeft w:val="0"/>
          <w:marRight w:val="0"/>
          <w:marTop w:val="0"/>
          <w:marBottom w:val="0"/>
          <w:divBdr>
            <w:top w:val="none" w:sz="0" w:space="0" w:color="auto"/>
            <w:left w:val="none" w:sz="0" w:space="0" w:color="auto"/>
            <w:bottom w:val="none" w:sz="0" w:space="0" w:color="auto"/>
            <w:right w:val="none" w:sz="0" w:space="0" w:color="auto"/>
          </w:divBdr>
        </w:div>
        <w:div w:id="889463144">
          <w:marLeft w:val="0"/>
          <w:marRight w:val="0"/>
          <w:marTop w:val="0"/>
          <w:marBottom w:val="0"/>
          <w:divBdr>
            <w:top w:val="none" w:sz="0" w:space="0" w:color="auto"/>
            <w:left w:val="none" w:sz="0" w:space="0" w:color="auto"/>
            <w:bottom w:val="none" w:sz="0" w:space="0" w:color="auto"/>
            <w:right w:val="none" w:sz="0" w:space="0" w:color="auto"/>
          </w:divBdr>
        </w:div>
        <w:div w:id="1565293209">
          <w:marLeft w:val="0"/>
          <w:marRight w:val="0"/>
          <w:marTop w:val="0"/>
          <w:marBottom w:val="0"/>
          <w:divBdr>
            <w:top w:val="none" w:sz="0" w:space="0" w:color="auto"/>
            <w:left w:val="none" w:sz="0" w:space="0" w:color="auto"/>
            <w:bottom w:val="none" w:sz="0" w:space="0" w:color="auto"/>
            <w:right w:val="none" w:sz="0" w:space="0" w:color="auto"/>
          </w:divBdr>
        </w:div>
        <w:div w:id="1665668812">
          <w:marLeft w:val="0"/>
          <w:marRight w:val="0"/>
          <w:marTop w:val="0"/>
          <w:marBottom w:val="0"/>
          <w:divBdr>
            <w:top w:val="none" w:sz="0" w:space="0" w:color="auto"/>
            <w:left w:val="none" w:sz="0" w:space="0" w:color="auto"/>
            <w:bottom w:val="none" w:sz="0" w:space="0" w:color="auto"/>
            <w:right w:val="none" w:sz="0" w:space="0" w:color="auto"/>
          </w:divBdr>
        </w:div>
        <w:div w:id="1978871268">
          <w:marLeft w:val="0"/>
          <w:marRight w:val="0"/>
          <w:marTop w:val="0"/>
          <w:marBottom w:val="0"/>
          <w:divBdr>
            <w:top w:val="none" w:sz="0" w:space="0" w:color="auto"/>
            <w:left w:val="none" w:sz="0" w:space="0" w:color="auto"/>
            <w:bottom w:val="none" w:sz="0" w:space="0" w:color="auto"/>
            <w:right w:val="none" w:sz="0" w:space="0" w:color="auto"/>
          </w:divBdr>
        </w:div>
      </w:divsChild>
    </w:div>
    <w:div w:id="2117601089">
      <w:bodyDiv w:val="1"/>
      <w:marLeft w:val="0"/>
      <w:marRight w:val="0"/>
      <w:marTop w:val="0"/>
      <w:marBottom w:val="0"/>
      <w:divBdr>
        <w:top w:val="none" w:sz="0" w:space="0" w:color="auto"/>
        <w:left w:val="none" w:sz="0" w:space="0" w:color="auto"/>
        <w:bottom w:val="none" w:sz="0" w:space="0" w:color="auto"/>
        <w:right w:val="none" w:sz="0" w:space="0" w:color="auto"/>
      </w:divBdr>
      <w:divsChild>
        <w:div w:id="330105979">
          <w:marLeft w:val="0"/>
          <w:marRight w:val="0"/>
          <w:marTop w:val="0"/>
          <w:marBottom w:val="0"/>
          <w:divBdr>
            <w:top w:val="none" w:sz="0" w:space="0" w:color="auto"/>
            <w:left w:val="none" w:sz="0" w:space="0" w:color="auto"/>
            <w:bottom w:val="none" w:sz="0" w:space="0" w:color="auto"/>
            <w:right w:val="none" w:sz="0" w:space="0" w:color="auto"/>
          </w:divBdr>
        </w:div>
        <w:div w:id="390735149">
          <w:marLeft w:val="0"/>
          <w:marRight w:val="0"/>
          <w:marTop w:val="0"/>
          <w:marBottom w:val="0"/>
          <w:divBdr>
            <w:top w:val="none" w:sz="0" w:space="0" w:color="auto"/>
            <w:left w:val="none" w:sz="0" w:space="0" w:color="auto"/>
            <w:bottom w:val="none" w:sz="0" w:space="0" w:color="auto"/>
            <w:right w:val="none" w:sz="0" w:space="0" w:color="auto"/>
          </w:divBdr>
        </w:div>
        <w:div w:id="447046888">
          <w:marLeft w:val="0"/>
          <w:marRight w:val="0"/>
          <w:marTop w:val="0"/>
          <w:marBottom w:val="0"/>
          <w:divBdr>
            <w:top w:val="none" w:sz="0" w:space="0" w:color="auto"/>
            <w:left w:val="none" w:sz="0" w:space="0" w:color="auto"/>
            <w:bottom w:val="none" w:sz="0" w:space="0" w:color="auto"/>
            <w:right w:val="none" w:sz="0" w:space="0" w:color="auto"/>
          </w:divBdr>
        </w:div>
        <w:div w:id="634678690">
          <w:marLeft w:val="0"/>
          <w:marRight w:val="0"/>
          <w:marTop w:val="0"/>
          <w:marBottom w:val="0"/>
          <w:divBdr>
            <w:top w:val="none" w:sz="0" w:space="0" w:color="auto"/>
            <w:left w:val="none" w:sz="0" w:space="0" w:color="auto"/>
            <w:bottom w:val="none" w:sz="0" w:space="0" w:color="auto"/>
            <w:right w:val="none" w:sz="0" w:space="0" w:color="auto"/>
          </w:divBdr>
        </w:div>
        <w:div w:id="910192472">
          <w:marLeft w:val="0"/>
          <w:marRight w:val="0"/>
          <w:marTop w:val="0"/>
          <w:marBottom w:val="0"/>
          <w:divBdr>
            <w:top w:val="none" w:sz="0" w:space="0" w:color="auto"/>
            <w:left w:val="none" w:sz="0" w:space="0" w:color="auto"/>
            <w:bottom w:val="none" w:sz="0" w:space="0" w:color="auto"/>
            <w:right w:val="none" w:sz="0" w:space="0" w:color="auto"/>
          </w:divBdr>
        </w:div>
        <w:div w:id="947858022">
          <w:marLeft w:val="0"/>
          <w:marRight w:val="0"/>
          <w:marTop w:val="0"/>
          <w:marBottom w:val="0"/>
          <w:divBdr>
            <w:top w:val="none" w:sz="0" w:space="0" w:color="auto"/>
            <w:left w:val="none" w:sz="0" w:space="0" w:color="auto"/>
            <w:bottom w:val="none" w:sz="0" w:space="0" w:color="auto"/>
            <w:right w:val="none" w:sz="0" w:space="0" w:color="auto"/>
          </w:divBdr>
        </w:div>
        <w:div w:id="1145051793">
          <w:marLeft w:val="0"/>
          <w:marRight w:val="0"/>
          <w:marTop w:val="0"/>
          <w:marBottom w:val="0"/>
          <w:divBdr>
            <w:top w:val="none" w:sz="0" w:space="0" w:color="auto"/>
            <w:left w:val="none" w:sz="0" w:space="0" w:color="auto"/>
            <w:bottom w:val="none" w:sz="0" w:space="0" w:color="auto"/>
            <w:right w:val="none" w:sz="0" w:space="0" w:color="auto"/>
          </w:divBdr>
        </w:div>
        <w:div w:id="1281105850">
          <w:marLeft w:val="0"/>
          <w:marRight w:val="0"/>
          <w:marTop w:val="0"/>
          <w:marBottom w:val="0"/>
          <w:divBdr>
            <w:top w:val="none" w:sz="0" w:space="0" w:color="auto"/>
            <w:left w:val="none" w:sz="0" w:space="0" w:color="auto"/>
            <w:bottom w:val="none" w:sz="0" w:space="0" w:color="auto"/>
            <w:right w:val="none" w:sz="0" w:space="0" w:color="auto"/>
          </w:divBdr>
        </w:div>
      </w:divsChild>
    </w:div>
    <w:div w:id="2126193808">
      <w:bodyDiv w:val="1"/>
      <w:marLeft w:val="0"/>
      <w:marRight w:val="0"/>
      <w:marTop w:val="0"/>
      <w:marBottom w:val="0"/>
      <w:divBdr>
        <w:top w:val="none" w:sz="0" w:space="0" w:color="auto"/>
        <w:left w:val="none" w:sz="0" w:space="0" w:color="auto"/>
        <w:bottom w:val="none" w:sz="0" w:space="0" w:color="auto"/>
        <w:right w:val="none" w:sz="0" w:space="0" w:color="auto"/>
      </w:divBdr>
      <w:divsChild>
        <w:div w:id="67849016">
          <w:marLeft w:val="0"/>
          <w:marRight w:val="0"/>
          <w:marTop w:val="0"/>
          <w:marBottom w:val="0"/>
          <w:divBdr>
            <w:top w:val="none" w:sz="0" w:space="0" w:color="auto"/>
            <w:left w:val="none" w:sz="0" w:space="0" w:color="auto"/>
            <w:bottom w:val="none" w:sz="0" w:space="0" w:color="auto"/>
            <w:right w:val="none" w:sz="0" w:space="0" w:color="auto"/>
          </w:divBdr>
        </w:div>
        <w:div w:id="167647190">
          <w:marLeft w:val="0"/>
          <w:marRight w:val="0"/>
          <w:marTop w:val="0"/>
          <w:marBottom w:val="0"/>
          <w:divBdr>
            <w:top w:val="none" w:sz="0" w:space="0" w:color="auto"/>
            <w:left w:val="none" w:sz="0" w:space="0" w:color="auto"/>
            <w:bottom w:val="none" w:sz="0" w:space="0" w:color="auto"/>
            <w:right w:val="none" w:sz="0" w:space="0" w:color="auto"/>
          </w:divBdr>
        </w:div>
        <w:div w:id="1060903813">
          <w:marLeft w:val="0"/>
          <w:marRight w:val="0"/>
          <w:marTop w:val="0"/>
          <w:marBottom w:val="0"/>
          <w:divBdr>
            <w:top w:val="none" w:sz="0" w:space="0" w:color="auto"/>
            <w:left w:val="none" w:sz="0" w:space="0" w:color="auto"/>
            <w:bottom w:val="none" w:sz="0" w:space="0" w:color="auto"/>
            <w:right w:val="none" w:sz="0" w:space="0" w:color="auto"/>
          </w:divBdr>
        </w:div>
        <w:div w:id="1112286921">
          <w:marLeft w:val="0"/>
          <w:marRight w:val="0"/>
          <w:marTop w:val="0"/>
          <w:marBottom w:val="0"/>
          <w:divBdr>
            <w:top w:val="none" w:sz="0" w:space="0" w:color="auto"/>
            <w:left w:val="none" w:sz="0" w:space="0" w:color="auto"/>
            <w:bottom w:val="none" w:sz="0" w:space="0" w:color="auto"/>
            <w:right w:val="none" w:sz="0" w:space="0" w:color="auto"/>
          </w:divBdr>
        </w:div>
        <w:div w:id="1304852568">
          <w:marLeft w:val="0"/>
          <w:marRight w:val="0"/>
          <w:marTop w:val="0"/>
          <w:marBottom w:val="0"/>
          <w:divBdr>
            <w:top w:val="none" w:sz="0" w:space="0" w:color="auto"/>
            <w:left w:val="none" w:sz="0" w:space="0" w:color="auto"/>
            <w:bottom w:val="none" w:sz="0" w:space="0" w:color="auto"/>
            <w:right w:val="none" w:sz="0" w:space="0" w:color="auto"/>
          </w:divBdr>
        </w:div>
        <w:div w:id="1769959378">
          <w:marLeft w:val="0"/>
          <w:marRight w:val="0"/>
          <w:marTop w:val="0"/>
          <w:marBottom w:val="0"/>
          <w:divBdr>
            <w:top w:val="none" w:sz="0" w:space="0" w:color="auto"/>
            <w:left w:val="none" w:sz="0" w:space="0" w:color="auto"/>
            <w:bottom w:val="none" w:sz="0" w:space="0" w:color="auto"/>
            <w:right w:val="none" w:sz="0" w:space="0" w:color="auto"/>
          </w:divBdr>
        </w:div>
        <w:div w:id="1877766022">
          <w:marLeft w:val="0"/>
          <w:marRight w:val="0"/>
          <w:marTop w:val="0"/>
          <w:marBottom w:val="0"/>
          <w:divBdr>
            <w:top w:val="none" w:sz="0" w:space="0" w:color="auto"/>
            <w:left w:val="none" w:sz="0" w:space="0" w:color="auto"/>
            <w:bottom w:val="none" w:sz="0" w:space="0" w:color="auto"/>
            <w:right w:val="none" w:sz="0" w:space="0" w:color="auto"/>
          </w:divBdr>
        </w:div>
        <w:div w:id="1887328204">
          <w:marLeft w:val="0"/>
          <w:marRight w:val="0"/>
          <w:marTop w:val="0"/>
          <w:marBottom w:val="0"/>
          <w:divBdr>
            <w:top w:val="none" w:sz="0" w:space="0" w:color="auto"/>
            <w:left w:val="none" w:sz="0" w:space="0" w:color="auto"/>
            <w:bottom w:val="none" w:sz="0" w:space="0" w:color="auto"/>
            <w:right w:val="none" w:sz="0" w:space="0" w:color="auto"/>
          </w:divBdr>
        </w:div>
      </w:divsChild>
    </w:div>
    <w:div w:id="2139910944">
      <w:bodyDiv w:val="1"/>
      <w:marLeft w:val="0"/>
      <w:marRight w:val="0"/>
      <w:marTop w:val="0"/>
      <w:marBottom w:val="0"/>
      <w:divBdr>
        <w:top w:val="none" w:sz="0" w:space="0" w:color="auto"/>
        <w:left w:val="none" w:sz="0" w:space="0" w:color="auto"/>
        <w:bottom w:val="none" w:sz="0" w:space="0" w:color="auto"/>
        <w:right w:val="none" w:sz="0" w:space="0" w:color="auto"/>
      </w:divBdr>
      <w:divsChild>
        <w:div w:id="53361707">
          <w:marLeft w:val="0"/>
          <w:marRight w:val="0"/>
          <w:marTop w:val="0"/>
          <w:marBottom w:val="0"/>
          <w:divBdr>
            <w:top w:val="none" w:sz="0" w:space="0" w:color="auto"/>
            <w:left w:val="none" w:sz="0" w:space="0" w:color="auto"/>
            <w:bottom w:val="none" w:sz="0" w:space="0" w:color="auto"/>
            <w:right w:val="none" w:sz="0" w:space="0" w:color="auto"/>
          </w:divBdr>
        </w:div>
        <w:div w:id="584723507">
          <w:marLeft w:val="0"/>
          <w:marRight w:val="0"/>
          <w:marTop w:val="0"/>
          <w:marBottom w:val="0"/>
          <w:divBdr>
            <w:top w:val="none" w:sz="0" w:space="0" w:color="auto"/>
            <w:left w:val="none" w:sz="0" w:space="0" w:color="auto"/>
            <w:bottom w:val="none" w:sz="0" w:space="0" w:color="auto"/>
            <w:right w:val="none" w:sz="0" w:space="0" w:color="auto"/>
          </w:divBdr>
        </w:div>
        <w:div w:id="641472473">
          <w:marLeft w:val="0"/>
          <w:marRight w:val="0"/>
          <w:marTop w:val="0"/>
          <w:marBottom w:val="0"/>
          <w:divBdr>
            <w:top w:val="none" w:sz="0" w:space="0" w:color="auto"/>
            <w:left w:val="none" w:sz="0" w:space="0" w:color="auto"/>
            <w:bottom w:val="none" w:sz="0" w:space="0" w:color="auto"/>
            <w:right w:val="none" w:sz="0" w:space="0" w:color="auto"/>
          </w:divBdr>
        </w:div>
        <w:div w:id="1152867687">
          <w:marLeft w:val="0"/>
          <w:marRight w:val="0"/>
          <w:marTop w:val="0"/>
          <w:marBottom w:val="0"/>
          <w:divBdr>
            <w:top w:val="none" w:sz="0" w:space="0" w:color="auto"/>
            <w:left w:val="none" w:sz="0" w:space="0" w:color="auto"/>
            <w:bottom w:val="none" w:sz="0" w:space="0" w:color="auto"/>
            <w:right w:val="none" w:sz="0" w:space="0" w:color="auto"/>
          </w:divBdr>
        </w:div>
        <w:div w:id="1337804647">
          <w:marLeft w:val="0"/>
          <w:marRight w:val="0"/>
          <w:marTop w:val="0"/>
          <w:marBottom w:val="0"/>
          <w:divBdr>
            <w:top w:val="none" w:sz="0" w:space="0" w:color="auto"/>
            <w:left w:val="none" w:sz="0" w:space="0" w:color="auto"/>
            <w:bottom w:val="none" w:sz="0" w:space="0" w:color="auto"/>
            <w:right w:val="none" w:sz="0" w:space="0" w:color="auto"/>
          </w:divBdr>
        </w:div>
        <w:div w:id="1389449637">
          <w:marLeft w:val="0"/>
          <w:marRight w:val="0"/>
          <w:marTop w:val="0"/>
          <w:marBottom w:val="0"/>
          <w:divBdr>
            <w:top w:val="none" w:sz="0" w:space="0" w:color="auto"/>
            <w:left w:val="none" w:sz="0" w:space="0" w:color="auto"/>
            <w:bottom w:val="none" w:sz="0" w:space="0" w:color="auto"/>
            <w:right w:val="none" w:sz="0" w:space="0" w:color="auto"/>
          </w:divBdr>
        </w:div>
        <w:div w:id="1405445159">
          <w:marLeft w:val="0"/>
          <w:marRight w:val="0"/>
          <w:marTop w:val="0"/>
          <w:marBottom w:val="0"/>
          <w:divBdr>
            <w:top w:val="none" w:sz="0" w:space="0" w:color="auto"/>
            <w:left w:val="none" w:sz="0" w:space="0" w:color="auto"/>
            <w:bottom w:val="none" w:sz="0" w:space="0" w:color="auto"/>
            <w:right w:val="none" w:sz="0" w:space="0" w:color="auto"/>
          </w:divBdr>
        </w:div>
        <w:div w:id="1466194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10.jpeg"/><Relationship Id="rId34" Type="http://schemas.microsoft.com/office/2011/relationships/people" Target="peop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emf"/><Relationship Id="rId25" Type="http://schemas.openxmlformats.org/officeDocument/2006/relationships/diagramLayout" Target="diagrams/layou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diagramData" Target="diagrams/data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microsoft.com/office/2007/relationships/diagramDrawing" Target="diagrams/drawing1.xml"/><Relationship Id="rId10" Type="http://schemas.microsoft.com/office/2011/relationships/commentsExtended" Target="commentsExtended.xml"/><Relationship Id="rId19" Type="http://schemas.openxmlformats.org/officeDocument/2006/relationships/image" Target="media/image8.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diagramColors" Target="diagrams/colors1.xml"/><Relationship Id="rId30" Type="http://schemas.openxmlformats.org/officeDocument/2006/relationships/image" Target="media/image13.emf"/><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Users\amaningaboyekagaylord\Desktop\Classeur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800"/>
              <a:t>Fig.2. </a:t>
            </a:r>
            <a:r>
              <a:rPr lang="fr-FR" sz="1800" b="1" i="0" u="none" strike="noStrike" baseline="0">
                <a:effectLst/>
              </a:rPr>
              <a:t>Causes d’ictère néonatal à l'hôpital Provincial Général de Référence de Bukavu (HPGRB), Décembre 2019-Mai 2021</a:t>
            </a:r>
            <a:endParaRPr lang="fr-FR" sz="1800"/>
          </a:p>
        </c:rich>
      </c:tx>
      <c:layout>
        <c:manualLayout>
          <c:xMode val="edge"/>
          <c:yMode val="edge"/>
          <c:x val="0.13056471397628344"/>
          <c:y val="0.84160625216573881"/>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manualLayout>
          <c:layoutTarget val="inner"/>
          <c:xMode val="edge"/>
          <c:yMode val="edge"/>
          <c:x val="7.2788276465441823E-2"/>
          <c:y val="2.2131580978848236E-2"/>
          <c:w val="0.89665616797900261"/>
          <c:h val="0.53304307549791574"/>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3.9525691699604923E-3"/>
                  <c:y val="9.10072978682542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62-E548-808C-977B2F16914D}"/>
                </c:ext>
              </c:extLst>
            </c:dLbl>
            <c:dLbl>
              <c:idx val="1"/>
              <c:layout>
                <c:manualLayout>
                  <c:x val="-7.9051383399209481E-3"/>
                  <c:y val="-4.5611676589206835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62-E548-808C-977B2F16914D}"/>
                </c:ext>
              </c:extLst>
            </c:dLbl>
            <c:dLbl>
              <c:idx val="2"/>
              <c:layout>
                <c:manualLayout>
                  <c:x val="-1.976284584980237E-3"/>
                  <c:y val="9.10072978682537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62-E548-808C-977B2F16914D}"/>
                </c:ext>
              </c:extLst>
            </c:dLbl>
            <c:dLbl>
              <c:idx val="3"/>
              <c:layout>
                <c:manualLayout>
                  <c:x val="-7.9051383399209481E-3"/>
                  <c:y val="-4.5611676589206835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62-E548-808C-977B2F16914D}"/>
                </c:ext>
              </c:extLst>
            </c:dLbl>
            <c:dLbl>
              <c:idx val="4"/>
              <c:layout>
                <c:manualLayout>
                  <c:x val="-5.9288537549407111E-3"/>
                  <c:y val="-4.5611676589206835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62-E548-808C-977B2F16914D}"/>
                </c:ext>
              </c:extLst>
            </c:dLbl>
            <c:dLbl>
              <c:idx val="5"/>
              <c:layout>
                <c:manualLayout>
                  <c:x val="-3.9525691699605469E-3"/>
                  <c:y val="3.00316881121555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62-E548-808C-977B2F16914D}"/>
                </c:ext>
              </c:extLst>
            </c:dLbl>
            <c:dLbl>
              <c:idx val="6"/>
              <c:layout>
                <c:manualLayout>
                  <c:x val="-5.9288537549407111E-3"/>
                  <c:y val="3.00316881121567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62-E548-808C-977B2F16914D}"/>
                </c:ext>
              </c:extLst>
            </c:dLbl>
            <c:dLbl>
              <c:idx val="7"/>
              <c:layout>
                <c:manualLayout>
                  <c:x val="1.9762845849800922E-3"/>
                  <c:y val="1.6813904359514918E-3"/>
                </c:manualLayout>
              </c:layout>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562-E548-808C-977B2F16914D}"/>
                </c:ext>
              </c:extLst>
            </c:dLbl>
            <c:dLbl>
              <c:idx val="8"/>
              <c:layout>
                <c:manualLayout>
                  <c:x val="-1.976284584980237E-3"/>
                  <c:y val="1.68139043595149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562-E548-808C-977B2F16914D}"/>
                </c:ext>
              </c:extLst>
            </c:dLbl>
            <c:dLbl>
              <c:idx val="9"/>
              <c:layout>
                <c:manualLayout>
                  <c:x val="-1.4492586203595881E-16"/>
                  <c:y val="1.23698866909928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62-E548-808C-977B2F16914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Feuil10!$H$12:$H$21</c:f>
              <c:strCache>
                <c:ptCount val="10"/>
                <c:pt idx="0">
                  <c:v>Prématurité </c:v>
                </c:pt>
                <c:pt idx="1">
                  <c:v>Incompatibilité  ABO </c:v>
                </c:pt>
                <c:pt idx="2">
                  <c:v>Infection néonatale</c:v>
                </c:pt>
                <c:pt idx="3">
                  <c:v>Déficit en G6PD </c:v>
                </c:pt>
                <c:pt idx="4">
                  <c:v>Génotype hémoglobinique AS </c:v>
                </c:pt>
                <c:pt idx="5">
                  <c:v>Autres </c:v>
                </c:pt>
                <c:pt idx="6">
                  <c:v>Incompatibilité Rhésus </c:v>
                </c:pt>
                <c:pt idx="7">
                  <c:v>Mucoviscidose </c:v>
                </c:pt>
                <c:pt idx="8">
                  <c:v>Galactosémie </c:v>
                </c:pt>
                <c:pt idx="9">
                  <c:v>Excès en 17-OH Progestérone</c:v>
                </c:pt>
              </c:strCache>
            </c:strRef>
          </c:cat>
          <c:val>
            <c:numRef>
              <c:f>Feuil10!$I$12:$I$21</c:f>
              <c:numCache>
                <c:formatCode>General</c:formatCode>
                <c:ptCount val="10"/>
                <c:pt idx="0">
                  <c:v>41.4</c:v>
                </c:pt>
                <c:pt idx="1">
                  <c:v>34</c:v>
                </c:pt>
                <c:pt idx="2">
                  <c:v>28.7</c:v>
                </c:pt>
                <c:pt idx="3">
                  <c:v>11.9</c:v>
                </c:pt>
                <c:pt idx="4">
                  <c:v>11.9</c:v>
                </c:pt>
                <c:pt idx="5">
                  <c:v>11.2</c:v>
                </c:pt>
                <c:pt idx="6">
                  <c:v>9.3000000000000007</c:v>
                </c:pt>
                <c:pt idx="7">
                  <c:v>1.5</c:v>
                </c:pt>
                <c:pt idx="8">
                  <c:v>1.5</c:v>
                </c:pt>
                <c:pt idx="9">
                  <c:v>0.7</c:v>
                </c:pt>
              </c:numCache>
            </c:numRef>
          </c:val>
          <c:extLst>
            <c:ext xmlns:c16="http://schemas.microsoft.com/office/drawing/2014/chart" uri="{C3380CC4-5D6E-409C-BE32-E72D297353CC}">
              <c16:uniqueId val="{0000000A-1562-E548-808C-977B2F16914D}"/>
            </c:ext>
          </c:extLst>
        </c:ser>
        <c:dLbls>
          <c:dLblPos val="inEnd"/>
          <c:showLegendKey val="0"/>
          <c:showVal val="1"/>
          <c:showCatName val="0"/>
          <c:showSerName val="0"/>
          <c:showPercent val="0"/>
          <c:showBubbleSize val="0"/>
        </c:dLbls>
        <c:gapWidth val="65"/>
        <c:axId val="647646992"/>
        <c:axId val="647645424"/>
      </c:barChart>
      <c:catAx>
        <c:axId val="6476469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none" baseline="0">
                <a:solidFill>
                  <a:schemeClr val="dk1">
                    <a:lumMod val="75000"/>
                    <a:lumOff val="25000"/>
                  </a:schemeClr>
                </a:solidFill>
                <a:latin typeface="+mn-lt"/>
                <a:ea typeface="+mn-ea"/>
                <a:cs typeface="+mn-cs"/>
              </a:defRPr>
            </a:pPr>
            <a:endParaRPr lang="fr-FR"/>
          </a:p>
        </c:txPr>
        <c:crossAx val="647645424"/>
        <c:crosses val="autoZero"/>
        <c:auto val="1"/>
        <c:lblAlgn val="ctr"/>
        <c:lblOffset val="100"/>
        <c:noMultiLvlLbl val="0"/>
      </c:catAx>
      <c:valAx>
        <c:axId val="6476454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476469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AF3FC2-E4FB-124D-BC8A-B3E13C4063D3}"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fr-FR"/>
        </a:p>
      </dgm:t>
    </dgm:pt>
    <dgm:pt modelId="{C3CBFFE9-4B23-8B4A-81F9-2081A3B54879}">
      <dgm:prSet phldrT="[Texte]" custT="1"/>
      <dgm:spPr/>
      <dgm:t>
        <a:bodyPr/>
        <a:lstStyle/>
        <a:p>
          <a:r>
            <a:rPr lang="fr-FR" sz="1200" b="1"/>
            <a:t>728 </a:t>
          </a:r>
        </a:p>
        <a:p>
          <a:r>
            <a:rPr lang="fr-FR" sz="1200" b="1"/>
            <a:t>Nouveau-nés admis en Néonatologie</a:t>
          </a:r>
        </a:p>
      </dgm:t>
    </dgm:pt>
    <dgm:pt modelId="{6BC53B0B-9AD2-0B4E-B060-29522E24EB97}" type="parTrans" cxnId="{7DF2C285-55C9-CF43-9CFA-D773888DAE48}">
      <dgm:prSet/>
      <dgm:spPr/>
      <dgm:t>
        <a:bodyPr/>
        <a:lstStyle/>
        <a:p>
          <a:endParaRPr lang="fr-FR" sz="2400"/>
        </a:p>
      </dgm:t>
    </dgm:pt>
    <dgm:pt modelId="{851C3BCE-6F81-CE44-9052-BEC064B2F8CC}" type="sibTrans" cxnId="{7DF2C285-55C9-CF43-9CFA-D773888DAE48}">
      <dgm:prSet/>
      <dgm:spPr/>
      <dgm:t>
        <a:bodyPr/>
        <a:lstStyle/>
        <a:p>
          <a:endParaRPr lang="fr-FR" sz="2400"/>
        </a:p>
      </dgm:t>
    </dgm:pt>
    <dgm:pt modelId="{69B195D5-A73E-AF40-A268-6DE333D7EA4F}">
      <dgm:prSet phldrT="[Texte]" custT="1"/>
      <dgm:spPr/>
      <dgm:t>
        <a:bodyPr/>
        <a:lstStyle/>
        <a:p>
          <a:r>
            <a:rPr lang="fr-FR" sz="1200" b="1"/>
            <a:t>156</a:t>
          </a:r>
        </a:p>
        <a:p>
          <a:r>
            <a:rPr lang="fr-FR" sz="1200" b="1"/>
            <a:t>Nouveau-nés Ictériques</a:t>
          </a:r>
        </a:p>
      </dgm:t>
    </dgm:pt>
    <dgm:pt modelId="{8341E97B-CD72-2E49-B6D2-025A6AFF3448}" type="parTrans" cxnId="{6705890E-2590-6E49-B9C5-C717661C8B92}">
      <dgm:prSet/>
      <dgm:spPr/>
      <dgm:t>
        <a:bodyPr/>
        <a:lstStyle/>
        <a:p>
          <a:endParaRPr lang="fr-FR" sz="2400"/>
        </a:p>
      </dgm:t>
    </dgm:pt>
    <dgm:pt modelId="{5FD354B6-08DA-6546-B62E-4C648574D273}" type="sibTrans" cxnId="{6705890E-2590-6E49-B9C5-C717661C8B92}">
      <dgm:prSet/>
      <dgm:spPr/>
      <dgm:t>
        <a:bodyPr/>
        <a:lstStyle/>
        <a:p>
          <a:endParaRPr lang="fr-FR" sz="2400"/>
        </a:p>
      </dgm:t>
    </dgm:pt>
    <dgm:pt modelId="{E5675438-A965-7848-947B-1F3D6B1BF6DC}">
      <dgm:prSet phldrT="[Texte]" custT="1"/>
      <dgm:spPr/>
      <dgm:t>
        <a:bodyPr/>
        <a:lstStyle/>
        <a:p>
          <a:r>
            <a:rPr lang="fr-FR" sz="1200" b="1"/>
            <a:t>572</a:t>
          </a:r>
        </a:p>
        <a:p>
          <a:r>
            <a:rPr lang="fr-FR" sz="1200" b="1"/>
            <a:t>Nouveau-Nés sans ictères</a:t>
          </a:r>
        </a:p>
      </dgm:t>
    </dgm:pt>
    <dgm:pt modelId="{930F1D7A-BA64-AB47-88B7-D00C984D7208}" type="parTrans" cxnId="{FFF6FF77-262F-7A49-B2E4-2AC5E78F721C}">
      <dgm:prSet/>
      <dgm:spPr/>
      <dgm:t>
        <a:bodyPr/>
        <a:lstStyle/>
        <a:p>
          <a:endParaRPr lang="fr-FR" sz="2400"/>
        </a:p>
      </dgm:t>
    </dgm:pt>
    <dgm:pt modelId="{D463A04D-4FBD-3A46-8DEF-0624F99A63EE}" type="sibTrans" cxnId="{FFF6FF77-262F-7A49-B2E4-2AC5E78F721C}">
      <dgm:prSet/>
      <dgm:spPr/>
      <dgm:t>
        <a:bodyPr/>
        <a:lstStyle/>
        <a:p>
          <a:endParaRPr lang="fr-FR" sz="2400"/>
        </a:p>
      </dgm:t>
    </dgm:pt>
    <dgm:pt modelId="{F8EDCC0E-EC17-9C45-8813-25FB2DCCC441}">
      <dgm:prSet custT="1"/>
      <dgm:spPr/>
      <dgm:t>
        <a:bodyPr/>
        <a:lstStyle/>
        <a:p>
          <a:pPr algn="ctr"/>
          <a:r>
            <a:rPr lang="fr-FR" sz="1200" b="1"/>
            <a:t>Exlus: 20 </a:t>
          </a:r>
        </a:p>
        <a:p>
          <a:pPr algn="l"/>
          <a:r>
            <a:rPr lang="fr-FR" sz="1200" b="1"/>
            <a:t>Ictère avec Bilirubine à prédominance direct et/ou non éligible à la photothérapie</a:t>
          </a:r>
        </a:p>
      </dgm:t>
    </dgm:pt>
    <dgm:pt modelId="{3C915FD2-44A5-4C46-BEB4-2535BA6796B9}" type="parTrans" cxnId="{DF3C8C54-8F0D-7C49-820A-3DCA59185663}">
      <dgm:prSet/>
      <dgm:spPr/>
      <dgm:t>
        <a:bodyPr/>
        <a:lstStyle/>
        <a:p>
          <a:endParaRPr lang="fr-FR"/>
        </a:p>
      </dgm:t>
    </dgm:pt>
    <dgm:pt modelId="{68CCEFD4-A8A4-AF45-87F9-B248833EF9F6}" type="sibTrans" cxnId="{DF3C8C54-8F0D-7C49-820A-3DCA59185663}">
      <dgm:prSet/>
      <dgm:spPr/>
      <dgm:t>
        <a:bodyPr/>
        <a:lstStyle/>
        <a:p>
          <a:endParaRPr lang="fr-FR"/>
        </a:p>
      </dgm:t>
    </dgm:pt>
    <dgm:pt modelId="{EED92F82-E9B4-D842-890C-445F4C9028E5}">
      <dgm:prSet custT="1"/>
      <dgm:spPr/>
      <dgm:t>
        <a:bodyPr/>
        <a:lstStyle/>
        <a:p>
          <a:r>
            <a:rPr lang="fr-FR" sz="1200" b="1"/>
            <a:t>136</a:t>
          </a:r>
        </a:p>
        <a:p>
          <a:r>
            <a:rPr lang="fr-FR" sz="1200" b="1"/>
            <a:t>Nouveau-nés Ictériques avec Bilirubine à prominance indirect et éligibles à la photothérapie</a:t>
          </a:r>
        </a:p>
      </dgm:t>
    </dgm:pt>
    <dgm:pt modelId="{13DE524F-033F-B74D-BC64-B54A95B20DBD}" type="parTrans" cxnId="{779E17A6-5832-A247-978D-51AEA9001AE9}">
      <dgm:prSet/>
      <dgm:spPr/>
      <dgm:t>
        <a:bodyPr/>
        <a:lstStyle/>
        <a:p>
          <a:endParaRPr lang="fr-FR"/>
        </a:p>
      </dgm:t>
    </dgm:pt>
    <dgm:pt modelId="{8CBAFF59-6FF0-E74C-A706-BDAAF4A19394}" type="sibTrans" cxnId="{779E17A6-5832-A247-978D-51AEA9001AE9}">
      <dgm:prSet/>
      <dgm:spPr/>
      <dgm:t>
        <a:bodyPr/>
        <a:lstStyle/>
        <a:p>
          <a:endParaRPr lang="fr-FR"/>
        </a:p>
      </dgm:t>
    </dgm:pt>
    <dgm:pt modelId="{5FC67CE4-4379-E048-B611-10B23398F348}" type="pres">
      <dgm:prSet presAssocID="{E0AF3FC2-E4FB-124D-BC8A-B3E13C4063D3}" presName="hierChild1" presStyleCnt="0">
        <dgm:presLayoutVars>
          <dgm:orgChart val="1"/>
          <dgm:chPref val="1"/>
          <dgm:dir/>
          <dgm:animOne val="branch"/>
          <dgm:animLvl val="lvl"/>
          <dgm:resizeHandles/>
        </dgm:presLayoutVars>
      </dgm:prSet>
      <dgm:spPr/>
    </dgm:pt>
    <dgm:pt modelId="{B3B72AE6-F387-A04D-9EE9-70DFCAB37291}" type="pres">
      <dgm:prSet presAssocID="{C3CBFFE9-4B23-8B4A-81F9-2081A3B54879}" presName="hierRoot1" presStyleCnt="0">
        <dgm:presLayoutVars>
          <dgm:hierBranch val="init"/>
        </dgm:presLayoutVars>
      </dgm:prSet>
      <dgm:spPr/>
    </dgm:pt>
    <dgm:pt modelId="{9743A461-125D-7149-B48B-00844A5F7CF7}" type="pres">
      <dgm:prSet presAssocID="{C3CBFFE9-4B23-8B4A-81F9-2081A3B54879}" presName="rootComposite1" presStyleCnt="0"/>
      <dgm:spPr/>
    </dgm:pt>
    <dgm:pt modelId="{A7BAE7DE-487B-5847-BF8D-5A10EC4A077C}" type="pres">
      <dgm:prSet presAssocID="{C3CBFFE9-4B23-8B4A-81F9-2081A3B54879}" presName="rootText1" presStyleLbl="node0" presStyleIdx="0" presStyleCnt="1" custScaleX="64069" custScaleY="60996">
        <dgm:presLayoutVars>
          <dgm:chPref val="3"/>
        </dgm:presLayoutVars>
      </dgm:prSet>
      <dgm:spPr/>
    </dgm:pt>
    <dgm:pt modelId="{9B77B0F3-C11C-7C40-BC6B-0D58E0C82FE2}" type="pres">
      <dgm:prSet presAssocID="{C3CBFFE9-4B23-8B4A-81F9-2081A3B54879}" presName="rootConnector1" presStyleLbl="node1" presStyleIdx="0" presStyleCnt="0"/>
      <dgm:spPr/>
    </dgm:pt>
    <dgm:pt modelId="{750B6641-EEF1-0246-A660-4156A3989922}" type="pres">
      <dgm:prSet presAssocID="{C3CBFFE9-4B23-8B4A-81F9-2081A3B54879}" presName="hierChild2" presStyleCnt="0"/>
      <dgm:spPr/>
    </dgm:pt>
    <dgm:pt modelId="{AEC3A0E9-757A-084A-B4B9-4449707899EC}" type="pres">
      <dgm:prSet presAssocID="{8341E97B-CD72-2E49-B6D2-025A6AFF3448}" presName="Name37" presStyleLbl="parChTrans1D2" presStyleIdx="0" presStyleCnt="2"/>
      <dgm:spPr/>
    </dgm:pt>
    <dgm:pt modelId="{737ED02E-D0BA-D449-B32E-B67D58B243BC}" type="pres">
      <dgm:prSet presAssocID="{69B195D5-A73E-AF40-A268-6DE333D7EA4F}" presName="hierRoot2" presStyleCnt="0">
        <dgm:presLayoutVars>
          <dgm:hierBranch val="init"/>
        </dgm:presLayoutVars>
      </dgm:prSet>
      <dgm:spPr/>
    </dgm:pt>
    <dgm:pt modelId="{148132BD-D9C1-2345-A9D9-F7F8BC2584A2}" type="pres">
      <dgm:prSet presAssocID="{69B195D5-A73E-AF40-A268-6DE333D7EA4F}" presName="rootComposite" presStyleCnt="0"/>
      <dgm:spPr/>
    </dgm:pt>
    <dgm:pt modelId="{1EA9BF1A-985A-7344-BB6E-40ADE8F960E6}" type="pres">
      <dgm:prSet presAssocID="{69B195D5-A73E-AF40-A268-6DE333D7EA4F}" presName="rootText" presStyleLbl="node2" presStyleIdx="0" presStyleCnt="2" custScaleX="72507" custScaleY="68887">
        <dgm:presLayoutVars>
          <dgm:chPref val="3"/>
        </dgm:presLayoutVars>
      </dgm:prSet>
      <dgm:spPr/>
    </dgm:pt>
    <dgm:pt modelId="{438EF7D5-9E13-6A4E-9429-39E649553457}" type="pres">
      <dgm:prSet presAssocID="{69B195D5-A73E-AF40-A268-6DE333D7EA4F}" presName="rootConnector" presStyleLbl="node2" presStyleIdx="0" presStyleCnt="2"/>
      <dgm:spPr/>
    </dgm:pt>
    <dgm:pt modelId="{6C7FDF7C-B343-4845-84E5-6EA99607C7A7}" type="pres">
      <dgm:prSet presAssocID="{69B195D5-A73E-AF40-A268-6DE333D7EA4F}" presName="hierChild4" presStyleCnt="0"/>
      <dgm:spPr/>
    </dgm:pt>
    <dgm:pt modelId="{06A72758-0ED6-D845-BD63-900CBBDB52D2}" type="pres">
      <dgm:prSet presAssocID="{3C915FD2-44A5-4C46-BEB4-2535BA6796B9}" presName="Name37" presStyleLbl="parChTrans1D3" presStyleIdx="0" presStyleCnt="1"/>
      <dgm:spPr/>
    </dgm:pt>
    <dgm:pt modelId="{E1DCAD17-957B-E946-B3D6-4E192087AD39}" type="pres">
      <dgm:prSet presAssocID="{F8EDCC0E-EC17-9C45-8813-25FB2DCCC441}" presName="hierRoot2" presStyleCnt="0">
        <dgm:presLayoutVars>
          <dgm:hierBranch val="init"/>
        </dgm:presLayoutVars>
      </dgm:prSet>
      <dgm:spPr/>
    </dgm:pt>
    <dgm:pt modelId="{E5AA017A-5560-E34F-8638-1FEE4719A05B}" type="pres">
      <dgm:prSet presAssocID="{F8EDCC0E-EC17-9C45-8813-25FB2DCCC441}" presName="rootComposite" presStyleCnt="0"/>
      <dgm:spPr/>
    </dgm:pt>
    <dgm:pt modelId="{8EBB9037-785F-6449-90B6-275697154E8B}" type="pres">
      <dgm:prSet presAssocID="{F8EDCC0E-EC17-9C45-8813-25FB2DCCC441}" presName="rootText" presStyleLbl="node3" presStyleIdx="0" presStyleCnt="1" custScaleX="81132" custScaleY="96032">
        <dgm:presLayoutVars>
          <dgm:chPref val="3"/>
        </dgm:presLayoutVars>
      </dgm:prSet>
      <dgm:spPr/>
    </dgm:pt>
    <dgm:pt modelId="{AC4AD97D-2E05-2C46-AE7C-B57E4512684F}" type="pres">
      <dgm:prSet presAssocID="{F8EDCC0E-EC17-9C45-8813-25FB2DCCC441}" presName="rootConnector" presStyleLbl="node3" presStyleIdx="0" presStyleCnt="1"/>
      <dgm:spPr/>
    </dgm:pt>
    <dgm:pt modelId="{741AFADB-49A5-944C-A615-497AE6F59541}" type="pres">
      <dgm:prSet presAssocID="{F8EDCC0E-EC17-9C45-8813-25FB2DCCC441}" presName="hierChild4" presStyleCnt="0"/>
      <dgm:spPr/>
    </dgm:pt>
    <dgm:pt modelId="{3D8B6330-E932-A140-ABE3-E47476CB834A}" type="pres">
      <dgm:prSet presAssocID="{13DE524F-033F-B74D-BC64-B54A95B20DBD}" presName="Name37" presStyleLbl="parChTrans1D4" presStyleIdx="0" presStyleCnt="1"/>
      <dgm:spPr/>
    </dgm:pt>
    <dgm:pt modelId="{7FF1F77A-24C3-324F-A61A-CA60A5D4C0E5}" type="pres">
      <dgm:prSet presAssocID="{EED92F82-E9B4-D842-890C-445F4C9028E5}" presName="hierRoot2" presStyleCnt="0">
        <dgm:presLayoutVars>
          <dgm:hierBranch val="init"/>
        </dgm:presLayoutVars>
      </dgm:prSet>
      <dgm:spPr/>
    </dgm:pt>
    <dgm:pt modelId="{BDDD9159-5617-A941-8B93-3ABD0A22643D}" type="pres">
      <dgm:prSet presAssocID="{EED92F82-E9B4-D842-890C-445F4C9028E5}" presName="rootComposite" presStyleCnt="0"/>
      <dgm:spPr/>
    </dgm:pt>
    <dgm:pt modelId="{263F3209-4E8C-804F-8EBE-1F6B6CD0745F}" type="pres">
      <dgm:prSet presAssocID="{EED92F82-E9B4-D842-890C-445F4C9028E5}" presName="rootText" presStyleLbl="node4" presStyleIdx="0" presStyleCnt="1" custScaleX="69130" custScaleY="105245" custLinFactNeighborX="4905" custLinFactNeighborY="-19619">
        <dgm:presLayoutVars>
          <dgm:chPref val="3"/>
        </dgm:presLayoutVars>
      </dgm:prSet>
      <dgm:spPr/>
    </dgm:pt>
    <dgm:pt modelId="{69E422D3-30F8-B644-8011-D676FF41773B}" type="pres">
      <dgm:prSet presAssocID="{EED92F82-E9B4-D842-890C-445F4C9028E5}" presName="rootConnector" presStyleLbl="node4" presStyleIdx="0" presStyleCnt="1"/>
      <dgm:spPr/>
    </dgm:pt>
    <dgm:pt modelId="{7082B73C-7BF0-5540-8486-EFC50624B325}" type="pres">
      <dgm:prSet presAssocID="{EED92F82-E9B4-D842-890C-445F4C9028E5}" presName="hierChild4" presStyleCnt="0"/>
      <dgm:spPr/>
    </dgm:pt>
    <dgm:pt modelId="{6F1C53B0-8445-BB46-8094-63544D1A7933}" type="pres">
      <dgm:prSet presAssocID="{EED92F82-E9B4-D842-890C-445F4C9028E5}" presName="hierChild5" presStyleCnt="0"/>
      <dgm:spPr/>
    </dgm:pt>
    <dgm:pt modelId="{AFB2B065-D9D9-A241-94E2-56A0EEBDF74E}" type="pres">
      <dgm:prSet presAssocID="{F8EDCC0E-EC17-9C45-8813-25FB2DCCC441}" presName="hierChild5" presStyleCnt="0"/>
      <dgm:spPr/>
    </dgm:pt>
    <dgm:pt modelId="{4C692222-535A-954C-B251-F4016742FF79}" type="pres">
      <dgm:prSet presAssocID="{69B195D5-A73E-AF40-A268-6DE333D7EA4F}" presName="hierChild5" presStyleCnt="0"/>
      <dgm:spPr/>
    </dgm:pt>
    <dgm:pt modelId="{EDCE9223-0C32-6D46-A9A1-DE7348BC26CD}" type="pres">
      <dgm:prSet presAssocID="{930F1D7A-BA64-AB47-88B7-D00C984D7208}" presName="Name37" presStyleLbl="parChTrans1D2" presStyleIdx="1" presStyleCnt="2"/>
      <dgm:spPr/>
    </dgm:pt>
    <dgm:pt modelId="{04B1E3BD-5066-004A-9802-A323883EFE8D}" type="pres">
      <dgm:prSet presAssocID="{E5675438-A965-7848-947B-1F3D6B1BF6DC}" presName="hierRoot2" presStyleCnt="0">
        <dgm:presLayoutVars>
          <dgm:hierBranch val="init"/>
        </dgm:presLayoutVars>
      </dgm:prSet>
      <dgm:spPr/>
    </dgm:pt>
    <dgm:pt modelId="{FDB18DF6-C65B-F04D-B39B-250FA48CC493}" type="pres">
      <dgm:prSet presAssocID="{E5675438-A965-7848-947B-1F3D6B1BF6DC}" presName="rootComposite" presStyleCnt="0"/>
      <dgm:spPr/>
    </dgm:pt>
    <dgm:pt modelId="{26F1E405-2D3E-3546-891D-B332E8B5CA71}" type="pres">
      <dgm:prSet presAssocID="{E5675438-A965-7848-947B-1F3D6B1BF6DC}" presName="rootText" presStyleLbl="node2" presStyleIdx="1" presStyleCnt="2" custScaleX="67812" custScaleY="71605">
        <dgm:presLayoutVars>
          <dgm:chPref val="3"/>
        </dgm:presLayoutVars>
      </dgm:prSet>
      <dgm:spPr/>
    </dgm:pt>
    <dgm:pt modelId="{600D43A5-F5F4-194C-B94C-97FA3E7AA3FF}" type="pres">
      <dgm:prSet presAssocID="{E5675438-A965-7848-947B-1F3D6B1BF6DC}" presName="rootConnector" presStyleLbl="node2" presStyleIdx="1" presStyleCnt="2"/>
      <dgm:spPr/>
    </dgm:pt>
    <dgm:pt modelId="{1E899145-952A-4041-AAF5-70EA33A6FBE5}" type="pres">
      <dgm:prSet presAssocID="{E5675438-A965-7848-947B-1F3D6B1BF6DC}" presName="hierChild4" presStyleCnt="0"/>
      <dgm:spPr/>
    </dgm:pt>
    <dgm:pt modelId="{2B1B4258-5A6B-CD43-8E83-59F1607EFBDB}" type="pres">
      <dgm:prSet presAssocID="{E5675438-A965-7848-947B-1F3D6B1BF6DC}" presName="hierChild5" presStyleCnt="0"/>
      <dgm:spPr/>
    </dgm:pt>
    <dgm:pt modelId="{C628C748-7934-8E4E-8ACE-86B94804ED2A}" type="pres">
      <dgm:prSet presAssocID="{C3CBFFE9-4B23-8B4A-81F9-2081A3B54879}" presName="hierChild3" presStyleCnt="0"/>
      <dgm:spPr/>
    </dgm:pt>
  </dgm:ptLst>
  <dgm:cxnLst>
    <dgm:cxn modelId="{96EC8A02-DFFE-4DDD-9390-60627DFF6401}" type="presOf" srcId="{EED92F82-E9B4-D842-890C-445F4C9028E5}" destId="{69E422D3-30F8-B644-8011-D676FF41773B}" srcOrd="1" destOrd="0" presId="urn:microsoft.com/office/officeart/2005/8/layout/orgChart1"/>
    <dgm:cxn modelId="{6705890E-2590-6E49-B9C5-C717661C8B92}" srcId="{C3CBFFE9-4B23-8B4A-81F9-2081A3B54879}" destId="{69B195D5-A73E-AF40-A268-6DE333D7EA4F}" srcOrd="0" destOrd="0" parTransId="{8341E97B-CD72-2E49-B6D2-025A6AFF3448}" sibTransId="{5FD354B6-08DA-6546-B62E-4C648574D273}"/>
    <dgm:cxn modelId="{08F3CA27-179E-47CF-9488-EB8678083463}" type="presOf" srcId="{69B195D5-A73E-AF40-A268-6DE333D7EA4F}" destId="{1EA9BF1A-985A-7344-BB6E-40ADE8F960E6}" srcOrd="0" destOrd="0" presId="urn:microsoft.com/office/officeart/2005/8/layout/orgChart1"/>
    <dgm:cxn modelId="{221EF927-E71A-426B-81D3-8AF955E30808}" type="presOf" srcId="{3C915FD2-44A5-4C46-BEB4-2535BA6796B9}" destId="{06A72758-0ED6-D845-BD63-900CBBDB52D2}" srcOrd="0" destOrd="0" presId="urn:microsoft.com/office/officeart/2005/8/layout/orgChart1"/>
    <dgm:cxn modelId="{9789A762-AF3A-4150-A9FE-A3D1A849264B}" type="presOf" srcId="{8341E97B-CD72-2E49-B6D2-025A6AFF3448}" destId="{AEC3A0E9-757A-084A-B4B9-4449707899EC}" srcOrd="0" destOrd="0" presId="urn:microsoft.com/office/officeart/2005/8/layout/orgChart1"/>
    <dgm:cxn modelId="{DF3C8C54-8F0D-7C49-820A-3DCA59185663}" srcId="{69B195D5-A73E-AF40-A268-6DE333D7EA4F}" destId="{F8EDCC0E-EC17-9C45-8813-25FB2DCCC441}" srcOrd="0" destOrd="0" parTransId="{3C915FD2-44A5-4C46-BEB4-2535BA6796B9}" sibTransId="{68CCEFD4-A8A4-AF45-87F9-B248833EF9F6}"/>
    <dgm:cxn modelId="{FFF6FF77-262F-7A49-B2E4-2AC5E78F721C}" srcId="{C3CBFFE9-4B23-8B4A-81F9-2081A3B54879}" destId="{E5675438-A965-7848-947B-1F3D6B1BF6DC}" srcOrd="1" destOrd="0" parTransId="{930F1D7A-BA64-AB47-88B7-D00C984D7208}" sibTransId="{D463A04D-4FBD-3A46-8DEF-0624F99A63EE}"/>
    <dgm:cxn modelId="{67A68E7A-B071-447B-85BF-71C7DE63C8E8}" type="presOf" srcId="{F8EDCC0E-EC17-9C45-8813-25FB2DCCC441}" destId="{8EBB9037-785F-6449-90B6-275697154E8B}" srcOrd="0" destOrd="0" presId="urn:microsoft.com/office/officeart/2005/8/layout/orgChart1"/>
    <dgm:cxn modelId="{7DF2C285-55C9-CF43-9CFA-D773888DAE48}" srcId="{E0AF3FC2-E4FB-124D-BC8A-B3E13C4063D3}" destId="{C3CBFFE9-4B23-8B4A-81F9-2081A3B54879}" srcOrd="0" destOrd="0" parTransId="{6BC53B0B-9AD2-0B4E-B060-29522E24EB97}" sibTransId="{851C3BCE-6F81-CE44-9052-BEC064B2F8CC}"/>
    <dgm:cxn modelId="{88721993-A909-4BEC-BCF3-BFF2926A4F55}" type="presOf" srcId="{F8EDCC0E-EC17-9C45-8813-25FB2DCCC441}" destId="{AC4AD97D-2E05-2C46-AE7C-B57E4512684F}" srcOrd="1" destOrd="0" presId="urn:microsoft.com/office/officeart/2005/8/layout/orgChart1"/>
    <dgm:cxn modelId="{47328BA3-BA96-4466-9909-51D96305E38E}" type="presOf" srcId="{EED92F82-E9B4-D842-890C-445F4C9028E5}" destId="{263F3209-4E8C-804F-8EBE-1F6B6CD0745F}" srcOrd="0" destOrd="0" presId="urn:microsoft.com/office/officeart/2005/8/layout/orgChart1"/>
    <dgm:cxn modelId="{779E17A6-5832-A247-978D-51AEA9001AE9}" srcId="{F8EDCC0E-EC17-9C45-8813-25FB2DCCC441}" destId="{EED92F82-E9B4-D842-890C-445F4C9028E5}" srcOrd="0" destOrd="0" parTransId="{13DE524F-033F-B74D-BC64-B54A95B20DBD}" sibTransId="{8CBAFF59-6FF0-E74C-A706-BDAAF4A19394}"/>
    <dgm:cxn modelId="{0F3B0FB2-CD62-4B74-8F8C-0B56502C7AFE}" type="presOf" srcId="{C3CBFFE9-4B23-8B4A-81F9-2081A3B54879}" destId="{A7BAE7DE-487B-5847-BF8D-5A10EC4A077C}" srcOrd="0" destOrd="0" presId="urn:microsoft.com/office/officeart/2005/8/layout/orgChart1"/>
    <dgm:cxn modelId="{7648D5BD-FCFF-4659-B61B-AD15D55213B2}" type="presOf" srcId="{13DE524F-033F-B74D-BC64-B54A95B20DBD}" destId="{3D8B6330-E932-A140-ABE3-E47476CB834A}" srcOrd="0" destOrd="0" presId="urn:microsoft.com/office/officeart/2005/8/layout/orgChart1"/>
    <dgm:cxn modelId="{57D15CD4-A320-4B0C-9CEB-B44E85CB1A13}" type="presOf" srcId="{69B195D5-A73E-AF40-A268-6DE333D7EA4F}" destId="{438EF7D5-9E13-6A4E-9429-39E649553457}" srcOrd="1" destOrd="0" presId="urn:microsoft.com/office/officeart/2005/8/layout/orgChart1"/>
    <dgm:cxn modelId="{2F80B6DE-3645-429A-8635-B1215B107C9E}" type="presOf" srcId="{E5675438-A965-7848-947B-1F3D6B1BF6DC}" destId="{26F1E405-2D3E-3546-891D-B332E8B5CA71}" srcOrd="0" destOrd="0" presId="urn:microsoft.com/office/officeart/2005/8/layout/orgChart1"/>
    <dgm:cxn modelId="{7BD37DEB-400A-481E-8363-198F5EF1859D}" type="presOf" srcId="{E5675438-A965-7848-947B-1F3D6B1BF6DC}" destId="{600D43A5-F5F4-194C-B94C-97FA3E7AA3FF}" srcOrd="1" destOrd="0" presId="urn:microsoft.com/office/officeart/2005/8/layout/orgChart1"/>
    <dgm:cxn modelId="{5DDED0EE-EF03-4BC3-BB7C-5BF948F99731}" type="presOf" srcId="{C3CBFFE9-4B23-8B4A-81F9-2081A3B54879}" destId="{9B77B0F3-C11C-7C40-BC6B-0D58E0C82FE2}" srcOrd="1" destOrd="0" presId="urn:microsoft.com/office/officeart/2005/8/layout/orgChart1"/>
    <dgm:cxn modelId="{F8DC07F2-00C8-420A-A292-29A10916E2CB}" type="presOf" srcId="{930F1D7A-BA64-AB47-88B7-D00C984D7208}" destId="{EDCE9223-0C32-6D46-A9A1-DE7348BC26CD}" srcOrd="0" destOrd="0" presId="urn:microsoft.com/office/officeart/2005/8/layout/orgChart1"/>
    <dgm:cxn modelId="{2E4E69F4-5224-4533-9666-6C864C375A4E}" type="presOf" srcId="{E0AF3FC2-E4FB-124D-BC8A-B3E13C4063D3}" destId="{5FC67CE4-4379-E048-B611-10B23398F348}" srcOrd="0" destOrd="0" presId="urn:microsoft.com/office/officeart/2005/8/layout/orgChart1"/>
    <dgm:cxn modelId="{A14BE5F9-DD3D-4D04-836A-188799C1B81D}" type="presParOf" srcId="{5FC67CE4-4379-E048-B611-10B23398F348}" destId="{B3B72AE6-F387-A04D-9EE9-70DFCAB37291}" srcOrd="0" destOrd="0" presId="urn:microsoft.com/office/officeart/2005/8/layout/orgChart1"/>
    <dgm:cxn modelId="{6382C0E7-E832-4F4C-B1E7-E57D8F896846}" type="presParOf" srcId="{B3B72AE6-F387-A04D-9EE9-70DFCAB37291}" destId="{9743A461-125D-7149-B48B-00844A5F7CF7}" srcOrd="0" destOrd="0" presId="urn:microsoft.com/office/officeart/2005/8/layout/orgChart1"/>
    <dgm:cxn modelId="{E942BF5B-1DF5-4256-B173-66FC6152D548}" type="presParOf" srcId="{9743A461-125D-7149-B48B-00844A5F7CF7}" destId="{A7BAE7DE-487B-5847-BF8D-5A10EC4A077C}" srcOrd="0" destOrd="0" presId="urn:microsoft.com/office/officeart/2005/8/layout/orgChart1"/>
    <dgm:cxn modelId="{5A7232B0-B260-4DD4-B461-5441A16BAD5F}" type="presParOf" srcId="{9743A461-125D-7149-B48B-00844A5F7CF7}" destId="{9B77B0F3-C11C-7C40-BC6B-0D58E0C82FE2}" srcOrd="1" destOrd="0" presId="urn:microsoft.com/office/officeart/2005/8/layout/orgChart1"/>
    <dgm:cxn modelId="{B2E30506-639E-4334-954C-C52A53EF2DB0}" type="presParOf" srcId="{B3B72AE6-F387-A04D-9EE9-70DFCAB37291}" destId="{750B6641-EEF1-0246-A660-4156A3989922}" srcOrd="1" destOrd="0" presId="urn:microsoft.com/office/officeart/2005/8/layout/orgChart1"/>
    <dgm:cxn modelId="{E71283CB-2C18-45BC-991F-D885460311AB}" type="presParOf" srcId="{750B6641-EEF1-0246-A660-4156A3989922}" destId="{AEC3A0E9-757A-084A-B4B9-4449707899EC}" srcOrd="0" destOrd="0" presId="urn:microsoft.com/office/officeart/2005/8/layout/orgChart1"/>
    <dgm:cxn modelId="{80C50F14-A7B6-43BA-8E1D-8828B607DE11}" type="presParOf" srcId="{750B6641-EEF1-0246-A660-4156A3989922}" destId="{737ED02E-D0BA-D449-B32E-B67D58B243BC}" srcOrd="1" destOrd="0" presId="urn:microsoft.com/office/officeart/2005/8/layout/orgChart1"/>
    <dgm:cxn modelId="{DAC827A0-8C8D-47A7-9B6C-2A54F128F089}" type="presParOf" srcId="{737ED02E-D0BA-D449-B32E-B67D58B243BC}" destId="{148132BD-D9C1-2345-A9D9-F7F8BC2584A2}" srcOrd="0" destOrd="0" presId="urn:microsoft.com/office/officeart/2005/8/layout/orgChart1"/>
    <dgm:cxn modelId="{9F0DBC98-8B29-4B69-8632-58BBA1C5C5CF}" type="presParOf" srcId="{148132BD-D9C1-2345-A9D9-F7F8BC2584A2}" destId="{1EA9BF1A-985A-7344-BB6E-40ADE8F960E6}" srcOrd="0" destOrd="0" presId="urn:microsoft.com/office/officeart/2005/8/layout/orgChart1"/>
    <dgm:cxn modelId="{A5C988E5-D71C-47C1-8200-D1C3888FC31B}" type="presParOf" srcId="{148132BD-D9C1-2345-A9D9-F7F8BC2584A2}" destId="{438EF7D5-9E13-6A4E-9429-39E649553457}" srcOrd="1" destOrd="0" presId="urn:microsoft.com/office/officeart/2005/8/layout/orgChart1"/>
    <dgm:cxn modelId="{497E7577-5383-48C7-B5E7-AB0071B7421C}" type="presParOf" srcId="{737ED02E-D0BA-D449-B32E-B67D58B243BC}" destId="{6C7FDF7C-B343-4845-84E5-6EA99607C7A7}" srcOrd="1" destOrd="0" presId="urn:microsoft.com/office/officeart/2005/8/layout/orgChart1"/>
    <dgm:cxn modelId="{DC1440AB-31B0-4384-912D-71668A9A1AB7}" type="presParOf" srcId="{6C7FDF7C-B343-4845-84E5-6EA99607C7A7}" destId="{06A72758-0ED6-D845-BD63-900CBBDB52D2}" srcOrd="0" destOrd="0" presId="urn:microsoft.com/office/officeart/2005/8/layout/orgChart1"/>
    <dgm:cxn modelId="{66743E59-DE1E-4490-A71A-5274A3404A09}" type="presParOf" srcId="{6C7FDF7C-B343-4845-84E5-6EA99607C7A7}" destId="{E1DCAD17-957B-E946-B3D6-4E192087AD39}" srcOrd="1" destOrd="0" presId="urn:microsoft.com/office/officeart/2005/8/layout/orgChart1"/>
    <dgm:cxn modelId="{4B34153A-F9EE-404F-8D93-DFDB49843F52}" type="presParOf" srcId="{E1DCAD17-957B-E946-B3D6-4E192087AD39}" destId="{E5AA017A-5560-E34F-8638-1FEE4719A05B}" srcOrd="0" destOrd="0" presId="urn:microsoft.com/office/officeart/2005/8/layout/orgChart1"/>
    <dgm:cxn modelId="{4CF2848B-9500-4E2A-BC24-82C8B9D7F2D2}" type="presParOf" srcId="{E5AA017A-5560-E34F-8638-1FEE4719A05B}" destId="{8EBB9037-785F-6449-90B6-275697154E8B}" srcOrd="0" destOrd="0" presId="urn:microsoft.com/office/officeart/2005/8/layout/orgChart1"/>
    <dgm:cxn modelId="{42BE5507-5F92-47D5-810D-90E192AECFCD}" type="presParOf" srcId="{E5AA017A-5560-E34F-8638-1FEE4719A05B}" destId="{AC4AD97D-2E05-2C46-AE7C-B57E4512684F}" srcOrd="1" destOrd="0" presId="urn:microsoft.com/office/officeart/2005/8/layout/orgChart1"/>
    <dgm:cxn modelId="{CB663FD2-0AF5-4F09-BCE3-70040A750171}" type="presParOf" srcId="{E1DCAD17-957B-E946-B3D6-4E192087AD39}" destId="{741AFADB-49A5-944C-A615-497AE6F59541}" srcOrd="1" destOrd="0" presId="urn:microsoft.com/office/officeart/2005/8/layout/orgChart1"/>
    <dgm:cxn modelId="{6102C826-E15D-4A09-91F4-FF66636EF5C7}" type="presParOf" srcId="{741AFADB-49A5-944C-A615-497AE6F59541}" destId="{3D8B6330-E932-A140-ABE3-E47476CB834A}" srcOrd="0" destOrd="0" presId="urn:microsoft.com/office/officeart/2005/8/layout/orgChart1"/>
    <dgm:cxn modelId="{4A797BF9-55D0-40B4-8F11-78B591318EBA}" type="presParOf" srcId="{741AFADB-49A5-944C-A615-497AE6F59541}" destId="{7FF1F77A-24C3-324F-A61A-CA60A5D4C0E5}" srcOrd="1" destOrd="0" presId="urn:microsoft.com/office/officeart/2005/8/layout/orgChart1"/>
    <dgm:cxn modelId="{9FC551FE-B1BA-41B7-A20F-6199F28689F9}" type="presParOf" srcId="{7FF1F77A-24C3-324F-A61A-CA60A5D4C0E5}" destId="{BDDD9159-5617-A941-8B93-3ABD0A22643D}" srcOrd="0" destOrd="0" presId="urn:microsoft.com/office/officeart/2005/8/layout/orgChart1"/>
    <dgm:cxn modelId="{001FA762-9548-47FD-A60E-F22EE3C3D38A}" type="presParOf" srcId="{BDDD9159-5617-A941-8B93-3ABD0A22643D}" destId="{263F3209-4E8C-804F-8EBE-1F6B6CD0745F}" srcOrd="0" destOrd="0" presId="urn:microsoft.com/office/officeart/2005/8/layout/orgChart1"/>
    <dgm:cxn modelId="{AF7C7268-2933-48D8-963E-5DA6CB1CC602}" type="presParOf" srcId="{BDDD9159-5617-A941-8B93-3ABD0A22643D}" destId="{69E422D3-30F8-B644-8011-D676FF41773B}" srcOrd="1" destOrd="0" presId="urn:microsoft.com/office/officeart/2005/8/layout/orgChart1"/>
    <dgm:cxn modelId="{16B8DBEA-BD5D-4FA2-861E-2AE645A15A5B}" type="presParOf" srcId="{7FF1F77A-24C3-324F-A61A-CA60A5D4C0E5}" destId="{7082B73C-7BF0-5540-8486-EFC50624B325}" srcOrd="1" destOrd="0" presId="urn:microsoft.com/office/officeart/2005/8/layout/orgChart1"/>
    <dgm:cxn modelId="{F5B296D3-9045-4AC5-B2E0-78CAA115C748}" type="presParOf" srcId="{7FF1F77A-24C3-324F-A61A-CA60A5D4C0E5}" destId="{6F1C53B0-8445-BB46-8094-63544D1A7933}" srcOrd="2" destOrd="0" presId="urn:microsoft.com/office/officeart/2005/8/layout/orgChart1"/>
    <dgm:cxn modelId="{E387573E-12F4-4655-94C4-B5B161C8277B}" type="presParOf" srcId="{E1DCAD17-957B-E946-B3D6-4E192087AD39}" destId="{AFB2B065-D9D9-A241-94E2-56A0EEBDF74E}" srcOrd="2" destOrd="0" presId="urn:microsoft.com/office/officeart/2005/8/layout/orgChart1"/>
    <dgm:cxn modelId="{C1794DB9-2CD4-4703-BED2-95F878B29A09}" type="presParOf" srcId="{737ED02E-D0BA-D449-B32E-B67D58B243BC}" destId="{4C692222-535A-954C-B251-F4016742FF79}" srcOrd="2" destOrd="0" presId="urn:microsoft.com/office/officeart/2005/8/layout/orgChart1"/>
    <dgm:cxn modelId="{EDA013A5-4BA8-4D04-91DD-D60FB590E66A}" type="presParOf" srcId="{750B6641-EEF1-0246-A660-4156A3989922}" destId="{EDCE9223-0C32-6D46-A9A1-DE7348BC26CD}" srcOrd="2" destOrd="0" presId="urn:microsoft.com/office/officeart/2005/8/layout/orgChart1"/>
    <dgm:cxn modelId="{172AC3BC-BAF5-4492-B590-7783CFF4EB0F}" type="presParOf" srcId="{750B6641-EEF1-0246-A660-4156A3989922}" destId="{04B1E3BD-5066-004A-9802-A323883EFE8D}" srcOrd="3" destOrd="0" presId="urn:microsoft.com/office/officeart/2005/8/layout/orgChart1"/>
    <dgm:cxn modelId="{BF2E4029-7BE1-4175-834C-F57CE16F8705}" type="presParOf" srcId="{04B1E3BD-5066-004A-9802-A323883EFE8D}" destId="{FDB18DF6-C65B-F04D-B39B-250FA48CC493}" srcOrd="0" destOrd="0" presId="urn:microsoft.com/office/officeart/2005/8/layout/orgChart1"/>
    <dgm:cxn modelId="{47E24EA8-A5F8-42CC-9991-EBF93E708FDD}" type="presParOf" srcId="{FDB18DF6-C65B-F04D-B39B-250FA48CC493}" destId="{26F1E405-2D3E-3546-891D-B332E8B5CA71}" srcOrd="0" destOrd="0" presId="urn:microsoft.com/office/officeart/2005/8/layout/orgChart1"/>
    <dgm:cxn modelId="{F6C5823A-239F-4587-8DAA-A7C09235E3C8}" type="presParOf" srcId="{FDB18DF6-C65B-F04D-B39B-250FA48CC493}" destId="{600D43A5-F5F4-194C-B94C-97FA3E7AA3FF}" srcOrd="1" destOrd="0" presId="urn:microsoft.com/office/officeart/2005/8/layout/orgChart1"/>
    <dgm:cxn modelId="{5B600906-EE0A-4C06-8647-3F67A3986446}" type="presParOf" srcId="{04B1E3BD-5066-004A-9802-A323883EFE8D}" destId="{1E899145-952A-4041-AAF5-70EA33A6FBE5}" srcOrd="1" destOrd="0" presId="urn:microsoft.com/office/officeart/2005/8/layout/orgChart1"/>
    <dgm:cxn modelId="{0C8A4C75-CEC1-49DF-A8BA-B40E87F62AEB}" type="presParOf" srcId="{04B1E3BD-5066-004A-9802-A323883EFE8D}" destId="{2B1B4258-5A6B-CD43-8E83-59F1607EFBDB}" srcOrd="2" destOrd="0" presId="urn:microsoft.com/office/officeart/2005/8/layout/orgChart1"/>
    <dgm:cxn modelId="{631C07C5-30C0-48E6-8C32-2B30D7A753D5}" type="presParOf" srcId="{B3B72AE6-F387-A04D-9EE9-70DFCAB37291}" destId="{C628C748-7934-8E4E-8ACE-86B94804ED2A}"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CE9223-0C32-6D46-A9A1-DE7348BC26CD}">
      <dsp:nvSpPr>
        <dsp:cNvPr id="0" name=""/>
        <dsp:cNvSpPr/>
      </dsp:nvSpPr>
      <dsp:spPr>
        <a:xfrm>
          <a:off x="3258861" y="829824"/>
          <a:ext cx="1267616" cy="569368"/>
        </a:xfrm>
        <a:custGeom>
          <a:avLst/>
          <a:gdLst/>
          <a:ahLst/>
          <a:cxnLst/>
          <a:rect l="0" t="0" r="0" b="0"/>
          <a:pathLst>
            <a:path>
              <a:moveTo>
                <a:pt x="0" y="0"/>
              </a:moveTo>
              <a:lnTo>
                <a:pt x="0" y="284684"/>
              </a:lnTo>
              <a:lnTo>
                <a:pt x="1267616" y="284684"/>
              </a:lnTo>
              <a:lnTo>
                <a:pt x="1267616" y="5693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8B6330-E932-A140-ABE3-E47476CB834A}">
      <dsp:nvSpPr>
        <dsp:cNvPr id="0" name=""/>
        <dsp:cNvSpPr/>
      </dsp:nvSpPr>
      <dsp:spPr>
        <a:xfrm>
          <a:off x="1175007" y="4204265"/>
          <a:ext cx="462945" cy="1016776"/>
        </a:xfrm>
        <a:custGeom>
          <a:avLst/>
          <a:gdLst/>
          <a:ahLst/>
          <a:cxnLst/>
          <a:rect l="0" t="0" r="0" b="0"/>
          <a:pathLst>
            <a:path>
              <a:moveTo>
                <a:pt x="0" y="0"/>
              </a:moveTo>
              <a:lnTo>
                <a:pt x="0" y="1016776"/>
              </a:lnTo>
              <a:lnTo>
                <a:pt x="462945" y="10167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A72758-0ED6-D845-BD63-900CBBDB52D2}">
      <dsp:nvSpPr>
        <dsp:cNvPr id="0" name=""/>
        <dsp:cNvSpPr/>
      </dsp:nvSpPr>
      <dsp:spPr>
        <a:xfrm>
          <a:off x="2009172" y="2333051"/>
          <a:ext cx="91440" cy="569368"/>
        </a:xfrm>
        <a:custGeom>
          <a:avLst/>
          <a:gdLst/>
          <a:ahLst/>
          <a:cxnLst/>
          <a:rect l="0" t="0" r="0" b="0"/>
          <a:pathLst>
            <a:path>
              <a:moveTo>
                <a:pt x="45720" y="0"/>
              </a:moveTo>
              <a:lnTo>
                <a:pt x="45720" y="5693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3A0E9-757A-084A-B4B9-4449707899EC}">
      <dsp:nvSpPr>
        <dsp:cNvPr id="0" name=""/>
        <dsp:cNvSpPr/>
      </dsp:nvSpPr>
      <dsp:spPr>
        <a:xfrm>
          <a:off x="2054892" y="829824"/>
          <a:ext cx="1203969" cy="569368"/>
        </a:xfrm>
        <a:custGeom>
          <a:avLst/>
          <a:gdLst/>
          <a:ahLst/>
          <a:cxnLst/>
          <a:rect l="0" t="0" r="0" b="0"/>
          <a:pathLst>
            <a:path>
              <a:moveTo>
                <a:pt x="1203969" y="0"/>
              </a:moveTo>
              <a:lnTo>
                <a:pt x="1203969" y="284684"/>
              </a:lnTo>
              <a:lnTo>
                <a:pt x="0" y="284684"/>
              </a:lnTo>
              <a:lnTo>
                <a:pt x="0" y="5693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AE7DE-487B-5847-BF8D-5A10EC4A077C}">
      <dsp:nvSpPr>
        <dsp:cNvPr id="0" name=""/>
        <dsp:cNvSpPr/>
      </dsp:nvSpPr>
      <dsp:spPr>
        <a:xfrm>
          <a:off x="2390318" y="2939"/>
          <a:ext cx="1737087" cy="8268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b="1" kern="1200"/>
            <a:t>728 </a:t>
          </a:r>
        </a:p>
        <a:p>
          <a:pPr marL="0" lvl="0" indent="0" algn="ctr" defTabSz="533400">
            <a:lnSpc>
              <a:spcPct val="90000"/>
            </a:lnSpc>
            <a:spcBef>
              <a:spcPct val="0"/>
            </a:spcBef>
            <a:spcAft>
              <a:spcPct val="35000"/>
            </a:spcAft>
            <a:buNone/>
          </a:pPr>
          <a:r>
            <a:rPr lang="fr-FR" sz="1200" b="1" kern="1200"/>
            <a:t>Nouveau-nés admis en Néonatologie</a:t>
          </a:r>
        </a:p>
      </dsp:txBody>
      <dsp:txXfrm>
        <a:off x="2390318" y="2939"/>
        <a:ext cx="1737087" cy="826885"/>
      </dsp:txXfrm>
    </dsp:sp>
    <dsp:sp modelId="{1EA9BF1A-985A-7344-BB6E-40ADE8F960E6}">
      <dsp:nvSpPr>
        <dsp:cNvPr id="0" name=""/>
        <dsp:cNvSpPr/>
      </dsp:nvSpPr>
      <dsp:spPr>
        <a:xfrm>
          <a:off x="1071959" y="1399192"/>
          <a:ext cx="1965865" cy="9338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b="1" kern="1200"/>
            <a:t>156</a:t>
          </a:r>
        </a:p>
        <a:p>
          <a:pPr marL="0" lvl="0" indent="0" algn="ctr" defTabSz="533400">
            <a:lnSpc>
              <a:spcPct val="90000"/>
            </a:lnSpc>
            <a:spcBef>
              <a:spcPct val="0"/>
            </a:spcBef>
            <a:spcAft>
              <a:spcPct val="35000"/>
            </a:spcAft>
            <a:buNone/>
          </a:pPr>
          <a:r>
            <a:rPr lang="fr-FR" sz="1200" b="1" kern="1200"/>
            <a:t>Nouveau-nés Ictériques</a:t>
          </a:r>
        </a:p>
      </dsp:txBody>
      <dsp:txXfrm>
        <a:off x="1071959" y="1399192"/>
        <a:ext cx="1965865" cy="933858"/>
      </dsp:txXfrm>
    </dsp:sp>
    <dsp:sp modelId="{8EBB9037-785F-6449-90B6-275697154E8B}">
      <dsp:nvSpPr>
        <dsp:cNvPr id="0" name=""/>
        <dsp:cNvSpPr/>
      </dsp:nvSpPr>
      <dsp:spPr>
        <a:xfrm>
          <a:off x="955036" y="2902419"/>
          <a:ext cx="2199712" cy="1301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b="1" kern="1200"/>
            <a:t>Exlus: 20 </a:t>
          </a:r>
        </a:p>
        <a:p>
          <a:pPr marL="0" lvl="0" indent="0" algn="l" defTabSz="533400">
            <a:lnSpc>
              <a:spcPct val="90000"/>
            </a:lnSpc>
            <a:spcBef>
              <a:spcPct val="0"/>
            </a:spcBef>
            <a:spcAft>
              <a:spcPct val="35000"/>
            </a:spcAft>
            <a:buNone/>
          </a:pPr>
          <a:r>
            <a:rPr lang="fr-FR" sz="1200" b="1" kern="1200"/>
            <a:t>Ictère avec Bilirubine à prédominance direct et/ou non éligible à la photothérapie</a:t>
          </a:r>
        </a:p>
      </dsp:txBody>
      <dsp:txXfrm>
        <a:off x="955036" y="2902419"/>
        <a:ext cx="2199712" cy="1301846"/>
      </dsp:txXfrm>
    </dsp:sp>
    <dsp:sp modelId="{263F3209-4E8C-804F-8EBE-1F6B6CD0745F}">
      <dsp:nvSpPr>
        <dsp:cNvPr id="0" name=""/>
        <dsp:cNvSpPr/>
      </dsp:nvSpPr>
      <dsp:spPr>
        <a:xfrm>
          <a:off x="1637952" y="4507671"/>
          <a:ext cx="1874305" cy="1426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b="1" kern="1200"/>
            <a:t>136</a:t>
          </a:r>
        </a:p>
        <a:p>
          <a:pPr marL="0" lvl="0" indent="0" algn="ctr" defTabSz="533400">
            <a:lnSpc>
              <a:spcPct val="90000"/>
            </a:lnSpc>
            <a:spcBef>
              <a:spcPct val="0"/>
            </a:spcBef>
            <a:spcAft>
              <a:spcPct val="35000"/>
            </a:spcAft>
            <a:buNone/>
          </a:pPr>
          <a:r>
            <a:rPr lang="fr-FR" sz="1200" b="1" kern="1200"/>
            <a:t>Nouveau-nés Ictériques avec Bilirubine à prominance indirect et éligibles à la photothérapie</a:t>
          </a:r>
        </a:p>
      </dsp:txBody>
      <dsp:txXfrm>
        <a:off x="1637952" y="4507671"/>
        <a:ext cx="1874305" cy="1426741"/>
      </dsp:txXfrm>
    </dsp:sp>
    <dsp:sp modelId="{26F1E405-2D3E-3546-891D-B332E8B5CA71}">
      <dsp:nvSpPr>
        <dsp:cNvPr id="0" name=""/>
        <dsp:cNvSpPr/>
      </dsp:nvSpPr>
      <dsp:spPr>
        <a:xfrm>
          <a:off x="3607193" y="1399192"/>
          <a:ext cx="1838570" cy="9707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b="1" kern="1200"/>
            <a:t>572</a:t>
          </a:r>
        </a:p>
        <a:p>
          <a:pPr marL="0" lvl="0" indent="0" algn="ctr" defTabSz="533400">
            <a:lnSpc>
              <a:spcPct val="90000"/>
            </a:lnSpc>
            <a:spcBef>
              <a:spcPct val="0"/>
            </a:spcBef>
            <a:spcAft>
              <a:spcPct val="35000"/>
            </a:spcAft>
            <a:buNone/>
          </a:pPr>
          <a:r>
            <a:rPr lang="fr-FR" sz="1200" b="1" kern="1200"/>
            <a:t>Nouveau-Nés sans ictères</a:t>
          </a:r>
        </a:p>
      </dsp:txBody>
      <dsp:txXfrm>
        <a:off x="3607193" y="1399192"/>
        <a:ext cx="1838570" cy="9707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95D0C-672A-4A7E-9B35-36A34F68D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41182</Words>
  <Characters>226505</Characters>
  <Application>Microsoft Office Word</Application>
  <DocSecurity>0</DocSecurity>
  <Lines>1887</Lines>
  <Paragraphs>534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oreste battisti</cp:lastModifiedBy>
  <cp:revision>2</cp:revision>
  <cp:lastPrinted>2021-04-05T13:06:00Z</cp:lastPrinted>
  <dcterms:created xsi:type="dcterms:W3CDTF">2021-11-30T10:40:00Z</dcterms:created>
  <dcterms:modified xsi:type="dcterms:W3CDTF">2021-11-30T10:40:00Z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91e2e6c3-a6d1-30e5-a7af-4c1642b271a4</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