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76B3B" w14:textId="0EAC124D" w:rsidR="005D5461" w:rsidRPr="007876A1" w:rsidRDefault="005D5461" w:rsidP="00023E99">
      <w:pPr>
        <w:pStyle w:val="Articlecorps"/>
        <w:jc w:val="center"/>
        <w:rPr>
          <w:rFonts w:cs="Times New Roman"/>
        </w:rPr>
      </w:pPr>
      <w:r w:rsidRPr="007876A1">
        <w:rPr>
          <w:rFonts w:ascii="Arial" w:hAnsi="Arial" w:cs="Arial"/>
          <w:b/>
          <w:bCs/>
        </w:rPr>
        <w:t>MAIN DOCUMENT</w:t>
      </w:r>
      <w:r w:rsidRPr="007876A1">
        <w:rPr>
          <w:rFonts w:ascii="Arial" w:hAnsi="Arial" w:cs="Arial"/>
          <w:b/>
          <w:bCs/>
          <w:u w:val="single"/>
        </w:rPr>
        <w:br/>
      </w:r>
      <w:r w:rsidRPr="007876A1">
        <w:rPr>
          <w:rFonts w:ascii="Arial" w:hAnsi="Arial" w:cs="Arial"/>
          <w:b/>
          <w:bCs/>
        </w:rPr>
        <w:t xml:space="preserve">TITLE: </w:t>
      </w:r>
      <w:r w:rsidRPr="007876A1">
        <w:rPr>
          <w:rFonts w:cs="Times New Roman"/>
        </w:rPr>
        <w:t xml:space="preserve">A new </w:t>
      </w:r>
      <w:r w:rsidR="00707826" w:rsidRPr="007876A1">
        <w:rPr>
          <w:rFonts w:cs="Times New Roman"/>
        </w:rPr>
        <w:t>field-</w:t>
      </w:r>
      <w:r w:rsidR="00D3470B" w:rsidRPr="007876A1">
        <w:rPr>
          <w:rFonts w:cs="Times New Roman"/>
        </w:rPr>
        <w:t xml:space="preserve">test for assessing </w:t>
      </w:r>
      <w:r w:rsidR="00FD0C9D" w:rsidRPr="007876A1">
        <w:rPr>
          <w:rFonts w:cs="Times New Roman"/>
        </w:rPr>
        <w:t xml:space="preserve">the </w:t>
      </w:r>
      <w:r w:rsidR="00D3470B" w:rsidRPr="007876A1">
        <w:rPr>
          <w:rFonts w:cs="Times New Roman"/>
        </w:rPr>
        <w:t>medial</w:t>
      </w:r>
      <w:r w:rsidR="00AD04DA" w:rsidRPr="007876A1">
        <w:rPr>
          <w:rFonts w:cs="Times New Roman"/>
        </w:rPr>
        <w:t xml:space="preserve"> and </w:t>
      </w:r>
      <w:r w:rsidRPr="007876A1">
        <w:rPr>
          <w:rFonts w:cs="Times New Roman"/>
        </w:rPr>
        <w:t>lateral hamstring strength</w:t>
      </w:r>
      <w:r w:rsidR="00E80728" w:rsidRPr="007876A1">
        <w:rPr>
          <w:rFonts w:cs="Times New Roman"/>
        </w:rPr>
        <w:t xml:space="preserve"> at long-</w:t>
      </w:r>
      <w:r w:rsidR="00DD0E1E" w:rsidRPr="007876A1">
        <w:rPr>
          <w:rFonts w:cs="Times New Roman"/>
        </w:rPr>
        <w:t>muscle length</w:t>
      </w:r>
    </w:p>
    <w:p w14:paraId="19095ED1" w14:textId="71E71E2E" w:rsidR="00D55689" w:rsidRPr="00327D82" w:rsidRDefault="00D55689" w:rsidP="00D55689">
      <w:pPr>
        <w:spacing w:line="360" w:lineRule="auto"/>
        <w:jc w:val="center"/>
        <w:rPr>
          <w:rFonts w:ascii="Times New Roman" w:hAnsi="Times New Roman" w:cs="Times New Roman"/>
          <w:sz w:val="24"/>
          <w:szCs w:val="24"/>
          <w:lang w:val="en-US"/>
        </w:rPr>
      </w:pPr>
      <w:r w:rsidRPr="00327D82">
        <w:rPr>
          <w:rFonts w:ascii="Times New Roman" w:hAnsi="Times New Roman" w:cs="Times New Roman"/>
          <w:i/>
          <w:sz w:val="24"/>
          <w:szCs w:val="24"/>
        </w:rPr>
        <w:t xml:space="preserve">A. </w:t>
      </w:r>
      <w:r>
        <w:rPr>
          <w:rFonts w:ascii="Times New Roman" w:hAnsi="Times New Roman" w:cs="Times New Roman"/>
          <w:i/>
          <w:sz w:val="24"/>
          <w:szCs w:val="24"/>
        </w:rPr>
        <w:t xml:space="preserve">Ferré </w:t>
      </w:r>
      <w:r>
        <w:rPr>
          <w:rFonts w:ascii="Times New Roman" w:hAnsi="Times New Roman" w:cs="Times New Roman"/>
          <w:i/>
          <w:sz w:val="24"/>
          <w:szCs w:val="24"/>
          <w:vertAlign w:val="superscript"/>
        </w:rPr>
        <w:t>1,</w:t>
      </w:r>
      <w:r w:rsidRPr="00327D82">
        <w:rPr>
          <w:rFonts w:ascii="Times New Roman" w:hAnsi="Times New Roman" w:cs="Times New Roman"/>
          <w:i/>
          <w:sz w:val="24"/>
          <w:szCs w:val="24"/>
          <w:vertAlign w:val="superscript"/>
        </w:rPr>
        <w:t>2</w:t>
      </w:r>
      <w:r w:rsidRPr="00327D82">
        <w:rPr>
          <w:rFonts w:ascii="Times New Roman" w:hAnsi="Times New Roman" w:cs="Times New Roman"/>
          <w:i/>
          <w:sz w:val="24"/>
          <w:szCs w:val="24"/>
        </w:rPr>
        <w:t>, F. Delvaux</w:t>
      </w:r>
      <w:r w:rsidRPr="00327D82">
        <w:rPr>
          <w:rFonts w:ascii="Times New Roman" w:hAnsi="Times New Roman" w:cs="Times New Roman"/>
          <w:i/>
          <w:sz w:val="24"/>
          <w:szCs w:val="24"/>
          <w:vertAlign w:val="superscript"/>
        </w:rPr>
        <w:t>1,2</w:t>
      </w:r>
      <w:r w:rsidRPr="00327D82">
        <w:rPr>
          <w:rFonts w:ascii="Times New Roman" w:hAnsi="Times New Roman" w:cs="Times New Roman"/>
          <w:i/>
          <w:sz w:val="24"/>
          <w:szCs w:val="24"/>
        </w:rPr>
        <w:t xml:space="preserve">, C. Schwartz </w:t>
      </w:r>
      <w:r w:rsidRPr="00327D82">
        <w:rPr>
          <w:rFonts w:ascii="Times New Roman" w:hAnsi="Times New Roman" w:cs="Times New Roman"/>
          <w:i/>
          <w:sz w:val="24"/>
          <w:szCs w:val="24"/>
          <w:vertAlign w:val="superscript"/>
        </w:rPr>
        <w:t>1,2</w:t>
      </w:r>
      <w:r w:rsidRPr="00327D82">
        <w:rPr>
          <w:rFonts w:ascii="Times New Roman" w:hAnsi="Times New Roman" w:cs="Times New Roman"/>
          <w:i/>
          <w:sz w:val="24"/>
          <w:szCs w:val="24"/>
        </w:rPr>
        <w:t xml:space="preserve">, </w:t>
      </w:r>
      <w:r w:rsidRPr="00327D82">
        <w:rPr>
          <w:rFonts w:ascii="Times New Roman" w:hAnsi="Times New Roman" w:cs="Times New Roman"/>
          <w:i/>
          <w:sz w:val="24"/>
          <w:szCs w:val="24"/>
          <w:lang w:val="en-US"/>
        </w:rPr>
        <w:t>J-L. Croisier</w:t>
      </w:r>
      <w:r w:rsidRPr="00327D82">
        <w:rPr>
          <w:rFonts w:ascii="Times New Roman" w:hAnsi="Times New Roman" w:cs="Times New Roman"/>
          <w:i/>
          <w:sz w:val="24"/>
          <w:szCs w:val="24"/>
          <w:vertAlign w:val="superscript"/>
          <w:lang w:val="en-US"/>
        </w:rPr>
        <w:t>1</w:t>
      </w:r>
      <w:proofErr w:type="gramStart"/>
      <w:r w:rsidRPr="00327D82">
        <w:rPr>
          <w:rFonts w:ascii="Times New Roman" w:hAnsi="Times New Roman" w:cs="Times New Roman"/>
          <w:i/>
          <w:sz w:val="24"/>
          <w:szCs w:val="24"/>
          <w:vertAlign w:val="superscript"/>
          <w:lang w:val="en-US"/>
        </w:rPr>
        <w:t>,2</w:t>
      </w:r>
      <w:proofErr w:type="gramEnd"/>
    </w:p>
    <w:p w14:paraId="5B97DCFD" w14:textId="212E9854" w:rsidR="00D55689" w:rsidRPr="00D55689" w:rsidRDefault="00D55689" w:rsidP="00D55689">
      <w:pPr>
        <w:spacing w:line="360" w:lineRule="auto"/>
        <w:jc w:val="center"/>
        <w:rPr>
          <w:rFonts w:ascii="Times New Roman" w:hAnsi="Times New Roman" w:cs="Times New Roman"/>
          <w:sz w:val="24"/>
          <w:szCs w:val="24"/>
          <w:lang w:val="en-US"/>
        </w:rPr>
      </w:pPr>
      <w:r w:rsidRPr="00327D82">
        <w:rPr>
          <w:rFonts w:ascii="Times New Roman" w:hAnsi="Times New Roman" w:cs="Times New Roman"/>
          <w:sz w:val="24"/>
          <w:szCs w:val="24"/>
          <w:vertAlign w:val="superscript"/>
          <w:lang w:val="en-US"/>
        </w:rPr>
        <w:t>1</w:t>
      </w:r>
      <w:r w:rsidRPr="00327D82">
        <w:rPr>
          <w:rFonts w:ascii="Times New Roman" w:hAnsi="Times New Roman" w:cs="Times New Roman"/>
          <w:sz w:val="24"/>
          <w:szCs w:val="24"/>
          <w:lang w:val="en-US"/>
        </w:rPr>
        <w:t xml:space="preserve">Department of </w:t>
      </w:r>
      <w:r>
        <w:rPr>
          <w:rFonts w:ascii="Times New Roman" w:hAnsi="Times New Roman" w:cs="Times New Roman"/>
          <w:sz w:val="24"/>
          <w:szCs w:val="24"/>
          <w:lang w:val="en-US"/>
        </w:rPr>
        <w:t>Physical Activity and Rehabilitation</w:t>
      </w:r>
      <w:r w:rsidRPr="00327D82">
        <w:rPr>
          <w:rFonts w:ascii="Times New Roman" w:hAnsi="Times New Roman" w:cs="Times New Roman"/>
          <w:sz w:val="24"/>
          <w:szCs w:val="24"/>
          <w:lang w:val="en-US"/>
        </w:rPr>
        <w:t xml:space="preserve"> </w:t>
      </w:r>
      <w:proofErr w:type="gramStart"/>
      <w:r w:rsidRPr="00327D82">
        <w:rPr>
          <w:rFonts w:ascii="Times New Roman" w:hAnsi="Times New Roman" w:cs="Times New Roman"/>
          <w:sz w:val="24"/>
          <w:szCs w:val="24"/>
          <w:lang w:val="en-US"/>
        </w:rPr>
        <w:t xml:space="preserve">Sciences </w:t>
      </w:r>
      <w:r w:rsidRPr="00327D82">
        <w:rPr>
          <w:rFonts w:ascii="Times New Roman" w:hAnsi="Times New Roman" w:cs="Times New Roman"/>
          <w:sz w:val="24"/>
          <w:szCs w:val="24"/>
          <w:vertAlign w:val="superscript"/>
          <w:lang w:val="en-US"/>
        </w:rPr>
        <w:t xml:space="preserve"> </w:t>
      </w:r>
      <w:r w:rsidRPr="00327D82">
        <w:rPr>
          <w:rFonts w:ascii="Times New Roman" w:hAnsi="Times New Roman" w:cs="Times New Roman"/>
          <w:sz w:val="24"/>
          <w:szCs w:val="24"/>
          <w:lang w:val="en-US"/>
        </w:rPr>
        <w:t>and</w:t>
      </w:r>
      <w:proofErr w:type="gramEnd"/>
      <w:r w:rsidRPr="00327D82">
        <w:rPr>
          <w:rFonts w:ascii="Times New Roman" w:hAnsi="Times New Roman" w:cs="Times New Roman"/>
          <w:sz w:val="24"/>
          <w:szCs w:val="24"/>
          <w:lang w:val="en-US"/>
        </w:rPr>
        <w:t xml:space="preserve"> </w:t>
      </w:r>
      <w:r w:rsidRPr="00327D82">
        <w:rPr>
          <w:rFonts w:ascii="Times New Roman" w:hAnsi="Times New Roman" w:cs="Times New Roman"/>
          <w:sz w:val="24"/>
          <w:szCs w:val="24"/>
          <w:vertAlign w:val="superscript"/>
          <w:lang w:val="en-US"/>
        </w:rPr>
        <w:t>2</w:t>
      </w:r>
      <w:r w:rsidRPr="00327D82">
        <w:rPr>
          <w:rFonts w:ascii="Times New Roman" w:hAnsi="Times New Roman" w:cs="Times New Roman"/>
          <w:sz w:val="24"/>
          <w:szCs w:val="24"/>
          <w:lang w:val="en-US"/>
        </w:rPr>
        <w:t>LAM-Motion Lab, University of Liège (ULiège), Liège, Belgium</w:t>
      </w:r>
    </w:p>
    <w:p w14:paraId="26699BAA" w14:textId="68334B6D" w:rsidR="005D5461" w:rsidRPr="007876A1" w:rsidRDefault="005D5461" w:rsidP="005D5461">
      <w:pPr>
        <w:pStyle w:val="Articlecorps"/>
        <w:rPr>
          <w:b/>
          <w:bCs/>
        </w:rPr>
      </w:pPr>
      <w:r w:rsidRPr="007876A1">
        <w:rPr>
          <w:b/>
          <w:bCs/>
        </w:rPr>
        <w:t>Abstract words count:</w:t>
      </w:r>
      <w:r w:rsidR="00E16669" w:rsidRPr="007876A1">
        <w:rPr>
          <w:b/>
          <w:bCs/>
        </w:rPr>
        <w:t xml:space="preserve"> </w:t>
      </w:r>
      <w:r w:rsidR="00F875F3" w:rsidRPr="007876A1">
        <w:rPr>
          <w:b/>
          <w:bCs/>
        </w:rPr>
        <w:t>197</w:t>
      </w:r>
    </w:p>
    <w:p w14:paraId="3C858B72" w14:textId="11559818" w:rsidR="005D5461" w:rsidRPr="007876A1" w:rsidRDefault="005D5461" w:rsidP="005D5461">
      <w:pPr>
        <w:pStyle w:val="Articlecorps"/>
        <w:rPr>
          <w:b/>
          <w:bCs/>
        </w:rPr>
      </w:pPr>
      <w:r w:rsidRPr="007876A1">
        <w:rPr>
          <w:b/>
          <w:bCs/>
        </w:rPr>
        <w:t xml:space="preserve">Manuscript words count: </w:t>
      </w:r>
      <w:r w:rsidR="00E3754A" w:rsidRPr="007876A1">
        <w:rPr>
          <w:b/>
          <w:bCs/>
        </w:rPr>
        <w:t>3953</w:t>
      </w:r>
    </w:p>
    <w:p w14:paraId="6A436137" w14:textId="502D88BE" w:rsidR="005D5461" w:rsidRPr="007876A1" w:rsidRDefault="005D5461" w:rsidP="005D5461">
      <w:pPr>
        <w:pStyle w:val="Articlecorps"/>
        <w:rPr>
          <w:b/>
          <w:bCs/>
        </w:rPr>
      </w:pPr>
      <w:r w:rsidRPr="007876A1">
        <w:rPr>
          <w:b/>
          <w:bCs/>
        </w:rPr>
        <w:t xml:space="preserve">Number of figures: </w:t>
      </w:r>
      <w:r w:rsidR="002F7B5B" w:rsidRPr="007876A1">
        <w:rPr>
          <w:b/>
          <w:bCs/>
        </w:rPr>
        <w:t>1</w:t>
      </w:r>
    </w:p>
    <w:p w14:paraId="20CF21F0" w14:textId="58ED74F0" w:rsidR="005D5461" w:rsidRPr="007876A1" w:rsidRDefault="005D5461" w:rsidP="00643E44">
      <w:pPr>
        <w:pStyle w:val="Articlecorps"/>
        <w:rPr>
          <w:b/>
          <w:bCs/>
        </w:rPr>
      </w:pPr>
      <w:r w:rsidRPr="007876A1">
        <w:rPr>
          <w:b/>
          <w:bCs/>
        </w:rPr>
        <w:t xml:space="preserve">Number of Tables: </w:t>
      </w:r>
      <w:r w:rsidR="00DC3335" w:rsidRPr="007876A1">
        <w:rPr>
          <w:b/>
          <w:bCs/>
        </w:rPr>
        <w:t>6</w:t>
      </w:r>
    </w:p>
    <w:p w14:paraId="4555A797" w14:textId="77777777" w:rsidR="005D5461" w:rsidRPr="007876A1" w:rsidRDefault="005D5461" w:rsidP="005D5461">
      <w:pPr>
        <w:pStyle w:val="Paragraphedeliste"/>
        <w:tabs>
          <w:tab w:val="left" w:pos="1134"/>
        </w:tabs>
        <w:autoSpaceDE w:val="0"/>
        <w:autoSpaceDN w:val="0"/>
        <w:adjustRightInd w:val="0"/>
        <w:spacing w:after="0" w:line="480" w:lineRule="auto"/>
        <w:ind w:left="0"/>
        <w:rPr>
          <w:rFonts w:ascii="Times New Roman" w:hAnsi="Times New Roman" w:cs="Times New Roman"/>
          <w:szCs w:val="24"/>
          <w:lang w:val="en-GB"/>
        </w:rPr>
      </w:pPr>
    </w:p>
    <w:p w14:paraId="1994F54D" w14:textId="5E86346E" w:rsidR="00103F0C" w:rsidRPr="007876A1" w:rsidRDefault="004508A9" w:rsidP="005D5461">
      <w:pPr>
        <w:pStyle w:val="Paragraphedeliste"/>
        <w:tabs>
          <w:tab w:val="left" w:pos="1134"/>
        </w:tabs>
        <w:autoSpaceDE w:val="0"/>
        <w:autoSpaceDN w:val="0"/>
        <w:adjustRightInd w:val="0"/>
        <w:spacing w:after="0" w:line="480" w:lineRule="auto"/>
        <w:ind w:left="0"/>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This research investigates the influence of tibial rotations with knee flexion (KF) on the electromyographic (EMG) activities of hamstring muscles (HM) groups and the strength ratio between the medial and lateral rotation of the tibia. A cross-sectional design was employed to assess muscle activity, isometric strength and reliability. The research was conducted in a controlled laboratory environment. Thirty-six amateur male athletes were recruited as volunteers. The measures included peak muscle activity of the</w:t>
      </w:r>
      <w:r w:rsidRPr="00582A6A">
        <w:rPr>
          <w:rFonts w:ascii="Times New Roman" w:hAnsi="Times New Roman" w:cs="Times New Roman"/>
          <w:i/>
          <w:sz w:val="24"/>
          <w:szCs w:val="24"/>
          <w:lang w:val="en-GB"/>
        </w:rPr>
        <w:t xml:space="preserve"> </w:t>
      </w:r>
      <w:r w:rsidRPr="00582A6A">
        <w:rPr>
          <w:rFonts w:ascii="Times New Roman" w:hAnsi="Times New Roman" w:cs="Times New Roman"/>
          <w:sz w:val="24"/>
          <w:szCs w:val="24"/>
          <w:lang w:val="en-GB"/>
        </w:rPr>
        <w:t>semitendinosus and biceps femoris long head, the knee flexors’ isometric strength ratio and reliability. The isometric strength ratios of medial (MR) to lateral (LR) tibial rotations were 0.94 ± 0.17 at 90°, and 0.93 ± 0.10 at both 60° and 30° of KF angulation. Tibial position significantly influenced knee flexion strength as well as HM activity, irrespective of KF angulation. Specifically, biceps femoris activity increased by 33.6% in LR compared to MR, while semitendinosus activity increased by 22.6% in MR compared to LR. The Knee-Rotation test (KR-test) can be a valuable tool for evaluating both HM groups (ICC &gt; 0.87), and identifying the primary target for strengthening purposes during the injury prevention process. It provides insights for effective rehabilitation and training interventions.</w:t>
      </w:r>
    </w:p>
    <w:p w14:paraId="4F613AC7" w14:textId="5A093EA4" w:rsidR="005D5461" w:rsidRPr="007876A1" w:rsidRDefault="005D5461" w:rsidP="005D5461">
      <w:pPr>
        <w:spacing w:line="480" w:lineRule="auto"/>
        <w:rPr>
          <w:sz w:val="24"/>
          <w:szCs w:val="24"/>
        </w:rPr>
      </w:pPr>
      <w:r w:rsidRPr="007876A1">
        <w:rPr>
          <w:rFonts w:ascii="Arial" w:hAnsi="Arial" w:cs="Arial"/>
          <w:b/>
          <w:bCs/>
          <w:sz w:val="24"/>
          <w:szCs w:val="24"/>
          <w:highlight w:val="white"/>
        </w:rPr>
        <w:lastRenderedPageBreak/>
        <w:t>Keywords</w:t>
      </w:r>
      <w:r w:rsidRPr="007876A1">
        <w:rPr>
          <w:rFonts w:ascii="Arial" w:hAnsi="Arial" w:cs="Arial"/>
          <w:b/>
          <w:bCs/>
          <w:sz w:val="24"/>
          <w:szCs w:val="24"/>
        </w:rPr>
        <w:t>:</w:t>
      </w:r>
      <w:r w:rsidRPr="007876A1">
        <w:rPr>
          <w:rFonts w:ascii="Times New Roman" w:hAnsi="Times New Roman" w:cs="Times New Roman"/>
          <w:sz w:val="24"/>
          <w:szCs w:val="24"/>
          <w:lang w:val="en-GB"/>
        </w:rPr>
        <w:t xml:space="preserve"> </w:t>
      </w:r>
      <w:r w:rsidR="00274446" w:rsidRPr="007876A1">
        <w:rPr>
          <w:rFonts w:ascii="Times New Roman" w:hAnsi="Times New Roman" w:cs="Times New Roman"/>
          <w:i/>
          <w:sz w:val="24"/>
          <w:szCs w:val="24"/>
          <w:lang w:val="en-GB"/>
        </w:rPr>
        <w:t>hamstrings</w:t>
      </w:r>
      <w:r w:rsidRPr="007876A1">
        <w:rPr>
          <w:rFonts w:ascii="Times New Roman" w:hAnsi="Times New Roman" w:cs="Times New Roman"/>
          <w:i/>
          <w:sz w:val="24"/>
          <w:szCs w:val="24"/>
          <w:lang w:val="en-GB"/>
        </w:rPr>
        <w:t>, surface electromyography, reliability, isometric strength</w:t>
      </w:r>
      <w:r w:rsidRPr="007876A1">
        <w:rPr>
          <w:rFonts w:ascii="Times New Roman" w:hAnsi="Times New Roman" w:cs="Times New Roman"/>
          <w:szCs w:val="24"/>
          <w:lang w:val="en-GB"/>
        </w:rPr>
        <w:br w:type="page"/>
      </w:r>
    </w:p>
    <w:p w14:paraId="0829D4EE"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sz w:val="24"/>
          <w:szCs w:val="24"/>
          <w:lang w:val="en-GB"/>
        </w:rPr>
      </w:pPr>
      <w:r w:rsidRPr="00582A6A">
        <w:rPr>
          <w:rFonts w:ascii="Times New Roman" w:hAnsi="Times New Roman" w:cs="Times New Roman"/>
          <w:b/>
          <w:smallCaps/>
          <w:sz w:val="24"/>
          <w:szCs w:val="24"/>
          <w:lang w:val="en-GB"/>
        </w:rPr>
        <w:t>Introduction</w:t>
      </w:r>
    </w:p>
    <w:p w14:paraId="47DA6EAD"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The hamstring muscles (HM) have a high rate of injuries especially on the football field (12-15%) </w:t>
      </w:r>
      <w:proofErr w:type="gramStart"/>
      <w:r w:rsidRPr="00582A6A">
        <w:rPr>
          <w:rFonts w:ascii="Times New Roman" w:hAnsi="Times New Roman" w:cs="Times New Roman"/>
          <w:sz w:val="24"/>
          <w:szCs w:val="24"/>
          <w:lang w:val="en-GB"/>
        </w:rPr>
        <w:t>(</w:t>
      </w:r>
      <w:proofErr w:type="spellStart"/>
      <w:r w:rsidRPr="00582A6A">
        <w:rPr>
          <w:rFonts w:ascii="Times New Roman" w:hAnsi="Times New Roman" w:cs="Times New Roman"/>
          <w:sz w:val="24"/>
          <w:szCs w:val="24"/>
          <w:lang w:val="en-GB"/>
        </w:rPr>
        <w:t>Opar</w:t>
      </w:r>
      <w:proofErr w:type="spellEnd"/>
      <w:r w:rsidRPr="00582A6A">
        <w:rPr>
          <w:rFonts w:ascii="Times New Roman" w:hAnsi="Times New Roman" w:cs="Times New Roman"/>
          <w:sz w:val="24"/>
          <w:szCs w:val="24"/>
          <w:lang w:val="en-GB"/>
        </w:rPr>
        <w:t xml:space="preserve"> et al. 2012; Ekstrand et al. 2016) and represent as much as 50% of all injuries on the track and field (Alonso et al. 2012; </w:t>
      </w:r>
      <w:proofErr w:type="spellStart"/>
      <w:r w:rsidRPr="00582A6A">
        <w:rPr>
          <w:rFonts w:ascii="Times New Roman" w:hAnsi="Times New Roman" w:cs="Times New Roman"/>
          <w:sz w:val="24"/>
          <w:szCs w:val="24"/>
          <w:lang w:val="en-GB"/>
        </w:rPr>
        <w:t>Yeung</w:t>
      </w:r>
      <w:proofErr w:type="spellEnd"/>
      <w:r w:rsidRPr="00582A6A">
        <w:rPr>
          <w:rFonts w:ascii="Times New Roman" w:hAnsi="Times New Roman" w:cs="Times New Roman"/>
          <w:sz w:val="24"/>
          <w:szCs w:val="24"/>
          <w:lang w:val="en-GB"/>
        </w:rPr>
        <w:t xml:space="preserve"> et al. 2009).</w:t>
      </w:r>
      <w:proofErr w:type="gramEnd"/>
      <w:r w:rsidRPr="00582A6A">
        <w:rPr>
          <w:rFonts w:ascii="Times New Roman" w:hAnsi="Times New Roman" w:cs="Times New Roman"/>
          <w:sz w:val="24"/>
          <w:szCs w:val="24"/>
          <w:lang w:val="en-GB"/>
        </w:rPr>
        <w:t xml:space="preserve"> These injuries lead to major financial costs and negative impacts on both individual and global team performance. </w:t>
      </w:r>
      <w:r w:rsidRPr="00582A6A">
        <w:rPr>
          <w:rFonts w:ascii="Times New Roman" w:hAnsi="Times New Roman" w:cs="Times New Roman"/>
          <w:sz w:val="24"/>
          <w:szCs w:val="24"/>
          <w:lang w:val="en-US"/>
        </w:rPr>
        <w:t xml:space="preserve">During </w:t>
      </w:r>
      <w:r w:rsidRPr="00582A6A">
        <w:rPr>
          <w:rFonts w:ascii="Times New Roman" w:eastAsia="Times New Roman" w:hAnsi="Times New Roman" w:cs="Times New Roman"/>
          <w:sz w:val="24"/>
          <w:szCs w:val="24"/>
          <w:shd w:val="clear" w:color="auto" w:fill="FFFFFF"/>
          <w:lang w:val="en-US" w:eastAsia="fr-FR"/>
        </w:rPr>
        <w:t>the swing phase of sprinting when most of injuries occur</w:t>
      </w:r>
      <w:r w:rsidRPr="00582A6A">
        <w:rPr>
          <w:rFonts w:ascii="Times New Roman" w:hAnsi="Times New Roman" w:cs="Times New Roman"/>
          <w:sz w:val="24"/>
          <w:szCs w:val="24"/>
          <w:lang w:val="en-US"/>
        </w:rPr>
        <w:t>, significant eccentric force magnitude reach up to nine times body-weight with high HM activity, rapid leg movement speeds (&gt; 700°/s at the hip) and the muscle-tendon-unit (MTU) length</w:t>
      </w:r>
      <w:r w:rsidRPr="00582A6A">
        <w:rPr>
          <w:rFonts w:ascii="Times New Roman" w:eastAsia="Times New Roman" w:hAnsi="Times New Roman" w:cs="Times New Roman"/>
          <w:sz w:val="24"/>
          <w:szCs w:val="24"/>
          <w:shd w:val="clear" w:color="auto" w:fill="FFFFFF"/>
          <w:lang w:val="en-US" w:eastAsia="fr-FR"/>
        </w:rPr>
        <w:t xml:space="preserve"> increasing up to 13% </w:t>
      </w:r>
      <w:r w:rsidRPr="00582A6A">
        <w:rPr>
          <w:rFonts w:ascii="Times New Roman" w:hAnsi="Times New Roman" w:cs="Times New Roman"/>
          <w:sz w:val="24"/>
          <w:szCs w:val="24"/>
          <w:lang w:val="en-US"/>
        </w:rPr>
        <w:t>(</w:t>
      </w:r>
      <w:r w:rsidRPr="00582A6A">
        <w:rPr>
          <w:rFonts w:ascii="Times New Roman" w:eastAsia="Times New Roman" w:hAnsi="Times New Roman" w:cs="Times New Roman"/>
          <w:sz w:val="24"/>
          <w:szCs w:val="24"/>
          <w:shd w:val="clear" w:color="auto" w:fill="FFFFFF"/>
          <w:lang w:val="en-US" w:eastAsia="fr-FR"/>
        </w:rPr>
        <w:t>Dorn et al. 2012)</w:t>
      </w:r>
      <w:r w:rsidRPr="00582A6A">
        <w:rPr>
          <w:rFonts w:ascii="Times New Roman" w:hAnsi="Times New Roman" w:cs="Times New Roman"/>
          <w:sz w:val="24"/>
          <w:szCs w:val="24"/>
          <w:lang w:val="en-US"/>
        </w:rPr>
        <w:t xml:space="preserve">. </w:t>
      </w:r>
      <w:r w:rsidRPr="00582A6A">
        <w:rPr>
          <w:rFonts w:ascii="Times New Roman" w:hAnsi="Times New Roman" w:cs="Times New Roman"/>
          <w:sz w:val="24"/>
          <w:szCs w:val="24"/>
          <w:lang w:val="en-GB"/>
        </w:rPr>
        <w:t>HM injuries (HMI) are unevenly distributed between the medial (MH) and lateral (LH) HM groups, with 80% of the cases located in the upper third of the biceps femoris long head (BFlh), especially near the myotendinous junction (MTJ) (</w:t>
      </w:r>
      <w:proofErr w:type="spellStart"/>
      <w:r w:rsidRPr="00582A6A">
        <w:rPr>
          <w:rFonts w:ascii="Times New Roman" w:hAnsi="Times New Roman" w:cs="Times New Roman"/>
          <w:sz w:val="24"/>
          <w:szCs w:val="24"/>
          <w:lang w:val="en-GB"/>
        </w:rPr>
        <w:t>Verrall</w:t>
      </w:r>
      <w:proofErr w:type="spellEnd"/>
      <w:r w:rsidRPr="00582A6A">
        <w:rPr>
          <w:rFonts w:ascii="Times New Roman" w:hAnsi="Times New Roman" w:cs="Times New Roman"/>
          <w:sz w:val="24"/>
          <w:szCs w:val="24"/>
          <w:lang w:val="en-GB"/>
        </w:rPr>
        <w:t xml:space="preserve"> et al. 2003). This probably results from different muscle-tendon unit architecture compared to other hamstring muscles (</w:t>
      </w:r>
      <w:proofErr w:type="spellStart"/>
      <w:r w:rsidRPr="00582A6A">
        <w:rPr>
          <w:rFonts w:ascii="Times New Roman" w:hAnsi="Times New Roman" w:cs="Times New Roman"/>
          <w:sz w:val="24"/>
          <w:szCs w:val="24"/>
          <w:lang w:val="en-GB"/>
        </w:rPr>
        <w:t>Fiorentino</w:t>
      </w:r>
      <w:proofErr w:type="spellEnd"/>
      <w:r w:rsidRPr="00582A6A">
        <w:rPr>
          <w:rFonts w:ascii="Times New Roman" w:hAnsi="Times New Roman" w:cs="Times New Roman"/>
          <w:sz w:val="24"/>
          <w:szCs w:val="24"/>
          <w:lang w:val="en-GB"/>
        </w:rPr>
        <w:t xml:space="preserve"> et al. 2014; </w:t>
      </w:r>
      <w:proofErr w:type="spellStart"/>
      <w:r w:rsidRPr="00582A6A">
        <w:rPr>
          <w:rFonts w:ascii="Times New Roman" w:hAnsi="Times New Roman" w:cs="Times New Roman"/>
          <w:sz w:val="24"/>
          <w:szCs w:val="24"/>
          <w:lang w:val="en-GB"/>
        </w:rPr>
        <w:t>Kalkhoven</w:t>
      </w:r>
      <w:proofErr w:type="spellEnd"/>
      <w:r w:rsidRPr="00582A6A">
        <w:rPr>
          <w:rFonts w:ascii="Times New Roman" w:hAnsi="Times New Roman" w:cs="Times New Roman"/>
          <w:sz w:val="24"/>
          <w:szCs w:val="24"/>
          <w:lang w:val="en-GB"/>
        </w:rPr>
        <w:t xml:space="preserve"> et al. 2023). </w:t>
      </w:r>
      <w:r w:rsidRPr="00582A6A">
        <w:rPr>
          <w:rFonts w:ascii="Times New Roman" w:hAnsi="Times New Roman"/>
          <w:sz w:val="24"/>
          <w:szCs w:val="24"/>
          <w:lang w:val="en-US"/>
        </w:rPr>
        <w:t xml:space="preserve">Despite concentrated efforts to prevent or rehabilitate hamstring injuries over the last decade, HMI significant incidence remains high in both competition and training, with a high re-injury rate (18-30%) </w:t>
      </w:r>
      <w:proofErr w:type="gramStart"/>
      <w:r w:rsidRPr="00582A6A">
        <w:rPr>
          <w:rFonts w:ascii="Times New Roman" w:hAnsi="Times New Roman"/>
          <w:sz w:val="24"/>
          <w:szCs w:val="24"/>
          <w:lang w:val="en-US"/>
        </w:rPr>
        <w:t>(Ekstrand et al. 2016).</w:t>
      </w:r>
      <w:proofErr w:type="gramEnd"/>
      <w:r w:rsidRPr="00582A6A">
        <w:rPr>
          <w:rFonts w:ascii="Times New Roman" w:hAnsi="Times New Roman"/>
          <w:sz w:val="24"/>
          <w:szCs w:val="24"/>
          <w:lang w:val="en-US"/>
        </w:rPr>
        <w:t xml:space="preserve"> </w:t>
      </w:r>
    </w:p>
    <w:p w14:paraId="21D4AFE0"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From a rehabilitation perspective, the strength assessment of the HM is crucial for detecting any strength weakness that could potentially increase the risk of HMI (Van der Horst et al. 2017). For this purpose, current evaluation methods use an isokinetic dynamometer (</w:t>
      </w:r>
      <w:proofErr w:type="spellStart"/>
      <w:r w:rsidRPr="00582A6A">
        <w:rPr>
          <w:rFonts w:ascii="Times New Roman" w:hAnsi="Times New Roman" w:cs="Times New Roman"/>
          <w:sz w:val="24"/>
          <w:szCs w:val="24"/>
          <w:lang w:val="en-GB"/>
        </w:rPr>
        <w:t>Croisier</w:t>
      </w:r>
      <w:proofErr w:type="spellEnd"/>
      <w:r w:rsidRPr="00582A6A">
        <w:rPr>
          <w:rFonts w:ascii="Times New Roman" w:hAnsi="Times New Roman" w:cs="Times New Roman"/>
          <w:sz w:val="24"/>
          <w:szCs w:val="24"/>
          <w:lang w:val="en-GB"/>
        </w:rPr>
        <w:t xml:space="preserve"> et al. 2004, 2008), hand-held dynamometer (Lahti et al. 2020) or functional tests such as the single leg hamstring bridge test or force-velocity-power profiling and kinematic analysis during sprinting (</w:t>
      </w:r>
      <w:proofErr w:type="spellStart"/>
      <w:r w:rsidRPr="00582A6A">
        <w:rPr>
          <w:rFonts w:ascii="Times New Roman" w:hAnsi="Times New Roman" w:cs="Times New Roman"/>
          <w:sz w:val="24"/>
          <w:szCs w:val="24"/>
          <w:lang w:val="en-GB"/>
        </w:rPr>
        <w:t>Freckleton</w:t>
      </w:r>
      <w:proofErr w:type="spellEnd"/>
      <w:r w:rsidRPr="00582A6A">
        <w:rPr>
          <w:rFonts w:ascii="Times New Roman" w:hAnsi="Times New Roman" w:cs="Times New Roman"/>
          <w:sz w:val="24"/>
          <w:szCs w:val="24"/>
          <w:lang w:val="en-GB"/>
        </w:rPr>
        <w:t xml:space="preserve"> et al. 2014; Lahti et al. 2020; </w:t>
      </w:r>
      <w:proofErr w:type="spellStart"/>
      <w:r w:rsidRPr="00582A6A">
        <w:rPr>
          <w:rFonts w:ascii="Times New Roman" w:hAnsi="Times New Roman" w:cs="Times New Roman"/>
          <w:sz w:val="24"/>
          <w:szCs w:val="24"/>
          <w:lang w:val="en-GB"/>
        </w:rPr>
        <w:t>Bramah</w:t>
      </w:r>
      <w:proofErr w:type="spellEnd"/>
      <w:r w:rsidRPr="00582A6A">
        <w:rPr>
          <w:rFonts w:ascii="Times New Roman" w:hAnsi="Times New Roman" w:cs="Times New Roman"/>
          <w:sz w:val="24"/>
          <w:szCs w:val="24"/>
          <w:lang w:val="en-GB"/>
        </w:rPr>
        <w:t xml:space="preserve"> et al. 2024). However, these traditional evaluations do not provide insights into the intramuscular synergistic behaviour of MH and LH muscle groups, nor do they indicate their relative contribution to the strength results during the assessment. </w:t>
      </w:r>
      <w:r w:rsidRPr="00582A6A">
        <w:rPr>
          <w:rFonts w:ascii="Times New Roman" w:eastAsia="Times New Roman" w:hAnsi="Times New Roman" w:cs="Times New Roman"/>
          <w:sz w:val="24"/>
          <w:szCs w:val="24"/>
          <w:shd w:val="clear" w:color="auto" w:fill="FFFFFF"/>
          <w:lang w:val="en-US" w:eastAsia="fr-FR"/>
        </w:rPr>
        <w:t xml:space="preserve">This highlights the practical difficulty of estimating the </w:t>
      </w:r>
      <w:r w:rsidRPr="00582A6A">
        <w:rPr>
          <w:rFonts w:ascii="Times New Roman" w:hAnsi="Times New Roman" w:cs="Times New Roman"/>
          <w:sz w:val="24"/>
          <w:szCs w:val="24"/>
          <w:lang w:val="en-GB"/>
        </w:rPr>
        <w:t>relative contribution to strength outcomes</w:t>
      </w:r>
      <w:r w:rsidRPr="00582A6A">
        <w:rPr>
          <w:rFonts w:ascii="Times New Roman" w:eastAsia="Times New Roman" w:hAnsi="Times New Roman" w:cs="Times New Roman"/>
          <w:sz w:val="24"/>
          <w:szCs w:val="24"/>
          <w:shd w:val="clear" w:color="auto" w:fill="FFFFFF"/>
          <w:lang w:val="en-US" w:eastAsia="fr-FR"/>
        </w:rPr>
        <w:t xml:space="preserve"> of MH and LH hamstring muscle groups in an athlete’s leg (</w:t>
      </w:r>
      <w:proofErr w:type="spellStart"/>
      <w:r w:rsidRPr="00582A6A">
        <w:rPr>
          <w:rFonts w:ascii="Times New Roman" w:hAnsi="Times New Roman" w:cs="Times New Roman"/>
          <w:sz w:val="24"/>
          <w:szCs w:val="24"/>
          <w:lang w:val="en-US"/>
        </w:rPr>
        <w:t>Kalkhoven</w:t>
      </w:r>
      <w:proofErr w:type="spellEnd"/>
      <w:r w:rsidRPr="00582A6A">
        <w:rPr>
          <w:rFonts w:ascii="Times New Roman" w:hAnsi="Times New Roman" w:cs="Times New Roman"/>
          <w:sz w:val="24"/>
          <w:szCs w:val="24"/>
          <w:lang w:val="en-US"/>
        </w:rPr>
        <w:t xml:space="preserve"> et al 2023). </w:t>
      </w:r>
    </w:p>
    <w:p w14:paraId="776BF3B9" w14:textId="77777777" w:rsidR="004508A9" w:rsidRPr="00582A6A" w:rsidRDefault="004508A9" w:rsidP="004508A9">
      <w:pPr>
        <w:spacing w:after="0" w:line="480" w:lineRule="auto"/>
        <w:jc w:val="both"/>
      </w:pPr>
      <w:r w:rsidRPr="00582A6A">
        <w:rPr>
          <w:rFonts w:ascii="Times New Roman" w:hAnsi="Times New Roman"/>
          <w:sz w:val="24"/>
          <w:szCs w:val="24"/>
          <w:lang w:val="en-US"/>
        </w:rPr>
        <w:t>Various authors have emphasized that the greater the imbalance of muscular activation between hamstring muscle groups, the lower the performance, and the higher the intrinsic risk of HMI (</w:t>
      </w:r>
      <w:proofErr w:type="spellStart"/>
      <w:r w:rsidRPr="00582A6A">
        <w:rPr>
          <w:rFonts w:ascii="Times New Roman" w:hAnsi="Times New Roman"/>
          <w:sz w:val="24"/>
          <w:szCs w:val="24"/>
          <w:lang w:val="en-US"/>
        </w:rPr>
        <w:t>Avrillon</w:t>
      </w:r>
      <w:proofErr w:type="spellEnd"/>
      <w:r w:rsidRPr="00582A6A">
        <w:rPr>
          <w:rFonts w:ascii="Times New Roman" w:hAnsi="Times New Roman"/>
          <w:sz w:val="24"/>
          <w:szCs w:val="24"/>
          <w:lang w:val="en-US"/>
        </w:rPr>
        <w:t xml:space="preserve"> et al. 2018; </w:t>
      </w:r>
      <w:proofErr w:type="spellStart"/>
      <w:r w:rsidRPr="00582A6A">
        <w:rPr>
          <w:rFonts w:ascii="Times New Roman" w:hAnsi="Times New Roman"/>
          <w:sz w:val="24"/>
          <w:szCs w:val="24"/>
          <w:lang w:val="en-US"/>
        </w:rPr>
        <w:t>Schuermans</w:t>
      </w:r>
      <w:proofErr w:type="spellEnd"/>
      <w:r w:rsidRPr="00582A6A">
        <w:rPr>
          <w:rFonts w:ascii="Times New Roman" w:hAnsi="Times New Roman"/>
          <w:sz w:val="24"/>
          <w:szCs w:val="24"/>
          <w:lang w:val="en-US"/>
        </w:rPr>
        <w:t xml:space="preserve"> et al. 2016)</w:t>
      </w:r>
      <w:r w:rsidRPr="00582A6A">
        <w:rPr>
          <w:rFonts w:ascii="Times New Roman" w:hAnsi="Times New Roman" w:cs="Times New Roman"/>
          <w:sz w:val="24"/>
          <w:szCs w:val="24"/>
          <w:lang w:val="en-GB"/>
        </w:rPr>
        <w:t>. Potential compensatory mechanisms developed by the contralateral HM group may effectively mask weakness, especially in long muscle lengths (&gt;90° of hip flexion with moderate knee flexion angle), even when strength results appear to be “balanced” across various tasks such as sprinting (</w:t>
      </w:r>
      <w:proofErr w:type="spellStart"/>
      <w:r w:rsidRPr="00582A6A">
        <w:rPr>
          <w:rFonts w:ascii="Times New Roman" w:hAnsi="Times New Roman" w:cs="Times New Roman"/>
          <w:sz w:val="24"/>
          <w:szCs w:val="24"/>
          <w:lang w:val="en-GB"/>
        </w:rPr>
        <w:t>Areia</w:t>
      </w:r>
      <w:proofErr w:type="spellEnd"/>
      <w:r w:rsidRPr="00582A6A">
        <w:rPr>
          <w:rFonts w:ascii="Times New Roman" w:hAnsi="Times New Roman" w:cs="Times New Roman"/>
          <w:sz w:val="24"/>
          <w:szCs w:val="24"/>
          <w:lang w:val="en-GB"/>
        </w:rPr>
        <w:t xml:space="preserve"> et al. 2019; </w:t>
      </w:r>
      <w:proofErr w:type="spellStart"/>
      <w:r w:rsidRPr="00582A6A">
        <w:rPr>
          <w:rFonts w:ascii="Times New Roman" w:hAnsi="Times New Roman" w:cs="Times New Roman"/>
          <w:sz w:val="24"/>
          <w:szCs w:val="24"/>
          <w:lang w:val="en-GB"/>
        </w:rPr>
        <w:t>Higashihara</w:t>
      </w:r>
      <w:proofErr w:type="spellEnd"/>
      <w:r w:rsidRPr="00582A6A">
        <w:rPr>
          <w:rFonts w:ascii="Times New Roman" w:hAnsi="Times New Roman" w:cs="Times New Roman"/>
          <w:sz w:val="24"/>
          <w:szCs w:val="24"/>
          <w:lang w:val="en-GB"/>
        </w:rPr>
        <w:t xml:space="preserve"> et al. 2019), jumping (</w:t>
      </w:r>
      <w:proofErr w:type="spellStart"/>
      <w:r w:rsidRPr="00582A6A">
        <w:rPr>
          <w:rFonts w:ascii="Times New Roman" w:hAnsi="Times New Roman" w:cs="Times New Roman"/>
          <w:sz w:val="24"/>
          <w:szCs w:val="24"/>
          <w:lang w:val="en-GB"/>
        </w:rPr>
        <w:t>Jankaew</w:t>
      </w:r>
      <w:proofErr w:type="spellEnd"/>
      <w:r w:rsidRPr="00582A6A">
        <w:rPr>
          <w:rFonts w:ascii="Times New Roman" w:hAnsi="Times New Roman" w:cs="Times New Roman"/>
          <w:sz w:val="24"/>
          <w:szCs w:val="24"/>
          <w:lang w:val="en-GB"/>
        </w:rPr>
        <w:t xml:space="preserve"> et al. 2023</w:t>
      </w:r>
      <w:r w:rsidRPr="00582A6A">
        <w:t xml:space="preserve">) </w:t>
      </w:r>
      <w:r w:rsidRPr="00582A6A">
        <w:rPr>
          <w:rFonts w:ascii="Times New Roman" w:hAnsi="Times New Roman" w:cs="Times New Roman"/>
          <w:sz w:val="24"/>
          <w:szCs w:val="24"/>
          <w:lang w:val="en-GB"/>
        </w:rPr>
        <w:t xml:space="preserve">or strength exercises such as the </w:t>
      </w:r>
      <w:proofErr w:type="spellStart"/>
      <w:r w:rsidRPr="00582A6A">
        <w:rPr>
          <w:rFonts w:ascii="Times New Roman" w:hAnsi="Times New Roman" w:cs="Times New Roman"/>
          <w:sz w:val="24"/>
          <w:szCs w:val="24"/>
          <w:lang w:val="en-GB"/>
        </w:rPr>
        <w:t>nordic</w:t>
      </w:r>
      <w:proofErr w:type="spellEnd"/>
      <w:r w:rsidRPr="00582A6A">
        <w:rPr>
          <w:rFonts w:ascii="Times New Roman" w:hAnsi="Times New Roman" w:cs="Times New Roman"/>
          <w:sz w:val="24"/>
          <w:szCs w:val="24"/>
          <w:lang w:val="en-GB"/>
        </w:rPr>
        <w:t xml:space="preserve"> curl (</w:t>
      </w:r>
      <w:proofErr w:type="spellStart"/>
      <w:r w:rsidRPr="00582A6A">
        <w:rPr>
          <w:rFonts w:ascii="Times New Roman" w:hAnsi="Times New Roman" w:cs="Times New Roman"/>
          <w:sz w:val="24"/>
          <w:szCs w:val="24"/>
          <w:lang w:val="en-GB"/>
        </w:rPr>
        <w:t>Blandford</w:t>
      </w:r>
      <w:proofErr w:type="spellEnd"/>
      <w:r w:rsidRPr="00582A6A">
        <w:rPr>
          <w:rFonts w:ascii="Times New Roman" w:hAnsi="Times New Roman" w:cs="Times New Roman"/>
          <w:sz w:val="24"/>
          <w:szCs w:val="24"/>
          <w:lang w:val="en-GB"/>
        </w:rPr>
        <w:t xml:space="preserve"> et al. 2018b). Specific deficits may persist go unnoticed (</w:t>
      </w:r>
      <w:proofErr w:type="spellStart"/>
      <w:r w:rsidRPr="00582A6A">
        <w:rPr>
          <w:rFonts w:ascii="Times New Roman" w:hAnsi="Times New Roman" w:cs="Times New Roman"/>
          <w:sz w:val="24"/>
          <w:szCs w:val="24"/>
          <w:lang w:val="en-GB"/>
        </w:rPr>
        <w:t>Blandford</w:t>
      </w:r>
      <w:proofErr w:type="spellEnd"/>
      <w:r w:rsidRPr="00582A6A">
        <w:rPr>
          <w:rFonts w:ascii="Times New Roman" w:hAnsi="Times New Roman" w:cs="Times New Roman"/>
          <w:sz w:val="24"/>
          <w:szCs w:val="24"/>
          <w:lang w:val="en-GB"/>
        </w:rPr>
        <w:t xml:space="preserve"> et al. 2018b) with current assessment tests (</w:t>
      </w:r>
      <w:proofErr w:type="spellStart"/>
      <w:r w:rsidRPr="00582A6A">
        <w:rPr>
          <w:rFonts w:ascii="Times New Roman" w:hAnsi="Times New Roman" w:cs="Times New Roman"/>
          <w:sz w:val="24"/>
          <w:szCs w:val="24"/>
          <w:lang w:val="en-GB"/>
        </w:rPr>
        <w:t>Georgoulis</w:t>
      </w:r>
      <w:proofErr w:type="spellEnd"/>
      <w:r w:rsidRPr="00582A6A">
        <w:rPr>
          <w:rFonts w:ascii="Times New Roman" w:hAnsi="Times New Roman" w:cs="Times New Roman"/>
          <w:sz w:val="24"/>
          <w:szCs w:val="24"/>
          <w:lang w:val="en-GB"/>
        </w:rPr>
        <w:t xml:space="preserve"> et al. 2023; </w:t>
      </w:r>
      <w:proofErr w:type="spellStart"/>
      <w:r w:rsidRPr="00582A6A">
        <w:rPr>
          <w:rFonts w:ascii="Times New Roman" w:hAnsi="Times New Roman" w:cs="Times New Roman"/>
          <w:sz w:val="24"/>
          <w:szCs w:val="24"/>
          <w:lang w:val="en-GB"/>
        </w:rPr>
        <w:t>Presland</w:t>
      </w:r>
      <w:proofErr w:type="spellEnd"/>
      <w:r w:rsidRPr="00582A6A">
        <w:rPr>
          <w:rFonts w:ascii="Times New Roman" w:hAnsi="Times New Roman" w:cs="Times New Roman"/>
          <w:sz w:val="24"/>
          <w:szCs w:val="24"/>
          <w:lang w:val="en-GB"/>
        </w:rPr>
        <w:t xml:space="preserve"> et al. 2021). </w:t>
      </w:r>
    </w:p>
    <w:p w14:paraId="0371E7C3" w14:textId="77777777" w:rsidR="004508A9" w:rsidRPr="00582A6A" w:rsidRDefault="004508A9" w:rsidP="004508A9">
      <w:pPr>
        <w:spacing w:after="0" w:line="480" w:lineRule="auto"/>
        <w:jc w:val="both"/>
      </w:pPr>
      <w:r w:rsidRPr="00582A6A">
        <w:rPr>
          <w:rFonts w:ascii="Times New Roman" w:hAnsi="Times New Roman" w:cs="Times New Roman"/>
          <w:sz w:val="24"/>
          <w:szCs w:val="24"/>
          <w:lang w:val="en-GB"/>
        </w:rPr>
        <w:t>Therefore, it is useful to develop clinical strength tests that assess the different HM groups more selectively, avoiding missing a specific MH or LH muscle group weakness. Some studies have found that medial (MR) and lateral (LR) tibial rotations increased the ipsilateral HM group recruitment when associated with isometric contractions at different knee flexion angles (</w:t>
      </w:r>
      <w:proofErr w:type="spellStart"/>
      <w:r w:rsidRPr="00582A6A">
        <w:rPr>
          <w:rFonts w:ascii="Times New Roman" w:hAnsi="Times New Roman" w:cs="Times New Roman"/>
          <w:sz w:val="24"/>
          <w:szCs w:val="24"/>
          <w:lang w:val="en-GB"/>
        </w:rPr>
        <w:t>Beuchat</w:t>
      </w:r>
      <w:proofErr w:type="spellEnd"/>
      <w:r w:rsidRPr="00582A6A">
        <w:rPr>
          <w:rFonts w:ascii="Times New Roman" w:hAnsi="Times New Roman" w:cs="Times New Roman"/>
          <w:sz w:val="24"/>
          <w:szCs w:val="24"/>
          <w:lang w:val="en-GB"/>
        </w:rPr>
        <w:t xml:space="preserve"> et al. 2019; Beyer et al. 2019). However, to our knowledge, only few researches </w:t>
      </w:r>
      <w:r w:rsidRPr="00582A6A">
        <w:rPr>
          <w:rFonts w:ascii="Times New Roman" w:hAnsi="Times New Roman" w:cs="Times New Roman"/>
          <w:noProof/>
          <w:sz w:val="24"/>
          <w:szCs w:val="24"/>
          <w:lang w:val="en-US"/>
        </w:rPr>
        <w:t>(</w:t>
      </w:r>
      <w:r w:rsidRPr="00582A6A">
        <w:rPr>
          <w:rFonts w:ascii="Times New Roman" w:eastAsia="Times New Roman" w:hAnsi="Times New Roman" w:cs="Times New Roman"/>
          <w:sz w:val="24"/>
          <w:szCs w:val="24"/>
          <w:shd w:val="clear" w:color="auto" w:fill="FFFFFF"/>
          <w:lang w:eastAsia="fr-FR"/>
        </w:rPr>
        <w:t>Jónasson et al. 2016</w:t>
      </w:r>
      <w:r w:rsidRPr="00582A6A">
        <w:rPr>
          <w:rFonts w:ascii="Times New Roman" w:hAnsi="Times New Roman" w:cs="Times New Roman"/>
          <w:sz w:val="24"/>
          <w:szCs w:val="24"/>
          <w:lang w:val="en-GB"/>
        </w:rPr>
        <w:t xml:space="preserve">; Beyer et al. 2019) have described the isometric strength ratio of MR/LR and the MH/LH muscle activation ratio in healthy amateur male athletes for prevention purposes. </w:t>
      </w:r>
    </w:p>
    <w:p w14:paraId="43D4D884"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The primary purpose of this study was to analyze the influence of tibial rotation on the MH/LH muscle recruitment and the isometric strength ratio of MR/LR at three knee flexion angles to propose normative values. The second objective of this study was to assess the reliability of the Knee-Rotation test (KR-test) in these different positions. It is hypothesized that tibial rotations influence the global knee flexion strength production and the recruitment of hamstring muscle groups, favoring the ipsilateral HM group recruitment and </w:t>
      </w:r>
      <w:proofErr w:type="spellStart"/>
      <w:r w:rsidRPr="00582A6A">
        <w:rPr>
          <w:rFonts w:ascii="Times New Roman" w:hAnsi="Times New Roman" w:cs="Times New Roman"/>
          <w:sz w:val="24"/>
          <w:szCs w:val="24"/>
          <w:lang w:val="en-GB"/>
        </w:rPr>
        <w:t>disfavoring</w:t>
      </w:r>
      <w:proofErr w:type="spellEnd"/>
      <w:r w:rsidRPr="00582A6A">
        <w:rPr>
          <w:rFonts w:ascii="Times New Roman" w:hAnsi="Times New Roman" w:cs="Times New Roman"/>
          <w:sz w:val="24"/>
          <w:szCs w:val="24"/>
          <w:lang w:val="en-GB"/>
        </w:rPr>
        <w:t xml:space="preserve"> the contralateral HM group. </w:t>
      </w:r>
    </w:p>
    <w:p w14:paraId="57830E07"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9BE06B9"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b/>
          <w:smallCaps/>
          <w:sz w:val="24"/>
          <w:szCs w:val="24"/>
          <w:lang w:val="en-GB"/>
        </w:rPr>
      </w:pPr>
      <w:r w:rsidRPr="00582A6A">
        <w:rPr>
          <w:rFonts w:ascii="Times New Roman" w:hAnsi="Times New Roman" w:cs="Times New Roman"/>
          <w:b/>
          <w:smallCaps/>
          <w:sz w:val="24"/>
          <w:szCs w:val="24"/>
          <w:lang w:val="en-GB"/>
        </w:rPr>
        <w:t>Material and Methods</w:t>
      </w:r>
    </w:p>
    <w:p w14:paraId="6A14BB6D"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volunteers</w:t>
      </w:r>
    </w:p>
    <w:p w14:paraId="386724BB" w14:textId="00C3A5D4"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Thirty-six healthy males volunteers (23.2 ± 3 years old, 178.0 ± 6 cm, body mass 71.6 ± 6 kg) with a dominant right leg were included in this study. The sample size was determined using G-P</w:t>
      </w:r>
      <w:bookmarkStart w:id="0" w:name="_GoBack"/>
      <w:bookmarkEnd w:id="0"/>
      <w:r w:rsidRPr="00582A6A">
        <w:rPr>
          <w:rFonts w:ascii="Times New Roman" w:hAnsi="Times New Roman" w:cs="Times New Roman"/>
          <w:sz w:val="24"/>
          <w:szCs w:val="24"/>
          <w:lang w:val="en-GB"/>
        </w:rPr>
        <w:t xml:space="preserve">ower (3.1; http://www.gpower. hhu.de) (effect size = 0.25; alpha significant level = 0.05 and power = 0.80; with </w:t>
      </w:r>
      <w:r w:rsidRPr="00582A6A">
        <w:rPr>
          <w:rFonts w:ascii="Times New Roman" w:hAnsi="Times New Roman" w:cs="Times New Roman"/>
          <w:sz w:val="24"/>
          <w:szCs w:val="24"/>
          <w:lang w:val="fr-FR"/>
        </w:rPr>
        <w:t xml:space="preserve">F-test and </w:t>
      </w:r>
      <w:proofErr w:type="spellStart"/>
      <w:r w:rsidRPr="00582A6A">
        <w:rPr>
          <w:rFonts w:ascii="Times New Roman" w:hAnsi="Times New Roman" w:cs="Times New Roman"/>
          <w:sz w:val="24"/>
          <w:szCs w:val="24"/>
          <w:lang w:val="fr-FR"/>
        </w:rPr>
        <w:t>repeated</w:t>
      </w:r>
      <w:proofErr w:type="spellEnd"/>
      <w:r w:rsidRPr="00582A6A">
        <w:rPr>
          <w:rFonts w:ascii="Times New Roman" w:hAnsi="Times New Roman" w:cs="Times New Roman"/>
          <w:sz w:val="24"/>
          <w:szCs w:val="24"/>
          <w:lang w:val="fr-FR"/>
        </w:rPr>
        <w:t xml:space="preserve">-mesures ANOVA </w:t>
      </w:r>
      <w:proofErr w:type="spellStart"/>
      <w:r w:rsidRPr="00582A6A">
        <w:rPr>
          <w:rFonts w:ascii="Times New Roman" w:hAnsi="Times New Roman" w:cs="Times New Roman"/>
          <w:sz w:val="24"/>
          <w:szCs w:val="24"/>
          <w:lang w:val="fr-FR"/>
        </w:rPr>
        <w:t>with</w:t>
      </w:r>
      <w:proofErr w:type="spellEnd"/>
      <w:r w:rsidRPr="00582A6A">
        <w:rPr>
          <w:rFonts w:ascii="Times New Roman" w:hAnsi="Times New Roman" w:cs="Times New Roman"/>
          <w:sz w:val="24"/>
          <w:szCs w:val="24"/>
          <w:lang w:val="fr-FR"/>
        </w:rPr>
        <w:t xml:space="preserve"> </w:t>
      </w:r>
      <w:proofErr w:type="spellStart"/>
      <w:r w:rsidRPr="00582A6A">
        <w:rPr>
          <w:rFonts w:ascii="Times New Roman" w:hAnsi="Times New Roman" w:cs="Times New Roman"/>
          <w:sz w:val="24"/>
          <w:szCs w:val="24"/>
          <w:lang w:val="fr-FR"/>
        </w:rPr>
        <w:t>within-between</w:t>
      </w:r>
      <w:proofErr w:type="spellEnd"/>
      <w:r w:rsidRPr="00582A6A">
        <w:rPr>
          <w:rFonts w:ascii="Times New Roman" w:hAnsi="Times New Roman" w:cs="Times New Roman"/>
          <w:sz w:val="24"/>
          <w:szCs w:val="24"/>
          <w:lang w:val="fr-FR"/>
        </w:rPr>
        <w:t xml:space="preserve"> interaction</w:t>
      </w:r>
      <w:r w:rsidRPr="00582A6A">
        <w:rPr>
          <w:rFonts w:ascii="Times New Roman" w:hAnsi="Times New Roman" w:cs="Times New Roman"/>
          <w:sz w:val="24"/>
          <w:szCs w:val="24"/>
          <w:lang w:val="en-GB"/>
        </w:rPr>
        <w:t>) (</w:t>
      </w:r>
      <w:proofErr w:type="spellStart"/>
      <w:r w:rsidRPr="00582A6A">
        <w:rPr>
          <w:rFonts w:ascii="Times New Roman" w:hAnsi="Times New Roman" w:cs="Times New Roman"/>
          <w:sz w:val="24"/>
          <w:szCs w:val="24"/>
          <w:lang w:val="en-GB"/>
        </w:rPr>
        <w:t>Beuchat</w:t>
      </w:r>
      <w:proofErr w:type="spellEnd"/>
      <w:r w:rsidRPr="00582A6A">
        <w:rPr>
          <w:rFonts w:ascii="Times New Roman" w:hAnsi="Times New Roman" w:cs="Times New Roman"/>
          <w:sz w:val="24"/>
          <w:szCs w:val="24"/>
          <w:lang w:val="en-GB"/>
        </w:rPr>
        <w:t xml:space="preserve"> et al. 2019; Beyer et al. 2019; </w:t>
      </w:r>
      <w:proofErr w:type="spellStart"/>
      <w:r w:rsidRPr="00582A6A">
        <w:rPr>
          <w:rFonts w:ascii="Times New Roman" w:hAnsi="Times New Roman" w:cs="Times New Roman"/>
          <w:sz w:val="24"/>
          <w:szCs w:val="24"/>
          <w:lang w:val="en-GB"/>
        </w:rPr>
        <w:t>Serdar</w:t>
      </w:r>
      <w:proofErr w:type="spellEnd"/>
      <w:r w:rsidRPr="00582A6A">
        <w:rPr>
          <w:rFonts w:ascii="Times New Roman" w:hAnsi="Times New Roman" w:cs="Times New Roman"/>
          <w:sz w:val="24"/>
          <w:szCs w:val="24"/>
          <w:lang w:val="en-GB"/>
        </w:rPr>
        <w:t xml:space="preserve"> et al., 2021; Kang et al. 2021</w:t>
      </w:r>
      <w:r w:rsidR="00DA4682">
        <w:rPr>
          <w:rFonts w:ascii="Times New Roman" w:hAnsi="Times New Roman" w:cs="Times New Roman"/>
          <w:sz w:val="24"/>
          <w:szCs w:val="24"/>
          <w:lang w:val="en-GB"/>
        </w:rPr>
        <w:t xml:space="preserve">; </w:t>
      </w:r>
      <w:r w:rsidR="00DA4682" w:rsidRPr="00582A6A">
        <w:rPr>
          <w:rFonts w:ascii="Times New Roman" w:eastAsia="Times New Roman" w:hAnsi="Times New Roman" w:cs="Times New Roman"/>
          <w:sz w:val="24"/>
          <w:szCs w:val="24"/>
          <w:shd w:val="clear" w:color="auto" w:fill="FFFFFF"/>
          <w:lang w:eastAsia="fr-FR"/>
        </w:rPr>
        <w:t>Jónasson et al. 2016</w:t>
      </w:r>
      <w:r w:rsidRPr="00582A6A">
        <w:rPr>
          <w:rFonts w:ascii="Times New Roman" w:hAnsi="Times New Roman" w:cs="Times New Roman"/>
          <w:sz w:val="24"/>
          <w:szCs w:val="24"/>
          <w:lang w:val="en-GB"/>
        </w:rPr>
        <w:t xml:space="preserve">). The volunteers had to be regularly (between three to eight hours of sport per week) active in a variety of explosive sports (soccer and rugby) with particular emphasis on the lower limbs. Exclusion criteria were to have no previous or current injuries in the lower back or lower limbs leading to minimum three weeks without sport participation. Moreover, all volunteers were asked not to practice any intensive sport two days preceding the test. The </w:t>
      </w:r>
      <w:r w:rsidR="004D24AE">
        <w:rPr>
          <w:rFonts w:ascii="Times New Roman" w:hAnsi="Times New Roman" w:cs="Times New Roman"/>
          <w:sz w:val="24"/>
          <w:szCs w:val="24"/>
          <w:lang w:val="en-GB"/>
        </w:rPr>
        <w:t>Medical Ethics Com</w:t>
      </w:r>
      <w:r w:rsidR="004D24AE" w:rsidRPr="004D24AE">
        <w:rPr>
          <w:rFonts w:ascii="Times New Roman" w:hAnsi="Times New Roman" w:cs="Times New Roman"/>
          <w:sz w:val="24"/>
          <w:szCs w:val="24"/>
          <w:lang w:val="en-GB"/>
        </w:rPr>
        <w:t>mittee of</w:t>
      </w:r>
      <w:r w:rsidR="004D24AE">
        <w:rPr>
          <w:rFonts w:ascii="Times New Roman" w:hAnsi="Times New Roman" w:cs="Times New Roman"/>
          <w:sz w:val="24"/>
          <w:szCs w:val="24"/>
          <w:lang w:val="en-GB"/>
        </w:rPr>
        <w:t xml:space="preserve"> the University Hospital of Liè</w:t>
      </w:r>
      <w:r w:rsidR="004D24AE" w:rsidRPr="004D24AE">
        <w:rPr>
          <w:rFonts w:ascii="Times New Roman" w:hAnsi="Times New Roman" w:cs="Times New Roman"/>
          <w:sz w:val="24"/>
          <w:szCs w:val="24"/>
          <w:lang w:val="en-GB"/>
        </w:rPr>
        <w:t>ge</w:t>
      </w:r>
      <w:r w:rsidR="00DC6C2C">
        <w:rPr>
          <w:rFonts w:ascii="Times New Roman" w:hAnsi="Times New Roman" w:cs="Times New Roman"/>
          <w:sz w:val="24"/>
          <w:szCs w:val="24"/>
          <w:lang w:val="en-GB"/>
        </w:rPr>
        <w:t xml:space="preserve"> </w:t>
      </w:r>
      <w:r w:rsidRPr="00582A6A">
        <w:rPr>
          <w:rFonts w:ascii="Times New Roman" w:hAnsi="Times New Roman" w:cs="Times New Roman"/>
          <w:sz w:val="24"/>
          <w:szCs w:val="24"/>
          <w:lang w:val="en-GB"/>
        </w:rPr>
        <w:t xml:space="preserve">approved the study, and all volunteers signed an informed consent form beforehand. </w:t>
      </w:r>
    </w:p>
    <w:p w14:paraId="67F8F57E"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4EEE1A0"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Experimental procedure</w:t>
      </w:r>
    </w:p>
    <w:p w14:paraId="6B52A4D1"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The experimental procedure consisted of two sessions (pre- and post-test) the same day, with a thirty-minutes break interval. An initial warm-up was performed, consisting of three sets of isometric knee flexions contractions for a total of 20 repetitions (each repetition lasting between 3 to 5 seconds), at low then moderate intensities. For the duration of the tests, the volunteers were seated on a chair with 90° of hip flexion (Figure 1A). The contralateral leg was kept at 90° of knee flexion and the arms crossed in front of the torso, as to avoid any body compensations. </w:t>
      </w:r>
    </w:p>
    <w:p w14:paraId="5C89E321"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30DB56E9"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During the strength tests using a hand-held dynamometer (HHD; MicroFET2, </w:t>
      </w:r>
      <w:proofErr w:type="spellStart"/>
      <w:r w:rsidRPr="00582A6A">
        <w:rPr>
          <w:rFonts w:ascii="Times New Roman" w:hAnsi="Times New Roman" w:cs="Times New Roman"/>
          <w:sz w:val="24"/>
          <w:szCs w:val="24"/>
          <w:lang w:val="en-GB"/>
        </w:rPr>
        <w:t>Hoggan</w:t>
      </w:r>
      <w:proofErr w:type="spellEnd"/>
      <w:r w:rsidRPr="00582A6A">
        <w:rPr>
          <w:rFonts w:ascii="Times New Roman" w:hAnsi="Times New Roman" w:cs="Times New Roman"/>
          <w:sz w:val="24"/>
          <w:szCs w:val="24"/>
          <w:lang w:val="en-GB"/>
        </w:rPr>
        <w:t xml:space="preserve"> Industries, Inc., West Jordan, UT, USA), surface electromyography (sEMG) values were measured simultaneously for biceps femoris long head (BF) and semitendinosus (ST) muscles. Prior to the placement of sEMG sensors on BF and ST muscles, the skin was shaved, sanded with sandpaper and cleaned with alcohol. The recording electrodes were placed on the muscle bellies, which were identified by palpation based on sEMG recommendations (</w:t>
      </w:r>
      <w:proofErr w:type="spellStart"/>
      <w:r w:rsidRPr="00582A6A">
        <w:rPr>
          <w:rFonts w:ascii="Times New Roman" w:hAnsi="Times New Roman" w:cs="Times New Roman"/>
          <w:sz w:val="24"/>
          <w:szCs w:val="24"/>
          <w:lang w:val="en-GB"/>
        </w:rPr>
        <w:t>Barbero</w:t>
      </w:r>
      <w:proofErr w:type="spellEnd"/>
      <w:r w:rsidRPr="00582A6A">
        <w:rPr>
          <w:rFonts w:ascii="Times New Roman" w:hAnsi="Times New Roman" w:cs="Times New Roman"/>
          <w:sz w:val="24"/>
          <w:szCs w:val="24"/>
          <w:lang w:val="en-GB"/>
        </w:rPr>
        <w:t xml:space="preserve"> et al. 2012). </w:t>
      </w:r>
      <w:proofErr w:type="gramStart"/>
      <w:r w:rsidRPr="00582A6A">
        <w:rPr>
          <w:rFonts w:ascii="Times New Roman" w:hAnsi="Times New Roman" w:cs="Times New Roman"/>
          <w:sz w:val="24"/>
          <w:szCs w:val="24"/>
          <w:lang w:val="en-GB"/>
        </w:rPr>
        <w:t>sEMG</w:t>
      </w:r>
      <w:proofErr w:type="gramEnd"/>
      <w:r w:rsidRPr="00582A6A">
        <w:rPr>
          <w:rFonts w:ascii="Times New Roman" w:hAnsi="Times New Roman" w:cs="Times New Roman"/>
          <w:sz w:val="24"/>
          <w:szCs w:val="24"/>
          <w:lang w:val="en-GB"/>
        </w:rPr>
        <w:t xml:space="preserve"> activity of these muscles were recorded using </w:t>
      </w:r>
      <w:proofErr w:type="spellStart"/>
      <w:r w:rsidRPr="00582A6A">
        <w:rPr>
          <w:rFonts w:ascii="Times New Roman" w:hAnsi="Times New Roman" w:cs="Times New Roman"/>
          <w:sz w:val="24"/>
          <w:szCs w:val="24"/>
          <w:lang w:val="en-GB"/>
        </w:rPr>
        <w:t>Delsys</w:t>
      </w:r>
      <w:proofErr w:type="spellEnd"/>
      <w:r w:rsidRPr="00582A6A">
        <w:rPr>
          <w:rFonts w:ascii="Times New Roman" w:hAnsi="Times New Roman" w:cs="Times New Roman"/>
          <w:sz w:val="24"/>
          <w:szCs w:val="24"/>
          <w:lang w:val="en-GB"/>
        </w:rPr>
        <w:t xml:space="preserve"> </w:t>
      </w:r>
      <w:proofErr w:type="spellStart"/>
      <w:r w:rsidRPr="00582A6A">
        <w:rPr>
          <w:rFonts w:ascii="Times New Roman" w:hAnsi="Times New Roman" w:cs="Times New Roman"/>
          <w:sz w:val="24"/>
          <w:szCs w:val="24"/>
          <w:lang w:val="en-GB"/>
        </w:rPr>
        <w:t>Trigno</w:t>
      </w:r>
      <w:proofErr w:type="spellEnd"/>
      <w:r w:rsidRPr="00582A6A">
        <w:rPr>
          <w:rFonts w:ascii="Times New Roman" w:hAnsi="Times New Roman" w:cs="Times New Roman"/>
          <w:sz w:val="24"/>
          <w:szCs w:val="24"/>
          <w:lang w:val="en-GB"/>
        </w:rPr>
        <w:t xml:space="preserve"> Sensors with silver-contact wireless bipolar bar electrodes and 10mm fixed inter-electrode spacing (</w:t>
      </w:r>
      <w:proofErr w:type="spellStart"/>
      <w:r w:rsidRPr="00582A6A">
        <w:rPr>
          <w:rFonts w:ascii="Times New Roman" w:hAnsi="Times New Roman" w:cs="Times New Roman"/>
          <w:sz w:val="24"/>
          <w:szCs w:val="24"/>
          <w:lang w:val="en-GB"/>
        </w:rPr>
        <w:t>Delsys</w:t>
      </w:r>
      <w:proofErr w:type="spellEnd"/>
      <w:r w:rsidRPr="00582A6A">
        <w:rPr>
          <w:rFonts w:ascii="Times New Roman" w:hAnsi="Times New Roman" w:cs="Times New Roman"/>
          <w:sz w:val="24"/>
          <w:szCs w:val="24"/>
          <w:lang w:val="en-GB"/>
        </w:rPr>
        <w:t xml:space="preserve"> </w:t>
      </w:r>
      <w:proofErr w:type="spellStart"/>
      <w:r w:rsidRPr="00582A6A">
        <w:rPr>
          <w:rFonts w:ascii="Times New Roman" w:hAnsi="Times New Roman" w:cs="Times New Roman"/>
          <w:sz w:val="24"/>
          <w:szCs w:val="24"/>
          <w:lang w:val="en-GB"/>
        </w:rPr>
        <w:t>Inc</w:t>
      </w:r>
      <w:proofErr w:type="spellEnd"/>
      <w:r w:rsidRPr="00582A6A">
        <w:rPr>
          <w:rFonts w:ascii="Times New Roman" w:hAnsi="Times New Roman" w:cs="Times New Roman"/>
          <w:sz w:val="24"/>
          <w:szCs w:val="24"/>
          <w:lang w:val="en-GB"/>
        </w:rPr>
        <w:t>, Natick, MA, USA). The maximal voluntary activity (MVA) of each muscle was then measured during maximal voluntary isometric contraction (MVIC) in standard seated position on a chair with 90° of hip flexion and knee flexion. To do this, each volunteer was asked to complete three trials of isometric contraction (five seconds during which they had to maintain the contraction before relaxing out the sixth second).</w:t>
      </w:r>
    </w:p>
    <w:p w14:paraId="69A1EE07"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4356407"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Strength for the Knee-Rotation test was evaluated using the HHD, solidly attached to a fixed system of metal bars (Figure 1A). The HHD was positioned in a standard localisation (</w:t>
      </w:r>
      <w:proofErr w:type="spellStart"/>
      <w:r w:rsidRPr="00582A6A">
        <w:rPr>
          <w:rFonts w:ascii="Times New Roman" w:hAnsi="Times New Roman" w:cs="Times New Roman"/>
          <w:sz w:val="24"/>
          <w:szCs w:val="24"/>
          <w:lang w:val="en-GB"/>
        </w:rPr>
        <w:t>Buckinx</w:t>
      </w:r>
      <w:proofErr w:type="spellEnd"/>
      <w:r w:rsidRPr="00582A6A">
        <w:rPr>
          <w:rFonts w:ascii="Times New Roman" w:hAnsi="Times New Roman" w:cs="Times New Roman"/>
          <w:sz w:val="24"/>
          <w:szCs w:val="24"/>
          <w:lang w:val="en-GB"/>
        </w:rPr>
        <w:t xml:space="preserve"> et al. 2017) on the Achilles tendon 3 cm above the external malleolus. We recorded the peak strength expressed in </w:t>
      </w:r>
      <w:proofErr w:type="spellStart"/>
      <w:r w:rsidRPr="00582A6A">
        <w:rPr>
          <w:rFonts w:ascii="Times New Roman" w:hAnsi="Times New Roman" w:cs="Times New Roman"/>
          <w:sz w:val="24"/>
          <w:szCs w:val="24"/>
          <w:lang w:val="en-GB"/>
        </w:rPr>
        <w:t>newtons</w:t>
      </w:r>
      <w:proofErr w:type="spellEnd"/>
      <w:r w:rsidRPr="00582A6A">
        <w:rPr>
          <w:rFonts w:ascii="Times New Roman" w:hAnsi="Times New Roman" w:cs="Times New Roman"/>
          <w:sz w:val="24"/>
          <w:szCs w:val="24"/>
          <w:lang w:val="en-GB"/>
        </w:rPr>
        <w:t xml:space="preserve"> and measured the arm lever (lateral condyle of the knee to dynamometer application point distance) as to expressed the peak strength in </w:t>
      </w:r>
      <w:proofErr w:type="spellStart"/>
      <w:r w:rsidRPr="00582A6A">
        <w:rPr>
          <w:rFonts w:ascii="Times New Roman" w:hAnsi="Times New Roman" w:cs="Times New Roman"/>
          <w:sz w:val="24"/>
          <w:szCs w:val="24"/>
          <w:lang w:val="en-GB"/>
        </w:rPr>
        <w:t>newtons</w:t>
      </w:r>
      <w:proofErr w:type="spellEnd"/>
      <w:r w:rsidRPr="00582A6A">
        <w:rPr>
          <w:rFonts w:ascii="Times New Roman" w:hAnsi="Times New Roman" w:cs="Times New Roman"/>
          <w:sz w:val="24"/>
          <w:szCs w:val="24"/>
          <w:lang w:val="en-GB"/>
        </w:rPr>
        <w:t xml:space="preserve"> per meter (</w:t>
      </w:r>
      <w:proofErr w:type="spellStart"/>
      <w:r w:rsidRPr="00582A6A">
        <w:rPr>
          <w:rFonts w:ascii="Times New Roman" w:hAnsi="Times New Roman" w:cs="Times New Roman"/>
          <w:sz w:val="24"/>
          <w:szCs w:val="24"/>
          <w:lang w:val="en-GB"/>
        </w:rPr>
        <w:t>N.m</w:t>
      </w:r>
      <w:proofErr w:type="spellEnd"/>
      <w:r w:rsidRPr="00582A6A">
        <w:rPr>
          <w:rFonts w:ascii="Times New Roman" w:hAnsi="Times New Roman" w:cs="Times New Roman"/>
          <w:sz w:val="24"/>
          <w:szCs w:val="24"/>
          <w:lang w:val="en-GB"/>
        </w:rPr>
        <w:t>). The better of two trials at each randomized knee flexion positions (30, 60 and 90°) and each knee rotation (medial, neutral, and lateral; Figure 1B) was kept for further analyses. A fixed model with 30° medial and lateral rotations was drawn on the floor and an independent observer constantly impose the volunteer to keep a constant range of motion for each tibial rotation (Figure 1B). During the entire task, the volunteers were supported by verbal encouragements. Rest periods of 30 seconds were also granted between each trial to avoid fatigue.</w:t>
      </w:r>
    </w:p>
    <w:p w14:paraId="0F4B2016"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01AA0AB"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28928E33"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data processing</w:t>
      </w:r>
    </w:p>
    <w:p w14:paraId="1965F859" w14:textId="77777777" w:rsidR="004508A9" w:rsidRPr="00582A6A" w:rsidRDefault="004508A9" w:rsidP="004508A9">
      <w:pPr>
        <w:pStyle w:val="NormalWeb"/>
        <w:spacing w:before="0" w:beforeAutospacing="0" w:after="0" w:afterAutospacing="0" w:line="480" w:lineRule="auto"/>
        <w:jc w:val="both"/>
        <w:rPr>
          <w:rFonts w:eastAsiaTheme="minorEastAsia"/>
        </w:rPr>
      </w:pPr>
      <w:r w:rsidRPr="00582A6A">
        <w:rPr>
          <w:sz w:val="24"/>
          <w:lang w:val="en-US"/>
        </w:rPr>
        <w:t xml:space="preserve">The EMG signal was first band pass filtered (20 - 500 Hz, zero-phase 4th order Butterworth) and then processed using a root-mean-square (RMS) algorithm </w:t>
      </w:r>
      <w:r w:rsidRPr="00582A6A">
        <w:rPr>
          <w:sz w:val="24"/>
          <w:szCs w:val="24"/>
          <w:lang w:val="en-GB"/>
        </w:rPr>
        <w:t>(</w:t>
      </w:r>
      <w:proofErr w:type="spellStart"/>
      <w:r w:rsidRPr="00582A6A">
        <w:rPr>
          <w:sz w:val="24"/>
          <w:szCs w:val="24"/>
          <w:lang w:val="en-GB"/>
        </w:rPr>
        <w:t>Castelein</w:t>
      </w:r>
      <w:proofErr w:type="spellEnd"/>
      <w:r w:rsidRPr="00582A6A">
        <w:rPr>
          <w:sz w:val="24"/>
          <w:szCs w:val="24"/>
          <w:lang w:val="en-GB"/>
        </w:rPr>
        <w:t xml:space="preserve"> et al. 2015; Schwartz et al. 2017)</w:t>
      </w:r>
      <w:r w:rsidRPr="00582A6A">
        <w:rPr>
          <w:sz w:val="24"/>
          <w:lang w:val="en-US"/>
        </w:rPr>
        <w:fldChar w:fldCharType="begin" w:fldLock="1"/>
      </w:r>
      <w:r w:rsidRPr="00582A6A">
        <w:rPr>
          <w:sz w:val="24"/>
          <w:lang w:val="en-US"/>
        </w:rPr>
        <w:instrText>ADDIN CSL_CITATION { "citationItems" : [ { "id" : "ITEM-1", "itemData" : { "DOI" : "10.1016/j.apmr.2015.06.004", "ISSN" : "1532821X", "abstract" : "Objective To identify maximum voluntary isometric contraction (MVIC) test positions for the deeper-lying scapulothoracic muscles (ie, levator scapulae, pectoralis minor, rhomboid major), and to provide a standard set of a limited number of test positions that generate an MVIC in all scapulothoracic muscles. Design Cross-sectional study. Setting Physical and rehabilitation medicine department. Participants Healthy subjects (N=21). Interventions Not applicable. Main Outcome Measures Mean peak electromyographic activity from levator scapulae, pectoralis minor, and rhomboid major (investigated with fine-wire electromyography) and from upper trapezius, middle trapezius, lower trapezius, and serratus anterior (investigated with surface electromyography) during the performance of 12 different MVICs. Results The results indicated that various test positions generated similar high mean electromyographic activity and that no single test generated maximum activity for a specific muscle in all subjects. The results of this study support using a series of test positions for normalization procedures rather than a single exercise to increase the likelihood of recruiting the highest activity in the scapulothoracic muscles. Conclusions A standard set of 5 test positions was identified as being sufficient for generating an MVIC of all scapulothoracic muscles: seated T, seated U 135??, prone T-thumbs up, prone V-thumbs up, and supine V-thumbs up. A standard set of test positions for normalization of scapulothoracic electromyographic data that also incorporates the levator scapulae, pectoralis minor, and rhomboid major muscles is 1 step toward a more comprehensive understanding of normal and abnormal muscle function of these muscles and will help to standardize the presentation of scapulothoracic electromyographic muscle activity.", "author" : [ { "dropping-particle" : "", "family" : "Castelein", "given" : "Birgit", "non-dropping-particle" : "", "parse-names" : false, "suffix" : "" }, { "dropping-particle" : "", "family" : "Cagnie", "given" : "Barbara", "non-dropping-particle" : "", "parse-names" : false, "suffix" : "" }, { "dropping-particle" : "", "family" : "Parlevliet", "given" : "Thierry", "non-dropping-particle" : "", "parse-names" : false, "suffix" : "" }, { "dropping-particle" : "", "family" : "Danneels", "given" : "Lieven", "non-dropping-particle" : "", "parse-names" : false, "suffix" : "" }, { "dropping-particle" : "", "family" : "Cools", "given" : "Ann", "non-dropping-particle" : "", "parse-names" : false, "suffix" : "" } ], "container-title" : "Archives of Physical Medicine and Rehabilitation", "id" : "ITEM-1", "issue" : "10", "issued" : { "date-parts" : [ [ "2015" ] ] }, "page" : "1820-1827", "publisher" : "Elsevier\u00a0Ltd", "title" : "Optimal Normalization Tests for Muscle Activation of the Levator Scapulae, Pectoralis Minor, and Rhomboid Major: An Electromyography Study Using Maximum Voluntary Isometric Contractions", "type" : "article-journal", "volume" : "96" }, "uris" : [ "http://www.mendeley.com/documents/?uuid=45c06337-01bc-47ca-aa8a-a43f4de02941", "http://www.mendeley.com/documents/?uuid=8f4ce260-8a3e-4c53-9fd7-67f3d9a6c7e1" ] } ], "mendeley" : { "formattedCitation" : "(Castelein et al. 2015)", "plainTextFormattedCitation" : "(Castelein et al. 2015)", "previouslyFormattedCitation" : "(Castelein et al. 2015)" }, "properties" : { "noteIndex" : 0 }, "schema" : "https://github.com/citation-style-language/schema/raw/master/csl-citation.json" }</w:instrText>
      </w:r>
      <w:r w:rsidRPr="00582A6A">
        <w:rPr>
          <w:sz w:val="24"/>
          <w:lang w:val="en-US"/>
        </w:rPr>
        <w:fldChar w:fldCharType="end"/>
      </w:r>
      <w:r w:rsidRPr="00582A6A">
        <w:rPr>
          <w:sz w:val="24"/>
          <w:lang w:val="en-US"/>
        </w:rPr>
        <w:t xml:space="preserve">. </w:t>
      </w:r>
      <w:r w:rsidRPr="00582A6A">
        <w:rPr>
          <w:rFonts w:eastAsiaTheme="minorEastAsia"/>
          <w:sz w:val="24"/>
          <w:szCs w:val="24"/>
        </w:rPr>
        <w:t>Then, the average EMG envelope over a time window of 500ms (moving average filter) was calculated during each MVIC trial for each muscle (</w:t>
      </w:r>
      <w:proofErr w:type="spellStart"/>
      <w:r w:rsidRPr="00582A6A">
        <w:rPr>
          <w:sz w:val="24"/>
          <w:szCs w:val="24"/>
          <w:lang w:val="en-GB"/>
        </w:rPr>
        <w:t>Delsys</w:t>
      </w:r>
      <w:proofErr w:type="spellEnd"/>
      <w:r w:rsidRPr="00582A6A">
        <w:rPr>
          <w:sz w:val="24"/>
          <w:szCs w:val="24"/>
          <w:lang w:val="en-GB"/>
        </w:rPr>
        <w:t xml:space="preserve"> </w:t>
      </w:r>
      <w:proofErr w:type="spellStart"/>
      <w:r w:rsidRPr="00582A6A">
        <w:rPr>
          <w:sz w:val="24"/>
          <w:szCs w:val="24"/>
          <w:lang w:val="en-GB"/>
        </w:rPr>
        <w:t>Trigno</w:t>
      </w:r>
      <w:proofErr w:type="spellEnd"/>
      <w:r w:rsidRPr="00582A6A">
        <w:rPr>
          <w:sz w:val="24"/>
          <w:szCs w:val="24"/>
          <w:lang w:val="en-GB"/>
        </w:rPr>
        <w:t xml:space="preserve"> software, </w:t>
      </w:r>
      <w:proofErr w:type="spellStart"/>
      <w:r w:rsidRPr="00582A6A">
        <w:rPr>
          <w:sz w:val="24"/>
          <w:szCs w:val="24"/>
          <w:lang w:val="en-GB"/>
        </w:rPr>
        <w:t>Delsys</w:t>
      </w:r>
      <w:proofErr w:type="spellEnd"/>
      <w:r w:rsidRPr="00582A6A">
        <w:rPr>
          <w:sz w:val="24"/>
          <w:szCs w:val="24"/>
          <w:lang w:val="en-GB"/>
        </w:rPr>
        <w:t xml:space="preserve"> </w:t>
      </w:r>
      <w:proofErr w:type="spellStart"/>
      <w:r w:rsidRPr="00582A6A">
        <w:rPr>
          <w:sz w:val="24"/>
          <w:szCs w:val="24"/>
          <w:lang w:val="en-GB"/>
        </w:rPr>
        <w:t>Inc</w:t>
      </w:r>
      <w:proofErr w:type="spellEnd"/>
      <w:r w:rsidRPr="00582A6A">
        <w:rPr>
          <w:sz w:val="24"/>
          <w:szCs w:val="24"/>
          <w:lang w:val="en-GB"/>
        </w:rPr>
        <w:t>, Natick, MA, USA</w:t>
      </w:r>
      <w:r w:rsidRPr="00582A6A">
        <w:rPr>
          <w:rFonts w:eastAsiaTheme="minorEastAsia"/>
          <w:sz w:val="24"/>
          <w:szCs w:val="24"/>
        </w:rPr>
        <w:t xml:space="preserve">). </w:t>
      </w:r>
      <w:r w:rsidRPr="00582A6A">
        <w:rPr>
          <w:sz w:val="24"/>
          <w:lang w:val="en-US"/>
        </w:rPr>
        <w:t xml:space="preserve">The EMG signals were then normalized with respect to the values obtained during the maximum voluntary isometric contraction test (MVIC) in order to obtain the activation level percentage of the MVA (%MVA) for each of the muscles assessed. </w:t>
      </w:r>
    </w:p>
    <w:p w14:paraId="77F51C2F"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11473D93"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data analysis</w:t>
      </w:r>
    </w:p>
    <w:p w14:paraId="7511E5AC"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Statistical analyses were performed using JASP (JASP team software, version 0.9.1.0, University of Amsterdam) and R (R Core Team 2021; package psych 1.0.12 and </w:t>
      </w:r>
      <w:proofErr w:type="spellStart"/>
      <w:r w:rsidRPr="00582A6A">
        <w:rPr>
          <w:rFonts w:ascii="Times New Roman" w:hAnsi="Times New Roman" w:cs="Times New Roman"/>
          <w:sz w:val="24"/>
          <w:szCs w:val="24"/>
          <w:lang w:val="en-GB"/>
        </w:rPr>
        <w:t>Rcmdr</w:t>
      </w:r>
      <w:proofErr w:type="spellEnd"/>
      <w:r w:rsidRPr="00582A6A">
        <w:rPr>
          <w:rFonts w:ascii="Times New Roman" w:hAnsi="Times New Roman" w:cs="Times New Roman"/>
          <w:sz w:val="24"/>
          <w:szCs w:val="24"/>
          <w:lang w:val="en-GB"/>
        </w:rPr>
        <w:t xml:space="preserve"> 1.7-1). The Shapiro-</w:t>
      </w:r>
      <w:proofErr w:type="spellStart"/>
      <w:r w:rsidRPr="00582A6A">
        <w:rPr>
          <w:rFonts w:ascii="Times New Roman" w:hAnsi="Times New Roman" w:cs="Times New Roman"/>
          <w:sz w:val="24"/>
          <w:szCs w:val="24"/>
          <w:lang w:val="en-GB"/>
        </w:rPr>
        <w:t>Wilk</w:t>
      </w:r>
      <w:proofErr w:type="spellEnd"/>
      <w:r w:rsidRPr="00582A6A">
        <w:rPr>
          <w:rFonts w:ascii="Times New Roman" w:hAnsi="Times New Roman" w:cs="Times New Roman"/>
          <w:sz w:val="24"/>
          <w:szCs w:val="24"/>
          <w:lang w:val="en-GB"/>
        </w:rPr>
        <w:t xml:space="preserve"> test was applied to the peak strength and sEMG values of HM to confirm the normality of the distribution. After its confirmation, the mean values and the standard deviation (SD) were then calculated. In addition, the reliability of strength and sEMG results in each tested position was estimated by comparing the two trials and calculating the Intraclass Coefficient Correlation (ICC; Two-way mixed effects, absolute agreement, single </w:t>
      </w:r>
      <w:proofErr w:type="spellStart"/>
      <w:r w:rsidRPr="00582A6A">
        <w:rPr>
          <w:rFonts w:ascii="Times New Roman" w:hAnsi="Times New Roman" w:cs="Times New Roman"/>
          <w:sz w:val="24"/>
          <w:szCs w:val="24"/>
          <w:lang w:val="en-GB"/>
        </w:rPr>
        <w:t>rater</w:t>
      </w:r>
      <w:proofErr w:type="spellEnd"/>
      <w:r w:rsidRPr="00582A6A">
        <w:rPr>
          <w:rFonts w:ascii="Times New Roman" w:hAnsi="Times New Roman" w:cs="Times New Roman"/>
          <w:sz w:val="24"/>
          <w:szCs w:val="24"/>
          <w:lang w:val="en-GB"/>
        </w:rPr>
        <w:t>/measurement based on Koo et al. 2016) with 95% confidence interval (95% CI) and Minimal Detectable Change (MDC). We considered an ICC over 0.90 as very high, from 0.70 to 0.89 as high and finally from 0.50 to 0.69 as moderate (</w:t>
      </w:r>
      <w:proofErr w:type="spellStart"/>
      <w:r w:rsidRPr="00582A6A">
        <w:rPr>
          <w:rFonts w:ascii="Times New Roman" w:hAnsi="Times New Roman" w:cs="Times New Roman"/>
          <w:sz w:val="24"/>
          <w:szCs w:val="24"/>
          <w:lang w:val="en-GB"/>
        </w:rPr>
        <w:t>Denegar</w:t>
      </w:r>
      <w:proofErr w:type="spellEnd"/>
      <w:r w:rsidRPr="00582A6A">
        <w:rPr>
          <w:rFonts w:ascii="Times New Roman" w:hAnsi="Times New Roman" w:cs="Times New Roman"/>
          <w:sz w:val="24"/>
          <w:szCs w:val="24"/>
          <w:lang w:val="en-GB"/>
        </w:rPr>
        <w:t xml:space="preserve"> et al. 1993). Paired-Student t-tests were used to compare the first and second session for strength and EMG data. </w:t>
      </w:r>
    </w:p>
    <w:p w14:paraId="4AA4FD4E"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Repeated measures analysis of variance (ANOVA) was used to analyse the effect of tibial rotation (TR) and Knee flexion (KF) angulation on isometric peak strength and for each hamstrings muscle group activity. A Bonferroni adjustment was used for post-hoc tests when the ANOVA results showed a statistically significant effect (with significance level set at </w:t>
      </w:r>
      <w:r w:rsidRPr="00582A6A">
        <w:rPr>
          <w:rFonts w:ascii="Times New Roman" w:hAnsi="Times New Roman" w:cs="Times New Roman"/>
          <w:i/>
          <w:sz w:val="24"/>
          <w:szCs w:val="24"/>
          <w:lang w:val="en-GB"/>
        </w:rPr>
        <w:t>p</w:t>
      </w:r>
      <w:r w:rsidRPr="00582A6A">
        <w:rPr>
          <w:rFonts w:ascii="Times New Roman" w:hAnsi="Times New Roman" w:cs="Times New Roman"/>
          <w:sz w:val="24"/>
          <w:szCs w:val="24"/>
          <w:lang w:val="en-GB"/>
        </w:rPr>
        <w:t xml:space="preserve"> &lt; 0.05). We considered a Cohen’s d effect size over 0.8 as large, from 0.5 to 0.79 as medium to large, from 0.2 to 0.49 as small to medium and finally from 0.0 to 0.2 as small (</w:t>
      </w:r>
      <w:proofErr w:type="spellStart"/>
      <w:r w:rsidRPr="00582A6A">
        <w:rPr>
          <w:rFonts w:ascii="Times New Roman" w:hAnsi="Times New Roman" w:cs="Times New Roman"/>
          <w:sz w:val="24"/>
          <w:szCs w:val="24"/>
          <w:lang w:val="en-GB"/>
        </w:rPr>
        <w:t>Lakens</w:t>
      </w:r>
      <w:proofErr w:type="spellEnd"/>
      <w:r w:rsidRPr="00582A6A">
        <w:rPr>
          <w:rFonts w:ascii="Times New Roman" w:hAnsi="Times New Roman" w:cs="Times New Roman"/>
          <w:sz w:val="24"/>
          <w:szCs w:val="24"/>
          <w:lang w:val="en-GB"/>
        </w:rPr>
        <w:t xml:space="preserve"> et al. 2013).</w:t>
      </w:r>
    </w:p>
    <w:p w14:paraId="36968310" w14:textId="77777777" w:rsidR="004508A9" w:rsidRPr="00582A6A" w:rsidRDefault="004508A9" w:rsidP="004508A9">
      <w:pPr>
        <w:spacing w:after="0" w:line="480" w:lineRule="auto"/>
        <w:jc w:val="both"/>
        <w:rPr>
          <w:rFonts w:ascii="Times New Roman" w:hAnsi="Times New Roman" w:cs="Times New Roman"/>
          <w:b/>
          <w:sz w:val="24"/>
          <w:szCs w:val="24"/>
          <w:lang w:val="en-GB"/>
        </w:rPr>
      </w:pPr>
    </w:p>
    <w:p w14:paraId="472EBB9A"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b/>
          <w:smallCaps/>
          <w:sz w:val="24"/>
          <w:szCs w:val="24"/>
          <w:lang w:val="en-GB"/>
        </w:rPr>
      </w:pPr>
      <w:r w:rsidRPr="00582A6A">
        <w:rPr>
          <w:rFonts w:ascii="Times New Roman" w:hAnsi="Times New Roman" w:cs="Times New Roman"/>
          <w:b/>
          <w:smallCaps/>
          <w:sz w:val="24"/>
          <w:szCs w:val="24"/>
          <w:lang w:val="en-GB"/>
        </w:rPr>
        <w:t>Results</w:t>
      </w:r>
    </w:p>
    <w:p w14:paraId="66DFE506"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Peak strength analysis</w:t>
      </w:r>
    </w:p>
    <w:p w14:paraId="36620E77"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The peak strength data analysis showed high to very high reliability (ICC 0.87 - 0.97; Table 1). No statistical difference was found between the first and second test, except for the 90° knee flexion associated with a neutral tibial position (</w:t>
      </w:r>
      <w:r w:rsidRPr="00582A6A">
        <w:rPr>
          <w:rFonts w:ascii="Times New Roman" w:hAnsi="Times New Roman" w:cs="Times New Roman"/>
          <w:i/>
          <w:sz w:val="24"/>
          <w:szCs w:val="24"/>
          <w:lang w:val="en-GB"/>
        </w:rPr>
        <w:t>p</w:t>
      </w:r>
      <w:r w:rsidRPr="00582A6A">
        <w:rPr>
          <w:rFonts w:ascii="Times New Roman" w:hAnsi="Times New Roman" w:cs="Times New Roman"/>
          <w:sz w:val="24"/>
          <w:szCs w:val="24"/>
          <w:lang w:val="en-GB"/>
        </w:rPr>
        <w:t xml:space="preserve"> = 0.043), as the peak strength was significantly greater in the second test (75.1 </w:t>
      </w:r>
      <w:proofErr w:type="spellStart"/>
      <w:r w:rsidRPr="00582A6A">
        <w:rPr>
          <w:rFonts w:ascii="Times New Roman" w:hAnsi="Times New Roman" w:cs="Times New Roman"/>
          <w:sz w:val="24"/>
          <w:szCs w:val="24"/>
          <w:lang w:val="en-GB"/>
        </w:rPr>
        <w:t>N.m</w:t>
      </w:r>
      <w:proofErr w:type="spellEnd"/>
      <w:r w:rsidRPr="00582A6A">
        <w:rPr>
          <w:rFonts w:ascii="Times New Roman" w:hAnsi="Times New Roman" w:cs="Times New Roman"/>
          <w:sz w:val="24"/>
          <w:szCs w:val="24"/>
          <w:lang w:val="en-GB"/>
        </w:rPr>
        <w:t xml:space="preserve"> ± 17.6) compared to the first test (73.5 </w:t>
      </w:r>
      <w:proofErr w:type="spellStart"/>
      <w:r w:rsidRPr="00582A6A">
        <w:rPr>
          <w:rFonts w:ascii="Times New Roman" w:hAnsi="Times New Roman" w:cs="Times New Roman"/>
          <w:sz w:val="24"/>
          <w:szCs w:val="24"/>
          <w:lang w:val="en-GB"/>
        </w:rPr>
        <w:t>N.m</w:t>
      </w:r>
      <w:proofErr w:type="spellEnd"/>
      <w:r w:rsidRPr="00582A6A">
        <w:rPr>
          <w:rFonts w:ascii="Times New Roman" w:hAnsi="Times New Roman" w:cs="Times New Roman"/>
          <w:sz w:val="24"/>
          <w:szCs w:val="24"/>
          <w:lang w:val="en-GB"/>
        </w:rPr>
        <w:t xml:space="preserve"> ± 18.2) (Table 1). </w:t>
      </w:r>
    </w:p>
    <w:p w14:paraId="6AD1CBA9"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The repeated measures ANOVA showed no effect on isometric peak strength of knee flexion angle (p = 0.72) and the interaction of angle </w:t>
      </w:r>
      <w:proofErr w:type="spellStart"/>
      <w:r w:rsidRPr="00582A6A">
        <w:rPr>
          <w:rFonts w:ascii="Times New Roman" w:hAnsi="Times New Roman" w:cs="Times New Roman"/>
          <w:sz w:val="24"/>
          <w:szCs w:val="24"/>
          <w:lang w:val="en-GB"/>
        </w:rPr>
        <w:t>vs</w:t>
      </w:r>
      <w:proofErr w:type="spellEnd"/>
      <w:r w:rsidRPr="00582A6A">
        <w:rPr>
          <w:rFonts w:ascii="Times New Roman" w:hAnsi="Times New Roman" w:cs="Times New Roman"/>
          <w:sz w:val="24"/>
          <w:szCs w:val="24"/>
          <w:lang w:val="en-GB"/>
        </w:rPr>
        <w:t xml:space="preserve"> tibial rotation position (p = 0.461). However, repeated measures ANOVA showed a significant influence on isometric peak strength of tibial rotation position (p = 0.027), with Bonferroni post hoc showing there was a superior isometric peak strength in neutral position in comparison to medial rotation (p = 0.023), but in small to moderate proportions (mean difference of 9.1 </w:t>
      </w:r>
      <w:proofErr w:type="spellStart"/>
      <w:r w:rsidRPr="00582A6A">
        <w:rPr>
          <w:rFonts w:ascii="Times New Roman" w:hAnsi="Times New Roman" w:cs="Times New Roman"/>
          <w:sz w:val="24"/>
          <w:szCs w:val="24"/>
          <w:lang w:val="en-GB"/>
        </w:rPr>
        <w:t>N.m</w:t>
      </w:r>
      <w:proofErr w:type="spellEnd"/>
      <w:r w:rsidRPr="00582A6A">
        <w:rPr>
          <w:rFonts w:ascii="Times New Roman" w:hAnsi="Times New Roman" w:cs="Times New Roman"/>
          <w:sz w:val="24"/>
          <w:szCs w:val="24"/>
          <w:lang w:val="en-GB"/>
        </w:rPr>
        <w:t xml:space="preserve"> with </w:t>
      </w:r>
      <w:proofErr w:type="spellStart"/>
      <w:r w:rsidRPr="00582A6A">
        <w:rPr>
          <w:rFonts w:ascii="Times New Roman" w:hAnsi="Times New Roman" w:cs="Times New Roman"/>
          <w:sz w:val="24"/>
          <w:szCs w:val="24"/>
          <w:lang w:val="en-GB"/>
        </w:rPr>
        <w:t>Cohen’d</w:t>
      </w:r>
      <w:proofErr w:type="spellEnd"/>
      <w:r w:rsidRPr="00582A6A">
        <w:rPr>
          <w:rFonts w:ascii="Times New Roman" w:hAnsi="Times New Roman" w:cs="Times New Roman"/>
          <w:sz w:val="24"/>
          <w:szCs w:val="24"/>
          <w:lang w:val="en-GB"/>
        </w:rPr>
        <w:t xml:space="preserve"> = 0.261). Bonferroni post hoc showed no significant difference between lateral and medial rotation (p = 0.293) or between neutral position and lateral rotation (p = 0.899) (Table 2). Finally, the isometric strength ratio of MR/LR were 0.93±0.10 at 30°, 0.93±0.10 at 60° and 0.94±0.17 at 90° of knee flexion angle (Table 3). </w:t>
      </w:r>
    </w:p>
    <w:p w14:paraId="0D7F09D5"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p>
    <w:p w14:paraId="5DA8F889" w14:textId="77777777" w:rsidR="004508A9" w:rsidRPr="00582A6A" w:rsidRDefault="004508A9" w:rsidP="004508A9">
      <w:pPr>
        <w:spacing w:after="0" w:line="480" w:lineRule="auto"/>
        <w:jc w:val="both"/>
        <w:rPr>
          <w:rFonts w:ascii="Times New Roman" w:hAnsi="Times New Roman" w:cs="Times New Roman"/>
          <w:smallCaps/>
          <w:sz w:val="24"/>
          <w:szCs w:val="24"/>
          <w:lang w:val="en-GB"/>
        </w:rPr>
      </w:pPr>
      <w:r w:rsidRPr="00582A6A">
        <w:rPr>
          <w:rFonts w:ascii="Times New Roman" w:hAnsi="Times New Roman" w:cs="Times New Roman"/>
          <w:smallCaps/>
          <w:sz w:val="24"/>
          <w:szCs w:val="24"/>
          <w:lang w:val="en-GB"/>
        </w:rPr>
        <w:t>sEMG analysis</w:t>
      </w:r>
    </w:p>
    <w:p w14:paraId="3653768A"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Tables 4 and Figure 1 A and B represent sEMG activity of semitendinosus and biceps femoris at the three knee flexion angulations and different tibial positions. </w:t>
      </w:r>
    </w:p>
    <w:p w14:paraId="3AF74CA6" w14:textId="77777777" w:rsidR="004508A9" w:rsidRPr="00582A6A" w:rsidRDefault="004508A9" w:rsidP="004508A9">
      <w:pPr>
        <w:spacing w:after="0" w:line="480" w:lineRule="auto"/>
        <w:jc w:val="both"/>
        <w:rPr>
          <w:rFonts w:ascii="Times New Roman" w:hAnsi="Times New Roman" w:cs="Times New Roman"/>
          <w:sz w:val="24"/>
          <w:szCs w:val="24"/>
          <w:lang w:val="en-GB"/>
        </w:rPr>
      </w:pPr>
      <w:proofErr w:type="gramStart"/>
      <w:r w:rsidRPr="00582A6A">
        <w:rPr>
          <w:rFonts w:ascii="Times New Roman" w:hAnsi="Times New Roman" w:cs="Times New Roman"/>
          <w:sz w:val="24"/>
          <w:szCs w:val="24"/>
          <w:lang w:val="en-GB"/>
        </w:rPr>
        <w:t>sEMG</w:t>
      </w:r>
      <w:proofErr w:type="gramEnd"/>
      <w:r w:rsidRPr="00582A6A">
        <w:rPr>
          <w:rFonts w:ascii="Times New Roman" w:hAnsi="Times New Roman" w:cs="Times New Roman"/>
          <w:sz w:val="24"/>
          <w:szCs w:val="24"/>
          <w:lang w:val="en-GB"/>
        </w:rPr>
        <w:t xml:space="preserve"> activities for BF and ST muscles were found to be low to moderately reliable between the first and second trial for each tibial rotation at all knee flexion angulation (ICC 0.22 – 0.73; Table 4). </w:t>
      </w:r>
    </w:p>
    <w:p w14:paraId="3C443ED7"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For BF muscle, Repeated measures ANOVA with Bonferroni post hoc showed the mean value of maximal recruitment at the </w:t>
      </w:r>
      <w:proofErr w:type="gramStart"/>
      <w:r w:rsidRPr="00582A6A">
        <w:rPr>
          <w:rFonts w:ascii="Times New Roman" w:hAnsi="Times New Roman" w:cs="Times New Roman"/>
          <w:sz w:val="24"/>
          <w:szCs w:val="24"/>
          <w:lang w:val="en-GB"/>
        </w:rPr>
        <w:t>three knee</w:t>
      </w:r>
      <w:proofErr w:type="gramEnd"/>
      <w:r w:rsidRPr="00582A6A">
        <w:rPr>
          <w:rFonts w:ascii="Times New Roman" w:hAnsi="Times New Roman" w:cs="Times New Roman"/>
          <w:sz w:val="24"/>
          <w:szCs w:val="24"/>
          <w:lang w:val="en-GB"/>
        </w:rPr>
        <w:t xml:space="preserve"> flexion angulation increased in LR (+ 19.2%; p &lt; 0.001; Table 5) and decreased in MR (- 23.0 %; p &lt; 0.001; Table 5) compared to neutral position (NP). However, the repeated measures ANOVA showed no effect on the mean value of maximal recruitment of knee flexion angle (p = 0.111) or angle </w:t>
      </w:r>
      <w:proofErr w:type="spellStart"/>
      <w:r w:rsidRPr="00582A6A">
        <w:rPr>
          <w:rFonts w:ascii="Times New Roman" w:hAnsi="Times New Roman" w:cs="Times New Roman"/>
          <w:sz w:val="24"/>
          <w:szCs w:val="24"/>
          <w:lang w:val="en-GB"/>
        </w:rPr>
        <w:t>vs</w:t>
      </w:r>
      <w:proofErr w:type="spellEnd"/>
      <w:r w:rsidRPr="00582A6A">
        <w:rPr>
          <w:rFonts w:ascii="Times New Roman" w:hAnsi="Times New Roman" w:cs="Times New Roman"/>
          <w:sz w:val="24"/>
          <w:szCs w:val="24"/>
          <w:lang w:val="en-GB"/>
        </w:rPr>
        <w:t xml:space="preserve"> position (p = 0.282; Table 5). </w:t>
      </w:r>
    </w:p>
    <w:p w14:paraId="212BA356" w14:textId="77777777" w:rsidR="004508A9" w:rsidRPr="00582A6A" w:rsidRDefault="004508A9" w:rsidP="004508A9">
      <w:pPr>
        <w:spacing w:after="0" w:line="480" w:lineRule="auto"/>
        <w:jc w:val="both"/>
      </w:pPr>
      <w:r w:rsidRPr="00582A6A">
        <w:rPr>
          <w:rFonts w:ascii="Times New Roman" w:hAnsi="Times New Roman" w:cs="Times New Roman"/>
          <w:sz w:val="24"/>
          <w:szCs w:val="24"/>
          <w:lang w:val="en-GB"/>
        </w:rPr>
        <w:t xml:space="preserve">For ST muscle, the repeated measures ANOVA with Bonferroni post hoc showed the mean value of maximal recruitment at the </w:t>
      </w:r>
      <w:proofErr w:type="gramStart"/>
      <w:r w:rsidRPr="00582A6A">
        <w:rPr>
          <w:rFonts w:ascii="Times New Roman" w:hAnsi="Times New Roman" w:cs="Times New Roman"/>
          <w:sz w:val="24"/>
          <w:szCs w:val="24"/>
          <w:lang w:val="en-GB"/>
        </w:rPr>
        <w:t>three knee</w:t>
      </w:r>
      <w:proofErr w:type="gramEnd"/>
      <w:r w:rsidRPr="00582A6A">
        <w:rPr>
          <w:rFonts w:ascii="Times New Roman" w:hAnsi="Times New Roman" w:cs="Times New Roman"/>
          <w:sz w:val="24"/>
          <w:szCs w:val="24"/>
          <w:lang w:val="en-GB"/>
        </w:rPr>
        <w:t xml:space="preserve"> flexion angulation decreased in LR (- 20.7%; p = 0.001) in comparison to NP and MR (p&lt;0.001), but did not differ significantly between MR and NP (p = 1.0; Table 6). In MR, ST muscle recruitment did not significantly differ between the three knee flexion angles. However in LR and NP, there was a superior activation at 90° compared to 30° (p &lt; 0.001) and 60° (p = 0.044), but not between 60° and 30° (p = 0.404; Table 6).</w:t>
      </w:r>
    </w:p>
    <w:p w14:paraId="2225DCEE"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21996344"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b/>
          <w:smallCaps/>
          <w:sz w:val="24"/>
          <w:szCs w:val="24"/>
          <w:lang w:val="en-GB"/>
        </w:rPr>
      </w:pPr>
      <w:r w:rsidRPr="00582A6A">
        <w:rPr>
          <w:rFonts w:ascii="Times New Roman" w:hAnsi="Times New Roman" w:cs="Times New Roman"/>
          <w:b/>
          <w:smallCaps/>
          <w:sz w:val="24"/>
          <w:szCs w:val="24"/>
          <w:lang w:val="en-GB"/>
        </w:rPr>
        <w:t>Discussion</w:t>
      </w:r>
    </w:p>
    <w:p w14:paraId="1481E226"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This study aimed to analyze the ability of the Knee-Rotation test (or KR-test) to specifically measure a hamstring muscle group maximal isometric strength at 90 degrees of hip flexion. The main findings were that 1) lateral and medial rotation could be used to assess the isometric strength ratio of MR/LR independently from the knee flexion angle, allowing better isolation of each hamstring muscle group recruitment from its counterpart.</w:t>
      </w:r>
      <w:r w:rsidRPr="00582A6A">
        <w:rPr>
          <w:rFonts w:ascii="Times New Roman" w:hAnsi="Times New Roman" w:cs="Times New Roman"/>
          <w:sz w:val="24"/>
          <w:szCs w:val="24"/>
          <w:lang w:val="en-US"/>
        </w:rPr>
        <w:t xml:space="preserve"> 2) Neutral position</w:t>
      </w:r>
      <w:r w:rsidRPr="00582A6A">
        <w:rPr>
          <w:rFonts w:ascii="Times New Roman" w:hAnsi="Times New Roman" w:cs="Times New Roman"/>
          <w:sz w:val="24"/>
          <w:szCs w:val="24"/>
          <w:lang w:val="en-GB"/>
        </w:rPr>
        <w:t xml:space="preserve"> appeared to result in the greatest isometric strength. 3) The KR-Test showed high reliability (ICC &gt; 0.87) for assessing the MR/LR isometric strength of knee flexion using the hand-held dynamometer. </w:t>
      </w:r>
    </w:p>
    <w:p w14:paraId="55CD995B" w14:textId="77777777" w:rsidR="004508A9" w:rsidRPr="00582A6A" w:rsidRDefault="004508A9" w:rsidP="004508A9">
      <w:pPr>
        <w:spacing w:after="0" w:line="480" w:lineRule="auto"/>
        <w:jc w:val="both"/>
        <w:rPr>
          <w:rFonts w:ascii="Times New Roman" w:hAnsi="Times New Roman" w:cs="Times New Roman"/>
          <w:smallCaps/>
          <w:strike/>
          <w:sz w:val="24"/>
          <w:szCs w:val="24"/>
          <w:lang w:val="en-GB"/>
        </w:rPr>
      </w:pPr>
    </w:p>
    <w:p w14:paraId="4B8111D3"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Overall, our data support the idea that the hamstring muscle groups should be considered as two separate entities from an assessment perspective, as tibial rotation significantly influence their recruitment. Results showed that tibial rotation indeed change the global hamstring muscle strength production independently from the knee flexion angle, with small to moderate effect size. There were significant differences in isometric strength between MR and NP at every knee flexion angle, with an average of 12% lower result associated with MR. This mean difference is comparable to the results of </w:t>
      </w:r>
      <w:r w:rsidRPr="00582A6A">
        <w:rPr>
          <w:rFonts w:ascii="Times New Roman" w:eastAsia="Times New Roman" w:hAnsi="Times New Roman" w:cs="Times New Roman"/>
          <w:sz w:val="24"/>
          <w:szCs w:val="24"/>
          <w:shd w:val="clear" w:color="auto" w:fill="FFFFFF"/>
          <w:lang w:eastAsia="fr-FR"/>
        </w:rPr>
        <w:t>Jónasson</w:t>
      </w:r>
      <w:r w:rsidRPr="00582A6A">
        <w:rPr>
          <w:rFonts w:ascii="Times New Roman" w:hAnsi="Times New Roman" w:cs="Times New Roman"/>
          <w:sz w:val="24"/>
          <w:szCs w:val="24"/>
          <w:lang w:val="en-GB"/>
        </w:rPr>
        <w:t xml:space="preserve"> et al. (2016), who found the strength to be 9.1% higher in NP compared to MR. Although the relevance of this small difference in strength between MR and NP remains questionable, it may be considered clinically relevant after injury (</w:t>
      </w:r>
      <w:proofErr w:type="spellStart"/>
      <w:r w:rsidRPr="00582A6A">
        <w:rPr>
          <w:rFonts w:ascii="Times New Roman" w:hAnsi="Times New Roman" w:cs="Times New Roman"/>
          <w:sz w:val="24"/>
          <w:szCs w:val="24"/>
          <w:lang w:val="en-GB"/>
        </w:rPr>
        <w:t>Croisier</w:t>
      </w:r>
      <w:proofErr w:type="spellEnd"/>
      <w:r w:rsidRPr="00582A6A">
        <w:rPr>
          <w:rFonts w:ascii="Times New Roman" w:hAnsi="Times New Roman" w:cs="Times New Roman"/>
          <w:sz w:val="24"/>
          <w:szCs w:val="24"/>
          <w:lang w:val="en-GB"/>
        </w:rPr>
        <w:t xml:space="preserve"> et al. 2004, 2008). These findings may be due to increased mechanical disadvantage in MR and altered relationships between the lengths of muscle-tendon units, thereby reducing strength generation. The normal active MR range of motion (ROM) in healthy volunteers is on average between 24° to 32° (</w:t>
      </w:r>
      <w:proofErr w:type="spellStart"/>
      <w:r w:rsidRPr="00582A6A">
        <w:rPr>
          <w:rFonts w:ascii="Times New Roman" w:hAnsi="Times New Roman" w:cs="Times New Roman"/>
          <w:sz w:val="24"/>
          <w:szCs w:val="24"/>
          <w:lang w:val="en-GB"/>
        </w:rPr>
        <w:t>Slichter</w:t>
      </w:r>
      <w:proofErr w:type="spellEnd"/>
      <w:r w:rsidRPr="00582A6A">
        <w:rPr>
          <w:rFonts w:ascii="Times New Roman" w:hAnsi="Times New Roman" w:cs="Times New Roman"/>
          <w:sz w:val="24"/>
          <w:szCs w:val="24"/>
          <w:lang w:val="en-GB"/>
        </w:rPr>
        <w:t xml:space="preserve"> et al. 2018). Conversely, higher strength in NP and LR may result from optimal joint position and muscle fiber tension, enhancing strength production while the normal ROM of LR averages between 39° and 41° (</w:t>
      </w:r>
      <w:proofErr w:type="spellStart"/>
      <w:r w:rsidRPr="00582A6A">
        <w:rPr>
          <w:rFonts w:ascii="Times New Roman" w:hAnsi="Times New Roman" w:cs="Times New Roman"/>
          <w:sz w:val="24"/>
          <w:szCs w:val="24"/>
          <w:lang w:val="en-GB"/>
        </w:rPr>
        <w:t>Slichter</w:t>
      </w:r>
      <w:proofErr w:type="spellEnd"/>
      <w:r w:rsidRPr="00582A6A">
        <w:rPr>
          <w:rFonts w:ascii="Times New Roman" w:hAnsi="Times New Roman" w:cs="Times New Roman"/>
          <w:sz w:val="24"/>
          <w:szCs w:val="24"/>
          <w:lang w:val="en-GB"/>
        </w:rPr>
        <w:t xml:space="preserve"> et al. 2018). The difference in strength between MR and NP is in contrast to the study by Armour et al. (2004), who found no significant modifications of the hamstring isometric strength function due to tibial rotation. The result may be because the movements tested in Armour’s study relied on tibial rotation strengths rather that knee flexion strength in tibial rotation position. </w:t>
      </w:r>
    </w:p>
    <w:p w14:paraId="3195965B"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2B5FE91" w14:textId="77777777" w:rsidR="004508A9" w:rsidRPr="00582A6A" w:rsidRDefault="004508A9" w:rsidP="004508A9">
      <w:pPr>
        <w:spacing w:after="0" w:line="480" w:lineRule="auto"/>
        <w:jc w:val="both"/>
        <w:rPr>
          <w:rFonts w:ascii="Times New Roman" w:hAnsi="Times New Roman" w:cs="Times New Roman"/>
          <w:sz w:val="24"/>
          <w:szCs w:val="24"/>
          <w:lang w:val="en-GB"/>
        </w:rPr>
      </w:pPr>
      <w:proofErr w:type="gramStart"/>
      <w:r w:rsidRPr="00582A6A">
        <w:rPr>
          <w:rFonts w:ascii="Times New Roman" w:hAnsi="Times New Roman" w:cs="Times New Roman"/>
          <w:sz w:val="24"/>
          <w:szCs w:val="24"/>
          <w:lang w:val="en-GB"/>
        </w:rPr>
        <w:t>sEMG</w:t>
      </w:r>
      <w:proofErr w:type="gramEnd"/>
      <w:r w:rsidRPr="00582A6A">
        <w:rPr>
          <w:rFonts w:ascii="Times New Roman" w:hAnsi="Times New Roman" w:cs="Times New Roman"/>
          <w:sz w:val="24"/>
          <w:szCs w:val="24"/>
          <w:lang w:val="en-GB"/>
        </w:rPr>
        <w:t xml:space="preserve"> analysis revealed different activation patterns between the semitendinosus and biceps femoris muscles in MR, NP and LR. In the present study, it was found that LR to significantly increased the BFlh by up to 19.2%, and conversely, MR decreased the BFlh activation by up to 23.0% compared to NP, which is consistent with </w:t>
      </w:r>
      <w:r w:rsidRPr="00582A6A">
        <w:rPr>
          <w:rFonts w:ascii="Times New Roman" w:eastAsia="Times New Roman" w:hAnsi="Times New Roman" w:cs="Times New Roman"/>
          <w:sz w:val="24"/>
          <w:szCs w:val="24"/>
          <w:shd w:val="clear" w:color="auto" w:fill="FFFFFF"/>
          <w:lang w:eastAsia="fr-FR"/>
        </w:rPr>
        <w:t>previous results</w:t>
      </w:r>
      <w:r w:rsidRPr="00582A6A">
        <w:rPr>
          <w:rFonts w:ascii="Times New Roman" w:hAnsi="Times New Roman" w:cs="Times New Roman"/>
          <w:sz w:val="24"/>
          <w:szCs w:val="24"/>
          <w:lang w:val="en-GB"/>
        </w:rPr>
        <w:t xml:space="preserve"> (</w:t>
      </w:r>
      <w:r w:rsidRPr="00582A6A">
        <w:rPr>
          <w:rFonts w:ascii="Times New Roman" w:eastAsia="Times New Roman" w:hAnsi="Times New Roman" w:cs="Times New Roman"/>
          <w:sz w:val="24"/>
          <w:szCs w:val="24"/>
          <w:shd w:val="clear" w:color="auto" w:fill="FFFFFF"/>
          <w:lang w:eastAsia="fr-FR"/>
        </w:rPr>
        <w:t>Jónasson</w:t>
      </w:r>
      <w:r w:rsidRPr="00582A6A">
        <w:rPr>
          <w:rFonts w:ascii="Times New Roman" w:hAnsi="Times New Roman" w:cs="Times New Roman"/>
          <w:sz w:val="24"/>
          <w:szCs w:val="24"/>
          <w:lang w:val="en-GB"/>
        </w:rPr>
        <w:t xml:space="preserve"> et al. 2016; Beyer et al. 2019). These changes in muscle activity may hinder overall knee flexion function and strength production, as we found that 12% less strength was produced in MR than in NP. We also observed that the mean values of maximal ST muscle recruitment at the three knee flexion angles did not differ between NP and MR. This is consistent with Beyer et al. (2019) and </w:t>
      </w:r>
      <w:r w:rsidRPr="00582A6A">
        <w:rPr>
          <w:rFonts w:ascii="Times New Roman" w:eastAsia="Times New Roman" w:hAnsi="Times New Roman" w:cs="Times New Roman"/>
          <w:sz w:val="24"/>
          <w:szCs w:val="24"/>
          <w:shd w:val="clear" w:color="auto" w:fill="FFFFFF"/>
          <w:lang w:eastAsia="fr-FR"/>
        </w:rPr>
        <w:t>Jónasson</w:t>
      </w:r>
      <w:r w:rsidRPr="00582A6A">
        <w:rPr>
          <w:rFonts w:ascii="Times New Roman" w:hAnsi="Times New Roman" w:cs="Times New Roman"/>
          <w:sz w:val="24"/>
          <w:szCs w:val="24"/>
          <w:lang w:val="en-GB"/>
        </w:rPr>
        <w:t xml:space="preserve"> et al. (2016), who suggested that a neutral tibial position could already predispose a healthy volunteer to optimally recruit the ST muscle compared to MR </w:t>
      </w:r>
      <w:r w:rsidRPr="00582A6A">
        <w:rPr>
          <w:rFonts w:ascii="Times New Roman" w:hAnsi="Times New Roman" w:cs="Times New Roman"/>
          <w:noProof/>
          <w:sz w:val="24"/>
          <w:szCs w:val="24"/>
          <w:lang w:val="en-US"/>
        </w:rPr>
        <w:t>(</w:t>
      </w:r>
      <w:r w:rsidRPr="00582A6A">
        <w:rPr>
          <w:rFonts w:ascii="Times New Roman" w:eastAsia="Times New Roman" w:hAnsi="Times New Roman" w:cs="Times New Roman"/>
          <w:sz w:val="24"/>
          <w:szCs w:val="24"/>
          <w:shd w:val="clear" w:color="auto" w:fill="FFFFFF"/>
          <w:lang w:eastAsia="fr-FR"/>
        </w:rPr>
        <w:t>Jónasson et al. 2016</w:t>
      </w:r>
      <w:r w:rsidRPr="00582A6A">
        <w:rPr>
          <w:rFonts w:ascii="Times New Roman" w:hAnsi="Times New Roman" w:cs="Times New Roman"/>
          <w:sz w:val="24"/>
          <w:szCs w:val="24"/>
          <w:lang w:val="en-GB"/>
        </w:rPr>
        <w:t xml:space="preserve">; Beyer et al. 2019). Furthermore, unlike </w:t>
      </w:r>
      <w:r w:rsidRPr="00582A6A">
        <w:rPr>
          <w:rFonts w:ascii="Times New Roman" w:eastAsia="Times New Roman" w:hAnsi="Times New Roman" w:cs="Times New Roman"/>
          <w:sz w:val="24"/>
          <w:szCs w:val="24"/>
          <w:shd w:val="clear" w:color="auto" w:fill="FFFFFF"/>
          <w:lang w:eastAsia="fr-FR"/>
        </w:rPr>
        <w:t>Jónasson</w:t>
      </w:r>
      <w:r w:rsidRPr="00582A6A">
        <w:rPr>
          <w:rFonts w:ascii="Times New Roman" w:hAnsi="Times New Roman" w:cs="Times New Roman"/>
          <w:sz w:val="24"/>
          <w:szCs w:val="24"/>
          <w:lang w:val="en-GB"/>
        </w:rPr>
        <w:t xml:space="preserve"> et al. results (2016), who found no statistical difference between MR and LR for ST muscle activity (p=0.085), our study revealed that ST muscle activity decreased by up to 20.7% in LR compared with MR, especially at long muscle length (LML) (30° of knee flexion; p&lt;0.001). The results may be attributed to methodological considerations as </w:t>
      </w:r>
      <w:r w:rsidRPr="00582A6A">
        <w:rPr>
          <w:rFonts w:ascii="Times New Roman" w:eastAsia="Times New Roman" w:hAnsi="Times New Roman" w:cs="Times New Roman"/>
          <w:sz w:val="24"/>
          <w:szCs w:val="24"/>
          <w:shd w:val="clear" w:color="auto" w:fill="FFFFFF"/>
          <w:lang w:eastAsia="fr-FR"/>
        </w:rPr>
        <w:t>Jónasson et al. only studied a 40° knee flexion position.</w:t>
      </w:r>
      <w:r w:rsidRPr="00582A6A">
        <w:rPr>
          <w:rFonts w:ascii="Times New Roman" w:hAnsi="Times New Roman" w:cs="Times New Roman"/>
          <w:sz w:val="24"/>
          <w:szCs w:val="24"/>
          <w:lang w:val="en-GB"/>
        </w:rPr>
        <w:t xml:space="preserve"> </w:t>
      </w:r>
    </w:p>
    <w:p w14:paraId="2AF3F4E4"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Furthermore, two studies (Lynn et al. 2009; </w:t>
      </w:r>
      <w:proofErr w:type="spellStart"/>
      <w:r w:rsidRPr="00582A6A">
        <w:rPr>
          <w:rFonts w:ascii="Times New Roman" w:hAnsi="Times New Roman" w:cs="Times New Roman"/>
          <w:sz w:val="24"/>
          <w:szCs w:val="24"/>
          <w:lang w:val="en-GB"/>
        </w:rPr>
        <w:t>Beuchat</w:t>
      </w:r>
      <w:proofErr w:type="spellEnd"/>
      <w:r w:rsidRPr="00582A6A">
        <w:rPr>
          <w:rFonts w:ascii="Times New Roman" w:hAnsi="Times New Roman" w:cs="Times New Roman"/>
          <w:sz w:val="24"/>
          <w:szCs w:val="24"/>
          <w:lang w:val="en-GB"/>
        </w:rPr>
        <w:t xml:space="preserve"> et al. 2019) have shown that changes in tibial rotation during various common strengthening exercises can reduce the activity of the contralateral HM group, thereby proportionally increasing the contribution of the ipsilateral counterpart. Additionally, from a strengthening standpoint, muscle activation represents an important factor for muscular hypertrophy, as several studies have demonstrated similarities between the recruitment patterns of the HM groups during hamstring strengthening exercises and adaptations resulting from their long-term use (Bourne et al. 2017). Therefore, hamstring exercises are often classified as short, medium, or long muscle length (</w:t>
      </w:r>
      <w:proofErr w:type="spellStart"/>
      <w:r w:rsidRPr="00582A6A">
        <w:rPr>
          <w:rFonts w:ascii="Times New Roman" w:eastAsiaTheme="minorEastAsia" w:hAnsi="Times New Roman" w:cs="Times New Roman"/>
          <w:sz w:val="24"/>
          <w:szCs w:val="24"/>
          <w:lang w:val="en-US" w:eastAsia="fr-FR"/>
        </w:rPr>
        <w:t>Marušič</w:t>
      </w:r>
      <w:proofErr w:type="spellEnd"/>
      <w:r w:rsidRPr="00582A6A">
        <w:rPr>
          <w:rFonts w:ascii="Times New Roman" w:eastAsiaTheme="minorEastAsia" w:hAnsi="Times New Roman" w:cs="Times New Roman"/>
          <w:sz w:val="24"/>
          <w:szCs w:val="24"/>
          <w:lang w:val="en-US" w:eastAsia="fr-FR"/>
        </w:rPr>
        <w:t xml:space="preserve"> et al. 2021; </w:t>
      </w:r>
      <w:proofErr w:type="spellStart"/>
      <w:r w:rsidRPr="00582A6A">
        <w:rPr>
          <w:rFonts w:ascii="Times New Roman" w:hAnsi="Times New Roman" w:cs="Times New Roman"/>
          <w:sz w:val="24"/>
          <w:szCs w:val="24"/>
          <w:lang w:val="en-GB"/>
        </w:rPr>
        <w:t>Vatovec</w:t>
      </w:r>
      <w:proofErr w:type="spellEnd"/>
      <w:r w:rsidRPr="00582A6A">
        <w:rPr>
          <w:rFonts w:ascii="Times New Roman" w:hAnsi="Times New Roman" w:cs="Times New Roman"/>
          <w:sz w:val="24"/>
          <w:szCs w:val="24"/>
          <w:lang w:val="en-GB"/>
        </w:rPr>
        <w:t xml:space="preserve"> et al. 2021), hip or knee </w:t>
      </w:r>
      <w:proofErr w:type="gramStart"/>
      <w:r w:rsidRPr="00582A6A">
        <w:rPr>
          <w:rFonts w:ascii="Times New Roman" w:hAnsi="Times New Roman" w:cs="Times New Roman"/>
          <w:sz w:val="24"/>
          <w:szCs w:val="24"/>
          <w:lang w:val="en-GB"/>
        </w:rPr>
        <w:t>dominant</w:t>
      </w:r>
      <w:proofErr w:type="gramEnd"/>
      <w:r w:rsidRPr="00582A6A">
        <w:rPr>
          <w:rFonts w:ascii="Times New Roman" w:hAnsi="Times New Roman" w:cs="Times New Roman"/>
          <w:sz w:val="24"/>
          <w:szCs w:val="24"/>
          <w:lang w:val="en-GB"/>
        </w:rPr>
        <w:t>, or depending on which muscle group is preferentially activated (MH versus LH) (</w:t>
      </w:r>
      <w:proofErr w:type="spellStart"/>
      <w:r w:rsidRPr="00582A6A">
        <w:rPr>
          <w:rFonts w:ascii="Times New Roman" w:hAnsi="Times New Roman" w:cs="Times New Roman"/>
          <w:sz w:val="24"/>
          <w:szCs w:val="24"/>
          <w:lang w:val="en-GB"/>
        </w:rPr>
        <w:t>Hegyi</w:t>
      </w:r>
      <w:proofErr w:type="spellEnd"/>
      <w:r w:rsidRPr="00582A6A">
        <w:rPr>
          <w:rFonts w:ascii="Times New Roman" w:hAnsi="Times New Roman" w:cs="Times New Roman"/>
          <w:sz w:val="24"/>
          <w:szCs w:val="24"/>
          <w:lang w:val="en-GB"/>
        </w:rPr>
        <w:t xml:space="preserve"> et al. 2019). However, it remains difficult in everyday practice to estimate the relative contributions of the MH/LH muscle groups due to significant interindividual variability, conflicting evidence, and confounding factors (e.g. relative intensity, muscle length, and total time under tension) influencing the mechanisms underlying their effects (</w:t>
      </w:r>
      <w:proofErr w:type="spellStart"/>
      <w:r w:rsidRPr="00582A6A">
        <w:rPr>
          <w:rFonts w:ascii="Times New Roman" w:hAnsi="Times New Roman" w:cs="Times New Roman"/>
          <w:sz w:val="24"/>
          <w:szCs w:val="24"/>
          <w:lang w:val="en-GB"/>
        </w:rPr>
        <w:t>Hegyi</w:t>
      </w:r>
      <w:proofErr w:type="spellEnd"/>
      <w:r w:rsidRPr="00582A6A">
        <w:rPr>
          <w:rFonts w:ascii="Times New Roman" w:hAnsi="Times New Roman" w:cs="Times New Roman"/>
          <w:sz w:val="24"/>
          <w:szCs w:val="24"/>
          <w:lang w:val="en-GB"/>
        </w:rPr>
        <w:t xml:space="preserve"> et al. 2019; Wolf et al. 2023). </w:t>
      </w:r>
    </w:p>
    <w:p w14:paraId="6C069E1A"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4EC2C07"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 xml:space="preserve">Among athletes who have undergone ACL reconstruction (ACLR) or a BFlh muscle injury, </w:t>
      </w:r>
      <w:proofErr w:type="spellStart"/>
      <w:r w:rsidRPr="00582A6A">
        <w:rPr>
          <w:rFonts w:ascii="Times New Roman" w:hAnsi="Times New Roman" w:cs="Times New Roman"/>
          <w:sz w:val="24"/>
          <w:szCs w:val="24"/>
          <w:lang w:val="en-GB"/>
        </w:rPr>
        <w:t>limitated</w:t>
      </w:r>
      <w:proofErr w:type="spellEnd"/>
      <w:r w:rsidRPr="00582A6A">
        <w:rPr>
          <w:rFonts w:ascii="Times New Roman" w:hAnsi="Times New Roman" w:cs="Times New Roman"/>
          <w:sz w:val="24"/>
          <w:szCs w:val="24"/>
          <w:lang w:val="en-GB"/>
        </w:rPr>
        <w:t xml:space="preserve"> flexibility in MR after ACLR (</w:t>
      </w:r>
      <w:proofErr w:type="spellStart"/>
      <w:r w:rsidRPr="00582A6A">
        <w:rPr>
          <w:rFonts w:ascii="Times New Roman" w:hAnsi="Times New Roman" w:cs="Times New Roman"/>
          <w:sz w:val="24"/>
          <w:szCs w:val="24"/>
          <w:lang w:val="en-GB"/>
        </w:rPr>
        <w:t>Brandenbourg</w:t>
      </w:r>
      <w:proofErr w:type="spellEnd"/>
      <w:r w:rsidRPr="00582A6A">
        <w:rPr>
          <w:rFonts w:ascii="Times New Roman" w:hAnsi="Times New Roman" w:cs="Times New Roman"/>
          <w:sz w:val="24"/>
          <w:szCs w:val="24"/>
          <w:lang w:val="en-GB"/>
        </w:rPr>
        <w:t xml:space="preserve"> et al. 2018; </w:t>
      </w:r>
      <w:proofErr w:type="spellStart"/>
      <w:r w:rsidRPr="00582A6A">
        <w:rPr>
          <w:rFonts w:ascii="Times New Roman" w:hAnsi="Times New Roman" w:cs="Times New Roman"/>
          <w:sz w:val="24"/>
          <w:szCs w:val="24"/>
          <w:lang w:val="en-GB"/>
        </w:rPr>
        <w:t>Boguszewski</w:t>
      </w:r>
      <w:proofErr w:type="spellEnd"/>
      <w:r w:rsidRPr="00582A6A">
        <w:rPr>
          <w:rFonts w:ascii="Times New Roman" w:hAnsi="Times New Roman" w:cs="Times New Roman"/>
          <w:sz w:val="24"/>
          <w:szCs w:val="24"/>
          <w:lang w:val="en-GB"/>
        </w:rPr>
        <w:t xml:space="preserve"> et al. 2016) or activation deficit in different injury situations such as ACLR and BFlh muscle injury (</w:t>
      </w:r>
      <w:proofErr w:type="spellStart"/>
      <w:r w:rsidRPr="00582A6A">
        <w:rPr>
          <w:rFonts w:ascii="Times New Roman" w:hAnsi="Times New Roman" w:cs="Times New Roman"/>
          <w:sz w:val="24"/>
          <w:szCs w:val="24"/>
          <w:lang w:val="en-GB"/>
        </w:rPr>
        <w:t>Georgoulis</w:t>
      </w:r>
      <w:proofErr w:type="spellEnd"/>
      <w:r w:rsidRPr="00582A6A">
        <w:rPr>
          <w:rFonts w:ascii="Times New Roman" w:hAnsi="Times New Roman" w:cs="Times New Roman"/>
          <w:sz w:val="24"/>
          <w:szCs w:val="24"/>
          <w:lang w:val="en-GB"/>
        </w:rPr>
        <w:t xml:space="preserve"> et al. 2023; </w:t>
      </w:r>
      <w:proofErr w:type="spellStart"/>
      <w:r w:rsidRPr="00582A6A">
        <w:rPr>
          <w:rFonts w:ascii="Times New Roman" w:hAnsi="Times New Roman" w:cs="Times New Roman"/>
          <w:sz w:val="24"/>
          <w:szCs w:val="24"/>
          <w:lang w:val="en-GB"/>
        </w:rPr>
        <w:t>Presland</w:t>
      </w:r>
      <w:proofErr w:type="spellEnd"/>
      <w:r w:rsidRPr="00582A6A">
        <w:rPr>
          <w:rFonts w:ascii="Times New Roman" w:hAnsi="Times New Roman" w:cs="Times New Roman"/>
          <w:sz w:val="24"/>
          <w:szCs w:val="24"/>
          <w:lang w:val="en-GB"/>
        </w:rPr>
        <w:t xml:space="preserve"> et al. 2021) can be long-lasting (</w:t>
      </w:r>
      <w:r w:rsidRPr="00582A6A">
        <w:rPr>
          <w:rFonts w:ascii="Times New Roman" w:eastAsia="Times New Roman" w:hAnsi="Times New Roman" w:cs="Times New Roman"/>
          <w:sz w:val="24"/>
          <w:szCs w:val="26"/>
          <w:shd w:val="clear" w:color="auto" w:fill="FFFFFF"/>
          <w:lang w:eastAsia="fr-FR"/>
        </w:rPr>
        <w:t>Oleksy</w:t>
      </w:r>
      <w:r w:rsidRPr="00582A6A">
        <w:rPr>
          <w:rFonts w:ascii="Times New Roman" w:hAnsi="Times New Roman" w:cs="Times New Roman"/>
          <w:sz w:val="24"/>
          <w:szCs w:val="24"/>
          <w:lang w:val="en-GB"/>
        </w:rPr>
        <w:t xml:space="preserve"> et al. 2023; Sherman et al. 2021) during explosive movements or eccentric contractions (</w:t>
      </w:r>
      <w:proofErr w:type="spellStart"/>
      <w:r w:rsidRPr="00582A6A">
        <w:rPr>
          <w:rFonts w:ascii="Times New Roman" w:hAnsi="Times New Roman" w:cs="Times New Roman"/>
          <w:sz w:val="24"/>
          <w:szCs w:val="24"/>
          <w:lang w:val="en-GB"/>
        </w:rPr>
        <w:t>Opar</w:t>
      </w:r>
      <w:proofErr w:type="spellEnd"/>
      <w:r w:rsidRPr="00582A6A">
        <w:rPr>
          <w:rFonts w:ascii="Times New Roman" w:hAnsi="Times New Roman" w:cs="Times New Roman"/>
          <w:sz w:val="24"/>
          <w:szCs w:val="24"/>
          <w:lang w:val="en-GB"/>
        </w:rPr>
        <w:t xml:space="preserve"> et al. 2013; </w:t>
      </w:r>
      <w:proofErr w:type="spellStart"/>
      <w:r w:rsidRPr="00582A6A">
        <w:rPr>
          <w:rFonts w:ascii="Times New Roman" w:hAnsi="Times New Roman" w:cs="Times New Roman"/>
          <w:sz w:val="24"/>
          <w:szCs w:val="24"/>
          <w:lang w:val="en-GB"/>
        </w:rPr>
        <w:t>Presland</w:t>
      </w:r>
      <w:proofErr w:type="spellEnd"/>
      <w:r w:rsidRPr="00582A6A">
        <w:rPr>
          <w:rFonts w:ascii="Times New Roman" w:hAnsi="Times New Roman" w:cs="Times New Roman"/>
          <w:sz w:val="24"/>
          <w:szCs w:val="24"/>
          <w:lang w:val="en-GB"/>
        </w:rPr>
        <w:t xml:space="preserve"> et</w:t>
      </w:r>
      <w:r w:rsidRPr="00582A6A">
        <w:rPr>
          <w:rFonts w:ascii="Times New Roman" w:hAnsi="Times New Roman" w:cs="Times New Roman"/>
          <w:sz w:val="24"/>
          <w:szCs w:val="24"/>
          <w:lang w:val="en-GB"/>
        </w:rPr>
        <w:tab/>
        <w:t xml:space="preserve">al. 2021; </w:t>
      </w:r>
      <w:proofErr w:type="spellStart"/>
      <w:r w:rsidRPr="00582A6A">
        <w:rPr>
          <w:rFonts w:ascii="Times New Roman" w:hAnsi="Times New Roman" w:cs="Times New Roman"/>
          <w:sz w:val="24"/>
          <w:szCs w:val="24"/>
          <w:lang w:val="en-GB"/>
        </w:rPr>
        <w:t>Higashihara</w:t>
      </w:r>
      <w:proofErr w:type="spellEnd"/>
      <w:r w:rsidRPr="00582A6A">
        <w:rPr>
          <w:rFonts w:ascii="Times New Roman" w:hAnsi="Times New Roman" w:cs="Times New Roman"/>
          <w:sz w:val="24"/>
          <w:szCs w:val="24"/>
          <w:lang w:val="en-GB"/>
        </w:rPr>
        <w:t xml:space="preserve"> et al. 2019; Fyfe et al. 2013; </w:t>
      </w:r>
      <w:proofErr w:type="spellStart"/>
      <w:r w:rsidRPr="00582A6A">
        <w:rPr>
          <w:rFonts w:ascii="Times New Roman" w:hAnsi="Times New Roman" w:cs="Times New Roman"/>
          <w:sz w:val="24"/>
          <w:szCs w:val="24"/>
          <w:lang w:val="en-GB"/>
        </w:rPr>
        <w:t>Angelozzi</w:t>
      </w:r>
      <w:proofErr w:type="spellEnd"/>
      <w:r w:rsidRPr="00582A6A">
        <w:rPr>
          <w:rFonts w:ascii="Times New Roman" w:hAnsi="Times New Roman" w:cs="Times New Roman"/>
          <w:sz w:val="24"/>
          <w:szCs w:val="24"/>
          <w:lang w:val="en-GB"/>
        </w:rPr>
        <w:t xml:space="preserve"> et al. 2012; </w:t>
      </w:r>
      <w:proofErr w:type="spellStart"/>
      <w:r w:rsidRPr="00582A6A">
        <w:rPr>
          <w:rFonts w:ascii="Times New Roman" w:hAnsi="Times New Roman" w:cs="Times New Roman"/>
          <w:sz w:val="24"/>
          <w:szCs w:val="24"/>
          <w:lang w:val="en-GB"/>
        </w:rPr>
        <w:t>Oleksy</w:t>
      </w:r>
      <w:proofErr w:type="spellEnd"/>
      <w:r w:rsidRPr="00582A6A">
        <w:rPr>
          <w:rFonts w:ascii="Times New Roman" w:hAnsi="Times New Roman" w:cs="Times New Roman"/>
          <w:sz w:val="24"/>
          <w:szCs w:val="24"/>
          <w:lang w:val="en-GB"/>
        </w:rPr>
        <w:t xml:space="preserve"> et al. 2023). This can mask weakness even when strength outcomes appear “balanced” in jumping (</w:t>
      </w:r>
      <w:proofErr w:type="spellStart"/>
      <w:r w:rsidRPr="00582A6A">
        <w:rPr>
          <w:rFonts w:ascii="Times New Roman" w:hAnsi="Times New Roman" w:cs="Times New Roman"/>
          <w:sz w:val="24"/>
          <w:szCs w:val="24"/>
          <w:lang w:val="en-GB"/>
        </w:rPr>
        <w:t>Jankaew</w:t>
      </w:r>
      <w:proofErr w:type="spellEnd"/>
      <w:r w:rsidRPr="00582A6A">
        <w:rPr>
          <w:rFonts w:ascii="Times New Roman" w:hAnsi="Times New Roman" w:cs="Times New Roman"/>
          <w:sz w:val="24"/>
          <w:szCs w:val="24"/>
          <w:lang w:val="en-GB"/>
        </w:rPr>
        <w:t xml:space="preserve"> et al. 2023), sprinting (</w:t>
      </w:r>
      <w:proofErr w:type="spellStart"/>
      <w:r w:rsidRPr="00582A6A">
        <w:rPr>
          <w:rFonts w:ascii="Times New Roman" w:hAnsi="Times New Roman" w:cs="Times New Roman"/>
          <w:sz w:val="24"/>
          <w:szCs w:val="24"/>
          <w:lang w:val="en-GB"/>
        </w:rPr>
        <w:t>Areia</w:t>
      </w:r>
      <w:proofErr w:type="spellEnd"/>
      <w:r w:rsidRPr="00582A6A">
        <w:rPr>
          <w:rFonts w:ascii="Times New Roman" w:hAnsi="Times New Roman" w:cs="Times New Roman"/>
          <w:sz w:val="24"/>
          <w:szCs w:val="24"/>
          <w:lang w:val="en-GB"/>
        </w:rPr>
        <w:t xml:space="preserve"> et al. 2019) or strengthening exercises such as Nordic Curl (</w:t>
      </w:r>
      <w:proofErr w:type="spellStart"/>
      <w:r w:rsidRPr="00582A6A">
        <w:rPr>
          <w:rFonts w:ascii="Times New Roman" w:hAnsi="Times New Roman" w:cs="Times New Roman"/>
          <w:sz w:val="24"/>
          <w:szCs w:val="24"/>
          <w:lang w:val="en-GB"/>
        </w:rPr>
        <w:t>Blandford</w:t>
      </w:r>
      <w:proofErr w:type="spellEnd"/>
      <w:r w:rsidRPr="00582A6A">
        <w:rPr>
          <w:rFonts w:ascii="Times New Roman" w:hAnsi="Times New Roman" w:cs="Times New Roman"/>
          <w:sz w:val="24"/>
          <w:szCs w:val="24"/>
          <w:lang w:val="en-GB"/>
        </w:rPr>
        <w:t xml:space="preserve"> et al. 2018b). Although they may not initially have clinical consequences in specific activities of daily living or in athletic conditions (</w:t>
      </w:r>
      <w:proofErr w:type="spellStart"/>
      <w:r w:rsidRPr="00582A6A">
        <w:rPr>
          <w:rFonts w:ascii="Times New Roman" w:hAnsi="Times New Roman" w:cs="Times New Roman"/>
          <w:sz w:val="24"/>
          <w:szCs w:val="24"/>
          <w:lang w:val="en-GB"/>
        </w:rPr>
        <w:t>Blandford</w:t>
      </w:r>
      <w:proofErr w:type="spellEnd"/>
      <w:r w:rsidRPr="00582A6A">
        <w:rPr>
          <w:rFonts w:ascii="Times New Roman" w:hAnsi="Times New Roman" w:cs="Times New Roman"/>
          <w:sz w:val="24"/>
          <w:szCs w:val="24"/>
          <w:lang w:val="en-GB"/>
        </w:rPr>
        <w:t xml:space="preserve"> et al. 2018a), these compensatory mechanisms can disrupt progress and effectiveness of the rehabilitation process (Ekstrand et al. 2016; Della Villa et al. 2021), while also increasing the reinjury risk (</w:t>
      </w:r>
      <w:proofErr w:type="spellStart"/>
      <w:r w:rsidRPr="00582A6A">
        <w:rPr>
          <w:rFonts w:ascii="Times New Roman" w:hAnsi="Times New Roman" w:cs="Times New Roman"/>
          <w:sz w:val="24"/>
          <w:szCs w:val="24"/>
          <w:lang w:val="en-GB"/>
        </w:rPr>
        <w:t>Opar</w:t>
      </w:r>
      <w:proofErr w:type="spellEnd"/>
      <w:r w:rsidRPr="00582A6A">
        <w:rPr>
          <w:rFonts w:ascii="Times New Roman" w:hAnsi="Times New Roman" w:cs="Times New Roman"/>
          <w:sz w:val="24"/>
          <w:szCs w:val="24"/>
          <w:lang w:val="en-GB"/>
        </w:rPr>
        <w:t xml:space="preserve"> et al. 2014; Timmins et al. 2014). Consequently, “compensatory mechanisms” should not be considered a substitution strategy to a specific focus on BFlh/ST assessment. Other muscles with unique functional properties cannot replace the specific role of HM groups, and will never perfectly compensate for neuromuscular inhibition, strength loss, or insufficient fatigue/tissue tolerance, because one cannot be interchangeable with another </w:t>
      </w:r>
      <w:r w:rsidRPr="00582A6A">
        <w:rPr>
          <w:rFonts w:ascii="Times New Roman" w:hAnsi="Times New Roman" w:cs="Times New Roman"/>
          <w:sz w:val="24"/>
          <w:szCs w:val="24"/>
          <w:lang w:val="en-GB"/>
        </w:rPr>
        <w:fldChar w:fldCharType="begin" w:fldLock="1"/>
      </w:r>
      <w:r w:rsidRPr="00582A6A">
        <w:rPr>
          <w:rFonts w:ascii="Times New Roman" w:hAnsi="Times New Roman" w:cs="Times New Roman"/>
          <w:sz w:val="24"/>
          <w:szCs w:val="24"/>
          <w:lang w:val="en-GB"/>
        </w:rPr>
        <w:instrText>ADDIN CSL_CITATION { "citationItems" : [ { "id" : "ITEM-1", "itemData" : { "DOI" : "10.3389/fphys.2015.00404", "ISBN" : "1664-042X (Electronic)\\r1664-042X (Linking)", "ISSN" : "1664042X", "PMID" : "26733889", "abstract" : "Recent literature supports the importance of horizontal ground reaction force (GRF) production for sprint acceleration performance. Modeling and clinical studies have shown that the hip extensors are very likely contributors to sprint acceleration performance. We experimentally tested the role of the hip extensors in horizontal GRF production during short, maximal, treadmill sprint accelerations. Torque capabilities of the knee and hip extensors and flexors were assessed using an isokinetic dynamometer in 14 males familiar with sprint running. Then, during 6-s sprints on an instrumented motorized treadmill, horizontal and vertical GRF were synchronized with electromyographic (EMG) activity of the vastus lateralis, rectus femoris, biceps femoris, and gluteus maximus averaged over the first half of support, entire support, entire swing and end-of-swing phases. No significant correlations were found between isokinetic or EMG variables and horizontal GRF. Multiple linear regression analysis showed a significant relationship (P = 0.024) between horizontal GRF and the combination of biceps femoris EMG activity during the end of the swing and the knee flexors eccentric peak torque. In conclusion, subjects who produced the greatest amount of horizontal force were both able to highly activate their hamstring muscles just before ground contact and present high eccentric hamstring peak torque capability.", "author" : [ { "dropping-particle" : "", "family" : "Morin", "given" : "Jean Beno\u00eet", "non-dropping-particle" : "", "parse-names" : false, "suffix" : "" }, { "dropping-particle" : "", "family" : "Gimenez", "given" : "Philippe", "non-dropping-particle" : "", "parse-names" : false, "suffix" : "" }, { "dropping-particle" : "", "family" : "Edouard", "given" : "Pascal", "non-dropping-particle" : "", "parse-names" : false, "suffix" : "" }, { "dropping-particle" : "", "family" : "Arnal", "given" : "Pierrick", "non-dropping-particle" : "", "parse-names" : false, "suffix" : "" }, { "dropping-particle" : "", "family" : "Jim\u00e9nez-Reyes", "given" : "Pedro", "non-dropping-particle" : "", "parse-names" : false, "suffix" : "" }, { "dropping-particle" : "", "family" : "Samozino", "given" : "Pierre", "non-dropping-particle" : "", "parse-names" : false, "suffix" : "" }, { "dropping-particle" : "", "family" : "Brughelli", "given" : "Matt", "non-dropping-particle" : "", "parse-names" : false, "suffix" : "" }, { "dropping-particle" : "", "family" : "Mendiguchia", "given" : "Jurdan", "non-dropping-particle" : "", "parse-names" : false, "suffix" : "" } ], "container-title" : "Frontiers in Physiology", "id" : "ITEM-1", "issue" : "DEC", "issued" : { "date-parts" : [ [ "2015" ] ] }, "page" : "1-14", "title" : "Sprint acceleration mechanics: The major role of hamstrings in horizontal force production", "type" : "article-journal", "volume" : "6" }, "uris" : [ "http://www.mendeley.com/documents/?uuid=b691ed08-4a6a-48cb-8fa9-d8a30b5bf7fd" ] } ], "mendeley" : { "formattedCitation" : "(Morin et al. 2015)", "plainTextFormattedCitation" : "(Morin et al. 2015)", "previouslyFormattedCitation" : "(Morin et al. 2015)" }, "properties" : { "noteIndex" : 0 }, "schema" : "https://github.com/citation-style-language/schema/raw/master/csl-citation.json" }</w:instrText>
      </w:r>
      <w:r w:rsidRPr="00582A6A">
        <w:rPr>
          <w:rFonts w:ascii="Times New Roman" w:hAnsi="Times New Roman" w:cs="Times New Roman"/>
          <w:sz w:val="24"/>
          <w:szCs w:val="24"/>
          <w:lang w:val="en-GB"/>
        </w:rPr>
        <w:fldChar w:fldCharType="separate"/>
      </w:r>
      <w:r w:rsidRPr="00582A6A">
        <w:rPr>
          <w:rFonts w:ascii="Times New Roman" w:hAnsi="Times New Roman" w:cs="Times New Roman"/>
          <w:noProof/>
          <w:sz w:val="24"/>
          <w:szCs w:val="24"/>
          <w:lang w:val="en-GB"/>
        </w:rPr>
        <w:t>(Schuermans et al. 2014; Avrillon et al. 2018</w:t>
      </w:r>
      <w:r w:rsidRPr="00582A6A">
        <w:rPr>
          <w:rFonts w:ascii="Times New Roman" w:hAnsi="Times New Roman" w:cs="Times New Roman"/>
          <w:sz w:val="24"/>
          <w:szCs w:val="24"/>
          <w:lang w:val="en-GB"/>
        </w:rPr>
        <w:fldChar w:fldCharType="end"/>
      </w:r>
      <w:r w:rsidRPr="00582A6A">
        <w:rPr>
          <w:rFonts w:ascii="Times New Roman" w:hAnsi="Times New Roman" w:cs="Times New Roman"/>
          <w:sz w:val="24"/>
          <w:szCs w:val="24"/>
          <w:lang w:val="en-GB"/>
        </w:rPr>
        <w:t>).</w:t>
      </w:r>
    </w:p>
    <w:p w14:paraId="0361E7A2"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DFFD238"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Finally, some limitations are present in this study. Firstly, further studies should be specifically performed on athletes who have previously sustained an anterior cruciate ligament reconstruction or a biceps femoris muscle injury, as our results were limited to healthy athletes. Secondly, it should be noted that discomfort for the athletes could results from the maximal tibial rotation positions that create articular shear forces (</w:t>
      </w:r>
      <w:proofErr w:type="spellStart"/>
      <w:r w:rsidRPr="00582A6A">
        <w:rPr>
          <w:rFonts w:ascii="Times New Roman" w:hAnsi="Times New Roman" w:cs="Times New Roman"/>
          <w:sz w:val="24"/>
          <w:szCs w:val="24"/>
          <w:lang w:val="en-GB"/>
        </w:rPr>
        <w:t>Slichter</w:t>
      </w:r>
      <w:proofErr w:type="spellEnd"/>
      <w:r w:rsidRPr="00582A6A">
        <w:rPr>
          <w:rFonts w:ascii="Times New Roman" w:hAnsi="Times New Roman" w:cs="Times New Roman"/>
          <w:sz w:val="24"/>
          <w:szCs w:val="24"/>
          <w:lang w:val="en-GB"/>
        </w:rPr>
        <w:t xml:space="preserve"> et al. 2018). However, as the athletes did not reach maximal knee extension, we thought that an adapted warming-up would be sufficient, as no volunteers complained about discomfort in our experimentation. </w:t>
      </w:r>
    </w:p>
    <w:p w14:paraId="3A309A2B"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759725B4"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sz w:val="24"/>
          <w:szCs w:val="24"/>
          <w:lang w:val="en-GB"/>
        </w:rPr>
      </w:pPr>
      <w:r w:rsidRPr="00582A6A">
        <w:rPr>
          <w:rFonts w:ascii="Times New Roman" w:hAnsi="Times New Roman" w:cs="Times New Roman"/>
          <w:b/>
          <w:smallCaps/>
          <w:sz w:val="24"/>
          <w:szCs w:val="24"/>
          <w:lang w:val="en-GB"/>
        </w:rPr>
        <w:t>Conclusion</w:t>
      </w:r>
    </w:p>
    <w:p w14:paraId="428E7289" w14:textId="77777777" w:rsidR="004508A9" w:rsidRPr="00582A6A" w:rsidRDefault="004508A9" w:rsidP="004508A9">
      <w:pPr>
        <w:pStyle w:val="Paragraphedeliste"/>
        <w:tabs>
          <w:tab w:val="left" w:pos="1134"/>
        </w:tabs>
        <w:autoSpaceDE w:val="0"/>
        <w:autoSpaceDN w:val="0"/>
        <w:adjustRightInd w:val="0"/>
        <w:spacing w:after="0" w:line="480" w:lineRule="auto"/>
        <w:ind w:left="0"/>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t>This study demonstrated that lateral and medial tibial rotation could be used to determine the isometric strength ratio of MR/LR independently of knee flexion angle, with the KR-test showing high reliability (ICC &gt;0.87) to assess this isometric strength ratio using a hand-held dynamometer. Our findings indicate that lateral and medial rotations preferentially activate the medial and lateral hamstring muscle groups, allowing for targeted assessment and revealing that the neutral position resulted in the highest isometric strength. Tibial rotation significantly affects hamstring muscle recruitment, highlighting the importance of considering the hamstring muscles as separate entities during assessment. The KR-test provides a valuable tool for selectively targeting specific hamstring muscle groups, which is particularly useful for rehabilitation and training interventions. By using the isometric strength ratio of MR/LR, practitioners could better detect deficiencies in specific muscle groups in athletes with previous injuries, thereby improving the rehabilitation process before their return to sports. Further research should focus on evaluating the isometric strength ratio of MR/LR in specific populations, such as those recovering from hamstring injury or anterior cruciate ligament reconstruction, to validate these findings and improve rehabilitation processes.</w:t>
      </w:r>
    </w:p>
    <w:p w14:paraId="6DCCCD41" w14:textId="77777777" w:rsidR="004508A9" w:rsidRPr="00582A6A" w:rsidRDefault="004508A9" w:rsidP="004508A9">
      <w:pPr>
        <w:pStyle w:val="Articlecorps"/>
        <w:rPr>
          <w:rFonts w:cs="Times New Roman"/>
        </w:rPr>
      </w:pPr>
    </w:p>
    <w:p w14:paraId="64EB2E7F"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sz w:val="24"/>
          <w:szCs w:val="24"/>
          <w:lang w:val="en-GB"/>
        </w:rPr>
      </w:pPr>
      <w:r w:rsidRPr="00582A6A">
        <w:rPr>
          <w:rFonts w:ascii="Times New Roman" w:hAnsi="Times New Roman" w:cs="Times New Roman"/>
          <w:b/>
          <w:smallCaps/>
          <w:sz w:val="24"/>
          <w:szCs w:val="24"/>
          <w:lang w:val="en-GB"/>
        </w:rPr>
        <w:t>Conflict of interest</w:t>
      </w:r>
    </w:p>
    <w:p w14:paraId="2D63AFF4" w14:textId="77777777" w:rsidR="004508A9" w:rsidRPr="00582A6A" w:rsidRDefault="004508A9" w:rsidP="004508A9">
      <w:pPr>
        <w:spacing w:after="0" w:line="480" w:lineRule="auto"/>
        <w:rPr>
          <w:rFonts w:ascii="Times New Roman" w:hAnsi="Times New Roman" w:cs="Times New Roman"/>
          <w:sz w:val="24"/>
          <w:szCs w:val="24"/>
        </w:rPr>
      </w:pPr>
      <w:r w:rsidRPr="00582A6A">
        <w:rPr>
          <w:rFonts w:ascii="Times New Roman" w:hAnsi="Times New Roman" w:cs="Times New Roman"/>
          <w:sz w:val="24"/>
          <w:szCs w:val="24"/>
        </w:rPr>
        <w:t xml:space="preserve">The authors have no conflicts of interest that are relevant to findings of this manuscript. </w:t>
      </w:r>
    </w:p>
    <w:p w14:paraId="6461FA1B" w14:textId="77777777" w:rsidR="004508A9" w:rsidRPr="00582A6A" w:rsidRDefault="004508A9" w:rsidP="004508A9">
      <w:pPr>
        <w:pStyle w:val="Articlecorps"/>
        <w:ind w:firstLine="720"/>
        <w:rPr>
          <w:rFonts w:cs="Times New Roman"/>
          <w:lang w:eastAsia="fr-FR" w:bidi="ar-SA"/>
        </w:rPr>
      </w:pPr>
    </w:p>
    <w:p w14:paraId="1DC4CF2D" w14:textId="77777777" w:rsidR="004508A9" w:rsidRPr="00582A6A" w:rsidRDefault="004508A9" w:rsidP="004508A9">
      <w:pPr>
        <w:pStyle w:val="Paragraphedeliste"/>
        <w:numPr>
          <w:ilvl w:val="0"/>
          <w:numId w:val="22"/>
        </w:numPr>
        <w:spacing w:after="0" w:line="480" w:lineRule="auto"/>
        <w:jc w:val="both"/>
        <w:rPr>
          <w:rFonts w:ascii="Times New Roman" w:hAnsi="Times New Roman" w:cs="Times New Roman"/>
          <w:sz w:val="24"/>
          <w:szCs w:val="24"/>
          <w:lang w:val="en-GB"/>
        </w:rPr>
      </w:pPr>
      <w:r w:rsidRPr="00582A6A">
        <w:rPr>
          <w:rFonts w:ascii="Times New Roman" w:hAnsi="Times New Roman" w:cs="Times New Roman"/>
          <w:b/>
          <w:smallCaps/>
          <w:sz w:val="24"/>
          <w:szCs w:val="24"/>
          <w:lang w:val="en-GB"/>
        </w:rPr>
        <w:t>Data availability and integrity</w:t>
      </w:r>
    </w:p>
    <w:p w14:paraId="224CC45F" w14:textId="77777777" w:rsidR="004508A9" w:rsidRPr="00582A6A" w:rsidRDefault="004508A9" w:rsidP="004508A9">
      <w:pPr>
        <w:pStyle w:val="Articlecorps"/>
        <w:jc w:val="both"/>
        <w:rPr>
          <w:rFonts w:cs="Times New Roman"/>
          <w:lang w:eastAsia="fr-FR" w:bidi="ar-SA"/>
        </w:rPr>
      </w:pPr>
      <w:r w:rsidRPr="00582A6A">
        <w:rPr>
          <w:rFonts w:cs="Times New Roman"/>
          <w:lang w:eastAsia="fr-FR" w:bidi="ar-SA"/>
        </w:rPr>
        <w:t>The data used for this article are available on request from the corresponding author. All authors have read and approved the final version of the manuscript and had full access to all the data in this study and take complete responsibility for the integrity of the data and the accuracy of the data analysis.</w:t>
      </w:r>
    </w:p>
    <w:p w14:paraId="76162DE0"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4BEAE183"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CDA313D"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299FB20D"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6E7E5BBC"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092324A"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39FDF15"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273DE3D3"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C59E7A9"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12B4DEA2" w14:textId="77777777" w:rsidR="004508A9" w:rsidRPr="00582A6A" w:rsidRDefault="004508A9" w:rsidP="004508A9">
      <w:pPr>
        <w:pStyle w:val="Paragraphedeliste"/>
        <w:numPr>
          <w:ilvl w:val="0"/>
          <w:numId w:val="22"/>
        </w:numPr>
        <w:spacing w:after="0" w:line="480" w:lineRule="auto"/>
        <w:jc w:val="both"/>
        <w:rPr>
          <w:rFonts w:ascii="Times New Roman" w:eastAsia="Times New Roman" w:hAnsi="Times New Roman" w:cs="Times New Roman"/>
          <w:sz w:val="24"/>
          <w:szCs w:val="20"/>
          <w:lang w:eastAsia="fr-FR"/>
        </w:rPr>
      </w:pPr>
      <w:r w:rsidRPr="00582A6A">
        <w:rPr>
          <w:rFonts w:ascii="Times New Roman" w:hAnsi="Times New Roman" w:cs="Times New Roman"/>
          <w:b/>
          <w:smallCaps/>
          <w:sz w:val="24"/>
          <w:szCs w:val="24"/>
          <w:lang w:val="en-GB"/>
        </w:rPr>
        <w:t>References</w:t>
      </w:r>
    </w:p>
    <w:p w14:paraId="3FCDB23C"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0"/>
          <w:szCs w:val="20"/>
          <w:lang w:eastAsia="fr-FR"/>
        </w:rPr>
      </w:pPr>
      <w:r w:rsidRPr="00582A6A">
        <w:rPr>
          <w:rFonts w:ascii="Times New Roman" w:eastAsia="Times New Roman" w:hAnsi="Times New Roman" w:cs="Times New Roman"/>
          <w:sz w:val="24"/>
          <w:szCs w:val="24"/>
          <w:shd w:val="clear" w:color="auto" w:fill="FFFFFF"/>
          <w:lang w:eastAsia="fr-FR"/>
        </w:rPr>
        <w:t>Alonso, J. M., Edouard, P., Fischetto, G., Adams, B., Depiesse, F., &amp; Mountjoy, M., 2012. Determination of future prevention strategies in elite track and field: analysis of Daegu 2011 IAAF Championships injuries and illnesses surveillance. </w:t>
      </w:r>
      <w:r w:rsidRPr="00582A6A">
        <w:rPr>
          <w:rFonts w:ascii="Times New Roman" w:eastAsia="Times New Roman" w:hAnsi="Times New Roman" w:cs="Times New Roman"/>
          <w:i/>
          <w:iCs/>
          <w:sz w:val="24"/>
          <w:szCs w:val="24"/>
          <w:lang w:eastAsia="fr-FR"/>
        </w:rPr>
        <w:t>British Journal of Sports Medicine</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46</w:t>
      </w:r>
      <w:r w:rsidRPr="00582A6A">
        <w:rPr>
          <w:rFonts w:ascii="Times New Roman" w:eastAsia="Times New Roman" w:hAnsi="Times New Roman" w:cs="Times New Roman"/>
          <w:sz w:val="24"/>
          <w:szCs w:val="24"/>
          <w:shd w:val="clear" w:color="auto" w:fill="FFFFFF"/>
          <w:lang w:eastAsia="fr-FR"/>
        </w:rPr>
        <w:t>(7), 505–514. https://doi.org/10.1136/bjsports-2012-091008</w:t>
      </w:r>
    </w:p>
    <w:p w14:paraId="513B8947"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0"/>
          <w:szCs w:val="20"/>
          <w:lang w:eastAsia="fr-FR"/>
        </w:rPr>
      </w:pPr>
      <w:r w:rsidRPr="00582A6A">
        <w:rPr>
          <w:rFonts w:ascii="Times New Roman" w:eastAsia="Times New Roman" w:hAnsi="Times New Roman" w:cs="Times New Roman"/>
          <w:sz w:val="24"/>
          <w:szCs w:val="24"/>
          <w:shd w:val="clear" w:color="auto" w:fill="FFFFFF"/>
          <w:lang w:eastAsia="fr-FR"/>
        </w:rPr>
        <w:t>Angelozzi, M., Madama, M., Corsica, C., Calvisi, V., Properzi, G., McCaw, S. T., &amp; Cacchio, A., 2012. Rate of force development as an adjunctive outcome measure for return-to-sport decisions after anterior cruciate ligament reconstruction. </w:t>
      </w:r>
      <w:r w:rsidRPr="00582A6A">
        <w:rPr>
          <w:rFonts w:ascii="Times New Roman" w:eastAsia="Times New Roman" w:hAnsi="Times New Roman" w:cs="Times New Roman"/>
          <w:i/>
          <w:iCs/>
          <w:sz w:val="24"/>
          <w:szCs w:val="24"/>
          <w:lang w:eastAsia="fr-FR"/>
        </w:rPr>
        <w:t>The Journal of Orthopaedic and Sports Physical Therapy</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42</w:t>
      </w:r>
      <w:r w:rsidRPr="00582A6A">
        <w:rPr>
          <w:rFonts w:ascii="Times New Roman" w:eastAsia="Times New Roman" w:hAnsi="Times New Roman" w:cs="Times New Roman"/>
          <w:sz w:val="24"/>
          <w:szCs w:val="24"/>
          <w:shd w:val="clear" w:color="auto" w:fill="FFFFFF"/>
          <w:lang w:eastAsia="fr-FR"/>
        </w:rPr>
        <w:t>(9), 772–780. https://doi.org/10.2519/jospt.2012.3780</w:t>
      </w:r>
    </w:p>
    <w:p w14:paraId="740E4EB1"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0"/>
          <w:szCs w:val="20"/>
          <w:lang w:eastAsia="fr-FR"/>
        </w:rPr>
      </w:pPr>
      <w:r w:rsidRPr="00582A6A">
        <w:rPr>
          <w:rFonts w:ascii="Times New Roman" w:eastAsia="Times New Roman" w:hAnsi="Times New Roman" w:cs="Times New Roman"/>
          <w:sz w:val="24"/>
          <w:szCs w:val="24"/>
          <w:shd w:val="clear" w:color="auto" w:fill="FFFFFF"/>
          <w:lang w:eastAsia="fr-FR"/>
        </w:rPr>
        <w:t>Areia, C., Barreira, P., Montanha, T., Oliveira, J., &amp; Ribeiro, F., 2019. Neuromuscular changes in football players with previous hamstring injury. </w:t>
      </w:r>
      <w:r w:rsidRPr="00582A6A">
        <w:rPr>
          <w:rFonts w:ascii="Times New Roman" w:eastAsia="Times New Roman" w:hAnsi="Times New Roman" w:cs="Times New Roman"/>
          <w:i/>
          <w:iCs/>
          <w:sz w:val="24"/>
          <w:szCs w:val="24"/>
          <w:lang w:eastAsia="fr-FR"/>
        </w:rPr>
        <w:t>Clinical Biomechanics</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69</w:t>
      </w:r>
      <w:r w:rsidRPr="00582A6A">
        <w:rPr>
          <w:rFonts w:ascii="Times New Roman" w:eastAsia="Times New Roman" w:hAnsi="Times New Roman" w:cs="Times New Roman"/>
          <w:sz w:val="24"/>
          <w:szCs w:val="24"/>
          <w:shd w:val="clear" w:color="auto" w:fill="FFFFFF"/>
          <w:lang w:eastAsia="fr-FR"/>
        </w:rPr>
        <w:t>, 115–119. https://doi.org/10.1016/j.clinbiomech.2019.07.010</w:t>
      </w:r>
    </w:p>
    <w:p w14:paraId="63EDDDB3"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Armour, T., Forwell, L., Litchfield, R., Kirkley, A., Amendola, N., &amp; Fowler, P. J., 2004. Isokinetic evaluation of internal/external tibial rotation strength after the use of hamstring tendons for anterior cruciate ligament reconstruction. </w:t>
      </w:r>
      <w:r w:rsidRPr="00582A6A">
        <w:rPr>
          <w:rFonts w:ascii="Times New Roman" w:eastAsiaTheme="minorEastAsia" w:hAnsi="Times New Roman" w:cs="Times New Roman"/>
          <w:i/>
          <w:iCs/>
          <w:sz w:val="24"/>
          <w:szCs w:val="24"/>
          <w:lang w:eastAsia="fr-FR"/>
        </w:rPr>
        <w:t>American Journal of Sports Medicine</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32</w:t>
      </w:r>
      <w:r w:rsidRPr="00582A6A">
        <w:rPr>
          <w:rFonts w:ascii="Times New Roman" w:eastAsiaTheme="minorEastAsia" w:hAnsi="Times New Roman" w:cs="Times New Roman"/>
          <w:sz w:val="24"/>
          <w:szCs w:val="24"/>
          <w:lang w:eastAsia="fr-FR"/>
        </w:rPr>
        <w:t>(7), 1639–1643. https://doi.org/10.1177/0363546504263405</w:t>
      </w:r>
      <w:r w:rsidRPr="00582A6A">
        <w:rPr>
          <w:rFonts w:ascii="Times New Roman" w:hAnsi="Times New Roman" w:cs="Times New Roman"/>
          <w:sz w:val="24"/>
          <w:szCs w:val="24"/>
          <w:lang w:val="en-GB"/>
        </w:rPr>
        <w:fldChar w:fldCharType="begin" w:fldLock="1"/>
      </w:r>
      <w:r w:rsidRPr="00582A6A">
        <w:rPr>
          <w:rFonts w:ascii="Times New Roman" w:hAnsi="Times New Roman" w:cs="Times New Roman"/>
          <w:sz w:val="24"/>
          <w:szCs w:val="24"/>
        </w:rPr>
        <w:instrText xml:space="preserve">ADDIN Mendeley Bibliography CSL_BIBLIOGRAPHY </w:instrText>
      </w:r>
      <w:r w:rsidRPr="00582A6A">
        <w:rPr>
          <w:rFonts w:ascii="Times New Roman" w:hAnsi="Times New Roman" w:cs="Times New Roman"/>
          <w:sz w:val="24"/>
          <w:szCs w:val="24"/>
          <w:lang w:val="en-GB"/>
        </w:rPr>
        <w:fldChar w:fldCharType="separate"/>
      </w:r>
    </w:p>
    <w:p w14:paraId="375F108B"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 xml:space="preserve">Avrillon S., Guilhem G., Barthelemy A., Hug F., 2018. Coordination of hamstrings is individual specific and is related to motor performance. </w:t>
      </w:r>
      <w:r w:rsidRPr="00582A6A">
        <w:rPr>
          <w:rFonts w:ascii="Times New Roman" w:eastAsia="Times New Roman" w:hAnsi="Times New Roman" w:cs="Times New Roman"/>
          <w:i/>
          <w:sz w:val="24"/>
          <w:szCs w:val="24"/>
          <w:shd w:val="clear" w:color="auto" w:fill="FFFFFF"/>
          <w:lang w:eastAsia="fr-FR"/>
        </w:rPr>
        <w:t>Journal of Applied Physiology,</w:t>
      </w:r>
      <w:r w:rsidRPr="00582A6A">
        <w:rPr>
          <w:rFonts w:ascii="Times New Roman" w:eastAsia="Times New Roman" w:hAnsi="Times New Roman" w:cs="Times New Roman"/>
          <w:sz w:val="24"/>
          <w:szCs w:val="24"/>
          <w:shd w:val="clear" w:color="auto" w:fill="FFFFFF"/>
          <w:lang w:eastAsia="fr-FR"/>
        </w:rPr>
        <w:t xml:space="preserve"> 125(4), 1069-1079. https://doi.org/10.1152/japplphysiol.00133.2018</w:t>
      </w:r>
    </w:p>
    <w:p w14:paraId="550A6948"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noProof/>
          <w:sz w:val="24"/>
          <w:szCs w:val="24"/>
          <w:lang w:val="en-GB"/>
        </w:rPr>
        <w:t xml:space="preserve">Barbero, M., Merletti, R. &amp; Rainoldi, A., 2012. </w:t>
      </w:r>
      <w:r w:rsidRPr="00582A6A">
        <w:rPr>
          <w:rFonts w:ascii="Times New Roman" w:hAnsi="Times New Roman" w:cs="Times New Roman"/>
          <w:iCs/>
          <w:noProof/>
          <w:sz w:val="24"/>
          <w:szCs w:val="24"/>
          <w:lang w:val="en-GB"/>
        </w:rPr>
        <w:t>Atlas of Muscle Innervation Zones</w:t>
      </w:r>
      <w:r w:rsidRPr="00582A6A">
        <w:rPr>
          <w:rFonts w:ascii="Times New Roman" w:hAnsi="Times New Roman" w:cs="Times New Roman"/>
          <w:noProof/>
          <w:sz w:val="24"/>
          <w:szCs w:val="24"/>
          <w:lang w:val="en-GB"/>
        </w:rPr>
        <w:t>.</w:t>
      </w:r>
      <w:r w:rsidRPr="00582A6A">
        <w:rPr>
          <w:rFonts w:ascii="Times New Roman" w:hAnsi="Times New Roman" w:cs="Times New Roman"/>
          <w:sz w:val="24"/>
          <w:szCs w:val="24"/>
          <w:lang w:val="en-GB" w:eastAsia="fr-FR"/>
        </w:rPr>
        <w:t xml:space="preserve"> Springer, Berlin. https://doi.org/10.1007/978-88-470-2463-2</w:t>
      </w:r>
    </w:p>
    <w:p w14:paraId="0B75BF42"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eastAsia="fr-FR"/>
        </w:rPr>
      </w:pPr>
      <w:r w:rsidRPr="00582A6A">
        <w:rPr>
          <w:rFonts w:ascii="Times New Roman" w:hAnsi="Times New Roman" w:cs="Times New Roman"/>
          <w:sz w:val="24"/>
          <w:szCs w:val="24"/>
          <w:lang w:eastAsia="fr-FR"/>
        </w:rPr>
        <w:t xml:space="preserve">Beuchat, A., &amp; Maffiuletti, N. A., 2019. Foot rotation influences the activity of medial and lateral hamstrings during conventional rehabilitation exercises in patients following anterior cruciate ligament reconstruction. </w:t>
      </w:r>
      <w:r w:rsidRPr="00582A6A">
        <w:rPr>
          <w:rFonts w:ascii="Times New Roman" w:hAnsi="Times New Roman" w:cs="Times New Roman"/>
          <w:i/>
          <w:iCs/>
          <w:sz w:val="24"/>
          <w:szCs w:val="24"/>
          <w:lang w:eastAsia="fr-FR"/>
        </w:rPr>
        <w:t>Physical Therapy in Sport</w:t>
      </w:r>
      <w:r w:rsidRPr="00582A6A">
        <w:rPr>
          <w:rFonts w:ascii="Times New Roman" w:hAnsi="Times New Roman" w:cs="Times New Roman"/>
          <w:sz w:val="24"/>
          <w:szCs w:val="24"/>
          <w:lang w:eastAsia="fr-FR"/>
        </w:rPr>
        <w:t xml:space="preserve">, </w:t>
      </w:r>
      <w:r w:rsidRPr="00582A6A">
        <w:rPr>
          <w:rFonts w:ascii="Times New Roman" w:hAnsi="Times New Roman" w:cs="Times New Roman"/>
          <w:iCs/>
          <w:sz w:val="24"/>
          <w:szCs w:val="24"/>
          <w:lang w:eastAsia="fr-FR"/>
        </w:rPr>
        <w:t>39(2019)</w:t>
      </w:r>
      <w:r w:rsidRPr="00582A6A">
        <w:rPr>
          <w:rFonts w:ascii="Times New Roman" w:hAnsi="Times New Roman" w:cs="Times New Roman"/>
          <w:sz w:val="24"/>
          <w:szCs w:val="24"/>
          <w:lang w:eastAsia="fr-FR"/>
        </w:rPr>
        <w:t>, 69–75. https://doi.org/10.1016/j.ptsp.2019.06.010</w:t>
      </w:r>
    </w:p>
    <w:p w14:paraId="3F37011F"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sz w:val="24"/>
          <w:szCs w:val="24"/>
          <w:lang w:val="en-GB" w:eastAsia="fr-FR"/>
        </w:rPr>
        <w:t xml:space="preserve">Blandford, L., McNeill, W., &amp; Charvet, I., 2018. Can we spread the risk? A demand-share perspective to sustained hamstring health. Practical examples. </w:t>
      </w:r>
      <w:r w:rsidRPr="00582A6A">
        <w:rPr>
          <w:rFonts w:ascii="Times New Roman" w:hAnsi="Times New Roman" w:cs="Times New Roman"/>
          <w:i/>
          <w:iCs/>
          <w:sz w:val="24"/>
          <w:szCs w:val="24"/>
          <w:lang w:val="en-GB" w:eastAsia="fr-FR"/>
        </w:rPr>
        <w:t>Journal of Bodywork and Movement Therapies</w:t>
      </w:r>
      <w:r w:rsidRPr="00582A6A">
        <w:rPr>
          <w:rFonts w:ascii="Times New Roman" w:hAnsi="Times New Roman" w:cs="Times New Roman"/>
          <w:sz w:val="24"/>
          <w:szCs w:val="24"/>
          <w:lang w:val="en-GB" w:eastAsia="fr-FR"/>
        </w:rPr>
        <w:t xml:space="preserve">, </w:t>
      </w:r>
      <w:r w:rsidRPr="00582A6A">
        <w:rPr>
          <w:rFonts w:ascii="Times New Roman" w:hAnsi="Times New Roman" w:cs="Times New Roman"/>
          <w:iCs/>
          <w:sz w:val="24"/>
          <w:szCs w:val="24"/>
          <w:lang w:val="en-GB" w:eastAsia="fr-FR"/>
        </w:rPr>
        <w:t>22</w:t>
      </w:r>
      <w:r w:rsidRPr="00582A6A">
        <w:rPr>
          <w:rFonts w:ascii="Times New Roman" w:hAnsi="Times New Roman" w:cs="Times New Roman"/>
          <w:sz w:val="24"/>
          <w:szCs w:val="24"/>
          <w:lang w:val="en-GB" w:eastAsia="fr-FR"/>
        </w:rPr>
        <w:t>(3), 780–785. https://doi.org/10.1016/j.jbmt.2018.06.002</w:t>
      </w:r>
    </w:p>
    <w:p w14:paraId="3C32DA4E"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Blandford, L., Theis, N., Charvet, I., &amp; Mahaffey, R., 2018. Is neuromuscular inhibition detectable in elite footballers during the Nordic hamstring exercise? </w:t>
      </w:r>
      <w:r w:rsidRPr="00582A6A">
        <w:rPr>
          <w:rFonts w:ascii="Times New Roman" w:eastAsiaTheme="minorEastAsia" w:hAnsi="Times New Roman" w:cs="Times New Roman"/>
          <w:i/>
          <w:iCs/>
          <w:sz w:val="24"/>
          <w:szCs w:val="24"/>
          <w:lang w:eastAsia="fr-FR"/>
        </w:rPr>
        <w:t>Clinical Biomechanics</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58</w:t>
      </w:r>
      <w:r w:rsidRPr="00582A6A">
        <w:rPr>
          <w:rFonts w:ascii="Times New Roman" w:eastAsiaTheme="minorEastAsia" w:hAnsi="Times New Roman" w:cs="Times New Roman"/>
          <w:sz w:val="24"/>
          <w:szCs w:val="24"/>
          <w:lang w:eastAsia="fr-FR"/>
        </w:rPr>
        <w:t>, 39–43. https://doi.org/10.1016/j.clinbiomech.2018.07.009</w:t>
      </w:r>
    </w:p>
    <w:p w14:paraId="05EDA63A"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sz w:val="24"/>
          <w:szCs w:val="24"/>
          <w:lang w:val="en-GB"/>
        </w:rPr>
        <w:t xml:space="preserve">Boguszewski D.V., Joshi N.B., Yang P.R., Markolf K.L., Petrigliano F.A., McAllister D.R., 2016. Location of the natural knee axis for internal-external tibial rotation. </w:t>
      </w:r>
      <w:r w:rsidRPr="00582A6A">
        <w:rPr>
          <w:rFonts w:ascii="Times New Roman" w:hAnsi="Times New Roman" w:cs="Times New Roman"/>
          <w:i/>
          <w:sz w:val="24"/>
          <w:szCs w:val="24"/>
          <w:lang w:val="en-GB"/>
        </w:rPr>
        <w:t>Knee</w:t>
      </w:r>
      <w:r w:rsidRPr="00582A6A">
        <w:rPr>
          <w:rFonts w:ascii="Times New Roman" w:hAnsi="Times New Roman" w:cs="Times New Roman"/>
          <w:sz w:val="24"/>
          <w:szCs w:val="24"/>
          <w:lang w:val="en-GB"/>
        </w:rPr>
        <w:t>, 23(6), 1083-1088</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https://doi.org/10.1016/j.knee.2015.11.003</w:t>
      </w:r>
    </w:p>
    <w:p w14:paraId="090EA1EA"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eastAsiaTheme="minorEastAsia" w:hAnsi="Times New Roman" w:cs="Times New Roman"/>
          <w:sz w:val="24"/>
          <w:szCs w:val="24"/>
          <w:lang w:eastAsia="fr-FR"/>
        </w:rPr>
        <w:t xml:space="preserve">Bourne, M. N., Duhig, S. J., Timmins, R. G., Williams, M. D., Opar, D. A., Al Najjar, A., Shield, A. J., 2017. Impact of the Nordic hamstring and hip extension exercises on hamstring architecture and morphology: Implications for injury prevention. </w:t>
      </w:r>
      <w:r w:rsidRPr="00582A6A">
        <w:rPr>
          <w:rFonts w:ascii="Times New Roman" w:eastAsiaTheme="minorEastAsia" w:hAnsi="Times New Roman" w:cs="Times New Roman"/>
          <w:i/>
          <w:iCs/>
          <w:sz w:val="24"/>
          <w:szCs w:val="24"/>
          <w:lang w:eastAsia="fr-FR"/>
        </w:rPr>
        <w:t>British Journal of Sports Medicine</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51</w:t>
      </w:r>
      <w:r w:rsidRPr="00582A6A">
        <w:rPr>
          <w:rFonts w:ascii="Times New Roman" w:eastAsiaTheme="minorEastAsia" w:hAnsi="Times New Roman" w:cs="Times New Roman"/>
          <w:sz w:val="24"/>
          <w:szCs w:val="24"/>
          <w:lang w:eastAsia="fr-FR"/>
        </w:rPr>
        <w:t>(5), 469–477. https://doi.org/10.1136/bjsports-2016-096130</w:t>
      </w:r>
    </w:p>
    <w:p w14:paraId="1166533F"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Bramah, C., Mendiguchia, J., Dos'Santos, T., &amp; Morin, J. B., 2024. Exploring the Role of Sprint Biomechanics in Hamstring Strain Injuries: A Current Opinion on Existing Concepts and Evidence. </w:t>
      </w:r>
      <w:r w:rsidRPr="00582A6A">
        <w:rPr>
          <w:rFonts w:ascii="Times New Roman" w:eastAsia="Times New Roman" w:hAnsi="Times New Roman" w:cs="Times New Roman"/>
          <w:i/>
          <w:iCs/>
          <w:sz w:val="24"/>
          <w:szCs w:val="24"/>
          <w:lang w:eastAsia="fr-FR"/>
        </w:rPr>
        <w:t>Sports Medicine (Auckland, N.Z.)</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54</w:t>
      </w:r>
      <w:r w:rsidRPr="00582A6A">
        <w:rPr>
          <w:rFonts w:ascii="Times New Roman" w:eastAsia="Times New Roman" w:hAnsi="Times New Roman" w:cs="Times New Roman"/>
          <w:sz w:val="24"/>
          <w:szCs w:val="24"/>
          <w:shd w:val="clear" w:color="auto" w:fill="FFFFFF"/>
          <w:lang w:eastAsia="fr-FR"/>
        </w:rPr>
        <w:t>(4), 783–793. https://doi.org/10.1007/s40279-023-01925-x</w:t>
      </w:r>
    </w:p>
    <w:p w14:paraId="1D944512"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sz w:val="24"/>
          <w:szCs w:val="24"/>
          <w:lang w:val="en-GB"/>
        </w:rPr>
        <w:t xml:space="preserve">Brandenburg, S. R., &amp; Matelic, T. M., 2018. Loss of Internal Tibial Rotation After Anterior Cruciate Ligament Reconstruction. </w:t>
      </w:r>
      <w:r w:rsidRPr="00582A6A">
        <w:rPr>
          <w:rFonts w:ascii="Times New Roman" w:hAnsi="Times New Roman" w:cs="Times New Roman"/>
          <w:i/>
          <w:sz w:val="24"/>
          <w:szCs w:val="24"/>
          <w:lang w:val="en-GB"/>
        </w:rPr>
        <w:t>Orthopedics</w:t>
      </w:r>
      <w:r w:rsidRPr="00582A6A">
        <w:rPr>
          <w:rFonts w:ascii="Times New Roman" w:hAnsi="Times New Roman" w:cs="Times New Roman"/>
          <w:sz w:val="24"/>
          <w:szCs w:val="24"/>
          <w:lang w:val="en-GB"/>
        </w:rPr>
        <w:t>, 41(1), 22-26.</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https://doi.org/10.3928/01477447-20171106-03</w:t>
      </w:r>
    </w:p>
    <w:p w14:paraId="5C2A8B52"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noProof/>
          <w:sz w:val="24"/>
          <w:szCs w:val="24"/>
          <w:lang w:val="en-GB"/>
        </w:rPr>
        <w:t xml:space="preserve">Buckinx, F. et al., 2017. Reliability of muscle strength measures obtained with a hand-held dynamometer in an elderly population. </w:t>
      </w:r>
      <w:r w:rsidRPr="00582A6A">
        <w:rPr>
          <w:rFonts w:ascii="Times New Roman" w:hAnsi="Times New Roman" w:cs="Times New Roman"/>
          <w:i/>
          <w:iCs/>
          <w:noProof/>
          <w:sz w:val="24"/>
          <w:szCs w:val="24"/>
          <w:lang w:val="en-GB"/>
        </w:rPr>
        <w:t>Clinical Physiology and Functional Imaging</w:t>
      </w:r>
      <w:r w:rsidRPr="00582A6A">
        <w:rPr>
          <w:rFonts w:ascii="Times New Roman" w:hAnsi="Times New Roman" w:cs="Times New Roman"/>
          <w:noProof/>
          <w:sz w:val="24"/>
          <w:szCs w:val="24"/>
          <w:lang w:val="en-GB"/>
        </w:rPr>
        <w:t>, 37(3), 332–340.</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https://doi.org/10.1111/cpf.12300</w:t>
      </w:r>
    </w:p>
    <w:p w14:paraId="672FA313"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sz w:val="24"/>
        </w:rPr>
        <w:t xml:space="preserve">Castelein, B., Cagnie, B., Parlevliet, T., Danneels, L., Cools, A., 2015. Optimal Normalization Tests for Muscle Activation of the Levator Scapulae, Pectoralis Minor, and Rhomboid Major: An Electromyography Study Using Maximum Voluntary Isometric Contractions. </w:t>
      </w:r>
      <w:r w:rsidRPr="00582A6A">
        <w:rPr>
          <w:rFonts w:ascii="Times New Roman" w:hAnsi="Times New Roman" w:cs="Times New Roman"/>
          <w:i/>
          <w:sz w:val="24"/>
        </w:rPr>
        <w:t>Archives of Physical Medicine and Rehabilitation.</w:t>
      </w:r>
      <w:r w:rsidRPr="00582A6A">
        <w:rPr>
          <w:rFonts w:ascii="Times New Roman" w:hAnsi="Times New Roman" w:cs="Times New Roman"/>
          <w:sz w:val="24"/>
        </w:rPr>
        <w:t xml:space="preserve"> 96(10), 1820–1827. http://doi.org/10.1016/j.apmr.2015.06.004</w:t>
      </w:r>
    </w:p>
    <w:p w14:paraId="29900B63"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noProof/>
          <w:sz w:val="24"/>
          <w:szCs w:val="24"/>
          <w:lang w:val="en-GB"/>
        </w:rPr>
        <w:t xml:space="preserve">Croisier, J.-L., 2004. Muscular Imbalance and Acute Lower Extremity Muscle Injuries in Sport. </w:t>
      </w:r>
      <w:r w:rsidRPr="00582A6A">
        <w:rPr>
          <w:rFonts w:ascii="Times New Roman" w:hAnsi="Times New Roman" w:cs="Times New Roman"/>
          <w:i/>
          <w:iCs/>
          <w:noProof/>
          <w:sz w:val="24"/>
          <w:szCs w:val="24"/>
          <w:lang w:val="en-GB"/>
        </w:rPr>
        <w:t>International SportMed Journal</w:t>
      </w:r>
      <w:r w:rsidRPr="00582A6A">
        <w:rPr>
          <w:rFonts w:ascii="Times New Roman" w:hAnsi="Times New Roman" w:cs="Times New Roman"/>
          <w:noProof/>
          <w:sz w:val="24"/>
          <w:szCs w:val="24"/>
          <w:lang w:val="en-GB"/>
        </w:rPr>
        <w:t>, 5(3), 169–176.</w:t>
      </w:r>
      <w:r w:rsidRPr="00582A6A">
        <w:rPr>
          <w:rFonts w:ascii="Verdana" w:eastAsia="Times New Roman" w:hAnsi="Verdana"/>
          <w:sz w:val="17"/>
          <w:szCs w:val="17"/>
          <w:shd w:val="clear" w:color="auto" w:fill="EFEFEF"/>
        </w:rPr>
        <w:t xml:space="preserve"> </w:t>
      </w:r>
      <w:r w:rsidRPr="00582A6A">
        <w:rPr>
          <w:rFonts w:ascii="Times New Roman" w:eastAsia="Times New Roman" w:hAnsi="Times New Roman" w:cs="Times New Roman"/>
          <w:sz w:val="24"/>
          <w:szCs w:val="24"/>
          <w:shd w:val="clear" w:color="auto" w:fill="EFEFEF"/>
          <w:lang w:eastAsia="fr-FR"/>
        </w:rPr>
        <w:t>http://hdl.handle.net/2268/58123</w:t>
      </w:r>
    </w:p>
    <w:p w14:paraId="161195A1"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val="en-GB" w:eastAsia="fr-FR"/>
        </w:rPr>
      </w:pPr>
      <w:r w:rsidRPr="00582A6A">
        <w:rPr>
          <w:rFonts w:ascii="Times New Roman" w:hAnsi="Times New Roman" w:cs="Times New Roman"/>
          <w:noProof/>
          <w:sz w:val="24"/>
          <w:szCs w:val="24"/>
        </w:rPr>
        <w:t xml:space="preserve">Croisier, J.-L. et al., 2008. </w:t>
      </w:r>
      <w:r w:rsidRPr="00582A6A">
        <w:rPr>
          <w:rFonts w:ascii="Times New Roman" w:hAnsi="Times New Roman" w:cs="Times New Roman"/>
          <w:noProof/>
          <w:sz w:val="24"/>
          <w:szCs w:val="24"/>
          <w:lang w:val="en-GB"/>
        </w:rPr>
        <w:t xml:space="preserve">Strength imbalances and prevention of hamstring injury in professional soccer players: a prospective study. </w:t>
      </w:r>
      <w:r w:rsidRPr="00582A6A">
        <w:rPr>
          <w:rFonts w:ascii="Times New Roman" w:hAnsi="Times New Roman" w:cs="Times New Roman"/>
          <w:i/>
          <w:iCs/>
          <w:noProof/>
          <w:sz w:val="24"/>
          <w:szCs w:val="24"/>
          <w:lang w:val="en-GB"/>
        </w:rPr>
        <w:t>The American Journal of Sports Medicine</w:t>
      </w:r>
      <w:r w:rsidRPr="00582A6A">
        <w:rPr>
          <w:rFonts w:ascii="Times New Roman" w:hAnsi="Times New Roman" w:cs="Times New Roman"/>
          <w:noProof/>
          <w:sz w:val="24"/>
          <w:szCs w:val="24"/>
          <w:lang w:val="en-GB"/>
        </w:rPr>
        <w:t xml:space="preserve">, 36(8),1469–75. </w:t>
      </w:r>
      <w:r w:rsidRPr="00582A6A">
        <w:rPr>
          <w:rFonts w:ascii="Times New Roman" w:eastAsia="Times New Roman" w:hAnsi="Times New Roman" w:cs="Times New Roman"/>
          <w:sz w:val="24"/>
          <w:szCs w:val="24"/>
          <w:shd w:val="clear" w:color="auto" w:fill="FFFFFF"/>
          <w:lang w:eastAsia="fr-FR"/>
        </w:rPr>
        <w:t>https://doi.org/10.1177/0363546508316764</w:t>
      </w:r>
    </w:p>
    <w:p w14:paraId="3BA611F6"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hAnsi="Times New Roman" w:cs="Times New Roman"/>
          <w:sz w:val="24"/>
          <w:szCs w:val="24"/>
          <w:lang w:eastAsia="fr-FR"/>
        </w:rPr>
      </w:pPr>
      <w:r w:rsidRPr="00582A6A">
        <w:rPr>
          <w:rFonts w:ascii="Times New Roman" w:hAnsi="Times New Roman" w:cs="Times New Roman"/>
          <w:sz w:val="24"/>
          <w:szCs w:val="24"/>
          <w:lang w:eastAsia="fr-FR"/>
        </w:rPr>
        <w:t xml:space="preserve">Della Villa, F., Hägglund, M., Della Villa, S., Ekstrand, J., &amp; Waldén, M., 2021. High rate of second ACL injury following ACL reconstruction in male professional footballers: An updated longitudinal analysis from 118 players in the UEFA Elite Club Injury Study. </w:t>
      </w:r>
      <w:r w:rsidRPr="00582A6A">
        <w:rPr>
          <w:rFonts w:ascii="Times New Roman" w:hAnsi="Times New Roman" w:cs="Times New Roman"/>
          <w:i/>
          <w:iCs/>
          <w:sz w:val="24"/>
          <w:szCs w:val="24"/>
          <w:lang w:eastAsia="fr-FR"/>
        </w:rPr>
        <w:t>British Journal of Sports Medicine</w:t>
      </w:r>
      <w:r w:rsidRPr="00582A6A">
        <w:rPr>
          <w:rFonts w:ascii="Times New Roman" w:hAnsi="Times New Roman" w:cs="Times New Roman"/>
          <w:sz w:val="24"/>
          <w:szCs w:val="24"/>
          <w:lang w:eastAsia="fr-FR"/>
        </w:rPr>
        <w:t>, 55(23), 1348-1353. https://doi.org/10.1136/bjsports-2020-103555</w:t>
      </w:r>
    </w:p>
    <w:p w14:paraId="6D0BE75A"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sz w:val="24"/>
          <w:szCs w:val="24"/>
          <w:lang w:val="en-US" w:eastAsia="fr-FR"/>
        </w:rPr>
      </w:pPr>
      <w:r w:rsidRPr="00582A6A">
        <w:rPr>
          <w:rFonts w:ascii="Times New Roman" w:eastAsiaTheme="minorEastAsia" w:hAnsi="Times New Roman" w:cs="Times New Roman"/>
          <w:sz w:val="24"/>
          <w:szCs w:val="24"/>
          <w:lang w:eastAsia="fr-FR"/>
        </w:rPr>
        <w:t xml:space="preserve">Dorn, T. W., Schache, A. G., &amp; Pandy, M. G., 2012. Muscular strategy shift in human running : dependence of running speed on hip and ankle muscle performance. </w:t>
      </w:r>
      <w:r w:rsidRPr="00582A6A">
        <w:rPr>
          <w:rFonts w:ascii="Times New Roman" w:eastAsiaTheme="minorEastAsia" w:hAnsi="Times New Roman" w:cs="Times New Roman"/>
          <w:i/>
          <w:sz w:val="24"/>
          <w:szCs w:val="24"/>
          <w:lang w:eastAsia="fr-FR"/>
        </w:rPr>
        <w:t>Journal of Explain Biology</w:t>
      </w:r>
      <w:r w:rsidRPr="00582A6A">
        <w:rPr>
          <w:rFonts w:ascii="Times New Roman" w:eastAsiaTheme="minorEastAsia" w:hAnsi="Times New Roman" w:cs="Times New Roman"/>
          <w:sz w:val="24"/>
          <w:szCs w:val="24"/>
          <w:lang w:eastAsia="fr-FR"/>
        </w:rPr>
        <w:t xml:space="preserve">. 215(11), 1944-1956. </w:t>
      </w:r>
      <w:r w:rsidRPr="00582A6A">
        <w:rPr>
          <w:rFonts w:ascii="Times New Roman" w:eastAsia="Times New Roman" w:hAnsi="Times New Roman" w:cs="Times New Roman"/>
          <w:sz w:val="24"/>
          <w:szCs w:val="24"/>
        </w:rPr>
        <w:t>https://doi.org/10.1242/jeb.064527</w:t>
      </w:r>
    </w:p>
    <w:p w14:paraId="7CB7517E"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sz w:val="24"/>
          <w:szCs w:val="24"/>
          <w:lang w:val="en-US" w:eastAsia="fr-FR"/>
        </w:rPr>
      </w:pPr>
      <w:r w:rsidRPr="00582A6A">
        <w:rPr>
          <w:rFonts w:ascii="Times New Roman" w:eastAsia="MS Mincho" w:hAnsi="Times New Roman"/>
          <w:sz w:val="24"/>
          <w:szCs w:val="24"/>
          <w:lang w:val="en-US" w:eastAsia="fr-FR"/>
        </w:rPr>
        <w:t xml:space="preserve">Ekstrand, J., Waldén, M., &amp; Hägglund, M., 2016. Hamstring injuries have increased by 4 % annually in men ’ s professional football, since 2001 : a 13-year longitudinal analysis of the UEFA Elite Club injury study. </w:t>
      </w:r>
      <w:r w:rsidRPr="00582A6A">
        <w:rPr>
          <w:rFonts w:ascii="Times New Roman" w:eastAsia="MS Mincho" w:hAnsi="Times New Roman"/>
          <w:i/>
          <w:sz w:val="24"/>
          <w:szCs w:val="24"/>
          <w:lang w:val="en-US" w:eastAsia="fr-FR"/>
        </w:rPr>
        <w:t xml:space="preserve">British Journal of Sports Medicine, </w:t>
      </w:r>
      <w:r w:rsidRPr="00582A6A">
        <w:rPr>
          <w:rFonts w:ascii="Times New Roman" w:eastAsia="MS Mincho" w:hAnsi="Times New Roman"/>
          <w:sz w:val="24"/>
          <w:szCs w:val="24"/>
          <w:lang w:val="en-US" w:eastAsia="fr-FR"/>
        </w:rPr>
        <w:t>50(12), 731–737. http://doi.org/10.1136/bjsports-2015-095359</w:t>
      </w:r>
    </w:p>
    <w:p w14:paraId="1FBE3AE6" w14:textId="77777777" w:rsidR="004508A9" w:rsidRPr="00582A6A" w:rsidRDefault="004508A9" w:rsidP="004508A9">
      <w:pPr>
        <w:pStyle w:val="Paragraphedeliste"/>
        <w:numPr>
          <w:ilvl w:val="0"/>
          <w:numId w:val="17"/>
        </w:numPr>
        <w:spacing w:line="480" w:lineRule="auto"/>
        <w:jc w:val="both"/>
        <w:rPr>
          <w:rFonts w:ascii="Times New Roman" w:eastAsia="Times New Roman" w:hAnsi="Times New Roman" w:cs="Times New Roman"/>
          <w:sz w:val="24"/>
          <w:szCs w:val="24"/>
        </w:rPr>
      </w:pPr>
      <w:r w:rsidRPr="00582A6A">
        <w:rPr>
          <w:rFonts w:ascii="Times New Roman" w:eastAsia="Times New Roman" w:hAnsi="Times New Roman" w:cs="Times New Roman"/>
          <w:sz w:val="24"/>
          <w:szCs w:val="24"/>
        </w:rPr>
        <w:t xml:space="preserve">Fiorentino, N. M., &amp; Blemker, S. S., 2014. Musculotendon variability influences tissue strains experienced by the biceps femoris long head muscle during high-speed running. </w:t>
      </w:r>
      <w:r w:rsidRPr="00582A6A">
        <w:rPr>
          <w:rFonts w:ascii="Times New Roman" w:eastAsia="Times New Roman" w:hAnsi="Times New Roman" w:cs="Times New Roman"/>
          <w:i/>
          <w:sz w:val="24"/>
          <w:szCs w:val="24"/>
        </w:rPr>
        <w:t>Journal of Biomechanics</w:t>
      </w:r>
      <w:r w:rsidRPr="00582A6A">
        <w:rPr>
          <w:rFonts w:ascii="Times New Roman" w:eastAsia="Times New Roman" w:hAnsi="Times New Roman" w:cs="Times New Roman"/>
          <w:sz w:val="24"/>
          <w:szCs w:val="24"/>
        </w:rPr>
        <w:t>, 47(13), 3325–3333.</w:t>
      </w:r>
      <w:r w:rsidRPr="00582A6A">
        <w:rPr>
          <w:rStyle w:val="apple-converted-space"/>
          <w:rFonts w:ascii="Times New Roman" w:eastAsia="Times New Roman" w:hAnsi="Times New Roman" w:cs="Times New Roman"/>
          <w:sz w:val="24"/>
          <w:szCs w:val="24"/>
        </w:rPr>
        <w:t> </w:t>
      </w:r>
      <w:r w:rsidRPr="00582A6A">
        <w:rPr>
          <w:rFonts w:ascii="Times New Roman" w:eastAsia="Times New Roman" w:hAnsi="Times New Roman" w:cs="Times New Roman"/>
          <w:sz w:val="24"/>
          <w:szCs w:val="24"/>
        </w:rPr>
        <w:t>https://doi.org/10.1016/j.jbiomech.2014.08.010</w:t>
      </w:r>
    </w:p>
    <w:p w14:paraId="5FE6413A"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cs="Times New Roman"/>
          <w:sz w:val="24"/>
          <w:szCs w:val="24"/>
          <w:lang w:val="en-US" w:eastAsia="fr-FR"/>
        </w:rPr>
      </w:pPr>
      <w:r w:rsidRPr="00582A6A">
        <w:rPr>
          <w:rFonts w:ascii="Times New Roman" w:hAnsi="Times New Roman" w:cs="Times New Roman"/>
          <w:sz w:val="24"/>
          <w:szCs w:val="24"/>
          <w:lang w:val="en-GB"/>
        </w:rPr>
        <w:t xml:space="preserve">Freckleton, G., Cook, J., &amp; Pizzari, T., 2014. The predictive validity of a single leg bridge test for hamstring injuries in Australian rules football players. </w:t>
      </w:r>
      <w:r w:rsidRPr="00582A6A">
        <w:rPr>
          <w:rFonts w:ascii="Times New Roman" w:hAnsi="Times New Roman" w:cs="Times New Roman"/>
          <w:i/>
          <w:iCs/>
          <w:sz w:val="24"/>
          <w:szCs w:val="24"/>
          <w:lang w:val="en-GB"/>
        </w:rPr>
        <w:t>British Journal of Sports Medicine</w:t>
      </w:r>
      <w:r w:rsidRPr="00582A6A">
        <w:rPr>
          <w:rFonts w:ascii="Times New Roman" w:hAnsi="Times New Roman" w:cs="Times New Roman"/>
          <w:sz w:val="24"/>
          <w:szCs w:val="24"/>
          <w:lang w:val="en-GB"/>
        </w:rPr>
        <w:t xml:space="preserve">, </w:t>
      </w:r>
      <w:r w:rsidRPr="00582A6A">
        <w:rPr>
          <w:rFonts w:ascii="Times New Roman" w:hAnsi="Times New Roman" w:cs="Times New Roman"/>
          <w:iCs/>
          <w:sz w:val="24"/>
          <w:szCs w:val="24"/>
          <w:lang w:val="en-GB"/>
        </w:rPr>
        <w:t>48</w:t>
      </w:r>
      <w:r w:rsidRPr="00582A6A">
        <w:rPr>
          <w:rFonts w:ascii="Times New Roman" w:hAnsi="Times New Roman" w:cs="Times New Roman"/>
          <w:sz w:val="24"/>
          <w:szCs w:val="24"/>
          <w:lang w:val="en-GB"/>
        </w:rPr>
        <w:t xml:space="preserve">(8), 713–717. </w:t>
      </w:r>
      <w:r w:rsidRPr="00582A6A">
        <w:rPr>
          <w:rFonts w:ascii="Times New Roman" w:eastAsia="Times New Roman" w:hAnsi="Times New Roman" w:cs="Times New Roman"/>
          <w:sz w:val="24"/>
          <w:szCs w:val="24"/>
          <w:shd w:val="clear" w:color="auto" w:fill="FFFFFF"/>
          <w:lang w:eastAsia="fr-FR"/>
        </w:rPr>
        <w:t>https://doi.org/10.1136/bjsports-2013-092356</w:t>
      </w:r>
    </w:p>
    <w:p w14:paraId="1F612657"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cs="Times New Roman"/>
          <w:sz w:val="24"/>
          <w:szCs w:val="24"/>
          <w:lang w:val="en-US" w:eastAsia="fr-FR"/>
        </w:rPr>
      </w:pPr>
      <w:r w:rsidRPr="00582A6A">
        <w:rPr>
          <w:rFonts w:ascii="Times New Roman" w:hAnsi="Times New Roman" w:cs="Times New Roman"/>
          <w:sz w:val="24"/>
          <w:szCs w:val="24"/>
          <w:lang w:val="en-GB"/>
        </w:rPr>
        <w:t xml:space="preserve">Fyfe, J. J., Opar, D. A., Williams, M. D., &amp; Shield, A. J., 2013. The role of neuromuscular inhibition in hamstring strain injury recurrence. </w:t>
      </w:r>
      <w:r w:rsidRPr="00582A6A">
        <w:rPr>
          <w:rFonts w:ascii="Times New Roman" w:hAnsi="Times New Roman" w:cs="Times New Roman"/>
          <w:i/>
          <w:iCs/>
          <w:sz w:val="24"/>
          <w:szCs w:val="24"/>
          <w:lang w:val="en-GB"/>
        </w:rPr>
        <w:t>Journal of Electromyography and Kinesiology</w:t>
      </w:r>
      <w:r w:rsidRPr="00582A6A">
        <w:rPr>
          <w:rFonts w:ascii="Times New Roman" w:hAnsi="Times New Roman" w:cs="Times New Roman"/>
          <w:sz w:val="24"/>
          <w:szCs w:val="24"/>
          <w:lang w:val="en-GB"/>
        </w:rPr>
        <w:t xml:space="preserve">, </w:t>
      </w:r>
      <w:r w:rsidRPr="00582A6A">
        <w:rPr>
          <w:rFonts w:ascii="Times New Roman" w:hAnsi="Times New Roman" w:cs="Times New Roman"/>
          <w:iCs/>
          <w:sz w:val="24"/>
          <w:szCs w:val="24"/>
          <w:lang w:val="en-GB"/>
        </w:rPr>
        <w:t>23</w:t>
      </w:r>
      <w:r w:rsidRPr="00582A6A">
        <w:rPr>
          <w:rFonts w:ascii="Times New Roman" w:hAnsi="Times New Roman" w:cs="Times New Roman"/>
          <w:sz w:val="24"/>
          <w:szCs w:val="24"/>
          <w:lang w:val="en-GB"/>
        </w:rPr>
        <w:t xml:space="preserve">(3), 523–530. </w:t>
      </w:r>
      <w:r w:rsidRPr="00582A6A">
        <w:rPr>
          <w:rFonts w:ascii="Times New Roman" w:eastAsia="Times New Roman" w:hAnsi="Times New Roman" w:cs="Times New Roman"/>
          <w:sz w:val="24"/>
          <w:szCs w:val="21"/>
          <w:shd w:val="clear" w:color="auto" w:fill="FFFFFF"/>
          <w:lang w:eastAsia="fr-FR"/>
        </w:rPr>
        <w:t>DOI:</w:t>
      </w:r>
      <w:r w:rsidRPr="00582A6A">
        <w:rPr>
          <w:rFonts w:ascii="Times New Roman" w:eastAsia="Times New Roman" w:hAnsi="Times New Roman" w:cs="Times New Roman"/>
          <w:sz w:val="24"/>
          <w:szCs w:val="21"/>
          <w:bdr w:val="none" w:sz="0" w:space="0" w:color="auto" w:frame="1"/>
          <w:lang w:eastAsia="fr-FR"/>
        </w:rPr>
        <w:t>10.1016/j.jelekin.2012.12.006</w:t>
      </w:r>
    </w:p>
    <w:p w14:paraId="6D088A08"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cs="Times New Roman"/>
          <w:sz w:val="24"/>
          <w:szCs w:val="24"/>
          <w:lang w:val="en-US" w:eastAsia="fr-FR"/>
        </w:rPr>
      </w:pPr>
      <w:r w:rsidRPr="00582A6A">
        <w:rPr>
          <w:rFonts w:ascii="Times New Roman" w:eastAsia="Times New Roman" w:hAnsi="Times New Roman" w:cs="Times New Roman"/>
          <w:sz w:val="24"/>
          <w:szCs w:val="24"/>
          <w:shd w:val="clear" w:color="auto" w:fill="FFFFFF"/>
          <w:lang w:eastAsia="fr-FR"/>
        </w:rPr>
        <w:t>Georgoulis, J. D., Melissaridou, D., Patras, K., Megaloikonomos, P. D., Trikoupis, I., Savvidou, O. D., &amp; Papagelopoulos, P. J., 2023. Neuromuscular activity of the lower-extremities during running, landing and changing-of-direction movements in individuals with anterior cruciate ligament reconstruction: a review of electromyographic studies. </w:t>
      </w:r>
      <w:r w:rsidRPr="00582A6A">
        <w:rPr>
          <w:rFonts w:ascii="Times New Roman" w:eastAsia="Times New Roman" w:hAnsi="Times New Roman" w:cs="Times New Roman"/>
          <w:i/>
          <w:iCs/>
          <w:sz w:val="24"/>
          <w:szCs w:val="24"/>
          <w:lang w:eastAsia="fr-FR"/>
        </w:rPr>
        <w:t>Journal of Experimental Orthopaedics</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10</w:t>
      </w:r>
      <w:r w:rsidRPr="00582A6A">
        <w:rPr>
          <w:rFonts w:ascii="Times New Roman" w:eastAsia="Times New Roman" w:hAnsi="Times New Roman" w:cs="Times New Roman"/>
          <w:sz w:val="24"/>
          <w:szCs w:val="24"/>
          <w:shd w:val="clear" w:color="auto" w:fill="FFFFFF"/>
          <w:lang w:eastAsia="fr-FR"/>
        </w:rPr>
        <w:t>(1), 43. https://doi.org/10.1186/s40634-023-00603-1</w:t>
      </w:r>
    </w:p>
    <w:p w14:paraId="7BA4381C" w14:textId="77777777" w:rsidR="004508A9" w:rsidRPr="00582A6A" w:rsidRDefault="004508A9" w:rsidP="004508A9">
      <w:pPr>
        <w:pStyle w:val="Paragraphedeliste"/>
        <w:numPr>
          <w:ilvl w:val="0"/>
          <w:numId w:val="17"/>
        </w:numPr>
        <w:spacing w:after="0" w:line="480" w:lineRule="auto"/>
        <w:contextualSpacing w:val="0"/>
        <w:jc w:val="both"/>
        <w:rPr>
          <w:rFonts w:ascii="Times New Roman" w:eastAsia="MS Mincho" w:hAnsi="Times New Roman"/>
          <w:sz w:val="24"/>
          <w:szCs w:val="24"/>
          <w:lang w:val="en-US" w:eastAsia="fr-FR"/>
        </w:rPr>
      </w:pPr>
      <w:r w:rsidRPr="00582A6A">
        <w:rPr>
          <w:rFonts w:ascii="Times New Roman" w:hAnsi="Times New Roman" w:cs="Times New Roman"/>
          <w:sz w:val="24"/>
          <w:szCs w:val="24"/>
          <w:lang w:eastAsia="fr-FR"/>
        </w:rPr>
        <w:t xml:space="preserve">Hegyi, A., Csala, D., Péter, A., Finni, T., &amp; Cronin, N. J., 2019. </w:t>
      </w:r>
      <w:r w:rsidRPr="00582A6A">
        <w:rPr>
          <w:rFonts w:ascii="Times New Roman" w:hAnsi="Times New Roman" w:cs="Times New Roman"/>
          <w:sz w:val="24"/>
          <w:szCs w:val="24"/>
          <w:lang w:val="en-GB" w:eastAsia="fr-FR"/>
        </w:rPr>
        <w:t xml:space="preserve">High-density electromyography activity in various hamstring exercises. </w:t>
      </w:r>
      <w:r w:rsidRPr="00582A6A">
        <w:rPr>
          <w:rFonts w:ascii="Times New Roman" w:hAnsi="Times New Roman" w:cs="Times New Roman"/>
          <w:i/>
          <w:iCs/>
          <w:sz w:val="24"/>
          <w:szCs w:val="24"/>
          <w:lang w:val="en-GB" w:eastAsia="fr-FR"/>
        </w:rPr>
        <w:t>Scandinavian Journal of Medicine and Science in Sports</w:t>
      </w:r>
      <w:r w:rsidRPr="00582A6A">
        <w:rPr>
          <w:rFonts w:ascii="Times New Roman" w:hAnsi="Times New Roman" w:cs="Times New Roman"/>
          <w:sz w:val="24"/>
          <w:szCs w:val="24"/>
          <w:lang w:val="en-GB" w:eastAsia="fr-FR"/>
        </w:rPr>
        <w:t xml:space="preserve">, </w:t>
      </w:r>
      <w:r w:rsidRPr="00582A6A">
        <w:rPr>
          <w:rFonts w:ascii="Times New Roman" w:hAnsi="Times New Roman" w:cs="Times New Roman"/>
          <w:iCs/>
          <w:sz w:val="24"/>
          <w:szCs w:val="24"/>
          <w:lang w:val="en-GB" w:eastAsia="fr-FR"/>
        </w:rPr>
        <w:t>29</w:t>
      </w:r>
      <w:r w:rsidRPr="00582A6A">
        <w:rPr>
          <w:rFonts w:ascii="Times New Roman" w:hAnsi="Times New Roman" w:cs="Times New Roman"/>
          <w:sz w:val="24"/>
          <w:szCs w:val="24"/>
          <w:lang w:val="en-GB" w:eastAsia="fr-FR"/>
        </w:rPr>
        <w:t xml:space="preserve">(1), 34-43. </w:t>
      </w:r>
      <w:r w:rsidRPr="00582A6A">
        <w:rPr>
          <w:rFonts w:ascii="Times New Roman" w:eastAsia="Times New Roman" w:hAnsi="Times New Roman" w:cs="Times New Roman"/>
          <w:sz w:val="24"/>
          <w:szCs w:val="24"/>
          <w:shd w:val="clear" w:color="auto" w:fill="FFFFFF"/>
          <w:lang w:eastAsia="fr-FR"/>
        </w:rPr>
        <w:t>https://doi.org/10.1111/sms.13303</w:t>
      </w:r>
    </w:p>
    <w:p w14:paraId="660976E4"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Higashihara, A., Ono, T., Tokutake, G., Kuramochi, R., Kunita, Y., Nagano, Y., &amp; Hirose, N., 2019. Hamstring muscles’ function deficit during overground sprinting in track and field athletes with a history of strain injury. </w:t>
      </w:r>
      <w:r w:rsidRPr="00582A6A">
        <w:rPr>
          <w:rFonts w:ascii="Times New Roman" w:eastAsiaTheme="minorEastAsia" w:hAnsi="Times New Roman" w:cs="Times New Roman"/>
          <w:i/>
          <w:iCs/>
          <w:sz w:val="24"/>
          <w:szCs w:val="24"/>
          <w:lang w:eastAsia="fr-FR"/>
        </w:rPr>
        <w:t>Journal of Sports Sciences</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37</w:t>
      </w:r>
      <w:r w:rsidRPr="00582A6A">
        <w:rPr>
          <w:rFonts w:ascii="Times New Roman" w:eastAsiaTheme="minorEastAsia" w:hAnsi="Times New Roman" w:cs="Times New Roman"/>
          <w:sz w:val="24"/>
          <w:szCs w:val="24"/>
          <w:lang w:eastAsia="fr-FR"/>
        </w:rPr>
        <w:t>(23), 2744–2750. https://doi.org/10.1080/02640414.2019.1664030</w:t>
      </w:r>
    </w:p>
    <w:p w14:paraId="1422F840"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Jankaew, A., Jan, Y. K., Hwang, I. S., Kuo, L. C., &amp; Lin, C. F., 2023. Hamstring activation deficits in different jumping directions in athletes with a history of hamstring strain injuries: a cross-sectional laboratory study. </w:t>
      </w:r>
      <w:r w:rsidRPr="00582A6A">
        <w:rPr>
          <w:rFonts w:ascii="Times New Roman" w:eastAsia="Times New Roman" w:hAnsi="Times New Roman" w:cs="Times New Roman"/>
          <w:i/>
          <w:iCs/>
          <w:sz w:val="24"/>
          <w:szCs w:val="24"/>
          <w:lang w:eastAsia="fr-FR"/>
        </w:rPr>
        <w:t>Sports Biomechanic</w:t>
      </w:r>
      <w:r w:rsidRPr="00582A6A">
        <w:rPr>
          <w:rFonts w:ascii="Times New Roman" w:eastAsia="Times New Roman" w:hAnsi="Times New Roman" w:cs="Times New Roman"/>
          <w:sz w:val="24"/>
          <w:szCs w:val="24"/>
          <w:shd w:val="clear" w:color="auto" w:fill="FFFFFF"/>
          <w:lang w:eastAsia="fr-FR"/>
        </w:rPr>
        <w:t>, 1–16. https://doi.org/10.1080/14763141.2023.2236074</w:t>
      </w:r>
    </w:p>
    <w:p w14:paraId="1C9A668D"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Jónasson, G., Helgason, A., Ingvarsson, Þ., Kristjánsson, A. M., &amp; Briem, K., 2016. The Effect of Tibial Rotation on the Contribution of Medial and Lateral Hamstrings During Isometric Knee Flexion. </w:t>
      </w:r>
      <w:r w:rsidRPr="00582A6A">
        <w:rPr>
          <w:rFonts w:ascii="Times New Roman" w:eastAsia="Times New Roman" w:hAnsi="Times New Roman" w:cs="Times New Roman"/>
          <w:i/>
          <w:iCs/>
          <w:sz w:val="24"/>
          <w:szCs w:val="24"/>
          <w:lang w:eastAsia="fr-FR"/>
        </w:rPr>
        <w:t>Sports health</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8</w:t>
      </w:r>
      <w:r w:rsidRPr="00582A6A">
        <w:rPr>
          <w:rFonts w:ascii="Times New Roman" w:eastAsia="Times New Roman" w:hAnsi="Times New Roman" w:cs="Times New Roman"/>
          <w:sz w:val="24"/>
          <w:szCs w:val="24"/>
          <w:shd w:val="clear" w:color="auto" w:fill="FFFFFF"/>
          <w:lang w:eastAsia="fr-FR"/>
        </w:rPr>
        <w:t>(2), 161–166. https://doi.org/10.1177/1941738115625039</w:t>
      </w:r>
    </w:p>
    <w:p w14:paraId="6A5CE4A5" w14:textId="77777777" w:rsidR="004508A9" w:rsidRPr="00582A6A" w:rsidRDefault="004508A9" w:rsidP="004508A9">
      <w:pPr>
        <w:pStyle w:val="Paragraphedeliste"/>
        <w:numPr>
          <w:ilvl w:val="0"/>
          <w:numId w:val="17"/>
        </w:numPr>
        <w:spacing w:after="0" w:line="480" w:lineRule="auto"/>
        <w:jc w:val="both"/>
        <w:rPr>
          <w:rFonts w:ascii="Times New Roman" w:eastAsia="Times New Roman"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Kalkhoven, J. T., Lukauskis-Carvajal, M., Sides, D. L., McLean, B. D., &amp; Watsford, M. L., 2023. A Conceptual Exploration of Hamstring Muscle-Tendon Functioning during the Late-Swing Phase of Sprinting: The Importance of Evidence-Based Hamstring Training Frameworks. </w:t>
      </w:r>
      <w:r w:rsidRPr="00582A6A">
        <w:rPr>
          <w:rFonts w:ascii="Times New Roman" w:eastAsia="Times New Roman" w:hAnsi="Times New Roman" w:cs="Times New Roman"/>
          <w:i/>
          <w:iCs/>
          <w:sz w:val="24"/>
          <w:szCs w:val="24"/>
          <w:lang w:eastAsia="fr-FR"/>
        </w:rPr>
        <w:t>Sports medicine (Auckland, N.Z.)</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53</w:t>
      </w:r>
      <w:r w:rsidRPr="00582A6A">
        <w:rPr>
          <w:rFonts w:ascii="Times New Roman" w:eastAsia="Times New Roman" w:hAnsi="Times New Roman" w:cs="Times New Roman"/>
          <w:sz w:val="24"/>
          <w:szCs w:val="24"/>
          <w:shd w:val="clear" w:color="auto" w:fill="FFFFFF"/>
          <w:lang w:eastAsia="fr-FR"/>
        </w:rPr>
        <w:t>(12), 2321–2346. https://doi.org/10.1007/s40279-023-01904-2</w:t>
      </w:r>
    </w:p>
    <w:p w14:paraId="08BC7B57"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Kang, H., 2021. Sample size determination and power analysis using the G*Power software. </w:t>
      </w:r>
      <w:r w:rsidRPr="00582A6A">
        <w:rPr>
          <w:rFonts w:ascii="Times New Roman" w:eastAsiaTheme="minorEastAsia" w:hAnsi="Times New Roman" w:cs="Times New Roman"/>
          <w:i/>
          <w:sz w:val="24"/>
          <w:szCs w:val="24"/>
          <w:lang w:eastAsia="fr-FR"/>
        </w:rPr>
        <w:t>Journal of Educational Evaluation for Health Professions</w:t>
      </w:r>
      <w:r w:rsidRPr="00582A6A">
        <w:rPr>
          <w:rFonts w:ascii="Times New Roman" w:eastAsiaTheme="minorEastAsia" w:hAnsi="Times New Roman" w:cs="Times New Roman"/>
          <w:sz w:val="24"/>
          <w:szCs w:val="24"/>
          <w:lang w:eastAsia="fr-FR"/>
        </w:rPr>
        <w:t>, 18, 17. https://doi.org/10.3352/jeehp.2021.18.17</w:t>
      </w:r>
    </w:p>
    <w:p w14:paraId="41D47393"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Koo, T. K., and Li, M. Y., 2016. A guideline of selecting and reporting intraclass correlation coefficients for reliability research. </w:t>
      </w:r>
      <w:r w:rsidRPr="00582A6A">
        <w:rPr>
          <w:rFonts w:ascii="Times New Roman" w:eastAsiaTheme="minorEastAsia" w:hAnsi="Times New Roman" w:cs="Times New Roman"/>
          <w:i/>
          <w:sz w:val="24"/>
          <w:szCs w:val="24"/>
          <w:lang w:eastAsia="fr-FR"/>
        </w:rPr>
        <w:t>Journal of Chiropractic Medicine</w:t>
      </w:r>
      <w:r w:rsidRPr="00582A6A">
        <w:rPr>
          <w:rFonts w:ascii="Times New Roman" w:eastAsiaTheme="minorEastAsia" w:hAnsi="Times New Roman" w:cs="Times New Roman"/>
          <w:sz w:val="24"/>
          <w:szCs w:val="24"/>
          <w:lang w:eastAsia="fr-FR"/>
        </w:rPr>
        <w:t>. 15(2), 155–163. http://doi.org/10.1016/j.jcm.2016.02.012</w:t>
      </w:r>
    </w:p>
    <w:p w14:paraId="0E62A65F"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Lahti, J., Mendiguchia, J., Ahtiainen, J., Anula, L., Kononen, T., Kujala, M., Morin, J. B., 2020. Multifactorial individualised programme for hamstring muscle injury risk reduction in professional football: Protocol for a prospective cohort study. </w:t>
      </w:r>
      <w:r w:rsidRPr="00582A6A">
        <w:rPr>
          <w:rFonts w:ascii="Times New Roman" w:eastAsiaTheme="minorEastAsia" w:hAnsi="Times New Roman" w:cs="Times New Roman"/>
          <w:i/>
          <w:iCs/>
          <w:sz w:val="24"/>
          <w:szCs w:val="24"/>
          <w:lang w:eastAsia="fr-FR"/>
        </w:rPr>
        <w:t>BMJ Open Sport and Exercise Medicine</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6</w:t>
      </w:r>
      <w:r w:rsidRPr="00582A6A">
        <w:rPr>
          <w:rFonts w:ascii="Times New Roman" w:eastAsiaTheme="minorEastAsia" w:hAnsi="Times New Roman" w:cs="Times New Roman"/>
          <w:sz w:val="24"/>
          <w:szCs w:val="24"/>
          <w:lang w:eastAsia="fr-FR"/>
        </w:rPr>
        <w:t>(1), 000758. https://doi.org/10.1136/bmjsem-2020-000758</w:t>
      </w:r>
    </w:p>
    <w:p w14:paraId="7995476D" w14:textId="77777777" w:rsidR="004508A9" w:rsidRPr="00582A6A" w:rsidRDefault="004508A9" w:rsidP="004508A9">
      <w:pPr>
        <w:pStyle w:val="Paragraphedeliste"/>
        <w:numPr>
          <w:ilvl w:val="0"/>
          <w:numId w:val="17"/>
        </w:numPr>
        <w:spacing w:after="0" w:line="480" w:lineRule="auto"/>
        <w:ind w:left="714" w:hanging="357"/>
        <w:jc w:val="both"/>
        <w:rPr>
          <w:rFonts w:ascii="Times New Roman" w:eastAsiaTheme="minorEastAsia" w:hAnsi="Times New Roman" w:cs="Times New Roman"/>
          <w:sz w:val="24"/>
          <w:szCs w:val="20"/>
          <w:lang w:eastAsia="fr-FR"/>
        </w:rPr>
      </w:pPr>
      <w:r w:rsidRPr="00582A6A">
        <w:rPr>
          <w:rFonts w:ascii="Times New Roman" w:eastAsiaTheme="minorEastAsia" w:hAnsi="Times New Roman" w:cs="Times New Roman"/>
          <w:sz w:val="24"/>
          <w:szCs w:val="20"/>
          <w:lang w:eastAsia="fr-FR"/>
        </w:rPr>
        <w:t xml:space="preserve">Lakens, D., 2013. Calculating and reporting effect sizes to facilitate cumulative science: a practical primer for t-tests and ANOVAs. </w:t>
      </w:r>
      <w:r w:rsidRPr="00582A6A">
        <w:rPr>
          <w:rFonts w:ascii="Times New Roman" w:eastAsiaTheme="minorEastAsia" w:hAnsi="Times New Roman" w:cs="Times New Roman"/>
          <w:i/>
          <w:iCs/>
          <w:sz w:val="24"/>
          <w:szCs w:val="20"/>
          <w:lang w:eastAsia="fr-FR"/>
        </w:rPr>
        <w:t>Frontiers in Psychology</w:t>
      </w:r>
      <w:r w:rsidRPr="00582A6A">
        <w:rPr>
          <w:rFonts w:ascii="Times New Roman" w:eastAsiaTheme="minorEastAsia" w:hAnsi="Times New Roman" w:cs="Times New Roman"/>
          <w:sz w:val="24"/>
          <w:szCs w:val="20"/>
          <w:lang w:eastAsia="fr-FR"/>
        </w:rPr>
        <w:t>, 4, 863. https://www.frontiersin.org/articles/10.3389/fpsyg.2013.00863</w:t>
      </w:r>
    </w:p>
    <w:p w14:paraId="6EE21449"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hAnsi="Times New Roman" w:cs="Times New Roman"/>
          <w:sz w:val="24"/>
          <w:szCs w:val="24"/>
          <w:lang w:eastAsia="fr-FR"/>
        </w:rPr>
        <w:t xml:space="preserve">Lynn, S. K., &amp; Costigan, P. A., 2009. Changes in the medial-lateral hamstring activation ratio with foot rotation during lower limb exercise. </w:t>
      </w:r>
      <w:r w:rsidRPr="00582A6A">
        <w:rPr>
          <w:rFonts w:ascii="Times New Roman" w:hAnsi="Times New Roman" w:cs="Times New Roman"/>
          <w:i/>
          <w:iCs/>
          <w:sz w:val="24"/>
          <w:szCs w:val="24"/>
          <w:lang w:eastAsia="fr-FR"/>
        </w:rPr>
        <w:t>Journal of Electromyography and Kinesiology</w:t>
      </w:r>
      <w:r w:rsidRPr="00582A6A">
        <w:rPr>
          <w:rFonts w:ascii="Times New Roman" w:hAnsi="Times New Roman" w:cs="Times New Roman"/>
          <w:sz w:val="24"/>
          <w:szCs w:val="24"/>
          <w:lang w:eastAsia="fr-FR"/>
        </w:rPr>
        <w:t xml:space="preserve">, </w:t>
      </w:r>
      <w:r w:rsidRPr="00582A6A">
        <w:rPr>
          <w:rFonts w:ascii="Times New Roman" w:hAnsi="Times New Roman" w:cs="Times New Roman"/>
          <w:iCs/>
          <w:sz w:val="24"/>
          <w:szCs w:val="24"/>
          <w:lang w:eastAsia="fr-FR"/>
        </w:rPr>
        <w:t>19</w:t>
      </w:r>
      <w:r w:rsidRPr="00582A6A">
        <w:rPr>
          <w:rFonts w:ascii="Times New Roman" w:hAnsi="Times New Roman" w:cs="Times New Roman"/>
          <w:sz w:val="24"/>
          <w:szCs w:val="24"/>
          <w:lang w:eastAsia="fr-FR"/>
        </w:rPr>
        <w:t xml:space="preserve">(3), 197–205. </w:t>
      </w:r>
      <w:r w:rsidRPr="00582A6A">
        <w:rPr>
          <w:rFonts w:ascii="Times New Roman" w:eastAsia="Times New Roman" w:hAnsi="Times New Roman" w:cs="Times New Roman"/>
          <w:sz w:val="24"/>
          <w:szCs w:val="24"/>
          <w:shd w:val="clear" w:color="auto" w:fill="FFFFFF"/>
          <w:lang w:eastAsia="fr-FR"/>
        </w:rPr>
        <w:t>https://doi.org/10.1016/j.jelekin.2008.01.007</w:t>
      </w:r>
    </w:p>
    <w:p w14:paraId="72311FBD"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Marušič, J., Vatovec, R., Marković, G., &amp; Šarabon, N., 2020. Effects of eccentric training at long-muscle length on architectural and functional characteristics of the hamstrings. </w:t>
      </w:r>
      <w:r w:rsidRPr="00582A6A">
        <w:rPr>
          <w:rFonts w:ascii="Times New Roman" w:eastAsiaTheme="minorEastAsia" w:hAnsi="Times New Roman" w:cs="Times New Roman"/>
          <w:i/>
          <w:iCs/>
          <w:sz w:val="24"/>
          <w:szCs w:val="24"/>
          <w:lang w:eastAsia="fr-FR"/>
        </w:rPr>
        <w:t>Scandinavian Journal of Medicine and Science in Sports</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30</w:t>
      </w:r>
      <w:r w:rsidRPr="00582A6A">
        <w:rPr>
          <w:rFonts w:ascii="Times New Roman" w:eastAsiaTheme="minorEastAsia" w:hAnsi="Times New Roman" w:cs="Times New Roman"/>
          <w:sz w:val="24"/>
          <w:szCs w:val="24"/>
          <w:lang w:eastAsia="fr-FR"/>
        </w:rPr>
        <w:t>(11), 2130–2142. https://doi.org/10.1111/sms.13770</w:t>
      </w:r>
    </w:p>
    <w:p w14:paraId="619B932A"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imes New Roman" w:hAnsi="Times New Roman" w:cs="Times New Roman"/>
          <w:sz w:val="24"/>
          <w:szCs w:val="26"/>
          <w:shd w:val="clear" w:color="auto" w:fill="FFFFFF"/>
          <w:lang w:eastAsia="fr-FR"/>
        </w:rPr>
        <w:t>Oleksy, Ł., Mika, A., Sulowska-Daszyk, I., Kielnar, R., Dzięcioł-Anikiej, Z., Zyznawska, J., Adamska, O., &amp; Stolarczyk, A., 2023. The Evaluation of Asymmetry in Isokinetic and Electromyographic Activity (sEMG) of the Knee Flexor and Extensor Muscles in Football Players after ACL Rupture Reconstruction and in the Athletes following Mild Lower-Limb Injuries. </w:t>
      </w:r>
      <w:r w:rsidRPr="00582A6A">
        <w:rPr>
          <w:rFonts w:ascii="Times New Roman" w:eastAsia="Times New Roman" w:hAnsi="Times New Roman" w:cs="Times New Roman"/>
          <w:i/>
          <w:iCs/>
          <w:sz w:val="24"/>
          <w:szCs w:val="26"/>
          <w:lang w:eastAsia="fr-FR"/>
        </w:rPr>
        <w:t>Journal of Clinical Medicine</w:t>
      </w:r>
      <w:r w:rsidRPr="00582A6A">
        <w:rPr>
          <w:rFonts w:ascii="Times New Roman" w:eastAsia="Times New Roman" w:hAnsi="Times New Roman" w:cs="Times New Roman"/>
          <w:sz w:val="24"/>
          <w:szCs w:val="26"/>
          <w:shd w:val="clear" w:color="auto" w:fill="FFFFFF"/>
          <w:lang w:eastAsia="fr-FR"/>
        </w:rPr>
        <w:t>, </w:t>
      </w:r>
      <w:r w:rsidRPr="00582A6A">
        <w:rPr>
          <w:rFonts w:ascii="Times New Roman" w:eastAsia="Times New Roman" w:hAnsi="Times New Roman" w:cs="Times New Roman"/>
          <w:iCs/>
          <w:sz w:val="24"/>
          <w:szCs w:val="26"/>
          <w:lang w:eastAsia="fr-FR"/>
        </w:rPr>
        <w:t>12</w:t>
      </w:r>
      <w:r w:rsidRPr="00582A6A">
        <w:rPr>
          <w:rFonts w:ascii="Times New Roman" w:eastAsia="Times New Roman" w:hAnsi="Times New Roman" w:cs="Times New Roman"/>
          <w:sz w:val="24"/>
          <w:szCs w:val="26"/>
          <w:shd w:val="clear" w:color="auto" w:fill="FFFFFF"/>
          <w:lang w:eastAsia="fr-FR"/>
        </w:rPr>
        <w:t>(3), 1144. https://doi.org/10.3390/jcm12031144</w:t>
      </w:r>
    </w:p>
    <w:p w14:paraId="286995B0"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hAnsi="Times New Roman" w:cs="Times New Roman"/>
          <w:noProof/>
          <w:sz w:val="24"/>
          <w:szCs w:val="24"/>
          <w:lang w:val="en-GB"/>
        </w:rPr>
        <w:t xml:space="preserve">Opar, D.A., Williams, M.D. &amp; Shield, A.J., 2012. Hamstring strain injuries: Factors that Lead to injury and re-Injury. </w:t>
      </w:r>
      <w:r w:rsidRPr="00582A6A">
        <w:rPr>
          <w:rFonts w:ascii="Times New Roman" w:hAnsi="Times New Roman" w:cs="Times New Roman"/>
          <w:i/>
          <w:iCs/>
          <w:noProof/>
          <w:sz w:val="24"/>
          <w:szCs w:val="24"/>
          <w:lang w:val="en-GB"/>
        </w:rPr>
        <w:t>Sports Medicine</w:t>
      </w:r>
      <w:r w:rsidRPr="00582A6A">
        <w:rPr>
          <w:rFonts w:ascii="Times New Roman" w:hAnsi="Times New Roman" w:cs="Times New Roman"/>
          <w:noProof/>
          <w:sz w:val="24"/>
          <w:szCs w:val="24"/>
          <w:lang w:val="en-GB"/>
        </w:rPr>
        <w:t>, 42(3), 209–226.</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https://doi.org/10.2165/11594800-000000000-00000</w:t>
      </w:r>
    </w:p>
    <w:p w14:paraId="75A05C32"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hAnsi="Times New Roman" w:cs="Times New Roman"/>
          <w:sz w:val="24"/>
          <w:szCs w:val="24"/>
          <w:lang w:val="en-GB"/>
        </w:rPr>
        <w:t xml:space="preserve">Opar, D. A., Williams, M. D., Timmins, R. G., Dear, N. M., &amp; Shield, A. J., 2013. Rate of torque and electromyographic development during anticipated eccentric contraction is lower in previously strained hamstrings. </w:t>
      </w:r>
      <w:r w:rsidRPr="00582A6A">
        <w:rPr>
          <w:rFonts w:ascii="Times New Roman" w:hAnsi="Times New Roman" w:cs="Times New Roman"/>
          <w:i/>
          <w:iCs/>
          <w:sz w:val="24"/>
          <w:szCs w:val="24"/>
          <w:lang w:val="en-GB"/>
        </w:rPr>
        <w:t>American Journal of Sports Medicine</w:t>
      </w:r>
      <w:r w:rsidRPr="00582A6A">
        <w:rPr>
          <w:rFonts w:ascii="Times New Roman" w:hAnsi="Times New Roman" w:cs="Times New Roman"/>
          <w:sz w:val="24"/>
          <w:szCs w:val="24"/>
          <w:lang w:val="en-GB"/>
        </w:rPr>
        <w:t xml:space="preserve">, </w:t>
      </w:r>
      <w:r w:rsidRPr="00582A6A">
        <w:rPr>
          <w:rFonts w:ascii="Times New Roman" w:hAnsi="Times New Roman" w:cs="Times New Roman"/>
          <w:iCs/>
          <w:sz w:val="24"/>
          <w:szCs w:val="24"/>
          <w:lang w:val="en-GB"/>
        </w:rPr>
        <w:t>41</w:t>
      </w:r>
      <w:r w:rsidRPr="00582A6A">
        <w:rPr>
          <w:rFonts w:ascii="Times New Roman" w:hAnsi="Times New Roman" w:cs="Times New Roman"/>
          <w:sz w:val="24"/>
          <w:szCs w:val="24"/>
          <w:lang w:val="en-GB"/>
        </w:rPr>
        <w:t xml:space="preserve">(1), 116–125. </w:t>
      </w:r>
      <w:r w:rsidRPr="00582A6A">
        <w:rPr>
          <w:rFonts w:ascii="Times New Roman" w:eastAsia="Times New Roman" w:hAnsi="Times New Roman" w:cs="Times New Roman"/>
          <w:sz w:val="24"/>
          <w:szCs w:val="24"/>
          <w:shd w:val="clear" w:color="auto" w:fill="FFFFFF"/>
          <w:lang w:eastAsia="fr-FR"/>
        </w:rPr>
        <w:t>https://doi.org/10.1177/0363546512462809</w:t>
      </w:r>
    </w:p>
    <w:p w14:paraId="23FDF382"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imes New Roman" w:hAnsi="Times New Roman" w:cs="Times New Roman"/>
          <w:sz w:val="24"/>
          <w:szCs w:val="24"/>
          <w:shd w:val="clear" w:color="auto" w:fill="FFFFFF"/>
          <w:lang w:eastAsia="fr-FR"/>
        </w:rPr>
        <w:t>Opar, D. A., &amp; Serpell, B. G., 2014. Is there a potential relationship between prior hamstring strain injury and increased risk for future anterior cruciate ligament injury?. </w:t>
      </w:r>
      <w:r w:rsidRPr="00582A6A">
        <w:rPr>
          <w:rFonts w:ascii="Times New Roman" w:eastAsia="Times New Roman" w:hAnsi="Times New Roman" w:cs="Times New Roman"/>
          <w:i/>
          <w:iCs/>
          <w:sz w:val="24"/>
          <w:szCs w:val="24"/>
          <w:lang w:eastAsia="fr-FR"/>
        </w:rPr>
        <w:t>Archives of Physical Medicine and Rehabilitation</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95</w:t>
      </w:r>
      <w:r w:rsidRPr="00582A6A">
        <w:rPr>
          <w:rFonts w:ascii="Times New Roman" w:eastAsia="Times New Roman" w:hAnsi="Times New Roman" w:cs="Times New Roman"/>
          <w:sz w:val="24"/>
          <w:szCs w:val="24"/>
          <w:shd w:val="clear" w:color="auto" w:fill="FFFFFF"/>
          <w:lang w:eastAsia="fr-FR"/>
        </w:rPr>
        <w:t>(2), 401–405. https://doi.org/10.1016/j.apmr.2013.07.028</w:t>
      </w:r>
    </w:p>
    <w:p w14:paraId="60739A1E"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eastAsiaTheme="minorEastAsia" w:hAnsi="Times New Roman" w:cs="Times New Roman"/>
          <w:sz w:val="24"/>
          <w:szCs w:val="20"/>
          <w:lang w:eastAsia="fr-FR"/>
        </w:rPr>
        <w:t xml:space="preserve">Presland, J. D., Timmins, R. G., Maniar, N., Tofari, P. J., Kidgell, D. J., Shield, A. J., Opar, D. A., 2021. Muscle Activity and Activation in Previously Strain-Injured Lower Limbs: A Systematic Review. </w:t>
      </w:r>
      <w:r w:rsidRPr="00582A6A">
        <w:rPr>
          <w:rFonts w:ascii="Times New Roman" w:eastAsiaTheme="minorEastAsia" w:hAnsi="Times New Roman" w:cs="Times New Roman"/>
          <w:i/>
          <w:iCs/>
          <w:sz w:val="24"/>
          <w:szCs w:val="20"/>
          <w:lang w:eastAsia="fr-FR"/>
        </w:rPr>
        <w:t>Sports Medicine,</w:t>
      </w:r>
      <w:r w:rsidRPr="00582A6A">
        <w:rPr>
          <w:rFonts w:ascii="Times New Roman" w:eastAsiaTheme="minorEastAsia" w:hAnsi="Times New Roman" w:cs="Times New Roman"/>
          <w:iCs/>
          <w:sz w:val="24"/>
          <w:szCs w:val="20"/>
          <w:lang w:eastAsia="fr-FR"/>
        </w:rPr>
        <w:t xml:space="preserve"> 51, 2025-2044</w:t>
      </w:r>
      <w:r w:rsidRPr="00582A6A">
        <w:rPr>
          <w:rFonts w:ascii="Times New Roman" w:eastAsiaTheme="minorEastAsia" w:hAnsi="Times New Roman" w:cs="Times New Roman"/>
          <w:sz w:val="24"/>
          <w:szCs w:val="20"/>
          <w:lang w:eastAsia="fr-FR"/>
        </w:rPr>
        <w:t>. https://doi.org/10.1007/s40279-021-01487-w</w:t>
      </w:r>
    </w:p>
    <w:p w14:paraId="4DEC4D36"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hAnsi="Times New Roman" w:cs="Times New Roman"/>
          <w:noProof/>
          <w:sz w:val="24"/>
          <w:szCs w:val="24"/>
          <w:lang w:val="en-GB"/>
        </w:rPr>
        <w:t xml:space="preserve">Schuermans, J. et al., 2014. Biceps femoris and semitendinosus--teammates or competitors? New insights into hamstring injury mechanisms in male football players: a muscle functional MRI study. </w:t>
      </w:r>
      <w:r w:rsidRPr="00582A6A">
        <w:rPr>
          <w:rFonts w:ascii="Times New Roman" w:hAnsi="Times New Roman" w:cs="Times New Roman"/>
          <w:i/>
          <w:iCs/>
          <w:noProof/>
          <w:sz w:val="24"/>
          <w:szCs w:val="24"/>
          <w:lang w:val="en-GB"/>
        </w:rPr>
        <w:t>British Journal of Sports Medicine</w:t>
      </w:r>
      <w:r w:rsidRPr="00582A6A">
        <w:rPr>
          <w:rFonts w:ascii="Times New Roman" w:hAnsi="Times New Roman" w:cs="Times New Roman"/>
          <w:noProof/>
          <w:sz w:val="24"/>
          <w:szCs w:val="24"/>
          <w:lang w:val="en-GB"/>
        </w:rPr>
        <w:t>, 48(22), 1599–1606.</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https://doi.org/10.1136/bjsports-2014-094017</w:t>
      </w:r>
    </w:p>
    <w:p w14:paraId="7D5AE210"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hAnsi="Times New Roman" w:cs="Times New Roman"/>
          <w:noProof/>
          <w:sz w:val="24"/>
          <w:szCs w:val="24"/>
          <w:lang w:val="en-GB"/>
        </w:rPr>
        <w:t xml:space="preserve">Schuermans, J. et al., 2016. Susceptibility to Hamstring Injuries in Soccer: A Prospective Study Using Muscle  Functional Magnetic Resonance Imaging. </w:t>
      </w:r>
      <w:r w:rsidRPr="00582A6A">
        <w:rPr>
          <w:rFonts w:ascii="Times New Roman" w:hAnsi="Times New Roman" w:cs="Times New Roman"/>
          <w:i/>
          <w:iCs/>
          <w:noProof/>
          <w:sz w:val="24"/>
          <w:szCs w:val="24"/>
          <w:lang w:val="en-GB"/>
        </w:rPr>
        <w:t>The American Journal of Sports Medicine</w:t>
      </w:r>
      <w:r w:rsidRPr="00582A6A">
        <w:rPr>
          <w:rFonts w:ascii="Times New Roman" w:hAnsi="Times New Roman" w:cs="Times New Roman"/>
          <w:noProof/>
          <w:sz w:val="24"/>
          <w:szCs w:val="24"/>
          <w:lang w:val="en-GB"/>
        </w:rPr>
        <w:t>, 44(5), 1276–1285.</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https://doi.org/10.1177/0363546515626538</w:t>
      </w:r>
    </w:p>
    <w:p w14:paraId="229F6AAA" w14:textId="77777777" w:rsidR="004508A9" w:rsidRPr="00582A6A" w:rsidRDefault="004508A9" w:rsidP="004508A9">
      <w:pPr>
        <w:pStyle w:val="Paragraphedeliste"/>
        <w:numPr>
          <w:ilvl w:val="0"/>
          <w:numId w:val="17"/>
        </w:numPr>
        <w:spacing w:line="480" w:lineRule="auto"/>
        <w:jc w:val="both"/>
        <w:rPr>
          <w:rFonts w:ascii="Times New Roman" w:hAnsi="Times New Roman" w:cs="Times New Roman"/>
          <w:szCs w:val="20"/>
        </w:rPr>
      </w:pPr>
      <w:r w:rsidRPr="00582A6A">
        <w:rPr>
          <w:rFonts w:ascii="Times New Roman" w:hAnsi="Times New Roman" w:cs="Times New Roman"/>
          <w:sz w:val="24"/>
          <w:shd w:val="clear" w:color="auto" w:fill="FFFFFF"/>
        </w:rPr>
        <w:t>Schwartz, C., Tubez, F., Wang, F., Croisier, J., Brüls, O., Denoël, V., &amp; Forthomme, B., 2017. Normalizing shoulder EMG : An optimal set of maximum isometric voluntary contraction tests considering reproducibility. Journal of Electromyography and Kinesiology, 37,1e8.</w:t>
      </w:r>
    </w:p>
    <w:p w14:paraId="58CBB022" w14:textId="77777777" w:rsidR="004508A9" w:rsidRPr="00582A6A" w:rsidRDefault="004508A9" w:rsidP="004508A9">
      <w:pPr>
        <w:pStyle w:val="Paragraphedeliste"/>
        <w:numPr>
          <w:ilvl w:val="0"/>
          <w:numId w:val="17"/>
        </w:numPr>
        <w:spacing w:line="480" w:lineRule="auto"/>
        <w:jc w:val="both"/>
        <w:rPr>
          <w:rFonts w:ascii="Times New Roman" w:hAnsi="Times New Roman" w:cs="Times New Roman"/>
          <w:szCs w:val="20"/>
        </w:rPr>
      </w:pPr>
      <w:r w:rsidRPr="00582A6A">
        <w:rPr>
          <w:rFonts w:ascii="Times New Roman" w:hAnsi="Times New Roman" w:cs="Times New Roman"/>
          <w:sz w:val="24"/>
          <w:shd w:val="clear" w:color="auto" w:fill="FFFFFF"/>
        </w:rPr>
        <w:t xml:space="preserve">Serdar, C.C., Cihan, M., Yücel, D., Serdar, M.A., 2021. Sample size, power and effect size revisited: simplified and practical approaches in pre-clinical, clinical and laboratory studies. </w:t>
      </w:r>
      <w:r w:rsidRPr="00582A6A">
        <w:rPr>
          <w:rFonts w:ascii="Times New Roman" w:hAnsi="Times New Roman" w:cs="Times New Roman"/>
          <w:i/>
          <w:sz w:val="24"/>
          <w:shd w:val="clear" w:color="auto" w:fill="FFFFFF"/>
        </w:rPr>
        <w:t>Biochemia Medica</w:t>
      </w:r>
      <w:r w:rsidRPr="00582A6A">
        <w:rPr>
          <w:rFonts w:ascii="Times New Roman" w:hAnsi="Times New Roman" w:cs="Times New Roman"/>
          <w:sz w:val="24"/>
          <w:shd w:val="clear" w:color="auto" w:fill="FFFFFF"/>
        </w:rPr>
        <w:t xml:space="preserve"> 31(1), 010502 https://doi.org/10.11613/BM.2021.010502</w:t>
      </w:r>
    </w:p>
    <w:p w14:paraId="1930E0EB"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eastAsia="Times New Roman" w:hAnsi="Times New Roman" w:cs="Times New Roman"/>
          <w:sz w:val="24"/>
          <w:szCs w:val="24"/>
          <w:shd w:val="clear" w:color="auto" w:fill="FFFFFF"/>
          <w:lang w:eastAsia="fr-FR"/>
        </w:rPr>
        <w:t>Sherman, D. A., Glaviano, N. R., &amp; Norte, G. E., 2021. Hamstrings Neuromuscular Function After Anterior Cruciate Ligament Reconstruction: A Systematic Review and Meta-Analysis. </w:t>
      </w:r>
      <w:r w:rsidRPr="00582A6A">
        <w:rPr>
          <w:rFonts w:ascii="Times New Roman" w:eastAsia="Times New Roman" w:hAnsi="Times New Roman" w:cs="Times New Roman"/>
          <w:i/>
          <w:iCs/>
          <w:sz w:val="24"/>
          <w:szCs w:val="24"/>
          <w:lang w:eastAsia="fr-FR"/>
        </w:rPr>
        <w:t>Sports Medicine</w:t>
      </w:r>
      <w:r w:rsidRPr="00582A6A">
        <w:rPr>
          <w:rFonts w:ascii="Times New Roman" w:eastAsia="Times New Roman" w:hAnsi="Times New Roman" w:cs="Times New Roman"/>
          <w:sz w:val="24"/>
          <w:szCs w:val="24"/>
          <w:shd w:val="clear" w:color="auto" w:fill="FFFFFF"/>
          <w:lang w:eastAsia="fr-FR"/>
        </w:rPr>
        <w:t>, </w:t>
      </w:r>
      <w:r w:rsidRPr="00582A6A">
        <w:rPr>
          <w:rFonts w:ascii="Times New Roman" w:eastAsia="Times New Roman" w:hAnsi="Times New Roman" w:cs="Times New Roman"/>
          <w:iCs/>
          <w:sz w:val="24"/>
          <w:szCs w:val="24"/>
          <w:lang w:eastAsia="fr-FR"/>
        </w:rPr>
        <w:t>51</w:t>
      </w:r>
      <w:r w:rsidRPr="00582A6A">
        <w:rPr>
          <w:rFonts w:ascii="Times New Roman" w:eastAsia="Times New Roman" w:hAnsi="Times New Roman" w:cs="Times New Roman"/>
          <w:sz w:val="24"/>
          <w:szCs w:val="24"/>
          <w:shd w:val="clear" w:color="auto" w:fill="FFFFFF"/>
          <w:lang w:eastAsia="fr-FR"/>
        </w:rPr>
        <w:t>(8), 1751–1769. https://doi.org/10.1007/s40279-021-01433-w</w:t>
      </w:r>
    </w:p>
    <w:p w14:paraId="033165AD"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Slichter, M. E., Wolterbeek, N., Auw Yang, K. G., Zijl, J. A. C., &amp; Piscaer, T. M., 2018. A novel test for assessment of anterolateral rotatory instability of the knee: the tibial internal rotation test (TIR test). </w:t>
      </w:r>
      <w:r w:rsidRPr="00582A6A">
        <w:rPr>
          <w:rFonts w:ascii="Times New Roman" w:eastAsiaTheme="minorEastAsia" w:hAnsi="Times New Roman" w:cs="Times New Roman"/>
          <w:i/>
          <w:iCs/>
          <w:sz w:val="24"/>
          <w:szCs w:val="24"/>
          <w:lang w:eastAsia="fr-FR"/>
        </w:rPr>
        <w:t>Journal of Experimental Orthopaedics</w:t>
      </w:r>
      <w:r w:rsidRPr="00582A6A">
        <w:rPr>
          <w:rFonts w:ascii="Times New Roman" w:eastAsiaTheme="minorEastAsia" w:hAnsi="Times New Roman" w:cs="Times New Roman"/>
          <w:sz w:val="24"/>
          <w:szCs w:val="24"/>
          <w:lang w:eastAsia="fr-FR"/>
        </w:rPr>
        <w:t xml:space="preserve">, </w:t>
      </w:r>
      <w:r w:rsidRPr="00582A6A">
        <w:rPr>
          <w:rFonts w:ascii="Times New Roman" w:eastAsiaTheme="minorEastAsia" w:hAnsi="Times New Roman" w:cs="Times New Roman"/>
          <w:iCs/>
          <w:sz w:val="24"/>
          <w:szCs w:val="24"/>
          <w:lang w:eastAsia="fr-FR"/>
        </w:rPr>
        <w:t>5</w:t>
      </w:r>
      <w:r w:rsidRPr="00582A6A">
        <w:rPr>
          <w:rFonts w:ascii="Times New Roman" w:eastAsiaTheme="minorEastAsia" w:hAnsi="Times New Roman" w:cs="Times New Roman"/>
          <w:sz w:val="24"/>
          <w:szCs w:val="24"/>
          <w:lang w:eastAsia="fr-FR"/>
        </w:rPr>
        <w:t>(1). https://doi.org/10.1186/s40634-018-0141-9</w:t>
      </w:r>
    </w:p>
    <w:p w14:paraId="19164A35"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hAnsi="Times New Roman" w:cs="Times New Roman"/>
          <w:sz w:val="24"/>
          <w:szCs w:val="24"/>
          <w:lang w:val="en-GB"/>
        </w:rPr>
        <w:t xml:space="preserve">Timmins, R. G., Opar, D. A., Williams, M. D., Schache, A. G., Dear, N. M., &amp; Shield, A. J., 2014. Reduced biceps femoris myoelectrical activity influences eccentric knee flexor weakness after repeat sprint running. </w:t>
      </w:r>
      <w:r w:rsidRPr="00582A6A">
        <w:rPr>
          <w:rFonts w:ascii="Times New Roman" w:hAnsi="Times New Roman" w:cs="Times New Roman"/>
          <w:i/>
          <w:iCs/>
          <w:sz w:val="24"/>
          <w:szCs w:val="24"/>
          <w:lang w:val="en-GB"/>
        </w:rPr>
        <w:t>Scandinavian Journal of Medicine and Science in Sports</w:t>
      </w:r>
      <w:r w:rsidRPr="00582A6A">
        <w:rPr>
          <w:rFonts w:ascii="Times New Roman" w:hAnsi="Times New Roman" w:cs="Times New Roman"/>
          <w:sz w:val="24"/>
          <w:szCs w:val="24"/>
          <w:lang w:val="en-GB"/>
        </w:rPr>
        <w:t xml:space="preserve">, 24(2), 299–305. </w:t>
      </w:r>
      <w:r w:rsidRPr="00582A6A">
        <w:rPr>
          <w:rFonts w:ascii="Times New Roman" w:eastAsia="Times New Roman" w:hAnsi="Times New Roman" w:cs="Times New Roman"/>
          <w:sz w:val="24"/>
          <w:szCs w:val="24"/>
          <w:shd w:val="clear" w:color="auto" w:fill="FFFFFF"/>
          <w:lang w:eastAsia="fr-FR"/>
        </w:rPr>
        <w:t>https://doi.org/10.1111/sms.12171</w:t>
      </w:r>
    </w:p>
    <w:p w14:paraId="07299B1E"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hAnsi="Times New Roman" w:cs="Times New Roman"/>
          <w:sz w:val="24"/>
          <w:szCs w:val="24"/>
          <w:lang w:val="en-GB"/>
        </w:rPr>
        <w:t xml:space="preserve">Van der Horst, N., Backx, F., Goedhart, E. A., Huisstede, B. M., &amp; Group, H.-D., 2017. Return to play after hamstring injuries in football (soccer): a worldwide Delphi procedure regarding definition, medical criteria and decision-making. </w:t>
      </w:r>
      <w:r w:rsidRPr="00582A6A">
        <w:rPr>
          <w:rFonts w:ascii="Times New Roman" w:hAnsi="Times New Roman" w:cs="Times New Roman"/>
          <w:i/>
          <w:iCs/>
          <w:sz w:val="24"/>
          <w:szCs w:val="24"/>
          <w:lang w:val="en-GB"/>
        </w:rPr>
        <w:t>British Journal of Sports Medicine</w:t>
      </w:r>
      <w:r w:rsidRPr="00582A6A">
        <w:rPr>
          <w:rFonts w:ascii="Times New Roman" w:hAnsi="Times New Roman" w:cs="Times New Roman"/>
          <w:sz w:val="24"/>
          <w:szCs w:val="24"/>
          <w:lang w:val="en-GB"/>
        </w:rPr>
        <w:t xml:space="preserve">, </w:t>
      </w:r>
      <w:r w:rsidRPr="00582A6A">
        <w:rPr>
          <w:rFonts w:ascii="Times New Roman" w:hAnsi="Times New Roman" w:cs="Times New Roman"/>
          <w:iCs/>
          <w:sz w:val="24"/>
          <w:szCs w:val="24"/>
          <w:lang w:val="en-GB"/>
        </w:rPr>
        <w:t>51</w:t>
      </w:r>
      <w:r w:rsidRPr="00582A6A">
        <w:rPr>
          <w:rFonts w:ascii="Times New Roman" w:hAnsi="Times New Roman" w:cs="Times New Roman"/>
          <w:sz w:val="24"/>
          <w:szCs w:val="24"/>
          <w:lang w:val="en-GB"/>
        </w:rPr>
        <w:t xml:space="preserve">(22), 1583–1591. </w:t>
      </w:r>
      <w:r w:rsidRPr="00582A6A">
        <w:rPr>
          <w:rFonts w:ascii="Times New Roman" w:eastAsia="Times New Roman" w:hAnsi="Times New Roman" w:cs="Times New Roman"/>
          <w:sz w:val="24"/>
          <w:szCs w:val="24"/>
          <w:shd w:val="clear" w:color="auto" w:fill="FFFFFF"/>
          <w:lang w:eastAsia="fr-FR"/>
        </w:rPr>
        <w:t>https://doi.org/10.1136/bjsports-2016-097206</w:t>
      </w:r>
    </w:p>
    <w:p w14:paraId="6230796E"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4"/>
          <w:lang w:eastAsia="fr-FR"/>
        </w:rPr>
      </w:pPr>
      <w:r w:rsidRPr="00582A6A">
        <w:rPr>
          <w:rFonts w:ascii="Times New Roman" w:eastAsiaTheme="minorEastAsia" w:hAnsi="Times New Roman" w:cs="Times New Roman"/>
          <w:sz w:val="24"/>
          <w:szCs w:val="24"/>
          <w:lang w:eastAsia="fr-FR"/>
        </w:rPr>
        <w:t xml:space="preserve">Vatovec, R., Marušič, J., Marković, G., &amp; Šarabon, N., 2021. Effects of Nordic hamstring exercise combined with glider exercise on hip flexion flexibility and hamstring passive stiffness. </w:t>
      </w:r>
      <w:r w:rsidRPr="00582A6A">
        <w:rPr>
          <w:rFonts w:ascii="Times New Roman" w:eastAsiaTheme="minorEastAsia" w:hAnsi="Times New Roman" w:cs="Times New Roman"/>
          <w:i/>
          <w:iCs/>
          <w:sz w:val="24"/>
          <w:szCs w:val="24"/>
          <w:lang w:eastAsia="fr-FR"/>
        </w:rPr>
        <w:t>Journal of Sports Sciences</w:t>
      </w:r>
      <w:r w:rsidRPr="00582A6A">
        <w:rPr>
          <w:rFonts w:ascii="Times New Roman" w:eastAsiaTheme="minorEastAsia" w:hAnsi="Times New Roman" w:cs="Times New Roman"/>
          <w:sz w:val="24"/>
          <w:szCs w:val="24"/>
          <w:lang w:eastAsia="fr-FR"/>
        </w:rPr>
        <w:t>, 39(2), 173-180. https://doi.org/10.1080/02640414.2021.1933350</w:t>
      </w:r>
    </w:p>
    <w:p w14:paraId="78AF5F41" w14:textId="77777777" w:rsidR="004508A9" w:rsidRPr="00582A6A" w:rsidRDefault="004508A9" w:rsidP="004508A9">
      <w:pPr>
        <w:pStyle w:val="Paragraphedeliste"/>
        <w:numPr>
          <w:ilvl w:val="0"/>
          <w:numId w:val="17"/>
        </w:numPr>
        <w:spacing w:before="100" w:beforeAutospacing="1" w:after="100" w:afterAutospacing="1" w:line="480" w:lineRule="auto"/>
        <w:jc w:val="both"/>
        <w:rPr>
          <w:rFonts w:ascii="Times New Roman" w:eastAsiaTheme="minorEastAsia" w:hAnsi="Times New Roman" w:cs="Times New Roman"/>
          <w:sz w:val="24"/>
          <w:szCs w:val="20"/>
          <w:lang w:eastAsia="fr-FR"/>
        </w:rPr>
      </w:pPr>
      <w:r w:rsidRPr="00582A6A">
        <w:rPr>
          <w:rFonts w:ascii="Times New Roman" w:hAnsi="Times New Roman" w:cs="Times New Roman"/>
          <w:noProof/>
          <w:sz w:val="24"/>
          <w:szCs w:val="24"/>
        </w:rPr>
        <w:t xml:space="preserve">Verrall, G.M. et al., 2003. </w:t>
      </w:r>
      <w:r w:rsidRPr="00582A6A">
        <w:rPr>
          <w:rFonts w:ascii="Times New Roman" w:hAnsi="Times New Roman" w:cs="Times New Roman"/>
          <w:noProof/>
          <w:sz w:val="24"/>
          <w:szCs w:val="24"/>
          <w:lang w:val="en-GB"/>
        </w:rPr>
        <w:t xml:space="preserve">Diagnostic and prognostic value of clinical findings in 83 athletes with posterior thigh injury: comparison of clinical findings with magnetic resonance imaging documentation of hamstring muscle strain. </w:t>
      </w:r>
      <w:r w:rsidRPr="00582A6A">
        <w:rPr>
          <w:rFonts w:ascii="Times New Roman" w:hAnsi="Times New Roman" w:cs="Times New Roman"/>
          <w:i/>
          <w:iCs/>
          <w:noProof/>
          <w:sz w:val="24"/>
          <w:szCs w:val="24"/>
          <w:lang w:val="en-GB"/>
        </w:rPr>
        <w:t>The American Journal of Sports Medicine</w:t>
      </w:r>
      <w:r w:rsidRPr="00582A6A">
        <w:rPr>
          <w:rFonts w:ascii="Times New Roman" w:hAnsi="Times New Roman" w:cs="Times New Roman"/>
          <w:noProof/>
          <w:sz w:val="24"/>
          <w:szCs w:val="24"/>
          <w:lang w:val="en-GB"/>
        </w:rPr>
        <w:t>, 31(6), 969–973.</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https://doi.org/10.1177/03635465030310063701</w:t>
      </w:r>
    </w:p>
    <w:p w14:paraId="7AE628D6" w14:textId="77777777" w:rsidR="004508A9" w:rsidRPr="00582A6A" w:rsidRDefault="004508A9" w:rsidP="004508A9">
      <w:pPr>
        <w:pStyle w:val="Paragraphedeliste"/>
        <w:numPr>
          <w:ilvl w:val="0"/>
          <w:numId w:val="17"/>
        </w:numPr>
        <w:spacing w:after="0" w:line="480" w:lineRule="auto"/>
        <w:ind w:left="714" w:hanging="357"/>
        <w:jc w:val="both"/>
        <w:rPr>
          <w:rFonts w:ascii="Times New Roman" w:eastAsiaTheme="minorEastAsia" w:hAnsi="Times New Roman" w:cs="Times New Roman"/>
          <w:sz w:val="24"/>
          <w:szCs w:val="20"/>
          <w:lang w:eastAsia="fr-FR"/>
        </w:rPr>
      </w:pPr>
      <w:r w:rsidRPr="00582A6A">
        <w:rPr>
          <w:rFonts w:ascii="Times New Roman" w:eastAsia="Times New Roman" w:hAnsi="Times New Roman" w:cs="Times New Roman"/>
          <w:sz w:val="24"/>
          <w:szCs w:val="18"/>
          <w:shd w:val="clear" w:color="auto" w:fill="FFFFFF"/>
          <w:lang w:eastAsia="fr-FR"/>
        </w:rPr>
        <w:t>Wolf, M., Androulakis-Korakakis, P., Fisher, J., Schoenfeld, B., &amp; Steele, J., 2023. Partial Vs Full Range of Motion Resistance Training: A Systematic Review and Meta-Analysis. </w:t>
      </w:r>
      <w:r w:rsidRPr="00582A6A">
        <w:rPr>
          <w:rFonts w:ascii="Times New Roman" w:eastAsia="Times New Roman" w:hAnsi="Times New Roman" w:cs="Times New Roman"/>
          <w:i/>
          <w:iCs/>
          <w:sz w:val="24"/>
          <w:szCs w:val="18"/>
          <w:lang w:eastAsia="fr-FR"/>
        </w:rPr>
        <w:t>International Journal of Strength and Conditioning</w:t>
      </w:r>
      <w:r w:rsidRPr="00582A6A">
        <w:rPr>
          <w:rFonts w:ascii="Times New Roman" w:eastAsia="Times New Roman" w:hAnsi="Times New Roman" w:cs="Times New Roman"/>
          <w:sz w:val="24"/>
          <w:szCs w:val="18"/>
          <w:shd w:val="clear" w:color="auto" w:fill="FFFFFF"/>
          <w:lang w:eastAsia="fr-FR"/>
        </w:rPr>
        <w:t>, </w:t>
      </w:r>
      <w:r w:rsidRPr="00582A6A">
        <w:rPr>
          <w:rFonts w:ascii="Times New Roman" w:eastAsia="Times New Roman" w:hAnsi="Times New Roman" w:cs="Times New Roman"/>
          <w:iCs/>
          <w:sz w:val="24"/>
          <w:szCs w:val="18"/>
          <w:lang w:eastAsia="fr-FR"/>
        </w:rPr>
        <w:t>3</w:t>
      </w:r>
      <w:r w:rsidRPr="00582A6A">
        <w:rPr>
          <w:rFonts w:ascii="Times New Roman" w:eastAsia="Times New Roman" w:hAnsi="Times New Roman" w:cs="Times New Roman"/>
          <w:sz w:val="24"/>
          <w:szCs w:val="18"/>
          <w:shd w:val="clear" w:color="auto" w:fill="FFFFFF"/>
          <w:lang w:eastAsia="fr-FR"/>
        </w:rPr>
        <w:t>(1). https://doi.org/10.47206/ijsc.v3i1.182</w:t>
      </w:r>
    </w:p>
    <w:p w14:paraId="6AB98D0E" w14:textId="77777777" w:rsidR="004508A9" w:rsidRPr="00582A6A" w:rsidRDefault="004508A9" w:rsidP="004508A9">
      <w:pPr>
        <w:pStyle w:val="Paragraphedeliste"/>
        <w:numPr>
          <w:ilvl w:val="0"/>
          <w:numId w:val="17"/>
        </w:numPr>
        <w:spacing w:after="0" w:line="480" w:lineRule="auto"/>
        <w:ind w:left="714" w:hanging="357"/>
        <w:jc w:val="both"/>
        <w:rPr>
          <w:rFonts w:ascii="Times New Roman" w:eastAsiaTheme="minorEastAsia" w:hAnsi="Times New Roman" w:cs="Times New Roman"/>
          <w:sz w:val="24"/>
          <w:szCs w:val="20"/>
          <w:lang w:eastAsia="fr-FR"/>
        </w:rPr>
      </w:pPr>
      <w:r w:rsidRPr="00582A6A">
        <w:rPr>
          <w:rFonts w:ascii="Times New Roman" w:eastAsia="Times New Roman" w:hAnsi="Times New Roman" w:cs="Times New Roman"/>
          <w:sz w:val="24"/>
          <w:szCs w:val="24"/>
          <w:shd w:val="clear" w:color="auto" w:fill="FFFFFF"/>
          <w:lang w:val="en-GB" w:eastAsia="fr-FR"/>
        </w:rPr>
        <w:t>Yeung S. S., Suen A. M., &amp; Yeung E. W., 2009. A prospective cohort study of hamstring injuries in competitive sprinters: pre-season muscle imbalance as a possible factor. </w:t>
      </w:r>
      <w:r w:rsidRPr="00582A6A">
        <w:rPr>
          <w:rFonts w:ascii="Times New Roman" w:eastAsia="Times New Roman" w:hAnsi="Times New Roman" w:cs="Times New Roman"/>
          <w:i/>
          <w:iCs/>
          <w:sz w:val="24"/>
          <w:szCs w:val="24"/>
          <w:lang w:val="en-GB" w:eastAsia="fr-FR"/>
        </w:rPr>
        <w:t xml:space="preserve">British Journal of Sports Medicine, </w:t>
      </w:r>
      <w:r w:rsidRPr="00582A6A">
        <w:rPr>
          <w:rFonts w:ascii="Times New Roman" w:eastAsia="Times New Roman" w:hAnsi="Times New Roman" w:cs="Times New Roman"/>
          <w:iCs/>
          <w:sz w:val="24"/>
          <w:szCs w:val="24"/>
          <w:lang w:val="en-GB" w:eastAsia="fr-FR"/>
        </w:rPr>
        <w:t>43(8),</w:t>
      </w:r>
      <w:r w:rsidRPr="00582A6A">
        <w:rPr>
          <w:rFonts w:ascii="Times New Roman" w:eastAsia="Times New Roman" w:hAnsi="Times New Roman" w:cs="Times New Roman"/>
          <w:sz w:val="24"/>
          <w:szCs w:val="24"/>
          <w:shd w:val="clear" w:color="auto" w:fill="FFFFFF"/>
          <w:lang w:val="en-GB" w:eastAsia="fr-FR"/>
        </w:rPr>
        <w:t> 589–594.</w:t>
      </w:r>
      <w:r w:rsidRPr="00582A6A">
        <w:rPr>
          <w:rFonts w:ascii="Segoe UI" w:eastAsia="Times New Roman" w:hAnsi="Segoe UI"/>
          <w:sz w:val="24"/>
          <w:szCs w:val="24"/>
          <w:shd w:val="clear" w:color="auto" w:fill="FFFFFF"/>
        </w:rPr>
        <w:t xml:space="preserve"> </w:t>
      </w:r>
      <w:r w:rsidRPr="00582A6A">
        <w:rPr>
          <w:rFonts w:ascii="Times New Roman" w:eastAsia="Times New Roman" w:hAnsi="Times New Roman" w:cs="Times New Roman"/>
          <w:sz w:val="24"/>
          <w:szCs w:val="24"/>
          <w:shd w:val="clear" w:color="auto" w:fill="FFFFFF"/>
          <w:lang w:eastAsia="fr-FR"/>
        </w:rPr>
        <w:t>https://doi.org/10.1136/bjsm.2008.056283</w:t>
      </w:r>
    </w:p>
    <w:p w14:paraId="6B6540E7" w14:textId="77777777" w:rsidR="004508A9" w:rsidRPr="00582A6A" w:rsidRDefault="004508A9" w:rsidP="004508A9">
      <w:pPr>
        <w:spacing w:after="0" w:line="480" w:lineRule="auto"/>
        <w:jc w:val="both"/>
        <w:rPr>
          <w:rFonts w:ascii="Times New Roman" w:hAnsi="Times New Roman" w:cs="Times New Roman"/>
          <w:sz w:val="24"/>
          <w:szCs w:val="24"/>
          <w:lang w:val="en-GB"/>
        </w:rPr>
      </w:pPr>
      <w:r w:rsidRPr="00582A6A">
        <w:rPr>
          <w:rFonts w:ascii="Times New Roman" w:hAnsi="Times New Roman" w:cs="Times New Roman"/>
          <w:sz w:val="24"/>
          <w:szCs w:val="24"/>
          <w:lang w:val="en-GB"/>
        </w:rPr>
        <w:fldChar w:fldCharType="end"/>
      </w:r>
    </w:p>
    <w:p w14:paraId="2677D08F"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D88D47D"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654CB7BE"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4B31E949"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54CF799F"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3679BC61"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773C9320"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69E5342C"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190F7E70"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2724B3C"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75BCE747"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6B018E9F"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35C95609"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07F65CE2" w14:textId="77777777" w:rsidR="004508A9" w:rsidRPr="00582A6A" w:rsidRDefault="004508A9" w:rsidP="004508A9">
      <w:pPr>
        <w:spacing w:after="0" w:line="480" w:lineRule="auto"/>
        <w:jc w:val="both"/>
        <w:rPr>
          <w:rFonts w:ascii="Times New Roman" w:hAnsi="Times New Roman" w:cs="Times New Roman"/>
          <w:sz w:val="24"/>
          <w:szCs w:val="24"/>
          <w:lang w:val="en-GB"/>
        </w:rPr>
      </w:pPr>
    </w:p>
    <w:p w14:paraId="1155F3C4" w14:textId="77777777" w:rsidR="004508A9" w:rsidRPr="00582A6A" w:rsidRDefault="004508A9" w:rsidP="004508A9">
      <w:pPr>
        <w:spacing w:after="0" w:line="276" w:lineRule="auto"/>
        <w:rPr>
          <w:rFonts w:ascii="Times New Roman" w:hAnsi="Times New Roman" w:cs="Times New Roman"/>
          <w:sz w:val="18"/>
          <w:lang w:val="en-GB"/>
        </w:rPr>
      </w:pPr>
      <w:r w:rsidRPr="00582A6A">
        <w:rPr>
          <w:rFonts w:ascii="Times New Roman" w:hAnsi="Times New Roman" w:cs="Times New Roman"/>
          <w:b/>
          <w:bCs/>
          <w:sz w:val="18"/>
          <w:u w:val="single"/>
          <w:lang w:val="en-GB"/>
        </w:rPr>
        <w:t>Table 1</w:t>
      </w:r>
      <w:r w:rsidRPr="00582A6A">
        <w:rPr>
          <w:rFonts w:ascii="Times New Roman" w:hAnsi="Times New Roman" w:cs="Times New Roman"/>
          <w:b/>
          <w:bCs/>
          <w:sz w:val="18"/>
          <w:lang w:val="en-GB"/>
        </w:rPr>
        <w:t>.</w:t>
      </w:r>
      <w:r w:rsidRPr="00582A6A">
        <w:rPr>
          <w:rFonts w:ascii="Times New Roman" w:hAnsi="Times New Roman" w:cs="Times New Roman"/>
          <w:sz w:val="18"/>
          <w:lang w:val="en-GB"/>
        </w:rPr>
        <w:t xml:space="preserve"> Mean ± SD strength results and reliability in 30, 60 and 90 degrees of knee flexion with the hand-held dynamometer during the first and second tests in healthy male volunteers</w:t>
      </w:r>
    </w:p>
    <w:p w14:paraId="29755961" w14:textId="77777777" w:rsidR="004508A9" w:rsidRPr="00582A6A" w:rsidRDefault="004508A9" w:rsidP="004508A9">
      <w:pPr>
        <w:spacing w:after="0" w:line="240" w:lineRule="auto"/>
        <w:rPr>
          <w:rFonts w:ascii="Times New Roman" w:hAnsi="Times New Roman" w:cs="Times New Roman"/>
          <w:sz w:val="18"/>
          <w:lang w:val="en-GB"/>
        </w:rPr>
      </w:pPr>
    </w:p>
    <w:tbl>
      <w:tblPr>
        <w:tblStyle w:val="Grille"/>
        <w:tblW w:w="0" w:type="auto"/>
        <w:jc w:val="center"/>
        <w:tblLook w:val="04A0" w:firstRow="1" w:lastRow="0" w:firstColumn="1" w:lastColumn="0" w:noHBand="0" w:noVBand="1"/>
      </w:tblPr>
      <w:tblGrid>
        <w:gridCol w:w="846"/>
        <w:gridCol w:w="466"/>
        <w:gridCol w:w="466"/>
        <w:gridCol w:w="466"/>
        <w:gridCol w:w="466"/>
        <w:gridCol w:w="466"/>
        <w:gridCol w:w="466"/>
        <w:gridCol w:w="466"/>
        <w:gridCol w:w="466"/>
        <w:gridCol w:w="467"/>
        <w:gridCol w:w="466"/>
        <w:gridCol w:w="466"/>
        <w:gridCol w:w="466"/>
        <w:gridCol w:w="466"/>
        <w:gridCol w:w="466"/>
        <w:gridCol w:w="466"/>
        <w:gridCol w:w="466"/>
        <w:gridCol w:w="466"/>
        <w:gridCol w:w="467"/>
      </w:tblGrid>
      <w:tr w:rsidR="004508A9" w:rsidRPr="00582A6A" w14:paraId="3284B37D" w14:textId="77777777" w:rsidTr="00BD2944">
        <w:trPr>
          <w:trHeight w:val="297"/>
          <w:jc w:val="center"/>
        </w:trPr>
        <w:tc>
          <w:tcPr>
            <w:tcW w:w="846" w:type="dxa"/>
            <w:tcBorders>
              <w:top w:val="nil"/>
              <w:left w:val="nil"/>
              <w:bottom w:val="nil"/>
              <w:right w:val="single" w:sz="4" w:space="0" w:color="auto"/>
            </w:tcBorders>
          </w:tcPr>
          <w:p w14:paraId="15F2BA67" w14:textId="77777777" w:rsidR="004508A9" w:rsidRPr="00582A6A" w:rsidRDefault="004508A9" w:rsidP="00BD2944">
            <w:pPr>
              <w:rPr>
                <w:rFonts w:ascii="Times New Roman" w:hAnsi="Times New Roman" w:cs="Times New Roman"/>
                <w:sz w:val="14"/>
                <w:lang w:val="en-GB"/>
              </w:rPr>
            </w:pPr>
          </w:p>
        </w:tc>
        <w:tc>
          <w:tcPr>
            <w:tcW w:w="932" w:type="dxa"/>
            <w:gridSpan w:val="2"/>
            <w:tcBorders>
              <w:left w:val="single" w:sz="4" w:space="0" w:color="auto"/>
              <w:right w:val="nil"/>
            </w:tcBorders>
            <w:vAlign w:val="center"/>
          </w:tcPr>
          <w:p w14:paraId="1BE5C4EE"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NP 90°</w:t>
            </w:r>
          </w:p>
        </w:tc>
        <w:tc>
          <w:tcPr>
            <w:tcW w:w="932" w:type="dxa"/>
            <w:gridSpan w:val="2"/>
            <w:tcBorders>
              <w:left w:val="nil"/>
              <w:right w:val="nil"/>
            </w:tcBorders>
            <w:vAlign w:val="center"/>
          </w:tcPr>
          <w:p w14:paraId="58C0AB30"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MR 90°</w:t>
            </w:r>
          </w:p>
        </w:tc>
        <w:tc>
          <w:tcPr>
            <w:tcW w:w="932" w:type="dxa"/>
            <w:gridSpan w:val="2"/>
            <w:tcBorders>
              <w:left w:val="nil"/>
              <w:right w:val="nil"/>
            </w:tcBorders>
            <w:vAlign w:val="center"/>
          </w:tcPr>
          <w:p w14:paraId="72742A46"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LR 90°</w:t>
            </w:r>
          </w:p>
        </w:tc>
        <w:tc>
          <w:tcPr>
            <w:tcW w:w="932" w:type="dxa"/>
            <w:gridSpan w:val="2"/>
            <w:tcBorders>
              <w:left w:val="nil"/>
              <w:right w:val="nil"/>
            </w:tcBorders>
            <w:vAlign w:val="center"/>
          </w:tcPr>
          <w:p w14:paraId="6D86B776"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NP 60°</w:t>
            </w:r>
          </w:p>
        </w:tc>
        <w:tc>
          <w:tcPr>
            <w:tcW w:w="933" w:type="dxa"/>
            <w:gridSpan w:val="2"/>
            <w:tcBorders>
              <w:left w:val="nil"/>
              <w:right w:val="nil"/>
            </w:tcBorders>
            <w:vAlign w:val="center"/>
          </w:tcPr>
          <w:p w14:paraId="643929C5"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MR 60°</w:t>
            </w:r>
          </w:p>
        </w:tc>
        <w:tc>
          <w:tcPr>
            <w:tcW w:w="932" w:type="dxa"/>
            <w:gridSpan w:val="2"/>
            <w:tcBorders>
              <w:left w:val="nil"/>
              <w:right w:val="nil"/>
            </w:tcBorders>
            <w:vAlign w:val="center"/>
          </w:tcPr>
          <w:p w14:paraId="000446CF"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LR 60°</w:t>
            </w:r>
          </w:p>
        </w:tc>
        <w:tc>
          <w:tcPr>
            <w:tcW w:w="932" w:type="dxa"/>
            <w:gridSpan w:val="2"/>
            <w:tcBorders>
              <w:left w:val="nil"/>
              <w:right w:val="nil"/>
            </w:tcBorders>
            <w:vAlign w:val="center"/>
          </w:tcPr>
          <w:p w14:paraId="3F1D1751"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NP 30°</w:t>
            </w:r>
          </w:p>
        </w:tc>
        <w:tc>
          <w:tcPr>
            <w:tcW w:w="932" w:type="dxa"/>
            <w:gridSpan w:val="2"/>
            <w:tcBorders>
              <w:left w:val="nil"/>
              <w:right w:val="nil"/>
            </w:tcBorders>
            <w:vAlign w:val="center"/>
          </w:tcPr>
          <w:p w14:paraId="5A144708"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MR 30°</w:t>
            </w:r>
          </w:p>
        </w:tc>
        <w:tc>
          <w:tcPr>
            <w:tcW w:w="933" w:type="dxa"/>
            <w:gridSpan w:val="2"/>
            <w:tcBorders>
              <w:left w:val="nil"/>
              <w:right w:val="single" w:sz="4" w:space="0" w:color="auto"/>
            </w:tcBorders>
            <w:vAlign w:val="center"/>
          </w:tcPr>
          <w:p w14:paraId="56F5E5FB"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LR 30°</w:t>
            </w:r>
          </w:p>
        </w:tc>
      </w:tr>
      <w:tr w:rsidR="004508A9" w:rsidRPr="00582A6A" w14:paraId="6D2A0270" w14:textId="77777777" w:rsidTr="00BD2944">
        <w:trPr>
          <w:trHeight w:val="412"/>
          <w:jc w:val="center"/>
        </w:trPr>
        <w:tc>
          <w:tcPr>
            <w:tcW w:w="846" w:type="dxa"/>
            <w:tcBorders>
              <w:top w:val="nil"/>
              <w:left w:val="nil"/>
              <w:bottom w:val="single" w:sz="4" w:space="0" w:color="auto"/>
              <w:right w:val="single" w:sz="4" w:space="0" w:color="auto"/>
            </w:tcBorders>
          </w:tcPr>
          <w:p w14:paraId="27E68C11" w14:textId="77777777" w:rsidR="004508A9" w:rsidRPr="00582A6A" w:rsidRDefault="004508A9" w:rsidP="00BD2944">
            <w:pPr>
              <w:rPr>
                <w:rFonts w:ascii="Times New Roman" w:hAnsi="Times New Roman" w:cs="Times New Roman"/>
                <w:sz w:val="14"/>
                <w:lang w:val="en-GB"/>
              </w:rPr>
            </w:pPr>
          </w:p>
        </w:tc>
        <w:tc>
          <w:tcPr>
            <w:tcW w:w="466" w:type="dxa"/>
            <w:tcBorders>
              <w:left w:val="single" w:sz="4" w:space="0" w:color="auto"/>
              <w:bottom w:val="single" w:sz="4" w:space="0" w:color="auto"/>
              <w:right w:val="nil"/>
            </w:tcBorders>
            <w:vAlign w:val="center"/>
          </w:tcPr>
          <w:p w14:paraId="529830DB"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339722BE"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481C9D0D"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0CC1E740"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05D12878"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440A2922"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54D8D744"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1DC72459"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7" w:type="dxa"/>
            <w:tcBorders>
              <w:left w:val="nil"/>
              <w:bottom w:val="single" w:sz="4" w:space="0" w:color="auto"/>
              <w:right w:val="nil"/>
            </w:tcBorders>
            <w:vAlign w:val="center"/>
          </w:tcPr>
          <w:p w14:paraId="7BCA193C"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133707C3"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41318C25"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24DA4C26"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65A80613"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79FDF08C"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1E022F69"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54E18F0F"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66" w:type="dxa"/>
            <w:tcBorders>
              <w:left w:val="nil"/>
              <w:bottom w:val="single" w:sz="4" w:space="0" w:color="auto"/>
              <w:right w:val="nil"/>
            </w:tcBorders>
            <w:vAlign w:val="center"/>
          </w:tcPr>
          <w:p w14:paraId="6C3A09F7"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67" w:type="dxa"/>
            <w:tcBorders>
              <w:left w:val="nil"/>
              <w:bottom w:val="single" w:sz="4" w:space="0" w:color="auto"/>
              <w:right w:val="single" w:sz="4" w:space="0" w:color="auto"/>
            </w:tcBorders>
            <w:vAlign w:val="center"/>
          </w:tcPr>
          <w:p w14:paraId="099D2891" w14:textId="77777777" w:rsidR="004508A9" w:rsidRPr="00582A6A" w:rsidRDefault="004508A9" w:rsidP="00BD2944">
            <w:pPr>
              <w:jc w:val="cente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r>
      <w:tr w:rsidR="004508A9" w:rsidRPr="00582A6A" w14:paraId="3F9C9041" w14:textId="77777777" w:rsidTr="00BD2944">
        <w:trPr>
          <w:jc w:val="center"/>
        </w:trPr>
        <w:tc>
          <w:tcPr>
            <w:tcW w:w="846" w:type="dxa"/>
            <w:tcBorders>
              <w:left w:val="single" w:sz="4" w:space="0" w:color="auto"/>
              <w:bottom w:val="nil"/>
              <w:right w:val="single" w:sz="4" w:space="0" w:color="auto"/>
            </w:tcBorders>
          </w:tcPr>
          <w:p w14:paraId="7FAC72A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Mean </w:t>
            </w:r>
            <w:r w:rsidRPr="00582A6A">
              <w:rPr>
                <w:rFonts w:ascii="Times New Roman" w:hAnsi="Times New Roman" w:cs="Times New Roman"/>
                <w:sz w:val="14"/>
                <w:szCs w:val="14"/>
                <w:lang w:val="en-GB"/>
              </w:rPr>
              <w:t>(</w:t>
            </w:r>
            <w:proofErr w:type="spellStart"/>
            <w:r w:rsidRPr="00582A6A">
              <w:rPr>
                <w:rFonts w:ascii="Times New Roman" w:hAnsi="Times New Roman" w:cs="Times New Roman"/>
                <w:sz w:val="14"/>
                <w:szCs w:val="14"/>
                <w:lang w:val="en-GB"/>
              </w:rPr>
              <w:t>N.m</w:t>
            </w:r>
            <w:proofErr w:type="spellEnd"/>
            <w:r w:rsidRPr="00582A6A">
              <w:rPr>
                <w:rFonts w:ascii="Times New Roman" w:hAnsi="Times New Roman" w:cs="Times New Roman"/>
                <w:sz w:val="14"/>
                <w:szCs w:val="14"/>
                <w:lang w:val="en-GB"/>
              </w:rPr>
              <w:t>)</w:t>
            </w:r>
          </w:p>
        </w:tc>
        <w:tc>
          <w:tcPr>
            <w:tcW w:w="466" w:type="dxa"/>
            <w:tcBorders>
              <w:left w:val="single" w:sz="4" w:space="0" w:color="auto"/>
              <w:bottom w:val="nil"/>
              <w:right w:val="nil"/>
            </w:tcBorders>
          </w:tcPr>
          <w:p w14:paraId="15B672B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73.5</w:t>
            </w:r>
          </w:p>
        </w:tc>
        <w:tc>
          <w:tcPr>
            <w:tcW w:w="466" w:type="dxa"/>
            <w:tcBorders>
              <w:left w:val="nil"/>
              <w:bottom w:val="nil"/>
              <w:right w:val="nil"/>
            </w:tcBorders>
          </w:tcPr>
          <w:p w14:paraId="135BA36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75.1</w:t>
            </w:r>
          </w:p>
        </w:tc>
        <w:tc>
          <w:tcPr>
            <w:tcW w:w="466" w:type="dxa"/>
            <w:tcBorders>
              <w:left w:val="nil"/>
              <w:bottom w:val="nil"/>
              <w:right w:val="nil"/>
            </w:tcBorders>
          </w:tcPr>
          <w:p w14:paraId="3D99A1B5"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62.8</w:t>
            </w:r>
          </w:p>
        </w:tc>
        <w:tc>
          <w:tcPr>
            <w:tcW w:w="466" w:type="dxa"/>
            <w:tcBorders>
              <w:left w:val="nil"/>
              <w:bottom w:val="nil"/>
              <w:right w:val="nil"/>
            </w:tcBorders>
          </w:tcPr>
          <w:p w14:paraId="49DD621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64.0</w:t>
            </w:r>
          </w:p>
        </w:tc>
        <w:tc>
          <w:tcPr>
            <w:tcW w:w="466" w:type="dxa"/>
            <w:tcBorders>
              <w:left w:val="nil"/>
              <w:bottom w:val="nil"/>
              <w:right w:val="nil"/>
            </w:tcBorders>
          </w:tcPr>
          <w:p w14:paraId="4D07DA5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70.2</w:t>
            </w:r>
          </w:p>
        </w:tc>
        <w:tc>
          <w:tcPr>
            <w:tcW w:w="466" w:type="dxa"/>
            <w:tcBorders>
              <w:left w:val="nil"/>
              <w:bottom w:val="nil"/>
              <w:right w:val="nil"/>
            </w:tcBorders>
          </w:tcPr>
          <w:p w14:paraId="414F8C2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71.0</w:t>
            </w:r>
          </w:p>
        </w:tc>
        <w:tc>
          <w:tcPr>
            <w:tcW w:w="466" w:type="dxa"/>
            <w:tcBorders>
              <w:left w:val="nil"/>
              <w:bottom w:val="nil"/>
              <w:right w:val="nil"/>
            </w:tcBorders>
          </w:tcPr>
          <w:p w14:paraId="23C1750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73.4</w:t>
            </w:r>
          </w:p>
        </w:tc>
        <w:tc>
          <w:tcPr>
            <w:tcW w:w="466" w:type="dxa"/>
            <w:tcBorders>
              <w:left w:val="nil"/>
              <w:bottom w:val="nil"/>
              <w:right w:val="nil"/>
            </w:tcBorders>
          </w:tcPr>
          <w:p w14:paraId="4FB2C5B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73.6</w:t>
            </w:r>
          </w:p>
        </w:tc>
        <w:tc>
          <w:tcPr>
            <w:tcW w:w="467" w:type="dxa"/>
            <w:tcBorders>
              <w:left w:val="nil"/>
              <w:bottom w:val="nil"/>
              <w:right w:val="nil"/>
            </w:tcBorders>
          </w:tcPr>
          <w:p w14:paraId="1856C35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64.2</w:t>
            </w:r>
          </w:p>
        </w:tc>
        <w:tc>
          <w:tcPr>
            <w:tcW w:w="466" w:type="dxa"/>
            <w:tcBorders>
              <w:left w:val="nil"/>
              <w:bottom w:val="nil"/>
              <w:right w:val="nil"/>
            </w:tcBorders>
          </w:tcPr>
          <w:p w14:paraId="539172C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65.1</w:t>
            </w:r>
          </w:p>
        </w:tc>
        <w:tc>
          <w:tcPr>
            <w:tcW w:w="466" w:type="dxa"/>
            <w:tcBorders>
              <w:left w:val="nil"/>
              <w:bottom w:val="nil"/>
              <w:right w:val="nil"/>
            </w:tcBorders>
          </w:tcPr>
          <w:p w14:paraId="0DECBAF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70.4</w:t>
            </w:r>
          </w:p>
        </w:tc>
        <w:tc>
          <w:tcPr>
            <w:tcW w:w="466" w:type="dxa"/>
            <w:tcBorders>
              <w:left w:val="nil"/>
              <w:bottom w:val="nil"/>
              <w:right w:val="nil"/>
            </w:tcBorders>
          </w:tcPr>
          <w:p w14:paraId="4DCCA56A"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70.8</w:t>
            </w:r>
          </w:p>
        </w:tc>
        <w:tc>
          <w:tcPr>
            <w:tcW w:w="466" w:type="dxa"/>
            <w:tcBorders>
              <w:left w:val="nil"/>
              <w:bottom w:val="nil"/>
              <w:right w:val="nil"/>
            </w:tcBorders>
          </w:tcPr>
          <w:p w14:paraId="3EF2A2A2"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74.1</w:t>
            </w:r>
          </w:p>
        </w:tc>
        <w:tc>
          <w:tcPr>
            <w:tcW w:w="466" w:type="dxa"/>
            <w:tcBorders>
              <w:left w:val="nil"/>
              <w:bottom w:val="nil"/>
              <w:right w:val="nil"/>
            </w:tcBorders>
          </w:tcPr>
          <w:p w14:paraId="7D55F37E"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74.6</w:t>
            </w:r>
          </w:p>
        </w:tc>
        <w:tc>
          <w:tcPr>
            <w:tcW w:w="466" w:type="dxa"/>
            <w:tcBorders>
              <w:left w:val="nil"/>
              <w:bottom w:val="nil"/>
              <w:right w:val="nil"/>
            </w:tcBorders>
          </w:tcPr>
          <w:p w14:paraId="656B366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63.6</w:t>
            </w:r>
          </w:p>
        </w:tc>
        <w:tc>
          <w:tcPr>
            <w:tcW w:w="466" w:type="dxa"/>
            <w:tcBorders>
              <w:left w:val="nil"/>
              <w:bottom w:val="nil"/>
              <w:right w:val="nil"/>
            </w:tcBorders>
          </w:tcPr>
          <w:p w14:paraId="5D12597E"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64.0</w:t>
            </w:r>
          </w:p>
        </w:tc>
        <w:tc>
          <w:tcPr>
            <w:tcW w:w="466" w:type="dxa"/>
            <w:tcBorders>
              <w:left w:val="nil"/>
              <w:bottom w:val="nil"/>
              <w:right w:val="nil"/>
            </w:tcBorders>
          </w:tcPr>
          <w:p w14:paraId="2400155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69.3</w:t>
            </w:r>
          </w:p>
        </w:tc>
        <w:tc>
          <w:tcPr>
            <w:tcW w:w="467" w:type="dxa"/>
            <w:tcBorders>
              <w:left w:val="nil"/>
              <w:bottom w:val="nil"/>
              <w:right w:val="single" w:sz="4" w:space="0" w:color="auto"/>
            </w:tcBorders>
          </w:tcPr>
          <w:p w14:paraId="323F409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69.3</w:t>
            </w:r>
          </w:p>
        </w:tc>
      </w:tr>
      <w:tr w:rsidR="004508A9" w:rsidRPr="00582A6A" w14:paraId="4FB8647B" w14:textId="77777777" w:rsidTr="00BD2944">
        <w:trPr>
          <w:trHeight w:val="345"/>
          <w:jc w:val="center"/>
        </w:trPr>
        <w:tc>
          <w:tcPr>
            <w:tcW w:w="846" w:type="dxa"/>
            <w:tcBorders>
              <w:top w:val="nil"/>
              <w:left w:val="single" w:sz="4" w:space="0" w:color="auto"/>
              <w:bottom w:val="nil"/>
              <w:right w:val="single" w:sz="4" w:space="0" w:color="auto"/>
            </w:tcBorders>
          </w:tcPr>
          <w:p w14:paraId="7456F37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SD </w:t>
            </w:r>
            <w:r w:rsidRPr="00582A6A">
              <w:rPr>
                <w:rFonts w:ascii="Times New Roman" w:hAnsi="Times New Roman" w:cs="Times New Roman"/>
                <w:sz w:val="14"/>
                <w:szCs w:val="14"/>
                <w:lang w:val="en-GB"/>
              </w:rPr>
              <w:t>(</w:t>
            </w:r>
            <w:proofErr w:type="spellStart"/>
            <w:r w:rsidRPr="00582A6A">
              <w:rPr>
                <w:rFonts w:ascii="Times New Roman" w:hAnsi="Times New Roman" w:cs="Times New Roman"/>
                <w:sz w:val="14"/>
                <w:szCs w:val="14"/>
                <w:lang w:val="en-GB"/>
              </w:rPr>
              <w:t>N.m</w:t>
            </w:r>
            <w:proofErr w:type="spellEnd"/>
            <w:r w:rsidRPr="00582A6A">
              <w:rPr>
                <w:rFonts w:ascii="Times New Roman" w:hAnsi="Times New Roman" w:cs="Times New Roman"/>
                <w:sz w:val="14"/>
                <w:szCs w:val="14"/>
                <w:lang w:val="en-GB"/>
              </w:rPr>
              <w:t>)</w:t>
            </w:r>
          </w:p>
        </w:tc>
        <w:tc>
          <w:tcPr>
            <w:tcW w:w="466" w:type="dxa"/>
            <w:tcBorders>
              <w:top w:val="nil"/>
              <w:left w:val="single" w:sz="4" w:space="0" w:color="auto"/>
              <w:bottom w:val="nil"/>
              <w:right w:val="nil"/>
            </w:tcBorders>
          </w:tcPr>
          <w:p w14:paraId="46C60A1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18.2</w:t>
            </w:r>
          </w:p>
        </w:tc>
        <w:tc>
          <w:tcPr>
            <w:tcW w:w="466" w:type="dxa"/>
            <w:tcBorders>
              <w:top w:val="nil"/>
              <w:left w:val="nil"/>
              <w:bottom w:val="nil"/>
              <w:right w:val="nil"/>
            </w:tcBorders>
          </w:tcPr>
          <w:p w14:paraId="367F199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17.6</w:t>
            </w:r>
          </w:p>
        </w:tc>
        <w:tc>
          <w:tcPr>
            <w:tcW w:w="466" w:type="dxa"/>
            <w:tcBorders>
              <w:top w:val="nil"/>
              <w:left w:val="nil"/>
              <w:bottom w:val="nil"/>
              <w:right w:val="nil"/>
            </w:tcBorders>
          </w:tcPr>
          <w:p w14:paraId="4506410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15.0</w:t>
            </w:r>
          </w:p>
        </w:tc>
        <w:tc>
          <w:tcPr>
            <w:tcW w:w="466" w:type="dxa"/>
            <w:tcBorders>
              <w:top w:val="nil"/>
              <w:left w:val="nil"/>
              <w:bottom w:val="nil"/>
              <w:right w:val="nil"/>
            </w:tcBorders>
          </w:tcPr>
          <w:p w14:paraId="1BFA5F39"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13.7</w:t>
            </w:r>
          </w:p>
        </w:tc>
        <w:tc>
          <w:tcPr>
            <w:tcW w:w="466" w:type="dxa"/>
            <w:tcBorders>
              <w:top w:val="nil"/>
              <w:left w:val="nil"/>
              <w:bottom w:val="nil"/>
              <w:right w:val="nil"/>
            </w:tcBorders>
          </w:tcPr>
          <w:p w14:paraId="6F23DCD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15.5</w:t>
            </w:r>
          </w:p>
        </w:tc>
        <w:tc>
          <w:tcPr>
            <w:tcW w:w="466" w:type="dxa"/>
            <w:tcBorders>
              <w:top w:val="nil"/>
              <w:left w:val="nil"/>
              <w:bottom w:val="nil"/>
              <w:right w:val="nil"/>
            </w:tcBorders>
          </w:tcPr>
          <w:p w14:paraId="4DDBAA0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15.8</w:t>
            </w:r>
          </w:p>
        </w:tc>
        <w:tc>
          <w:tcPr>
            <w:tcW w:w="466" w:type="dxa"/>
            <w:tcBorders>
              <w:top w:val="nil"/>
              <w:left w:val="nil"/>
              <w:bottom w:val="nil"/>
              <w:right w:val="nil"/>
            </w:tcBorders>
          </w:tcPr>
          <w:p w14:paraId="7F168F8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13.7</w:t>
            </w:r>
          </w:p>
        </w:tc>
        <w:tc>
          <w:tcPr>
            <w:tcW w:w="466" w:type="dxa"/>
            <w:tcBorders>
              <w:top w:val="nil"/>
              <w:left w:val="nil"/>
              <w:bottom w:val="nil"/>
              <w:right w:val="nil"/>
            </w:tcBorders>
          </w:tcPr>
          <w:p w14:paraId="1F8C343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13.2</w:t>
            </w:r>
          </w:p>
        </w:tc>
        <w:tc>
          <w:tcPr>
            <w:tcW w:w="467" w:type="dxa"/>
            <w:tcBorders>
              <w:top w:val="nil"/>
              <w:left w:val="nil"/>
              <w:bottom w:val="nil"/>
              <w:right w:val="nil"/>
            </w:tcBorders>
          </w:tcPr>
          <w:p w14:paraId="60BBC84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15.0</w:t>
            </w:r>
          </w:p>
        </w:tc>
        <w:tc>
          <w:tcPr>
            <w:tcW w:w="466" w:type="dxa"/>
            <w:tcBorders>
              <w:top w:val="nil"/>
              <w:left w:val="nil"/>
              <w:bottom w:val="nil"/>
              <w:right w:val="nil"/>
            </w:tcBorders>
          </w:tcPr>
          <w:p w14:paraId="1EFED1F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15.2</w:t>
            </w:r>
          </w:p>
        </w:tc>
        <w:tc>
          <w:tcPr>
            <w:tcW w:w="466" w:type="dxa"/>
            <w:tcBorders>
              <w:top w:val="nil"/>
              <w:left w:val="nil"/>
              <w:bottom w:val="nil"/>
              <w:right w:val="nil"/>
            </w:tcBorders>
          </w:tcPr>
          <w:p w14:paraId="30C8B9F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12.7</w:t>
            </w:r>
          </w:p>
        </w:tc>
        <w:tc>
          <w:tcPr>
            <w:tcW w:w="466" w:type="dxa"/>
            <w:tcBorders>
              <w:top w:val="nil"/>
              <w:left w:val="nil"/>
              <w:bottom w:val="nil"/>
              <w:right w:val="nil"/>
            </w:tcBorders>
          </w:tcPr>
          <w:p w14:paraId="1F93AB3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12.5</w:t>
            </w:r>
          </w:p>
        </w:tc>
        <w:tc>
          <w:tcPr>
            <w:tcW w:w="466" w:type="dxa"/>
            <w:tcBorders>
              <w:top w:val="nil"/>
              <w:left w:val="nil"/>
              <w:bottom w:val="nil"/>
              <w:right w:val="nil"/>
            </w:tcBorders>
          </w:tcPr>
          <w:p w14:paraId="7F1B9545"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17.8</w:t>
            </w:r>
          </w:p>
        </w:tc>
        <w:tc>
          <w:tcPr>
            <w:tcW w:w="466" w:type="dxa"/>
            <w:tcBorders>
              <w:top w:val="nil"/>
              <w:left w:val="nil"/>
              <w:bottom w:val="nil"/>
              <w:right w:val="nil"/>
            </w:tcBorders>
          </w:tcPr>
          <w:p w14:paraId="603A7EC9"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17.5</w:t>
            </w:r>
          </w:p>
        </w:tc>
        <w:tc>
          <w:tcPr>
            <w:tcW w:w="466" w:type="dxa"/>
            <w:tcBorders>
              <w:top w:val="nil"/>
              <w:left w:val="nil"/>
              <w:bottom w:val="nil"/>
              <w:right w:val="nil"/>
            </w:tcBorders>
          </w:tcPr>
          <w:p w14:paraId="3F1ED5A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14.7</w:t>
            </w:r>
          </w:p>
        </w:tc>
        <w:tc>
          <w:tcPr>
            <w:tcW w:w="466" w:type="dxa"/>
            <w:tcBorders>
              <w:top w:val="nil"/>
              <w:left w:val="nil"/>
              <w:bottom w:val="nil"/>
              <w:right w:val="nil"/>
            </w:tcBorders>
          </w:tcPr>
          <w:p w14:paraId="1CF6A848"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14.7</w:t>
            </w:r>
          </w:p>
        </w:tc>
        <w:tc>
          <w:tcPr>
            <w:tcW w:w="466" w:type="dxa"/>
            <w:tcBorders>
              <w:top w:val="nil"/>
              <w:left w:val="nil"/>
              <w:bottom w:val="nil"/>
              <w:right w:val="nil"/>
            </w:tcBorders>
          </w:tcPr>
          <w:p w14:paraId="3DA2925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14.6</w:t>
            </w:r>
          </w:p>
        </w:tc>
        <w:tc>
          <w:tcPr>
            <w:tcW w:w="467" w:type="dxa"/>
            <w:tcBorders>
              <w:top w:val="nil"/>
              <w:left w:val="nil"/>
              <w:bottom w:val="nil"/>
              <w:right w:val="single" w:sz="4" w:space="0" w:color="auto"/>
            </w:tcBorders>
          </w:tcPr>
          <w:p w14:paraId="20D6138A"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13.6</w:t>
            </w:r>
          </w:p>
        </w:tc>
      </w:tr>
      <w:tr w:rsidR="004508A9" w:rsidRPr="00582A6A" w14:paraId="27D2E2A5" w14:textId="77777777" w:rsidTr="00BD2944">
        <w:trPr>
          <w:jc w:val="center"/>
        </w:trPr>
        <w:tc>
          <w:tcPr>
            <w:tcW w:w="846" w:type="dxa"/>
            <w:tcBorders>
              <w:top w:val="nil"/>
              <w:left w:val="single" w:sz="4" w:space="0" w:color="auto"/>
              <w:bottom w:val="nil"/>
              <w:right w:val="single" w:sz="4" w:space="0" w:color="auto"/>
            </w:tcBorders>
          </w:tcPr>
          <w:p w14:paraId="6FF3AA3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MDC </w:t>
            </w:r>
            <w:r w:rsidRPr="00582A6A">
              <w:rPr>
                <w:rFonts w:ascii="Times New Roman" w:hAnsi="Times New Roman" w:cs="Times New Roman"/>
                <w:sz w:val="14"/>
                <w:szCs w:val="14"/>
                <w:lang w:val="en-GB"/>
              </w:rPr>
              <w:t>(</w:t>
            </w:r>
            <w:proofErr w:type="spellStart"/>
            <w:r w:rsidRPr="00582A6A">
              <w:rPr>
                <w:rFonts w:ascii="Times New Roman" w:hAnsi="Times New Roman" w:cs="Times New Roman"/>
                <w:sz w:val="14"/>
                <w:szCs w:val="14"/>
                <w:lang w:val="en-GB"/>
              </w:rPr>
              <w:t>N.m</w:t>
            </w:r>
            <w:proofErr w:type="spellEnd"/>
            <w:r w:rsidRPr="00582A6A">
              <w:rPr>
                <w:rFonts w:ascii="Times New Roman" w:hAnsi="Times New Roman" w:cs="Times New Roman"/>
                <w:sz w:val="14"/>
                <w:szCs w:val="14"/>
                <w:lang w:val="en-GB"/>
              </w:rPr>
              <w:t>)</w:t>
            </w:r>
          </w:p>
        </w:tc>
        <w:tc>
          <w:tcPr>
            <w:tcW w:w="932" w:type="dxa"/>
            <w:gridSpan w:val="2"/>
            <w:tcBorders>
              <w:top w:val="nil"/>
              <w:left w:val="single" w:sz="4" w:space="0" w:color="auto"/>
              <w:bottom w:val="nil"/>
              <w:right w:val="nil"/>
            </w:tcBorders>
          </w:tcPr>
          <w:p w14:paraId="71D69AA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9.7 (13.2%)</w:t>
            </w:r>
          </w:p>
        </w:tc>
        <w:tc>
          <w:tcPr>
            <w:tcW w:w="932" w:type="dxa"/>
            <w:gridSpan w:val="2"/>
            <w:tcBorders>
              <w:top w:val="nil"/>
              <w:left w:val="nil"/>
              <w:bottom w:val="nil"/>
              <w:right w:val="nil"/>
            </w:tcBorders>
          </w:tcPr>
          <w:p w14:paraId="50F9122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7.6 (11.7%)</w:t>
            </w:r>
          </w:p>
        </w:tc>
        <w:tc>
          <w:tcPr>
            <w:tcW w:w="932" w:type="dxa"/>
            <w:gridSpan w:val="2"/>
            <w:tcBorders>
              <w:top w:val="nil"/>
              <w:left w:val="nil"/>
              <w:bottom w:val="nil"/>
              <w:right w:val="nil"/>
            </w:tcBorders>
          </w:tcPr>
          <w:p w14:paraId="7E3A2F4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16.7 (23.7%)</w:t>
            </w:r>
          </w:p>
        </w:tc>
        <w:tc>
          <w:tcPr>
            <w:tcW w:w="932" w:type="dxa"/>
            <w:gridSpan w:val="2"/>
            <w:tcBorders>
              <w:top w:val="nil"/>
              <w:left w:val="nil"/>
              <w:bottom w:val="nil"/>
              <w:right w:val="nil"/>
            </w:tcBorders>
          </w:tcPr>
          <w:p w14:paraId="1934406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12.2 (16.8%)</w:t>
            </w:r>
          </w:p>
        </w:tc>
        <w:tc>
          <w:tcPr>
            <w:tcW w:w="933" w:type="dxa"/>
            <w:gridSpan w:val="2"/>
            <w:tcBorders>
              <w:top w:val="nil"/>
              <w:left w:val="nil"/>
              <w:bottom w:val="nil"/>
              <w:right w:val="nil"/>
            </w:tcBorders>
          </w:tcPr>
          <w:p w14:paraId="0496D309"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9.5 (14.6%)</w:t>
            </w:r>
          </w:p>
        </w:tc>
        <w:tc>
          <w:tcPr>
            <w:tcW w:w="932" w:type="dxa"/>
            <w:gridSpan w:val="2"/>
            <w:tcBorders>
              <w:top w:val="nil"/>
              <w:left w:val="nil"/>
              <w:bottom w:val="nil"/>
              <w:right w:val="nil"/>
            </w:tcBorders>
          </w:tcPr>
          <w:p w14:paraId="292AB52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9.1 (12.7%)</w:t>
            </w:r>
          </w:p>
        </w:tc>
        <w:tc>
          <w:tcPr>
            <w:tcW w:w="932" w:type="dxa"/>
            <w:gridSpan w:val="2"/>
            <w:tcBorders>
              <w:top w:val="nil"/>
              <w:left w:val="nil"/>
              <w:bottom w:val="nil"/>
              <w:right w:val="nil"/>
            </w:tcBorders>
          </w:tcPr>
          <w:p w14:paraId="66751599"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11.1 (14.9%)</w:t>
            </w:r>
          </w:p>
        </w:tc>
        <w:tc>
          <w:tcPr>
            <w:tcW w:w="932" w:type="dxa"/>
            <w:gridSpan w:val="2"/>
            <w:tcBorders>
              <w:top w:val="nil"/>
              <w:left w:val="nil"/>
              <w:bottom w:val="nil"/>
              <w:right w:val="nil"/>
            </w:tcBorders>
          </w:tcPr>
          <w:p w14:paraId="34CA8CC3"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7.7 (11.9%)</w:t>
            </w:r>
          </w:p>
        </w:tc>
        <w:tc>
          <w:tcPr>
            <w:tcW w:w="933" w:type="dxa"/>
            <w:gridSpan w:val="2"/>
            <w:tcBorders>
              <w:top w:val="nil"/>
              <w:left w:val="nil"/>
              <w:bottom w:val="nil"/>
              <w:right w:val="single" w:sz="4" w:space="0" w:color="auto"/>
            </w:tcBorders>
          </w:tcPr>
          <w:p w14:paraId="5986EA2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6.8 (9.8%)</w:t>
            </w:r>
          </w:p>
        </w:tc>
      </w:tr>
      <w:tr w:rsidR="004508A9" w:rsidRPr="00582A6A" w14:paraId="507F6699" w14:textId="77777777" w:rsidTr="00BD2944">
        <w:trPr>
          <w:jc w:val="center"/>
        </w:trPr>
        <w:tc>
          <w:tcPr>
            <w:tcW w:w="846" w:type="dxa"/>
            <w:tcBorders>
              <w:top w:val="nil"/>
              <w:left w:val="single" w:sz="4" w:space="0" w:color="auto"/>
              <w:bottom w:val="nil"/>
              <w:right w:val="single" w:sz="4" w:space="0" w:color="auto"/>
            </w:tcBorders>
          </w:tcPr>
          <w:p w14:paraId="604D980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ICC (95% CI)</w:t>
            </w:r>
          </w:p>
        </w:tc>
        <w:tc>
          <w:tcPr>
            <w:tcW w:w="932" w:type="dxa"/>
            <w:gridSpan w:val="2"/>
            <w:tcBorders>
              <w:top w:val="nil"/>
              <w:left w:val="single" w:sz="4" w:space="0" w:color="auto"/>
              <w:bottom w:val="nil"/>
              <w:right w:val="nil"/>
            </w:tcBorders>
          </w:tcPr>
          <w:p w14:paraId="1BCF08D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0.97 (0.93-0.98)</w:t>
            </w:r>
          </w:p>
        </w:tc>
        <w:tc>
          <w:tcPr>
            <w:tcW w:w="932" w:type="dxa"/>
            <w:gridSpan w:val="2"/>
            <w:tcBorders>
              <w:top w:val="nil"/>
              <w:left w:val="nil"/>
              <w:bottom w:val="nil"/>
              <w:right w:val="nil"/>
            </w:tcBorders>
          </w:tcPr>
          <w:p w14:paraId="7092B29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0.97 (0.94-0.98)</w:t>
            </w:r>
          </w:p>
        </w:tc>
        <w:tc>
          <w:tcPr>
            <w:tcW w:w="932" w:type="dxa"/>
            <w:gridSpan w:val="2"/>
            <w:tcBorders>
              <w:top w:val="nil"/>
              <w:left w:val="nil"/>
              <w:bottom w:val="nil"/>
              <w:right w:val="nil"/>
            </w:tcBorders>
          </w:tcPr>
          <w:p w14:paraId="46DB05B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0.87 (0.76-0.93)</w:t>
            </w:r>
          </w:p>
        </w:tc>
        <w:tc>
          <w:tcPr>
            <w:tcW w:w="932" w:type="dxa"/>
            <w:gridSpan w:val="2"/>
            <w:tcBorders>
              <w:top w:val="nil"/>
              <w:left w:val="nil"/>
              <w:bottom w:val="nil"/>
              <w:right w:val="nil"/>
            </w:tcBorders>
          </w:tcPr>
          <w:p w14:paraId="5B76AE1E"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0.91 (0.83-0.95)</w:t>
            </w:r>
          </w:p>
        </w:tc>
        <w:tc>
          <w:tcPr>
            <w:tcW w:w="933" w:type="dxa"/>
            <w:gridSpan w:val="2"/>
            <w:tcBorders>
              <w:top w:val="nil"/>
              <w:left w:val="nil"/>
              <w:bottom w:val="nil"/>
              <w:right w:val="nil"/>
            </w:tcBorders>
          </w:tcPr>
          <w:p w14:paraId="7302AC08"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0.95 (0.89-0.97)</w:t>
            </w:r>
          </w:p>
        </w:tc>
        <w:tc>
          <w:tcPr>
            <w:tcW w:w="932" w:type="dxa"/>
            <w:gridSpan w:val="2"/>
            <w:tcBorders>
              <w:top w:val="nil"/>
              <w:left w:val="nil"/>
              <w:bottom w:val="nil"/>
              <w:right w:val="nil"/>
            </w:tcBorders>
          </w:tcPr>
          <w:p w14:paraId="488EA7C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0.94 (0.88-0.96)</w:t>
            </w:r>
          </w:p>
        </w:tc>
        <w:tc>
          <w:tcPr>
            <w:tcW w:w="932" w:type="dxa"/>
            <w:gridSpan w:val="2"/>
            <w:tcBorders>
              <w:top w:val="nil"/>
              <w:left w:val="nil"/>
              <w:bottom w:val="nil"/>
              <w:right w:val="nil"/>
            </w:tcBorders>
          </w:tcPr>
          <w:p w14:paraId="23C6E398"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0.95 (0.91-0.97)</w:t>
            </w:r>
          </w:p>
        </w:tc>
        <w:tc>
          <w:tcPr>
            <w:tcW w:w="932" w:type="dxa"/>
            <w:gridSpan w:val="2"/>
            <w:tcBorders>
              <w:top w:val="nil"/>
              <w:left w:val="nil"/>
              <w:bottom w:val="nil"/>
              <w:right w:val="nil"/>
            </w:tcBorders>
          </w:tcPr>
          <w:p w14:paraId="20160C72"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0.96 (0.93-0.98)</w:t>
            </w:r>
          </w:p>
        </w:tc>
        <w:tc>
          <w:tcPr>
            <w:tcW w:w="933" w:type="dxa"/>
            <w:gridSpan w:val="2"/>
            <w:tcBorders>
              <w:top w:val="nil"/>
              <w:left w:val="nil"/>
              <w:bottom w:val="nil"/>
              <w:right w:val="single" w:sz="4" w:space="0" w:color="auto"/>
            </w:tcBorders>
          </w:tcPr>
          <w:p w14:paraId="08E83D2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0.97 (0.94-0.98)</w:t>
            </w:r>
          </w:p>
        </w:tc>
      </w:tr>
      <w:tr w:rsidR="004508A9" w:rsidRPr="00582A6A" w14:paraId="023206B7" w14:textId="77777777" w:rsidTr="00BD2944">
        <w:trPr>
          <w:trHeight w:val="223"/>
          <w:jc w:val="center"/>
        </w:trPr>
        <w:tc>
          <w:tcPr>
            <w:tcW w:w="846" w:type="dxa"/>
            <w:tcBorders>
              <w:top w:val="nil"/>
              <w:left w:val="single" w:sz="4" w:space="0" w:color="auto"/>
              <w:right w:val="single" w:sz="4" w:space="0" w:color="auto"/>
            </w:tcBorders>
          </w:tcPr>
          <w:p w14:paraId="428FDC77" w14:textId="77777777" w:rsidR="004508A9" w:rsidRPr="00582A6A" w:rsidRDefault="004508A9" w:rsidP="00BD2944">
            <w:pPr>
              <w:rPr>
                <w:rFonts w:ascii="Times New Roman" w:hAnsi="Times New Roman" w:cs="Times New Roman"/>
                <w:sz w:val="14"/>
                <w:szCs w:val="20"/>
                <w:lang w:val="en-GB"/>
              </w:rPr>
            </w:pPr>
            <w:proofErr w:type="gramStart"/>
            <w:r w:rsidRPr="00582A6A">
              <w:rPr>
                <w:rFonts w:ascii="Times New Roman" w:hAnsi="Times New Roman" w:cs="Times New Roman"/>
                <w:i/>
                <w:sz w:val="14"/>
                <w:szCs w:val="20"/>
                <w:lang w:val="en-GB"/>
              </w:rPr>
              <w:t>p</w:t>
            </w:r>
            <w:proofErr w:type="gramEnd"/>
            <w:r w:rsidRPr="00582A6A">
              <w:rPr>
                <w:rFonts w:ascii="Times New Roman" w:hAnsi="Times New Roman" w:cs="Times New Roman"/>
                <w:sz w:val="14"/>
                <w:szCs w:val="20"/>
                <w:lang w:val="en-GB"/>
              </w:rPr>
              <w:t>-value</w:t>
            </w:r>
          </w:p>
        </w:tc>
        <w:tc>
          <w:tcPr>
            <w:tcW w:w="932" w:type="dxa"/>
            <w:gridSpan w:val="2"/>
            <w:tcBorders>
              <w:top w:val="nil"/>
              <w:left w:val="single" w:sz="4" w:space="0" w:color="auto"/>
              <w:right w:val="nil"/>
            </w:tcBorders>
          </w:tcPr>
          <w:p w14:paraId="240995C0"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b/>
                <w:sz w:val="14"/>
                <w:szCs w:val="20"/>
                <w:lang w:val="en-GB"/>
              </w:rPr>
              <w:t>0.043</w:t>
            </w:r>
          </w:p>
        </w:tc>
        <w:tc>
          <w:tcPr>
            <w:tcW w:w="932" w:type="dxa"/>
            <w:gridSpan w:val="2"/>
            <w:tcBorders>
              <w:top w:val="nil"/>
              <w:left w:val="nil"/>
              <w:right w:val="nil"/>
            </w:tcBorders>
          </w:tcPr>
          <w:p w14:paraId="1EC2BC65"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0.10</w:t>
            </w:r>
          </w:p>
        </w:tc>
        <w:tc>
          <w:tcPr>
            <w:tcW w:w="932" w:type="dxa"/>
            <w:gridSpan w:val="2"/>
            <w:tcBorders>
              <w:top w:val="nil"/>
              <w:left w:val="nil"/>
              <w:right w:val="nil"/>
            </w:tcBorders>
          </w:tcPr>
          <w:p w14:paraId="2FC239C5"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0.20</w:t>
            </w:r>
          </w:p>
        </w:tc>
        <w:tc>
          <w:tcPr>
            <w:tcW w:w="932" w:type="dxa"/>
            <w:gridSpan w:val="2"/>
            <w:tcBorders>
              <w:top w:val="nil"/>
              <w:left w:val="nil"/>
              <w:right w:val="nil"/>
            </w:tcBorders>
          </w:tcPr>
          <w:p w14:paraId="492F148E"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0.83</w:t>
            </w:r>
          </w:p>
        </w:tc>
        <w:tc>
          <w:tcPr>
            <w:tcW w:w="933" w:type="dxa"/>
            <w:gridSpan w:val="2"/>
            <w:tcBorders>
              <w:top w:val="nil"/>
              <w:left w:val="nil"/>
              <w:right w:val="nil"/>
            </w:tcBorders>
          </w:tcPr>
          <w:p w14:paraId="2E346B32"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0.14</w:t>
            </w:r>
          </w:p>
        </w:tc>
        <w:tc>
          <w:tcPr>
            <w:tcW w:w="932" w:type="dxa"/>
            <w:gridSpan w:val="2"/>
            <w:tcBorders>
              <w:top w:val="nil"/>
              <w:left w:val="nil"/>
              <w:right w:val="nil"/>
            </w:tcBorders>
          </w:tcPr>
          <w:p w14:paraId="2C012E50"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0.56</w:t>
            </w:r>
          </w:p>
        </w:tc>
        <w:tc>
          <w:tcPr>
            <w:tcW w:w="932" w:type="dxa"/>
            <w:gridSpan w:val="2"/>
            <w:tcBorders>
              <w:top w:val="nil"/>
              <w:left w:val="nil"/>
              <w:right w:val="nil"/>
            </w:tcBorders>
          </w:tcPr>
          <w:p w14:paraId="445A8209"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0.44</w:t>
            </w:r>
          </w:p>
        </w:tc>
        <w:tc>
          <w:tcPr>
            <w:tcW w:w="932" w:type="dxa"/>
            <w:gridSpan w:val="2"/>
            <w:tcBorders>
              <w:top w:val="nil"/>
              <w:left w:val="nil"/>
              <w:right w:val="nil"/>
            </w:tcBorders>
          </w:tcPr>
          <w:p w14:paraId="5F3B7E57"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0.33</w:t>
            </w:r>
          </w:p>
        </w:tc>
        <w:tc>
          <w:tcPr>
            <w:tcW w:w="933" w:type="dxa"/>
            <w:gridSpan w:val="2"/>
            <w:tcBorders>
              <w:top w:val="nil"/>
              <w:left w:val="nil"/>
              <w:right w:val="single" w:sz="4" w:space="0" w:color="auto"/>
            </w:tcBorders>
          </w:tcPr>
          <w:p w14:paraId="086ABF1A"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0.69</w:t>
            </w:r>
          </w:p>
        </w:tc>
      </w:tr>
    </w:tbl>
    <w:p w14:paraId="54384BC8" w14:textId="77777777" w:rsidR="004508A9" w:rsidRPr="00582A6A" w:rsidRDefault="004508A9" w:rsidP="004508A9">
      <w:pPr>
        <w:spacing w:after="0" w:line="240" w:lineRule="auto"/>
        <w:jc w:val="both"/>
        <w:rPr>
          <w:rFonts w:ascii="Times New Roman" w:hAnsi="Times New Roman" w:cs="Times New Roman"/>
          <w:sz w:val="8"/>
          <w:szCs w:val="8"/>
        </w:rPr>
      </w:pPr>
    </w:p>
    <w:p w14:paraId="0EC0256F" w14:textId="77777777" w:rsidR="004508A9" w:rsidRPr="00582A6A" w:rsidRDefault="004508A9" w:rsidP="004508A9">
      <w:pPr>
        <w:spacing w:after="0" w:line="240" w:lineRule="auto"/>
        <w:jc w:val="both"/>
        <w:rPr>
          <w:rFonts w:ascii="Times New Roman" w:hAnsi="Times New Roman" w:cs="Times New Roman"/>
          <w:i/>
          <w:iCs/>
          <w:sz w:val="18"/>
          <w:szCs w:val="20"/>
        </w:rPr>
      </w:pPr>
      <w:r w:rsidRPr="00582A6A">
        <w:rPr>
          <w:rFonts w:ascii="Times New Roman" w:hAnsi="Times New Roman" w:cs="Times New Roman"/>
          <w:i/>
          <w:iCs/>
          <w:sz w:val="16"/>
          <w:szCs w:val="20"/>
        </w:rPr>
        <w:t>SD = standard deviation; MDC = minimal detectable change; ICC = intraclass coefficient correlation ; 95% CI = 95% confidence interval; MR = medial rotation; LR = lateral rotation; NP = neutral position</w:t>
      </w:r>
    </w:p>
    <w:p w14:paraId="7C68BB68" w14:textId="77777777" w:rsidR="004508A9" w:rsidRPr="00582A6A" w:rsidRDefault="004508A9" w:rsidP="004508A9">
      <w:pPr>
        <w:spacing w:after="0" w:line="480" w:lineRule="auto"/>
        <w:jc w:val="both"/>
        <w:outlineLvl w:val="2"/>
        <w:rPr>
          <w:rFonts w:ascii="Times New Roman" w:hAnsi="Times New Roman" w:cs="Times New Roman"/>
          <w:b/>
          <w:bCs/>
          <w:sz w:val="18"/>
          <w:u w:val="single"/>
          <w:lang w:val="en-GB"/>
        </w:rPr>
      </w:pPr>
    </w:p>
    <w:p w14:paraId="58EA8BCD" w14:textId="77777777" w:rsidR="004508A9" w:rsidRPr="00582A6A" w:rsidRDefault="004508A9" w:rsidP="004508A9">
      <w:pPr>
        <w:spacing w:after="0" w:line="276" w:lineRule="auto"/>
        <w:jc w:val="both"/>
        <w:outlineLvl w:val="2"/>
        <w:rPr>
          <w:rFonts w:ascii="Times New Roman" w:hAnsi="Times New Roman" w:cs="Times New Roman"/>
          <w:sz w:val="18"/>
          <w:lang w:val="en-GB"/>
        </w:rPr>
      </w:pPr>
      <w:r w:rsidRPr="00582A6A">
        <w:rPr>
          <w:rFonts w:ascii="Times New Roman" w:hAnsi="Times New Roman" w:cs="Times New Roman"/>
          <w:b/>
          <w:bCs/>
          <w:sz w:val="18"/>
          <w:u w:val="single"/>
          <w:lang w:val="en-GB"/>
        </w:rPr>
        <w:t>Table 2</w:t>
      </w:r>
      <w:r w:rsidRPr="00582A6A">
        <w:rPr>
          <w:rFonts w:ascii="Times New Roman" w:hAnsi="Times New Roman" w:cs="Times New Roman"/>
          <w:b/>
          <w:bCs/>
          <w:sz w:val="18"/>
          <w:lang w:val="en-GB"/>
        </w:rPr>
        <w:t>.</w:t>
      </w:r>
      <w:r w:rsidRPr="00582A6A">
        <w:rPr>
          <w:rFonts w:ascii="Times New Roman" w:hAnsi="Times New Roman" w:cs="Times New Roman"/>
          <w:sz w:val="18"/>
          <w:lang w:val="en-GB"/>
        </w:rPr>
        <w:t xml:space="preserve"> Results for repeated measures ANOVA with Bonferroni post hoc comparison of peak strength production in tibial rotations, and mean difference with 95%CI for mean difference with the hand-held dynamometer in NP, LR and MR</w:t>
      </w:r>
    </w:p>
    <w:tbl>
      <w:tblPr>
        <w:tblStyle w:val="Grille"/>
        <w:tblW w:w="0" w:type="auto"/>
        <w:tblLook w:val="04A0" w:firstRow="1" w:lastRow="0" w:firstColumn="1" w:lastColumn="0" w:noHBand="0" w:noVBand="1"/>
      </w:tblPr>
      <w:tblGrid>
        <w:gridCol w:w="1308"/>
        <w:gridCol w:w="1308"/>
        <w:gridCol w:w="1309"/>
        <w:gridCol w:w="1309"/>
      </w:tblGrid>
      <w:tr w:rsidR="004508A9" w:rsidRPr="00582A6A" w14:paraId="1EDF98BA" w14:textId="77777777" w:rsidTr="00BD2944">
        <w:tc>
          <w:tcPr>
            <w:tcW w:w="1308" w:type="dxa"/>
            <w:tcBorders>
              <w:top w:val="nil"/>
              <w:left w:val="nil"/>
              <w:bottom w:val="single" w:sz="4" w:space="0" w:color="auto"/>
            </w:tcBorders>
          </w:tcPr>
          <w:p w14:paraId="39021D9A" w14:textId="77777777" w:rsidR="004508A9" w:rsidRPr="00582A6A" w:rsidRDefault="004508A9" w:rsidP="00BD2944">
            <w:pPr>
              <w:spacing w:after="0" w:line="240" w:lineRule="auto"/>
              <w:outlineLvl w:val="2"/>
              <w:rPr>
                <w:rFonts w:ascii="Times New Roman" w:hAnsi="Times New Roman" w:cs="Times New Roman"/>
                <w:sz w:val="14"/>
                <w:lang w:val="en-GB"/>
              </w:rPr>
            </w:pPr>
          </w:p>
        </w:tc>
        <w:tc>
          <w:tcPr>
            <w:tcW w:w="1308" w:type="dxa"/>
            <w:tcBorders>
              <w:left w:val="nil"/>
              <w:bottom w:val="single" w:sz="4" w:space="0" w:color="auto"/>
              <w:right w:val="nil"/>
            </w:tcBorders>
          </w:tcPr>
          <w:p w14:paraId="21366687" w14:textId="77777777" w:rsidR="004508A9" w:rsidRPr="00582A6A" w:rsidRDefault="004508A9" w:rsidP="00BD2944">
            <w:pPr>
              <w:spacing w:after="0" w:line="240" w:lineRule="auto"/>
              <w:jc w:val="center"/>
              <w:outlineLvl w:val="2"/>
              <w:rPr>
                <w:rFonts w:ascii="Times New Roman" w:eastAsia="Times New Roman" w:hAnsi="Times New Roman" w:cs="Times New Roman"/>
                <w:bCs/>
                <w:sz w:val="14"/>
                <w:szCs w:val="14"/>
                <w:lang w:eastAsia="fr-FR"/>
              </w:rPr>
            </w:pPr>
            <w:r w:rsidRPr="00582A6A">
              <w:rPr>
                <w:rFonts w:ascii="Times New Roman" w:eastAsia="Times New Roman" w:hAnsi="Times New Roman" w:cs="Times New Roman"/>
                <w:bCs/>
                <w:sz w:val="14"/>
                <w:szCs w:val="14"/>
                <w:lang w:eastAsia="fr-FR"/>
              </w:rPr>
              <w:t>Mean Diff (N.m)</w:t>
            </w:r>
          </w:p>
          <w:p w14:paraId="3F080AC1"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hAnsi="Times New Roman" w:cs="Times New Roman"/>
                <w:sz w:val="14"/>
                <w:szCs w:val="14"/>
                <w:lang w:val="en-GB"/>
              </w:rPr>
              <w:t xml:space="preserve"> </w:t>
            </w:r>
            <w:proofErr w:type="gramStart"/>
            <w:r w:rsidRPr="00582A6A">
              <w:rPr>
                <w:rFonts w:ascii="Times New Roman" w:hAnsi="Times New Roman" w:cs="Times New Roman"/>
                <w:sz w:val="14"/>
                <w:szCs w:val="14"/>
                <w:lang w:val="en-GB"/>
              </w:rPr>
              <w:t>with</w:t>
            </w:r>
            <w:proofErr w:type="gramEnd"/>
            <w:r w:rsidRPr="00582A6A">
              <w:rPr>
                <w:rFonts w:ascii="Times New Roman" w:hAnsi="Times New Roman" w:cs="Times New Roman"/>
                <w:sz w:val="14"/>
                <w:szCs w:val="14"/>
                <w:lang w:val="en-GB"/>
              </w:rPr>
              <w:t xml:space="preserve"> 95% CI</w:t>
            </w:r>
          </w:p>
        </w:tc>
        <w:tc>
          <w:tcPr>
            <w:tcW w:w="1309" w:type="dxa"/>
            <w:tcBorders>
              <w:left w:val="nil"/>
              <w:bottom w:val="single" w:sz="4" w:space="0" w:color="auto"/>
              <w:right w:val="nil"/>
            </w:tcBorders>
            <w:vAlign w:val="center"/>
          </w:tcPr>
          <w:p w14:paraId="3291736B"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Cohen's d</w:t>
            </w:r>
          </w:p>
        </w:tc>
        <w:tc>
          <w:tcPr>
            <w:tcW w:w="1309" w:type="dxa"/>
            <w:tcBorders>
              <w:left w:val="nil"/>
              <w:bottom w:val="single" w:sz="4" w:space="0" w:color="auto"/>
            </w:tcBorders>
          </w:tcPr>
          <w:p w14:paraId="11059987"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p bonf</w:t>
            </w:r>
          </w:p>
        </w:tc>
      </w:tr>
      <w:tr w:rsidR="004508A9" w:rsidRPr="00582A6A" w14:paraId="4CC2D1F4" w14:textId="77777777" w:rsidTr="00BD2944">
        <w:tc>
          <w:tcPr>
            <w:tcW w:w="1308" w:type="dxa"/>
            <w:tcBorders>
              <w:bottom w:val="nil"/>
            </w:tcBorders>
            <w:vAlign w:val="center"/>
          </w:tcPr>
          <w:p w14:paraId="02F2D26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LR</w:t>
            </w:r>
          </w:p>
        </w:tc>
        <w:tc>
          <w:tcPr>
            <w:tcW w:w="1308" w:type="dxa"/>
            <w:tcBorders>
              <w:bottom w:val="nil"/>
              <w:right w:val="nil"/>
            </w:tcBorders>
            <w:vAlign w:val="center"/>
          </w:tcPr>
          <w:p w14:paraId="387E105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3.5 (-4.7 ; 11.7)</w:t>
            </w:r>
          </w:p>
        </w:tc>
        <w:tc>
          <w:tcPr>
            <w:tcW w:w="1309" w:type="dxa"/>
            <w:tcBorders>
              <w:left w:val="nil"/>
              <w:bottom w:val="nil"/>
              <w:right w:val="nil"/>
            </w:tcBorders>
            <w:vAlign w:val="center"/>
          </w:tcPr>
          <w:p w14:paraId="57465E9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0.100</w:t>
            </w:r>
          </w:p>
        </w:tc>
        <w:tc>
          <w:tcPr>
            <w:tcW w:w="1309" w:type="dxa"/>
            <w:tcBorders>
              <w:left w:val="nil"/>
              <w:bottom w:val="nil"/>
            </w:tcBorders>
            <w:vAlign w:val="center"/>
          </w:tcPr>
          <w:p w14:paraId="41A75DB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0.899</w:t>
            </w:r>
          </w:p>
        </w:tc>
      </w:tr>
      <w:tr w:rsidR="004508A9" w:rsidRPr="00582A6A" w14:paraId="49C54F8B" w14:textId="77777777" w:rsidTr="00BD2944">
        <w:tc>
          <w:tcPr>
            <w:tcW w:w="1308" w:type="dxa"/>
            <w:tcBorders>
              <w:top w:val="nil"/>
              <w:bottom w:val="nil"/>
            </w:tcBorders>
          </w:tcPr>
          <w:p w14:paraId="68FD5860"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MR</w:t>
            </w:r>
          </w:p>
        </w:tc>
        <w:tc>
          <w:tcPr>
            <w:tcW w:w="1308" w:type="dxa"/>
            <w:tcBorders>
              <w:top w:val="nil"/>
              <w:bottom w:val="nil"/>
              <w:right w:val="nil"/>
            </w:tcBorders>
            <w:vAlign w:val="center"/>
          </w:tcPr>
          <w:p w14:paraId="5A3459C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9.1 (0.9 ; 17.4)</w:t>
            </w:r>
          </w:p>
        </w:tc>
        <w:tc>
          <w:tcPr>
            <w:tcW w:w="1309" w:type="dxa"/>
            <w:tcBorders>
              <w:top w:val="nil"/>
              <w:left w:val="nil"/>
              <w:bottom w:val="nil"/>
              <w:right w:val="nil"/>
            </w:tcBorders>
            <w:vAlign w:val="center"/>
          </w:tcPr>
          <w:p w14:paraId="2566022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0.261</w:t>
            </w:r>
          </w:p>
        </w:tc>
        <w:tc>
          <w:tcPr>
            <w:tcW w:w="1309" w:type="dxa"/>
            <w:tcBorders>
              <w:top w:val="nil"/>
              <w:left w:val="nil"/>
              <w:bottom w:val="nil"/>
            </w:tcBorders>
            <w:vAlign w:val="center"/>
          </w:tcPr>
          <w:p w14:paraId="556CCB6F"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b/>
                <w:sz w:val="14"/>
                <w:szCs w:val="18"/>
                <w:lang w:eastAsia="fr-FR"/>
              </w:rPr>
              <w:t>0.023</w:t>
            </w:r>
          </w:p>
        </w:tc>
      </w:tr>
      <w:tr w:rsidR="004508A9" w:rsidRPr="00582A6A" w14:paraId="4D99A970" w14:textId="77777777" w:rsidTr="00BD2944">
        <w:tc>
          <w:tcPr>
            <w:tcW w:w="1308" w:type="dxa"/>
            <w:tcBorders>
              <w:top w:val="nil"/>
            </w:tcBorders>
          </w:tcPr>
          <w:p w14:paraId="318968C1"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 xml:space="preserve">LR </w:t>
            </w:r>
            <w:proofErr w:type="spellStart"/>
            <w:r w:rsidRPr="00582A6A">
              <w:rPr>
                <w:rFonts w:ascii="Times New Roman" w:hAnsi="Times New Roman" w:cs="Times New Roman"/>
                <w:sz w:val="14"/>
                <w:lang w:val="en-GB"/>
              </w:rPr>
              <w:t>vs</w:t>
            </w:r>
            <w:proofErr w:type="spellEnd"/>
            <w:r w:rsidRPr="00582A6A">
              <w:rPr>
                <w:rFonts w:ascii="Times New Roman" w:hAnsi="Times New Roman" w:cs="Times New Roman"/>
                <w:sz w:val="14"/>
                <w:lang w:val="en-GB"/>
              </w:rPr>
              <w:t xml:space="preserve"> MR</w:t>
            </w:r>
          </w:p>
        </w:tc>
        <w:tc>
          <w:tcPr>
            <w:tcW w:w="1308" w:type="dxa"/>
            <w:tcBorders>
              <w:top w:val="nil"/>
              <w:right w:val="nil"/>
            </w:tcBorders>
            <w:vAlign w:val="center"/>
          </w:tcPr>
          <w:p w14:paraId="7F84851B"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5.6 (-2.6 ; 13.8)</w:t>
            </w:r>
          </w:p>
        </w:tc>
        <w:tc>
          <w:tcPr>
            <w:tcW w:w="1309" w:type="dxa"/>
            <w:tcBorders>
              <w:top w:val="nil"/>
              <w:left w:val="nil"/>
              <w:right w:val="nil"/>
            </w:tcBorders>
            <w:vAlign w:val="center"/>
          </w:tcPr>
          <w:p w14:paraId="19F36A9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0.161</w:t>
            </w:r>
          </w:p>
        </w:tc>
        <w:tc>
          <w:tcPr>
            <w:tcW w:w="1309" w:type="dxa"/>
            <w:tcBorders>
              <w:top w:val="nil"/>
              <w:left w:val="nil"/>
            </w:tcBorders>
            <w:vAlign w:val="center"/>
          </w:tcPr>
          <w:p w14:paraId="2A4C565B"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0.293</w:t>
            </w:r>
          </w:p>
        </w:tc>
      </w:tr>
    </w:tbl>
    <w:p w14:paraId="1B06195D" w14:textId="77777777" w:rsidR="004508A9" w:rsidRPr="00582A6A" w:rsidRDefault="004508A9" w:rsidP="004508A9">
      <w:pPr>
        <w:spacing w:before="120" w:after="0" w:line="240" w:lineRule="auto"/>
        <w:jc w:val="both"/>
        <w:outlineLvl w:val="2"/>
        <w:rPr>
          <w:rFonts w:ascii="Times New Roman" w:hAnsi="Times New Roman" w:cs="Times New Roman"/>
          <w:sz w:val="18"/>
          <w:lang w:val="en-GB"/>
        </w:rPr>
      </w:pPr>
      <w:r w:rsidRPr="00582A6A">
        <w:rPr>
          <w:rFonts w:ascii="Times New Roman" w:hAnsi="Times New Roman" w:cs="Times New Roman"/>
          <w:i/>
          <w:iCs/>
          <w:sz w:val="16"/>
          <w:szCs w:val="20"/>
        </w:rPr>
        <w:t>Mean diff = mean difference ; 95%CI = 95% confidence interval of mean difference with lower and upper results ; Cohen’s d = effect size ; p bonf = p-value of Bonferroni post hoc ; MR = medial rotation; LR = lateral rotation; NP = neutral position</w:t>
      </w:r>
    </w:p>
    <w:p w14:paraId="5407B8EF" w14:textId="77777777" w:rsidR="004508A9" w:rsidRPr="00582A6A" w:rsidRDefault="004508A9" w:rsidP="004508A9">
      <w:pPr>
        <w:spacing w:after="0" w:line="480" w:lineRule="auto"/>
        <w:rPr>
          <w:rFonts w:ascii="Times New Roman" w:hAnsi="Times New Roman" w:cs="Times New Roman"/>
          <w:b/>
          <w:bCs/>
          <w:sz w:val="18"/>
          <w:u w:val="single"/>
          <w:lang w:val="en-GB"/>
        </w:rPr>
      </w:pPr>
    </w:p>
    <w:p w14:paraId="474E92D9" w14:textId="77777777" w:rsidR="004508A9" w:rsidRPr="00582A6A" w:rsidRDefault="004508A9" w:rsidP="004508A9">
      <w:pPr>
        <w:spacing w:after="0" w:line="276" w:lineRule="auto"/>
        <w:rPr>
          <w:rFonts w:ascii="Times New Roman" w:hAnsi="Times New Roman" w:cs="Times New Roman"/>
          <w:sz w:val="18"/>
          <w:lang w:val="en-GB"/>
        </w:rPr>
      </w:pPr>
      <w:r w:rsidRPr="00582A6A">
        <w:rPr>
          <w:rFonts w:ascii="Times New Roman" w:hAnsi="Times New Roman" w:cs="Times New Roman"/>
          <w:b/>
          <w:bCs/>
          <w:sz w:val="18"/>
          <w:u w:val="single"/>
          <w:lang w:val="en-GB"/>
        </w:rPr>
        <w:t>Table 3.</w:t>
      </w:r>
      <w:r w:rsidRPr="00582A6A">
        <w:rPr>
          <w:rFonts w:ascii="Times New Roman" w:hAnsi="Times New Roman" w:cs="Times New Roman"/>
          <w:bCs/>
          <w:sz w:val="18"/>
          <w:lang w:val="en-GB"/>
        </w:rPr>
        <w:t xml:space="preserve"> </w:t>
      </w:r>
      <w:r w:rsidRPr="00582A6A">
        <w:rPr>
          <w:rFonts w:ascii="Times New Roman" w:hAnsi="Times New Roman" w:cs="Times New Roman"/>
          <w:sz w:val="18"/>
          <w:lang w:val="en-GB"/>
        </w:rPr>
        <w:t>Mean ±SD isometric strength results (of the 1</w:t>
      </w:r>
      <w:r w:rsidRPr="00582A6A">
        <w:rPr>
          <w:rFonts w:ascii="Times New Roman" w:hAnsi="Times New Roman" w:cs="Times New Roman"/>
          <w:sz w:val="18"/>
          <w:vertAlign w:val="superscript"/>
          <w:lang w:val="en-GB"/>
        </w:rPr>
        <w:t>st</w:t>
      </w:r>
      <w:r w:rsidRPr="00582A6A">
        <w:rPr>
          <w:rFonts w:ascii="Times New Roman" w:hAnsi="Times New Roman" w:cs="Times New Roman"/>
          <w:sz w:val="18"/>
          <w:lang w:val="en-GB"/>
        </w:rPr>
        <w:t xml:space="preserve"> and 2</w:t>
      </w:r>
      <w:r w:rsidRPr="00582A6A">
        <w:rPr>
          <w:rFonts w:ascii="Times New Roman" w:hAnsi="Times New Roman" w:cs="Times New Roman"/>
          <w:sz w:val="18"/>
          <w:vertAlign w:val="superscript"/>
          <w:lang w:val="en-GB"/>
        </w:rPr>
        <w:t>nd</w:t>
      </w:r>
      <w:r w:rsidRPr="00582A6A">
        <w:rPr>
          <w:rFonts w:ascii="Times New Roman" w:hAnsi="Times New Roman" w:cs="Times New Roman"/>
          <w:sz w:val="18"/>
          <w:lang w:val="en-GB"/>
        </w:rPr>
        <w:t xml:space="preserve"> tests) in MR and LR, and isometric strength MR/LR ratio at 30, 60 and 90 degrees of knee flexion with the hand-held dynamometer in healthy male volunteers</w:t>
      </w:r>
    </w:p>
    <w:p w14:paraId="2C64697F" w14:textId="77777777" w:rsidR="004508A9" w:rsidRPr="00582A6A" w:rsidRDefault="004508A9" w:rsidP="004508A9">
      <w:pPr>
        <w:spacing w:after="0" w:line="240" w:lineRule="auto"/>
        <w:rPr>
          <w:rFonts w:ascii="Times New Roman" w:hAnsi="Times New Roman" w:cs="Times New Roman"/>
          <w:sz w:val="18"/>
          <w:lang w:val="en-GB"/>
        </w:rPr>
      </w:pPr>
    </w:p>
    <w:tbl>
      <w:tblPr>
        <w:tblStyle w:val="Grille"/>
        <w:tblW w:w="0" w:type="auto"/>
        <w:tblLayout w:type="fixed"/>
        <w:tblLook w:val="04A0" w:firstRow="1" w:lastRow="0" w:firstColumn="1" w:lastColumn="0" w:noHBand="0" w:noVBand="1"/>
      </w:tblPr>
      <w:tblGrid>
        <w:gridCol w:w="1384"/>
        <w:gridCol w:w="1418"/>
        <w:gridCol w:w="1559"/>
        <w:gridCol w:w="1417"/>
        <w:gridCol w:w="1134"/>
        <w:gridCol w:w="1320"/>
        <w:gridCol w:w="1004"/>
      </w:tblGrid>
      <w:tr w:rsidR="004508A9" w:rsidRPr="00582A6A" w14:paraId="49CFC69F" w14:textId="77777777" w:rsidTr="00BD2944">
        <w:trPr>
          <w:trHeight w:val="277"/>
        </w:trPr>
        <w:tc>
          <w:tcPr>
            <w:tcW w:w="1384" w:type="dxa"/>
            <w:tcBorders>
              <w:top w:val="nil"/>
              <w:left w:val="nil"/>
              <w:bottom w:val="single" w:sz="4" w:space="0" w:color="auto"/>
              <w:right w:val="single" w:sz="4" w:space="0" w:color="auto"/>
            </w:tcBorders>
          </w:tcPr>
          <w:p w14:paraId="232FFEBC" w14:textId="77777777" w:rsidR="004508A9" w:rsidRPr="00582A6A" w:rsidRDefault="004508A9" w:rsidP="00BD2944">
            <w:pPr>
              <w:rPr>
                <w:rFonts w:ascii="Times New Roman" w:hAnsi="Times New Roman" w:cs="Times New Roman"/>
                <w:sz w:val="14"/>
                <w:szCs w:val="20"/>
                <w:lang w:val="en-GB"/>
              </w:rPr>
            </w:pPr>
          </w:p>
        </w:tc>
        <w:tc>
          <w:tcPr>
            <w:tcW w:w="1418" w:type="dxa"/>
            <w:tcBorders>
              <w:left w:val="single" w:sz="4" w:space="0" w:color="auto"/>
              <w:right w:val="nil"/>
            </w:tcBorders>
            <w:vAlign w:val="center"/>
          </w:tcPr>
          <w:p w14:paraId="034C44B9"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90°</w:t>
            </w:r>
          </w:p>
        </w:tc>
        <w:tc>
          <w:tcPr>
            <w:tcW w:w="1559" w:type="dxa"/>
            <w:tcBorders>
              <w:left w:val="nil"/>
              <w:right w:val="nil"/>
            </w:tcBorders>
            <w:vAlign w:val="center"/>
          </w:tcPr>
          <w:p w14:paraId="1FF5193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90°</w:t>
            </w:r>
          </w:p>
        </w:tc>
        <w:tc>
          <w:tcPr>
            <w:tcW w:w="1417" w:type="dxa"/>
            <w:tcBorders>
              <w:left w:val="nil"/>
              <w:right w:val="nil"/>
            </w:tcBorders>
            <w:vAlign w:val="center"/>
          </w:tcPr>
          <w:p w14:paraId="18D4382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60°</w:t>
            </w:r>
          </w:p>
        </w:tc>
        <w:tc>
          <w:tcPr>
            <w:tcW w:w="1134" w:type="dxa"/>
            <w:tcBorders>
              <w:left w:val="nil"/>
              <w:right w:val="nil"/>
            </w:tcBorders>
            <w:vAlign w:val="center"/>
          </w:tcPr>
          <w:p w14:paraId="207C233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60°</w:t>
            </w:r>
          </w:p>
        </w:tc>
        <w:tc>
          <w:tcPr>
            <w:tcW w:w="1320" w:type="dxa"/>
            <w:tcBorders>
              <w:left w:val="nil"/>
              <w:right w:val="nil"/>
            </w:tcBorders>
            <w:vAlign w:val="center"/>
          </w:tcPr>
          <w:p w14:paraId="555FBB0A"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30°</w:t>
            </w:r>
          </w:p>
        </w:tc>
        <w:tc>
          <w:tcPr>
            <w:tcW w:w="1004" w:type="dxa"/>
            <w:tcBorders>
              <w:left w:val="nil"/>
              <w:right w:val="single" w:sz="4" w:space="0" w:color="auto"/>
            </w:tcBorders>
            <w:vAlign w:val="center"/>
          </w:tcPr>
          <w:p w14:paraId="5497421A"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30°</w:t>
            </w:r>
          </w:p>
        </w:tc>
      </w:tr>
      <w:tr w:rsidR="004508A9" w:rsidRPr="00582A6A" w14:paraId="608AAA49" w14:textId="77777777" w:rsidTr="00BD2944">
        <w:trPr>
          <w:trHeight w:val="266"/>
        </w:trPr>
        <w:tc>
          <w:tcPr>
            <w:tcW w:w="1384" w:type="dxa"/>
            <w:tcBorders>
              <w:top w:val="single" w:sz="4" w:space="0" w:color="auto"/>
              <w:left w:val="single" w:sz="4" w:space="0" w:color="auto"/>
              <w:bottom w:val="nil"/>
              <w:right w:val="single" w:sz="4" w:space="0" w:color="auto"/>
            </w:tcBorders>
          </w:tcPr>
          <w:p w14:paraId="4303A02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Mean </w:t>
            </w:r>
            <w:r w:rsidRPr="00582A6A">
              <w:rPr>
                <w:rFonts w:ascii="Times New Roman" w:hAnsi="Times New Roman" w:cs="Times New Roman"/>
                <w:sz w:val="14"/>
                <w:szCs w:val="14"/>
                <w:lang w:val="en-GB"/>
              </w:rPr>
              <w:t>±</w:t>
            </w:r>
            <w:r w:rsidRPr="00582A6A">
              <w:rPr>
                <w:rFonts w:ascii="Times New Roman" w:hAnsi="Times New Roman" w:cs="Times New Roman"/>
                <w:sz w:val="14"/>
                <w:szCs w:val="20"/>
                <w:lang w:val="en-GB"/>
              </w:rPr>
              <w:t xml:space="preserve"> SD </w:t>
            </w:r>
            <w:r w:rsidRPr="00582A6A">
              <w:rPr>
                <w:rFonts w:ascii="Times New Roman" w:hAnsi="Times New Roman" w:cs="Times New Roman"/>
                <w:sz w:val="14"/>
                <w:szCs w:val="14"/>
                <w:lang w:val="en-GB"/>
              </w:rPr>
              <w:t>(</w:t>
            </w:r>
            <w:proofErr w:type="spellStart"/>
            <w:r w:rsidRPr="00582A6A">
              <w:rPr>
                <w:rFonts w:ascii="Times New Roman" w:hAnsi="Times New Roman" w:cs="Times New Roman"/>
                <w:sz w:val="14"/>
                <w:szCs w:val="14"/>
                <w:lang w:val="en-GB"/>
              </w:rPr>
              <w:t>N.m</w:t>
            </w:r>
            <w:proofErr w:type="spellEnd"/>
            <w:r w:rsidRPr="00582A6A">
              <w:rPr>
                <w:rFonts w:ascii="Times New Roman" w:hAnsi="Times New Roman" w:cs="Times New Roman"/>
                <w:sz w:val="14"/>
                <w:szCs w:val="14"/>
                <w:lang w:val="en-GB"/>
              </w:rPr>
              <w:t>)</w:t>
            </w:r>
          </w:p>
        </w:tc>
        <w:tc>
          <w:tcPr>
            <w:tcW w:w="1418" w:type="dxa"/>
            <w:tcBorders>
              <w:left w:val="single" w:sz="4" w:space="0" w:color="auto"/>
              <w:bottom w:val="nil"/>
              <w:right w:val="nil"/>
            </w:tcBorders>
          </w:tcPr>
          <w:p w14:paraId="7D248CBA"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63.4 </w:t>
            </w:r>
            <w:r w:rsidRPr="00582A6A">
              <w:rPr>
                <w:rFonts w:ascii="Times New Roman" w:hAnsi="Times New Roman" w:cs="Times New Roman"/>
                <w:sz w:val="14"/>
                <w:szCs w:val="14"/>
                <w:lang w:val="en-GB"/>
              </w:rPr>
              <w:t xml:space="preserve">± </w:t>
            </w:r>
            <w:r w:rsidRPr="00582A6A">
              <w:rPr>
                <w:rFonts w:ascii="Times New Roman" w:hAnsi="Times New Roman" w:cs="Times New Roman"/>
                <w:sz w:val="14"/>
                <w:szCs w:val="20"/>
                <w:lang w:val="en-GB"/>
              </w:rPr>
              <w:t>14.4</w:t>
            </w:r>
          </w:p>
        </w:tc>
        <w:tc>
          <w:tcPr>
            <w:tcW w:w="1559" w:type="dxa"/>
            <w:tcBorders>
              <w:left w:val="nil"/>
              <w:bottom w:val="nil"/>
              <w:right w:val="nil"/>
            </w:tcBorders>
          </w:tcPr>
          <w:p w14:paraId="7E37A61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70.6 </w:t>
            </w:r>
            <w:r w:rsidRPr="00582A6A">
              <w:rPr>
                <w:rFonts w:ascii="Times New Roman" w:hAnsi="Times New Roman" w:cs="Times New Roman"/>
                <w:sz w:val="14"/>
                <w:szCs w:val="14"/>
                <w:lang w:val="en-GB"/>
              </w:rPr>
              <w:t xml:space="preserve">± </w:t>
            </w:r>
            <w:r w:rsidRPr="00582A6A">
              <w:rPr>
                <w:rFonts w:ascii="Times New Roman" w:hAnsi="Times New Roman" w:cs="Times New Roman"/>
                <w:sz w:val="14"/>
                <w:szCs w:val="20"/>
                <w:lang w:val="en-GB"/>
              </w:rPr>
              <w:t>15.7</w:t>
            </w:r>
          </w:p>
        </w:tc>
        <w:tc>
          <w:tcPr>
            <w:tcW w:w="1417" w:type="dxa"/>
            <w:tcBorders>
              <w:left w:val="nil"/>
              <w:bottom w:val="nil"/>
              <w:right w:val="nil"/>
            </w:tcBorders>
          </w:tcPr>
          <w:p w14:paraId="37ECB22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64.7 </w:t>
            </w:r>
            <w:r w:rsidRPr="00582A6A">
              <w:rPr>
                <w:rFonts w:ascii="Times New Roman" w:hAnsi="Times New Roman" w:cs="Times New Roman"/>
                <w:sz w:val="14"/>
                <w:szCs w:val="14"/>
                <w:lang w:val="en-GB"/>
              </w:rPr>
              <w:t xml:space="preserve">± </w:t>
            </w:r>
            <w:proofErr w:type="gramStart"/>
            <w:r w:rsidRPr="00582A6A">
              <w:rPr>
                <w:rFonts w:ascii="Times New Roman" w:hAnsi="Times New Roman" w:cs="Times New Roman"/>
                <w:sz w:val="14"/>
                <w:szCs w:val="20"/>
                <w:lang w:val="en-GB"/>
              </w:rPr>
              <w:t xml:space="preserve">15.1               </w:t>
            </w:r>
            <w:proofErr w:type="gramEnd"/>
          </w:p>
        </w:tc>
        <w:tc>
          <w:tcPr>
            <w:tcW w:w="1134" w:type="dxa"/>
            <w:tcBorders>
              <w:left w:val="nil"/>
              <w:bottom w:val="nil"/>
              <w:right w:val="nil"/>
            </w:tcBorders>
          </w:tcPr>
          <w:p w14:paraId="0E7A5EC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70.6 </w:t>
            </w:r>
            <w:r w:rsidRPr="00582A6A">
              <w:rPr>
                <w:rFonts w:ascii="Times New Roman" w:hAnsi="Times New Roman" w:cs="Times New Roman"/>
                <w:sz w:val="14"/>
                <w:szCs w:val="14"/>
                <w:lang w:val="en-GB"/>
              </w:rPr>
              <w:t xml:space="preserve">± </w:t>
            </w:r>
            <w:r w:rsidRPr="00582A6A">
              <w:rPr>
                <w:rFonts w:ascii="Times New Roman" w:hAnsi="Times New Roman" w:cs="Times New Roman"/>
                <w:sz w:val="14"/>
                <w:szCs w:val="20"/>
                <w:lang w:val="en-GB"/>
              </w:rPr>
              <w:t>12.6</w:t>
            </w:r>
          </w:p>
        </w:tc>
        <w:tc>
          <w:tcPr>
            <w:tcW w:w="1320" w:type="dxa"/>
            <w:tcBorders>
              <w:left w:val="nil"/>
              <w:bottom w:val="nil"/>
              <w:right w:val="nil"/>
            </w:tcBorders>
          </w:tcPr>
          <w:p w14:paraId="0791BF8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63.8 </w:t>
            </w:r>
            <w:r w:rsidRPr="00582A6A">
              <w:rPr>
                <w:rFonts w:ascii="Times New Roman" w:hAnsi="Times New Roman" w:cs="Times New Roman"/>
                <w:sz w:val="14"/>
                <w:szCs w:val="14"/>
                <w:lang w:val="en-GB"/>
              </w:rPr>
              <w:t xml:space="preserve">± </w:t>
            </w:r>
            <w:r w:rsidRPr="00582A6A">
              <w:rPr>
                <w:rFonts w:ascii="Times New Roman" w:hAnsi="Times New Roman" w:cs="Times New Roman"/>
                <w:sz w:val="14"/>
                <w:szCs w:val="20"/>
                <w:lang w:val="en-GB"/>
              </w:rPr>
              <w:t>14.7</w:t>
            </w:r>
          </w:p>
        </w:tc>
        <w:tc>
          <w:tcPr>
            <w:tcW w:w="1004" w:type="dxa"/>
            <w:tcBorders>
              <w:left w:val="nil"/>
              <w:bottom w:val="nil"/>
              <w:right w:val="single" w:sz="4" w:space="0" w:color="auto"/>
            </w:tcBorders>
          </w:tcPr>
          <w:p w14:paraId="7D6D2E0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69.3 </w:t>
            </w:r>
            <w:r w:rsidRPr="00582A6A">
              <w:rPr>
                <w:rFonts w:ascii="Times New Roman" w:hAnsi="Times New Roman" w:cs="Times New Roman"/>
                <w:sz w:val="14"/>
                <w:szCs w:val="14"/>
                <w:lang w:val="en-GB"/>
              </w:rPr>
              <w:t xml:space="preserve">± </w:t>
            </w:r>
            <w:r w:rsidRPr="00582A6A">
              <w:rPr>
                <w:rFonts w:ascii="Times New Roman" w:hAnsi="Times New Roman" w:cs="Times New Roman"/>
                <w:sz w:val="14"/>
                <w:szCs w:val="20"/>
                <w:lang w:val="en-GB"/>
              </w:rPr>
              <w:t>14.1</w:t>
            </w:r>
          </w:p>
        </w:tc>
      </w:tr>
      <w:tr w:rsidR="004508A9" w:rsidRPr="00582A6A" w14:paraId="25E8AF86" w14:textId="77777777" w:rsidTr="00BD2944">
        <w:trPr>
          <w:trHeight w:val="177"/>
        </w:trPr>
        <w:tc>
          <w:tcPr>
            <w:tcW w:w="1384" w:type="dxa"/>
            <w:tcBorders>
              <w:top w:val="nil"/>
              <w:left w:val="single" w:sz="4" w:space="0" w:color="auto"/>
              <w:bottom w:val="single" w:sz="4" w:space="0" w:color="auto"/>
              <w:right w:val="single" w:sz="4" w:space="0" w:color="auto"/>
            </w:tcBorders>
          </w:tcPr>
          <w:p w14:paraId="42B3AF2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MR/LR ratio</w:t>
            </w:r>
          </w:p>
        </w:tc>
        <w:tc>
          <w:tcPr>
            <w:tcW w:w="1418" w:type="dxa"/>
            <w:tcBorders>
              <w:top w:val="nil"/>
              <w:left w:val="single" w:sz="4" w:space="0" w:color="auto"/>
              <w:bottom w:val="single" w:sz="4" w:space="0" w:color="auto"/>
              <w:right w:val="nil"/>
            </w:tcBorders>
          </w:tcPr>
          <w:p w14:paraId="02523B17"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0.94</w:t>
            </w:r>
            <w:r w:rsidRPr="00582A6A">
              <w:rPr>
                <w:rFonts w:ascii="Times New Roman" w:hAnsi="Times New Roman" w:cs="Times New Roman"/>
                <w:sz w:val="14"/>
                <w:szCs w:val="14"/>
                <w:lang w:val="en-GB"/>
              </w:rPr>
              <w:t>±0.17</w:t>
            </w:r>
          </w:p>
        </w:tc>
        <w:tc>
          <w:tcPr>
            <w:tcW w:w="1559" w:type="dxa"/>
            <w:tcBorders>
              <w:top w:val="nil"/>
              <w:left w:val="nil"/>
              <w:bottom w:val="single" w:sz="4" w:space="0" w:color="auto"/>
              <w:right w:val="nil"/>
            </w:tcBorders>
          </w:tcPr>
          <w:p w14:paraId="27B19A61" w14:textId="77777777" w:rsidR="004508A9" w:rsidRPr="00582A6A" w:rsidRDefault="004508A9" w:rsidP="00BD2944">
            <w:pPr>
              <w:rPr>
                <w:rFonts w:ascii="Times New Roman" w:hAnsi="Times New Roman" w:cs="Times New Roman"/>
                <w:sz w:val="14"/>
                <w:szCs w:val="20"/>
                <w:lang w:val="en-GB"/>
              </w:rPr>
            </w:pPr>
          </w:p>
        </w:tc>
        <w:tc>
          <w:tcPr>
            <w:tcW w:w="1417" w:type="dxa"/>
            <w:tcBorders>
              <w:top w:val="nil"/>
              <w:left w:val="nil"/>
              <w:bottom w:val="single" w:sz="4" w:space="0" w:color="auto"/>
              <w:right w:val="nil"/>
            </w:tcBorders>
          </w:tcPr>
          <w:p w14:paraId="637C377B"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0.93</w:t>
            </w:r>
            <w:r w:rsidRPr="00582A6A">
              <w:rPr>
                <w:rFonts w:ascii="Times New Roman" w:hAnsi="Times New Roman" w:cs="Times New Roman"/>
                <w:sz w:val="14"/>
                <w:szCs w:val="14"/>
                <w:lang w:val="en-GB"/>
              </w:rPr>
              <w:t>±0.10</w:t>
            </w:r>
          </w:p>
        </w:tc>
        <w:tc>
          <w:tcPr>
            <w:tcW w:w="1134" w:type="dxa"/>
            <w:tcBorders>
              <w:top w:val="nil"/>
              <w:left w:val="nil"/>
              <w:bottom w:val="single" w:sz="4" w:space="0" w:color="auto"/>
              <w:right w:val="nil"/>
            </w:tcBorders>
          </w:tcPr>
          <w:p w14:paraId="2F695C07" w14:textId="77777777" w:rsidR="004508A9" w:rsidRPr="00582A6A" w:rsidRDefault="004508A9" w:rsidP="00BD2944">
            <w:pPr>
              <w:rPr>
                <w:rFonts w:ascii="Times New Roman" w:hAnsi="Times New Roman" w:cs="Times New Roman"/>
                <w:sz w:val="14"/>
                <w:szCs w:val="20"/>
                <w:lang w:val="en-GB"/>
              </w:rPr>
            </w:pPr>
          </w:p>
        </w:tc>
        <w:tc>
          <w:tcPr>
            <w:tcW w:w="1320" w:type="dxa"/>
            <w:tcBorders>
              <w:top w:val="nil"/>
              <w:left w:val="nil"/>
              <w:bottom w:val="single" w:sz="4" w:space="0" w:color="auto"/>
              <w:right w:val="nil"/>
            </w:tcBorders>
          </w:tcPr>
          <w:p w14:paraId="77FC330F" w14:textId="77777777" w:rsidR="004508A9" w:rsidRPr="00582A6A" w:rsidRDefault="004508A9" w:rsidP="00BD2944">
            <w:pPr>
              <w:jc w:val="center"/>
              <w:rPr>
                <w:rFonts w:ascii="Times New Roman" w:hAnsi="Times New Roman" w:cs="Times New Roman"/>
                <w:sz w:val="14"/>
                <w:szCs w:val="20"/>
                <w:lang w:val="en-GB"/>
              </w:rPr>
            </w:pPr>
            <w:r w:rsidRPr="00582A6A">
              <w:rPr>
                <w:rFonts w:ascii="Times New Roman" w:hAnsi="Times New Roman" w:cs="Times New Roman"/>
                <w:sz w:val="14"/>
                <w:szCs w:val="20"/>
                <w:lang w:val="en-GB"/>
              </w:rPr>
              <w:t>0.93</w:t>
            </w:r>
            <w:r w:rsidRPr="00582A6A">
              <w:rPr>
                <w:rFonts w:ascii="Times New Roman" w:hAnsi="Times New Roman" w:cs="Times New Roman"/>
                <w:sz w:val="14"/>
                <w:szCs w:val="14"/>
                <w:lang w:val="en-GB"/>
              </w:rPr>
              <w:t>±0.10</w:t>
            </w:r>
          </w:p>
        </w:tc>
        <w:tc>
          <w:tcPr>
            <w:tcW w:w="1004" w:type="dxa"/>
            <w:tcBorders>
              <w:top w:val="nil"/>
              <w:left w:val="nil"/>
              <w:bottom w:val="single" w:sz="4" w:space="0" w:color="auto"/>
              <w:right w:val="single" w:sz="4" w:space="0" w:color="auto"/>
            </w:tcBorders>
          </w:tcPr>
          <w:p w14:paraId="213FC155" w14:textId="77777777" w:rsidR="004508A9" w:rsidRPr="00582A6A" w:rsidRDefault="004508A9" w:rsidP="00BD2944">
            <w:pPr>
              <w:rPr>
                <w:rFonts w:ascii="Times New Roman" w:hAnsi="Times New Roman" w:cs="Times New Roman"/>
                <w:sz w:val="14"/>
                <w:szCs w:val="20"/>
                <w:lang w:val="en-GB"/>
              </w:rPr>
            </w:pPr>
          </w:p>
        </w:tc>
      </w:tr>
    </w:tbl>
    <w:p w14:paraId="6AA272C1" w14:textId="77777777" w:rsidR="004508A9" w:rsidRPr="00582A6A" w:rsidRDefault="004508A9" w:rsidP="004508A9">
      <w:pPr>
        <w:spacing w:after="0" w:line="240" w:lineRule="auto"/>
        <w:rPr>
          <w:rFonts w:ascii="Times New Roman" w:hAnsi="Times New Roman" w:cs="Times New Roman"/>
          <w:i/>
          <w:iCs/>
          <w:sz w:val="16"/>
          <w:szCs w:val="20"/>
          <w:lang w:val="en-US"/>
        </w:rPr>
      </w:pPr>
    </w:p>
    <w:p w14:paraId="75195676" w14:textId="77777777" w:rsidR="004508A9" w:rsidRPr="00582A6A" w:rsidRDefault="004508A9" w:rsidP="004508A9">
      <w:pPr>
        <w:spacing w:after="0" w:line="480" w:lineRule="auto"/>
        <w:jc w:val="both"/>
        <w:rPr>
          <w:rFonts w:ascii="Times New Roman" w:hAnsi="Times New Roman" w:cs="Times New Roman"/>
          <w:i/>
          <w:iCs/>
          <w:sz w:val="16"/>
          <w:szCs w:val="20"/>
          <w:lang w:val="en-GB"/>
        </w:rPr>
      </w:pPr>
      <w:r w:rsidRPr="00582A6A">
        <w:rPr>
          <w:rFonts w:ascii="Times New Roman" w:hAnsi="Times New Roman" w:cs="Times New Roman"/>
          <w:i/>
          <w:iCs/>
          <w:sz w:val="16"/>
          <w:szCs w:val="20"/>
          <w:lang w:val="en-US"/>
        </w:rPr>
        <w:t xml:space="preserve">SD = standard deviation; </w:t>
      </w:r>
      <w:r w:rsidRPr="00582A6A">
        <w:rPr>
          <w:rFonts w:ascii="Times New Roman" w:hAnsi="Times New Roman" w:cs="Times New Roman"/>
          <w:i/>
          <w:iCs/>
          <w:sz w:val="16"/>
          <w:szCs w:val="20"/>
          <w:lang w:val="en-GB"/>
        </w:rPr>
        <w:t>MR = medial rotation; LR = lateral rotation</w:t>
      </w:r>
    </w:p>
    <w:p w14:paraId="6816F2D6" w14:textId="77777777" w:rsidR="004508A9" w:rsidRPr="00582A6A" w:rsidRDefault="004508A9" w:rsidP="004508A9">
      <w:pPr>
        <w:spacing w:after="0" w:line="480" w:lineRule="auto"/>
        <w:rPr>
          <w:rFonts w:ascii="Times New Roman" w:hAnsi="Times New Roman" w:cs="Times New Roman"/>
          <w:sz w:val="24"/>
        </w:rPr>
      </w:pPr>
    </w:p>
    <w:p w14:paraId="536EF340" w14:textId="77777777" w:rsidR="004508A9" w:rsidRPr="00582A6A" w:rsidRDefault="004508A9" w:rsidP="004508A9">
      <w:pPr>
        <w:spacing w:after="0" w:line="480" w:lineRule="auto"/>
        <w:rPr>
          <w:rFonts w:ascii="Times New Roman" w:hAnsi="Times New Roman" w:cs="Times New Roman"/>
          <w:sz w:val="16"/>
          <w:szCs w:val="16"/>
        </w:rPr>
      </w:pPr>
    </w:p>
    <w:p w14:paraId="6276D396" w14:textId="77777777" w:rsidR="004508A9" w:rsidRPr="00582A6A" w:rsidRDefault="004508A9" w:rsidP="004508A9">
      <w:pPr>
        <w:spacing w:after="0" w:line="480" w:lineRule="auto"/>
        <w:rPr>
          <w:rFonts w:ascii="Times New Roman" w:hAnsi="Times New Roman" w:cs="Times New Roman"/>
          <w:sz w:val="20"/>
          <w:lang w:val="en-GB"/>
        </w:rPr>
      </w:pPr>
    </w:p>
    <w:p w14:paraId="03A00C92" w14:textId="77777777" w:rsidR="004508A9" w:rsidRPr="00582A6A" w:rsidRDefault="004508A9" w:rsidP="004508A9">
      <w:pPr>
        <w:spacing w:after="0" w:line="480" w:lineRule="auto"/>
        <w:rPr>
          <w:rFonts w:ascii="Times New Roman" w:hAnsi="Times New Roman" w:cs="Times New Roman"/>
          <w:sz w:val="20"/>
          <w:lang w:val="en-GB"/>
        </w:rPr>
      </w:pPr>
    </w:p>
    <w:p w14:paraId="2E0EDFCF" w14:textId="77777777" w:rsidR="004508A9" w:rsidRPr="00582A6A" w:rsidRDefault="004508A9" w:rsidP="004508A9">
      <w:pPr>
        <w:spacing w:after="0" w:line="480" w:lineRule="auto"/>
        <w:rPr>
          <w:rFonts w:ascii="Times New Roman" w:hAnsi="Times New Roman" w:cs="Times New Roman"/>
          <w:sz w:val="20"/>
          <w:lang w:val="en-GB"/>
        </w:rPr>
      </w:pPr>
    </w:p>
    <w:p w14:paraId="0BACC678" w14:textId="77777777" w:rsidR="004508A9" w:rsidRPr="00582A6A" w:rsidRDefault="004508A9" w:rsidP="004508A9">
      <w:pPr>
        <w:spacing w:after="0" w:line="480" w:lineRule="auto"/>
        <w:rPr>
          <w:rFonts w:ascii="Times New Roman" w:hAnsi="Times New Roman" w:cs="Times New Roman"/>
          <w:sz w:val="20"/>
          <w:lang w:val="en-GB"/>
        </w:rPr>
      </w:pPr>
    </w:p>
    <w:p w14:paraId="7E469AE5" w14:textId="77777777" w:rsidR="004508A9" w:rsidRPr="00582A6A" w:rsidRDefault="004508A9" w:rsidP="004508A9">
      <w:pPr>
        <w:spacing w:after="0" w:line="480" w:lineRule="auto"/>
        <w:rPr>
          <w:rFonts w:ascii="Times New Roman" w:hAnsi="Times New Roman" w:cs="Times New Roman"/>
          <w:sz w:val="20"/>
          <w:lang w:val="en-GB"/>
        </w:rPr>
      </w:pPr>
    </w:p>
    <w:p w14:paraId="75B130F5" w14:textId="77777777" w:rsidR="004508A9" w:rsidRPr="00582A6A" w:rsidRDefault="004508A9" w:rsidP="004508A9">
      <w:pPr>
        <w:spacing w:after="0" w:line="480" w:lineRule="auto"/>
        <w:rPr>
          <w:rFonts w:ascii="Times New Roman" w:hAnsi="Times New Roman" w:cs="Times New Roman"/>
          <w:sz w:val="20"/>
          <w:lang w:val="en-GB"/>
        </w:rPr>
      </w:pPr>
    </w:p>
    <w:p w14:paraId="29B02B41" w14:textId="77777777" w:rsidR="004508A9" w:rsidRPr="00582A6A" w:rsidRDefault="004508A9" w:rsidP="004508A9">
      <w:pPr>
        <w:spacing w:after="0" w:line="480" w:lineRule="auto"/>
        <w:rPr>
          <w:rFonts w:ascii="Times New Roman" w:hAnsi="Times New Roman" w:cs="Times New Roman"/>
          <w:sz w:val="20"/>
          <w:lang w:val="en-GB"/>
        </w:rPr>
      </w:pPr>
    </w:p>
    <w:p w14:paraId="66782704" w14:textId="77777777" w:rsidR="004508A9" w:rsidRPr="00582A6A" w:rsidRDefault="004508A9" w:rsidP="004508A9">
      <w:pPr>
        <w:spacing w:after="0" w:line="276" w:lineRule="auto"/>
        <w:rPr>
          <w:rFonts w:ascii="Times New Roman" w:hAnsi="Times New Roman" w:cs="Times New Roman"/>
          <w:sz w:val="18"/>
          <w:szCs w:val="18"/>
          <w:lang w:val="en-GB"/>
        </w:rPr>
      </w:pPr>
      <w:r w:rsidRPr="00582A6A">
        <w:rPr>
          <w:rFonts w:ascii="Times New Roman" w:hAnsi="Times New Roman" w:cs="Times New Roman"/>
          <w:b/>
          <w:bCs/>
          <w:sz w:val="18"/>
          <w:szCs w:val="18"/>
          <w:u w:val="single"/>
          <w:lang w:val="en-GB"/>
        </w:rPr>
        <w:t>Table 4</w:t>
      </w:r>
      <w:r w:rsidRPr="00582A6A">
        <w:rPr>
          <w:rFonts w:ascii="Times New Roman" w:hAnsi="Times New Roman" w:cs="Times New Roman"/>
          <w:sz w:val="18"/>
          <w:szCs w:val="18"/>
          <w:lang w:val="en-GB"/>
        </w:rPr>
        <w:t xml:space="preserve">. </w:t>
      </w:r>
      <w:proofErr w:type="gramStart"/>
      <w:r w:rsidRPr="00582A6A">
        <w:rPr>
          <w:rFonts w:ascii="Times New Roman" w:hAnsi="Times New Roman" w:cs="Times New Roman"/>
          <w:sz w:val="18"/>
          <w:szCs w:val="18"/>
          <w:lang w:val="en-GB"/>
        </w:rPr>
        <w:t>sEMG</w:t>
      </w:r>
      <w:proofErr w:type="gramEnd"/>
      <w:r w:rsidRPr="00582A6A">
        <w:rPr>
          <w:rFonts w:ascii="Times New Roman" w:hAnsi="Times New Roman" w:cs="Times New Roman"/>
          <w:sz w:val="18"/>
          <w:szCs w:val="18"/>
          <w:lang w:val="en-GB"/>
        </w:rPr>
        <w:t xml:space="preserve"> activation values for biceps femoris and semitendinosus in NP, MR and LR at 30, 60 and 90 degrees of knee flexion during first/second test </w:t>
      </w:r>
      <w:r w:rsidRPr="00582A6A">
        <w:rPr>
          <w:rFonts w:ascii="Times New Roman" w:hAnsi="Times New Roman" w:cs="Times New Roman"/>
          <w:sz w:val="18"/>
          <w:lang w:val="en-GB"/>
        </w:rPr>
        <w:t>in healthy male volunteers</w:t>
      </w:r>
    </w:p>
    <w:p w14:paraId="2A7DAC75" w14:textId="77777777" w:rsidR="004508A9" w:rsidRPr="00582A6A" w:rsidRDefault="004508A9" w:rsidP="004508A9">
      <w:pPr>
        <w:spacing w:after="0" w:line="240" w:lineRule="auto"/>
        <w:rPr>
          <w:rFonts w:ascii="Times New Roman" w:hAnsi="Times New Roman" w:cs="Times New Roman"/>
          <w:sz w:val="18"/>
          <w:szCs w:val="18"/>
          <w:lang w:val="en-GB"/>
        </w:rPr>
      </w:pPr>
    </w:p>
    <w:tbl>
      <w:tblPr>
        <w:tblStyle w:val="Grille"/>
        <w:tblW w:w="0" w:type="auto"/>
        <w:jc w:val="center"/>
        <w:tblInd w:w="-223" w:type="dxa"/>
        <w:tblLayout w:type="fixed"/>
        <w:tblLook w:val="04A0" w:firstRow="1" w:lastRow="0" w:firstColumn="1" w:lastColumn="0" w:noHBand="0" w:noVBand="1"/>
      </w:tblPr>
      <w:tblGrid>
        <w:gridCol w:w="696"/>
        <w:gridCol w:w="472"/>
        <w:gridCol w:w="487"/>
        <w:gridCol w:w="487"/>
        <w:gridCol w:w="487"/>
        <w:gridCol w:w="487"/>
        <w:gridCol w:w="487"/>
        <w:gridCol w:w="488"/>
        <w:gridCol w:w="488"/>
        <w:gridCol w:w="488"/>
        <w:gridCol w:w="488"/>
        <w:gridCol w:w="488"/>
        <w:gridCol w:w="488"/>
        <w:gridCol w:w="488"/>
        <w:gridCol w:w="488"/>
        <w:gridCol w:w="488"/>
        <w:gridCol w:w="488"/>
        <w:gridCol w:w="488"/>
        <w:gridCol w:w="488"/>
      </w:tblGrid>
      <w:tr w:rsidR="004508A9" w:rsidRPr="00582A6A" w14:paraId="6B446218" w14:textId="77777777" w:rsidTr="00BD2944">
        <w:trPr>
          <w:trHeight w:val="321"/>
          <w:jc w:val="center"/>
        </w:trPr>
        <w:tc>
          <w:tcPr>
            <w:tcW w:w="9459" w:type="dxa"/>
            <w:gridSpan w:val="19"/>
            <w:tcBorders>
              <w:left w:val="single" w:sz="4" w:space="0" w:color="auto"/>
              <w:right w:val="single" w:sz="4" w:space="0" w:color="auto"/>
            </w:tcBorders>
            <w:vAlign w:val="center"/>
          </w:tcPr>
          <w:p w14:paraId="324DBC7A" w14:textId="77777777" w:rsidR="004508A9" w:rsidRPr="00582A6A" w:rsidRDefault="004508A9" w:rsidP="00BD2944">
            <w:pPr>
              <w:jc w:val="center"/>
              <w:rPr>
                <w:rFonts w:ascii="Times New Roman" w:hAnsi="Times New Roman" w:cs="Times New Roman"/>
                <w:sz w:val="14"/>
                <w:szCs w:val="24"/>
                <w:lang w:val="en-GB"/>
              </w:rPr>
            </w:pPr>
            <w:r w:rsidRPr="00582A6A">
              <w:rPr>
                <w:rFonts w:ascii="Times New Roman" w:hAnsi="Times New Roman" w:cs="Times New Roman"/>
                <w:sz w:val="14"/>
                <w:szCs w:val="24"/>
                <w:lang w:val="en-GB"/>
              </w:rPr>
              <w:t>Biceps Femoris</w:t>
            </w:r>
          </w:p>
        </w:tc>
      </w:tr>
      <w:tr w:rsidR="004508A9" w:rsidRPr="00582A6A" w14:paraId="66F50C8F" w14:textId="77777777" w:rsidTr="00BD2944">
        <w:trPr>
          <w:jc w:val="center"/>
        </w:trPr>
        <w:tc>
          <w:tcPr>
            <w:tcW w:w="696" w:type="dxa"/>
            <w:tcBorders>
              <w:left w:val="nil"/>
              <w:bottom w:val="nil"/>
              <w:right w:val="single" w:sz="4" w:space="0" w:color="auto"/>
            </w:tcBorders>
          </w:tcPr>
          <w:p w14:paraId="39742163" w14:textId="77777777" w:rsidR="004508A9" w:rsidRPr="00582A6A" w:rsidRDefault="004508A9" w:rsidP="00BD2944">
            <w:pPr>
              <w:rPr>
                <w:rFonts w:ascii="Times New Roman" w:hAnsi="Times New Roman" w:cs="Times New Roman"/>
                <w:sz w:val="14"/>
                <w:lang w:val="en-GB"/>
              </w:rPr>
            </w:pPr>
          </w:p>
        </w:tc>
        <w:tc>
          <w:tcPr>
            <w:tcW w:w="959" w:type="dxa"/>
            <w:gridSpan w:val="2"/>
            <w:tcBorders>
              <w:left w:val="single" w:sz="4" w:space="0" w:color="auto"/>
              <w:bottom w:val="single" w:sz="4" w:space="0" w:color="auto"/>
              <w:right w:val="nil"/>
            </w:tcBorders>
          </w:tcPr>
          <w:p w14:paraId="3731B7B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90°</w:t>
            </w:r>
          </w:p>
        </w:tc>
        <w:tc>
          <w:tcPr>
            <w:tcW w:w="974" w:type="dxa"/>
            <w:gridSpan w:val="2"/>
            <w:tcBorders>
              <w:left w:val="nil"/>
              <w:bottom w:val="single" w:sz="4" w:space="0" w:color="auto"/>
              <w:right w:val="nil"/>
            </w:tcBorders>
          </w:tcPr>
          <w:p w14:paraId="0962D9A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90°</w:t>
            </w:r>
          </w:p>
        </w:tc>
        <w:tc>
          <w:tcPr>
            <w:tcW w:w="974" w:type="dxa"/>
            <w:gridSpan w:val="2"/>
            <w:tcBorders>
              <w:left w:val="nil"/>
              <w:bottom w:val="single" w:sz="4" w:space="0" w:color="auto"/>
              <w:right w:val="nil"/>
            </w:tcBorders>
          </w:tcPr>
          <w:p w14:paraId="3043B4A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90°</w:t>
            </w:r>
          </w:p>
        </w:tc>
        <w:tc>
          <w:tcPr>
            <w:tcW w:w="976" w:type="dxa"/>
            <w:gridSpan w:val="2"/>
            <w:tcBorders>
              <w:left w:val="nil"/>
              <w:bottom w:val="single" w:sz="4" w:space="0" w:color="auto"/>
              <w:right w:val="nil"/>
            </w:tcBorders>
          </w:tcPr>
          <w:p w14:paraId="3076493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60°</w:t>
            </w:r>
          </w:p>
        </w:tc>
        <w:tc>
          <w:tcPr>
            <w:tcW w:w="976" w:type="dxa"/>
            <w:gridSpan w:val="2"/>
            <w:tcBorders>
              <w:left w:val="nil"/>
              <w:bottom w:val="single" w:sz="4" w:space="0" w:color="auto"/>
              <w:right w:val="nil"/>
            </w:tcBorders>
          </w:tcPr>
          <w:p w14:paraId="44E418C0"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60°</w:t>
            </w:r>
          </w:p>
        </w:tc>
        <w:tc>
          <w:tcPr>
            <w:tcW w:w="976" w:type="dxa"/>
            <w:gridSpan w:val="2"/>
            <w:tcBorders>
              <w:left w:val="nil"/>
              <w:bottom w:val="single" w:sz="4" w:space="0" w:color="auto"/>
              <w:right w:val="nil"/>
            </w:tcBorders>
          </w:tcPr>
          <w:p w14:paraId="7D96600D"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60°</w:t>
            </w:r>
          </w:p>
        </w:tc>
        <w:tc>
          <w:tcPr>
            <w:tcW w:w="976" w:type="dxa"/>
            <w:gridSpan w:val="2"/>
            <w:tcBorders>
              <w:left w:val="nil"/>
              <w:bottom w:val="single" w:sz="4" w:space="0" w:color="auto"/>
              <w:right w:val="nil"/>
            </w:tcBorders>
          </w:tcPr>
          <w:p w14:paraId="0CEFDEE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30°</w:t>
            </w:r>
          </w:p>
        </w:tc>
        <w:tc>
          <w:tcPr>
            <w:tcW w:w="976" w:type="dxa"/>
            <w:gridSpan w:val="2"/>
            <w:tcBorders>
              <w:left w:val="nil"/>
              <w:bottom w:val="single" w:sz="4" w:space="0" w:color="auto"/>
              <w:right w:val="nil"/>
            </w:tcBorders>
          </w:tcPr>
          <w:p w14:paraId="69478B2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30°</w:t>
            </w:r>
          </w:p>
        </w:tc>
        <w:tc>
          <w:tcPr>
            <w:tcW w:w="976" w:type="dxa"/>
            <w:gridSpan w:val="2"/>
            <w:tcBorders>
              <w:left w:val="nil"/>
              <w:bottom w:val="single" w:sz="4" w:space="0" w:color="auto"/>
              <w:right w:val="single" w:sz="4" w:space="0" w:color="auto"/>
            </w:tcBorders>
          </w:tcPr>
          <w:p w14:paraId="78B23054"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30°</w:t>
            </w:r>
          </w:p>
        </w:tc>
      </w:tr>
      <w:tr w:rsidR="004508A9" w:rsidRPr="00582A6A" w14:paraId="09179A89" w14:textId="77777777" w:rsidTr="00BD2944">
        <w:trPr>
          <w:jc w:val="center"/>
        </w:trPr>
        <w:tc>
          <w:tcPr>
            <w:tcW w:w="696" w:type="dxa"/>
            <w:tcBorders>
              <w:top w:val="nil"/>
              <w:left w:val="nil"/>
              <w:bottom w:val="single" w:sz="4" w:space="0" w:color="auto"/>
              <w:right w:val="single" w:sz="4" w:space="0" w:color="auto"/>
            </w:tcBorders>
          </w:tcPr>
          <w:p w14:paraId="61EFC880" w14:textId="77777777" w:rsidR="004508A9" w:rsidRPr="00582A6A" w:rsidRDefault="004508A9" w:rsidP="00BD2944">
            <w:pPr>
              <w:rPr>
                <w:rFonts w:ascii="Times New Roman" w:hAnsi="Times New Roman" w:cs="Times New Roman"/>
                <w:sz w:val="14"/>
                <w:lang w:val="en-GB"/>
              </w:rPr>
            </w:pPr>
          </w:p>
        </w:tc>
        <w:tc>
          <w:tcPr>
            <w:tcW w:w="472" w:type="dxa"/>
            <w:tcBorders>
              <w:left w:val="single" w:sz="4" w:space="0" w:color="auto"/>
              <w:bottom w:val="single" w:sz="4" w:space="0" w:color="auto"/>
              <w:right w:val="nil"/>
            </w:tcBorders>
          </w:tcPr>
          <w:p w14:paraId="46EBCEAF"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5F64F6E6"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3F60C1E7"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7DFB876B"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3586FF2B"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16F7F2A9"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124EF4C"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0FD0F66"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7449F42"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2E9E93B3"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14950303"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33A13A6B"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B4AFAC7"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16839151"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506A8EEA"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22F9939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5B9F762C"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single" w:sz="4" w:space="0" w:color="auto"/>
            </w:tcBorders>
          </w:tcPr>
          <w:p w14:paraId="0F8554EC"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r>
      <w:tr w:rsidR="004508A9" w:rsidRPr="00582A6A" w14:paraId="48F9A93B" w14:textId="77777777" w:rsidTr="00BD2944">
        <w:trPr>
          <w:trHeight w:val="205"/>
          <w:jc w:val="center"/>
        </w:trPr>
        <w:tc>
          <w:tcPr>
            <w:tcW w:w="696" w:type="dxa"/>
            <w:tcBorders>
              <w:left w:val="single" w:sz="4" w:space="0" w:color="auto"/>
              <w:bottom w:val="nil"/>
              <w:right w:val="single" w:sz="4" w:space="0" w:color="auto"/>
            </w:tcBorders>
          </w:tcPr>
          <w:p w14:paraId="6990211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Mean  </w:t>
            </w:r>
            <w:r w:rsidRPr="00582A6A">
              <w:rPr>
                <w:rFonts w:ascii="Times New Roman" w:hAnsi="Times New Roman" w:cs="Times New Roman"/>
                <w:sz w:val="12"/>
                <w:szCs w:val="20"/>
                <w:lang w:val="en-GB"/>
              </w:rPr>
              <w:t>(%MVA)</w:t>
            </w:r>
          </w:p>
        </w:tc>
        <w:tc>
          <w:tcPr>
            <w:tcW w:w="472" w:type="dxa"/>
            <w:tcBorders>
              <w:left w:val="single" w:sz="4" w:space="0" w:color="auto"/>
              <w:bottom w:val="nil"/>
              <w:right w:val="nil"/>
            </w:tcBorders>
          </w:tcPr>
          <w:p w14:paraId="5952F082"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73.8</w:t>
            </w:r>
          </w:p>
        </w:tc>
        <w:tc>
          <w:tcPr>
            <w:tcW w:w="487" w:type="dxa"/>
            <w:tcBorders>
              <w:left w:val="nil"/>
              <w:bottom w:val="nil"/>
              <w:right w:val="nil"/>
            </w:tcBorders>
          </w:tcPr>
          <w:p w14:paraId="5DE1940D"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77.3</w:t>
            </w:r>
          </w:p>
        </w:tc>
        <w:tc>
          <w:tcPr>
            <w:tcW w:w="487" w:type="dxa"/>
            <w:tcBorders>
              <w:left w:val="nil"/>
              <w:bottom w:val="nil"/>
              <w:right w:val="nil"/>
            </w:tcBorders>
          </w:tcPr>
          <w:p w14:paraId="31F994F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58.0</w:t>
            </w:r>
          </w:p>
        </w:tc>
        <w:tc>
          <w:tcPr>
            <w:tcW w:w="487" w:type="dxa"/>
            <w:tcBorders>
              <w:left w:val="nil"/>
              <w:bottom w:val="nil"/>
              <w:right w:val="nil"/>
            </w:tcBorders>
          </w:tcPr>
          <w:p w14:paraId="4ED54E5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59.1</w:t>
            </w:r>
          </w:p>
        </w:tc>
        <w:tc>
          <w:tcPr>
            <w:tcW w:w="487" w:type="dxa"/>
            <w:tcBorders>
              <w:left w:val="nil"/>
              <w:bottom w:val="nil"/>
              <w:right w:val="nil"/>
            </w:tcBorders>
          </w:tcPr>
          <w:p w14:paraId="682BC57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89.0</w:t>
            </w:r>
          </w:p>
        </w:tc>
        <w:tc>
          <w:tcPr>
            <w:tcW w:w="487" w:type="dxa"/>
            <w:tcBorders>
              <w:left w:val="nil"/>
              <w:bottom w:val="nil"/>
              <w:right w:val="nil"/>
            </w:tcBorders>
          </w:tcPr>
          <w:p w14:paraId="72440A60"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88.5</w:t>
            </w:r>
          </w:p>
        </w:tc>
        <w:tc>
          <w:tcPr>
            <w:tcW w:w="488" w:type="dxa"/>
            <w:tcBorders>
              <w:left w:val="nil"/>
              <w:bottom w:val="nil"/>
              <w:right w:val="nil"/>
            </w:tcBorders>
          </w:tcPr>
          <w:p w14:paraId="374EE708"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68.9</w:t>
            </w:r>
          </w:p>
        </w:tc>
        <w:tc>
          <w:tcPr>
            <w:tcW w:w="488" w:type="dxa"/>
            <w:tcBorders>
              <w:left w:val="nil"/>
              <w:bottom w:val="nil"/>
              <w:right w:val="nil"/>
            </w:tcBorders>
          </w:tcPr>
          <w:p w14:paraId="6901F5F2"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71.4</w:t>
            </w:r>
          </w:p>
        </w:tc>
        <w:tc>
          <w:tcPr>
            <w:tcW w:w="488" w:type="dxa"/>
            <w:tcBorders>
              <w:left w:val="nil"/>
              <w:bottom w:val="nil"/>
              <w:right w:val="nil"/>
            </w:tcBorders>
          </w:tcPr>
          <w:p w14:paraId="0B452F2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59.0</w:t>
            </w:r>
          </w:p>
        </w:tc>
        <w:tc>
          <w:tcPr>
            <w:tcW w:w="488" w:type="dxa"/>
            <w:tcBorders>
              <w:left w:val="nil"/>
              <w:bottom w:val="nil"/>
              <w:right w:val="nil"/>
            </w:tcBorders>
          </w:tcPr>
          <w:p w14:paraId="782F277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57.0</w:t>
            </w:r>
          </w:p>
        </w:tc>
        <w:tc>
          <w:tcPr>
            <w:tcW w:w="488" w:type="dxa"/>
            <w:tcBorders>
              <w:left w:val="nil"/>
              <w:bottom w:val="nil"/>
              <w:right w:val="nil"/>
            </w:tcBorders>
          </w:tcPr>
          <w:p w14:paraId="4409C57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81.0</w:t>
            </w:r>
          </w:p>
        </w:tc>
        <w:tc>
          <w:tcPr>
            <w:tcW w:w="488" w:type="dxa"/>
            <w:tcBorders>
              <w:left w:val="nil"/>
              <w:bottom w:val="nil"/>
              <w:right w:val="nil"/>
            </w:tcBorders>
          </w:tcPr>
          <w:p w14:paraId="45E939C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85.6</w:t>
            </w:r>
          </w:p>
        </w:tc>
        <w:tc>
          <w:tcPr>
            <w:tcW w:w="488" w:type="dxa"/>
            <w:tcBorders>
              <w:left w:val="nil"/>
              <w:bottom w:val="nil"/>
              <w:right w:val="nil"/>
            </w:tcBorders>
          </w:tcPr>
          <w:p w14:paraId="1F5A4F14"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68.5</w:t>
            </w:r>
          </w:p>
        </w:tc>
        <w:tc>
          <w:tcPr>
            <w:tcW w:w="488" w:type="dxa"/>
            <w:tcBorders>
              <w:left w:val="nil"/>
              <w:bottom w:val="nil"/>
              <w:right w:val="nil"/>
            </w:tcBorders>
          </w:tcPr>
          <w:p w14:paraId="66986630"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64.9</w:t>
            </w:r>
          </w:p>
        </w:tc>
        <w:tc>
          <w:tcPr>
            <w:tcW w:w="488" w:type="dxa"/>
            <w:tcBorders>
              <w:left w:val="nil"/>
              <w:bottom w:val="nil"/>
              <w:right w:val="nil"/>
            </w:tcBorders>
          </w:tcPr>
          <w:p w14:paraId="7F953AE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57.3</w:t>
            </w:r>
          </w:p>
        </w:tc>
        <w:tc>
          <w:tcPr>
            <w:tcW w:w="488" w:type="dxa"/>
            <w:tcBorders>
              <w:left w:val="nil"/>
              <w:bottom w:val="nil"/>
              <w:right w:val="nil"/>
            </w:tcBorders>
          </w:tcPr>
          <w:p w14:paraId="1B02306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55.1</w:t>
            </w:r>
          </w:p>
        </w:tc>
        <w:tc>
          <w:tcPr>
            <w:tcW w:w="488" w:type="dxa"/>
            <w:tcBorders>
              <w:left w:val="nil"/>
              <w:bottom w:val="nil"/>
              <w:right w:val="nil"/>
            </w:tcBorders>
          </w:tcPr>
          <w:p w14:paraId="3E07899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79.5</w:t>
            </w:r>
          </w:p>
        </w:tc>
        <w:tc>
          <w:tcPr>
            <w:tcW w:w="488" w:type="dxa"/>
            <w:tcBorders>
              <w:left w:val="nil"/>
              <w:bottom w:val="nil"/>
              <w:right w:val="single" w:sz="4" w:space="0" w:color="auto"/>
            </w:tcBorders>
          </w:tcPr>
          <w:p w14:paraId="4236BCE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82.7</w:t>
            </w:r>
          </w:p>
        </w:tc>
      </w:tr>
      <w:tr w:rsidR="004508A9" w:rsidRPr="00582A6A" w14:paraId="2BBC83F5" w14:textId="77777777" w:rsidTr="00BD2944">
        <w:trPr>
          <w:trHeight w:val="275"/>
          <w:jc w:val="center"/>
        </w:trPr>
        <w:tc>
          <w:tcPr>
            <w:tcW w:w="696" w:type="dxa"/>
            <w:tcBorders>
              <w:top w:val="nil"/>
              <w:left w:val="single" w:sz="4" w:space="0" w:color="auto"/>
              <w:bottom w:val="nil"/>
              <w:right w:val="single" w:sz="4" w:space="0" w:color="auto"/>
            </w:tcBorders>
          </w:tcPr>
          <w:p w14:paraId="2CDE28EE"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SD </w:t>
            </w:r>
            <w:r w:rsidRPr="00582A6A">
              <w:rPr>
                <w:rFonts w:ascii="Times New Roman" w:hAnsi="Times New Roman" w:cs="Times New Roman"/>
                <w:sz w:val="12"/>
                <w:szCs w:val="20"/>
                <w:lang w:val="en-GB"/>
              </w:rPr>
              <w:t>(%MVA)</w:t>
            </w:r>
          </w:p>
        </w:tc>
        <w:tc>
          <w:tcPr>
            <w:tcW w:w="472" w:type="dxa"/>
            <w:tcBorders>
              <w:top w:val="nil"/>
              <w:left w:val="single" w:sz="4" w:space="0" w:color="auto"/>
              <w:bottom w:val="nil"/>
              <w:right w:val="nil"/>
            </w:tcBorders>
          </w:tcPr>
          <w:p w14:paraId="61D50CE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18.1</w:t>
            </w:r>
          </w:p>
        </w:tc>
        <w:tc>
          <w:tcPr>
            <w:tcW w:w="487" w:type="dxa"/>
            <w:tcBorders>
              <w:top w:val="nil"/>
              <w:left w:val="nil"/>
              <w:bottom w:val="nil"/>
              <w:right w:val="nil"/>
            </w:tcBorders>
          </w:tcPr>
          <w:p w14:paraId="455CB69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15.4</w:t>
            </w:r>
          </w:p>
        </w:tc>
        <w:tc>
          <w:tcPr>
            <w:tcW w:w="487" w:type="dxa"/>
            <w:tcBorders>
              <w:top w:val="nil"/>
              <w:left w:val="nil"/>
              <w:bottom w:val="nil"/>
              <w:right w:val="nil"/>
            </w:tcBorders>
          </w:tcPr>
          <w:p w14:paraId="10D65D7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17.8</w:t>
            </w:r>
          </w:p>
        </w:tc>
        <w:tc>
          <w:tcPr>
            <w:tcW w:w="487" w:type="dxa"/>
            <w:tcBorders>
              <w:top w:val="nil"/>
              <w:left w:val="nil"/>
              <w:bottom w:val="nil"/>
              <w:right w:val="nil"/>
            </w:tcBorders>
          </w:tcPr>
          <w:p w14:paraId="0ACC22B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17.4</w:t>
            </w:r>
          </w:p>
        </w:tc>
        <w:tc>
          <w:tcPr>
            <w:tcW w:w="487" w:type="dxa"/>
            <w:tcBorders>
              <w:top w:val="nil"/>
              <w:left w:val="nil"/>
              <w:bottom w:val="nil"/>
              <w:right w:val="nil"/>
            </w:tcBorders>
          </w:tcPr>
          <w:p w14:paraId="545D0F83"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13.5</w:t>
            </w:r>
          </w:p>
        </w:tc>
        <w:tc>
          <w:tcPr>
            <w:tcW w:w="487" w:type="dxa"/>
            <w:tcBorders>
              <w:top w:val="nil"/>
              <w:left w:val="nil"/>
              <w:bottom w:val="nil"/>
              <w:right w:val="nil"/>
            </w:tcBorders>
          </w:tcPr>
          <w:p w14:paraId="1128FB8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13.2</w:t>
            </w:r>
          </w:p>
        </w:tc>
        <w:tc>
          <w:tcPr>
            <w:tcW w:w="488" w:type="dxa"/>
            <w:tcBorders>
              <w:top w:val="nil"/>
              <w:left w:val="nil"/>
              <w:bottom w:val="nil"/>
              <w:right w:val="nil"/>
            </w:tcBorders>
          </w:tcPr>
          <w:p w14:paraId="6C46CD00"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19.9</w:t>
            </w:r>
          </w:p>
        </w:tc>
        <w:tc>
          <w:tcPr>
            <w:tcW w:w="488" w:type="dxa"/>
            <w:tcBorders>
              <w:top w:val="nil"/>
              <w:left w:val="nil"/>
              <w:bottom w:val="nil"/>
              <w:right w:val="nil"/>
            </w:tcBorders>
          </w:tcPr>
          <w:p w14:paraId="73335A1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19.4</w:t>
            </w:r>
          </w:p>
        </w:tc>
        <w:tc>
          <w:tcPr>
            <w:tcW w:w="488" w:type="dxa"/>
            <w:tcBorders>
              <w:top w:val="nil"/>
              <w:left w:val="nil"/>
              <w:bottom w:val="nil"/>
              <w:right w:val="nil"/>
            </w:tcBorders>
          </w:tcPr>
          <w:p w14:paraId="1414A73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22.4</w:t>
            </w:r>
          </w:p>
        </w:tc>
        <w:tc>
          <w:tcPr>
            <w:tcW w:w="488" w:type="dxa"/>
            <w:tcBorders>
              <w:top w:val="nil"/>
              <w:left w:val="nil"/>
              <w:bottom w:val="nil"/>
              <w:right w:val="nil"/>
            </w:tcBorders>
          </w:tcPr>
          <w:p w14:paraId="7760722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19.4</w:t>
            </w:r>
          </w:p>
        </w:tc>
        <w:tc>
          <w:tcPr>
            <w:tcW w:w="488" w:type="dxa"/>
            <w:tcBorders>
              <w:top w:val="nil"/>
              <w:left w:val="nil"/>
              <w:bottom w:val="nil"/>
              <w:right w:val="nil"/>
            </w:tcBorders>
          </w:tcPr>
          <w:p w14:paraId="4A08155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13.0</w:t>
            </w:r>
          </w:p>
        </w:tc>
        <w:tc>
          <w:tcPr>
            <w:tcW w:w="488" w:type="dxa"/>
            <w:tcBorders>
              <w:top w:val="nil"/>
              <w:left w:val="nil"/>
              <w:bottom w:val="nil"/>
              <w:right w:val="nil"/>
            </w:tcBorders>
          </w:tcPr>
          <w:p w14:paraId="3327760F"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13.1</w:t>
            </w:r>
          </w:p>
        </w:tc>
        <w:tc>
          <w:tcPr>
            <w:tcW w:w="488" w:type="dxa"/>
            <w:tcBorders>
              <w:top w:val="nil"/>
              <w:left w:val="nil"/>
              <w:bottom w:val="nil"/>
              <w:right w:val="nil"/>
            </w:tcBorders>
          </w:tcPr>
          <w:p w14:paraId="0BE8F3E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25.3</w:t>
            </w:r>
          </w:p>
        </w:tc>
        <w:tc>
          <w:tcPr>
            <w:tcW w:w="488" w:type="dxa"/>
            <w:tcBorders>
              <w:top w:val="nil"/>
              <w:left w:val="nil"/>
              <w:bottom w:val="nil"/>
              <w:right w:val="nil"/>
            </w:tcBorders>
          </w:tcPr>
          <w:p w14:paraId="02E24961"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19.2</w:t>
            </w:r>
          </w:p>
        </w:tc>
        <w:tc>
          <w:tcPr>
            <w:tcW w:w="488" w:type="dxa"/>
            <w:tcBorders>
              <w:top w:val="nil"/>
              <w:left w:val="nil"/>
              <w:bottom w:val="nil"/>
              <w:right w:val="nil"/>
            </w:tcBorders>
          </w:tcPr>
          <w:p w14:paraId="3E25BAE5"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20.3</w:t>
            </w:r>
          </w:p>
        </w:tc>
        <w:tc>
          <w:tcPr>
            <w:tcW w:w="488" w:type="dxa"/>
            <w:tcBorders>
              <w:top w:val="nil"/>
              <w:left w:val="nil"/>
              <w:bottom w:val="nil"/>
              <w:right w:val="nil"/>
            </w:tcBorders>
          </w:tcPr>
          <w:p w14:paraId="487FC6E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18.5</w:t>
            </w:r>
          </w:p>
        </w:tc>
        <w:tc>
          <w:tcPr>
            <w:tcW w:w="488" w:type="dxa"/>
            <w:tcBorders>
              <w:top w:val="nil"/>
              <w:left w:val="nil"/>
              <w:bottom w:val="nil"/>
              <w:right w:val="nil"/>
            </w:tcBorders>
          </w:tcPr>
          <w:p w14:paraId="68FF3382"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16.7</w:t>
            </w:r>
          </w:p>
        </w:tc>
        <w:tc>
          <w:tcPr>
            <w:tcW w:w="488" w:type="dxa"/>
            <w:tcBorders>
              <w:top w:val="nil"/>
              <w:left w:val="nil"/>
              <w:bottom w:val="nil"/>
              <w:right w:val="single" w:sz="4" w:space="0" w:color="auto"/>
            </w:tcBorders>
          </w:tcPr>
          <w:p w14:paraId="2167F20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14.4</w:t>
            </w:r>
          </w:p>
        </w:tc>
      </w:tr>
      <w:tr w:rsidR="004508A9" w:rsidRPr="00582A6A" w14:paraId="1B29AC70" w14:textId="77777777" w:rsidTr="00BD2944">
        <w:trPr>
          <w:trHeight w:val="293"/>
          <w:jc w:val="center"/>
        </w:trPr>
        <w:tc>
          <w:tcPr>
            <w:tcW w:w="696" w:type="dxa"/>
            <w:tcBorders>
              <w:top w:val="nil"/>
              <w:left w:val="single" w:sz="4" w:space="0" w:color="auto"/>
              <w:bottom w:val="nil"/>
              <w:right w:val="single" w:sz="4" w:space="0" w:color="auto"/>
            </w:tcBorders>
          </w:tcPr>
          <w:p w14:paraId="7A1F152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MDC </w:t>
            </w:r>
            <w:r w:rsidRPr="00582A6A">
              <w:rPr>
                <w:rFonts w:ascii="Times New Roman" w:hAnsi="Times New Roman" w:cs="Times New Roman"/>
                <w:sz w:val="12"/>
                <w:szCs w:val="20"/>
                <w:lang w:val="en-GB"/>
              </w:rPr>
              <w:t>(%MVA)</w:t>
            </w:r>
          </w:p>
        </w:tc>
        <w:tc>
          <w:tcPr>
            <w:tcW w:w="959" w:type="dxa"/>
            <w:gridSpan w:val="2"/>
            <w:tcBorders>
              <w:top w:val="nil"/>
              <w:left w:val="single" w:sz="4" w:space="0" w:color="auto"/>
              <w:bottom w:val="nil"/>
              <w:right w:val="nil"/>
            </w:tcBorders>
          </w:tcPr>
          <w:p w14:paraId="157C9B58"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41.7</w:t>
            </w:r>
          </w:p>
        </w:tc>
        <w:tc>
          <w:tcPr>
            <w:tcW w:w="974" w:type="dxa"/>
            <w:gridSpan w:val="2"/>
            <w:tcBorders>
              <w:top w:val="nil"/>
              <w:left w:val="nil"/>
              <w:bottom w:val="nil"/>
              <w:right w:val="nil"/>
            </w:tcBorders>
          </w:tcPr>
          <w:p w14:paraId="68604EC4"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43.7</w:t>
            </w:r>
          </w:p>
        </w:tc>
        <w:tc>
          <w:tcPr>
            <w:tcW w:w="974" w:type="dxa"/>
            <w:gridSpan w:val="2"/>
            <w:tcBorders>
              <w:top w:val="nil"/>
              <w:left w:val="nil"/>
              <w:bottom w:val="nil"/>
              <w:right w:val="nil"/>
            </w:tcBorders>
          </w:tcPr>
          <w:p w14:paraId="51BAA033"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36.7</w:t>
            </w:r>
          </w:p>
        </w:tc>
        <w:tc>
          <w:tcPr>
            <w:tcW w:w="976" w:type="dxa"/>
            <w:gridSpan w:val="2"/>
            <w:tcBorders>
              <w:top w:val="nil"/>
              <w:left w:val="nil"/>
              <w:bottom w:val="nil"/>
              <w:right w:val="nil"/>
            </w:tcBorders>
          </w:tcPr>
          <w:p w14:paraId="7FA0AD0C"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52.3</w:t>
            </w:r>
          </w:p>
        </w:tc>
        <w:tc>
          <w:tcPr>
            <w:tcW w:w="976" w:type="dxa"/>
            <w:gridSpan w:val="2"/>
            <w:tcBorders>
              <w:top w:val="nil"/>
              <w:left w:val="nil"/>
              <w:bottom w:val="nil"/>
              <w:right w:val="nil"/>
            </w:tcBorders>
          </w:tcPr>
          <w:p w14:paraId="521BB479"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56.8</w:t>
            </w:r>
          </w:p>
        </w:tc>
        <w:tc>
          <w:tcPr>
            <w:tcW w:w="976" w:type="dxa"/>
            <w:gridSpan w:val="2"/>
            <w:tcBorders>
              <w:top w:val="nil"/>
              <w:left w:val="nil"/>
              <w:bottom w:val="nil"/>
              <w:right w:val="nil"/>
            </w:tcBorders>
          </w:tcPr>
          <w:p w14:paraId="0BE75D67"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35.8</w:t>
            </w:r>
          </w:p>
        </w:tc>
        <w:tc>
          <w:tcPr>
            <w:tcW w:w="976" w:type="dxa"/>
            <w:gridSpan w:val="2"/>
            <w:tcBorders>
              <w:top w:val="nil"/>
              <w:left w:val="nil"/>
              <w:bottom w:val="nil"/>
              <w:right w:val="nil"/>
            </w:tcBorders>
          </w:tcPr>
          <w:p w14:paraId="45F6EAEB"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60.0</w:t>
            </w:r>
          </w:p>
        </w:tc>
        <w:tc>
          <w:tcPr>
            <w:tcW w:w="976" w:type="dxa"/>
            <w:gridSpan w:val="2"/>
            <w:tcBorders>
              <w:top w:val="nil"/>
              <w:left w:val="nil"/>
              <w:bottom w:val="nil"/>
              <w:right w:val="nil"/>
            </w:tcBorders>
          </w:tcPr>
          <w:p w14:paraId="2C9F238C"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51.6</w:t>
            </w:r>
          </w:p>
        </w:tc>
        <w:tc>
          <w:tcPr>
            <w:tcW w:w="976" w:type="dxa"/>
            <w:gridSpan w:val="2"/>
            <w:tcBorders>
              <w:top w:val="nil"/>
              <w:left w:val="nil"/>
              <w:bottom w:val="nil"/>
              <w:right w:val="single" w:sz="4" w:space="0" w:color="auto"/>
            </w:tcBorders>
          </w:tcPr>
          <w:p w14:paraId="70237418"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53.2</w:t>
            </w:r>
          </w:p>
        </w:tc>
      </w:tr>
      <w:tr w:rsidR="004508A9" w:rsidRPr="00582A6A" w14:paraId="29E8ACDF" w14:textId="77777777" w:rsidTr="00BD2944">
        <w:trPr>
          <w:trHeight w:val="417"/>
          <w:jc w:val="center"/>
        </w:trPr>
        <w:tc>
          <w:tcPr>
            <w:tcW w:w="696" w:type="dxa"/>
            <w:tcBorders>
              <w:top w:val="nil"/>
              <w:left w:val="single" w:sz="4" w:space="0" w:color="auto"/>
              <w:bottom w:val="nil"/>
              <w:right w:val="single" w:sz="4" w:space="0" w:color="auto"/>
            </w:tcBorders>
          </w:tcPr>
          <w:p w14:paraId="28C917E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ICC </w:t>
            </w:r>
            <w:r w:rsidRPr="00582A6A">
              <w:rPr>
                <w:rFonts w:ascii="Times New Roman" w:hAnsi="Times New Roman" w:cs="Times New Roman"/>
                <w:sz w:val="14"/>
                <w:szCs w:val="18"/>
                <w:lang w:val="en-GB"/>
              </w:rPr>
              <w:t>(95% CI)</w:t>
            </w:r>
          </w:p>
        </w:tc>
        <w:tc>
          <w:tcPr>
            <w:tcW w:w="959" w:type="dxa"/>
            <w:gridSpan w:val="2"/>
            <w:tcBorders>
              <w:top w:val="nil"/>
              <w:left w:val="single" w:sz="4" w:space="0" w:color="auto"/>
              <w:bottom w:val="nil"/>
              <w:right w:val="nil"/>
            </w:tcBorders>
          </w:tcPr>
          <w:p w14:paraId="45A7FE18"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0.25 (-0.08-0.53)</w:t>
            </w:r>
          </w:p>
        </w:tc>
        <w:tc>
          <w:tcPr>
            <w:tcW w:w="974" w:type="dxa"/>
            <w:gridSpan w:val="2"/>
            <w:tcBorders>
              <w:top w:val="nil"/>
              <w:left w:val="nil"/>
              <w:bottom w:val="nil"/>
              <w:right w:val="nil"/>
            </w:tcBorders>
          </w:tcPr>
          <w:p w14:paraId="58CBC97E"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0.61 (0.36-0.78)</w:t>
            </w:r>
          </w:p>
        </w:tc>
        <w:tc>
          <w:tcPr>
            <w:tcW w:w="974" w:type="dxa"/>
            <w:gridSpan w:val="2"/>
            <w:tcBorders>
              <w:top w:val="nil"/>
              <w:left w:val="nil"/>
              <w:bottom w:val="nil"/>
              <w:right w:val="nil"/>
            </w:tcBorders>
          </w:tcPr>
          <w:p w14:paraId="1CFDBA65"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0.43 (0.10-0.66)</w:t>
            </w:r>
          </w:p>
        </w:tc>
        <w:tc>
          <w:tcPr>
            <w:tcW w:w="976" w:type="dxa"/>
            <w:gridSpan w:val="2"/>
            <w:tcBorders>
              <w:top w:val="nil"/>
              <w:left w:val="nil"/>
              <w:bottom w:val="nil"/>
              <w:right w:val="nil"/>
            </w:tcBorders>
          </w:tcPr>
          <w:p w14:paraId="4CE48371"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0.63 (0.38-0.79)</w:t>
            </w:r>
          </w:p>
        </w:tc>
        <w:tc>
          <w:tcPr>
            <w:tcW w:w="976" w:type="dxa"/>
            <w:gridSpan w:val="2"/>
            <w:tcBorders>
              <w:top w:val="nil"/>
              <w:left w:val="nil"/>
              <w:bottom w:val="nil"/>
              <w:right w:val="nil"/>
            </w:tcBorders>
          </w:tcPr>
          <w:p w14:paraId="75935C37"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0.66 (0.43-0.81)</w:t>
            </w:r>
          </w:p>
        </w:tc>
        <w:tc>
          <w:tcPr>
            <w:tcW w:w="976" w:type="dxa"/>
            <w:gridSpan w:val="2"/>
            <w:tcBorders>
              <w:top w:val="nil"/>
              <w:left w:val="nil"/>
              <w:bottom w:val="nil"/>
              <w:right w:val="nil"/>
            </w:tcBorders>
          </w:tcPr>
          <w:p w14:paraId="3145A5D7"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0.22 (-0.08-0.50)</w:t>
            </w:r>
          </w:p>
        </w:tc>
        <w:tc>
          <w:tcPr>
            <w:tcW w:w="976" w:type="dxa"/>
            <w:gridSpan w:val="2"/>
            <w:tcBorders>
              <w:top w:val="nil"/>
              <w:left w:val="nil"/>
              <w:bottom w:val="nil"/>
              <w:right w:val="nil"/>
            </w:tcBorders>
          </w:tcPr>
          <w:p w14:paraId="57F7E652"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0.64 (0.41-0.80)</w:t>
            </w:r>
          </w:p>
        </w:tc>
        <w:tc>
          <w:tcPr>
            <w:tcW w:w="976" w:type="dxa"/>
            <w:gridSpan w:val="2"/>
            <w:tcBorders>
              <w:top w:val="nil"/>
              <w:left w:val="nil"/>
              <w:bottom w:val="nil"/>
              <w:right w:val="nil"/>
            </w:tcBorders>
          </w:tcPr>
          <w:p w14:paraId="5C4BC0FD"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0.56 (0.29-0.75)</w:t>
            </w:r>
          </w:p>
        </w:tc>
        <w:tc>
          <w:tcPr>
            <w:tcW w:w="976" w:type="dxa"/>
            <w:gridSpan w:val="2"/>
            <w:tcBorders>
              <w:top w:val="nil"/>
              <w:left w:val="nil"/>
              <w:bottom w:val="nil"/>
              <w:right w:val="single" w:sz="4" w:space="0" w:color="auto"/>
            </w:tcBorders>
          </w:tcPr>
          <w:p w14:paraId="613784A6"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0.62 (0.37-0.79)</w:t>
            </w:r>
          </w:p>
        </w:tc>
      </w:tr>
      <w:tr w:rsidR="004508A9" w:rsidRPr="00582A6A" w14:paraId="5121CA22" w14:textId="77777777" w:rsidTr="00BD2944">
        <w:trPr>
          <w:trHeight w:val="303"/>
          <w:jc w:val="center"/>
        </w:trPr>
        <w:tc>
          <w:tcPr>
            <w:tcW w:w="696" w:type="dxa"/>
            <w:tcBorders>
              <w:top w:val="nil"/>
              <w:left w:val="single" w:sz="4" w:space="0" w:color="auto"/>
              <w:bottom w:val="single" w:sz="4" w:space="0" w:color="auto"/>
              <w:right w:val="single" w:sz="4" w:space="0" w:color="auto"/>
            </w:tcBorders>
          </w:tcPr>
          <w:p w14:paraId="5E3CB54F" w14:textId="77777777" w:rsidR="004508A9" w:rsidRPr="00582A6A" w:rsidRDefault="004508A9" w:rsidP="00BD2944">
            <w:pPr>
              <w:rPr>
                <w:rFonts w:ascii="Times New Roman" w:hAnsi="Times New Roman" w:cs="Times New Roman"/>
                <w:sz w:val="14"/>
                <w:szCs w:val="20"/>
                <w:lang w:val="en-GB"/>
              </w:rPr>
            </w:pPr>
            <w:proofErr w:type="gramStart"/>
            <w:r w:rsidRPr="00582A6A">
              <w:rPr>
                <w:rFonts w:ascii="Times New Roman" w:hAnsi="Times New Roman" w:cs="Times New Roman"/>
                <w:i/>
                <w:sz w:val="14"/>
                <w:szCs w:val="20"/>
                <w:lang w:val="en-GB"/>
              </w:rPr>
              <w:t>p</w:t>
            </w:r>
            <w:proofErr w:type="gramEnd"/>
            <w:r w:rsidRPr="00582A6A">
              <w:rPr>
                <w:rFonts w:ascii="Times New Roman" w:hAnsi="Times New Roman" w:cs="Times New Roman"/>
                <w:sz w:val="14"/>
                <w:szCs w:val="20"/>
                <w:lang w:val="en-GB"/>
              </w:rPr>
              <w:t>-value</w:t>
            </w:r>
          </w:p>
        </w:tc>
        <w:tc>
          <w:tcPr>
            <w:tcW w:w="959" w:type="dxa"/>
            <w:gridSpan w:val="2"/>
            <w:tcBorders>
              <w:top w:val="nil"/>
              <w:left w:val="single" w:sz="4" w:space="0" w:color="auto"/>
              <w:bottom w:val="single" w:sz="4" w:space="0" w:color="auto"/>
              <w:right w:val="nil"/>
            </w:tcBorders>
          </w:tcPr>
          <w:p w14:paraId="5A0490C8"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0.20</w:t>
            </w:r>
          </w:p>
        </w:tc>
        <w:tc>
          <w:tcPr>
            <w:tcW w:w="974" w:type="dxa"/>
            <w:gridSpan w:val="2"/>
            <w:tcBorders>
              <w:top w:val="nil"/>
              <w:left w:val="nil"/>
              <w:bottom w:val="single" w:sz="4" w:space="0" w:color="auto"/>
              <w:right w:val="nil"/>
            </w:tcBorders>
          </w:tcPr>
          <w:p w14:paraId="7C3336DF"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0.38</w:t>
            </w:r>
          </w:p>
        </w:tc>
        <w:tc>
          <w:tcPr>
            <w:tcW w:w="974" w:type="dxa"/>
            <w:gridSpan w:val="2"/>
            <w:tcBorders>
              <w:top w:val="nil"/>
              <w:left w:val="nil"/>
              <w:bottom w:val="single" w:sz="4" w:space="0" w:color="auto"/>
              <w:right w:val="nil"/>
            </w:tcBorders>
          </w:tcPr>
          <w:p w14:paraId="53CD10A2"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0.42</w:t>
            </w:r>
          </w:p>
        </w:tc>
        <w:tc>
          <w:tcPr>
            <w:tcW w:w="976" w:type="dxa"/>
            <w:gridSpan w:val="2"/>
            <w:tcBorders>
              <w:top w:val="nil"/>
              <w:left w:val="nil"/>
              <w:bottom w:val="single" w:sz="4" w:space="0" w:color="auto"/>
              <w:right w:val="nil"/>
            </w:tcBorders>
          </w:tcPr>
          <w:p w14:paraId="7D03E7FF"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0.25</w:t>
            </w:r>
          </w:p>
        </w:tc>
        <w:tc>
          <w:tcPr>
            <w:tcW w:w="976" w:type="dxa"/>
            <w:gridSpan w:val="2"/>
            <w:tcBorders>
              <w:top w:val="nil"/>
              <w:left w:val="nil"/>
              <w:bottom w:val="single" w:sz="4" w:space="0" w:color="auto"/>
              <w:right w:val="nil"/>
            </w:tcBorders>
          </w:tcPr>
          <w:p w14:paraId="19E816FA"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0.29</w:t>
            </w:r>
          </w:p>
        </w:tc>
        <w:tc>
          <w:tcPr>
            <w:tcW w:w="976" w:type="dxa"/>
            <w:gridSpan w:val="2"/>
            <w:tcBorders>
              <w:top w:val="nil"/>
              <w:left w:val="nil"/>
              <w:bottom w:val="single" w:sz="4" w:space="0" w:color="auto"/>
              <w:right w:val="nil"/>
            </w:tcBorders>
          </w:tcPr>
          <w:p w14:paraId="77C639AD"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0.06</w:t>
            </w:r>
          </w:p>
        </w:tc>
        <w:tc>
          <w:tcPr>
            <w:tcW w:w="976" w:type="dxa"/>
            <w:gridSpan w:val="2"/>
            <w:tcBorders>
              <w:top w:val="nil"/>
              <w:left w:val="nil"/>
              <w:bottom w:val="single" w:sz="4" w:space="0" w:color="auto"/>
              <w:right w:val="nil"/>
            </w:tcBorders>
          </w:tcPr>
          <w:p w14:paraId="0A9F9F48"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0.20</w:t>
            </w:r>
          </w:p>
        </w:tc>
        <w:tc>
          <w:tcPr>
            <w:tcW w:w="976" w:type="dxa"/>
            <w:gridSpan w:val="2"/>
            <w:tcBorders>
              <w:top w:val="nil"/>
              <w:left w:val="nil"/>
              <w:bottom w:val="single" w:sz="4" w:space="0" w:color="auto"/>
              <w:right w:val="nil"/>
            </w:tcBorders>
          </w:tcPr>
          <w:p w14:paraId="28AE4355"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0.26</w:t>
            </w:r>
          </w:p>
        </w:tc>
        <w:tc>
          <w:tcPr>
            <w:tcW w:w="976" w:type="dxa"/>
            <w:gridSpan w:val="2"/>
            <w:tcBorders>
              <w:top w:val="nil"/>
              <w:left w:val="nil"/>
              <w:bottom w:val="single" w:sz="4" w:space="0" w:color="auto"/>
              <w:right w:val="single" w:sz="4" w:space="0" w:color="auto"/>
            </w:tcBorders>
          </w:tcPr>
          <w:p w14:paraId="4059D3DE"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0.34</w:t>
            </w:r>
          </w:p>
        </w:tc>
      </w:tr>
      <w:tr w:rsidR="004508A9" w:rsidRPr="00582A6A" w14:paraId="76768A3D" w14:textId="77777777" w:rsidTr="00BD2944">
        <w:trPr>
          <w:trHeight w:val="285"/>
          <w:jc w:val="center"/>
        </w:trPr>
        <w:tc>
          <w:tcPr>
            <w:tcW w:w="9459" w:type="dxa"/>
            <w:gridSpan w:val="19"/>
            <w:tcBorders>
              <w:left w:val="single" w:sz="4" w:space="0" w:color="auto"/>
              <w:bottom w:val="single" w:sz="4" w:space="0" w:color="auto"/>
              <w:right w:val="single" w:sz="4" w:space="0" w:color="auto"/>
            </w:tcBorders>
            <w:vAlign w:val="center"/>
          </w:tcPr>
          <w:p w14:paraId="18545611" w14:textId="77777777" w:rsidR="004508A9" w:rsidRPr="00582A6A" w:rsidRDefault="004508A9" w:rsidP="00BD2944">
            <w:pPr>
              <w:jc w:val="center"/>
              <w:rPr>
                <w:rFonts w:ascii="Times New Roman" w:hAnsi="Times New Roman" w:cs="Times New Roman"/>
                <w:sz w:val="14"/>
                <w:szCs w:val="24"/>
                <w:lang w:val="en-GB"/>
              </w:rPr>
            </w:pPr>
            <w:r w:rsidRPr="00582A6A">
              <w:rPr>
                <w:rFonts w:ascii="Times New Roman" w:hAnsi="Times New Roman" w:cs="Times New Roman"/>
                <w:sz w:val="14"/>
                <w:szCs w:val="24"/>
                <w:lang w:val="en-GB"/>
              </w:rPr>
              <w:t>Semitendinosus</w:t>
            </w:r>
          </w:p>
        </w:tc>
      </w:tr>
      <w:tr w:rsidR="004508A9" w:rsidRPr="00582A6A" w14:paraId="2350E7BE" w14:textId="77777777" w:rsidTr="00BD2944">
        <w:trPr>
          <w:jc w:val="center"/>
        </w:trPr>
        <w:tc>
          <w:tcPr>
            <w:tcW w:w="696" w:type="dxa"/>
            <w:tcBorders>
              <w:left w:val="nil"/>
              <w:bottom w:val="nil"/>
              <w:right w:val="single" w:sz="4" w:space="0" w:color="auto"/>
            </w:tcBorders>
          </w:tcPr>
          <w:p w14:paraId="3CA22B9D" w14:textId="77777777" w:rsidR="004508A9" w:rsidRPr="00582A6A" w:rsidRDefault="004508A9" w:rsidP="00BD2944">
            <w:pPr>
              <w:rPr>
                <w:rFonts w:ascii="Times New Roman" w:hAnsi="Times New Roman" w:cs="Times New Roman"/>
                <w:sz w:val="14"/>
                <w:lang w:val="en-GB"/>
              </w:rPr>
            </w:pPr>
          </w:p>
        </w:tc>
        <w:tc>
          <w:tcPr>
            <w:tcW w:w="959" w:type="dxa"/>
            <w:gridSpan w:val="2"/>
            <w:tcBorders>
              <w:left w:val="single" w:sz="4" w:space="0" w:color="auto"/>
              <w:right w:val="nil"/>
            </w:tcBorders>
          </w:tcPr>
          <w:p w14:paraId="346FFDC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90°</w:t>
            </w:r>
          </w:p>
        </w:tc>
        <w:tc>
          <w:tcPr>
            <w:tcW w:w="974" w:type="dxa"/>
            <w:gridSpan w:val="2"/>
            <w:tcBorders>
              <w:left w:val="nil"/>
              <w:right w:val="nil"/>
            </w:tcBorders>
          </w:tcPr>
          <w:p w14:paraId="476789AB"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90°</w:t>
            </w:r>
          </w:p>
        </w:tc>
        <w:tc>
          <w:tcPr>
            <w:tcW w:w="974" w:type="dxa"/>
            <w:gridSpan w:val="2"/>
            <w:tcBorders>
              <w:left w:val="nil"/>
              <w:right w:val="nil"/>
            </w:tcBorders>
          </w:tcPr>
          <w:p w14:paraId="6A193EC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90°</w:t>
            </w:r>
          </w:p>
        </w:tc>
        <w:tc>
          <w:tcPr>
            <w:tcW w:w="976" w:type="dxa"/>
            <w:gridSpan w:val="2"/>
            <w:tcBorders>
              <w:left w:val="nil"/>
              <w:right w:val="nil"/>
            </w:tcBorders>
          </w:tcPr>
          <w:p w14:paraId="658B754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60°</w:t>
            </w:r>
          </w:p>
        </w:tc>
        <w:tc>
          <w:tcPr>
            <w:tcW w:w="976" w:type="dxa"/>
            <w:gridSpan w:val="2"/>
            <w:tcBorders>
              <w:left w:val="nil"/>
              <w:right w:val="nil"/>
            </w:tcBorders>
          </w:tcPr>
          <w:p w14:paraId="321FC63E"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60°</w:t>
            </w:r>
          </w:p>
        </w:tc>
        <w:tc>
          <w:tcPr>
            <w:tcW w:w="976" w:type="dxa"/>
            <w:gridSpan w:val="2"/>
            <w:tcBorders>
              <w:left w:val="nil"/>
              <w:right w:val="nil"/>
            </w:tcBorders>
          </w:tcPr>
          <w:p w14:paraId="0805060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60°</w:t>
            </w:r>
          </w:p>
        </w:tc>
        <w:tc>
          <w:tcPr>
            <w:tcW w:w="976" w:type="dxa"/>
            <w:gridSpan w:val="2"/>
            <w:tcBorders>
              <w:left w:val="nil"/>
              <w:right w:val="nil"/>
            </w:tcBorders>
          </w:tcPr>
          <w:p w14:paraId="43C400C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NP 30°</w:t>
            </w:r>
          </w:p>
        </w:tc>
        <w:tc>
          <w:tcPr>
            <w:tcW w:w="976" w:type="dxa"/>
            <w:gridSpan w:val="2"/>
            <w:tcBorders>
              <w:left w:val="nil"/>
              <w:right w:val="nil"/>
            </w:tcBorders>
          </w:tcPr>
          <w:p w14:paraId="515F60EF"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MR 30°</w:t>
            </w:r>
          </w:p>
        </w:tc>
        <w:tc>
          <w:tcPr>
            <w:tcW w:w="976" w:type="dxa"/>
            <w:gridSpan w:val="2"/>
            <w:tcBorders>
              <w:left w:val="nil"/>
              <w:right w:val="single" w:sz="4" w:space="0" w:color="auto"/>
            </w:tcBorders>
          </w:tcPr>
          <w:p w14:paraId="53168DF6"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LR 30°</w:t>
            </w:r>
          </w:p>
        </w:tc>
      </w:tr>
      <w:tr w:rsidR="004508A9" w:rsidRPr="00582A6A" w14:paraId="24DD7D00" w14:textId="77777777" w:rsidTr="00BD2944">
        <w:trPr>
          <w:jc w:val="center"/>
        </w:trPr>
        <w:tc>
          <w:tcPr>
            <w:tcW w:w="696" w:type="dxa"/>
            <w:tcBorders>
              <w:top w:val="nil"/>
              <w:left w:val="nil"/>
              <w:bottom w:val="single" w:sz="4" w:space="0" w:color="auto"/>
              <w:right w:val="single" w:sz="4" w:space="0" w:color="auto"/>
            </w:tcBorders>
          </w:tcPr>
          <w:p w14:paraId="71D72189" w14:textId="77777777" w:rsidR="004508A9" w:rsidRPr="00582A6A" w:rsidRDefault="004508A9" w:rsidP="00BD2944">
            <w:pPr>
              <w:rPr>
                <w:rFonts w:ascii="Times New Roman" w:hAnsi="Times New Roman" w:cs="Times New Roman"/>
                <w:sz w:val="14"/>
                <w:lang w:val="en-GB"/>
              </w:rPr>
            </w:pPr>
          </w:p>
        </w:tc>
        <w:tc>
          <w:tcPr>
            <w:tcW w:w="472" w:type="dxa"/>
            <w:tcBorders>
              <w:left w:val="single" w:sz="4" w:space="0" w:color="auto"/>
              <w:bottom w:val="single" w:sz="4" w:space="0" w:color="auto"/>
              <w:right w:val="nil"/>
            </w:tcBorders>
          </w:tcPr>
          <w:p w14:paraId="652E89D7"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456AEDB9"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322EAC46"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4393B9A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1545BBF8"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7" w:type="dxa"/>
            <w:tcBorders>
              <w:left w:val="nil"/>
              <w:bottom w:val="single" w:sz="4" w:space="0" w:color="auto"/>
              <w:right w:val="nil"/>
            </w:tcBorders>
          </w:tcPr>
          <w:p w14:paraId="2F48E872"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1B0A1E9B"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6E44D4D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61A5D5E1"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320B0529"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6BD1C95D"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6A26DBF6"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6FD14AD9"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B3168E8"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419272B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2A476F3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nil"/>
            </w:tcBorders>
          </w:tcPr>
          <w:p w14:paraId="11821BD9"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1</w:t>
            </w:r>
            <w:r w:rsidRPr="00582A6A">
              <w:rPr>
                <w:rFonts w:ascii="Times New Roman" w:hAnsi="Times New Roman" w:cs="Times New Roman"/>
                <w:sz w:val="14"/>
                <w:szCs w:val="18"/>
                <w:vertAlign w:val="superscript"/>
                <w:lang w:val="en-GB"/>
              </w:rPr>
              <w:t>st</w:t>
            </w:r>
            <w:r w:rsidRPr="00582A6A">
              <w:rPr>
                <w:rFonts w:ascii="Times New Roman" w:hAnsi="Times New Roman" w:cs="Times New Roman"/>
                <w:sz w:val="14"/>
                <w:szCs w:val="18"/>
                <w:lang w:val="en-GB"/>
              </w:rPr>
              <w:t xml:space="preserve"> test</w:t>
            </w:r>
          </w:p>
        </w:tc>
        <w:tc>
          <w:tcPr>
            <w:tcW w:w="488" w:type="dxa"/>
            <w:tcBorders>
              <w:left w:val="nil"/>
              <w:bottom w:val="single" w:sz="4" w:space="0" w:color="auto"/>
              <w:right w:val="single" w:sz="4" w:space="0" w:color="auto"/>
            </w:tcBorders>
          </w:tcPr>
          <w:p w14:paraId="47731445" w14:textId="77777777" w:rsidR="004508A9" w:rsidRPr="00582A6A" w:rsidRDefault="004508A9" w:rsidP="00BD2944">
            <w:pPr>
              <w:rPr>
                <w:rFonts w:ascii="Times New Roman" w:hAnsi="Times New Roman" w:cs="Times New Roman"/>
                <w:sz w:val="14"/>
                <w:szCs w:val="18"/>
                <w:lang w:val="en-GB"/>
              </w:rPr>
            </w:pPr>
            <w:r w:rsidRPr="00582A6A">
              <w:rPr>
                <w:rFonts w:ascii="Times New Roman" w:hAnsi="Times New Roman" w:cs="Times New Roman"/>
                <w:sz w:val="14"/>
                <w:szCs w:val="18"/>
                <w:lang w:val="en-GB"/>
              </w:rPr>
              <w:t>2</w:t>
            </w:r>
            <w:r w:rsidRPr="00582A6A">
              <w:rPr>
                <w:rFonts w:ascii="Times New Roman" w:hAnsi="Times New Roman" w:cs="Times New Roman"/>
                <w:sz w:val="14"/>
                <w:szCs w:val="18"/>
                <w:vertAlign w:val="superscript"/>
                <w:lang w:val="en-GB"/>
              </w:rPr>
              <w:t>nd</w:t>
            </w:r>
            <w:r w:rsidRPr="00582A6A">
              <w:rPr>
                <w:rFonts w:ascii="Times New Roman" w:hAnsi="Times New Roman" w:cs="Times New Roman"/>
                <w:sz w:val="14"/>
                <w:szCs w:val="18"/>
                <w:lang w:val="en-GB"/>
              </w:rPr>
              <w:t xml:space="preserve"> test</w:t>
            </w:r>
          </w:p>
        </w:tc>
      </w:tr>
      <w:tr w:rsidR="004508A9" w:rsidRPr="00582A6A" w14:paraId="1D3D3F69" w14:textId="77777777" w:rsidTr="00BD2944">
        <w:trPr>
          <w:trHeight w:val="187"/>
          <w:jc w:val="center"/>
        </w:trPr>
        <w:tc>
          <w:tcPr>
            <w:tcW w:w="696" w:type="dxa"/>
            <w:tcBorders>
              <w:left w:val="single" w:sz="4" w:space="0" w:color="auto"/>
              <w:bottom w:val="nil"/>
              <w:right w:val="single" w:sz="4" w:space="0" w:color="auto"/>
            </w:tcBorders>
          </w:tcPr>
          <w:p w14:paraId="60112BFC"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Mean </w:t>
            </w:r>
            <w:r w:rsidRPr="00582A6A">
              <w:rPr>
                <w:rFonts w:ascii="Times New Roman" w:hAnsi="Times New Roman" w:cs="Times New Roman"/>
                <w:sz w:val="12"/>
                <w:szCs w:val="20"/>
                <w:lang w:val="en-GB"/>
              </w:rPr>
              <w:t>(%MVA)</w:t>
            </w:r>
          </w:p>
        </w:tc>
        <w:tc>
          <w:tcPr>
            <w:tcW w:w="472" w:type="dxa"/>
            <w:tcBorders>
              <w:left w:val="single" w:sz="4" w:space="0" w:color="auto"/>
              <w:bottom w:val="nil"/>
              <w:right w:val="nil"/>
            </w:tcBorders>
          </w:tcPr>
          <w:p w14:paraId="0DD14B3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80.0</w:t>
            </w:r>
          </w:p>
        </w:tc>
        <w:tc>
          <w:tcPr>
            <w:tcW w:w="487" w:type="dxa"/>
            <w:tcBorders>
              <w:left w:val="nil"/>
              <w:bottom w:val="nil"/>
              <w:right w:val="nil"/>
            </w:tcBorders>
          </w:tcPr>
          <w:p w14:paraId="313F9A08"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85.1</w:t>
            </w:r>
          </w:p>
        </w:tc>
        <w:tc>
          <w:tcPr>
            <w:tcW w:w="487" w:type="dxa"/>
            <w:tcBorders>
              <w:left w:val="nil"/>
              <w:bottom w:val="nil"/>
              <w:right w:val="nil"/>
            </w:tcBorders>
          </w:tcPr>
          <w:p w14:paraId="7004F3F4"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76.9</w:t>
            </w:r>
          </w:p>
        </w:tc>
        <w:tc>
          <w:tcPr>
            <w:tcW w:w="487" w:type="dxa"/>
            <w:tcBorders>
              <w:left w:val="nil"/>
              <w:bottom w:val="nil"/>
              <w:right w:val="nil"/>
            </w:tcBorders>
          </w:tcPr>
          <w:p w14:paraId="090FC9AF"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78.7</w:t>
            </w:r>
          </w:p>
        </w:tc>
        <w:tc>
          <w:tcPr>
            <w:tcW w:w="487" w:type="dxa"/>
            <w:tcBorders>
              <w:left w:val="nil"/>
              <w:bottom w:val="nil"/>
              <w:right w:val="nil"/>
            </w:tcBorders>
          </w:tcPr>
          <w:p w14:paraId="3DB903B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67.6</w:t>
            </w:r>
          </w:p>
        </w:tc>
        <w:tc>
          <w:tcPr>
            <w:tcW w:w="487" w:type="dxa"/>
            <w:tcBorders>
              <w:left w:val="nil"/>
              <w:bottom w:val="nil"/>
              <w:right w:val="nil"/>
            </w:tcBorders>
          </w:tcPr>
          <w:p w14:paraId="7DD10FDF"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67.6</w:t>
            </w:r>
          </w:p>
        </w:tc>
        <w:tc>
          <w:tcPr>
            <w:tcW w:w="488" w:type="dxa"/>
            <w:tcBorders>
              <w:left w:val="nil"/>
              <w:bottom w:val="nil"/>
              <w:right w:val="nil"/>
            </w:tcBorders>
          </w:tcPr>
          <w:p w14:paraId="585AD04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72.9</w:t>
            </w:r>
          </w:p>
        </w:tc>
        <w:tc>
          <w:tcPr>
            <w:tcW w:w="488" w:type="dxa"/>
            <w:tcBorders>
              <w:left w:val="nil"/>
              <w:bottom w:val="nil"/>
              <w:right w:val="nil"/>
            </w:tcBorders>
          </w:tcPr>
          <w:p w14:paraId="2EF50DC9"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77.5</w:t>
            </w:r>
          </w:p>
        </w:tc>
        <w:tc>
          <w:tcPr>
            <w:tcW w:w="488" w:type="dxa"/>
            <w:tcBorders>
              <w:left w:val="nil"/>
              <w:bottom w:val="nil"/>
              <w:right w:val="nil"/>
            </w:tcBorders>
          </w:tcPr>
          <w:p w14:paraId="0A1E9145"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72.7</w:t>
            </w:r>
          </w:p>
        </w:tc>
        <w:tc>
          <w:tcPr>
            <w:tcW w:w="488" w:type="dxa"/>
            <w:tcBorders>
              <w:left w:val="nil"/>
              <w:bottom w:val="nil"/>
              <w:right w:val="nil"/>
            </w:tcBorders>
          </w:tcPr>
          <w:p w14:paraId="51B7AED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76.0</w:t>
            </w:r>
          </w:p>
        </w:tc>
        <w:tc>
          <w:tcPr>
            <w:tcW w:w="488" w:type="dxa"/>
            <w:tcBorders>
              <w:left w:val="nil"/>
              <w:bottom w:val="nil"/>
              <w:right w:val="nil"/>
            </w:tcBorders>
          </w:tcPr>
          <w:p w14:paraId="0EBBB02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61.7</w:t>
            </w:r>
          </w:p>
        </w:tc>
        <w:tc>
          <w:tcPr>
            <w:tcW w:w="488" w:type="dxa"/>
            <w:tcBorders>
              <w:left w:val="nil"/>
              <w:bottom w:val="nil"/>
              <w:right w:val="nil"/>
            </w:tcBorders>
          </w:tcPr>
          <w:p w14:paraId="51624CB1"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62.7</w:t>
            </w:r>
          </w:p>
        </w:tc>
        <w:tc>
          <w:tcPr>
            <w:tcW w:w="488" w:type="dxa"/>
            <w:tcBorders>
              <w:left w:val="nil"/>
              <w:bottom w:val="nil"/>
              <w:right w:val="nil"/>
            </w:tcBorders>
          </w:tcPr>
          <w:p w14:paraId="432511C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68.1</w:t>
            </w:r>
          </w:p>
        </w:tc>
        <w:tc>
          <w:tcPr>
            <w:tcW w:w="488" w:type="dxa"/>
            <w:tcBorders>
              <w:left w:val="nil"/>
              <w:bottom w:val="nil"/>
              <w:right w:val="nil"/>
            </w:tcBorders>
          </w:tcPr>
          <w:p w14:paraId="00287D61"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64.9</w:t>
            </w:r>
          </w:p>
        </w:tc>
        <w:tc>
          <w:tcPr>
            <w:tcW w:w="488" w:type="dxa"/>
            <w:tcBorders>
              <w:left w:val="nil"/>
              <w:bottom w:val="nil"/>
              <w:right w:val="nil"/>
            </w:tcBorders>
          </w:tcPr>
          <w:p w14:paraId="2C5EA38B"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73.3</w:t>
            </w:r>
          </w:p>
        </w:tc>
        <w:tc>
          <w:tcPr>
            <w:tcW w:w="488" w:type="dxa"/>
            <w:tcBorders>
              <w:left w:val="nil"/>
              <w:bottom w:val="nil"/>
              <w:right w:val="nil"/>
            </w:tcBorders>
          </w:tcPr>
          <w:p w14:paraId="45B4D2E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67.9</w:t>
            </w:r>
          </w:p>
        </w:tc>
        <w:tc>
          <w:tcPr>
            <w:tcW w:w="488" w:type="dxa"/>
            <w:tcBorders>
              <w:left w:val="nil"/>
              <w:bottom w:val="nil"/>
              <w:right w:val="nil"/>
            </w:tcBorders>
          </w:tcPr>
          <w:p w14:paraId="450BD41D"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55.2</w:t>
            </w:r>
          </w:p>
        </w:tc>
        <w:tc>
          <w:tcPr>
            <w:tcW w:w="488" w:type="dxa"/>
            <w:tcBorders>
              <w:left w:val="nil"/>
              <w:bottom w:val="nil"/>
              <w:right w:val="single" w:sz="4" w:space="0" w:color="auto"/>
            </w:tcBorders>
          </w:tcPr>
          <w:p w14:paraId="71D5417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56.7</w:t>
            </w:r>
          </w:p>
        </w:tc>
      </w:tr>
      <w:tr w:rsidR="004508A9" w:rsidRPr="00582A6A" w14:paraId="2D768835" w14:textId="77777777" w:rsidTr="00BD2944">
        <w:trPr>
          <w:trHeight w:val="299"/>
          <w:jc w:val="center"/>
        </w:trPr>
        <w:tc>
          <w:tcPr>
            <w:tcW w:w="696" w:type="dxa"/>
            <w:tcBorders>
              <w:top w:val="nil"/>
              <w:left w:val="single" w:sz="4" w:space="0" w:color="auto"/>
              <w:bottom w:val="nil"/>
              <w:right w:val="single" w:sz="4" w:space="0" w:color="auto"/>
            </w:tcBorders>
          </w:tcPr>
          <w:p w14:paraId="51B6563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SD </w:t>
            </w:r>
            <w:r w:rsidRPr="00582A6A">
              <w:rPr>
                <w:rFonts w:ascii="Times New Roman" w:hAnsi="Times New Roman" w:cs="Times New Roman"/>
                <w:sz w:val="12"/>
                <w:szCs w:val="20"/>
                <w:lang w:val="en-GB"/>
              </w:rPr>
              <w:t>(%MVA)</w:t>
            </w:r>
          </w:p>
        </w:tc>
        <w:tc>
          <w:tcPr>
            <w:tcW w:w="472" w:type="dxa"/>
            <w:tcBorders>
              <w:top w:val="nil"/>
              <w:left w:val="single" w:sz="4" w:space="0" w:color="auto"/>
              <w:bottom w:val="nil"/>
              <w:right w:val="nil"/>
            </w:tcBorders>
          </w:tcPr>
          <w:p w14:paraId="5B166939"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18.9</w:t>
            </w:r>
          </w:p>
        </w:tc>
        <w:tc>
          <w:tcPr>
            <w:tcW w:w="487" w:type="dxa"/>
            <w:tcBorders>
              <w:top w:val="nil"/>
              <w:left w:val="nil"/>
              <w:bottom w:val="nil"/>
              <w:right w:val="nil"/>
            </w:tcBorders>
          </w:tcPr>
          <w:p w14:paraId="05CFA978"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17.1</w:t>
            </w:r>
          </w:p>
        </w:tc>
        <w:tc>
          <w:tcPr>
            <w:tcW w:w="487" w:type="dxa"/>
            <w:tcBorders>
              <w:top w:val="nil"/>
              <w:left w:val="nil"/>
              <w:bottom w:val="nil"/>
              <w:right w:val="nil"/>
            </w:tcBorders>
          </w:tcPr>
          <w:p w14:paraId="0AA51A71"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18.1</w:t>
            </w:r>
          </w:p>
        </w:tc>
        <w:tc>
          <w:tcPr>
            <w:tcW w:w="487" w:type="dxa"/>
            <w:tcBorders>
              <w:top w:val="nil"/>
              <w:left w:val="nil"/>
              <w:bottom w:val="nil"/>
              <w:right w:val="nil"/>
            </w:tcBorders>
          </w:tcPr>
          <w:p w14:paraId="7AF41D3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17.3</w:t>
            </w:r>
          </w:p>
        </w:tc>
        <w:tc>
          <w:tcPr>
            <w:tcW w:w="487" w:type="dxa"/>
            <w:tcBorders>
              <w:top w:val="nil"/>
              <w:left w:val="nil"/>
              <w:bottom w:val="nil"/>
              <w:right w:val="nil"/>
            </w:tcBorders>
          </w:tcPr>
          <w:p w14:paraId="0211C1B8"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23.1</w:t>
            </w:r>
          </w:p>
        </w:tc>
        <w:tc>
          <w:tcPr>
            <w:tcW w:w="487" w:type="dxa"/>
            <w:tcBorders>
              <w:top w:val="nil"/>
              <w:left w:val="nil"/>
              <w:bottom w:val="nil"/>
              <w:right w:val="nil"/>
            </w:tcBorders>
          </w:tcPr>
          <w:p w14:paraId="7E415155"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20.1</w:t>
            </w:r>
          </w:p>
        </w:tc>
        <w:tc>
          <w:tcPr>
            <w:tcW w:w="488" w:type="dxa"/>
            <w:tcBorders>
              <w:top w:val="nil"/>
              <w:left w:val="nil"/>
              <w:bottom w:val="nil"/>
              <w:right w:val="nil"/>
            </w:tcBorders>
          </w:tcPr>
          <w:p w14:paraId="2ADA3181"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19.7</w:t>
            </w:r>
          </w:p>
        </w:tc>
        <w:tc>
          <w:tcPr>
            <w:tcW w:w="488" w:type="dxa"/>
            <w:tcBorders>
              <w:top w:val="nil"/>
              <w:left w:val="nil"/>
              <w:bottom w:val="nil"/>
              <w:right w:val="nil"/>
            </w:tcBorders>
          </w:tcPr>
          <w:p w14:paraId="0FA9E394"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21.5</w:t>
            </w:r>
          </w:p>
        </w:tc>
        <w:tc>
          <w:tcPr>
            <w:tcW w:w="488" w:type="dxa"/>
            <w:tcBorders>
              <w:top w:val="nil"/>
              <w:left w:val="nil"/>
              <w:bottom w:val="nil"/>
              <w:right w:val="nil"/>
            </w:tcBorders>
          </w:tcPr>
          <w:p w14:paraId="038C63B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19.1</w:t>
            </w:r>
          </w:p>
        </w:tc>
        <w:tc>
          <w:tcPr>
            <w:tcW w:w="488" w:type="dxa"/>
            <w:tcBorders>
              <w:top w:val="nil"/>
              <w:left w:val="nil"/>
              <w:bottom w:val="nil"/>
              <w:right w:val="nil"/>
            </w:tcBorders>
          </w:tcPr>
          <w:p w14:paraId="3BD9E069"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17.1</w:t>
            </w:r>
          </w:p>
        </w:tc>
        <w:tc>
          <w:tcPr>
            <w:tcW w:w="488" w:type="dxa"/>
            <w:tcBorders>
              <w:top w:val="nil"/>
              <w:left w:val="nil"/>
              <w:bottom w:val="nil"/>
              <w:right w:val="nil"/>
            </w:tcBorders>
          </w:tcPr>
          <w:p w14:paraId="3082E4D4"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17.2</w:t>
            </w:r>
          </w:p>
        </w:tc>
        <w:tc>
          <w:tcPr>
            <w:tcW w:w="488" w:type="dxa"/>
            <w:tcBorders>
              <w:top w:val="nil"/>
              <w:left w:val="nil"/>
              <w:bottom w:val="nil"/>
              <w:right w:val="nil"/>
            </w:tcBorders>
          </w:tcPr>
          <w:p w14:paraId="289153D6"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19.5</w:t>
            </w:r>
          </w:p>
        </w:tc>
        <w:tc>
          <w:tcPr>
            <w:tcW w:w="488" w:type="dxa"/>
            <w:tcBorders>
              <w:top w:val="nil"/>
              <w:left w:val="nil"/>
              <w:bottom w:val="nil"/>
              <w:right w:val="nil"/>
            </w:tcBorders>
          </w:tcPr>
          <w:p w14:paraId="6A4A02C5"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21.8</w:t>
            </w:r>
          </w:p>
        </w:tc>
        <w:tc>
          <w:tcPr>
            <w:tcW w:w="488" w:type="dxa"/>
            <w:tcBorders>
              <w:top w:val="nil"/>
              <w:left w:val="nil"/>
              <w:bottom w:val="nil"/>
              <w:right w:val="nil"/>
            </w:tcBorders>
          </w:tcPr>
          <w:p w14:paraId="34592B17"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21.9</w:t>
            </w:r>
          </w:p>
        </w:tc>
        <w:tc>
          <w:tcPr>
            <w:tcW w:w="488" w:type="dxa"/>
            <w:tcBorders>
              <w:top w:val="nil"/>
              <w:left w:val="nil"/>
              <w:bottom w:val="nil"/>
              <w:right w:val="nil"/>
            </w:tcBorders>
          </w:tcPr>
          <w:p w14:paraId="5BD6DDEE"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19.5</w:t>
            </w:r>
          </w:p>
        </w:tc>
        <w:tc>
          <w:tcPr>
            <w:tcW w:w="488" w:type="dxa"/>
            <w:tcBorders>
              <w:top w:val="nil"/>
              <w:left w:val="nil"/>
              <w:bottom w:val="nil"/>
              <w:right w:val="nil"/>
            </w:tcBorders>
          </w:tcPr>
          <w:p w14:paraId="5D0CE5BA"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18.4</w:t>
            </w:r>
          </w:p>
        </w:tc>
        <w:tc>
          <w:tcPr>
            <w:tcW w:w="488" w:type="dxa"/>
            <w:tcBorders>
              <w:top w:val="nil"/>
              <w:left w:val="nil"/>
              <w:bottom w:val="nil"/>
              <w:right w:val="nil"/>
            </w:tcBorders>
          </w:tcPr>
          <w:p w14:paraId="52D5EA7C"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19.8</w:t>
            </w:r>
          </w:p>
        </w:tc>
        <w:tc>
          <w:tcPr>
            <w:tcW w:w="488" w:type="dxa"/>
            <w:tcBorders>
              <w:top w:val="nil"/>
              <w:left w:val="nil"/>
              <w:bottom w:val="nil"/>
              <w:right w:val="single" w:sz="4" w:space="0" w:color="auto"/>
            </w:tcBorders>
          </w:tcPr>
          <w:p w14:paraId="73916FAF" w14:textId="77777777" w:rsidR="004508A9" w:rsidRPr="00582A6A" w:rsidRDefault="004508A9" w:rsidP="00BD2944">
            <w:pPr>
              <w:rPr>
                <w:rFonts w:ascii="Times New Roman" w:hAnsi="Times New Roman" w:cs="Times New Roman"/>
                <w:sz w:val="12"/>
                <w:szCs w:val="20"/>
                <w:lang w:val="en-GB"/>
              </w:rPr>
            </w:pPr>
            <w:r w:rsidRPr="00582A6A">
              <w:rPr>
                <w:rFonts w:ascii="Times New Roman" w:hAnsi="Times New Roman" w:cs="Times New Roman"/>
                <w:sz w:val="12"/>
                <w:szCs w:val="20"/>
                <w:lang w:val="en-GB"/>
              </w:rPr>
              <w:t>18.8</w:t>
            </w:r>
          </w:p>
        </w:tc>
      </w:tr>
      <w:tr w:rsidR="004508A9" w:rsidRPr="00582A6A" w14:paraId="5147BB3C" w14:textId="77777777" w:rsidTr="00BD2944">
        <w:trPr>
          <w:trHeight w:val="275"/>
          <w:jc w:val="center"/>
        </w:trPr>
        <w:tc>
          <w:tcPr>
            <w:tcW w:w="696" w:type="dxa"/>
            <w:tcBorders>
              <w:top w:val="nil"/>
              <w:left w:val="single" w:sz="4" w:space="0" w:color="auto"/>
              <w:bottom w:val="nil"/>
              <w:right w:val="single" w:sz="4" w:space="0" w:color="auto"/>
            </w:tcBorders>
          </w:tcPr>
          <w:p w14:paraId="37542801"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 xml:space="preserve">MDC </w:t>
            </w:r>
            <w:r w:rsidRPr="00582A6A">
              <w:rPr>
                <w:rFonts w:ascii="Times New Roman" w:hAnsi="Times New Roman" w:cs="Times New Roman"/>
                <w:sz w:val="12"/>
                <w:szCs w:val="20"/>
                <w:lang w:val="en-GB"/>
              </w:rPr>
              <w:t>(%MVA)</w:t>
            </w:r>
          </w:p>
        </w:tc>
        <w:tc>
          <w:tcPr>
            <w:tcW w:w="959" w:type="dxa"/>
            <w:gridSpan w:val="2"/>
            <w:tcBorders>
              <w:top w:val="nil"/>
              <w:left w:val="single" w:sz="4" w:space="0" w:color="auto"/>
              <w:bottom w:val="nil"/>
              <w:right w:val="nil"/>
            </w:tcBorders>
          </w:tcPr>
          <w:p w14:paraId="328F8488"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47.7</w:t>
            </w:r>
          </w:p>
        </w:tc>
        <w:tc>
          <w:tcPr>
            <w:tcW w:w="974" w:type="dxa"/>
            <w:gridSpan w:val="2"/>
            <w:tcBorders>
              <w:top w:val="nil"/>
              <w:left w:val="nil"/>
              <w:bottom w:val="nil"/>
              <w:right w:val="nil"/>
            </w:tcBorders>
          </w:tcPr>
          <w:p w14:paraId="46DC2AE6"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45.0</w:t>
            </w:r>
          </w:p>
        </w:tc>
        <w:tc>
          <w:tcPr>
            <w:tcW w:w="974" w:type="dxa"/>
            <w:gridSpan w:val="2"/>
            <w:tcBorders>
              <w:top w:val="nil"/>
              <w:left w:val="nil"/>
              <w:bottom w:val="nil"/>
              <w:right w:val="nil"/>
            </w:tcBorders>
          </w:tcPr>
          <w:p w14:paraId="07669D10"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56.1</w:t>
            </w:r>
          </w:p>
        </w:tc>
        <w:tc>
          <w:tcPr>
            <w:tcW w:w="976" w:type="dxa"/>
            <w:gridSpan w:val="2"/>
            <w:tcBorders>
              <w:top w:val="nil"/>
              <w:left w:val="nil"/>
              <w:bottom w:val="nil"/>
              <w:right w:val="nil"/>
            </w:tcBorders>
          </w:tcPr>
          <w:p w14:paraId="06A42AAF"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54.5</w:t>
            </w:r>
          </w:p>
        </w:tc>
        <w:tc>
          <w:tcPr>
            <w:tcW w:w="976" w:type="dxa"/>
            <w:gridSpan w:val="2"/>
            <w:tcBorders>
              <w:top w:val="nil"/>
              <w:left w:val="nil"/>
              <w:bottom w:val="nil"/>
              <w:right w:val="nil"/>
            </w:tcBorders>
          </w:tcPr>
          <w:p w14:paraId="63063411"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49.1</w:t>
            </w:r>
          </w:p>
        </w:tc>
        <w:tc>
          <w:tcPr>
            <w:tcW w:w="976" w:type="dxa"/>
            <w:gridSpan w:val="2"/>
            <w:tcBorders>
              <w:top w:val="nil"/>
              <w:left w:val="nil"/>
              <w:bottom w:val="nil"/>
              <w:right w:val="nil"/>
            </w:tcBorders>
          </w:tcPr>
          <w:p w14:paraId="00086EBC"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50.5</w:t>
            </w:r>
          </w:p>
        </w:tc>
        <w:tc>
          <w:tcPr>
            <w:tcW w:w="976" w:type="dxa"/>
            <w:gridSpan w:val="2"/>
            <w:tcBorders>
              <w:top w:val="nil"/>
              <w:left w:val="nil"/>
              <w:bottom w:val="nil"/>
              <w:right w:val="nil"/>
            </w:tcBorders>
          </w:tcPr>
          <w:p w14:paraId="5E8CCDC1"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59.1</w:t>
            </w:r>
          </w:p>
        </w:tc>
        <w:tc>
          <w:tcPr>
            <w:tcW w:w="976" w:type="dxa"/>
            <w:gridSpan w:val="2"/>
            <w:tcBorders>
              <w:top w:val="nil"/>
              <w:left w:val="nil"/>
              <w:bottom w:val="nil"/>
              <w:right w:val="nil"/>
            </w:tcBorders>
          </w:tcPr>
          <w:p w14:paraId="5ABE4C71"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50.3</w:t>
            </w:r>
          </w:p>
        </w:tc>
        <w:tc>
          <w:tcPr>
            <w:tcW w:w="976" w:type="dxa"/>
            <w:gridSpan w:val="2"/>
            <w:tcBorders>
              <w:top w:val="nil"/>
              <w:left w:val="nil"/>
              <w:bottom w:val="nil"/>
              <w:right w:val="single" w:sz="4" w:space="0" w:color="auto"/>
            </w:tcBorders>
          </w:tcPr>
          <w:p w14:paraId="51875EAC"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53.0</w:t>
            </w:r>
          </w:p>
        </w:tc>
      </w:tr>
      <w:tr w:rsidR="004508A9" w:rsidRPr="00582A6A" w14:paraId="5C2C83BF" w14:textId="77777777" w:rsidTr="00BD2944">
        <w:trPr>
          <w:trHeight w:val="425"/>
          <w:jc w:val="center"/>
        </w:trPr>
        <w:tc>
          <w:tcPr>
            <w:tcW w:w="696" w:type="dxa"/>
            <w:tcBorders>
              <w:top w:val="nil"/>
              <w:left w:val="single" w:sz="4" w:space="0" w:color="auto"/>
              <w:bottom w:val="nil"/>
              <w:right w:val="single" w:sz="4" w:space="0" w:color="auto"/>
            </w:tcBorders>
          </w:tcPr>
          <w:p w14:paraId="47E6C2F7" w14:textId="77777777" w:rsidR="004508A9" w:rsidRPr="00582A6A" w:rsidRDefault="004508A9" w:rsidP="00BD2944">
            <w:pPr>
              <w:rPr>
                <w:rFonts w:ascii="Times New Roman" w:hAnsi="Times New Roman" w:cs="Times New Roman"/>
                <w:sz w:val="14"/>
                <w:szCs w:val="20"/>
                <w:lang w:val="en-GB"/>
              </w:rPr>
            </w:pPr>
            <w:r w:rsidRPr="00582A6A">
              <w:rPr>
                <w:rFonts w:ascii="Times New Roman" w:hAnsi="Times New Roman" w:cs="Times New Roman"/>
                <w:sz w:val="14"/>
                <w:szCs w:val="20"/>
                <w:lang w:val="en-GB"/>
              </w:rPr>
              <w:t>ICC (95% CI)</w:t>
            </w:r>
          </w:p>
        </w:tc>
        <w:tc>
          <w:tcPr>
            <w:tcW w:w="959" w:type="dxa"/>
            <w:gridSpan w:val="2"/>
            <w:tcBorders>
              <w:top w:val="nil"/>
              <w:left w:val="single" w:sz="4" w:space="0" w:color="auto"/>
              <w:bottom w:val="nil"/>
              <w:right w:val="nil"/>
            </w:tcBorders>
            <w:vAlign w:val="center"/>
          </w:tcPr>
          <w:p w14:paraId="7AD25338"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0.43 (0.13-0.66)</w:t>
            </w:r>
          </w:p>
        </w:tc>
        <w:tc>
          <w:tcPr>
            <w:tcW w:w="974" w:type="dxa"/>
            <w:gridSpan w:val="2"/>
            <w:tcBorders>
              <w:top w:val="nil"/>
              <w:left w:val="nil"/>
              <w:bottom w:val="nil"/>
              <w:right w:val="nil"/>
            </w:tcBorders>
            <w:vAlign w:val="center"/>
          </w:tcPr>
          <w:p w14:paraId="71CF9536"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0.51 (0.23-0.72)</w:t>
            </w:r>
          </w:p>
        </w:tc>
        <w:tc>
          <w:tcPr>
            <w:tcW w:w="974" w:type="dxa"/>
            <w:gridSpan w:val="2"/>
            <w:tcBorders>
              <w:top w:val="nil"/>
              <w:left w:val="nil"/>
              <w:bottom w:val="nil"/>
              <w:right w:val="nil"/>
            </w:tcBorders>
            <w:vAlign w:val="center"/>
          </w:tcPr>
          <w:p w14:paraId="439C1AD9"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0.73 (0.53-0.85)</w:t>
            </w:r>
          </w:p>
        </w:tc>
        <w:tc>
          <w:tcPr>
            <w:tcW w:w="976" w:type="dxa"/>
            <w:gridSpan w:val="2"/>
            <w:tcBorders>
              <w:top w:val="nil"/>
              <w:left w:val="nil"/>
              <w:bottom w:val="nil"/>
              <w:right w:val="nil"/>
            </w:tcBorders>
            <w:vAlign w:val="center"/>
          </w:tcPr>
          <w:p w14:paraId="56BED5C4"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0.58 (0.31-0.76)</w:t>
            </w:r>
          </w:p>
        </w:tc>
        <w:tc>
          <w:tcPr>
            <w:tcW w:w="976" w:type="dxa"/>
            <w:gridSpan w:val="2"/>
            <w:tcBorders>
              <w:top w:val="nil"/>
              <w:left w:val="nil"/>
              <w:bottom w:val="nil"/>
              <w:right w:val="nil"/>
            </w:tcBorders>
            <w:vAlign w:val="center"/>
          </w:tcPr>
          <w:p w14:paraId="721B9F5C"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0.49 (0.20-0.70)</w:t>
            </w:r>
          </w:p>
        </w:tc>
        <w:tc>
          <w:tcPr>
            <w:tcW w:w="976" w:type="dxa"/>
            <w:gridSpan w:val="2"/>
            <w:tcBorders>
              <w:top w:val="nil"/>
              <w:left w:val="nil"/>
              <w:bottom w:val="nil"/>
              <w:right w:val="nil"/>
            </w:tcBorders>
            <w:vAlign w:val="center"/>
          </w:tcPr>
          <w:p w14:paraId="28BD807D"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0.54 (0.27-0.74)</w:t>
            </w:r>
          </w:p>
        </w:tc>
        <w:tc>
          <w:tcPr>
            <w:tcW w:w="976" w:type="dxa"/>
            <w:gridSpan w:val="2"/>
            <w:tcBorders>
              <w:top w:val="nil"/>
              <w:left w:val="nil"/>
              <w:bottom w:val="nil"/>
              <w:right w:val="nil"/>
            </w:tcBorders>
            <w:vAlign w:val="center"/>
          </w:tcPr>
          <w:p w14:paraId="08F6FCD4"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0.61 (0.36-0.78)</w:t>
            </w:r>
          </w:p>
        </w:tc>
        <w:tc>
          <w:tcPr>
            <w:tcW w:w="976" w:type="dxa"/>
            <w:gridSpan w:val="2"/>
            <w:tcBorders>
              <w:top w:val="nil"/>
              <w:left w:val="nil"/>
              <w:bottom w:val="nil"/>
              <w:right w:val="nil"/>
            </w:tcBorders>
            <w:vAlign w:val="center"/>
          </w:tcPr>
          <w:p w14:paraId="064DF416"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0.47 (0.17-0.69)</w:t>
            </w:r>
          </w:p>
        </w:tc>
        <w:tc>
          <w:tcPr>
            <w:tcW w:w="976" w:type="dxa"/>
            <w:gridSpan w:val="2"/>
            <w:tcBorders>
              <w:top w:val="nil"/>
              <w:left w:val="nil"/>
              <w:bottom w:val="nil"/>
              <w:right w:val="single" w:sz="4" w:space="0" w:color="auto"/>
            </w:tcBorders>
            <w:vAlign w:val="center"/>
          </w:tcPr>
          <w:p w14:paraId="7799A3C4"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0.59 (0.33-0.77)</w:t>
            </w:r>
          </w:p>
        </w:tc>
      </w:tr>
      <w:tr w:rsidR="004508A9" w:rsidRPr="00582A6A" w14:paraId="56E42265" w14:textId="77777777" w:rsidTr="00BD2944">
        <w:trPr>
          <w:trHeight w:val="379"/>
          <w:jc w:val="center"/>
        </w:trPr>
        <w:tc>
          <w:tcPr>
            <w:tcW w:w="696" w:type="dxa"/>
            <w:tcBorders>
              <w:top w:val="nil"/>
              <w:left w:val="single" w:sz="4" w:space="0" w:color="auto"/>
              <w:right w:val="single" w:sz="4" w:space="0" w:color="auto"/>
            </w:tcBorders>
          </w:tcPr>
          <w:p w14:paraId="32C725CE" w14:textId="77777777" w:rsidR="004508A9" w:rsidRPr="00582A6A" w:rsidRDefault="004508A9" w:rsidP="00BD2944">
            <w:pPr>
              <w:rPr>
                <w:rFonts w:ascii="Times New Roman" w:hAnsi="Times New Roman" w:cs="Times New Roman"/>
                <w:sz w:val="14"/>
                <w:szCs w:val="20"/>
                <w:lang w:val="en-GB"/>
              </w:rPr>
            </w:pPr>
            <w:proofErr w:type="gramStart"/>
            <w:r w:rsidRPr="00582A6A">
              <w:rPr>
                <w:rFonts w:ascii="Times New Roman" w:hAnsi="Times New Roman" w:cs="Times New Roman"/>
                <w:i/>
                <w:sz w:val="14"/>
                <w:szCs w:val="20"/>
                <w:lang w:val="en-GB"/>
              </w:rPr>
              <w:t>p</w:t>
            </w:r>
            <w:proofErr w:type="gramEnd"/>
            <w:r w:rsidRPr="00582A6A">
              <w:rPr>
                <w:rFonts w:ascii="Times New Roman" w:hAnsi="Times New Roman" w:cs="Times New Roman"/>
                <w:sz w:val="14"/>
                <w:szCs w:val="20"/>
                <w:lang w:val="en-GB"/>
              </w:rPr>
              <w:t>-value</w:t>
            </w:r>
          </w:p>
        </w:tc>
        <w:tc>
          <w:tcPr>
            <w:tcW w:w="959" w:type="dxa"/>
            <w:gridSpan w:val="2"/>
            <w:tcBorders>
              <w:top w:val="nil"/>
              <w:left w:val="single" w:sz="4" w:space="0" w:color="auto"/>
              <w:right w:val="nil"/>
            </w:tcBorders>
          </w:tcPr>
          <w:p w14:paraId="1D022D80"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0.09</w:t>
            </w:r>
          </w:p>
        </w:tc>
        <w:tc>
          <w:tcPr>
            <w:tcW w:w="974" w:type="dxa"/>
            <w:gridSpan w:val="2"/>
            <w:tcBorders>
              <w:top w:val="nil"/>
              <w:left w:val="nil"/>
              <w:right w:val="nil"/>
            </w:tcBorders>
          </w:tcPr>
          <w:p w14:paraId="77983CEC"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0.32</w:t>
            </w:r>
          </w:p>
        </w:tc>
        <w:tc>
          <w:tcPr>
            <w:tcW w:w="974" w:type="dxa"/>
            <w:gridSpan w:val="2"/>
            <w:tcBorders>
              <w:top w:val="nil"/>
              <w:left w:val="nil"/>
              <w:right w:val="nil"/>
            </w:tcBorders>
          </w:tcPr>
          <w:p w14:paraId="26661722"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0.49</w:t>
            </w:r>
          </w:p>
        </w:tc>
        <w:tc>
          <w:tcPr>
            <w:tcW w:w="976" w:type="dxa"/>
            <w:gridSpan w:val="2"/>
            <w:tcBorders>
              <w:top w:val="nil"/>
              <w:left w:val="nil"/>
              <w:right w:val="nil"/>
            </w:tcBorders>
          </w:tcPr>
          <w:p w14:paraId="35922E52"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0.15</w:t>
            </w:r>
          </w:p>
        </w:tc>
        <w:tc>
          <w:tcPr>
            <w:tcW w:w="976" w:type="dxa"/>
            <w:gridSpan w:val="2"/>
            <w:tcBorders>
              <w:top w:val="nil"/>
              <w:left w:val="nil"/>
              <w:right w:val="nil"/>
            </w:tcBorders>
          </w:tcPr>
          <w:p w14:paraId="4407D7C1"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0.18</w:t>
            </w:r>
          </w:p>
        </w:tc>
        <w:tc>
          <w:tcPr>
            <w:tcW w:w="976" w:type="dxa"/>
            <w:gridSpan w:val="2"/>
            <w:tcBorders>
              <w:top w:val="nil"/>
              <w:left w:val="nil"/>
              <w:right w:val="nil"/>
            </w:tcBorders>
          </w:tcPr>
          <w:p w14:paraId="7BECEA64"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0.38</w:t>
            </w:r>
          </w:p>
        </w:tc>
        <w:tc>
          <w:tcPr>
            <w:tcW w:w="976" w:type="dxa"/>
            <w:gridSpan w:val="2"/>
            <w:tcBorders>
              <w:top w:val="nil"/>
              <w:left w:val="nil"/>
              <w:right w:val="nil"/>
            </w:tcBorders>
          </w:tcPr>
          <w:p w14:paraId="4AE8F204"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0.22</w:t>
            </w:r>
          </w:p>
        </w:tc>
        <w:tc>
          <w:tcPr>
            <w:tcW w:w="976" w:type="dxa"/>
            <w:gridSpan w:val="2"/>
            <w:tcBorders>
              <w:top w:val="nil"/>
              <w:left w:val="nil"/>
              <w:right w:val="nil"/>
            </w:tcBorders>
          </w:tcPr>
          <w:p w14:paraId="65996EAC" w14:textId="77777777" w:rsidR="004508A9" w:rsidRPr="00582A6A" w:rsidRDefault="004508A9" w:rsidP="00BD2944">
            <w:pPr>
              <w:jc w:val="center"/>
              <w:rPr>
                <w:rFonts w:ascii="Times New Roman" w:hAnsi="Times New Roman" w:cs="Times New Roman"/>
                <w:sz w:val="12"/>
                <w:szCs w:val="18"/>
                <w:lang w:val="en-GB"/>
              </w:rPr>
            </w:pPr>
            <w:r w:rsidRPr="00582A6A">
              <w:rPr>
                <w:rFonts w:ascii="Times New Roman" w:hAnsi="Times New Roman" w:cs="Times New Roman"/>
                <w:sz w:val="12"/>
                <w:szCs w:val="18"/>
                <w:lang w:val="en-GB"/>
              </w:rPr>
              <w:t>0.10</w:t>
            </w:r>
          </w:p>
        </w:tc>
        <w:tc>
          <w:tcPr>
            <w:tcW w:w="976" w:type="dxa"/>
            <w:gridSpan w:val="2"/>
            <w:tcBorders>
              <w:top w:val="nil"/>
              <w:left w:val="nil"/>
              <w:right w:val="single" w:sz="4" w:space="0" w:color="auto"/>
            </w:tcBorders>
          </w:tcPr>
          <w:p w14:paraId="4A37B9EA" w14:textId="77777777" w:rsidR="004508A9" w:rsidRPr="00582A6A" w:rsidRDefault="004508A9" w:rsidP="00BD2944">
            <w:pPr>
              <w:jc w:val="center"/>
              <w:rPr>
                <w:rFonts w:ascii="Times New Roman" w:hAnsi="Times New Roman" w:cs="Times New Roman"/>
                <w:sz w:val="12"/>
                <w:szCs w:val="20"/>
                <w:lang w:val="en-GB"/>
              </w:rPr>
            </w:pPr>
            <w:r w:rsidRPr="00582A6A">
              <w:rPr>
                <w:rFonts w:ascii="Times New Roman" w:hAnsi="Times New Roman" w:cs="Times New Roman"/>
                <w:sz w:val="12"/>
                <w:szCs w:val="20"/>
                <w:lang w:val="en-GB"/>
              </w:rPr>
              <w:t>0.34</w:t>
            </w:r>
          </w:p>
        </w:tc>
      </w:tr>
    </w:tbl>
    <w:p w14:paraId="0908551C" w14:textId="77777777" w:rsidR="004508A9" w:rsidRPr="00582A6A" w:rsidRDefault="004508A9" w:rsidP="004508A9">
      <w:pPr>
        <w:spacing w:after="0" w:line="276" w:lineRule="auto"/>
        <w:jc w:val="both"/>
        <w:rPr>
          <w:rFonts w:ascii="Times New Roman" w:hAnsi="Times New Roman" w:cs="Times New Roman"/>
          <w:i/>
          <w:iCs/>
          <w:sz w:val="8"/>
          <w:szCs w:val="8"/>
        </w:rPr>
      </w:pPr>
    </w:p>
    <w:p w14:paraId="1FB5D38A" w14:textId="77777777" w:rsidR="004508A9" w:rsidRPr="00582A6A" w:rsidRDefault="004508A9" w:rsidP="004508A9">
      <w:pPr>
        <w:spacing w:after="0" w:line="276" w:lineRule="auto"/>
        <w:jc w:val="both"/>
        <w:rPr>
          <w:rFonts w:ascii="Times New Roman" w:hAnsi="Times New Roman" w:cs="Times New Roman"/>
          <w:i/>
          <w:iCs/>
          <w:sz w:val="16"/>
          <w:szCs w:val="20"/>
        </w:rPr>
      </w:pPr>
      <w:r w:rsidRPr="00582A6A">
        <w:rPr>
          <w:rFonts w:ascii="Times New Roman" w:hAnsi="Times New Roman" w:cs="Times New Roman"/>
          <w:i/>
          <w:iCs/>
          <w:sz w:val="16"/>
          <w:szCs w:val="20"/>
        </w:rPr>
        <w:t>SD = standard deviation; MDC = minimal detectable change, ICC = intraclass coefficient correlation ; 95% CI = 95% confidence interval ; MR = medial rotation; LR = lateral rotation; NP = neutral position ; %MVA = percentage of maximal vountary activation</w:t>
      </w:r>
    </w:p>
    <w:p w14:paraId="1D8109BC" w14:textId="77777777" w:rsidR="004508A9" w:rsidRPr="00582A6A" w:rsidRDefault="004508A9" w:rsidP="004508A9">
      <w:pPr>
        <w:spacing w:after="0" w:line="480" w:lineRule="auto"/>
        <w:jc w:val="both"/>
        <w:rPr>
          <w:rFonts w:ascii="Times New Roman" w:hAnsi="Times New Roman" w:cs="Times New Roman"/>
          <w:b/>
          <w:bCs/>
          <w:sz w:val="18"/>
          <w:u w:val="single"/>
          <w:lang w:val="en-GB"/>
        </w:rPr>
      </w:pPr>
    </w:p>
    <w:p w14:paraId="7A5F3867" w14:textId="77777777" w:rsidR="004508A9" w:rsidRPr="00582A6A" w:rsidRDefault="004508A9" w:rsidP="004508A9">
      <w:pPr>
        <w:spacing w:after="120" w:line="276" w:lineRule="auto"/>
        <w:jc w:val="both"/>
        <w:outlineLvl w:val="2"/>
        <w:rPr>
          <w:rFonts w:ascii="Times New Roman" w:hAnsi="Times New Roman" w:cs="Times New Roman"/>
          <w:sz w:val="18"/>
          <w:lang w:val="en-GB"/>
        </w:rPr>
      </w:pPr>
      <w:r w:rsidRPr="00582A6A">
        <w:rPr>
          <w:rFonts w:ascii="Times New Roman" w:hAnsi="Times New Roman" w:cs="Times New Roman"/>
          <w:b/>
          <w:bCs/>
          <w:sz w:val="18"/>
          <w:u w:val="single"/>
          <w:lang w:val="en-GB"/>
        </w:rPr>
        <w:t>Table 5</w:t>
      </w:r>
      <w:r w:rsidRPr="00582A6A">
        <w:rPr>
          <w:rFonts w:ascii="Times New Roman" w:hAnsi="Times New Roman" w:cs="Times New Roman"/>
          <w:b/>
          <w:bCs/>
          <w:sz w:val="18"/>
          <w:lang w:val="en-GB"/>
        </w:rPr>
        <w:t>.</w:t>
      </w:r>
      <w:r w:rsidRPr="00582A6A">
        <w:rPr>
          <w:rFonts w:ascii="Times New Roman" w:hAnsi="Times New Roman" w:cs="Times New Roman"/>
          <w:sz w:val="18"/>
          <w:lang w:val="en-GB"/>
        </w:rPr>
        <w:t xml:space="preserve"> Results of repeated measures ANOVA with Bonferroni post hoc for </w:t>
      </w:r>
      <w:r w:rsidRPr="00582A6A">
        <w:rPr>
          <w:rFonts w:ascii="Times New Roman" w:hAnsi="Times New Roman" w:cs="Times New Roman"/>
          <w:sz w:val="18"/>
          <w:szCs w:val="18"/>
          <w:lang w:val="en-GB"/>
        </w:rPr>
        <w:t xml:space="preserve">sEMG activation values of biceps femoris for knee flexion angulation in comparison to tibial position, </w:t>
      </w:r>
      <w:r w:rsidRPr="00582A6A">
        <w:rPr>
          <w:rFonts w:ascii="Times New Roman" w:hAnsi="Times New Roman" w:cs="Times New Roman"/>
          <w:sz w:val="18"/>
          <w:lang w:val="en-GB"/>
        </w:rPr>
        <w:t>with mean difference and 95%CI for mean difference</w:t>
      </w:r>
    </w:p>
    <w:tbl>
      <w:tblPr>
        <w:tblStyle w:val="Grille"/>
        <w:tblW w:w="0" w:type="auto"/>
        <w:tblLook w:val="04A0" w:firstRow="1" w:lastRow="0" w:firstColumn="1" w:lastColumn="0" w:noHBand="0" w:noVBand="1"/>
      </w:tblPr>
      <w:tblGrid>
        <w:gridCol w:w="1308"/>
        <w:gridCol w:w="1309"/>
        <w:gridCol w:w="2594"/>
      </w:tblGrid>
      <w:tr w:rsidR="004508A9" w:rsidRPr="00582A6A" w14:paraId="24296906" w14:textId="77777777" w:rsidTr="00BD2944">
        <w:tc>
          <w:tcPr>
            <w:tcW w:w="1308" w:type="dxa"/>
            <w:tcBorders>
              <w:top w:val="nil"/>
              <w:left w:val="nil"/>
              <w:bottom w:val="single" w:sz="4" w:space="0" w:color="auto"/>
            </w:tcBorders>
          </w:tcPr>
          <w:p w14:paraId="3203AFB8" w14:textId="77777777" w:rsidR="004508A9" w:rsidRPr="00582A6A" w:rsidRDefault="004508A9" w:rsidP="00BD2944">
            <w:pPr>
              <w:spacing w:after="0" w:line="240" w:lineRule="auto"/>
              <w:outlineLvl w:val="2"/>
              <w:rPr>
                <w:rFonts w:ascii="Times New Roman" w:hAnsi="Times New Roman" w:cs="Times New Roman"/>
                <w:sz w:val="14"/>
                <w:lang w:val="en-GB"/>
              </w:rPr>
            </w:pPr>
          </w:p>
        </w:tc>
        <w:tc>
          <w:tcPr>
            <w:tcW w:w="1309" w:type="dxa"/>
            <w:tcBorders>
              <w:left w:val="nil"/>
              <w:bottom w:val="single" w:sz="4" w:space="0" w:color="auto"/>
              <w:right w:val="nil"/>
            </w:tcBorders>
            <w:vAlign w:val="center"/>
          </w:tcPr>
          <w:p w14:paraId="5278F9B0"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F</w:t>
            </w:r>
          </w:p>
        </w:tc>
        <w:tc>
          <w:tcPr>
            <w:tcW w:w="2594" w:type="dxa"/>
            <w:tcBorders>
              <w:left w:val="nil"/>
              <w:bottom w:val="single" w:sz="4" w:space="0" w:color="auto"/>
            </w:tcBorders>
          </w:tcPr>
          <w:p w14:paraId="060FB899"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 xml:space="preserve">p </w:t>
            </w:r>
          </w:p>
        </w:tc>
      </w:tr>
      <w:tr w:rsidR="004508A9" w:rsidRPr="00582A6A" w14:paraId="5CD123FA" w14:textId="77777777" w:rsidTr="00BD2944">
        <w:tc>
          <w:tcPr>
            <w:tcW w:w="1308" w:type="dxa"/>
            <w:tcBorders>
              <w:bottom w:val="nil"/>
            </w:tcBorders>
            <w:vAlign w:val="center"/>
          </w:tcPr>
          <w:p w14:paraId="63AEE1C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Knee</w:t>
            </w:r>
          </w:p>
        </w:tc>
        <w:tc>
          <w:tcPr>
            <w:tcW w:w="1309" w:type="dxa"/>
            <w:tcBorders>
              <w:left w:val="nil"/>
              <w:bottom w:val="nil"/>
              <w:right w:val="nil"/>
            </w:tcBorders>
            <w:vAlign w:val="center"/>
          </w:tcPr>
          <w:p w14:paraId="4719280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2.219</w:t>
            </w:r>
          </w:p>
        </w:tc>
        <w:tc>
          <w:tcPr>
            <w:tcW w:w="2594" w:type="dxa"/>
            <w:tcBorders>
              <w:left w:val="nil"/>
              <w:bottom w:val="nil"/>
            </w:tcBorders>
            <w:vAlign w:val="center"/>
          </w:tcPr>
          <w:p w14:paraId="2B224581"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0.111</w:t>
            </w:r>
          </w:p>
        </w:tc>
      </w:tr>
      <w:tr w:rsidR="004508A9" w:rsidRPr="00582A6A" w14:paraId="33D37620" w14:textId="77777777" w:rsidTr="00BD2944">
        <w:tc>
          <w:tcPr>
            <w:tcW w:w="1308" w:type="dxa"/>
            <w:tcBorders>
              <w:top w:val="nil"/>
              <w:bottom w:val="nil"/>
            </w:tcBorders>
          </w:tcPr>
          <w:p w14:paraId="5E5E1DE9"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Knee vs tibia</w:t>
            </w:r>
          </w:p>
        </w:tc>
        <w:tc>
          <w:tcPr>
            <w:tcW w:w="1309" w:type="dxa"/>
            <w:tcBorders>
              <w:top w:val="nil"/>
              <w:left w:val="nil"/>
              <w:bottom w:val="nil"/>
              <w:right w:val="nil"/>
            </w:tcBorders>
            <w:vAlign w:val="center"/>
          </w:tcPr>
          <w:p w14:paraId="5BAE69A8"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1.272</w:t>
            </w:r>
          </w:p>
        </w:tc>
        <w:tc>
          <w:tcPr>
            <w:tcW w:w="2594" w:type="dxa"/>
            <w:tcBorders>
              <w:top w:val="nil"/>
              <w:left w:val="nil"/>
              <w:bottom w:val="nil"/>
            </w:tcBorders>
            <w:vAlign w:val="center"/>
          </w:tcPr>
          <w:p w14:paraId="4D182F17"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0.282</w:t>
            </w:r>
          </w:p>
        </w:tc>
      </w:tr>
      <w:tr w:rsidR="004508A9" w:rsidRPr="00582A6A" w14:paraId="16B3936F" w14:textId="77777777" w:rsidTr="00BD2944">
        <w:tc>
          <w:tcPr>
            <w:tcW w:w="1308" w:type="dxa"/>
            <w:tcBorders>
              <w:top w:val="nil"/>
            </w:tcBorders>
          </w:tcPr>
          <w:p w14:paraId="52676B4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 xml:space="preserve">Tibia </w:t>
            </w:r>
          </w:p>
        </w:tc>
        <w:tc>
          <w:tcPr>
            <w:tcW w:w="1309" w:type="dxa"/>
            <w:tcBorders>
              <w:top w:val="nil"/>
              <w:left w:val="nil"/>
              <w:right w:val="nil"/>
            </w:tcBorders>
            <w:vAlign w:val="center"/>
          </w:tcPr>
          <w:p w14:paraId="648AC7A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36.380</w:t>
            </w:r>
          </w:p>
        </w:tc>
        <w:tc>
          <w:tcPr>
            <w:tcW w:w="2594" w:type="dxa"/>
            <w:tcBorders>
              <w:top w:val="nil"/>
              <w:left w:val="nil"/>
            </w:tcBorders>
            <w:vAlign w:val="center"/>
          </w:tcPr>
          <w:p w14:paraId="3B1B05A0"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&lt; 0.001</w:t>
            </w:r>
          </w:p>
        </w:tc>
      </w:tr>
    </w:tbl>
    <w:p w14:paraId="022BC7AB" w14:textId="77777777" w:rsidR="004508A9" w:rsidRPr="00582A6A" w:rsidRDefault="004508A9" w:rsidP="004508A9">
      <w:pPr>
        <w:spacing w:after="0" w:line="240" w:lineRule="auto"/>
        <w:jc w:val="both"/>
        <w:rPr>
          <w:rFonts w:ascii="Times New Roman" w:hAnsi="Times New Roman" w:cs="Times New Roman"/>
          <w:iCs/>
          <w:sz w:val="16"/>
          <w:szCs w:val="16"/>
        </w:rPr>
      </w:pPr>
    </w:p>
    <w:tbl>
      <w:tblPr>
        <w:tblStyle w:val="Grille"/>
        <w:tblW w:w="0" w:type="auto"/>
        <w:tblLook w:val="04A0" w:firstRow="1" w:lastRow="0" w:firstColumn="1" w:lastColumn="0" w:noHBand="0" w:noVBand="1"/>
      </w:tblPr>
      <w:tblGrid>
        <w:gridCol w:w="1308"/>
        <w:gridCol w:w="1308"/>
        <w:gridCol w:w="1309"/>
        <w:gridCol w:w="1309"/>
      </w:tblGrid>
      <w:tr w:rsidR="004508A9" w:rsidRPr="00582A6A" w14:paraId="09450D10" w14:textId="77777777" w:rsidTr="00BD2944">
        <w:tc>
          <w:tcPr>
            <w:tcW w:w="1308" w:type="dxa"/>
            <w:tcBorders>
              <w:top w:val="nil"/>
              <w:left w:val="nil"/>
              <w:bottom w:val="single" w:sz="4" w:space="0" w:color="auto"/>
            </w:tcBorders>
          </w:tcPr>
          <w:p w14:paraId="6497A364" w14:textId="77777777" w:rsidR="004508A9" w:rsidRPr="00582A6A" w:rsidRDefault="004508A9" w:rsidP="00BD2944">
            <w:pPr>
              <w:spacing w:after="0" w:line="240" w:lineRule="auto"/>
              <w:outlineLvl w:val="2"/>
              <w:rPr>
                <w:rFonts w:ascii="Times New Roman" w:hAnsi="Times New Roman" w:cs="Times New Roman"/>
                <w:sz w:val="14"/>
                <w:lang w:val="en-GB"/>
              </w:rPr>
            </w:pPr>
          </w:p>
        </w:tc>
        <w:tc>
          <w:tcPr>
            <w:tcW w:w="1308" w:type="dxa"/>
            <w:tcBorders>
              <w:left w:val="nil"/>
              <w:bottom w:val="single" w:sz="4" w:space="0" w:color="auto"/>
              <w:right w:val="nil"/>
            </w:tcBorders>
          </w:tcPr>
          <w:p w14:paraId="28641CFB"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 xml:space="preserve">Mean Diff (%MVA) </w:t>
            </w:r>
            <w:r w:rsidRPr="00582A6A">
              <w:rPr>
                <w:rFonts w:ascii="Times New Roman" w:hAnsi="Times New Roman" w:cs="Times New Roman"/>
                <w:sz w:val="14"/>
                <w:szCs w:val="14"/>
                <w:lang w:val="en-GB"/>
              </w:rPr>
              <w:t>with 95% CI</w:t>
            </w:r>
          </w:p>
        </w:tc>
        <w:tc>
          <w:tcPr>
            <w:tcW w:w="1309" w:type="dxa"/>
            <w:tcBorders>
              <w:left w:val="nil"/>
              <w:bottom w:val="single" w:sz="4" w:space="0" w:color="auto"/>
              <w:right w:val="nil"/>
            </w:tcBorders>
            <w:vAlign w:val="center"/>
          </w:tcPr>
          <w:p w14:paraId="23B89803"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Cohen's d</w:t>
            </w:r>
          </w:p>
        </w:tc>
        <w:tc>
          <w:tcPr>
            <w:tcW w:w="1309" w:type="dxa"/>
            <w:tcBorders>
              <w:left w:val="nil"/>
              <w:bottom w:val="single" w:sz="4" w:space="0" w:color="auto"/>
            </w:tcBorders>
          </w:tcPr>
          <w:p w14:paraId="7BAC61DC" w14:textId="77777777" w:rsidR="004508A9" w:rsidRPr="00582A6A" w:rsidRDefault="004508A9" w:rsidP="00BD2944">
            <w:pPr>
              <w:spacing w:after="0" w:line="240" w:lineRule="auto"/>
              <w:jc w:val="center"/>
              <w:outlineLvl w:val="2"/>
              <w:rPr>
                <w:rFonts w:ascii="Times New Roman" w:eastAsia="Times New Roman" w:hAnsi="Times New Roman" w:cs="Times New Roman"/>
                <w:bCs/>
                <w:sz w:val="14"/>
                <w:szCs w:val="14"/>
                <w:lang w:eastAsia="fr-FR"/>
              </w:rPr>
            </w:pPr>
          </w:p>
          <w:p w14:paraId="1F332CA9"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p bonf</w:t>
            </w:r>
          </w:p>
        </w:tc>
      </w:tr>
      <w:tr w:rsidR="004508A9" w:rsidRPr="00582A6A" w14:paraId="2940ECBC" w14:textId="77777777" w:rsidTr="00BD2944">
        <w:tc>
          <w:tcPr>
            <w:tcW w:w="1308" w:type="dxa"/>
            <w:tcBorders>
              <w:bottom w:val="nil"/>
            </w:tcBorders>
            <w:vAlign w:val="center"/>
          </w:tcPr>
          <w:p w14:paraId="3912E519"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LR</w:t>
            </w:r>
          </w:p>
        </w:tc>
        <w:tc>
          <w:tcPr>
            <w:tcW w:w="1308" w:type="dxa"/>
            <w:tcBorders>
              <w:bottom w:val="nil"/>
              <w:right w:val="nil"/>
            </w:tcBorders>
            <w:vAlign w:val="center"/>
          </w:tcPr>
          <w:p w14:paraId="24EBB219"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-12.0 (-19.6 ; -4.3)</w:t>
            </w:r>
          </w:p>
        </w:tc>
        <w:tc>
          <w:tcPr>
            <w:tcW w:w="1309" w:type="dxa"/>
            <w:tcBorders>
              <w:left w:val="nil"/>
              <w:bottom w:val="nil"/>
              <w:right w:val="nil"/>
            </w:tcBorders>
            <w:vAlign w:val="center"/>
          </w:tcPr>
          <w:p w14:paraId="011C1D89"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-0.367</w:t>
            </w:r>
          </w:p>
        </w:tc>
        <w:tc>
          <w:tcPr>
            <w:tcW w:w="1309" w:type="dxa"/>
            <w:tcBorders>
              <w:left w:val="nil"/>
              <w:bottom w:val="nil"/>
            </w:tcBorders>
            <w:vAlign w:val="center"/>
          </w:tcPr>
          <w:p w14:paraId="2EA5C9F1"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&lt; 0.001</w:t>
            </w:r>
          </w:p>
        </w:tc>
      </w:tr>
      <w:tr w:rsidR="004508A9" w:rsidRPr="00582A6A" w14:paraId="5EA85C55" w14:textId="77777777" w:rsidTr="00BD2944">
        <w:tc>
          <w:tcPr>
            <w:tcW w:w="1308" w:type="dxa"/>
            <w:tcBorders>
              <w:top w:val="nil"/>
              <w:bottom w:val="nil"/>
            </w:tcBorders>
          </w:tcPr>
          <w:p w14:paraId="3AC6A088"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MR</w:t>
            </w:r>
          </w:p>
        </w:tc>
        <w:tc>
          <w:tcPr>
            <w:tcW w:w="1308" w:type="dxa"/>
            <w:tcBorders>
              <w:top w:val="nil"/>
              <w:bottom w:val="nil"/>
              <w:right w:val="nil"/>
            </w:tcBorders>
            <w:vAlign w:val="center"/>
          </w:tcPr>
          <w:p w14:paraId="7109546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14.8 (7.1 ; 22.4)</w:t>
            </w:r>
          </w:p>
        </w:tc>
        <w:tc>
          <w:tcPr>
            <w:tcW w:w="1309" w:type="dxa"/>
            <w:tcBorders>
              <w:top w:val="nil"/>
              <w:left w:val="nil"/>
              <w:bottom w:val="nil"/>
              <w:right w:val="nil"/>
            </w:tcBorders>
            <w:vAlign w:val="center"/>
          </w:tcPr>
          <w:p w14:paraId="0DF74D5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0.453</w:t>
            </w:r>
          </w:p>
        </w:tc>
        <w:tc>
          <w:tcPr>
            <w:tcW w:w="1309" w:type="dxa"/>
            <w:tcBorders>
              <w:top w:val="nil"/>
              <w:left w:val="nil"/>
              <w:bottom w:val="nil"/>
            </w:tcBorders>
            <w:vAlign w:val="center"/>
          </w:tcPr>
          <w:p w14:paraId="635F6B68"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b/>
                <w:sz w:val="14"/>
                <w:szCs w:val="18"/>
                <w:lang w:eastAsia="fr-FR"/>
              </w:rPr>
              <w:t>&lt; 0.001</w:t>
            </w:r>
          </w:p>
        </w:tc>
      </w:tr>
      <w:tr w:rsidR="004508A9" w:rsidRPr="00582A6A" w14:paraId="29156D16" w14:textId="77777777" w:rsidTr="00BD2944">
        <w:tc>
          <w:tcPr>
            <w:tcW w:w="1308" w:type="dxa"/>
            <w:tcBorders>
              <w:top w:val="nil"/>
            </w:tcBorders>
          </w:tcPr>
          <w:p w14:paraId="7BEB03C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 xml:space="preserve">LR </w:t>
            </w:r>
            <w:proofErr w:type="spellStart"/>
            <w:r w:rsidRPr="00582A6A">
              <w:rPr>
                <w:rFonts w:ascii="Times New Roman" w:hAnsi="Times New Roman" w:cs="Times New Roman"/>
                <w:sz w:val="14"/>
                <w:lang w:val="en-GB"/>
              </w:rPr>
              <w:t>vs</w:t>
            </w:r>
            <w:proofErr w:type="spellEnd"/>
            <w:r w:rsidRPr="00582A6A">
              <w:rPr>
                <w:rFonts w:ascii="Times New Roman" w:hAnsi="Times New Roman" w:cs="Times New Roman"/>
                <w:sz w:val="14"/>
                <w:lang w:val="en-GB"/>
              </w:rPr>
              <w:t xml:space="preserve"> MR</w:t>
            </w:r>
          </w:p>
        </w:tc>
        <w:tc>
          <w:tcPr>
            <w:tcW w:w="1308" w:type="dxa"/>
            <w:tcBorders>
              <w:top w:val="nil"/>
              <w:right w:val="nil"/>
            </w:tcBorders>
            <w:vAlign w:val="center"/>
          </w:tcPr>
          <w:p w14:paraId="01FC5CB6"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26.7 (19.1 ; 34.3)</w:t>
            </w:r>
          </w:p>
        </w:tc>
        <w:tc>
          <w:tcPr>
            <w:tcW w:w="1309" w:type="dxa"/>
            <w:tcBorders>
              <w:top w:val="nil"/>
              <w:left w:val="nil"/>
              <w:right w:val="nil"/>
            </w:tcBorders>
            <w:vAlign w:val="center"/>
          </w:tcPr>
          <w:p w14:paraId="497D51D0"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0.819</w:t>
            </w:r>
          </w:p>
        </w:tc>
        <w:tc>
          <w:tcPr>
            <w:tcW w:w="1309" w:type="dxa"/>
            <w:tcBorders>
              <w:top w:val="nil"/>
              <w:left w:val="nil"/>
            </w:tcBorders>
            <w:vAlign w:val="center"/>
          </w:tcPr>
          <w:p w14:paraId="67B86C08"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&lt; 0.001</w:t>
            </w:r>
          </w:p>
        </w:tc>
      </w:tr>
    </w:tbl>
    <w:p w14:paraId="3606BA56" w14:textId="77777777" w:rsidR="004508A9" w:rsidRPr="00582A6A" w:rsidRDefault="004508A9" w:rsidP="004508A9">
      <w:pPr>
        <w:spacing w:before="120" w:after="0" w:line="240" w:lineRule="auto"/>
        <w:jc w:val="both"/>
        <w:outlineLvl w:val="2"/>
        <w:rPr>
          <w:rFonts w:ascii="Times New Roman" w:hAnsi="Times New Roman" w:cs="Times New Roman"/>
          <w:sz w:val="18"/>
          <w:lang w:val="en-GB"/>
        </w:rPr>
      </w:pPr>
      <w:r w:rsidRPr="00582A6A">
        <w:rPr>
          <w:rFonts w:ascii="Times New Roman" w:hAnsi="Times New Roman" w:cs="Times New Roman"/>
          <w:i/>
          <w:iCs/>
          <w:sz w:val="16"/>
          <w:szCs w:val="20"/>
        </w:rPr>
        <w:t>Mean diff = mean difference ; 95%CI = 95% confidence interval of mean difference with lower and upper results; Cohen’s d = effect size ; p bonf = p-value of Bonferroni post hoc ; MR = medial rotation; LR = lateral rotation; NP = neutral position ; knee = angle of knee flexion ; tibia = position of tibial rotation ; %MVA = percentage of maximal vountary activation</w:t>
      </w:r>
    </w:p>
    <w:p w14:paraId="3B274AD0" w14:textId="77777777" w:rsidR="004508A9" w:rsidRPr="00582A6A" w:rsidRDefault="004508A9" w:rsidP="004508A9">
      <w:pPr>
        <w:spacing w:after="0" w:line="480" w:lineRule="auto"/>
        <w:rPr>
          <w:rFonts w:ascii="Times New Roman" w:hAnsi="Times New Roman" w:cs="Times New Roman"/>
          <w:iCs/>
          <w:sz w:val="16"/>
          <w:szCs w:val="20"/>
        </w:rPr>
      </w:pPr>
    </w:p>
    <w:p w14:paraId="6D6DD1AB" w14:textId="77777777" w:rsidR="004508A9" w:rsidRPr="00582A6A" w:rsidRDefault="004508A9" w:rsidP="004508A9">
      <w:pPr>
        <w:spacing w:after="0" w:line="480" w:lineRule="auto"/>
        <w:rPr>
          <w:rFonts w:ascii="Times New Roman" w:hAnsi="Times New Roman" w:cs="Times New Roman"/>
          <w:iCs/>
          <w:sz w:val="16"/>
          <w:szCs w:val="20"/>
        </w:rPr>
      </w:pPr>
    </w:p>
    <w:p w14:paraId="29119199" w14:textId="77777777" w:rsidR="004508A9" w:rsidRPr="00582A6A" w:rsidRDefault="004508A9" w:rsidP="004508A9">
      <w:pPr>
        <w:spacing w:after="0" w:line="480" w:lineRule="auto"/>
        <w:rPr>
          <w:rFonts w:ascii="Times New Roman" w:hAnsi="Times New Roman" w:cs="Times New Roman"/>
          <w:iCs/>
          <w:sz w:val="16"/>
          <w:szCs w:val="20"/>
        </w:rPr>
      </w:pPr>
    </w:p>
    <w:p w14:paraId="220B5374" w14:textId="77777777" w:rsidR="004508A9" w:rsidRPr="00582A6A" w:rsidRDefault="004508A9" w:rsidP="004508A9">
      <w:pPr>
        <w:spacing w:after="0" w:line="276" w:lineRule="auto"/>
        <w:jc w:val="both"/>
        <w:outlineLvl w:val="2"/>
        <w:rPr>
          <w:rFonts w:ascii="Times New Roman" w:hAnsi="Times New Roman" w:cs="Times New Roman"/>
          <w:sz w:val="18"/>
          <w:lang w:val="en-GB"/>
        </w:rPr>
      </w:pPr>
      <w:r w:rsidRPr="00582A6A">
        <w:rPr>
          <w:rFonts w:ascii="Times New Roman" w:hAnsi="Times New Roman" w:cs="Times New Roman"/>
          <w:b/>
          <w:bCs/>
          <w:sz w:val="18"/>
          <w:u w:val="single"/>
          <w:lang w:val="en-GB"/>
        </w:rPr>
        <w:t>Table 6</w:t>
      </w:r>
      <w:r w:rsidRPr="00582A6A">
        <w:rPr>
          <w:rFonts w:ascii="Times New Roman" w:hAnsi="Times New Roman" w:cs="Times New Roman"/>
          <w:b/>
          <w:bCs/>
          <w:sz w:val="18"/>
          <w:lang w:val="en-GB"/>
        </w:rPr>
        <w:t>.</w:t>
      </w:r>
      <w:r w:rsidRPr="00582A6A">
        <w:rPr>
          <w:rFonts w:ascii="Times New Roman" w:hAnsi="Times New Roman" w:cs="Times New Roman"/>
          <w:sz w:val="18"/>
          <w:lang w:val="en-GB"/>
        </w:rPr>
        <w:t xml:space="preserve"> Results of repeated measures ANOVA with Bonferroni post hoc for </w:t>
      </w:r>
      <w:r w:rsidRPr="00582A6A">
        <w:rPr>
          <w:rFonts w:ascii="Times New Roman" w:hAnsi="Times New Roman" w:cs="Times New Roman"/>
          <w:sz w:val="18"/>
          <w:szCs w:val="18"/>
          <w:lang w:val="en-GB"/>
        </w:rPr>
        <w:t xml:space="preserve">sEMG activation values of </w:t>
      </w:r>
      <w:r w:rsidRPr="00582A6A">
        <w:rPr>
          <w:rFonts w:ascii="Times New Roman" w:hAnsi="Times New Roman" w:cs="Times New Roman"/>
          <w:sz w:val="18"/>
          <w:lang w:val="en-GB"/>
        </w:rPr>
        <w:t xml:space="preserve">semitendinosus muscle for tibial rotation </w:t>
      </w:r>
      <w:r w:rsidRPr="00582A6A">
        <w:rPr>
          <w:rFonts w:ascii="Times New Roman" w:hAnsi="Times New Roman" w:cs="Times New Roman"/>
          <w:sz w:val="18"/>
          <w:szCs w:val="18"/>
          <w:lang w:val="en-GB"/>
        </w:rPr>
        <w:t xml:space="preserve">in comparison of knee flexion angulation, </w:t>
      </w:r>
      <w:r w:rsidRPr="00582A6A">
        <w:rPr>
          <w:rFonts w:ascii="Times New Roman" w:hAnsi="Times New Roman" w:cs="Times New Roman"/>
          <w:sz w:val="18"/>
          <w:lang w:val="en-GB"/>
        </w:rPr>
        <w:t>with mean difference and 95%CI for mean difference</w:t>
      </w:r>
    </w:p>
    <w:tbl>
      <w:tblPr>
        <w:tblStyle w:val="Grille"/>
        <w:tblW w:w="0" w:type="auto"/>
        <w:tblLook w:val="04A0" w:firstRow="1" w:lastRow="0" w:firstColumn="1" w:lastColumn="0" w:noHBand="0" w:noVBand="1"/>
      </w:tblPr>
      <w:tblGrid>
        <w:gridCol w:w="1308"/>
        <w:gridCol w:w="1308"/>
        <w:gridCol w:w="1309"/>
        <w:gridCol w:w="1309"/>
      </w:tblGrid>
      <w:tr w:rsidR="004508A9" w:rsidRPr="00582A6A" w14:paraId="691B0E27" w14:textId="77777777" w:rsidTr="00BD2944">
        <w:tc>
          <w:tcPr>
            <w:tcW w:w="1308" w:type="dxa"/>
            <w:tcBorders>
              <w:top w:val="nil"/>
              <w:left w:val="nil"/>
              <w:bottom w:val="single" w:sz="4" w:space="0" w:color="auto"/>
            </w:tcBorders>
          </w:tcPr>
          <w:p w14:paraId="278D5DD0" w14:textId="77777777" w:rsidR="004508A9" w:rsidRPr="00582A6A" w:rsidRDefault="004508A9" w:rsidP="00BD2944">
            <w:pPr>
              <w:spacing w:after="0" w:line="240" w:lineRule="auto"/>
              <w:outlineLvl w:val="2"/>
              <w:rPr>
                <w:rFonts w:ascii="Times New Roman" w:hAnsi="Times New Roman" w:cs="Times New Roman"/>
                <w:sz w:val="14"/>
                <w:lang w:val="en-GB"/>
              </w:rPr>
            </w:pPr>
          </w:p>
        </w:tc>
        <w:tc>
          <w:tcPr>
            <w:tcW w:w="1308" w:type="dxa"/>
            <w:tcBorders>
              <w:left w:val="nil"/>
              <w:bottom w:val="single" w:sz="4" w:space="0" w:color="auto"/>
              <w:right w:val="nil"/>
            </w:tcBorders>
          </w:tcPr>
          <w:p w14:paraId="7554B1C7"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 xml:space="preserve">Mean Diff </w:t>
            </w:r>
            <w:r w:rsidRPr="00582A6A">
              <w:rPr>
                <w:rFonts w:ascii="Times New Roman" w:hAnsi="Times New Roman" w:cs="Times New Roman"/>
                <w:sz w:val="12"/>
                <w:szCs w:val="20"/>
                <w:lang w:val="en-GB"/>
              </w:rPr>
              <w:t xml:space="preserve">(%MVA) </w:t>
            </w:r>
            <w:r w:rsidRPr="00582A6A">
              <w:rPr>
                <w:rFonts w:ascii="Times New Roman" w:hAnsi="Times New Roman" w:cs="Times New Roman"/>
                <w:sz w:val="14"/>
                <w:szCs w:val="14"/>
                <w:lang w:val="en-GB"/>
              </w:rPr>
              <w:t>with 95% CI</w:t>
            </w:r>
          </w:p>
        </w:tc>
        <w:tc>
          <w:tcPr>
            <w:tcW w:w="1309" w:type="dxa"/>
            <w:tcBorders>
              <w:left w:val="nil"/>
              <w:bottom w:val="single" w:sz="4" w:space="0" w:color="auto"/>
              <w:right w:val="nil"/>
            </w:tcBorders>
            <w:vAlign w:val="center"/>
          </w:tcPr>
          <w:p w14:paraId="4D35087E"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Cohen's d</w:t>
            </w:r>
          </w:p>
        </w:tc>
        <w:tc>
          <w:tcPr>
            <w:tcW w:w="1309" w:type="dxa"/>
            <w:tcBorders>
              <w:left w:val="nil"/>
              <w:bottom w:val="single" w:sz="4" w:space="0" w:color="auto"/>
            </w:tcBorders>
          </w:tcPr>
          <w:p w14:paraId="0693A484"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p bonf</w:t>
            </w:r>
          </w:p>
        </w:tc>
      </w:tr>
      <w:tr w:rsidR="004508A9" w:rsidRPr="00582A6A" w14:paraId="26B7946F" w14:textId="77777777" w:rsidTr="00BD2944">
        <w:tc>
          <w:tcPr>
            <w:tcW w:w="1308" w:type="dxa"/>
            <w:tcBorders>
              <w:bottom w:val="nil"/>
            </w:tcBorders>
            <w:vAlign w:val="center"/>
          </w:tcPr>
          <w:p w14:paraId="4DFAE2D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30° vs 60°</w:t>
            </w:r>
          </w:p>
        </w:tc>
        <w:tc>
          <w:tcPr>
            <w:tcW w:w="1308" w:type="dxa"/>
            <w:tcBorders>
              <w:bottom w:val="nil"/>
              <w:right w:val="nil"/>
            </w:tcBorders>
            <w:vAlign w:val="center"/>
          </w:tcPr>
          <w:p w14:paraId="2CDCD81A"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-3.5 (-9.2 ; 2.1)</w:t>
            </w:r>
          </w:p>
        </w:tc>
        <w:tc>
          <w:tcPr>
            <w:tcW w:w="1309" w:type="dxa"/>
            <w:tcBorders>
              <w:left w:val="nil"/>
              <w:bottom w:val="nil"/>
              <w:right w:val="nil"/>
            </w:tcBorders>
            <w:vAlign w:val="center"/>
          </w:tcPr>
          <w:p w14:paraId="2F5B254E"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-0.144</w:t>
            </w:r>
          </w:p>
        </w:tc>
        <w:tc>
          <w:tcPr>
            <w:tcW w:w="1309" w:type="dxa"/>
            <w:tcBorders>
              <w:left w:val="nil"/>
              <w:bottom w:val="nil"/>
            </w:tcBorders>
            <w:vAlign w:val="center"/>
          </w:tcPr>
          <w:p w14:paraId="56B2DC3B"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0.404</w:t>
            </w:r>
          </w:p>
        </w:tc>
      </w:tr>
      <w:tr w:rsidR="004508A9" w:rsidRPr="00582A6A" w14:paraId="478F89E4" w14:textId="77777777" w:rsidTr="00BD2944">
        <w:tc>
          <w:tcPr>
            <w:tcW w:w="1308" w:type="dxa"/>
            <w:tcBorders>
              <w:top w:val="nil"/>
              <w:bottom w:val="nil"/>
            </w:tcBorders>
          </w:tcPr>
          <w:p w14:paraId="6BC6275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30° vs 90°</w:t>
            </w:r>
          </w:p>
        </w:tc>
        <w:tc>
          <w:tcPr>
            <w:tcW w:w="1308" w:type="dxa"/>
            <w:tcBorders>
              <w:top w:val="nil"/>
              <w:bottom w:val="nil"/>
              <w:right w:val="nil"/>
            </w:tcBorders>
            <w:vAlign w:val="center"/>
          </w:tcPr>
          <w:p w14:paraId="2BE0E7B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-9.3 (-14.9 ; -3.6)</w:t>
            </w:r>
          </w:p>
        </w:tc>
        <w:tc>
          <w:tcPr>
            <w:tcW w:w="1309" w:type="dxa"/>
            <w:tcBorders>
              <w:top w:val="nil"/>
              <w:left w:val="nil"/>
              <w:bottom w:val="nil"/>
              <w:right w:val="nil"/>
            </w:tcBorders>
            <w:vAlign w:val="center"/>
          </w:tcPr>
          <w:p w14:paraId="6E27061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-0.381</w:t>
            </w:r>
          </w:p>
        </w:tc>
        <w:tc>
          <w:tcPr>
            <w:tcW w:w="1309" w:type="dxa"/>
            <w:tcBorders>
              <w:top w:val="nil"/>
              <w:left w:val="nil"/>
              <w:bottom w:val="nil"/>
            </w:tcBorders>
            <w:vAlign w:val="center"/>
          </w:tcPr>
          <w:p w14:paraId="6A22792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b/>
                <w:sz w:val="14"/>
                <w:szCs w:val="18"/>
                <w:lang w:eastAsia="fr-FR"/>
              </w:rPr>
              <w:t>&lt; 0.001</w:t>
            </w:r>
          </w:p>
        </w:tc>
      </w:tr>
      <w:tr w:rsidR="004508A9" w:rsidRPr="00582A6A" w14:paraId="3DFD6AA2" w14:textId="77777777" w:rsidTr="00BD2944">
        <w:tc>
          <w:tcPr>
            <w:tcW w:w="1308" w:type="dxa"/>
            <w:tcBorders>
              <w:top w:val="nil"/>
            </w:tcBorders>
          </w:tcPr>
          <w:p w14:paraId="68A9C1C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 xml:space="preserve">60° </w:t>
            </w:r>
            <w:proofErr w:type="spellStart"/>
            <w:r w:rsidRPr="00582A6A">
              <w:rPr>
                <w:rFonts w:ascii="Times New Roman" w:hAnsi="Times New Roman" w:cs="Times New Roman"/>
                <w:sz w:val="14"/>
                <w:lang w:val="en-GB"/>
              </w:rPr>
              <w:t>vs</w:t>
            </w:r>
            <w:proofErr w:type="spellEnd"/>
            <w:r w:rsidRPr="00582A6A">
              <w:rPr>
                <w:rFonts w:ascii="Times New Roman" w:hAnsi="Times New Roman" w:cs="Times New Roman"/>
                <w:sz w:val="14"/>
                <w:lang w:val="en-GB"/>
              </w:rPr>
              <w:t xml:space="preserve"> 90°</w:t>
            </w:r>
          </w:p>
        </w:tc>
        <w:tc>
          <w:tcPr>
            <w:tcW w:w="1308" w:type="dxa"/>
            <w:tcBorders>
              <w:top w:val="nil"/>
              <w:right w:val="nil"/>
            </w:tcBorders>
            <w:vAlign w:val="center"/>
          </w:tcPr>
          <w:p w14:paraId="537CA45F"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-5.8 (-11.4 ; -0.1)</w:t>
            </w:r>
          </w:p>
        </w:tc>
        <w:tc>
          <w:tcPr>
            <w:tcW w:w="1309" w:type="dxa"/>
            <w:tcBorders>
              <w:top w:val="nil"/>
              <w:left w:val="nil"/>
              <w:right w:val="nil"/>
            </w:tcBorders>
            <w:vAlign w:val="center"/>
          </w:tcPr>
          <w:p w14:paraId="6FBAB49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-0.237</w:t>
            </w:r>
          </w:p>
        </w:tc>
        <w:tc>
          <w:tcPr>
            <w:tcW w:w="1309" w:type="dxa"/>
            <w:tcBorders>
              <w:top w:val="nil"/>
              <w:left w:val="nil"/>
            </w:tcBorders>
            <w:vAlign w:val="center"/>
          </w:tcPr>
          <w:p w14:paraId="68AFDEA6"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0.044</w:t>
            </w:r>
          </w:p>
        </w:tc>
      </w:tr>
    </w:tbl>
    <w:p w14:paraId="3DF0AB02" w14:textId="77777777" w:rsidR="004508A9" w:rsidRPr="00582A6A" w:rsidRDefault="004508A9" w:rsidP="004508A9">
      <w:pPr>
        <w:spacing w:after="0" w:line="240" w:lineRule="auto"/>
        <w:rPr>
          <w:rFonts w:ascii="Times New Roman" w:hAnsi="Times New Roman" w:cs="Times New Roman"/>
          <w:iCs/>
          <w:sz w:val="16"/>
          <w:szCs w:val="16"/>
        </w:rPr>
      </w:pPr>
    </w:p>
    <w:tbl>
      <w:tblPr>
        <w:tblStyle w:val="Grille"/>
        <w:tblW w:w="0" w:type="auto"/>
        <w:tblLook w:val="04A0" w:firstRow="1" w:lastRow="0" w:firstColumn="1" w:lastColumn="0" w:noHBand="0" w:noVBand="1"/>
      </w:tblPr>
      <w:tblGrid>
        <w:gridCol w:w="1308"/>
        <w:gridCol w:w="1308"/>
        <w:gridCol w:w="1309"/>
        <w:gridCol w:w="1309"/>
      </w:tblGrid>
      <w:tr w:rsidR="004508A9" w:rsidRPr="00582A6A" w14:paraId="5641917B" w14:textId="77777777" w:rsidTr="00BD2944">
        <w:tc>
          <w:tcPr>
            <w:tcW w:w="1308" w:type="dxa"/>
            <w:tcBorders>
              <w:top w:val="nil"/>
              <w:left w:val="nil"/>
              <w:bottom w:val="single" w:sz="4" w:space="0" w:color="auto"/>
            </w:tcBorders>
          </w:tcPr>
          <w:p w14:paraId="54DD439E" w14:textId="77777777" w:rsidR="004508A9" w:rsidRPr="00582A6A" w:rsidRDefault="004508A9" w:rsidP="00BD2944">
            <w:pPr>
              <w:spacing w:after="0" w:line="240" w:lineRule="auto"/>
              <w:outlineLvl w:val="2"/>
              <w:rPr>
                <w:rFonts w:ascii="Times New Roman" w:hAnsi="Times New Roman" w:cs="Times New Roman"/>
                <w:sz w:val="14"/>
                <w:lang w:val="en-GB"/>
              </w:rPr>
            </w:pPr>
          </w:p>
        </w:tc>
        <w:tc>
          <w:tcPr>
            <w:tcW w:w="1308" w:type="dxa"/>
            <w:tcBorders>
              <w:left w:val="nil"/>
              <w:bottom w:val="single" w:sz="4" w:space="0" w:color="auto"/>
              <w:right w:val="nil"/>
            </w:tcBorders>
          </w:tcPr>
          <w:p w14:paraId="4777E0B6"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 xml:space="preserve">Mean Diff </w:t>
            </w:r>
            <w:r w:rsidRPr="00582A6A">
              <w:rPr>
                <w:rFonts w:ascii="Times New Roman" w:hAnsi="Times New Roman" w:cs="Times New Roman"/>
                <w:sz w:val="12"/>
                <w:szCs w:val="20"/>
                <w:lang w:val="en-GB"/>
              </w:rPr>
              <w:t xml:space="preserve">(%MVA) </w:t>
            </w:r>
            <w:r w:rsidRPr="00582A6A">
              <w:rPr>
                <w:rFonts w:ascii="Times New Roman" w:hAnsi="Times New Roman" w:cs="Times New Roman"/>
                <w:sz w:val="14"/>
                <w:szCs w:val="14"/>
                <w:lang w:val="en-GB"/>
              </w:rPr>
              <w:t>with 95% CI</w:t>
            </w:r>
          </w:p>
        </w:tc>
        <w:tc>
          <w:tcPr>
            <w:tcW w:w="1309" w:type="dxa"/>
            <w:tcBorders>
              <w:left w:val="nil"/>
              <w:bottom w:val="single" w:sz="4" w:space="0" w:color="auto"/>
              <w:right w:val="nil"/>
            </w:tcBorders>
            <w:vAlign w:val="center"/>
          </w:tcPr>
          <w:p w14:paraId="5CF47790"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Cohen's d</w:t>
            </w:r>
          </w:p>
        </w:tc>
        <w:tc>
          <w:tcPr>
            <w:tcW w:w="1309" w:type="dxa"/>
            <w:tcBorders>
              <w:left w:val="nil"/>
              <w:bottom w:val="single" w:sz="4" w:space="0" w:color="auto"/>
            </w:tcBorders>
          </w:tcPr>
          <w:p w14:paraId="299BBA29" w14:textId="77777777" w:rsidR="004508A9" w:rsidRPr="00582A6A" w:rsidRDefault="004508A9" w:rsidP="00BD2944">
            <w:pPr>
              <w:spacing w:after="0" w:line="240" w:lineRule="auto"/>
              <w:jc w:val="center"/>
              <w:outlineLvl w:val="2"/>
              <w:rPr>
                <w:rFonts w:ascii="Times New Roman" w:hAnsi="Times New Roman" w:cs="Times New Roman"/>
                <w:sz w:val="14"/>
                <w:szCs w:val="14"/>
                <w:lang w:val="en-GB"/>
              </w:rPr>
            </w:pPr>
            <w:r w:rsidRPr="00582A6A">
              <w:rPr>
                <w:rFonts w:ascii="Times New Roman" w:eastAsia="Times New Roman" w:hAnsi="Times New Roman" w:cs="Times New Roman"/>
                <w:bCs/>
                <w:sz w:val="14"/>
                <w:szCs w:val="14"/>
                <w:lang w:eastAsia="fr-FR"/>
              </w:rPr>
              <w:t>p bonf</w:t>
            </w:r>
          </w:p>
        </w:tc>
      </w:tr>
      <w:tr w:rsidR="004508A9" w:rsidRPr="00582A6A" w14:paraId="4E255FEF" w14:textId="77777777" w:rsidTr="00BD2944">
        <w:tc>
          <w:tcPr>
            <w:tcW w:w="1308" w:type="dxa"/>
            <w:tcBorders>
              <w:bottom w:val="nil"/>
            </w:tcBorders>
            <w:vAlign w:val="center"/>
          </w:tcPr>
          <w:p w14:paraId="2C770CAD"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LR</w:t>
            </w:r>
          </w:p>
        </w:tc>
        <w:tc>
          <w:tcPr>
            <w:tcW w:w="1308" w:type="dxa"/>
            <w:tcBorders>
              <w:bottom w:val="nil"/>
              <w:right w:val="nil"/>
            </w:tcBorders>
            <w:vAlign w:val="center"/>
          </w:tcPr>
          <w:p w14:paraId="6E2E1F63"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12.0 (4.1 ; 19.9)</w:t>
            </w:r>
          </w:p>
        </w:tc>
        <w:tc>
          <w:tcPr>
            <w:tcW w:w="1309" w:type="dxa"/>
            <w:tcBorders>
              <w:left w:val="nil"/>
              <w:bottom w:val="nil"/>
              <w:right w:val="nil"/>
            </w:tcBorders>
            <w:vAlign w:val="center"/>
          </w:tcPr>
          <w:p w14:paraId="7A77114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-0.144</w:t>
            </w:r>
          </w:p>
        </w:tc>
        <w:tc>
          <w:tcPr>
            <w:tcW w:w="1309" w:type="dxa"/>
            <w:tcBorders>
              <w:left w:val="nil"/>
              <w:bottom w:val="nil"/>
            </w:tcBorders>
            <w:vAlign w:val="center"/>
          </w:tcPr>
          <w:p w14:paraId="44DF8606"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0.001</w:t>
            </w:r>
          </w:p>
        </w:tc>
      </w:tr>
      <w:tr w:rsidR="004508A9" w:rsidRPr="00582A6A" w14:paraId="141B593A" w14:textId="77777777" w:rsidTr="00BD2944">
        <w:tc>
          <w:tcPr>
            <w:tcW w:w="1308" w:type="dxa"/>
            <w:tcBorders>
              <w:top w:val="nil"/>
              <w:bottom w:val="nil"/>
            </w:tcBorders>
          </w:tcPr>
          <w:p w14:paraId="0ADE1FCE"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NP vs MR</w:t>
            </w:r>
          </w:p>
        </w:tc>
        <w:tc>
          <w:tcPr>
            <w:tcW w:w="1308" w:type="dxa"/>
            <w:tcBorders>
              <w:top w:val="nil"/>
              <w:bottom w:val="nil"/>
              <w:right w:val="nil"/>
            </w:tcBorders>
            <w:vAlign w:val="center"/>
          </w:tcPr>
          <w:p w14:paraId="0676DC5C"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-1.0 (-9.0 ; 6.9)</w:t>
            </w:r>
          </w:p>
        </w:tc>
        <w:tc>
          <w:tcPr>
            <w:tcW w:w="1309" w:type="dxa"/>
            <w:tcBorders>
              <w:top w:val="nil"/>
              <w:left w:val="nil"/>
              <w:bottom w:val="nil"/>
              <w:right w:val="nil"/>
            </w:tcBorders>
            <w:vAlign w:val="center"/>
          </w:tcPr>
          <w:p w14:paraId="18F0639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-0.381</w:t>
            </w:r>
          </w:p>
        </w:tc>
        <w:tc>
          <w:tcPr>
            <w:tcW w:w="1309" w:type="dxa"/>
            <w:tcBorders>
              <w:top w:val="nil"/>
              <w:left w:val="nil"/>
              <w:bottom w:val="nil"/>
            </w:tcBorders>
            <w:vAlign w:val="center"/>
          </w:tcPr>
          <w:p w14:paraId="5928FA68"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1.0</w:t>
            </w:r>
          </w:p>
        </w:tc>
      </w:tr>
      <w:tr w:rsidR="004508A9" w:rsidRPr="00582A6A" w14:paraId="0DB1AC9B" w14:textId="77777777" w:rsidTr="00BD2944">
        <w:tc>
          <w:tcPr>
            <w:tcW w:w="1308" w:type="dxa"/>
            <w:tcBorders>
              <w:top w:val="nil"/>
            </w:tcBorders>
          </w:tcPr>
          <w:p w14:paraId="783AB9B1"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hAnsi="Times New Roman" w:cs="Times New Roman"/>
                <w:sz w:val="14"/>
                <w:lang w:val="en-GB"/>
              </w:rPr>
              <w:t xml:space="preserve">LR </w:t>
            </w:r>
            <w:proofErr w:type="spellStart"/>
            <w:r w:rsidRPr="00582A6A">
              <w:rPr>
                <w:rFonts w:ascii="Times New Roman" w:hAnsi="Times New Roman" w:cs="Times New Roman"/>
                <w:sz w:val="14"/>
                <w:lang w:val="en-GB"/>
              </w:rPr>
              <w:t>vs</w:t>
            </w:r>
            <w:proofErr w:type="spellEnd"/>
            <w:r w:rsidRPr="00582A6A">
              <w:rPr>
                <w:rFonts w:ascii="Times New Roman" w:hAnsi="Times New Roman" w:cs="Times New Roman"/>
                <w:sz w:val="14"/>
                <w:lang w:val="en-GB"/>
              </w:rPr>
              <w:t xml:space="preserve"> MR</w:t>
            </w:r>
          </w:p>
        </w:tc>
        <w:tc>
          <w:tcPr>
            <w:tcW w:w="1308" w:type="dxa"/>
            <w:tcBorders>
              <w:top w:val="nil"/>
              <w:right w:val="nil"/>
            </w:tcBorders>
            <w:vAlign w:val="center"/>
          </w:tcPr>
          <w:p w14:paraId="7FF2C145"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-13.0 (-20.9 ; -5.1)</w:t>
            </w:r>
          </w:p>
        </w:tc>
        <w:tc>
          <w:tcPr>
            <w:tcW w:w="1309" w:type="dxa"/>
            <w:tcBorders>
              <w:top w:val="nil"/>
              <w:left w:val="nil"/>
              <w:right w:val="nil"/>
            </w:tcBorders>
            <w:vAlign w:val="center"/>
          </w:tcPr>
          <w:p w14:paraId="1EED6B94" w14:textId="77777777" w:rsidR="004508A9" w:rsidRPr="00582A6A" w:rsidRDefault="004508A9" w:rsidP="00BD2944">
            <w:pPr>
              <w:spacing w:after="0" w:line="360" w:lineRule="auto"/>
              <w:jc w:val="center"/>
              <w:outlineLvl w:val="2"/>
              <w:rPr>
                <w:rFonts w:ascii="Times New Roman" w:hAnsi="Times New Roman" w:cs="Times New Roman"/>
                <w:sz w:val="14"/>
                <w:lang w:val="en-GB"/>
              </w:rPr>
            </w:pPr>
            <w:r w:rsidRPr="00582A6A">
              <w:rPr>
                <w:rFonts w:ascii="Times New Roman" w:eastAsia="Times New Roman" w:hAnsi="Times New Roman" w:cs="Times New Roman"/>
                <w:sz w:val="14"/>
                <w:szCs w:val="18"/>
                <w:lang w:eastAsia="fr-FR"/>
              </w:rPr>
              <w:t>-0.237</w:t>
            </w:r>
          </w:p>
        </w:tc>
        <w:tc>
          <w:tcPr>
            <w:tcW w:w="1309" w:type="dxa"/>
            <w:tcBorders>
              <w:top w:val="nil"/>
              <w:left w:val="nil"/>
            </w:tcBorders>
            <w:vAlign w:val="center"/>
          </w:tcPr>
          <w:p w14:paraId="1544DBD1" w14:textId="77777777" w:rsidR="004508A9" w:rsidRPr="00582A6A" w:rsidRDefault="004508A9" w:rsidP="00BD2944">
            <w:pPr>
              <w:spacing w:after="0" w:line="360" w:lineRule="auto"/>
              <w:jc w:val="center"/>
              <w:outlineLvl w:val="2"/>
              <w:rPr>
                <w:rFonts w:ascii="Times New Roman" w:hAnsi="Times New Roman" w:cs="Times New Roman"/>
                <w:b/>
                <w:sz w:val="14"/>
                <w:lang w:val="en-GB"/>
              </w:rPr>
            </w:pPr>
            <w:r w:rsidRPr="00582A6A">
              <w:rPr>
                <w:rFonts w:ascii="Times New Roman" w:eastAsia="Times New Roman" w:hAnsi="Times New Roman" w:cs="Times New Roman"/>
                <w:b/>
                <w:sz w:val="14"/>
                <w:szCs w:val="18"/>
                <w:lang w:eastAsia="fr-FR"/>
              </w:rPr>
              <w:t>&lt; 0.001</w:t>
            </w:r>
          </w:p>
        </w:tc>
      </w:tr>
    </w:tbl>
    <w:p w14:paraId="74377B51" w14:textId="77777777" w:rsidR="004508A9" w:rsidRPr="00582A6A" w:rsidRDefault="004508A9" w:rsidP="004508A9">
      <w:pPr>
        <w:spacing w:before="120" w:after="0" w:line="240" w:lineRule="auto"/>
        <w:jc w:val="both"/>
        <w:outlineLvl w:val="2"/>
        <w:rPr>
          <w:rFonts w:ascii="Times New Roman" w:hAnsi="Times New Roman" w:cs="Times New Roman"/>
          <w:sz w:val="18"/>
          <w:lang w:val="en-GB"/>
        </w:rPr>
      </w:pPr>
      <w:r w:rsidRPr="00582A6A">
        <w:rPr>
          <w:rFonts w:ascii="Times New Roman" w:hAnsi="Times New Roman" w:cs="Times New Roman"/>
          <w:i/>
          <w:iCs/>
          <w:sz w:val="16"/>
          <w:szCs w:val="20"/>
        </w:rPr>
        <w:t>Mean diff = mean difference ; 95%CI = 95% confidence interval of mean difference with lower and upper results; Cohen’s d = effect size ; p bonf = p-value of Bonferroni post hoc ; MR = medial rotation; LR = lateral rotation; NP = neutral position</w:t>
      </w:r>
    </w:p>
    <w:p w14:paraId="0F82B76F" w14:textId="77777777" w:rsidR="004508A9" w:rsidRPr="00582A6A" w:rsidRDefault="004508A9" w:rsidP="004508A9">
      <w:pPr>
        <w:spacing w:after="0" w:line="480" w:lineRule="auto"/>
        <w:rPr>
          <w:rFonts w:ascii="Times New Roman" w:hAnsi="Times New Roman" w:cs="Times New Roman"/>
          <w:iCs/>
          <w:sz w:val="24"/>
          <w:szCs w:val="20"/>
        </w:rPr>
      </w:pPr>
    </w:p>
    <w:p w14:paraId="24C3CB1B" w14:textId="77777777" w:rsidR="004508A9" w:rsidRPr="00582A6A" w:rsidRDefault="004508A9" w:rsidP="004508A9">
      <w:pPr>
        <w:spacing w:line="276" w:lineRule="auto"/>
        <w:jc w:val="both"/>
        <w:rPr>
          <w:rFonts w:ascii="Times New Roman" w:hAnsi="Times New Roman" w:cs="Times New Roman"/>
          <w:sz w:val="18"/>
          <w:szCs w:val="18"/>
          <w:lang w:val="en-GB"/>
        </w:rPr>
      </w:pPr>
      <w:r w:rsidRPr="00582A6A">
        <w:rPr>
          <w:rFonts w:ascii="Times New Roman" w:hAnsi="Times New Roman" w:cs="Times New Roman"/>
          <w:b/>
          <w:bCs/>
          <w:sz w:val="18"/>
          <w:u w:val="single"/>
          <w:lang w:val="en-GB"/>
        </w:rPr>
        <w:t>Figure 1</w:t>
      </w:r>
      <w:r w:rsidRPr="00582A6A">
        <w:rPr>
          <w:rFonts w:ascii="Times New Roman" w:hAnsi="Times New Roman" w:cs="Times New Roman"/>
          <w:bCs/>
          <w:sz w:val="18"/>
          <w:lang w:val="en-GB"/>
        </w:rPr>
        <w:t xml:space="preserve"> A. </w:t>
      </w:r>
      <w:r w:rsidRPr="00582A6A">
        <w:rPr>
          <w:rFonts w:ascii="Times New Roman" w:hAnsi="Times New Roman" w:cs="Times New Roman"/>
          <w:sz w:val="18"/>
          <w:szCs w:val="18"/>
          <w:lang w:val="en-GB"/>
        </w:rPr>
        <w:t xml:space="preserve">Fixed model with </w:t>
      </w:r>
      <w:r w:rsidRPr="00582A6A">
        <w:rPr>
          <w:rFonts w:ascii="Times New Roman" w:hAnsi="Times New Roman"/>
          <w:sz w:val="18"/>
          <w:lang w:val="en-US"/>
        </w:rPr>
        <w:t xml:space="preserve">volunteer’s position </w:t>
      </w:r>
      <w:r w:rsidRPr="00582A6A">
        <w:rPr>
          <w:rFonts w:ascii="Times New Roman" w:hAnsi="Times New Roman" w:cs="Times New Roman"/>
          <w:sz w:val="18"/>
          <w:szCs w:val="18"/>
          <w:lang w:val="en-GB"/>
        </w:rPr>
        <w:t>at 90 degrees of hip and 60 degrees of knee flexion. B. 30° of lateral and medial rotation</w:t>
      </w:r>
    </w:p>
    <w:p w14:paraId="0653A3FA" w14:textId="77777777" w:rsidR="004508A9" w:rsidRPr="00582A6A" w:rsidRDefault="004508A9" w:rsidP="004508A9">
      <w:r w:rsidRPr="00582A6A">
        <w:rPr>
          <w:rFonts w:ascii="Times New Roman" w:hAnsi="Times New Roman" w:cs="Times New Roman"/>
          <w:iCs/>
          <w:noProof/>
          <w:sz w:val="16"/>
          <w:szCs w:val="20"/>
          <w:lang w:val="fr-FR" w:eastAsia="fr-FR"/>
        </w:rPr>
        <w:drawing>
          <wp:inline distT="0" distB="0" distL="0" distR="0" wp14:anchorId="436FA832" wp14:editId="2D945105">
            <wp:extent cx="1838960" cy="1913811"/>
            <wp:effectExtent l="0" t="0" r="0" b="0"/>
            <wp:docPr id="3" name="Image 3" descr="Macintosh HD:Users:Antoine:Desktop:Capture d’écran 2021-06-08 à 09.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ine:Desktop:Capture d’écran 2021-06-08 à 09.50.25.png"/>
                    <pic:cNvPicPr>
                      <a:picLocks noChangeAspect="1" noChangeArrowheads="1"/>
                    </pic:cNvPicPr>
                  </pic:nvPicPr>
                  <pic:blipFill rotWithShape="1">
                    <a:blip r:embed="rId7">
                      <a:grayscl/>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l="16641" t="-436" r="14753" b="23325"/>
                    <a:stretch/>
                  </pic:blipFill>
                  <pic:spPr bwMode="auto">
                    <a:xfrm>
                      <a:off x="0" y="0"/>
                      <a:ext cx="1841513" cy="1916468"/>
                    </a:xfrm>
                    <a:prstGeom prst="rect">
                      <a:avLst/>
                    </a:prstGeom>
                    <a:noFill/>
                    <a:ln>
                      <a:noFill/>
                    </a:ln>
                    <a:extLst>
                      <a:ext uri="{53640926-AAD7-44d8-BBD7-CCE9431645EC}">
                        <a14:shadowObscured xmlns:a14="http://schemas.microsoft.com/office/drawing/2010/main"/>
                      </a:ext>
                    </a:extLst>
                  </pic:spPr>
                </pic:pic>
              </a:graphicData>
            </a:graphic>
          </wp:inline>
        </w:drawing>
      </w:r>
      <w:r w:rsidRPr="00582A6A">
        <w:t xml:space="preserve">            </w:t>
      </w:r>
      <w:r w:rsidRPr="00582A6A">
        <w:rPr>
          <w:rFonts w:ascii="Times New Roman" w:hAnsi="Times New Roman" w:cs="Times New Roman"/>
          <w:iCs/>
          <w:noProof/>
          <w:sz w:val="16"/>
          <w:szCs w:val="20"/>
          <w:lang w:val="fr-FR" w:eastAsia="fr-FR"/>
        </w:rPr>
        <w:drawing>
          <wp:inline distT="0" distB="0" distL="0" distR="0" wp14:anchorId="2DF4F1E7" wp14:editId="28F0F087">
            <wp:extent cx="800191" cy="1945707"/>
            <wp:effectExtent l="0" t="0" r="12700" b="10160"/>
            <wp:docPr id="6" name="Image 6" descr="Macintosh HD:Users:Antoine:Downloads: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Downloads:IMG_2067.JPG"/>
                    <pic:cNvPicPr>
                      <a:picLocks noChangeAspect="1" noChangeArrowheads="1"/>
                    </pic:cNvPicPr>
                  </pic:nvPicPr>
                  <pic:blipFill rotWithShape="1">
                    <a:blip r:embed="rId9">
                      <a:grayscl/>
                      <a:extLst>
                        <a:ext uri="{BEBA8EAE-BF5A-486C-A8C5-ECC9F3942E4B}">
                          <a14:imgProps xmlns:a14="http://schemas.microsoft.com/office/drawing/2010/main">
                            <a14:imgLayer r:embed="rId10">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l="50650" r="23936" b="10679"/>
                    <a:stretch/>
                  </pic:blipFill>
                  <pic:spPr bwMode="auto">
                    <a:xfrm flipH="1">
                      <a:off x="0" y="0"/>
                      <a:ext cx="800191" cy="1945707"/>
                    </a:xfrm>
                    <a:prstGeom prst="rect">
                      <a:avLst/>
                    </a:prstGeom>
                    <a:noFill/>
                    <a:ln>
                      <a:noFill/>
                    </a:ln>
                    <a:extLst>
                      <a:ext uri="{53640926-AAD7-44d8-BBD7-CCE9431645EC}">
                        <a14:shadowObscured xmlns:a14="http://schemas.microsoft.com/office/drawing/2010/main"/>
                      </a:ext>
                    </a:extLst>
                  </pic:spPr>
                </pic:pic>
              </a:graphicData>
            </a:graphic>
          </wp:inline>
        </w:drawing>
      </w:r>
      <w:r w:rsidRPr="00582A6A">
        <w:t xml:space="preserve">   </w:t>
      </w:r>
      <w:r w:rsidRPr="00582A6A">
        <w:rPr>
          <w:rFonts w:ascii="Times New Roman" w:hAnsi="Times New Roman" w:cs="Times New Roman"/>
          <w:iCs/>
          <w:noProof/>
          <w:sz w:val="16"/>
          <w:szCs w:val="20"/>
          <w:lang w:val="fr-FR" w:eastAsia="fr-FR"/>
        </w:rPr>
        <w:drawing>
          <wp:inline distT="0" distB="0" distL="0" distR="0" wp14:anchorId="3E483B11" wp14:editId="740ED4B6">
            <wp:extent cx="805543" cy="1945538"/>
            <wp:effectExtent l="0" t="0" r="7620" b="10795"/>
            <wp:docPr id="2" name="Image 2" descr="Macintosh HD:Users:Antoine:Downloads: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oine:Downloads:IMG_2067.JPG"/>
                    <pic:cNvPicPr>
                      <a:picLocks noChangeAspect="1" noChangeArrowheads="1"/>
                    </pic:cNvPicPr>
                  </pic:nvPicPr>
                  <pic:blipFill rotWithShape="1">
                    <a:blip r:embed="rId9">
                      <a:grayscl/>
                      <a:extLst>
                        <a:ext uri="{BEBA8EAE-BF5A-486C-A8C5-ECC9F3942E4B}">
                          <a14:imgProps xmlns:a14="http://schemas.microsoft.com/office/drawing/2010/main">
                            <a14:imgLayer r:embed="rId10">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l="51052" r="23363" b="10679"/>
                    <a:stretch/>
                  </pic:blipFill>
                  <pic:spPr bwMode="auto">
                    <a:xfrm>
                      <a:off x="0" y="0"/>
                      <a:ext cx="805543" cy="1945538"/>
                    </a:xfrm>
                    <a:prstGeom prst="rect">
                      <a:avLst/>
                    </a:prstGeom>
                    <a:noFill/>
                    <a:ln>
                      <a:noFill/>
                    </a:ln>
                    <a:extLst>
                      <a:ext uri="{53640926-AAD7-44d8-BBD7-CCE9431645EC}">
                        <a14:shadowObscured xmlns:a14="http://schemas.microsoft.com/office/drawing/2010/main"/>
                      </a:ext>
                    </a:extLst>
                  </pic:spPr>
                </pic:pic>
              </a:graphicData>
            </a:graphic>
          </wp:inline>
        </w:drawing>
      </w:r>
    </w:p>
    <w:p w14:paraId="17A92086" w14:textId="4A62C459" w:rsidR="00740605" w:rsidRPr="004508A9" w:rsidRDefault="004508A9" w:rsidP="004508A9">
      <w:pPr>
        <w:jc w:val="both"/>
        <w:rPr>
          <w:rFonts w:ascii="Times New Roman" w:hAnsi="Times New Roman" w:cs="Times New Roman"/>
          <w:sz w:val="18"/>
        </w:rPr>
      </w:pPr>
      <w:r w:rsidRPr="00582A6A">
        <w:rPr>
          <w:rFonts w:ascii="Times New Roman" w:hAnsi="Times New Roman" w:cs="Times New Roman"/>
          <w:sz w:val="18"/>
        </w:rPr>
        <w:t xml:space="preserve">Figure 1A </w:t>
      </w:r>
      <w:r w:rsidRPr="00582A6A">
        <w:rPr>
          <w:rFonts w:ascii="Times New Roman" w:hAnsi="Times New Roman" w:cs="Times New Roman"/>
          <w:sz w:val="18"/>
        </w:rPr>
        <w:tab/>
      </w:r>
      <w:r w:rsidRPr="00582A6A">
        <w:rPr>
          <w:rFonts w:ascii="Times New Roman" w:hAnsi="Times New Roman" w:cs="Times New Roman"/>
          <w:sz w:val="18"/>
        </w:rPr>
        <w:tab/>
      </w:r>
      <w:r w:rsidRPr="00582A6A">
        <w:rPr>
          <w:rFonts w:ascii="Times New Roman" w:hAnsi="Times New Roman" w:cs="Times New Roman"/>
          <w:sz w:val="18"/>
        </w:rPr>
        <w:tab/>
      </w:r>
      <w:r w:rsidRPr="00582A6A">
        <w:rPr>
          <w:rFonts w:ascii="Times New Roman" w:hAnsi="Times New Roman" w:cs="Times New Roman"/>
          <w:sz w:val="18"/>
        </w:rPr>
        <w:tab/>
      </w:r>
      <w:r w:rsidRPr="00582A6A">
        <w:rPr>
          <w:rFonts w:ascii="Times New Roman" w:hAnsi="Times New Roman" w:cs="Times New Roman"/>
          <w:sz w:val="18"/>
        </w:rPr>
        <w:tab/>
        <w:t>Figure 1B</w:t>
      </w:r>
    </w:p>
    <w:sectPr w:rsidR="00740605" w:rsidRPr="004508A9" w:rsidSect="00EB5E76">
      <w:pgSz w:w="11900" w:h="16820"/>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Mangal">
    <w:panose1 w:val="00000000000000000000"/>
    <w:charset w:val="01"/>
    <w:family w:val="roman"/>
    <w:notTrueType/>
    <w:pitch w:val="variable"/>
    <w:sig w:usb0="00002000" w:usb1="00000000" w:usb2="00000000" w:usb3="00000000" w:csb0="00000000" w:csb1="00000000"/>
  </w:font>
  <w:font w:name="Segoe UI">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71B"/>
    <w:multiLevelType w:val="hybridMultilevel"/>
    <w:tmpl w:val="71483AD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19F6622"/>
    <w:multiLevelType w:val="hybridMultilevel"/>
    <w:tmpl w:val="C5CCAD8C"/>
    <w:lvl w:ilvl="0" w:tplc="C6E2522C">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6935A8"/>
    <w:multiLevelType w:val="hybridMultilevel"/>
    <w:tmpl w:val="26BAFE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49672B"/>
    <w:multiLevelType w:val="hybridMultilevel"/>
    <w:tmpl w:val="35EC1E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7A6633"/>
    <w:multiLevelType w:val="multilevel"/>
    <w:tmpl w:val="0F2ED1DE"/>
    <w:lvl w:ilvl="0">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nsid w:val="14F64F6C"/>
    <w:multiLevelType w:val="multilevel"/>
    <w:tmpl w:val="08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1C257ECA"/>
    <w:multiLevelType w:val="multilevel"/>
    <w:tmpl w:val="DE26E8A2"/>
    <w:lvl w:ilvl="0">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1E40367A"/>
    <w:multiLevelType w:val="multilevel"/>
    <w:tmpl w:val="EB1E986E"/>
    <w:lvl w:ilvl="0">
      <w:start w:val="1"/>
      <w:numFmt w:val="decimal"/>
      <w:suff w:val="space"/>
      <w:lvlText w:val="%1. "/>
      <w:lvlJc w:val="left"/>
      <w:pPr>
        <w:ind w:left="0" w:firstLine="0"/>
      </w:pPr>
      <w:rPr>
        <w:rFonts w:hint="default"/>
      </w:rPr>
    </w:lvl>
    <w:lvl w:ilvl="1">
      <w:start w:val="1"/>
      <w:numFmt w:val="lowerRoman"/>
      <w:lvlRestart w:val="0"/>
      <w:suff w:val="nothing"/>
      <w:lvlText w:val="%2. "/>
      <w:lvlJc w:val="left"/>
      <w:pPr>
        <w:ind w:left="1134" w:firstLine="0"/>
      </w:pPr>
      <w:rPr>
        <w:rFonts w:hint="default"/>
      </w:rPr>
    </w:lvl>
    <w:lvl w:ilvl="2">
      <w:start w:val="1"/>
      <w:numFmt w:val="none"/>
      <w:pStyle w:val="Titre3"/>
      <w:suff w:val="nothing"/>
      <w:lvlText w:val=""/>
      <w:lvlJc w:val="left"/>
      <w:pPr>
        <w:ind w:left="360" w:firstLine="0"/>
      </w:pPr>
      <w:rPr>
        <w:rFonts w:hint="default"/>
      </w:rPr>
    </w:lvl>
    <w:lvl w:ilvl="3">
      <w:start w:val="1"/>
      <w:numFmt w:val="none"/>
      <w:pStyle w:val="Titre4"/>
      <w:suff w:val="nothing"/>
      <w:lvlText w:val=""/>
      <w:lvlJc w:val="left"/>
      <w:pPr>
        <w:ind w:left="360" w:firstLine="0"/>
      </w:pPr>
      <w:rPr>
        <w:rFonts w:hint="default"/>
      </w:rPr>
    </w:lvl>
    <w:lvl w:ilvl="4">
      <w:start w:val="1"/>
      <w:numFmt w:val="none"/>
      <w:pStyle w:val="Titre5"/>
      <w:suff w:val="nothing"/>
      <w:lvlText w:val=""/>
      <w:lvlJc w:val="left"/>
      <w:pPr>
        <w:ind w:left="360" w:firstLine="0"/>
      </w:pPr>
      <w:rPr>
        <w:rFonts w:hint="default"/>
      </w:rPr>
    </w:lvl>
    <w:lvl w:ilvl="5">
      <w:start w:val="1"/>
      <w:numFmt w:val="none"/>
      <w:pStyle w:val="Titre6"/>
      <w:suff w:val="nothing"/>
      <w:lvlText w:val=""/>
      <w:lvlJc w:val="left"/>
      <w:pPr>
        <w:ind w:left="360" w:firstLine="0"/>
      </w:pPr>
      <w:rPr>
        <w:rFonts w:hint="default"/>
      </w:rPr>
    </w:lvl>
    <w:lvl w:ilvl="6">
      <w:start w:val="1"/>
      <w:numFmt w:val="none"/>
      <w:pStyle w:val="Titre7"/>
      <w:suff w:val="nothing"/>
      <w:lvlText w:val=""/>
      <w:lvlJc w:val="left"/>
      <w:pPr>
        <w:ind w:left="360" w:firstLine="0"/>
      </w:pPr>
      <w:rPr>
        <w:rFonts w:hint="default"/>
      </w:rPr>
    </w:lvl>
    <w:lvl w:ilvl="7">
      <w:start w:val="1"/>
      <w:numFmt w:val="none"/>
      <w:pStyle w:val="Titre8"/>
      <w:suff w:val="nothing"/>
      <w:lvlText w:val=""/>
      <w:lvlJc w:val="left"/>
      <w:pPr>
        <w:ind w:left="360" w:firstLine="0"/>
      </w:pPr>
      <w:rPr>
        <w:rFonts w:hint="default"/>
      </w:rPr>
    </w:lvl>
    <w:lvl w:ilvl="8">
      <w:start w:val="1"/>
      <w:numFmt w:val="none"/>
      <w:pStyle w:val="Titre9"/>
      <w:suff w:val="nothing"/>
      <w:lvlText w:val=""/>
      <w:lvlJc w:val="left"/>
      <w:pPr>
        <w:ind w:left="360" w:firstLine="0"/>
      </w:pPr>
      <w:rPr>
        <w:rFonts w:hint="default"/>
      </w:rPr>
    </w:lvl>
  </w:abstractNum>
  <w:abstractNum w:abstractNumId="8">
    <w:nsid w:val="297A74DC"/>
    <w:multiLevelType w:val="hybridMultilevel"/>
    <w:tmpl w:val="4A389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E0328B"/>
    <w:multiLevelType w:val="multilevel"/>
    <w:tmpl w:val="A5AC2914"/>
    <w:lvl w:ilvl="0">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nsid w:val="2D4E42DD"/>
    <w:multiLevelType w:val="hybridMultilevel"/>
    <w:tmpl w:val="CDC8F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851ABF"/>
    <w:multiLevelType w:val="multilevel"/>
    <w:tmpl w:val="A5AC2914"/>
    <w:lvl w:ilvl="0">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
    <w:nsid w:val="3FB7154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327398"/>
    <w:multiLevelType w:val="hybridMultilevel"/>
    <w:tmpl w:val="9A1CCBE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42E227F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0DA7FA7"/>
    <w:multiLevelType w:val="hybridMultilevel"/>
    <w:tmpl w:val="DB829DA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5C2B1AB4"/>
    <w:multiLevelType w:val="hybridMultilevel"/>
    <w:tmpl w:val="2E364F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42074E3"/>
    <w:multiLevelType w:val="hybridMultilevel"/>
    <w:tmpl w:val="FA6459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6174A5C"/>
    <w:multiLevelType w:val="hybridMultilevel"/>
    <w:tmpl w:val="26BAFE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CA7058D"/>
    <w:multiLevelType w:val="hybridMultilevel"/>
    <w:tmpl w:val="1F205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E592DE7"/>
    <w:multiLevelType w:val="hybridMultilevel"/>
    <w:tmpl w:val="26BAFE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7321598"/>
    <w:multiLevelType w:val="hybridMultilevel"/>
    <w:tmpl w:val="B0DC685C"/>
    <w:lvl w:ilvl="0" w:tplc="FD6A886A">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7D893408"/>
    <w:multiLevelType w:val="hybridMultilevel"/>
    <w:tmpl w:val="C1101488"/>
    <w:lvl w:ilvl="0" w:tplc="FA622E52">
      <w:start w:val="1"/>
      <w:numFmt w:val="decimal"/>
      <w:lvlText w:val="%1."/>
      <w:lvlJc w:val="left"/>
      <w:pPr>
        <w:ind w:left="360" w:hanging="360"/>
      </w:pPr>
      <w:rPr>
        <w:sz w:val="18"/>
      </w:rPr>
    </w:lvl>
    <w:lvl w:ilvl="1" w:tplc="2878EF5E">
      <w:start w:val="1"/>
      <w:numFmt w:val="upperRoman"/>
      <w:lvlText w:val="%2."/>
      <w:lvlJc w:val="left"/>
      <w:pPr>
        <w:ind w:left="1440" w:hanging="72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4"/>
  </w:num>
  <w:num w:numId="2">
    <w:abstractNumId w:val="1"/>
  </w:num>
  <w:num w:numId="3">
    <w:abstractNumId w:val="5"/>
  </w:num>
  <w:num w:numId="4">
    <w:abstractNumId w:val="16"/>
  </w:num>
  <w:num w:numId="5">
    <w:abstractNumId w:val="12"/>
  </w:num>
  <w:num w:numId="6">
    <w:abstractNumId w:val="0"/>
  </w:num>
  <w:num w:numId="7">
    <w:abstractNumId w:val="13"/>
  </w:num>
  <w:num w:numId="8">
    <w:abstractNumId w:val="15"/>
  </w:num>
  <w:num w:numId="9">
    <w:abstractNumId w:val="17"/>
  </w:num>
  <w:num w:numId="10">
    <w:abstractNumId w:val="22"/>
  </w:num>
  <w:num w:numId="11">
    <w:abstractNumId w:val="8"/>
  </w:num>
  <w:num w:numId="12">
    <w:abstractNumId w:val="18"/>
  </w:num>
  <w:num w:numId="13">
    <w:abstractNumId w:val="20"/>
  </w:num>
  <w:num w:numId="14">
    <w:abstractNumId w:val="2"/>
  </w:num>
  <w:num w:numId="15">
    <w:abstractNumId w:val="3"/>
  </w:num>
  <w:num w:numId="16">
    <w:abstractNumId w:val="19"/>
  </w:num>
  <w:num w:numId="17">
    <w:abstractNumId w:val="10"/>
  </w:num>
  <w:num w:numId="18">
    <w:abstractNumId w:val="6"/>
  </w:num>
  <w:num w:numId="19">
    <w:abstractNumId w:val="11"/>
  </w:num>
  <w:num w:numId="20">
    <w:abstractNumId w:val="4"/>
  </w:num>
  <w:num w:numId="21">
    <w:abstractNumId w:val="9"/>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61"/>
    <w:rsid w:val="00001817"/>
    <w:rsid w:val="000050EB"/>
    <w:rsid w:val="00005BA2"/>
    <w:rsid w:val="00006A35"/>
    <w:rsid w:val="0000769B"/>
    <w:rsid w:val="0000782F"/>
    <w:rsid w:val="00013BF3"/>
    <w:rsid w:val="00013C12"/>
    <w:rsid w:val="000141D2"/>
    <w:rsid w:val="00015966"/>
    <w:rsid w:val="0001607A"/>
    <w:rsid w:val="00020335"/>
    <w:rsid w:val="000210B1"/>
    <w:rsid w:val="000231E3"/>
    <w:rsid w:val="00023E99"/>
    <w:rsid w:val="00024031"/>
    <w:rsid w:val="00024D76"/>
    <w:rsid w:val="00030227"/>
    <w:rsid w:val="00031818"/>
    <w:rsid w:val="000328CA"/>
    <w:rsid w:val="000332F8"/>
    <w:rsid w:val="00035BF6"/>
    <w:rsid w:val="00037FF3"/>
    <w:rsid w:val="00040B18"/>
    <w:rsid w:val="000420E1"/>
    <w:rsid w:val="000425D2"/>
    <w:rsid w:val="00044F78"/>
    <w:rsid w:val="000456DC"/>
    <w:rsid w:val="00047671"/>
    <w:rsid w:val="00055921"/>
    <w:rsid w:val="00055BDE"/>
    <w:rsid w:val="0005621F"/>
    <w:rsid w:val="0006017D"/>
    <w:rsid w:val="00061B7D"/>
    <w:rsid w:val="000632C0"/>
    <w:rsid w:val="000658E7"/>
    <w:rsid w:val="0006755E"/>
    <w:rsid w:val="00071F17"/>
    <w:rsid w:val="00073417"/>
    <w:rsid w:val="000750F3"/>
    <w:rsid w:val="0007574A"/>
    <w:rsid w:val="00077C46"/>
    <w:rsid w:val="000818B8"/>
    <w:rsid w:val="000825FD"/>
    <w:rsid w:val="0008286A"/>
    <w:rsid w:val="00084677"/>
    <w:rsid w:val="00084A2B"/>
    <w:rsid w:val="00084F90"/>
    <w:rsid w:val="000874DB"/>
    <w:rsid w:val="00087EF1"/>
    <w:rsid w:val="00091C11"/>
    <w:rsid w:val="00091EC6"/>
    <w:rsid w:val="00092241"/>
    <w:rsid w:val="0009298E"/>
    <w:rsid w:val="00096503"/>
    <w:rsid w:val="00096952"/>
    <w:rsid w:val="000A2DB6"/>
    <w:rsid w:val="000A3A1A"/>
    <w:rsid w:val="000A3B81"/>
    <w:rsid w:val="000A57F4"/>
    <w:rsid w:val="000B69A2"/>
    <w:rsid w:val="000B7567"/>
    <w:rsid w:val="000C1D48"/>
    <w:rsid w:val="000C31C0"/>
    <w:rsid w:val="000C4F7D"/>
    <w:rsid w:val="000C55B0"/>
    <w:rsid w:val="000C57FE"/>
    <w:rsid w:val="000D01AE"/>
    <w:rsid w:val="000D37C9"/>
    <w:rsid w:val="000D3C0E"/>
    <w:rsid w:val="000D794D"/>
    <w:rsid w:val="000E179C"/>
    <w:rsid w:val="000E2270"/>
    <w:rsid w:val="000E2798"/>
    <w:rsid w:val="000E4301"/>
    <w:rsid w:val="000E5BF2"/>
    <w:rsid w:val="000E6771"/>
    <w:rsid w:val="000E7311"/>
    <w:rsid w:val="000F01D3"/>
    <w:rsid w:val="000F0EAE"/>
    <w:rsid w:val="000F428B"/>
    <w:rsid w:val="000F4E80"/>
    <w:rsid w:val="000F574D"/>
    <w:rsid w:val="00102C08"/>
    <w:rsid w:val="00103F0C"/>
    <w:rsid w:val="0010518E"/>
    <w:rsid w:val="00106D2A"/>
    <w:rsid w:val="00111CBD"/>
    <w:rsid w:val="00112C2E"/>
    <w:rsid w:val="0011424E"/>
    <w:rsid w:val="00114BA5"/>
    <w:rsid w:val="001206AF"/>
    <w:rsid w:val="00121254"/>
    <w:rsid w:val="00121C36"/>
    <w:rsid w:val="00121CAE"/>
    <w:rsid w:val="00122D20"/>
    <w:rsid w:val="0012487A"/>
    <w:rsid w:val="001256DD"/>
    <w:rsid w:val="001279DC"/>
    <w:rsid w:val="001311CF"/>
    <w:rsid w:val="0013375C"/>
    <w:rsid w:val="00135699"/>
    <w:rsid w:val="00137B5E"/>
    <w:rsid w:val="00143448"/>
    <w:rsid w:val="00143A9D"/>
    <w:rsid w:val="0014663C"/>
    <w:rsid w:val="00146AC1"/>
    <w:rsid w:val="00146C28"/>
    <w:rsid w:val="001476B0"/>
    <w:rsid w:val="00147CC3"/>
    <w:rsid w:val="001527A5"/>
    <w:rsid w:val="00156DED"/>
    <w:rsid w:val="00157DC0"/>
    <w:rsid w:val="00160241"/>
    <w:rsid w:val="00162550"/>
    <w:rsid w:val="00163081"/>
    <w:rsid w:val="0016344E"/>
    <w:rsid w:val="00165DF2"/>
    <w:rsid w:val="00166485"/>
    <w:rsid w:val="001666E2"/>
    <w:rsid w:val="001725CD"/>
    <w:rsid w:val="00176817"/>
    <w:rsid w:val="00176BF9"/>
    <w:rsid w:val="0018076A"/>
    <w:rsid w:val="00183C0D"/>
    <w:rsid w:val="0018419B"/>
    <w:rsid w:val="00184576"/>
    <w:rsid w:val="0019286E"/>
    <w:rsid w:val="00192D0B"/>
    <w:rsid w:val="001A40D8"/>
    <w:rsid w:val="001A5E84"/>
    <w:rsid w:val="001A61FB"/>
    <w:rsid w:val="001A70F7"/>
    <w:rsid w:val="001A72F4"/>
    <w:rsid w:val="001B1D92"/>
    <w:rsid w:val="001B1F01"/>
    <w:rsid w:val="001B3EA7"/>
    <w:rsid w:val="001B42DE"/>
    <w:rsid w:val="001B6926"/>
    <w:rsid w:val="001B69DA"/>
    <w:rsid w:val="001B7250"/>
    <w:rsid w:val="001C07A2"/>
    <w:rsid w:val="001C0CDB"/>
    <w:rsid w:val="001C23ED"/>
    <w:rsid w:val="001C2501"/>
    <w:rsid w:val="001C3079"/>
    <w:rsid w:val="001C34BF"/>
    <w:rsid w:val="001C4F8E"/>
    <w:rsid w:val="001C73CF"/>
    <w:rsid w:val="001D29D5"/>
    <w:rsid w:val="001D335C"/>
    <w:rsid w:val="001D3C17"/>
    <w:rsid w:val="001D5423"/>
    <w:rsid w:val="001D5D4E"/>
    <w:rsid w:val="001D68F7"/>
    <w:rsid w:val="001E033B"/>
    <w:rsid w:val="001E22CF"/>
    <w:rsid w:val="001E24B7"/>
    <w:rsid w:val="001E3E00"/>
    <w:rsid w:val="001E455D"/>
    <w:rsid w:val="001F0E52"/>
    <w:rsid w:val="001F151B"/>
    <w:rsid w:val="001F327D"/>
    <w:rsid w:val="001F65E9"/>
    <w:rsid w:val="001F7405"/>
    <w:rsid w:val="001F7406"/>
    <w:rsid w:val="001F7D26"/>
    <w:rsid w:val="0020171A"/>
    <w:rsid w:val="00202224"/>
    <w:rsid w:val="002034E2"/>
    <w:rsid w:val="00207151"/>
    <w:rsid w:val="00211B19"/>
    <w:rsid w:val="00211B80"/>
    <w:rsid w:val="00216038"/>
    <w:rsid w:val="00220970"/>
    <w:rsid w:val="00220C0D"/>
    <w:rsid w:val="00221081"/>
    <w:rsid w:val="00224B86"/>
    <w:rsid w:val="00225206"/>
    <w:rsid w:val="00225F9B"/>
    <w:rsid w:val="00227C13"/>
    <w:rsid w:val="00231BAF"/>
    <w:rsid w:val="00231FF2"/>
    <w:rsid w:val="00235A17"/>
    <w:rsid w:val="002371CB"/>
    <w:rsid w:val="00242002"/>
    <w:rsid w:val="002458C6"/>
    <w:rsid w:val="00246C88"/>
    <w:rsid w:val="00247859"/>
    <w:rsid w:val="00252682"/>
    <w:rsid w:val="002545A7"/>
    <w:rsid w:val="00254808"/>
    <w:rsid w:val="002563C7"/>
    <w:rsid w:val="0025661C"/>
    <w:rsid w:val="00261229"/>
    <w:rsid w:val="00264DF9"/>
    <w:rsid w:val="00266E7E"/>
    <w:rsid w:val="002675D1"/>
    <w:rsid w:val="00271C17"/>
    <w:rsid w:val="002740E0"/>
    <w:rsid w:val="00274446"/>
    <w:rsid w:val="002756DD"/>
    <w:rsid w:val="00280FBD"/>
    <w:rsid w:val="0028276B"/>
    <w:rsid w:val="002831BE"/>
    <w:rsid w:val="00284A28"/>
    <w:rsid w:val="00291338"/>
    <w:rsid w:val="00291455"/>
    <w:rsid w:val="00291B17"/>
    <w:rsid w:val="002A1EB4"/>
    <w:rsid w:val="002A4098"/>
    <w:rsid w:val="002A4432"/>
    <w:rsid w:val="002A6837"/>
    <w:rsid w:val="002A6D36"/>
    <w:rsid w:val="002B1327"/>
    <w:rsid w:val="002B3A8E"/>
    <w:rsid w:val="002B69BB"/>
    <w:rsid w:val="002B779B"/>
    <w:rsid w:val="002C433E"/>
    <w:rsid w:val="002C496D"/>
    <w:rsid w:val="002C4B5A"/>
    <w:rsid w:val="002C60AD"/>
    <w:rsid w:val="002C6341"/>
    <w:rsid w:val="002D2223"/>
    <w:rsid w:val="002D2B60"/>
    <w:rsid w:val="002D4200"/>
    <w:rsid w:val="002D4E43"/>
    <w:rsid w:val="002D53A7"/>
    <w:rsid w:val="002E135F"/>
    <w:rsid w:val="002E18B2"/>
    <w:rsid w:val="002E1A0B"/>
    <w:rsid w:val="002E2526"/>
    <w:rsid w:val="002E2DD8"/>
    <w:rsid w:val="002E43DD"/>
    <w:rsid w:val="002E6C67"/>
    <w:rsid w:val="002F1478"/>
    <w:rsid w:val="002F1819"/>
    <w:rsid w:val="002F2791"/>
    <w:rsid w:val="002F2AD9"/>
    <w:rsid w:val="002F3585"/>
    <w:rsid w:val="002F3586"/>
    <w:rsid w:val="002F3F94"/>
    <w:rsid w:val="002F769D"/>
    <w:rsid w:val="002F7B5B"/>
    <w:rsid w:val="002F7F77"/>
    <w:rsid w:val="003008E9"/>
    <w:rsid w:val="00301AF6"/>
    <w:rsid w:val="00301D99"/>
    <w:rsid w:val="00302D66"/>
    <w:rsid w:val="00303513"/>
    <w:rsid w:val="00305C3F"/>
    <w:rsid w:val="00306C49"/>
    <w:rsid w:val="00312EF2"/>
    <w:rsid w:val="00313F64"/>
    <w:rsid w:val="0032087B"/>
    <w:rsid w:val="00324873"/>
    <w:rsid w:val="00324CF2"/>
    <w:rsid w:val="00336F27"/>
    <w:rsid w:val="00336FFE"/>
    <w:rsid w:val="003453B9"/>
    <w:rsid w:val="00346977"/>
    <w:rsid w:val="00350E9D"/>
    <w:rsid w:val="00352612"/>
    <w:rsid w:val="00363D66"/>
    <w:rsid w:val="00365645"/>
    <w:rsid w:val="00365CAC"/>
    <w:rsid w:val="003703F6"/>
    <w:rsid w:val="00371471"/>
    <w:rsid w:val="003719E3"/>
    <w:rsid w:val="003731A6"/>
    <w:rsid w:val="003752C8"/>
    <w:rsid w:val="00375FAE"/>
    <w:rsid w:val="00376476"/>
    <w:rsid w:val="003766DC"/>
    <w:rsid w:val="003775E1"/>
    <w:rsid w:val="00380B5A"/>
    <w:rsid w:val="00381A6A"/>
    <w:rsid w:val="003837BA"/>
    <w:rsid w:val="00383947"/>
    <w:rsid w:val="00384862"/>
    <w:rsid w:val="00387E7C"/>
    <w:rsid w:val="00391F1E"/>
    <w:rsid w:val="0039255B"/>
    <w:rsid w:val="003952A2"/>
    <w:rsid w:val="003A101D"/>
    <w:rsid w:val="003A4EFC"/>
    <w:rsid w:val="003A7203"/>
    <w:rsid w:val="003A7A5B"/>
    <w:rsid w:val="003B28D8"/>
    <w:rsid w:val="003B6297"/>
    <w:rsid w:val="003C017B"/>
    <w:rsid w:val="003C1B47"/>
    <w:rsid w:val="003C24E7"/>
    <w:rsid w:val="003C32EC"/>
    <w:rsid w:val="003C5236"/>
    <w:rsid w:val="003C59C8"/>
    <w:rsid w:val="003C67B6"/>
    <w:rsid w:val="003D08A7"/>
    <w:rsid w:val="003D16BD"/>
    <w:rsid w:val="003D40FF"/>
    <w:rsid w:val="003D767F"/>
    <w:rsid w:val="003D7A68"/>
    <w:rsid w:val="003E1DE6"/>
    <w:rsid w:val="003E4DD8"/>
    <w:rsid w:val="003F37D4"/>
    <w:rsid w:val="003F51A2"/>
    <w:rsid w:val="003F5E33"/>
    <w:rsid w:val="003F6DB1"/>
    <w:rsid w:val="00402B3A"/>
    <w:rsid w:val="0040467C"/>
    <w:rsid w:val="00404841"/>
    <w:rsid w:val="004058F1"/>
    <w:rsid w:val="00410E6F"/>
    <w:rsid w:val="00413F8B"/>
    <w:rsid w:val="00416617"/>
    <w:rsid w:val="0041689E"/>
    <w:rsid w:val="004224F3"/>
    <w:rsid w:val="004252D0"/>
    <w:rsid w:val="00426D3B"/>
    <w:rsid w:val="0043012A"/>
    <w:rsid w:val="00431E69"/>
    <w:rsid w:val="004330C8"/>
    <w:rsid w:val="004356C0"/>
    <w:rsid w:val="00436851"/>
    <w:rsid w:val="00437D2A"/>
    <w:rsid w:val="004418EB"/>
    <w:rsid w:val="0044230A"/>
    <w:rsid w:val="00442989"/>
    <w:rsid w:val="00443C73"/>
    <w:rsid w:val="00445EF5"/>
    <w:rsid w:val="00447140"/>
    <w:rsid w:val="004508A9"/>
    <w:rsid w:val="00450E21"/>
    <w:rsid w:val="00453086"/>
    <w:rsid w:val="0045410B"/>
    <w:rsid w:val="00454D78"/>
    <w:rsid w:val="004561DC"/>
    <w:rsid w:val="004566F1"/>
    <w:rsid w:val="0046094B"/>
    <w:rsid w:val="00462A24"/>
    <w:rsid w:val="00464A54"/>
    <w:rsid w:val="00464D46"/>
    <w:rsid w:val="00465BB1"/>
    <w:rsid w:val="004703D8"/>
    <w:rsid w:val="00471C41"/>
    <w:rsid w:val="004754BD"/>
    <w:rsid w:val="0047649B"/>
    <w:rsid w:val="00480877"/>
    <w:rsid w:val="00481172"/>
    <w:rsid w:val="00484DDA"/>
    <w:rsid w:val="0048535B"/>
    <w:rsid w:val="00487E89"/>
    <w:rsid w:val="004931BC"/>
    <w:rsid w:val="0049329D"/>
    <w:rsid w:val="00493E06"/>
    <w:rsid w:val="004A00F7"/>
    <w:rsid w:val="004A043A"/>
    <w:rsid w:val="004A1B68"/>
    <w:rsid w:val="004A410F"/>
    <w:rsid w:val="004A6794"/>
    <w:rsid w:val="004A6EC0"/>
    <w:rsid w:val="004B359C"/>
    <w:rsid w:val="004B3862"/>
    <w:rsid w:val="004B3EB7"/>
    <w:rsid w:val="004B4C19"/>
    <w:rsid w:val="004B5183"/>
    <w:rsid w:val="004B6EF1"/>
    <w:rsid w:val="004B788F"/>
    <w:rsid w:val="004B7FD1"/>
    <w:rsid w:val="004C0826"/>
    <w:rsid w:val="004C09B7"/>
    <w:rsid w:val="004C2099"/>
    <w:rsid w:val="004C2881"/>
    <w:rsid w:val="004C3327"/>
    <w:rsid w:val="004C73C2"/>
    <w:rsid w:val="004D24AE"/>
    <w:rsid w:val="004D4197"/>
    <w:rsid w:val="004D6F4A"/>
    <w:rsid w:val="004D7616"/>
    <w:rsid w:val="004D7DC8"/>
    <w:rsid w:val="004D7EBE"/>
    <w:rsid w:val="004E3B0C"/>
    <w:rsid w:val="004E66DB"/>
    <w:rsid w:val="004F2A25"/>
    <w:rsid w:val="004F4479"/>
    <w:rsid w:val="004F5F7A"/>
    <w:rsid w:val="0050484B"/>
    <w:rsid w:val="0050590D"/>
    <w:rsid w:val="00511635"/>
    <w:rsid w:val="005162BE"/>
    <w:rsid w:val="00516E28"/>
    <w:rsid w:val="00524CE7"/>
    <w:rsid w:val="0052743A"/>
    <w:rsid w:val="00527A58"/>
    <w:rsid w:val="005310C4"/>
    <w:rsid w:val="005318E5"/>
    <w:rsid w:val="00532EDD"/>
    <w:rsid w:val="0053461C"/>
    <w:rsid w:val="005359CE"/>
    <w:rsid w:val="00535CC1"/>
    <w:rsid w:val="00540427"/>
    <w:rsid w:val="00540BBD"/>
    <w:rsid w:val="00540CD0"/>
    <w:rsid w:val="0054222F"/>
    <w:rsid w:val="00542306"/>
    <w:rsid w:val="0054405E"/>
    <w:rsid w:val="0054417A"/>
    <w:rsid w:val="005470D0"/>
    <w:rsid w:val="005510A1"/>
    <w:rsid w:val="00551F82"/>
    <w:rsid w:val="0055231C"/>
    <w:rsid w:val="005525F7"/>
    <w:rsid w:val="00552A44"/>
    <w:rsid w:val="00552B00"/>
    <w:rsid w:val="005573C9"/>
    <w:rsid w:val="00560E24"/>
    <w:rsid w:val="00564FE8"/>
    <w:rsid w:val="00565448"/>
    <w:rsid w:val="00566ADC"/>
    <w:rsid w:val="00570752"/>
    <w:rsid w:val="00572130"/>
    <w:rsid w:val="0057744C"/>
    <w:rsid w:val="00577476"/>
    <w:rsid w:val="00577940"/>
    <w:rsid w:val="00580913"/>
    <w:rsid w:val="00580A04"/>
    <w:rsid w:val="00583A3E"/>
    <w:rsid w:val="0058468E"/>
    <w:rsid w:val="005854EF"/>
    <w:rsid w:val="0058634D"/>
    <w:rsid w:val="0059061B"/>
    <w:rsid w:val="00591183"/>
    <w:rsid w:val="00591372"/>
    <w:rsid w:val="005952B5"/>
    <w:rsid w:val="005A1DF2"/>
    <w:rsid w:val="005A3268"/>
    <w:rsid w:val="005A34DA"/>
    <w:rsid w:val="005A559D"/>
    <w:rsid w:val="005B14B2"/>
    <w:rsid w:val="005B2D5E"/>
    <w:rsid w:val="005B4338"/>
    <w:rsid w:val="005B4617"/>
    <w:rsid w:val="005B4D3E"/>
    <w:rsid w:val="005B53A1"/>
    <w:rsid w:val="005B6A72"/>
    <w:rsid w:val="005C0086"/>
    <w:rsid w:val="005C0AD1"/>
    <w:rsid w:val="005C49A0"/>
    <w:rsid w:val="005C606A"/>
    <w:rsid w:val="005C6CE2"/>
    <w:rsid w:val="005D09B8"/>
    <w:rsid w:val="005D0D25"/>
    <w:rsid w:val="005D179E"/>
    <w:rsid w:val="005D2929"/>
    <w:rsid w:val="005D4E1D"/>
    <w:rsid w:val="005D5461"/>
    <w:rsid w:val="005D5DD6"/>
    <w:rsid w:val="005D6532"/>
    <w:rsid w:val="005D6C2C"/>
    <w:rsid w:val="005D6EF4"/>
    <w:rsid w:val="005E117F"/>
    <w:rsid w:val="005E3F04"/>
    <w:rsid w:val="005E4BF8"/>
    <w:rsid w:val="005F4C92"/>
    <w:rsid w:val="005F514F"/>
    <w:rsid w:val="005F547B"/>
    <w:rsid w:val="005F6A79"/>
    <w:rsid w:val="005F6AB4"/>
    <w:rsid w:val="005F73EF"/>
    <w:rsid w:val="00604466"/>
    <w:rsid w:val="00607031"/>
    <w:rsid w:val="00607403"/>
    <w:rsid w:val="006118AC"/>
    <w:rsid w:val="00611AC8"/>
    <w:rsid w:val="00614BF0"/>
    <w:rsid w:val="00615C72"/>
    <w:rsid w:val="00620274"/>
    <w:rsid w:val="00625252"/>
    <w:rsid w:val="00625AF0"/>
    <w:rsid w:val="0062629F"/>
    <w:rsid w:val="006266DF"/>
    <w:rsid w:val="006278FA"/>
    <w:rsid w:val="0063026E"/>
    <w:rsid w:val="006356F2"/>
    <w:rsid w:val="00641861"/>
    <w:rsid w:val="0064194E"/>
    <w:rsid w:val="00643507"/>
    <w:rsid w:val="00643887"/>
    <w:rsid w:val="00643E44"/>
    <w:rsid w:val="00645109"/>
    <w:rsid w:val="00647950"/>
    <w:rsid w:val="00653192"/>
    <w:rsid w:val="00653B8D"/>
    <w:rsid w:val="0065480B"/>
    <w:rsid w:val="00654BE7"/>
    <w:rsid w:val="006559B3"/>
    <w:rsid w:val="0065664D"/>
    <w:rsid w:val="006632A8"/>
    <w:rsid w:val="00664241"/>
    <w:rsid w:val="006651B8"/>
    <w:rsid w:val="006709FB"/>
    <w:rsid w:val="00671B1F"/>
    <w:rsid w:val="00671C93"/>
    <w:rsid w:val="00680FAC"/>
    <w:rsid w:val="00681ECB"/>
    <w:rsid w:val="00682D49"/>
    <w:rsid w:val="00684060"/>
    <w:rsid w:val="00684A58"/>
    <w:rsid w:val="00684E89"/>
    <w:rsid w:val="006859FF"/>
    <w:rsid w:val="00687A2C"/>
    <w:rsid w:val="006909E0"/>
    <w:rsid w:val="006922B4"/>
    <w:rsid w:val="00692CE7"/>
    <w:rsid w:val="006946D3"/>
    <w:rsid w:val="006A008C"/>
    <w:rsid w:val="006A09A7"/>
    <w:rsid w:val="006A0A8B"/>
    <w:rsid w:val="006A20F2"/>
    <w:rsid w:val="006A34CD"/>
    <w:rsid w:val="006A437C"/>
    <w:rsid w:val="006A5B76"/>
    <w:rsid w:val="006A676C"/>
    <w:rsid w:val="006A6BE8"/>
    <w:rsid w:val="006B1490"/>
    <w:rsid w:val="006B1630"/>
    <w:rsid w:val="006B1926"/>
    <w:rsid w:val="006B1C25"/>
    <w:rsid w:val="006B5367"/>
    <w:rsid w:val="006B7917"/>
    <w:rsid w:val="006C2817"/>
    <w:rsid w:val="006C3AE2"/>
    <w:rsid w:val="006C4149"/>
    <w:rsid w:val="006C4654"/>
    <w:rsid w:val="006C52D2"/>
    <w:rsid w:val="006C5AE9"/>
    <w:rsid w:val="006C7FC8"/>
    <w:rsid w:val="006D02D5"/>
    <w:rsid w:val="006D0D57"/>
    <w:rsid w:val="006D45B2"/>
    <w:rsid w:val="006D4AA3"/>
    <w:rsid w:val="006D71C8"/>
    <w:rsid w:val="006E215A"/>
    <w:rsid w:val="006E440D"/>
    <w:rsid w:val="006E4D01"/>
    <w:rsid w:val="006E5170"/>
    <w:rsid w:val="006E5A1D"/>
    <w:rsid w:val="006E6369"/>
    <w:rsid w:val="006F15A0"/>
    <w:rsid w:val="006F1D6B"/>
    <w:rsid w:val="006F1F0C"/>
    <w:rsid w:val="006F2375"/>
    <w:rsid w:val="006F474D"/>
    <w:rsid w:val="006F5AFE"/>
    <w:rsid w:val="006F647D"/>
    <w:rsid w:val="006F6BCC"/>
    <w:rsid w:val="00700F7A"/>
    <w:rsid w:val="0070112F"/>
    <w:rsid w:val="0070258A"/>
    <w:rsid w:val="007033E8"/>
    <w:rsid w:val="007051BD"/>
    <w:rsid w:val="00707826"/>
    <w:rsid w:val="00707AED"/>
    <w:rsid w:val="007100EC"/>
    <w:rsid w:val="00711531"/>
    <w:rsid w:val="00712158"/>
    <w:rsid w:val="0071551C"/>
    <w:rsid w:val="007155ED"/>
    <w:rsid w:val="007163AE"/>
    <w:rsid w:val="00716850"/>
    <w:rsid w:val="00722663"/>
    <w:rsid w:val="00722DAC"/>
    <w:rsid w:val="007230D7"/>
    <w:rsid w:val="00724AF7"/>
    <w:rsid w:val="00725C56"/>
    <w:rsid w:val="0072684E"/>
    <w:rsid w:val="00727106"/>
    <w:rsid w:val="00727249"/>
    <w:rsid w:val="00731DBE"/>
    <w:rsid w:val="00732B6E"/>
    <w:rsid w:val="00740605"/>
    <w:rsid w:val="00740652"/>
    <w:rsid w:val="0074089B"/>
    <w:rsid w:val="0074173E"/>
    <w:rsid w:val="0074543A"/>
    <w:rsid w:val="00750F26"/>
    <w:rsid w:val="007547D8"/>
    <w:rsid w:val="00756F00"/>
    <w:rsid w:val="00757B33"/>
    <w:rsid w:val="007657EB"/>
    <w:rsid w:val="007710F9"/>
    <w:rsid w:val="0077168C"/>
    <w:rsid w:val="00771952"/>
    <w:rsid w:val="00773CE3"/>
    <w:rsid w:val="00774619"/>
    <w:rsid w:val="007748B6"/>
    <w:rsid w:val="0077575E"/>
    <w:rsid w:val="00775AC6"/>
    <w:rsid w:val="007815D4"/>
    <w:rsid w:val="00782920"/>
    <w:rsid w:val="00783673"/>
    <w:rsid w:val="007853EB"/>
    <w:rsid w:val="00786111"/>
    <w:rsid w:val="007861E8"/>
    <w:rsid w:val="007876A1"/>
    <w:rsid w:val="00790589"/>
    <w:rsid w:val="0079103F"/>
    <w:rsid w:val="007938F5"/>
    <w:rsid w:val="00794287"/>
    <w:rsid w:val="00796955"/>
    <w:rsid w:val="00797723"/>
    <w:rsid w:val="00797DB3"/>
    <w:rsid w:val="007A1323"/>
    <w:rsid w:val="007A71B1"/>
    <w:rsid w:val="007B0A98"/>
    <w:rsid w:val="007B16BD"/>
    <w:rsid w:val="007B24DC"/>
    <w:rsid w:val="007B370B"/>
    <w:rsid w:val="007B53E0"/>
    <w:rsid w:val="007C03F4"/>
    <w:rsid w:val="007C0438"/>
    <w:rsid w:val="007C083B"/>
    <w:rsid w:val="007C11D2"/>
    <w:rsid w:val="007C13C6"/>
    <w:rsid w:val="007C459D"/>
    <w:rsid w:val="007C4B56"/>
    <w:rsid w:val="007C6043"/>
    <w:rsid w:val="007C7F99"/>
    <w:rsid w:val="007D19EE"/>
    <w:rsid w:val="007D2377"/>
    <w:rsid w:val="007D3422"/>
    <w:rsid w:val="007D3EFC"/>
    <w:rsid w:val="007D4B0C"/>
    <w:rsid w:val="007E32E5"/>
    <w:rsid w:val="007E35C1"/>
    <w:rsid w:val="007E70DE"/>
    <w:rsid w:val="007F06BB"/>
    <w:rsid w:val="007F0E15"/>
    <w:rsid w:val="007F1879"/>
    <w:rsid w:val="007F4767"/>
    <w:rsid w:val="007F6301"/>
    <w:rsid w:val="007F64C2"/>
    <w:rsid w:val="007F6FC1"/>
    <w:rsid w:val="00801865"/>
    <w:rsid w:val="00802E63"/>
    <w:rsid w:val="008036A1"/>
    <w:rsid w:val="0080410F"/>
    <w:rsid w:val="00804383"/>
    <w:rsid w:val="00811020"/>
    <w:rsid w:val="00811C8A"/>
    <w:rsid w:val="0081257B"/>
    <w:rsid w:val="00815149"/>
    <w:rsid w:val="00816551"/>
    <w:rsid w:val="0081681D"/>
    <w:rsid w:val="00816A6D"/>
    <w:rsid w:val="00816CAB"/>
    <w:rsid w:val="00817522"/>
    <w:rsid w:val="008201E1"/>
    <w:rsid w:val="00821FF3"/>
    <w:rsid w:val="008221CB"/>
    <w:rsid w:val="008272E1"/>
    <w:rsid w:val="00834E49"/>
    <w:rsid w:val="008352AE"/>
    <w:rsid w:val="00840C65"/>
    <w:rsid w:val="00840F16"/>
    <w:rsid w:val="008434D1"/>
    <w:rsid w:val="00845948"/>
    <w:rsid w:val="008507A2"/>
    <w:rsid w:val="00850974"/>
    <w:rsid w:val="00852888"/>
    <w:rsid w:val="00855617"/>
    <w:rsid w:val="00855761"/>
    <w:rsid w:val="008569D8"/>
    <w:rsid w:val="00857979"/>
    <w:rsid w:val="0086074E"/>
    <w:rsid w:val="00862F1E"/>
    <w:rsid w:val="008641EB"/>
    <w:rsid w:val="0086487C"/>
    <w:rsid w:val="00864B49"/>
    <w:rsid w:val="00866366"/>
    <w:rsid w:val="008668FE"/>
    <w:rsid w:val="00866906"/>
    <w:rsid w:val="008671F3"/>
    <w:rsid w:val="008713A6"/>
    <w:rsid w:val="008722B8"/>
    <w:rsid w:val="00873ED4"/>
    <w:rsid w:val="00875586"/>
    <w:rsid w:val="008830F6"/>
    <w:rsid w:val="0088346A"/>
    <w:rsid w:val="00883D52"/>
    <w:rsid w:val="008842A6"/>
    <w:rsid w:val="00886B8B"/>
    <w:rsid w:val="008918A6"/>
    <w:rsid w:val="00892724"/>
    <w:rsid w:val="0089584B"/>
    <w:rsid w:val="00895C32"/>
    <w:rsid w:val="00895ECE"/>
    <w:rsid w:val="0089623E"/>
    <w:rsid w:val="008973CC"/>
    <w:rsid w:val="00897BFB"/>
    <w:rsid w:val="008A1E0C"/>
    <w:rsid w:val="008A2751"/>
    <w:rsid w:val="008A2BB1"/>
    <w:rsid w:val="008A690E"/>
    <w:rsid w:val="008B040C"/>
    <w:rsid w:val="008B094C"/>
    <w:rsid w:val="008B1466"/>
    <w:rsid w:val="008B3E43"/>
    <w:rsid w:val="008B58BB"/>
    <w:rsid w:val="008C2E59"/>
    <w:rsid w:val="008C46DB"/>
    <w:rsid w:val="008C4A1A"/>
    <w:rsid w:val="008C4AC7"/>
    <w:rsid w:val="008C57B2"/>
    <w:rsid w:val="008C6BCA"/>
    <w:rsid w:val="008D3126"/>
    <w:rsid w:val="008D3C6A"/>
    <w:rsid w:val="008D4156"/>
    <w:rsid w:val="008D4627"/>
    <w:rsid w:val="008D504B"/>
    <w:rsid w:val="008D6F8E"/>
    <w:rsid w:val="008D76A6"/>
    <w:rsid w:val="008D77AD"/>
    <w:rsid w:val="008D7F22"/>
    <w:rsid w:val="008E0631"/>
    <w:rsid w:val="008E09C4"/>
    <w:rsid w:val="008E1BCC"/>
    <w:rsid w:val="008E2324"/>
    <w:rsid w:val="008E23E8"/>
    <w:rsid w:val="008E5628"/>
    <w:rsid w:val="008E7569"/>
    <w:rsid w:val="008F0C94"/>
    <w:rsid w:val="008F12D9"/>
    <w:rsid w:val="008F3B07"/>
    <w:rsid w:val="008F50BF"/>
    <w:rsid w:val="008F52A7"/>
    <w:rsid w:val="008F56B5"/>
    <w:rsid w:val="008F5BCF"/>
    <w:rsid w:val="008F627F"/>
    <w:rsid w:val="008F681D"/>
    <w:rsid w:val="009007D6"/>
    <w:rsid w:val="00900A62"/>
    <w:rsid w:val="009019EC"/>
    <w:rsid w:val="009024C7"/>
    <w:rsid w:val="009040CB"/>
    <w:rsid w:val="00904CF8"/>
    <w:rsid w:val="00907330"/>
    <w:rsid w:val="00907A2F"/>
    <w:rsid w:val="00907D76"/>
    <w:rsid w:val="009137B3"/>
    <w:rsid w:val="0091487B"/>
    <w:rsid w:val="00915300"/>
    <w:rsid w:val="00916286"/>
    <w:rsid w:val="00920999"/>
    <w:rsid w:val="00923524"/>
    <w:rsid w:val="0092412C"/>
    <w:rsid w:val="009251F7"/>
    <w:rsid w:val="00925DE0"/>
    <w:rsid w:val="00927CAB"/>
    <w:rsid w:val="00931A12"/>
    <w:rsid w:val="0093446E"/>
    <w:rsid w:val="0093584A"/>
    <w:rsid w:val="00936025"/>
    <w:rsid w:val="00936978"/>
    <w:rsid w:val="00937951"/>
    <w:rsid w:val="009400BA"/>
    <w:rsid w:val="0094183D"/>
    <w:rsid w:val="00941C42"/>
    <w:rsid w:val="00942429"/>
    <w:rsid w:val="00943802"/>
    <w:rsid w:val="009439DE"/>
    <w:rsid w:val="0094414B"/>
    <w:rsid w:val="00945510"/>
    <w:rsid w:val="0094723E"/>
    <w:rsid w:val="00947A90"/>
    <w:rsid w:val="00950529"/>
    <w:rsid w:val="00952B7D"/>
    <w:rsid w:val="00952CBF"/>
    <w:rsid w:val="00956264"/>
    <w:rsid w:val="00956BDF"/>
    <w:rsid w:val="00963E17"/>
    <w:rsid w:val="00967133"/>
    <w:rsid w:val="009674AF"/>
    <w:rsid w:val="0097030B"/>
    <w:rsid w:val="009703F2"/>
    <w:rsid w:val="0097343E"/>
    <w:rsid w:val="009771BE"/>
    <w:rsid w:val="00980AD5"/>
    <w:rsid w:val="009812C8"/>
    <w:rsid w:val="00983B7A"/>
    <w:rsid w:val="00984E0D"/>
    <w:rsid w:val="00990A01"/>
    <w:rsid w:val="00991E53"/>
    <w:rsid w:val="00995797"/>
    <w:rsid w:val="00995D49"/>
    <w:rsid w:val="00996955"/>
    <w:rsid w:val="00996975"/>
    <w:rsid w:val="00997CA9"/>
    <w:rsid w:val="009A0FD0"/>
    <w:rsid w:val="009A3A1C"/>
    <w:rsid w:val="009A4080"/>
    <w:rsid w:val="009A4328"/>
    <w:rsid w:val="009A48FC"/>
    <w:rsid w:val="009A58D5"/>
    <w:rsid w:val="009A74C5"/>
    <w:rsid w:val="009B05A8"/>
    <w:rsid w:val="009B0CCD"/>
    <w:rsid w:val="009B3F3B"/>
    <w:rsid w:val="009B442B"/>
    <w:rsid w:val="009B5077"/>
    <w:rsid w:val="009B63DE"/>
    <w:rsid w:val="009C0541"/>
    <w:rsid w:val="009C3187"/>
    <w:rsid w:val="009C3569"/>
    <w:rsid w:val="009C6AEE"/>
    <w:rsid w:val="009C7E56"/>
    <w:rsid w:val="009D0D22"/>
    <w:rsid w:val="009D2B3E"/>
    <w:rsid w:val="009D4B49"/>
    <w:rsid w:val="009E0190"/>
    <w:rsid w:val="009E2CD6"/>
    <w:rsid w:val="009E6A9E"/>
    <w:rsid w:val="009E7DDD"/>
    <w:rsid w:val="009F02E8"/>
    <w:rsid w:val="009F481F"/>
    <w:rsid w:val="009F74D2"/>
    <w:rsid w:val="009F7D1D"/>
    <w:rsid w:val="00A01292"/>
    <w:rsid w:val="00A016BE"/>
    <w:rsid w:val="00A02D2A"/>
    <w:rsid w:val="00A113FB"/>
    <w:rsid w:val="00A1289D"/>
    <w:rsid w:val="00A128F5"/>
    <w:rsid w:val="00A170A6"/>
    <w:rsid w:val="00A20155"/>
    <w:rsid w:val="00A24B27"/>
    <w:rsid w:val="00A32690"/>
    <w:rsid w:val="00A32959"/>
    <w:rsid w:val="00A32EB8"/>
    <w:rsid w:val="00A3475B"/>
    <w:rsid w:val="00A348A3"/>
    <w:rsid w:val="00A34DD3"/>
    <w:rsid w:val="00A356C9"/>
    <w:rsid w:val="00A358B2"/>
    <w:rsid w:val="00A370B0"/>
    <w:rsid w:val="00A3735D"/>
    <w:rsid w:val="00A440B7"/>
    <w:rsid w:val="00A4427E"/>
    <w:rsid w:val="00A45023"/>
    <w:rsid w:val="00A45F2E"/>
    <w:rsid w:val="00A51D45"/>
    <w:rsid w:val="00A51F29"/>
    <w:rsid w:val="00A569FB"/>
    <w:rsid w:val="00A57551"/>
    <w:rsid w:val="00A577F9"/>
    <w:rsid w:val="00A57B85"/>
    <w:rsid w:val="00A613B7"/>
    <w:rsid w:val="00A616CB"/>
    <w:rsid w:val="00A645E6"/>
    <w:rsid w:val="00A64C79"/>
    <w:rsid w:val="00A70E95"/>
    <w:rsid w:val="00A719A2"/>
    <w:rsid w:val="00A72771"/>
    <w:rsid w:val="00A75400"/>
    <w:rsid w:val="00A75594"/>
    <w:rsid w:val="00A77D8D"/>
    <w:rsid w:val="00A82394"/>
    <w:rsid w:val="00A921F7"/>
    <w:rsid w:val="00A97AF2"/>
    <w:rsid w:val="00AA5D90"/>
    <w:rsid w:val="00AA6C99"/>
    <w:rsid w:val="00AA7DDD"/>
    <w:rsid w:val="00AB1380"/>
    <w:rsid w:val="00AB155A"/>
    <w:rsid w:val="00AB1BBF"/>
    <w:rsid w:val="00AB2B59"/>
    <w:rsid w:val="00AB3C8A"/>
    <w:rsid w:val="00AB40E9"/>
    <w:rsid w:val="00AB5DA2"/>
    <w:rsid w:val="00AB67E8"/>
    <w:rsid w:val="00AB7AA2"/>
    <w:rsid w:val="00AB7CC6"/>
    <w:rsid w:val="00AC2137"/>
    <w:rsid w:val="00AC2CB7"/>
    <w:rsid w:val="00AC4176"/>
    <w:rsid w:val="00AC7DC6"/>
    <w:rsid w:val="00AD04DA"/>
    <w:rsid w:val="00AD1076"/>
    <w:rsid w:val="00AD19BD"/>
    <w:rsid w:val="00AD3FAD"/>
    <w:rsid w:val="00AD4B52"/>
    <w:rsid w:val="00AD62BB"/>
    <w:rsid w:val="00AE1C53"/>
    <w:rsid w:val="00AE2350"/>
    <w:rsid w:val="00AE2ECA"/>
    <w:rsid w:val="00AE389B"/>
    <w:rsid w:val="00AE44F4"/>
    <w:rsid w:val="00AE54B3"/>
    <w:rsid w:val="00AE5BCF"/>
    <w:rsid w:val="00AE742D"/>
    <w:rsid w:val="00AE7E68"/>
    <w:rsid w:val="00AF208B"/>
    <w:rsid w:val="00AF47CC"/>
    <w:rsid w:val="00AF4C3C"/>
    <w:rsid w:val="00AF6402"/>
    <w:rsid w:val="00B002B1"/>
    <w:rsid w:val="00B0060C"/>
    <w:rsid w:val="00B028B2"/>
    <w:rsid w:val="00B053AD"/>
    <w:rsid w:val="00B12CB4"/>
    <w:rsid w:val="00B13A03"/>
    <w:rsid w:val="00B13DC7"/>
    <w:rsid w:val="00B159AF"/>
    <w:rsid w:val="00B17167"/>
    <w:rsid w:val="00B17472"/>
    <w:rsid w:val="00B22BB7"/>
    <w:rsid w:val="00B23A09"/>
    <w:rsid w:val="00B2480A"/>
    <w:rsid w:val="00B34DDD"/>
    <w:rsid w:val="00B35893"/>
    <w:rsid w:val="00B36593"/>
    <w:rsid w:val="00B36C4F"/>
    <w:rsid w:val="00B37663"/>
    <w:rsid w:val="00B420D3"/>
    <w:rsid w:val="00B42479"/>
    <w:rsid w:val="00B45A6C"/>
    <w:rsid w:val="00B46105"/>
    <w:rsid w:val="00B47B8E"/>
    <w:rsid w:val="00B50113"/>
    <w:rsid w:val="00B508D2"/>
    <w:rsid w:val="00B5154B"/>
    <w:rsid w:val="00B51A36"/>
    <w:rsid w:val="00B54111"/>
    <w:rsid w:val="00B54A0F"/>
    <w:rsid w:val="00B54B2D"/>
    <w:rsid w:val="00B5587A"/>
    <w:rsid w:val="00B56771"/>
    <w:rsid w:val="00B569D7"/>
    <w:rsid w:val="00B569DA"/>
    <w:rsid w:val="00B619D5"/>
    <w:rsid w:val="00B6267F"/>
    <w:rsid w:val="00B62E09"/>
    <w:rsid w:val="00B62F62"/>
    <w:rsid w:val="00B636A7"/>
    <w:rsid w:val="00B643B8"/>
    <w:rsid w:val="00B6560C"/>
    <w:rsid w:val="00B6617D"/>
    <w:rsid w:val="00B67FCE"/>
    <w:rsid w:val="00B718E1"/>
    <w:rsid w:val="00B71E79"/>
    <w:rsid w:val="00B72590"/>
    <w:rsid w:val="00B80CF7"/>
    <w:rsid w:val="00B84989"/>
    <w:rsid w:val="00B85575"/>
    <w:rsid w:val="00B87A73"/>
    <w:rsid w:val="00B87C4E"/>
    <w:rsid w:val="00B9162C"/>
    <w:rsid w:val="00B922C2"/>
    <w:rsid w:val="00B92346"/>
    <w:rsid w:val="00B9326F"/>
    <w:rsid w:val="00BA0F1E"/>
    <w:rsid w:val="00BA310F"/>
    <w:rsid w:val="00BA41B6"/>
    <w:rsid w:val="00BA6EC3"/>
    <w:rsid w:val="00BA79E0"/>
    <w:rsid w:val="00BA7B54"/>
    <w:rsid w:val="00BA7C45"/>
    <w:rsid w:val="00BB2EDB"/>
    <w:rsid w:val="00BB532B"/>
    <w:rsid w:val="00BB591C"/>
    <w:rsid w:val="00BC1116"/>
    <w:rsid w:val="00BC167C"/>
    <w:rsid w:val="00BC2051"/>
    <w:rsid w:val="00BC58B9"/>
    <w:rsid w:val="00BD05F6"/>
    <w:rsid w:val="00BD083F"/>
    <w:rsid w:val="00BD09DA"/>
    <w:rsid w:val="00BD6DCE"/>
    <w:rsid w:val="00BD7084"/>
    <w:rsid w:val="00BE2AC3"/>
    <w:rsid w:val="00BE33DE"/>
    <w:rsid w:val="00BE3F67"/>
    <w:rsid w:val="00BE5F0A"/>
    <w:rsid w:val="00BE6332"/>
    <w:rsid w:val="00BE77DC"/>
    <w:rsid w:val="00BF2BDD"/>
    <w:rsid w:val="00BF6C19"/>
    <w:rsid w:val="00BF7158"/>
    <w:rsid w:val="00BF79F5"/>
    <w:rsid w:val="00BF7B73"/>
    <w:rsid w:val="00BF7E9E"/>
    <w:rsid w:val="00C00C64"/>
    <w:rsid w:val="00C00CF5"/>
    <w:rsid w:val="00C00EB1"/>
    <w:rsid w:val="00C016C4"/>
    <w:rsid w:val="00C0179D"/>
    <w:rsid w:val="00C01C63"/>
    <w:rsid w:val="00C02C63"/>
    <w:rsid w:val="00C07141"/>
    <w:rsid w:val="00C117EF"/>
    <w:rsid w:val="00C12474"/>
    <w:rsid w:val="00C12B8D"/>
    <w:rsid w:val="00C14A7F"/>
    <w:rsid w:val="00C15177"/>
    <w:rsid w:val="00C17D65"/>
    <w:rsid w:val="00C17ECC"/>
    <w:rsid w:val="00C20489"/>
    <w:rsid w:val="00C206F1"/>
    <w:rsid w:val="00C24B28"/>
    <w:rsid w:val="00C324C1"/>
    <w:rsid w:val="00C353E1"/>
    <w:rsid w:val="00C36BCC"/>
    <w:rsid w:val="00C36E4F"/>
    <w:rsid w:val="00C4729F"/>
    <w:rsid w:val="00C52930"/>
    <w:rsid w:val="00C529EC"/>
    <w:rsid w:val="00C53ABB"/>
    <w:rsid w:val="00C544F3"/>
    <w:rsid w:val="00C54994"/>
    <w:rsid w:val="00C5517A"/>
    <w:rsid w:val="00C6129B"/>
    <w:rsid w:val="00C64169"/>
    <w:rsid w:val="00C65277"/>
    <w:rsid w:val="00C66502"/>
    <w:rsid w:val="00C7023A"/>
    <w:rsid w:val="00C727DB"/>
    <w:rsid w:val="00C75C33"/>
    <w:rsid w:val="00C763D9"/>
    <w:rsid w:val="00C76428"/>
    <w:rsid w:val="00C76CAD"/>
    <w:rsid w:val="00C76E7E"/>
    <w:rsid w:val="00C82C9C"/>
    <w:rsid w:val="00C867D1"/>
    <w:rsid w:val="00C90151"/>
    <w:rsid w:val="00C91E02"/>
    <w:rsid w:val="00C9348A"/>
    <w:rsid w:val="00C94F73"/>
    <w:rsid w:val="00C97F79"/>
    <w:rsid w:val="00CA4D8D"/>
    <w:rsid w:val="00CA649C"/>
    <w:rsid w:val="00CA724C"/>
    <w:rsid w:val="00CA789B"/>
    <w:rsid w:val="00CB31CF"/>
    <w:rsid w:val="00CB4FAC"/>
    <w:rsid w:val="00CB70D7"/>
    <w:rsid w:val="00CB7CB9"/>
    <w:rsid w:val="00CC0501"/>
    <w:rsid w:val="00CC1A78"/>
    <w:rsid w:val="00CC4B08"/>
    <w:rsid w:val="00CD0816"/>
    <w:rsid w:val="00CD6DF7"/>
    <w:rsid w:val="00CD7D78"/>
    <w:rsid w:val="00CE0B67"/>
    <w:rsid w:val="00CE0D0A"/>
    <w:rsid w:val="00CE12CD"/>
    <w:rsid w:val="00CE302B"/>
    <w:rsid w:val="00CE6BA9"/>
    <w:rsid w:val="00CE7A5C"/>
    <w:rsid w:val="00CF034B"/>
    <w:rsid w:val="00CF1111"/>
    <w:rsid w:val="00CF2966"/>
    <w:rsid w:val="00CF5607"/>
    <w:rsid w:val="00CF5E17"/>
    <w:rsid w:val="00CF6967"/>
    <w:rsid w:val="00CF6F91"/>
    <w:rsid w:val="00D0262E"/>
    <w:rsid w:val="00D02BCC"/>
    <w:rsid w:val="00D02E94"/>
    <w:rsid w:val="00D05248"/>
    <w:rsid w:val="00D062C4"/>
    <w:rsid w:val="00D06C1A"/>
    <w:rsid w:val="00D076F1"/>
    <w:rsid w:val="00D1073A"/>
    <w:rsid w:val="00D112E6"/>
    <w:rsid w:val="00D14A17"/>
    <w:rsid w:val="00D158C9"/>
    <w:rsid w:val="00D15BFF"/>
    <w:rsid w:val="00D17497"/>
    <w:rsid w:val="00D17953"/>
    <w:rsid w:val="00D17A80"/>
    <w:rsid w:val="00D30B29"/>
    <w:rsid w:val="00D314C1"/>
    <w:rsid w:val="00D331FE"/>
    <w:rsid w:val="00D345CE"/>
    <w:rsid w:val="00D3470B"/>
    <w:rsid w:val="00D34D02"/>
    <w:rsid w:val="00D37247"/>
    <w:rsid w:val="00D375E0"/>
    <w:rsid w:val="00D4137B"/>
    <w:rsid w:val="00D429BC"/>
    <w:rsid w:val="00D51D58"/>
    <w:rsid w:val="00D53B79"/>
    <w:rsid w:val="00D541DF"/>
    <w:rsid w:val="00D55689"/>
    <w:rsid w:val="00D55907"/>
    <w:rsid w:val="00D57EF6"/>
    <w:rsid w:val="00D60127"/>
    <w:rsid w:val="00D61150"/>
    <w:rsid w:val="00D61935"/>
    <w:rsid w:val="00D62C26"/>
    <w:rsid w:val="00D65329"/>
    <w:rsid w:val="00D65F3D"/>
    <w:rsid w:val="00D664D2"/>
    <w:rsid w:val="00D7021C"/>
    <w:rsid w:val="00D70A99"/>
    <w:rsid w:val="00D8008F"/>
    <w:rsid w:val="00D803B8"/>
    <w:rsid w:val="00D81AC8"/>
    <w:rsid w:val="00D82D4C"/>
    <w:rsid w:val="00D8548A"/>
    <w:rsid w:val="00D86C32"/>
    <w:rsid w:val="00D9046B"/>
    <w:rsid w:val="00D90DF5"/>
    <w:rsid w:val="00D97688"/>
    <w:rsid w:val="00DA1F4C"/>
    <w:rsid w:val="00DA3CB8"/>
    <w:rsid w:val="00DA4682"/>
    <w:rsid w:val="00DA6863"/>
    <w:rsid w:val="00DB3ADB"/>
    <w:rsid w:val="00DB48DB"/>
    <w:rsid w:val="00DB566A"/>
    <w:rsid w:val="00DB6820"/>
    <w:rsid w:val="00DB7637"/>
    <w:rsid w:val="00DB7F49"/>
    <w:rsid w:val="00DC0647"/>
    <w:rsid w:val="00DC13D1"/>
    <w:rsid w:val="00DC1BAE"/>
    <w:rsid w:val="00DC2AD2"/>
    <w:rsid w:val="00DC30E5"/>
    <w:rsid w:val="00DC3335"/>
    <w:rsid w:val="00DC3E3F"/>
    <w:rsid w:val="00DC53E3"/>
    <w:rsid w:val="00DC549B"/>
    <w:rsid w:val="00DC6C2C"/>
    <w:rsid w:val="00DD0E1E"/>
    <w:rsid w:val="00DD2BAC"/>
    <w:rsid w:val="00DD359E"/>
    <w:rsid w:val="00DD4B4E"/>
    <w:rsid w:val="00DE4EE8"/>
    <w:rsid w:val="00DE4F9C"/>
    <w:rsid w:val="00DE5EE5"/>
    <w:rsid w:val="00DE7122"/>
    <w:rsid w:val="00DE7C8E"/>
    <w:rsid w:val="00DE7F24"/>
    <w:rsid w:val="00DF0EDB"/>
    <w:rsid w:val="00DF1F70"/>
    <w:rsid w:val="00DF3E7E"/>
    <w:rsid w:val="00DF62EC"/>
    <w:rsid w:val="00DF6427"/>
    <w:rsid w:val="00DF6D90"/>
    <w:rsid w:val="00DF70B7"/>
    <w:rsid w:val="00DF7572"/>
    <w:rsid w:val="00DF7FC1"/>
    <w:rsid w:val="00E016F1"/>
    <w:rsid w:val="00E02463"/>
    <w:rsid w:val="00E02701"/>
    <w:rsid w:val="00E03023"/>
    <w:rsid w:val="00E0464C"/>
    <w:rsid w:val="00E05D90"/>
    <w:rsid w:val="00E069F8"/>
    <w:rsid w:val="00E076B2"/>
    <w:rsid w:val="00E10B5A"/>
    <w:rsid w:val="00E11C4A"/>
    <w:rsid w:val="00E13339"/>
    <w:rsid w:val="00E13A01"/>
    <w:rsid w:val="00E1411A"/>
    <w:rsid w:val="00E15930"/>
    <w:rsid w:val="00E16669"/>
    <w:rsid w:val="00E16C93"/>
    <w:rsid w:val="00E16CBD"/>
    <w:rsid w:val="00E2085B"/>
    <w:rsid w:val="00E216C9"/>
    <w:rsid w:val="00E24AB3"/>
    <w:rsid w:val="00E24FD6"/>
    <w:rsid w:val="00E252BF"/>
    <w:rsid w:val="00E26E45"/>
    <w:rsid w:val="00E301BC"/>
    <w:rsid w:val="00E30AE7"/>
    <w:rsid w:val="00E32993"/>
    <w:rsid w:val="00E33D60"/>
    <w:rsid w:val="00E350AE"/>
    <w:rsid w:val="00E354F0"/>
    <w:rsid w:val="00E357C9"/>
    <w:rsid w:val="00E3754A"/>
    <w:rsid w:val="00E40AA3"/>
    <w:rsid w:val="00E40D6D"/>
    <w:rsid w:val="00E4173A"/>
    <w:rsid w:val="00E44E84"/>
    <w:rsid w:val="00E44EB7"/>
    <w:rsid w:val="00E469B9"/>
    <w:rsid w:val="00E471D5"/>
    <w:rsid w:val="00E527E6"/>
    <w:rsid w:val="00E52A24"/>
    <w:rsid w:val="00E55804"/>
    <w:rsid w:val="00E56A79"/>
    <w:rsid w:val="00E610F8"/>
    <w:rsid w:val="00E66091"/>
    <w:rsid w:val="00E666B8"/>
    <w:rsid w:val="00E7007E"/>
    <w:rsid w:val="00E70F81"/>
    <w:rsid w:val="00E74D21"/>
    <w:rsid w:val="00E75BA7"/>
    <w:rsid w:val="00E76C52"/>
    <w:rsid w:val="00E772F0"/>
    <w:rsid w:val="00E77A9D"/>
    <w:rsid w:val="00E805CE"/>
    <w:rsid w:val="00E80728"/>
    <w:rsid w:val="00E81FAC"/>
    <w:rsid w:val="00E939FC"/>
    <w:rsid w:val="00E948C9"/>
    <w:rsid w:val="00E965D3"/>
    <w:rsid w:val="00E96AD3"/>
    <w:rsid w:val="00EA0EBD"/>
    <w:rsid w:val="00EA44B7"/>
    <w:rsid w:val="00EA555D"/>
    <w:rsid w:val="00EA6DAE"/>
    <w:rsid w:val="00EA76B2"/>
    <w:rsid w:val="00EB02AB"/>
    <w:rsid w:val="00EB0D34"/>
    <w:rsid w:val="00EB26CC"/>
    <w:rsid w:val="00EB5E76"/>
    <w:rsid w:val="00EB656F"/>
    <w:rsid w:val="00EB7BDF"/>
    <w:rsid w:val="00EC0447"/>
    <w:rsid w:val="00EC5156"/>
    <w:rsid w:val="00ED25A0"/>
    <w:rsid w:val="00ED2673"/>
    <w:rsid w:val="00ED467C"/>
    <w:rsid w:val="00ED476F"/>
    <w:rsid w:val="00EE194F"/>
    <w:rsid w:val="00EE20E8"/>
    <w:rsid w:val="00EE2C08"/>
    <w:rsid w:val="00EE3352"/>
    <w:rsid w:val="00EE4497"/>
    <w:rsid w:val="00EF1D6F"/>
    <w:rsid w:val="00EF2D18"/>
    <w:rsid w:val="00EF71AE"/>
    <w:rsid w:val="00EF7E55"/>
    <w:rsid w:val="00F0010F"/>
    <w:rsid w:val="00F00ABB"/>
    <w:rsid w:val="00F01291"/>
    <w:rsid w:val="00F01ADD"/>
    <w:rsid w:val="00F0207E"/>
    <w:rsid w:val="00F046D1"/>
    <w:rsid w:val="00F0624D"/>
    <w:rsid w:val="00F06EE0"/>
    <w:rsid w:val="00F07BCE"/>
    <w:rsid w:val="00F1037F"/>
    <w:rsid w:val="00F1111E"/>
    <w:rsid w:val="00F11281"/>
    <w:rsid w:val="00F1190F"/>
    <w:rsid w:val="00F1431B"/>
    <w:rsid w:val="00F23A51"/>
    <w:rsid w:val="00F25E4B"/>
    <w:rsid w:val="00F26F3C"/>
    <w:rsid w:val="00F35C84"/>
    <w:rsid w:val="00F36C5A"/>
    <w:rsid w:val="00F36EE9"/>
    <w:rsid w:val="00F40B6B"/>
    <w:rsid w:val="00F446AF"/>
    <w:rsid w:val="00F463FE"/>
    <w:rsid w:val="00F476C2"/>
    <w:rsid w:val="00F51C6A"/>
    <w:rsid w:val="00F52B71"/>
    <w:rsid w:val="00F53399"/>
    <w:rsid w:val="00F5772F"/>
    <w:rsid w:val="00F578FD"/>
    <w:rsid w:val="00F606F7"/>
    <w:rsid w:val="00F61267"/>
    <w:rsid w:val="00F632A8"/>
    <w:rsid w:val="00F63838"/>
    <w:rsid w:val="00F6461B"/>
    <w:rsid w:val="00F64693"/>
    <w:rsid w:val="00F6766E"/>
    <w:rsid w:val="00F74268"/>
    <w:rsid w:val="00F76CAB"/>
    <w:rsid w:val="00F81EE2"/>
    <w:rsid w:val="00F8214D"/>
    <w:rsid w:val="00F84B05"/>
    <w:rsid w:val="00F87415"/>
    <w:rsid w:val="00F875F3"/>
    <w:rsid w:val="00F90784"/>
    <w:rsid w:val="00F907AF"/>
    <w:rsid w:val="00F91810"/>
    <w:rsid w:val="00F930B4"/>
    <w:rsid w:val="00F960DE"/>
    <w:rsid w:val="00F97024"/>
    <w:rsid w:val="00FA2F4C"/>
    <w:rsid w:val="00FA3EB9"/>
    <w:rsid w:val="00FA418D"/>
    <w:rsid w:val="00FA4A3F"/>
    <w:rsid w:val="00FA4C97"/>
    <w:rsid w:val="00FA5552"/>
    <w:rsid w:val="00FA6460"/>
    <w:rsid w:val="00FA7392"/>
    <w:rsid w:val="00FA73A9"/>
    <w:rsid w:val="00FA77A5"/>
    <w:rsid w:val="00FB08E5"/>
    <w:rsid w:val="00FB14DD"/>
    <w:rsid w:val="00FB1D14"/>
    <w:rsid w:val="00FB33D1"/>
    <w:rsid w:val="00FB424F"/>
    <w:rsid w:val="00FB7254"/>
    <w:rsid w:val="00FC025B"/>
    <w:rsid w:val="00FC09EF"/>
    <w:rsid w:val="00FC0CD6"/>
    <w:rsid w:val="00FC0DEC"/>
    <w:rsid w:val="00FC15FB"/>
    <w:rsid w:val="00FC18E2"/>
    <w:rsid w:val="00FC2A03"/>
    <w:rsid w:val="00FC3492"/>
    <w:rsid w:val="00FC3887"/>
    <w:rsid w:val="00FD0C9D"/>
    <w:rsid w:val="00FD44B5"/>
    <w:rsid w:val="00FD490F"/>
    <w:rsid w:val="00FD4F2D"/>
    <w:rsid w:val="00FD76C7"/>
    <w:rsid w:val="00FE04D6"/>
    <w:rsid w:val="00FE0FD0"/>
    <w:rsid w:val="00FE1A7E"/>
    <w:rsid w:val="00FE2EFC"/>
    <w:rsid w:val="00FE334A"/>
    <w:rsid w:val="00FE4666"/>
    <w:rsid w:val="00FF1C4D"/>
    <w:rsid w:val="00FF21E3"/>
    <w:rsid w:val="00FF41A2"/>
    <w:rsid w:val="00FF4DEA"/>
    <w:rsid w:val="00FF5B46"/>
    <w:rsid w:val="00FF6B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D6CF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461"/>
    <w:pPr>
      <w:spacing w:after="160" w:line="259" w:lineRule="auto"/>
    </w:pPr>
    <w:rPr>
      <w:rFonts w:eastAsiaTheme="minorHAnsi"/>
      <w:sz w:val="22"/>
      <w:szCs w:val="22"/>
      <w:lang w:eastAsia="en-US"/>
    </w:rPr>
  </w:style>
  <w:style w:type="paragraph" w:styleId="Titre3">
    <w:name w:val="heading 3"/>
    <w:basedOn w:val="Normal"/>
    <w:link w:val="Titre3Car"/>
    <w:uiPriority w:val="9"/>
    <w:qFormat/>
    <w:rsid w:val="00EA76B2"/>
    <w:pPr>
      <w:spacing w:before="100" w:beforeAutospacing="1" w:after="100" w:afterAutospacing="1" w:line="240" w:lineRule="auto"/>
      <w:outlineLvl w:val="2"/>
    </w:pPr>
    <w:rPr>
      <w:rFonts w:ascii="Times New Roman" w:eastAsiaTheme="minorEastAsia"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B71E79"/>
    <w:pPr>
      <w:keepNext/>
      <w:keepLines/>
      <w:spacing w:before="40" w:after="0" w:line="240" w:lineRule="auto"/>
      <w:ind w:left="360"/>
      <w:outlineLvl w:val="3"/>
    </w:pPr>
    <w:rPr>
      <w:rFonts w:ascii="Calibri Light" w:eastAsia="Times New Roman" w:hAnsi="Calibri Light" w:cs="Mangal"/>
      <w:i/>
      <w:iCs/>
      <w:color w:val="2F5496"/>
      <w:sz w:val="24"/>
      <w:szCs w:val="21"/>
      <w:lang w:val="fr-FR" w:eastAsia="fr-FR"/>
    </w:rPr>
  </w:style>
  <w:style w:type="paragraph" w:styleId="Titre5">
    <w:name w:val="heading 5"/>
    <w:basedOn w:val="Normal"/>
    <w:next w:val="Normal"/>
    <w:link w:val="Titre5Car"/>
    <w:uiPriority w:val="9"/>
    <w:semiHidden/>
    <w:unhideWhenUsed/>
    <w:qFormat/>
    <w:rsid w:val="00B71E79"/>
    <w:pPr>
      <w:keepNext/>
      <w:keepLines/>
      <w:spacing w:before="40" w:after="0" w:line="240" w:lineRule="auto"/>
      <w:ind w:left="360"/>
      <w:outlineLvl w:val="4"/>
    </w:pPr>
    <w:rPr>
      <w:rFonts w:ascii="Calibri Light" w:eastAsia="Times New Roman" w:hAnsi="Calibri Light" w:cs="Mangal"/>
      <w:color w:val="2F5496"/>
      <w:sz w:val="24"/>
      <w:szCs w:val="21"/>
      <w:lang w:val="fr-FR" w:eastAsia="fr-FR"/>
    </w:rPr>
  </w:style>
  <w:style w:type="paragraph" w:styleId="Titre6">
    <w:name w:val="heading 6"/>
    <w:basedOn w:val="Normal"/>
    <w:next w:val="Normal"/>
    <w:link w:val="Titre6Car"/>
    <w:uiPriority w:val="9"/>
    <w:semiHidden/>
    <w:unhideWhenUsed/>
    <w:qFormat/>
    <w:rsid w:val="00B71E79"/>
    <w:pPr>
      <w:keepNext/>
      <w:keepLines/>
      <w:spacing w:before="40" w:after="0" w:line="240" w:lineRule="auto"/>
      <w:ind w:left="360"/>
      <w:outlineLvl w:val="5"/>
    </w:pPr>
    <w:rPr>
      <w:rFonts w:ascii="Calibri Light" w:eastAsia="Times New Roman" w:hAnsi="Calibri Light" w:cs="Mangal"/>
      <w:color w:val="1F3763"/>
      <w:sz w:val="24"/>
      <w:szCs w:val="21"/>
      <w:lang w:val="fr-FR" w:eastAsia="fr-FR"/>
    </w:rPr>
  </w:style>
  <w:style w:type="paragraph" w:styleId="Titre7">
    <w:name w:val="heading 7"/>
    <w:basedOn w:val="Normal"/>
    <w:next w:val="Normal"/>
    <w:link w:val="Titre7Car"/>
    <w:uiPriority w:val="9"/>
    <w:semiHidden/>
    <w:unhideWhenUsed/>
    <w:qFormat/>
    <w:rsid w:val="00B71E79"/>
    <w:pPr>
      <w:keepNext/>
      <w:keepLines/>
      <w:spacing w:before="40" w:after="0" w:line="240" w:lineRule="auto"/>
      <w:ind w:left="360"/>
      <w:outlineLvl w:val="6"/>
    </w:pPr>
    <w:rPr>
      <w:rFonts w:ascii="Calibri Light" w:eastAsia="Times New Roman" w:hAnsi="Calibri Light" w:cs="Mangal"/>
      <w:i/>
      <w:iCs/>
      <w:color w:val="1F3763"/>
      <w:sz w:val="24"/>
      <w:szCs w:val="21"/>
      <w:lang w:val="fr-FR" w:eastAsia="fr-FR"/>
    </w:rPr>
  </w:style>
  <w:style w:type="paragraph" w:styleId="Titre8">
    <w:name w:val="heading 8"/>
    <w:basedOn w:val="Normal"/>
    <w:next w:val="Normal"/>
    <w:link w:val="Titre8Car"/>
    <w:uiPriority w:val="9"/>
    <w:semiHidden/>
    <w:unhideWhenUsed/>
    <w:qFormat/>
    <w:rsid w:val="00B71E79"/>
    <w:pPr>
      <w:keepNext/>
      <w:keepLines/>
      <w:spacing w:before="40" w:after="0" w:line="240" w:lineRule="auto"/>
      <w:ind w:left="360"/>
      <w:outlineLvl w:val="7"/>
    </w:pPr>
    <w:rPr>
      <w:rFonts w:ascii="Calibri Light" w:eastAsia="Times New Roman" w:hAnsi="Calibri Light" w:cs="Mangal"/>
      <w:color w:val="272727"/>
      <w:sz w:val="21"/>
      <w:szCs w:val="19"/>
      <w:lang w:val="fr-FR" w:eastAsia="fr-FR"/>
    </w:rPr>
  </w:style>
  <w:style w:type="paragraph" w:styleId="Titre9">
    <w:name w:val="heading 9"/>
    <w:basedOn w:val="Normal"/>
    <w:next w:val="Normal"/>
    <w:link w:val="Titre9Car"/>
    <w:uiPriority w:val="9"/>
    <w:semiHidden/>
    <w:unhideWhenUsed/>
    <w:qFormat/>
    <w:rsid w:val="00B71E79"/>
    <w:pPr>
      <w:keepNext/>
      <w:keepLines/>
      <w:spacing w:before="40" w:after="0" w:line="240" w:lineRule="auto"/>
      <w:ind w:left="360"/>
      <w:outlineLvl w:val="8"/>
    </w:pPr>
    <w:rPr>
      <w:rFonts w:ascii="Calibri Light" w:eastAsia="Times New Roman" w:hAnsi="Calibri Light" w:cs="Mangal"/>
      <w:i/>
      <w:iCs/>
      <w:color w:val="272727"/>
      <w:sz w:val="21"/>
      <w:szCs w:val="19"/>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5461"/>
    <w:pPr>
      <w:ind w:left="720"/>
      <w:contextualSpacing/>
    </w:pPr>
  </w:style>
  <w:style w:type="paragraph" w:styleId="En-tte">
    <w:name w:val="header"/>
    <w:basedOn w:val="Normal"/>
    <w:link w:val="En-tteCar"/>
    <w:uiPriority w:val="99"/>
    <w:unhideWhenUsed/>
    <w:rsid w:val="005D5461"/>
    <w:pPr>
      <w:tabs>
        <w:tab w:val="center" w:pos="4536"/>
        <w:tab w:val="right" w:pos="9072"/>
      </w:tabs>
      <w:spacing w:after="0" w:line="240" w:lineRule="auto"/>
    </w:pPr>
  </w:style>
  <w:style w:type="character" w:customStyle="1" w:styleId="En-tteCar">
    <w:name w:val="En-tête Car"/>
    <w:basedOn w:val="Policepardfaut"/>
    <w:link w:val="En-tte"/>
    <w:uiPriority w:val="99"/>
    <w:rsid w:val="005D5461"/>
    <w:rPr>
      <w:rFonts w:eastAsiaTheme="minorHAnsi"/>
      <w:sz w:val="22"/>
      <w:szCs w:val="22"/>
      <w:lang w:eastAsia="en-US"/>
    </w:rPr>
  </w:style>
  <w:style w:type="paragraph" w:styleId="Pieddepage">
    <w:name w:val="footer"/>
    <w:basedOn w:val="Normal"/>
    <w:link w:val="PieddepageCar"/>
    <w:uiPriority w:val="99"/>
    <w:unhideWhenUsed/>
    <w:rsid w:val="005D54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5461"/>
    <w:rPr>
      <w:rFonts w:eastAsiaTheme="minorHAnsi"/>
      <w:sz w:val="22"/>
      <w:szCs w:val="22"/>
      <w:lang w:eastAsia="en-US"/>
    </w:rPr>
  </w:style>
  <w:style w:type="paragraph" w:styleId="Textedebulles">
    <w:name w:val="Balloon Text"/>
    <w:basedOn w:val="Normal"/>
    <w:link w:val="TextedebullesCar"/>
    <w:uiPriority w:val="99"/>
    <w:semiHidden/>
    <w:unhideWhenUsed/>
    <w:rsid w:val="005D54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5461"/>
    <w:rPr>
      <w:rFonts w:ascii="Segoe UI" w:eastAsiaTheme="minorHAnsi" w:hAnsi="Segoe UI" w:cs="Segoe UI"/>
      <w:sz w:val="18"/>
      <w:szCs w:val="18"/>
      <w:lang w:eastAsia="en-US"/>
    </w:rPr>
  </w:style>
  <w:style w:type="table" w:styleId="Grille">
    <w:name w:val="Table Grid"/>
    <w:basedOn w:val="TableauNormal"/>
    <w:uiPriority w:val="39"/>
    <w:rsid w:val="005D546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D5461"/>
    <w:rPr>
      <w:sz w:val="18"/>
      <w:szCs w:val="18"/>
    </w:rPr>
  </w:style>
  <w:style w:type="paragraph" w:styleId="Commentaire">
    <w:name w:val="annotation text"/>
    <w:basedOn w:val="Normal"/>
    <w:link w:val="CommentaireCar"/>
    <w:uiPriority w:val="99"/>
    <w:semiHidden/>
    <w:unhideWhenUsed/>
    <w:rsid w:val="005D5461"/>
    <w:pPr>
      <w:spacing w:line="240" w:lineRule="auto"/>
    </w:pPr>
    <w:rPr>
      <w:sz w:val="24"/>
      <w:szCs w:val="24"/>
    </w:rPr>
  </w:style>
  <w:style w:type="character" w:customStyle="1" w:styleId="CommentaireCar">
    <w:name w:val="Commentaire Car"/>
    <w:basedOn w:val="Policepardfaut"/>
    <w:link w:val="Commentaire"/>
    <w:uiPriority w:val="99"/>
    <w:semiHidden/>
    <w:rsid w:val="005D5461"/>
    <w:rPr>
      <w:rFonts w:eastAsiaTheme="minorHAnsi"/>
      <w:lang w:eastAsia="en-US"/>
    </w:rPr>
  </w:style>
  <w:style w:type="paragraph" w:styleId="Objetducommentaire">
    <w:name w:val="annotation subject"/>
    <w:basedOn w:val="Commentaire"/>
    <w:next w:val="Commentaire"/>
    <w:link w:val="ObjetducommentaireCar"/>
    <w:uiPriority w:val="99"/>
    <w:semiHidden/>
    <w:unhideWhenUsed/>
    <w:rsid w:val="005D5461"/>
    <w:rPr>
      <w:b/>
      <w:bCs/>
      <w:sz w:val="20"/>
      <w:szCs w:val="20"/>
    </w:rPr>
  </w:style>
  <w:style w:type="character" w:customStyle="1" w:styleId="ObjetducommentaireCar">
    <w:name w:val="Objet du commentaire Car"/>
    <w:basedOn w:val="CommentaireCar"/>
    <w:link w:val="Objetducommentaire"/>
    <w:uiPriority w:val="99"/>
    <w:semiHidden/>
    <w:rsid w:val="005D5461"/>
    <w:rPr>
      <w:rFonts w:eastAsiaTheme="minorHAnsi"/>
      <w:b/>
      <w:bCs/>
      <w:sz w:val="20"/>
      <w:szCs w:val="20"/>
      <w:lang w:eastAsia="en-US"/>
    </w:rPr>
  </w:style>
  <w:style w:type="character" w:customStyle="1" w:styleId="apple-converted-space">
    <w:name w:val="apple-converted-space"/>
    <w:basedOn w:val="Policepardfaut"/>
    <w:rsid w:val="005D5461"/>
  </w:style>
  <w:style w:type="character" w:styleId="Accentuation">
    <w:name w:val="Emphasis"/>
    <w:basedOn w:val="Policepardfaut"/>
    <w:uiPriority w:val="20"/>
    <w:qFormat/>
    <w:rsid w:val="005D5461"/>
    <w:rPr>
      <w:i/>
      <w:iCs/>
    </w:rPr>
  </w:style>
  <w:style w:type="paragraph" w:styleId="NormalWeb">
    <w:name w:val="Normal (Web)"/>
    <w:basedOn w:val="Normal"/>
    <w:uiPriority w:val="99"/>
    <w:unhideWhenUsed/>
    <w:rsid w:val="005D5461"/>
    <w:pPr>
      <w:spacing w:before="100" w:beforeAutospacing="1" w:after="100" w:afterAutospacing="1" w:line="240" w:lineRule="auto"/>
    </w:pPr>
    <w:rPr>
      <w:rFonts w:ascii="Times New Roman" w:hAnsi="Times New Roman" w:cs="Times New Roman"/>
      <w:sz w:val="20"/>
      <w:szCs w:val="20"/>
      <w:lang w:eastAsia="fr-FR"/>
    </w:rPr>
  </w:style>
  <w:style w:type="character" w:styleId="Lienhypertexte">
    <w:name w:val="Hyperlink"/>
    <w:basedOn w:val="Policepardfaut"/>
    <w:uiPriority w:val="99"/>
    <w:unhideWhenUsed/>
    <w:rsid w:val="005D5461"/>
    <w:rPr>
      <w:color w:val="0000FF" w:themeColor="hyperlink"/>
      <w:u w:val="single"/>
    </w:rPr>
  </w:style>
  <w:style w:type="paragraph" w:customStyle="1" w:styleId="Articlecorps">
    <w:name w:val="Article_corps"/>
    <w:qFormat/>
    <w:rsid w:val="005D5461"/>
    <w:pPr>
      <w:spacing w:line="480" w:lineRule="auto"/>
    </w:pPr>
    <w:rPr>
      <w:rFonts w:ascii="Times New Roman" w:eastAsia="Arial Unicode MS" w:hAnsi="Times New Roman" w:cs="Arial Unicode MS"/>
      <w:kern w:val="2"/>
      <w:lang w:val="en-GB" w:eastAsia="zh-CN" w:bidi="hi-IN"/>
    </w:rPr>
  </w:style>
  <w:style w:type="character" w:styleId="Numrodeligne">
    <w:name w:val="line number"/>
    <w:basedOn w:val="Policepardfaut"/>
    <w:uiPriority w:val="99"/>
    <w:semiHidden/>
    <w:unhideWhenUsed/>
    <w:rsid w:val="005D5461"/>
  </w:style>
  <w:style w:type="character" w:customStyle="1" w:styleId="Titre3Car">
    <w:name w:val="Titre 3 Car"/>
    <w:basedOn w:val="Policepardfaut"/>
    <w:link w:val="Titre3"/>
    <w:uiPriority w:val="9"/>
    <w:rsid w:val="00EA76B2"/>
    <w:rPr>
      <w:rFonts w:ascii="Times New Roman" w:hAnsi="Times New Roman" w:cs="Times New Roman"/>
      <w:b/>
      <w:bCs/>
      <w:sz w:val="27"/>
      <w:szCs w:val="27"/>
    </w:rPr>
  </w:style>
  <w:style w:type="character" w:customStyle="1" w:styleId="Titre4Car">
    <w:name w:val="Titre 4 Car"/>
    <w:basedOn w:val="Policepardfaut"/>
    <w:link w:val="Titre4"/>
    <w:uiPriority w:val="9"/>
    <w:semiHidden/>
    <w:rsid w:val="00B71E79"/>
    <w:rPr>
      <w:rFonts w:ascii="Calibri Light" w:eastAsia="Times New Roman" w:hAnsi="Calibri Light" w:cs="Mangal"/>
      <w:i/>
      <w:iCs/>
      <w:color w:val="2F5496"/>
      <w:szCs w:val="21"/>
      <w:lang w:val="fr-FR"/>
    </w:rPr>
  </w:style>
  <w:style w:type="character" w:customStyle="1" w:styleId="Titre5Car">
    <w:name w:val="Titre 5 Car"/>
    <w:basedOn w:val="Policepardfaut"/>
    <w:link w:val="Titre5"/>
    <w:uiPriority w:val="9"/>
    <w:semiHidden/>
    <w:rsid w:val="00B71E79"/>
    <w:rPr>
      <w:rFonts w:ascii="Calibri Light" w:eastAsia="Times New Roman" w:hAnsi="Calibri Light" w:cs="Mangal"/>
      <w:color w:val="2F5496"/>
      <w:szCs w:val="21"/>
      <w:lang w:val="fr-FR"/>
    </w:rPr>
  </w:style>
  <w:style w:type="character" w:customStyle="1" w:styleId="Titre6Car">
    <w:name w:val="Titre 6 Car"/>
    <w:basedOn w:val="Policepardfaut"/>
    <w:link w:val="Titre6"/>
    <w:uiPriority w:val="9"/>
    <w:semiHidden/>
    <w:rsid w:val="00B71E79"/>
    <w:rPr>
      <w:rFonts w:ascii="Calibri Light" w:eastAsia="Times New Roman" w:hAnsi="Calibri Light" w:cs="Mangal"/>
      <w:color w:val="1F3763"/>
      <w:szCs w:val="21"/>
      <w:lang w:val="fr-FR"/>
    </w:rPr>
  </w:style>
  <w:style w:type="character" w:customStyle="1" w:styleId="Titre7Car">
    <w:name w:val="Titre 7 Car"/>
    <w:basedOn w:val="Policepardfaut"/>
    <w:link w:val="Titre7"/>
    <w:uiPriority w:val="9"/>
    <w:semiHidden/>
    <w:rsid w:val="00B71E79"/>
    <w:rPr>
      <w:rFonts w:ascii="Calibri Light" w:eastAsia="Times New Roman" w:hAnsi="Calibri Light" w:cs="Mangal"/>
      <w:i/>
      <w:iCs/>
      <w:color w:val="1F3763"/>
      <w:szCs w:val="21"/>
      <w:lang w:val="fr-FR"/>
    </w:rPr>
  </w:style>
  <w:style w:type="character" w:customStyle="1" w:styleId="Titre8Car">
    <w:name w:val="Titre 8 Car"/>
    <w:basedOn w:val="Policepardfaut"/>
    <w:link w:val="Titre8"/>
    <w:uiPriority w:val="9"/>
    <w:semiHidden/>
    <w:rsid w:val="00B71E79"/>
    <w:rPr>
      <w:rFonts w:ascii="Calibri Light" w:eastAsia="Times New Roman" w:hAnsi="Calibri Light" w:cs="Mangal"/>
      <w:color w:val="272727"/>
      <w:sz w:val="21"/>
      <w:szCs w:val="19"/>
      <w:lang w:val="fr-FR"/>
    </w:rPr>
  </w:style>
  <w:style w:type="character" w:customStyle="1" w:styleId="Titre9Car">
    <w:name w:val="Titre 9 Car"/>
    <w:basedOn w:val="Policepardfaut"/>
    <w:link w:val="Titre9"/>
    <w:uiPriority w:val="9"/>
    <w:semiHidden/>
    <w:rsid w:val="00B71E79"/>
    <w:rPr>
      <w:rFonts w:ascii="Calibri Light" w:eastAsia="Times New Roman" w:hAnsi="Calibri Light" w:cs="Mangal"/>
      <w:i/>
      <w:iCs/>
      <w:color w:val="272727"/>
      <w:sz w:val="21"/>
      <w:szCs w:val="19"/>
      <w:lang w:val="fr-FR"/>
    </w:rPr>
  </w:style>
  <w:style w:type="paragraph" w:customStyle="1" w:styleId="ArticletitreIMRaD">
    <w:name w:val="Article_titre_IMRaD"/>
    <w:next w:val="Articlecorps"/>
    <w:qFormat/>
    <w:rsid w:val="00B71E79"/>
    <w:pPr>
      <w:spacing w:line="480" w:lineRule="auto"/>
    </w:pPr>
    <w:rPr>
      <w:rFonts w:ascii="Times New Roman" w:eastAsia="Arial Unicode MS" w:hAnsi="Times New Roman" w:cs="Times New Roman"/>
      <w:bCs/>
      <w:color w:val="000000"/>
      <w:kern w:val="2"/>
      <w:sz w:val="22"/>
      <w:lang w:val="en-GB" w:eastAsia="zh-CN" w:bidi="hi-IN"/>
    </w:rPr>
  </w:style>
  <w:style w:type="paragraph" w:customStyle="1" w:styleId="ArticleTM1">
    <w:name w:val="Article TM1"/>
    <w:next w:val="Articlecorps"/>
    <w:qFormat/>
    <w:rsid w:val="00B71E79"/>
    <w:pPr>
      <w:spacing w:before="240" w:after="240"/>
    </w:pPr>
    <w:rPr>
      <w:rFonts w:ascii="Times New Roman" w:eastAsia="Arial Unicode MS" w:hAnsi="Times New Roman" w:cs="Times New Roman"/>
      <w:bCs/>
      <w:color w:val="000000"/>
      <w:kern w:val="2"/>
      <w:sz w:val="22"/>
      <w:lang w:val="en-GB"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461"/>
    <w:pPr>
      <w:spacing w:after="160" w:line="259" w:lineRule="auto"/>
    </w:pPr>
    <w:rPr>
      <w:rFonts w:eastAsiaTheme="minorHAnsi"/>
      <w:sz w:val="22"/>
      <w:szCs w:val="22"/>
      <w:lang w:eastAsia="en-US"/>
    </w:rPr>
  </w:style>
  <w:style w:type="paragraph" w:styleId="Titre3">
    <w:name w:val="heading 3"/>
    <w:basedOn w:val="Normal"/>
    <w:link w:val="Titre3Car"/>
    <w:uiPriority w:val="9"/>
    <w:qFormat/>
    <w:rsid w:val="00EA76B2"/>
    <w:pPr>
      <w:spacing w:before="100" w:beforeAutospacing="1" w:after="100" w:afterAutospacing="1" w:line="240" w:lineRule="auto"/>
      <w:outlineLvl w:val="2"/>
    </w:pPr>
    <w:rPr>
      <w:rFonts w:ascii="Times New Roman" w:eastAsiaTheme="minorEastAsia"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B71E79"/>
    <w:pPr>
      <w:keepNext/>
      <w:keepLines/>
      <w:spacing w:before="40" w:after="0" w:line="240" w:lineRule="auto"/>
      <w:ind w:left="360"/>
      <w:outlineLvl w:val="3"/>
    </w:pPr>
    <w:rPr>
      <w:rFonts w:ascii="Calibri Light" w:eastAsia="Times New Roman" w:hAnsi="Calibri Light" w:cs="Mangal"/>
      <w:i/>
      <w:iCs/>
      <w:color w:val="2F5496"/>
      <w:sz w:val="24"/>
      <w:szCs w:val="21"/>
      <w:lang w:val="fr-FR" w:eastAsia="fr-FR"/>
    </w:rPr>
  </w:style>
  <w:style w:type="paragraph" w:styleId="Titre5">
    <w:name w:val="heading 5"/>
    <w:basedOn w:val="Normal"/>
    <w:next w:val="Normal"/>
    <w:link w:val="Titre5Car"/>
    <w:uiPriority w:val="9"/>
    <w:semiHidden/>
    <w:unhideWhenUsed/>
    <w:qFormat/>
    <w:rsid w:val="00B71E79"/>
    <w:pPr>
      <w:keepNext/>
      <w:keepLines/>
      <w:spacing w:before="40" w:after="0" w:line="240" w:lineRule="auto"/>
      <w:ind w:left="360"/>
      <w:outlineLvl w:val="4"/>
    </w:pPr>
    <w:rPr>
      <w:rFonts w:ascii="Calibri Light" w:eastAsia="Times New Roman" w:hAnsi="Calibri Light" w:cs="Mangal"/>
      <w:color w:val="2F5496"/>
      <w:sz w:val="24"/>
      <w:szCs w:val="21"/>
      <w:lang w:val="fr-FR" w:eastAsia="fr-FR"/>
    </w:rPr>
  </w:style>
  <w:style w:type="paragraph" w:styleId="Titre6">
    <w:name w:val="heading 6"/>
    <w:basedOn w:val="Normal"/>
    <w:next w:val="Normal"/>
    <w:link w:val="Titre6Car"/>
    <w:uiPriority w:val="9"/>
    <w:semiHidden/>
    <w:unhideWhenUsed/>
    <w:qFormat/>
    <w:rsid w:val="00B71E79"/>
    <w:pPr>
      <w:keepNext/>
      <w:keepLines/>
      <w:spacing w:before="40" w:after="0" w:line="240" w:lineRule="auto"/>
      <w:ind w:left="360"/>
      <w:outlineLvl w:val="5"/>
    </w:pPr>
    <w:rPr>
      <w:rFonts w:ascii="Calibri Light" w:eastAsia="Times New Roman" w:hAnsi="Calibri Light" w:cs="Mangal"/>
      <w:color w:val="1F3763"/>
      <w:sz w:val="24"/>
      <w:szCs w:val="21"/>
      <w:lang w:val="fr-FR" w:eastAsia="fr-FR"/>
    </w:rPr>
  </w:style>
  <w:style w:type="paragraph" w:styleId="Titre7">
    <w:name w:val="heading 7"/>
    <w:basedOn w:val="Normal"/>
    <w:next w:val="Normal"/>
    <w:link w:val="Titre7Car"/>
    <w:uiPriority w:val="9"/>
    <w:semiHidden/>
    <w:unhideWhenUsed/>
    <w:qFormat/>
    <w:rsid w:val="00B71E79"/>
    <w:pPr>
      <w:keepNext/>
      <w:keepLines/>
      <w:spacing w:before="40" w:after="0" w:line="240" w:lineRule="auto"/>
      <w:ind w:left="360"/>
      <w:outlineLvl w:val="6"/>
    </w:pPr>
    <w:rPr>
      <w:rFonts w:ascii="Calibri Light" w:eastAsia="Times New Roman" w:hAnsi="Calibri Light" w:cs="Mangal"/>
      <w:i/>
      <w:iCs/>
      <w:color w:val="1F3763"/>
      <w:sz w:val="24"/>
      <w:szCs w:val="21"/>
      <w:lang w:val="fr-FR" w:eastAsia="fr-FR"/>
    </w:rPr>
  </w:style>
  <w:style w:type="paragraph" w:styleId="Titre8">
    <w:name w:val="heading 8"/>
    <w:basedOn w:val="Normal"/>
    <w:next w:val="Normal"/>
    <w:link w:val="Titre8Car"/>
    <w:uiPriority w:val="9"/>
    <w:semiHidden/>
    <w:unhideWhenUsed/>
    <w:qFormat/>
    <w:rsid w:val="00B71E79"/>
    <w:pPr>
      <w:keepNext/>
      <w:keepLines/>
      <w:spacing w:before="40" w:after="0" w:line="240" w:lineRule="auto"/>
      <w:ind w:left="360"/>
      <w:outlineLvl w:val="7"/>
    </w:pPr>
    <w:rPr>
      <w:rFonts w:ascii="Calibri Light" w:eastAsia="Times New Roman" w:hAnsi="Calibri Light" w:cs="Mangal"/>
      <w:color w:val="272727"/>
      <w:sz w:val="21"/>
      <w:szCs w:val="19"/>
      <w:lang w:val="fr-FR" w:eastAsia="fr-FR"/>
    </w:rPr>
  </w:style>
  <w:style w:type="paragraph" w:styleId="Titre9">
    <w:name w:val="heading 9"/>
    <w:basedOn w:val="Normal"/>
    <w:next w:val="Normal"/>
    <w:link w:val="Titre9Car"/>
    <w:uiPriority w:val="9"/>
    <w:semiHidden/>
    <w:unhideWhenUsed/>
    <w:qFormat/>
    <w:rsid w:val="00B71E79"/>
    <w:pPr>
      <w:keepNext/>
      <w:keepLines/>
      <w:spacing w:before="40" w:after="0" w:line="240" w:lineRule="auto"/>
      <w:ind w:left="360"/>
      <w:outlineLvl w:val="8"/>
    </w:pPr>
    <w:rPr>
      <w:rFonts w:ascii="Calibri Light" w:eastAsia="Times New Roman" w:hAnsi="Calibri Light" w:cs="Mangal"/>
      <w:i/>
      <w:iCs/>
      <w:color w:val="272727"/>
      <w:sz w:val="21"/>
      <w:szCs w:val="19"/>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5461"/>
    <w:pPr>
      <w:ind w:left="720"/>
      <w:contextualSpacing/>
    </w:pPr>
  </w:style>
  <w:style w:type="paragraph" w:styleId="En-tte">
    <w:name w:val="header"/>
    <w:basedOn w:val="Normal"/>
    <w:link w:val="En-tteCar"/>
    <w:uiPriority w:val="99"/>
    <w:unhideWhenUsed/>
    <w:rsid w:val="005D5461"/>
    <w:pPr>
      <w:tabs>
        <w:tab w:val="center" w:pos="4536"/>
        <w:tab w:val="right" w:pos="9072"/>
      </w:tabs>
      <w:spacing w:after="0" w:line="240" w:lineRule="auto"/>
    </w:pPr>
  </w:style>
  <w:style w:type="character" w:customStyle="1" w:styleId="En-tteCar">
    <w:name w:val="En-tête Car"/>
    <w:basedOn w:val="Policepardfaut"/>
    <w:link w:val="En-tte"/>
    <w:uiPriority w:val="99"/>
    <w:rsid w:val="005D5461"/>
    <w:rPr>
      <w:rFonts w:eastAsiaTheme="minorHAnsi"/>
      <w:sz w:val="22"/>
      <w:szCs w:val="22"/>
      <w:lang w:eastAsia="en-US"/>
    </w:rPr>
  </w:style>
  <w:style w:type="paragraph" w:styleId="Pieddepage">
    <w:name w:val="footer"/>
    <w:basedOn w:val="Normal"/>
    <w:link w:val="PieddepageCar"/>
    <w:uiPriority w:val="99"/>
    <w:unhideWhenUsed/>
    <w:rsid w:val="005D54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5461"/>
    <w:rPr>
      <w:rFonts w:eastAsiaTheme="minorHAnsi"/>
      <w:sz w:val="22"/>
      <w:szCs w:val="22"/>
      <w:lang w:eastAsia="en-US"/>
    </w:rPr>
  </w:style>
  <w:style w:type="paragraph" w:styleId="Textedebulles">
    <w:name w:val="Balloon Text"/>
    <w:basedOn w:val="Normal"/>
    <w:link w:val="TextedebullesCar"/>
    <w:uiPriority w:val="99"/>
    <w:semiHidden/>
    <w:unhideWhenUsed/>
    <w:rsid w:val="005D54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5461"/>
    <w:rPr>
      <w:rFonts w:ascii="Segoe UI" w:eastAsiaTheme="minorHAnsi" w:hAnsi="Segoe UI" w:cs="Segoe UI"/>
      <w:sz w:val="18"/>
      <w:szCs w:val="18"/>
      <w:lang w:eastAsia="en-US"/>
    </w:rPr>
  </w:style>
  <w:style w:type="table" w:styleId="Grille">
    <w:name w:val="Table Grid"/>
    <w:basedOn w:val="TableauNormal"/>
    <w:uiPriority w:val="39"/>
    <w:rsid w:val="005D546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annotation">
    <w:name w:val="annotation reference"/>
    <w:basedOn w:val="Policepardfaut"/>
    <w:uiPriority w:val="99"/>
    <w:semiHidden/>
    <w:unhideWhenUsed/>
    <w:rsid w:val="005D5461"/>
    <w:rPr>
      <w:sz w:val="18"/>
      <w:szCs w:val="18"/>
    </w:rPr>
  </w:style>
  <w:style w:type="paragraph" w:styleId="Commentaire">
    <w:name w:val="annotation text"/>
    <w:basedOn w:val="Normal"/>
    <w:link w:val="CommentaireCar"/>
    <w:uiPriority w:val="99"/>
    <w:semiHidden/>
    <w:unhideWhenUsed/>
    <w:rsid w:val="005D5461"/>
    <w:pPr>
      <w:spacing w:line="240" w:lineRule="auto"/>
    </w:pPr>
    <w:rPr>
      <w:sz w:val="24"/>
      <w:szCs w:val="24"/>
    </w:rPr>
  </w:style>
  <w:style w:type="character" w:customStyle="1" w:styleId="CommentaireCar">
    <w:name w:val="Commentaire Car"/>
    <w:basedOn w:val="Policepardfaut"/>
    <w:link w:val="Commentaire"/>
    <w:uiPriority w:val="99"/>
    <w:semiHidden/>
    <w:rsid w:val="005D5461"/>
    <w:rPr>
      <w:rFonts w:eastAsiaTheme="minorHAnsi"/>
      <w:lang w:eastAsia="en-US"/>
    </w:rPr>
  </w:style>
  <w:style w:type="paragraph" w:styleId="Objetducommentaire">
    <w:name w:val="annotation subject"/>
    <w:basedOn w:val="Commentaire"/>
    <w:next w:val="Commentaire"/>
    <w:link w:val="ObjetducommentaireCar"/>
    <w:uiPriority w:val="99"/>
    <w:semiHidden/>
    <w:unhideWhenUsed/>
    <w:rsid w:val="005D5461"/>
    <w:rPr>
      <w:b/>
      <w:bCs/>
      <w:sz w:val="20"/>
      <w:szCs w:val="20"/>
    </w:rPr>
  </w:style>
  <w:style w:type="character" w:customStyle="1" w:styleId="ObjetducommentaireCar">
    <w:name w:val="Objet du commentaire Car"/>
    <w:basedOn w:val="CommentaireCar"/>
    <w:link w:val="Objetducommentaire"/>
    <w:uiPriority w:val="99"/>
    <w:semiHidden/>
    <w:rsid w:val="005D5461"/>
    <w:rPr>
      <w:rFonts w:eastAsiaTheme="minorHAnsi"/>
      <w:b/>
      <w:bCs/>
      <w:sz w:val="20"/>
      <w:szCs w:val="20"/>
      <w:lang w:eastAsia="en-US"/>
    </w:rPr>
  </w:style>
  <w:style w:type="character" w:customStyle="1" w:styleId="apple-converted-space">
    <w:name w:val="apple-converted-space"/>
    <w:basedOn w:val="Policepardfaut"/>
    <w:rsid w:val="005D5461"/>
  </w:style>
  <w:style w:type="character" w:styleId="Accentuation">
    <w:name w:val="Emphasis"/>
    <w:basedOn w:val="Policepardfaut"/>
    <w:uiPriority w:val="20"/>
    <w:qFormat/>
    <w:rsid w:val="005D5461"/>
    <w:rPr>
      <w:i/>
      <w:iCs/>
    </w:rPr>
  </w:style>
  <w:style w:type="paragraph" w:styleId="NormalWeb">
    <w:name w:val="Normal (Web)"/>
    <w:basedOn w:val="Normal"/>
    <w:uiPriority w:val="99"/>
    <w:unhideWhenUsed/>
    <w:rsid w:val="005D5461"/>
    <w:pPr>
      <w:spacing w:before="100" w:beforeAutospacing="1" w:after="100" w:afterAutospacing="1" w:line="240" w:lineRule="auto"/>
    </w:pPr>
    <w:rPr>
      <w:rFonts w:ascii="Times New Roman" w:hAnsi="Times New Roman" w:cs="Times New Roman"/>
      <w:sz w:val="20"/>
      <w:szCs w:val="20"/>
      <w:lang w:eastAsia="fr-FR"/>
    </w:rPr>
  </w:style>
  <w:style w:type="character" w:styleId="Lienhypertexte">
    <w:name w:val="Hyperlink"/>
    <w:basedOn w:val="Policepardfaut"/>
    <w:uiPriority w:val="99"/>
    <w:unhideWhenUsed/>
    <w:rsid w:val="005D5461"/>
    <w:rPr>
      <w:color w:val="0000FF" w:themeColor="hyperlink"/>
      <w:u w:val="single"/>
    </w:rPr>
  </w:style>
  <w:style w:type="paragraph" w:customStyle="1" w:styleId="Articlecorps">
    <w:name w:val="Article_corps"/>
    <w:qFormat/>
    <w:rsid w:val="005D5461"/>
    <w:pPr>
      <w:spacing w:line="480" w:lineRule="auto"/>
    </w:pPr>
    <w:rPr>
      <w:rFonts w:ascii="Times New Roman" w:eastAsia="Arial Unicode MS" w:hAnsi="Times New Roman" w:cs="Arial Unicode MS"/>
      <w:kern w:val="2"/>
      <w:lang w:val="en-GB" w:eastAsia="zh-CN" w:bidi="hi-IN"/>
    </w:rPr>
  </w:style>
  <w:style w:type="character" w:styleId="Numrodeligne">
    <w:name w:val="line number"/>
    <w:basedOn w:val="Policepardfaut"/>
    <w:uiPriority w:val="99"/>
    <w:semiHidden/>
    <w:unhideWhenUsed/>
    <w:rsid w:val="005D5461"/>
  </w:style>
  <w:style w:type="character" w:customStyle="1" w:styleId="Titre3Car">
    <w:name w:val="Titre 3 Car"/>
    <w:basedOn w:val="Policepardfaut"/>
    <w:link w:val="Titre3"/>
    <w:uiPriority w:val="9"/>
    <w:rsid w:val="00EA76B2"/>
    <w:rPr>
      <w:rFonts w:ascii="Times New Roman" w:hAnsi="Times New Roman" w:cs="Times New Roman"/>
      <w:b/>
      <w:bCs/>
      <w:sz w:val="27"/>
      <w:szCs w:val="27"/>
    </w:rPr>
  </w:style>
  <w:style w:type="character" w:customStyle="1" w:styleId="Titre4Car">
    <w:name w:val="Titre 4 Car"/>
    <w:basedOn w:val="Policepardfaut"/>
    <w:link w:val="Titre4"/>
    <w:uiPriority w:val="9"/>
    <w:semiHidden/>
    <w:rsid w:val="00B71E79"/>
    <w:rPr>
      <w:rFonts w:ascii="Calibri Light" w:eastAsia="Times New Roman" w:hAnsi="Calibri Light" w:cs="Mangal"/>
      <w:i/>
      <w:iCs/>
      <w:color w:val="2F5496"/>
      <w:szCs w:val="21"/>
      <w:lang w:val="fr-FR"/>
    </w:rPr>
  </w:style>
  <w:style w:type="character" w:customStyle="1" w:styleId="Titre5Car">
    <w:name w:val="Titre 5 Car"/>
    <w:basedOn w:val="Policepardfaut"/>
    <w:link w:val="Titre5"/>
    <w:uiPriority w:val="9"/>
    <w:semiHidden/>
    <w:rsid w:val="00B71E79"/>
    <w:rPr>
      <w:rFonts w:ascii="Calibri Light" w:eastAsia="Times New Roman" w:hAnsi="Calibri Light" w:cs="Mangal"/>
      <w:color w:val="2F5496"/>
      <w:szCs w:val="21"/>
      <w:lang w:val="fr-FR"/>
    </w:rPr>
  </w:style>
  <w:style w:type="character" w:customStyle="1" w:styleId="Titre6Car">
    <w:name w:val="Titre 6 Car"/>
    <w:basedOn w:val="Policepardfaut"/>
    <w:link w:val="Titre6"/>
    <w:uiPriority w:val="9"/>
    <w:semiHidden/>
    <w:rsid w:val="00B71E79"/>
    <w:rPr>
      <w:rFonts w:ascii="Calibri Light" w:eastAsia="Times New Roman" w:hAnsi="Calibri Light" w:cs="Mangal"/>
      <w:color w:val="1F3763"/>
      <w:szCs w:val="21"/>
      <w:lang w:val="fr-FR"/>
    </w:rPr>
  </w:style>
  <w:style w:type="character" w:customStyle="1" w:styleId="Titre7Car">
    <w:name w:val="Titre 7 Car"/>
    <w:basedOn w:val="Policepardfaut"/>
    <w:link w:val="Titre7"/>
    <w:uiPriority w:val="9"/>
    <w:semiHidden/>
    <w:rsid w:val="00B71E79"/>
    <w:rPr>
      <w:rFonts w:ascii="Calibri Light" w:eastAsia="Times New Roman" w:hAnsi="Calibri Light" w:cs="Mangal"/>
      <w:i/>
      <w:iCs/>
      <w:color w:val="1F3763"/>
      <w:szCs w:val="21"/>
      <w:lang w:val="fr-FR"/>
    </w:rPr>
  </w:style>
  <w:style w:type="character" w:customStyle="1" w:styleId="Titre8Car">
    <w:name w:val="Titre 8 Car"/>
    <w:basedOn w:val="Policepardfaut"/>
    <w:link w:val="Titre8"/>
    <w:uiPriority w:val="9"/>
    <w:semiHidden/>
    <w:rsid w:val="00B71E79"/>
    <w:rPr>
      <w:rFonts w:ascii="Calibri Light" w:eastAsia="Times New Roman" w:hAnsi="Calibri Light" w:cs="Mangal"/>
      <w:color w:val="272727"/>
      <w:sz w:val="21"/>
      <w:szCs w:val="19"/>
      <w:lang w:val="fr-FR"/>
    </w:rPr>
  </w:style>
  <w:style w:type="character" w:customStyle="1" w:styleId="Titre9Car">
    <w:name w:val="Titre 9 Car"/>
    <w:basedOn w:val="Policepardfaut"/>
    <w:link w:val="Titre9"/>
    <w:uiPriority w:val="9"/>
    <w:semiHidden/>
    <w:rsid w:val="00B71E79"/>
    <w:rPr>
      <w:rFonts w:ascii="Calibri Light" w:eastAsia="Times New Roman" w:hAnsi="Calibri Light" w:cs="Mangal"/>
      <w:i/>
      <w:iCs/>
      <w:color w:val="272727"/>
      <w:sz w:val="21"/>
      <w:szCs w:val="19"/>
      <w:lang w:val="fr-FR"/>
    </w:rPr>
  </w:style>
  <w:style w:type="paragraph" w:customStyle="1" w:styleId="ArticletitreIMRaD">
    <w:name w:val="Article_titre_IMRaD"/>
    <w:next w:val="Articlecorps"/>
    <w:qFormat/>
    <w:rsid w:val="00B71E79"/>
    <w:pPr>
      <w:spacing w:line="480" w:lineRule="auto"/>
    </w:pPr>
    <w:rPr>
      <w:rFonts w:ascii="Times New Roman" w:eastAsia="Arial Unicode MS" w:hAnsi="Times New Roman" w:cs="Times New Roman"/>
      <w:bCs/>
      <w:color w:val="000000"/>
      <w:kern w:val="2"/>
      <w:sz w:val="22"/>
      <w:lang w:val="en-GB" w:eastAsia="zh-CN" w:bidi="hi-IN"/>
    </w:rPr>
  </w:style>
  <w:style w:type="paragraph" w:customStyle="1" w:styleId="ArticleTM1">
    <w:name w:val="Article TM1"/>
    <w:next w:val="Articlecorps"/>
    <w:qFormat/>
    <w:rsid w:val="00B71E79"/>
    <w:pPr>
      <w:spacing w:before="240" w:after="240"/>
    </w:pPr>
    <w:rPr>
      <w:rFonts w:ascii="Times New Roman" w:eastAsia="Arial Unicode MS" w:hAnsi="Times New Roman" w:cs="Times New Roman"/>
      <w:bCs/>
      <w:color w:val="000000"/>
      <w:kern w:val="2"/>
      <w:sz w:val="22"/>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9227">
      <w:bodyDiv w:val="1"/>
      <w:marLeft w:val="0"/>
      <w:marRight w:val="0"/>
      <w:marTop w:val="0"/>
      <w:marBottom w:val="0"/>
      <w:divBdr>
        <w:top w:val="none" w:sz="0" w:space="0" w:color="auto"/>
        <w:left w:val="none" w:sz="0" w:space="0" w:color="auto"/>
        <w:bottom w:val="none" w:sz="0" w:space="0" w:color="auto"/>
        <w:right w:val="none" w:sz="0" w:space="0" w:color="auto"/>
      </w:divBdr>
    </w:div>
    <w:div w:id="98531085">
      <w:bodyDiv w:val="1"/>
      <w:marLeft w:val="0"/>
      <w:marRight w:val="0"/>
      <w:marTop w:val="0"/>
      <w:marBottom w:val="0"/>
      <w:divBdr>
        <w:top w:val="none" w:sz="0" w:space="0" w:color="auto"/>
        <w:left w:val="none" w:sz="0" w:space="0" w:color="auto"/>
        <w:bottom w:val="none" w:sz="0" w:space="0" w:color="auto"/>
        <w:right w:val="none" w:sz="0" w:space="0" w:color="auto"/>
      </w:divBdr>
    </w:div>
    <w:div w:id="139465666">
      <w:bodyDiv w:val="1"/>
      <w:marLeft w:val="0"/>
      <w:marRight w:val="0"/>
      <w:marTop w:val="0"/>
      <w:marBottom w:val="0"/>
      <w:divBdr>
        <w:top w:val="none" w:sz="0" w:space="0" w:color="auto"/>
        <w:left w:val="none" w:sz="0" w:space="0" w:color="auto"/>
        <w:bottom w:val="none" w:sz="0" w:space="0" w:color="auto"/>
        <w:right w:val="none" w:sz="0" w:space="0" w:color="auto"/>
      </w:divBdr>
    </w:div>
    <w:div w:id="189225112">
      <w:bodyDiv w:val="1"/>
      <w:marLeft w:val="0"/>
      <w:marRight w:val="0"/>
      <w:marTop w:val="0"/>
      <w:marBottom w:val="0"/>
      <w:divBdr>
        <w:top w:val="none" w:sz="0" w:space="0" w:color="auto"/>
        <w:left w:val="none" w:sz="0" w:space="0" w:color="auto"/>
        <w:bottom w:val="none" w:sz="0" w:space="0" w:color="auto"/>
        <w:right w:val="none" w:sz="0" w:space="0" w:color="auto"/>
      </w:divBdr>
      <w:divsChild>
        <w:div w:id="1736778274">
          <w:marLeft w:val="0"/>
          <w:marRight w:val="108"/>
          <w:marTop w:val="108"/>
          <w:marBottom w:val="108"/>
          <w:divBdr>
            <w:top w:val="none" w:sz="0" w:space="0" w:color="auto"/>
            <w:left w:val="none" w:sz="0" w:space="0" w:color="auto"/>
            <w:bottom w:val="none" w:sz="0" w:space="0" w:color="auto"/>
            <w:right w:val="none" w:sz="0" w:space="0" w:color="auto"/>
          </w:divBdr>
          <w:divsChild>
            <w:div w:id="1050692996">
              <w:marLeft w:val="0"/>
              <w:marRight w:val="0"/>
              <w:marTop w:val="0"/>
              <w:marBottom w:val="0"/>
              <w:divBdr>
                <w:top w:val="none" w:sz="0" w:space="0" w:color="auto"/>
                <w:left w:val="none" w:sz="0" w:space="0" w:color="auto"/>
                <w:bottom w:val="none" w:sz="0" w:space="0" w:color="auto"/>
                <w:right w:val="none" w:sz="0" w:space="0" w:color="auto"/>
              </w:divBdr>
              <w:divsChild>
                <w:div w:id="1689864683">
                  <w:marLeft w:val="0"/>
                  <w:marRight w:val="0"/>
                  <w:marTop w:val="0"/>
                  <w:marBottom w:val="0"/>
                  <w:divBdr>
                    <w:top w:val="none" w:sz="0" w:space="0" w:color="auto"/>
                    <w:left w:val="none" w:sz="0" w:space="0" w:color="auto"/>
                    <w:bottom w:val="none" w:sz="0" w:space="0" w:color="auto"/>
                    <w:right w:val="none" w:sz="0" w:space="0" w:color="auto"/>
                  </w:divBdr>
                </w:div>
                <w:div w:id="18170758">
                  <w:marLeft w:val="0"/>
                  <w:marRight w:val="108"/>
                  <w:marTop w:val="18"/>
                  <w:marBottom w:val="108"/>
                  <w:divBdr>
                    <w:top w:val="none" w:sz="0" w:space="0" w:color="auto"/>
                    <w:left w:val="none" w:sz="0" w:space="0" w:color="auto"/>
                    <w:bottom w:val="none" w:sz="0" w:space="0" w:color="auto"/>
                    <w:right w:val="none" w:sz="0" w:space="0" w:color="auto"/>
                  </w:divBdr>
                  <w:divsChild>
                    <w:div w:id="1026369809">
                      <w:marLeft w:val="0"/>
                      <w:marRight w:val="0"/>
                      <w:marTop w:val="0"/>
                      <w:marBottom w:val="0"/>
                      <w:divBdr>
                        <w:top w:val="none" w:sz="0" w:space="0" w:color="auto"/>
                        <w:left w:val="none" w:sz="0" w:space="0" w:color="auto"/>
                        <w:bottom w:val="none" w:sz="0" w:space="0" w:color="auto"/>
                        <w:right w:val="none" w:sz="0" w:space="0" w:color="auto"/>
                      </w:divBdr>
                      <w:divsChild>
                        <w:div w:id="1526015744">
                          <w:marLeft w:val="0"/>
                          <w:marRight w:val="0"/>
                          <w:marTop w:val="0"/>
                          <w:marBottom w:val="0"/>
                          <w:divBdr>
                            <w:top w:val="none" w:sz="0" w:space="0" w:color="auto"/>
                            <w:left w:val="none" w:sz="0" w:space="0" w:color="auto"/>
                            <w:bottom w:val="none" w:sz="0" w:space="0" w:color="auto"/>
                            <w:right w:val="none" w:sz="0" w:space="0" w:color="auto"/>
                          </w:divBdr>
                          <w:divsChild>
                            <w:div w:id="881945001">
                              <w:marLeft w:val="0"/>
                              <w:marRight w:val="0"/>
                              <w:marTop w:val="0"/>
                              <w:marBottom w:val="0"/>
                              <w:divBdr>
                                <w:top w:val="none" w:sz="0" w:space="0" w:color="auto"/>
                                <w:left w:val="none" w:sz="0" w:space="0" w:color="auto"/>
                                <w:bottom w:val="none" w:sz="0" w:space="0" w:color="auto"/>
                                <w:right w:val="none" w:sz="0" w:space="0" w:color="auto"/>
                              </w:divBdr>
                              <w:divsChild>
                                <w:div w:id="18131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42792">
                  <w:marLeft w:val="0"/>
                  <w:marRight w:val="108"/>
                  <w:marTop w:val="108"/>
                  <w:marBottom w:val="108"/>
                  <w:divBdr>
                    <w:top w:val="none" w:sz="0" w:space="0" w:color="auto"/>
                    <w:left w:val="none" w:sz="0" w:space="0" w:color="auto"/>
                    <w:bottom w:val="none" w:sz="0" w:space="0" w:color="auto"/>
                    <w:right w:val="none" w:sz="0" w:space="0" w:color="auto"/>
                  </w:divBdr>
                  <w:divsChild>
                    <w:div w:id="1648362654">
                      <w:marLeft w:val="0"/>
                      <w:marRight w:val="0"/>
                      <w:marTop w:val="0"/>
                      <w:marBottom w:val="0"/>
                      <w:divBdr>
                        <w:top w:val="none" w:sz="0" w:space="0" w:color="auto"/>
                        <w:left w:val="none" w:sz="0" w:space="0" w:color="auto"/>
                        <w:bottom w:val="none" w:sz="0" w:space="0" w:color="auto"/>
                        <w:right w:val="none" w:sz="0" w:space="0" w:color="auto"/>
                      </w:divBdr>
                      <w:divsChild>
                        <w:div w:id="1790660719">
                          <w:marLeft w:val="0"/>
                          <w:marRight w:val="0"/>
                          <w:marTop w:val="0"/>
                          <w:marBottom w:val="0"/>
                          <w:divBdr>
                            <w:top w:val="none" w:sz="0" w:space="0" w:color="auto"/>
                            <w:left w:val="none" w:sz="0" w:space="0" w:color="auto"/>
                            <w:bottom w:val="none" w:sz="0" w:space="0" w:color="auto"/>
                            <w:right w:val="none" w:sz="0" w:space="0" w:color="auto"/>
                          </w:divBdr>
                          <w:divsChild>
                            <w:div w:id="1330450119">
                              <w:marLeft w:val="0"/>
                              <w:marRight w:val="0"/>
                              <w:marTop w:val="0"/>
                              <w:marBottom w:val="0"/>
                              <w:divBdr>
                                <w:top w:val="none" w:sz="0" w:space="0" w:color="auto"/>
                                <w:left w:val="none" w:sz="0" w:space="0" w:color="auto"/>
                                <w:bottom w:val="none" w:sz="0" w:space="0" w:color="auto"/>
                                <w:right w:val="none" w:sz="0" w:space="0" w:color="auto"/>
                              </w:divBdr>
                              <w:divsChild>
                                <w:div w:id="3058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80150">
      <w:bodyDiv w:val="1"/>
      <w:marLeft w:val="0"/>
      <w:marRight w:val="0"/>
      <w:marTop w:val="0"/>
      <w:marBottom w:val="0"/>
      <w:divBdr>
        <w:top w:val="none" w:sz="0" w:space="0" w:color="auto"/>
        <w:left w:val="none" w:sz="0" w:space="0" w:color="auto"/>
        <w:bottom w:val="none" w:sz="0" w:space="0" w:color="auto"/>
        <w:right w:val="none" w:sz="0" w:space="0" w:color="auto"/>
      </w:divBdr>
    </w:div>
    <w:div w:id="221721365">
      <w:bodyDiv w:val="1"/>
      <w:marLeft w:val="0"/>
      <w:marRight w:val="0"/>
      <w:marTop w:val="0"/>
      <w:marBottom w:val="0"/>
      <w:divBdr>
        <w:top w:val="none" w:sz="0" w:space="0" w:color="auto"/>
        <w:left w:val="none" w:sz="0" w:space="0" w:color="auto"/>
        <w:bottom w:val="none" w:sz="0" w:space="0" w:color="auto"/>
        <w:right w:val="none" w:sz="0" w:space="0" w:color="auto"/>
      </w:divBdr>
      <w:divsChild>
        <w:div w:id="294795151">
          <w:marLeft w:val="0"/>
          <w:marRight w:val="108"/>
          <w:marTop w:val="108"/>
          <w:marBottom w:val="108"/>
          <w:divBdr>
            <w:top w:val="none" w:sz="0" w:space="0" w:color="auto"/>
            <w:left w:val="none" w:sz="0" w:space="0" w:color="auto"/>
            <w:bottom w:val="none" w:sz="0" w:space="0" w:color="auto"/>
            <w:right w:val="none" w:sz="0" w:space="0" w:color="auto"/>
          </w:divBdr>
          <w:divsChild>
            <w:div w:id="290287107">
              <w:marLeft w:val="0"/>
              <w:marRight w:val="0"/>
              <w:marTop w:val="0"/>
              <w:marBottom w:val="0"/>
              <w:divBdr>
                <w:top w:val="none" w:sz="0" w:space="0" w:color="auto"/>
                <w:left w:val="none" w:sz="0" w:space="0" w:color="auto"/>
                <w:bottom w:val="none" w:sz="0" w:space="0" w:color="auto"/>
                <w:right w:val="none" w:sz="0" w:space="0" w:color="auto"/>
              </w:divBdr>
              <w:divsChild>
                <w:div w:id="1131704097">
                  <w:marLeft w:val="0"/>
                  <w:marRight w:val="0"/>
                  <w:marTop w:val="0"/>
                  <w:marBottom w:val="0"/>
                  <w:divBdr>
                    <w:top w:val="none" w:sz="0" w:space="0" w:color="auto"/>
                    <w:left w:val="none" w:sz="0" w:space="0" w:color="auto"/>
                    <w:bottom w:val="none" w:sz="0" w:space="0" w:color="auto"/>
                    <w:right w:val="none" w:sz="0" w:space="0" w:color="auto"/>
                  </w:divBdr>
                </w:div>
                <w:div w:id="531844757">
                  <w:marLeft w:val="0"/>
                  <w:marRight w:val="108"/>
                  <w:marTop w:val="18"/>
                  <w:marBottom w:val="108"/>
                  <w:divBdr>
                    <w:top w:val="none" w:sz="0" w:space="0" w:color="auto"/>
                    <w:left w:val="none" w:sz="0" w:space="0" w:color="auto"/>
                    <w:bottom w:val="none" w:sz="0" w:space="0" w:color="auto"/>
                    <w:right w:val="none" w:sz="0" w:space="0" w:color="auto"/>
                  </w:divBdr>
                  <w:divsChild>
                    <w:div w:id="317878564">
                      <w:marLeft w:val="0"/>
                      <w:marRight w:val="0"/>
                      <w:marTop w:val="0"/>
                      <w:marBottom w:val="0"/>
                      <w:divBdr>
                        <w:top w:val="none" w:sz="0" w:space="0" w:color="auto"/>
                        <w:left w:val="none" w:sz="0" w:space="0" w:color="auto"/>
                        <w:bottom w:val="none" w:sz="0" w:space="0" w:color="auto"/>
                        <w:right w:val="none" w:sz="0" w:space="0" w:color="auto"/>
                      </w:divBdr>
                      <w:divsChild>
                        <w:div w:id="1950383944">
                          <w:marLeft w:val="0"/>
                          <w:marRight w:val="0"/>
                          <w:marTop w:val="0"/>
                          <w:marBottom w:val="0"/>
                          <w:divBdr>
                            <w:top w:val="none" w:sz="0" w:space="0" w:color="auto"/>
                            <w:left w:val="none" w:sz="0" w:space="0" w:color="auto"/>
                            <w:bottom w:val="none" w:sz="0" w:space="0" w:color="auto"/>
                            <w:right w:val="none" w:sz="0" w:space="0" w:color="auto"/>
                          </w:divBdr>
                          <w:divsChild>
                            <w:div w:id="1907109717">
                              <w:marLeft w:val="0"/>
                              <w:marRight w:val="0"/>
                              <w:marTop w:val="0"/>
                              <w:marBottom w:val="0"/>
                              <w:divBdr>
                                <w:top w:val="none" w:sz="0" w:space="0" w:color="auto"/>
                                <w:left w:val="none" w:sz="0" w:space="0" w:color="auto"/>
                                <w:bottom w:val="none" w:sz="0" w:space="0" w:color="auto"/>
                                <w:right w:val="none" w:sz="0" w:space="0" w:color="auto"/>
                              </w:divBdr>
                              <w:divsChild>
                                <w:div w:id="20961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85363">
                  <w:marLeft w:val="0"/>
                  <w:marRight w:val="108"/>
                  <w:marTop w:val="108"/>
                  <w:marBottom w:val="108"/>
                  <w:divBdr>
                    <w:top w:val="none" w:sz="0" w:space="0" w:color="auto"/>
                    <w:left w:val="none" w:sz="0" w:space="0" w:color="auto"/>
                    <w:bottom w:val="none" w:sz="0" w:space="0" w:color="auto"/>
                    <w:right w:val="none" w:sz="0" w:space="0" w:color="auto"/>
                  </w:divBdr>
                  <w:divsChild>
                    <w:div w:id="1480733715">
                      <w:marLeft w:val="0"/>
                      <w:marRight w:val="0"/>
                      <w:marTop w:val="0"/>
                      <w:marBottom w:val="0"/>
                      <w:divBdr>
                        <w:top w:val="none" w:sz="0" w:space="0" w:color="auto"/>
                        <w:left w:val="none" w:sz="0" w:space="0" w:color="auto"/>
                        <w:bottom w:val="none" w:sz="0" w:space="0" w:color="auto"/>
                        <w:right w:val="none" w:sz="0" w:space="0" w:color="auto"/>
                      </w:divBdr>
                      <w:divsChild>
                        <w:div w:id="1065567579">
                          <w:marLeft w:val="0"/>
                          <w:marRight w:val="0"/>
                          <w:marTop w:val="0"/>
                          <w:marBottom w:val="0"/>
                          <w:divBdr>
                            <w:top w:val="none" w:sz="0" w:space="0" w:color="auto"/>
                            <w:left w:val="none" w:sz="0" w:space="0" w:color="auto"/>
                            <w:bottom w:val="none" w:sz="0" w:space="0" w:color="auto"/>
                            <w:right w:val="none" w:sz="0" w:space="0" w:color="auto"/>
                          </w:divBdr>
                          <w:divsChild>
                            <w:div w:id="952060076">
                              <w:marLeft w:val="0"/>
                              <w:marRight w:val="0"/>
                              <w:marTop w:val="0"/>
                              <w:marBottom w:val="0"/>
                              <w:divBdr>
                                <w:top w:val="none" w:sz="0" w:space="0" w:color="auto"/>
                                <w:left w:val="none" w:sz="0" w:space="0" w:color="auto"/>
                                <w:bottom w:val="none" w:sz="0" w:space="0" w:color="auto"/>
                                <w:right w:val="none" w:sz="0" w:space="0" w:color="auto"/>
                              </w:divBdr>
                              <w:divsChild>
                                <w:div w:id="11794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706698">
      <w:bodyDiv w:val="1"/>
      <w:marLeft w:val="0"/>
      <w:marRight w:val="0"/>
      <w:marTop w:val="0"/>
      <w:marBottom w:val="0"/>
      <w:divBdr>
        <w:top w:val="none" w:sz="0" w:space="0" w:color="auto"/>
        <w:left w:val="none" w:sz="0" w:space="0" w:color="auto"/>
        <w:bottom w:val="none" w:sz="0" w:space="0" w:color="auto"/>
        <w:right w:val="none" w:sz="0" w:space="0" w:color="auto"/>
      </w:divBdr>
    </w:div>
    <w:div w:id="375928569">
      <w:bodyDiv w:val="1"/>
      <w:marLeft w:val="0"/>
      <w:marRight w:val="0"/>
      <w:marTop w:val="0"/>
      <w:marBottom w:val="0"/>
      <w:divBdr>
        <w:top w:val="none" w:sz="0" w:space="0" w:color="auto"/>
        <w:left w:val="none" w:sz="0" w:space="0" w:color="auto"/>
        <w:bottom w:val="none" w:sz="0" w:space="0" w:color="auto"/>
        <w:right w:val="none" w:sz="0" w:space="0" w:color="auto"/>
      </w:divBdr>
    </w:div>
    <w:div w:id="401492279">
      <w:bodyDiv w:val="1"/>
      <w:marLeft w:val="0"/>
      <w:marRight w:val="0"/>
      <w:marTop w:val="0"/>
      <w:marBottom w:val="0"/>
      <w:divBdr>
        <w:top w:val="none" w:sz="0" w:space="0" w:color="auto"/>
        <w:left w:val="none" w:sz="0" w:space="0" w:color="auto"/>
        <w:bottom w:val="none" w:sz="0" w:space="0" w:color="auto"/>
        <w:right w:val="none" w:sz="0" w:space="0" w:color="auto"/>
      </w:divBdr>
    </w:div>
    <w:div w:id="418523007">
      <w:bodyDiv w:val="1"/>
      <w:marLeft w:val="0"/>
      <w:marRight w:val="0"/>
      <w:marTop w:val="0"/>
      <w:marBottom w:val="0"/>
      <w:divBdr>
        <w:top w:val="none" w:sz="0" w:space="0" w:color="auto"/>
        <w:left w:val="none" w:sz="0" w:space="0" w:color="auto"/>
        <w:bottom w:val="none" w:sz="0" w:space="0" w:color="auto"/>
        <w:right w:val="none" w:sz="0" w:space="0" w:color="auto"/>
      </w:divBdr>
    </w:div>
    <w:div w:id="494296602">
      <w:bodyDiv w:val="1"/>
      <w:marLeft w:val="0"/>
      <w:marRight w:val="0"/>
      <w:marTop w:val="0"/>
      <w:marBottom w:val="0"/>
      <w:divBdr>
        <w:top w:val="none" w:sz="0" w:space="0" w:color="auto"/>
        <w:left w:val="none" w:sz="0" w:space="0" w:color="auto"/>
        <w:bottom w:val="none" w:sz="0" w:space="0" w:color="auto"/>
        <w:right w:val="none" w:sz="0" w:space="0" w:color="auto"/>
      </w:divBdr>
    </w:div>
    <w:div w:id="533428097">
      <w:bodyDiv w:val="1"/>
      <w:marLeft w:val="0"/>
      <w:marRight w:val="0"/>
      <w:marTop w:val="0"/>
      <w:marBottom w:val="0"/>
      <w:divBdr>
        <w:top w:val="none" w:sz="0" w:space="0" w:color="auto"/>
        <w:left w:val="none" w:sz="0" w:space="0" w:color="auto"/>
        <w:bottom w:val="none" w:sz="0" w:space="0" w:color="auto"/>
        <w:right w:val="none" w:sz="0" w:space="0" w:color="auto"/>
      </w:divBdr>
    </w:div>
    <w:div w:id="561252773">
      <w:bodyDiv w:val="1"/>
      <w:marLeft w:val="0"/>
      <w:marRight w:val="0"/>
      <w:marTop w:val="0"/>
      <w:marBottom w:val="0"/>
      <w:divBdr>
        <w:top w:val="none" w:sz="0" w:space="0" w:color="auto"/>
        <w:left w:val="none" w:sz="0" w:space="0" w:color="auto"/>
        <w:bottom w:val="none" w:sz="0" w:space="0" w:color="auto"/>
        <w:right w:val="none" w:sz="0" w:space="0" w:color="auto"/>
      </w:divBdr>
      <w:divsChild>
        <w:div w:id="462117328">
          <w:marLeft w:val="0"/>
          <w:marRight w:val="108"/>
          <w:marTop w:val="108"/>
          <w:marBottom w:val="108"/>
          <w:divBdr>
            <w:top w:val="none" w:sz="0" w:space="0" w:color="auto"/>
            <w:left w:val="none" w:sz="0" w:space="0" w:color="auto"/>
            <w:bottom w:val="none" w:sz="0" w:space="0" w:color="auto"/>
            <w:right w:val="none" w:sz="0" w:space="0" w:color="auto"/>
          </w:divBdr>
          <w:divsChild>
            <w:div w:id="2047177159">
              <w:marLeft w:val="0"/>
              <w:marRight w:val="0"/>
              <w:marTop w:val="0"/>
              <w:marBottom w:val="0"/>
              <w:divBdr>
                <w:top w:val="none" w:sz="0" w:space="0" w:color="auto"/>
                <w:left w:val="none" w:sz="0" w:space="0" w:color="auto"/>
                <w:bottom w:val="none" w:sz="0" w:space="0" w:color="auto"/>
                <w:right w:val="none" w:sz="0" w:space="0" w:color="auto"/>
              </w:divBdr>
              <w:divsChild>
                <w:div w:id="1515419251">
                  <w:marLeft w:val="0"/>
                  <w:marRight w:val="0"/>
                  <w:marTop w:val="0"/>
                  <w:marBottom w:val="0"/>
                  <w:divBdr>
                    <w:top w:val="none" w:sz="0" w:space="0" w:color="auto"/>
                    <w:left w:val="none" w:sz="0" w:space="0" w:color="auto"/>
                    <w:bottom w:val="none" w:sz="0" w:space="0" w:color="auto"/>
                    <w:right w:val="none" w:sz="0" w:space="0" w:color="auto"/>
                  </w:divBdr>
                </w:div>
                <w:div w:id="575095889">
                  <w:marLeft w:val="0"/>
                  <w:marRight w:val="108"/>
                  <w:marTop w:val="18"/>
                  <w:marBottom w:val="108"/>
                  <w:divBdr>
                    <w:top w:val="none" w:sz="0" w:space="0" w:color="auto"/>
                    <w:left w:val="none" w:sz="0" w:space="0" w:color="auto"/>
                    <w:bottom w:val="none" w:sz="0" w:space="0" w:color="auto"/>
                    <w:right w:val="none" w:sz="0" w:space="0" w:color="auto"/>
                  </w:divBdr>
                  <w:divsChild>
                    <w:div w:id="2037928383">
                      <w:marLeft w:val="0"/>
                      <w:marRight w:val="0"/>
                      <w:marTop w:val="0"/>
                      <w:marBottom w:val="0"/>
                      <w:divBdr>
                        <w:top w:val="none" w:sz="0" w:space="0" w:color="auto"/>
                        <w:left w:val="none" w:sz="0" w:space="0" w:color="auto"/>
                        <w:bottom w:val="none" w:sz="0" w:space="0" w:color="auto"/>
                        <w:right w:val="none" w:sz="0" w:space="0" w:color="auto"/>
                      </w:divBdr>
                      <w:divsChild>
                        <w:div w:id="487946058">
                          <w:marLeft w:val="0"/>
                          <w:marRight w:val="0"/>
                          <w:marTop w:val="0"/>
                          <w:marBottom w:val="0"/>
                          <w:divBdr>
                            <w:top w:val="none" w:sz="0" w:space="0" w:color="auto"/>
                            <w:left w:val="none" w:sz="0" w:space="0" w:color="auto"/>
                            <w:bottom w:val="none" w:sz="0" w:space="0" w:color="auto"/>
                            <w:right w:val="none" w:sz="0" w:space="0" w:color="auto"/>
                          </w:divBdr>
                          <w:divsChild>
                            <w:div w:id="925696757">
                              <w:marLeft w:val="0"/>
                              <w:marRight w:val="0"/>
                              <w:marTop w:val="0"/>
                              <w:marBottom w:val="0"/>
                              <w:divBdr>
                                <w:top w:val="none" w:sz="0" w:space="0" w:color="auto"/>
                                <w:left w:val="none" w:sz="0" w:space="0" w:color="auto"/>
                                <w:bottom w:val="none" w:sz="0" w:space="0" w:color="auto"/>
                                <w:right w:val="none" w:sz="0" w:space="0" w:color="auto"/>
                              </w:divBdr>
                              <w:divsChild>
                                <w:div w:id="10348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3497">
      <w:bodyDiv w:val="1"/>
      <w:marLeft w:val="0"/>
      <w:marRight w:val="0"/>
      <w:marTop w:val="0"/>
      <w:marBottom w:val="0"/>
      <w:divBdr>
        <w:top w:val="none" w:sz="0" w:space="0" w:color="auto"/>
        <w:left w:val="none" w:sz="0" w:space="0" w:color="auto"/>
        <w:bottom w:val="none" w:sz="0" w:space="0" w:color="auto"/>
        <w:right w:val="none" w:sz="0" w:space="0" w:color="auto"/>
      </w:divBdr>
    </w:div>
    <w:div w:id="746653852">
      <w:bodyDiv w:val="1"/>
      <w:marLeft w:val="0"/>
      <w:marRight w:val="0"/>
      <w:marTop w:val="0"/>
      <w:marBottom w:val="0"/>
      <w:divBdr>
        <w:top w:val="none" w:sz="0" w:space="0" w:color="auto"/>
        <w:left w:val="none" w:sz="0" w:space="0" w:color="auto"/>
        <w:bottom w:val="none" w:sz="0" w:space="0" w:color="auto"/>
        <w:right w:val="none" w:sz="0" w:space="0" w:color="auto"/>
      </w:divBdr>
      <w:divsChild>
        <w:div w:id="1928223818">
          <w:marLeft w:val="0"/>
          <w:marRight w:val="108"/>
          <w:marTop w:val="108"/>
          <w:marBottom w:val="108"/>
          <w:divBdr>
            <w:top w:val="none" w:sz="0" w:space="0" w:color="auto"/>
            <w:left w:val="none" w:sz="0" w:space="0" w:color="auto"/>
            <w:bottom w:val="none" w:sz="0" w:space="0" w:color="auto"/>
            <w:right w:val="none" w:sz="0" w:space="0" w:color="auto"/>
          </w:divBdr>
          <w:divsChild>
            <w:div w:id="134102457">
              <w:marLeft w:val="0"/>
              <w:marRight w:val="0"/>
              <w:marTop w:val="0"/>
              <w:marBottom w:val="0"/>
              <w:divBdr>
                <w:top w:val="none" w:sz="0" w:space="0" w:color="auto"/>
                <w:left w:val="none" w:sz="0" w:space="0" w:color="auto"/>
                <w:bottom w:val="none" w:sz="0" w:space="0" w:color="auto"/>
                <w:right w:val="none" w:sz="0" w:space="0" w:color="auto"/>
              </w:divBdr>
              <w:divsChild>
                <w:div w:id="581720050">
                  <w:marLeft w:val="0"/>
                  <w:marRight w:val="0"/>
                  <w:marTop w:val="0"/>
                  <w:marBottom w:val="0"/>
                  <w:divBdr>
                    <w:top w:val="none" w:sz="0" w:space="0" w:color="auto"/>
                    <w:left w:val="none" w:sz="0" w:space="0" w:color="auto"/>
                    <w:bottom w:val="none" w:sz="0" w:space="0" w:color="auto"/>
                    <w:right w:val="none" w:sz="0" w:space="0" w:color="auto"/>
                  </w:divBdr>
                  <w:divsChild>
                    <w:div w:id="316500167">
                      <w:marLeft w:val="0"/>
                      <w:marRight w:val="0"/>
                      <w:marTop w:val="0"/>
                      <w:marBottom w:val="0"/>
                      <w:divBdr>
                        <w:top w:val="none" w:sz="0" w:space="0" w:color="auto"/>
                        <w:left w:val="none" w:sz="0" w:space="0" w:color="auto"/>
                        <w:bottom w:val="none" w:sz="0" w:space="0" w:color="auto"/>
                        <w:right w:val="none" w:sz="0" w:space="0" w:color="auto"/>
                      </w:divBdr>
                      <w:divsChild>
                        <w:div w:id="6723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331789">
      <w:bodyDiv w:val="1"/>
      <w:marLeft w:val="0"/>
      <w:marRight w:val="0"/>
      <w:marTop w:val="0"/>
      <w:marBottom w:val="0"/>
      <w:divBdr>
        <w:top w:val="none" w:sz="0" w:space="0" w:color="auto"/>
        <w:left w:val="none" w:sz="0" w:space="0" w:color="auto"/>
        <w:bottom w:val="none" w:sz="0" w:space="0" w:color="auto"/>
        <w:right w:val="none" w:sz="0" w:space="0" w:color="auto"/>
      </w:divBdr>
    </w:div>
    <w:div w:id="795485254">
      <w:bodyDiv w:val="1"/>
      <w:marLeft w:val="0"/>
      <w:marRight w:val="0"/>
      <w:marTop w:val="0"/>
      <w:marBottom w:val="0"/>
      <w:divBdr>
        <w:top w:val="none" w:sz="0" w:space="0" w:color="auto"/>
        <w:left w:val="none" w:sz="0" w:space="0" w:color="auto"/>
        <w:bottom w:val="none" w:sz="0" w:space="0" w:color="auto"/>
        <w:right w:val="none" w:sz="0" w:space="0" w:color="auto"/>
      </w:divBdr>
    </w:div>
    <w:div w:id="816143072">
      <w:bodyDiv w:val="1"/>
      <w:marLeft w:val="0"/>
      <w:marRight w:val="0"/>
      <w:marTop w:val="0"/>
      <w:marBottom w:val="0"/>
      <w:divBdr>
        <w:top w:val="none" w:sz="0" w:space="0" w:color="auto"/>
        <w:left w:val="none" w:sz="0" w:space="0" w:color="auto"/>
        <w:bottom w:val="none" w:sz="0" w:space="0" w:color="auto"/>
        <w:right w:val="none" w:sz="0" w:space="0" w:color="auto"/>
      </w:divBdr>
    </w:div>
    <w:div w:id="839540515">
      <w:bodyDiv w:val="1"/>
      <w:marLeft w:val="0"/>
      <w:marRight w:val="0"/>
      <w:marTop w:val="0"/>
      <w:marBottom w:val="0"/>
      <w:divBdr>
        <w:top w:val="none" w:sz="0" w:space="0" w:color="auto"/>
        <w:left w:val="none" w:sz="0" w:space="0" w:color="auto"/>
        <w:bottom w:val="none" w:sz="0" w:space="0" w:color="auto"/>
        <w:right w:val="none" w:sz="0" w:space="0" w:color="auto"/>
      </w:divBdr>
    </w:div>
    <w:div w:id="880366374">
      <w:bodyDiv w:val="1"/>
      <w:marLeft w:val="0"/>
      <w:marRight w:val="0"/>
      <w:marTop w:val="0"/>
      <w:marBottom w:val="0"/>
      <w:divBdr>
        <w:top w:val="none" w:sz="0" w:space="0" w:color="auto"/>
        <w:left w:val="none" w:sz="0" w:space="0" w:color="auto"/>
        <w:bottom w:val="none" w:sz="0" w:space="0" w:color="auto"/>
        <w:right w:val="none" w:sz="0" w:space="0" w:color="auto"/>
      </w:divBdr>
    </w:div>
    <w:div w:id="882522866">
      <w:bodyDiv w:val="1"/>
      <w:marLeft w:val="0"/>
      <w:marRight w:val="0"/>
      <w:marTop w:val="0"/>
      <w:marBottom w:val="0"/>
      <w:divBdr>
        <w:top w:val="none" w:sz="0" w:space="0" w:color="auto"/>
        <w:left w:val="none" w:sz="0" w:space="0" w:color="auto"/>
        <w:bottom w:val="none" w:sz="0" w:space="0" w:color="auto"/>
        <w:right w:val="none" w:sz="0" w:space="0" w:color="auto"/>
      </w:divBdr>
    </w:div>
    <w:div w:id="930967370">
      <w:bodyDiv w:val="1"/>
      <w:marLeft w:val="0"/>
      <w:marRight w:val="0"/>
      <w:marTop w:val="0"/>
      <w:marBottom w:val="0"/>
      <w:divBdr>
        <w:top w:val="none" w:sz="0" w:space="0" w:color="auto"/>
        <w:left w:val="none" w:sz="0" w:space="0" w:color="auto"/>
        <w:bottom w:val="none" w:sz="0" w:space="0" w:color="auto"/>
        <w:right w:val="none" w:sz="0" w:space="0" w:color="auto"/>
      </w:divBdr>
    </w:div>
    <w:div w:id="953942152">
      <w:bodyDiv w:val="1"/>
      <w:marLeft w:val="0"/>
      <w:marRight w:val="0"/>
      <w:marTop w:val="0"/>
      <w:marBottom w:val="0"/>
      <w:divBdr>
        <w:top w:val="none" w:sz="0" w:space="0" w:color="auto"/>
        <w:left w:val="none" w:sz="0" w:space="0" w:color="auto"/>
        <w:bottom w:val="none" w:sz="0" w:space="0" w:color="auto"/>
        <w:right w:val="none" w:sz="0" w:space="0" w:color="auto"/>
      </w:divBdr>
    </w:div>
    <w:div w:id="1012103213">
      <w:bodyDiv w:val="1"/>
      <w:marLeft w:val="0"/>
      <w:marRight w:val="0"/>
      <w:marTop w:val="0"/>
      <w:marBottom w:val="0"/>
      <w:divBdr>
        <w:top w:val="none" w:sz="0" w:space="0" w:color="auto"/>
        <w:left w:val="none" w:sz="0" w:space="0" w:color="auto"/>
        <w:bottom w:val="none" w:sz="0" w:space="0" w:color="auto"/>
        <w:right w:val="none" w:sz="0" w:space="0" w:color="auto"/>
      </w:divBdr>
    </w:div>
    <w:div w:id="1019435046">
      <w:bodyDiv w:val="1"/>
      <w:marLeft w:val="0"/>
      <w:marRight w:val="0"/>
      <w:marTop w:val="0"/>
      <w:marBottom w:val="0"/>
      <w:divBdr>
        <w:top w:val="none" w:sz="0" w:space="0" w:color="auto"/>
        <w:left w:val="none" w:sz="0" w:space="0" w:color="auto"/>
        <w:bottom w:val="none" w:sz="0" w:space="0" w:color="auto"/>
        <w:right w:val="none" w:sz="0" w:space="0" w:color="auto"/>
      </w:divBdr>
    </w:div>
    <w:div w:id="1092816548">
      <w:bodyDiv w:val="1"/>
      <w:marLeft w:val="0"/>
      <w:marRight w:val="0"/>
      <w:marTop w:val="0"/>
      <w:marBottom w:val="0"/>
      <w:divBdr>
        <w:top w:val="none" w:sz="0" w:space="0" w:color="auto"/>
        <w:left w:val="none" w:sz="0" w:space="0" w:color="auto"/>
        <w:bottom w:val="none" w:sz="0" w:space="0" w:color="auto"/>
        <w:right w:val="none" w:sz="0" w:space="0" w:color="auto"/>
      </w:divBdr>
    </w:div>
    <w:div w:id="1117026083">
      <w:bodyDiv w:val="1"/>
      <w:marLeft w:val="0"/>
      <w:marRight w:val="0"/>
      <w:marTop w:val="0"/>
      <w:marBottom w:val="0"/>
      <w:divBdr>
        <w:top w:val="none" w:sz="0" w:space="0" w:color="auto"/>
        <w:left w:val="none" w:sz="0" w:space="0" w:color="auto"/>
        <w:bottom w:val="none" w:sz="0" w:space="0" w:color="auto"/>
        <w:right w:val="none" w:sz="0" w:space="0" w:color="auto"/>
      </w:divBdr>
    </w:div>
    <w:div w:id="1145004072">
      <w:bodyDiv w:val="1"/>
      <w:marLeft w:val="0"/>
      <w:marRight w:val="0"/>
      <w:marTop w:val="0"/>
      <w:marBottom w:val="0"/>
      <w:divBdr>
        <w:top w:val="none" w:sz="0" w:space="0" w:color="auto"/>
        <w:left w:val="none" w:sz="0" w:space="0" w:color="auto"/>
        <w:bottom w:val="none" w:sz="0" w:space="0" w:color="auto"/>
        <w:right w:val="none" w:sz="0" w:space="0" w:color="auto"/>
      </w:divBdr>
    </w:div>
    <w:div w:id="1159924216">
      <w:bodyDiv w:val="1"/>
      <w:marLeft w:val="0"/>
      <w:marRight w:val="0"/>
      <w:marTop w:val="0"/>
      <w:marBottom w:val="0"/>
      <w:divBdr>
        <w:top w:val="none" w:sz="0" w:space="0" w:color="auto"/>
        <w:left w:val="none" w:sz="0" w:space="0" w:color="auto"/>
        <w:bottom w:val="none" w:sz="0" w:space="0" w:color="auto"/>
        <w:right w:val="none" w:sz="0" w:space="0" w:color="auto"/>
      </w:divBdr>
    </w:div>
    <w:div w:id="1167285925">
      <w:bodyDiv w:val="1"/>
      <w:marLeft w:val="0"/>
      <w:marRight w:val="0"/>
      <w:marTop w:val="0"/>
      <w:marBottom w:val="0"/>
      <w:divBdr>
        <w:top w:val="none" w:sz="0" w:space="0" w:color="auto"/>
        <w:left w:val="none" w:sz="0" w:space="0" w:color="auto"/>
        <w:bottom w:val="none" w:sz="0" w:space="0" w:color="auto"/>
        <w:right w:val="none" w:sz="0" w:space="0" w:color="auto"/>
      </w:divBdr>
    </w:div>
    <w:div w:id="1305113133">
      <w:bodyDiv w:val="1"/>
      <w:marLeft w:val="0"/>
      <w:marRight w:val="0"/>
      <w:marTop w:val="0"/>
      <w:marBottom w:val="0"/>
      <w:divBdr>
        <w:top w:val="none" w:sz="0" w:space="0" w:color="auto"/>
        <w:left w:val="none" w:sz="0" w:space="0" w:color="auto"/>
        <w:bottom w:val="none" w:sz="0" w:space="0" w:color="auto"/>
        <w:right w:val="none" w:sz="0" w:space="0" w:color="auto"/>
      </w:divBdr>
    </w:div>
    <w:div w:id="1320380361">
      <w:bodyDiv w:val="1"/>
      <w:marLeft w:val="0"/>
      <w:marRight w:val="0"/>
      <w:marTop w:val="0"/>
      <w:marBottom w:val="0"/>
      <w:divBdr>
        <w:top w:val="none" w:sz="0" w:space="0" w:color="auto"/>
        <w:left w:val="none" w:sz="0" w:space="0" w:color="auto"/>
        <w:bottom w:val="none" w:sz="0" w:space="0" w:color="auto"/>
        <w:right w:val="none" w:sz="0" w:space="0" w:color="auto"/>
      </w:divBdr>
    </w:div>
    <w:div w:id="1337270829">
      <w:bodyDiv w:val="1"/>
      <w:marLeft w:val="0"/>
      <w:marRight w:val="0"/>
      <w:marTop w:val="0"/>
      <w:marBottom w:val="0"/>
      <w:divBdr>
        <w:top w:val="none" w:sz="0" w:space="0" w:color="auto"/>
        <w:left w:val="none" w:sz="0" w:space="0" w:color="auto"/>
        <w:bottom w:val="none" w:sz="0" w:space="0" w:color="auto"/>
        <w:right w:val="none" w:sz="0" w:space="0" w:color="auto"/>
      </w:divBdr>
    </w:div>
    <w:div w:id="1402749278">
      <w:bodyDiv w:val="1"/>
      <w:marLeft w:val="0"/>
      <w:marRight w:val="0"/>
      <w:marTop w:val="0"/>
      <w:marBottom w:val="0"/>
      <w:divBdr>
        <w:top w:val="none" w:sz="0" w:space="0" w:color="auto"/>
        <w:left w:val="none" w:sz="0" w:space="0" w:color="auto"/>
        <w:bottom w:val="none" w:sz="0" w:space="0" w:color="auto"/>
        <w:right w:val="none" w:sz="0" w:space="0" w:color="auto"/>
      </w:divBdr>
    </w:div>
    <w:div w:id="1450473698">
      <w:bodyDiv w:val="1"/>
      <w:marLeft w:val="0"/>
      <w:marRight w:val="0"/>
      <w:marTop w:val="0"/>
      <w:marBottom w:val="0"/>
      <w:divBdr>
        <w:top w:val="none" w:sz="0" w:space="0" w:color="auto"/>
        <w:left w:val="none" w:sz="0" w:space="0" w:color="auto"/>
        <w:bottom w:val="none" w:sz="0" w:space="0" w:color="auto"/>
        <w:right w:val="none" w:sz="0" w:space="0" w:color="auto"/>
      </w:divBdr>
    </w:div>
    <w:div w:id="1452743727">
      <w:bodyDiv w:val="1"/>
      <w:marLeft w:val="0"/>
      <w:marRight w:val="0"/>
      <w:marTop w:val="0"/>
      <w:marBottom w:val="0"/>
      <w:divBdr>
        <w:top w:val="none" w:sz="0" w:space="0" w:color="auto"/>
        <w:left w:val="none" w:sz="0" w:space="0" w:color="auto"/>
        <w:bottom w:val="none" w:sz="0" w:space="0" w:color="auto"/>
        <w:right w:val="none" w:sz="0" w:space="0" w:color="auto"/>
      </w:divBdr>
    </w:div>
    <w:div w:id="1574199943">
      <w:bodyDiv w:val="1"/>
      <w:marLeft w:val="0"/>
      <w:marRight w:val="0"/>
      <w:marTop w:val="0"/>
      <w:marBottom w:val="0"/>
      <w:divBdr>
        <w:top w:val="none" w:sz="0" w:space="0" w:color="auto"/>
        <w:left w:val="none" w:sz="0" w:space="0" w:color="auto"/>
        <w:bottom w:val="none" w:sz="0" w:space="0" w:color="auto"/>
        <w:right w:val="none" w:sz="0" w:space="0" w:color="auto"/>
      </w:divBdr>
    </w:div>
    <w:div w:id="1612009210">
      <w:bodyDiv w:val="1"/>
      <w:marLeft w:val="0"/>
      <w:marRight w:val="0"/>
      <w:marTop w:val="0"/>
      <w:marBottom w:val="0"/>
      <w:divBdr>
        <w:top w:val="none" w:sz="0" w:space="0" w:color="auto"/>
        <w:left w:val="none" w:sz="0" w:space="0" w:color="auto"/>
        <w:bottom w:val="none" w:sz="0" w:space="0" w:color="auto"/>
        <w:right w:val="none" w:sz="0" w:space="0" w:color="auto"/>
      </w:divBdr>
    </w:div>
    <w:div w:id="1618639034">
      <w:bodyDiv w:val="1"/>
      <w:marLeft w:val="0"/>
      <w:marRight w:val="0"/>
      <w:marTop w:val="0"/>
      <w:marBottom w:val="0"/>
      <w:divBdr>
        <w:top w:val="none" w:sz="0" w:space="0" w:color="auto"/>
        <w:left w:val="none" w:sz="0" w:space="0" w:color="auto"/>
        <w:bottom w:val="none" w:sz="0" w:space="0" w:color="auto"/>
        <w:right w:val="none" w:sz="0" w:space="0" w:color="auto"/>
      </w:divBdr>
    </w:div>
    <w:div w:id="1682389207">
      <w:bodyDiv w:val="1"/>
      <w:marLeft w:val="0"/>
      <w:marRight w:val="0"/>
      <w:marTop w:val="0"/>
      <w:marBottom w:val="0"/>
      <w:divBdr>
        <w:top w:val="none" w:sz="0" w:space="0" w:color="auto"/>
        <w:left w:val="none" w:sz="0" w:space="0" w:color="auto"/>
        <w:bottom w:val="none" w:sz="0" w:space="0" w:color="auto"/>
        <w:right w:val="none" w:sz="0" w:space="0" w:color="auto"/>
      </w:divBdr>
    </w:div>
    <w:div w:id="1748531201">
      <w:bodyDiv w:val="1"/>
      <w:marLeft w:val="0"/>
      <w:marRight w:val="0"/>
      <w:marTop w:val="0"/>
      <w:marBottom w:val="0"/>
      <w:divBdr>
        <w:top w:val="none" w:sz="0" w:space="0" w:color="auto"/>
        <w:left w:val="none" w:sz="0" w:space="0" w:color="auto"/>
        <w:bottom w:val="none" w:sz="0" w:space="0" w:color="auto"/>
        <w:right w:val="none" w:sz="0" w:space="0" w:color="auto"/>
      </w:divBdr>
      <w:divsChild>
        <w:div w:id="1870408913">
          <w:marLeft w:val="0"/>
          <w:marRight w:val="108"/>
          <w:marTop w:val="18"/>
          <w:marBottom w:val="108"/>
          <w:divBdr>
            <w:top w:val="none" w:sz="0" w:space="0" w:color="auto"/>
            <w:left w:val="none" w:sz="0" w:space="0" w:color="auto"/>
            <w:bottom w:val="none" w:sz="0" w:space="0" w:color="auto"/>
            <w:right w:val="none" w:sz="0" w:space="0" w:color="auto"/>
          </w:divBdr>
          <w:divsChild>
            <w:div w:id="814563926">
              <w:marLeft w:val="0"/>
              <w:marRight w:val="0"/>
              <w:marTop w:val="0"/>
              <w:marBottom w:val="0"/>
              <w:divBdr>
                <w:top w:val="none" w:sz="0" w:space="0" w:color="auto"/>
                <w:left w:val="none" w:sz="0" w:space="0" w:color="auto"/>
                <w:bottom w:val="none" w:sz="0" w:space="0" w:color="auto"/>
                <w:right w:val="none" w:sz="0" w:space="0" w:color="auto"/>
              </w:divBdr>
              <w:divsChild>
                <w:div w:id="183785589">
                  <w:marLeft w:val="0"/>
                  <w:marRight w:val="0"/>
                  <w:marTop w:val="0"/>
                  <w:marBottom w:val="0"/>
                  <w:divBdr>
                    <w:top w:val="none" w:sz="0" w:space="0" w:color="auto"/>
                    <w:left w:val="none" w:sz="0" w:space="0" w:color="auto"/>
                    <w:bottom w:val="none" w:sz="0" w:space="0" w:color="auto"/>
                    <w:right w:val="none" w:sz="0" w:space="0" w:color="auto"/>
                  </w:divBdr>
                  <w:divsChild>
                    <w:div w:id="1119448867">
                      <w:marLeft w:val="0"/>
                      <w:marRight w:val="0"/>
                      <w:marTop w:val="0"/>
                      <w:marBottom w:val="0"/>
                      <w:divBdr>
                        <w:top w:val="none" w:sz="0" w:space="0" w:color="auto"/>
                        <w:left w:val="none" w:sz="0" w:space="0" w:color="auto"/>
                        <w:bottom w:val="none" w:sz="0" w:space="0" w:color="auto"/>
                        <w:right w:val="none" w:sz="0" w:space="0" w:color="auto"/>
                      </w:divBdr>
                      <w:divsChild>
                        <w:div w:id="14673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481325">
      <w:bodyDiv w:val="1"/>
      <w:marLeft w:val="0"/>
      <w:marRight w:val="0"/>
      <w:marTop w:val="0"/>
      <w:marBottom w:val="0"/>
      <w:divBdr>
        <w:top w:val="none" w:sz="0" w:space="0" w:color="auto"/>
        <w:left w:val="none" w:sz="0" w:space="0" w:color="auto"/>
        <w:bottom w:val="none" w:sz="0" w:space="0" w:color="auto"/>
        <w:right w:val="none" w:sz="0" w:space="0" w:color="auto"/>
      </w:divBdr>
    </w:div>
    <w:div w:id="1823934840">
      <w:bodyDiv w:val="1"/>
      <w:marLeft w:val="0"/>
      <w:marRight w:val="0"/>
      <w:marTop w:val="0"/>
      <w:marBottom w:val="0"/>
      <w:divBdr>
        <w:top w:val="none" w:sz="0" w:space="0" w:color="auto"/>
        <w:left w:val="none" w:sz="0" w:space="0" w:color="auto"/>
        <w:bottom w:val="none" w:sz="0" w:space="0" w:color="auto"/>
        <w:right w:val="none" w:sz="0" w:space="0" w:color="auto"/>
      </w:divBdr>
    </w:div>
    <w:div w:id="1859387562">
      <w:bodyDiv w:val="1"/>
      <w:marLeft w:val="0"/>
      <w:marRight w:val="0"/>
      <w:marTop w:val="0"/>
      <w:marBottom w:val="0"/>
      <w:divBdr>
        <w:top w:val="none" w:sz="0" w:space="0" w:color="auto"/>
        <w:left w:val="none" w:sz="0" w:space="0" w:color="auto"/>
        <w:bottom w:val="none" w:sz="0" w:space="0" w:color="auto"/>
        <w:right w:val="none" w:sz="0" w:space="0" w:color="auto"/>
      </w:divBdr>
    </w:div>
    <w:div w:id="1909681392">
      <w:bodyDiv w:val="1"/>
      <w:marLeft w:val="0"/>
      <w:marRight w:val="0"/>
      <w:marTop w:val="0"/>
      <w:marBottom w:val="0"/>
      <w:divBdr>
        <w:top w:val="none" w:sz="0" w:space="0" w:color="auto"/>
        <w:left w:val="none" w:sz="0" w:space="0" w:color="auto"/>
        <w:bottom w:val="none" w:sz="0" w:space="0" w:color="auto"/>
        <w:right w:val="none" w:sz="0" w:space="0" w:color="auto"/>
      </w:divBdr>
    </w:div>
    <w:div w:id="1976107282">
      <w:bodyDiv w:val="1"/>
      <w:marLeft w:val="0"/>
      <w:marRight w:val="0"/>
      <w:marTop w:val="0"/>
      <w:marBottom w:val="0"/>
      <w:divBdr>
        <w:top w:val="none" w:sz="0" w:space="0" w:color="auto"/>
        <w:left w:val="none" w:sz="0" w:space="0" w:color="auto"/>
        <w:bottom w:val="none" w:sz="0" w:space="0" w:color="auto"/>
        <w:right w:val="none" w:sz="0" w:space="0" w:color="auto"/>
      </w:divBdr>
      <w:divsChild>
        <w:div w:id="1229800232">
          <w:marLeft w:val="0"/>
          <w:marRight w:val="108"/>
          <w:marTop w:val="108"/>
          <w:marBottom w:val="108"/>
          <w:divBdr>
            <w:top w:val="none" w:sz="0" w:space="0" w:color="auto"/>
            <w:left w:val="none" w:sz="0" w:space="0" w:color="auto"/>
            <w:bottom w:val="none" w:sz="0" w:space="0" w:color="auto"/>
            <w:right w:val="none" w:sz="0" w:space="0" w:color="auto"/>
          </w:divBdr>
          <w:divsChild>
            <w:div w:id="952133788">
              <w:marLeft w:val="0"/>
              <w:marRight w:val="0"/>
              <w:marTop w:val="0"/>
              <w:marBottom w:val="0"/>
              <w:divBdr>
                <w:top w:val="none" w:sz="0" w:space="0" w:color="auto"/>
                <w:left w:val="none" w:sz="0" w:space="0" w:color="auto"/>
                <w:bottom w:val="none" w:sz="0" w:space="0" w:color="auto"/>
                <w:right w:val="none" w:sz="0" w:space="0" w:color="auto"/>
              </w:divBdr>
              <w:divsChild>
                <w:div w:id="152719770">
                  <w:marLeft w:val="0"/>
                  <w:marRight w:val="0"/>
                  <w:marTop w:val="0"/>
                  <w:marBottom w:val="0"/>
                  <w:divBdr>
                    <w:top w:val="none" w:sz="0" w:space="0" w:color="auto"/>
                    <w:left w:val="none" w:sz="0" w:space="0" w:color="auto"/>
                    <w:bottom w:val="none" w:sz="0" w:space="0" w:color="auto"/>
                    <w:right w:val="none" w:sz="0" w:space="0" w:color="auto"/>
                  </w:divBdr>
                </w:div>
                <w:div w:id="362484643">
                  <w:marLeft w:val="0"/>
                  <w:marRight w:val="108"/>
                  <w:marTop w:val="18"/>
                  <w:marBottom w:val="108"/>
                  <w:divBdr>
                    <w:top w:val="none" w:sz="0" w:space="0" w:color="auto"/>
                    <w:left w:val="none" w:sz="0" w:space="0" w:color="auto"/>
                    <w:bottom w:val="none" w:sz="0" w:space="0" w:color="auto"/>
                    <w:right w:val="none" w:sz="0" w:space="0" w:color="auto"/>
                  </w:divBdr>
                  <w:divsChild>
                    <w:div w:id="1436561065">
                      <w:marLeft w:val="0"/>
                      <w:marRight w:val="0"/>
                      <w:marTop w:val="0"/>
                      <w:marBottom w:val="0"/>
                      <w:divBdr>
                        <w:top w:val="none" w:sz="0" w:space="0" w:color="auto"/>
                        <w:left w:val="none" w:sz="0" w:space="0" w:color="auto"/>
                        <w:bottom w:val="none" w:sz="0" w:space="0" w:color="auto"/>
                        <w:right w:val="none" w:sz="0" w:space="0" w:color="auto"/>
                      </w:divBdr>
                      <w:divsChild>
                        <w:div w:id="16202555">
                          <w:marLeft w:val="0"/>
                          <w:marRight w:val="0"/>
                          <w:marTop w:val="0"/>
                          <w:marBottom w:val="0"/>
                          <w:divBdr>
                            <w:top w:val="none" w:sz="0" w:space="0" w:color="auto"/>
                            <w:left w:val="none" w:sz="0" w:space="0" w:color="auto"/>
                            <w:bottom w:val="none" w:sz="0" w:space="0" w:color="auto"/>
                            <w:right w:val="none" w:sz="0" w:space="0" w:color="auto"/>
                          </w:divBdr>
                          <w:divsChild>
                            <w:div w:id="1369911995">
                              <w:marLeft w:val="0"/>
                              <w:marRight w:val="0"/>
                              <w:marTop w:val="0"/>
                              <w:marBottom w:val="0"/>
                              <w:divBdr>
                                <w:top w:val="none" w:sz="0" w:space="0" w:color="auto"/>
                                <w:left w:val="none" w:sz="0" w:space="0" w:color="auto"/>
                                <w:bottom w:val="none" w:sz="0" w:space="0" w:color="auto"/>
                                <w:right w:val="none" w:sz="0" w:space="0" w:color="auto"/>
                              </w:divBdr>
                              <w:divsChild>
                                <w:div w:id="4105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367761">
                  <w:marLeft w:val="0"/>
                  <w:marRight w:val="108"/>
                  <w:marTop w:val="108"/>
                  <w:marBottom w:val="108"/>
                  <w:divBdr>
                    <w:top w:val="none" w:sz="0" w:space="0" w:color="auto"/>
                    <w:left w:val="none" w:sz="0" w:space="0" w:color="auto"/>
                    <w:bottom w:val="none" w:sz="0" w:space="0" w:color="auto"/>
                    <w:right w:val="none" w:sz="0" w:space="0" w:color="auto"/>
                  </w:divBdr>
                  <w:divsChild>
                    <w:div w:id="430047349">
                      <w:marLeft w:val="0"/>
                      <w:marRight w:val="0"/>
                      <w:marTop w:val="0"/>
                      <w:marBottom w:val="0"/>
                      <w:divBdr>
                        <w:top w:val="none" w:sz="0" w:space="0" w:color="auto"/>
                        <w:left w:val="none" w:sz="0" w:space="0" w:color="auto"/>
                        <w:bottom w:val="none" w:sz="0" w:space="0" w:color="auto"/>
                        <w:right w:val="none" w:sz="0" w:space="0" w:color="auto"/>
                      </w:divBdr>
                      <w:divsChild>
                        <w:div w:id="366032186">
                          <w:marLeft w:val="0"/>
                          <w:marRight w:val="0"/>
                          <w:marTop w:val="0"/>
                          <w:marBottom w:val="0"/>
                          <w:divBdr>
                            <w:top w:val="none" w:sz="0" w:space="0" w:color="auto"/>
                            <w:left w:val="none" w:sz="0" w:space="0" w:color="auto"/>
                            <w:bottom w:val="none" w:sz="0" w:space="0" w:color="auto"/>
                            <w:right w:val="none" w:sz="0" w:space="0" w:color="auto"/>
                          </w:divBdr>
                          <w:divsChild>
                            <w:div w:id="190535327">
                              <w:marLeft w:val="0"/>
                              <w:marRight w:val="0"/>
                              <w:marTop w:val="0"/>
                              <w:marBottom w:val="0"/>
                              <w:divBdr>
                                <w:top w:val="none" w:sz="0" w:space="0" w:color="auto"/>
                                <w:left w:val="none" w:sz="0" w:space="0" w:color="auto"/>
                                <w:bottom w:val="none" w:sz="0" w:space="0" w:color="auto"/>
                                <w:right w:val="none" w:sz="0" w:space="0" w:color="auto"/>
                              </w:divBdr>
                              <w:divsChild>
                                <w:div w:id="1771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525465">
      <w:bodyDiv w:val="1"/>
      <w:marLeft w:val="0"/>
      <w:marRight w:val="0"/>
      <w:marTop w:val="0"/>
      <w:marBottom w:val="0"/>
      <w:divBdr>
        <w:top w:val="none" w:sz="0" w:space="0" w:color="auto"/>
        <w:left w:val="none" w:sz="0" w:space="0" w:color="auto"/>
        <w:bottom w:val="none" w:sz="0" w:space="0" w:color="auto"/>
        <w:right w:val="none" w:sz="0" w:space="0" w:color="auto"/>
      </w:divBdr>
    </w:div>
    <w:div w:id="20932405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image" Target="media/image2.jpeg"/><Relationship Id="rId10" Type="http://schemas.microsoft.com/office/2007/relationships/hdphoto" Target="media/hdphoto2.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B912E-D85C-704F-857D-9F9BB9E2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7983</Words>
  <Characters>43910</Characters>
  <Application>Microsoft Macintosh Word</Application>
  <DocSecurity>0</DocSecurity>
  <Lines>365</Lines>
  <Paragraphs>103</Paragraphs>
  <ScaleCrop>false</ScaleCrop>
  <Company/>
  <LinksUpToDate>false</LinksUpToDate>
  <CharactersWithSpaces>51790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Denis</dc:creator>
  <cp:keywords/>
  <dc:description/>
  <cp:lastModifiedBy>Chloé Denis</cp:lastModifiedBy>
  <cp:revision>9</cp:revision>
  <dcterms:created xsi:type="dcterms:W3CDTF">2024-06-17T06:10:00Z</dcterms:created>
  <dcterms:modified xsi:type="dcterms:W3CDTF">2024-10-17T12:22:00Z</dcterms:modified>
</cp:coreProperties>
</file>