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6E7F5C" w14:textId="271283B9" w:rsidR="00033C0A" w:rsidRPr="00B657E0" w:rsidRDefault="00033C0A" w:rsidP="00033C0A">
      <w:pPr>
        <w:tabs>
          <w:tab w:val="left" w:pos="688"/>
        </w:tabs>
        <w:ind w:left="-108"/>
        <w:rPr>
          <w:rFonts w:ascii="Arial" w:hAnsi="Arial" w:cs="Arial"/>
          <w:sz w:val="16"/>
          <w:szCs w:val="16"/>
        </w:rPr>
      </w:pPr>
      <w:r w:rsidRPr="00B657E0">
        <w:rPr>
          <w:rFonts w:ascii="Arial" w:hAnsi="Arial" w:cs="Arial"/>
          <w:b/>
          <w:sz w:val="28"/>
          <w:szCs w:val="28"/>
        </w:rPr>
        <w:t>5-HMF quantification and volatile profiling in honey by Vac-HS-SPME-GC×GC-MS</w:t>
      </w:r>
    </w:p>
    <w:p w14:paraId="6BD3BFB5" w14:textId="77777777" w:rsidR="00033C0A" w:rsidRPr="00B657E0" w:rsidRDefault="00033C0A">
      <w:pPr>
        <w:pStyle w:val="TextFirstParagraph"/>
        <w:widowControl w:val="0"/>
        <w:rPr>
          <w:rFonts w:ascii="Arial" w:hAnsi="Arial" w:cs="Arial"/>
          <w:iCs/>
          <w:sz w:val="18"/>
          <w:szCs w:val="18"/>
        </w:rPr>
      </w:pPr>
    </w:p>
    <w:p w14:paraId="5DD46F91" w14:textId="77777777" w:rsidR="00033C0A" w:rsidRPr="00B657E0" w:rsidRDefault="00033C0A">
      <w:pPr>
        <w:pStyle w:val="TextFirstParagraph"/>
        <w:widowControl w:val="0"/>
        <w:rPr>
          <w:rFonts w:ascii="Arial" w:hAnsi="Arial" w:cs="Arial"/>
          <w:b/>
          <w:sz w:val="20"/>
          <w:szCs w:val="20"/>
        </w:rPr>
      </w:pPr>
    </w:p>
    <w:p w14:paraId="1E566658" w14:textId="4CD3363C" w:rsidR="00B411C4" w:rsidRPr="00B657E0" w:rsidRDefault="00E76329">
      <w:pPr>
        <w:pStyle w:val="TextFirstParagraph"/>
        <w:widowControl w:val="0"/>
        <w:rPr>
          <w:rFonts w:ascii="Arial" w:hAnsi="Arial" w:cs="Arial"/>
          <w:sz w:val="20"/>
          <w:szCs w:val="20"/>
        </w:rPr>
      </w:pPr>
      <w:r w:rsidRPr="00B657E0">
        <w:rPr>
          <w:rFonts w:ascii="Arial" w:hAnsi="Arial" w:cs="Arial"/>
          <w:b/>
          <w:sz w:val="20"/>
          <w:szCs w:val="20"/>
        </w:rPr>
        <w:t>D</w:t>
      </w:r>
      <w:r w:rsidR="000A1AF2" w:rsidRPr="00B657E0">
        <w:rPr>
          <w:rFonts w:ascii="Arial" w:hAnsi="Arial" w:cs="Arial"/>
          <w:b/>
          <w:sz w:val="20"/>
          <w:szCs w:val="20"/>
        </w:rPr>
        <w:t xml:space="preserve">. </w:t>
      </w:r>
      <w:r w:rsidRPr="00B657E0">
        <w:rPr>
          <w:rFonts w:ascii="Arial" w:hAnsi="Arial" w:cs="Arial"/>
          <w:b/>
          <w:sz w:val="20"/>
          <w:szCs w:val="20"/>
        </w:rPr>
        <w:t>Eggermont</w:t>
      </w:r>
      <w:r w:rsidR="000A1AF2" w:rsidRPr="00B657E0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0A1AF2" w:rsidRPr="00B657E0">
        <w:rPr>
          <w:rFonts w:ascii="Arial" w:hAnsi="Arial" w:cs="Arial"/>
          <w:sz w:val="20"/>
          <w:szCs w:val="20"/>
        </w:rPr>
        <w:t xml:space="preserve">, </w:t>
      </w:r>
      <w:r w:rsidR="00597D11" w:rsidRPr="00B657E0">
        <w:rPr>
          <w:rFonts w:ascii="Arial" w:hAnsi="Arial" w:cs="Arial"/>
          <w:sz w:val="20"/>
          <w:szCs w:val="20"/>
        </w:rPr>
        <w:t>F</w:t>
      </w:r>
      <w:r w:rsidR="000A1AF2" w:rsidRPr="00B657E0">
        <w:rPr>
          <w:rFonts w:ascii="Arial" w:hAnsi="Arial" w:cs="Arial"/>
          <w:sz w:val="20"/>
          <w:szCs w:val="20"/>
        </w:rPr>
        <w:t xml:space="preserve">. </w:t>
      </w:r>
      <w:r w:rsidR="00BB546E" w:rsidRPr="00B657E0">
        <w:rPr>
          <w:rFonts w:ascii="Arial" w:hAnsi="Arial" w:cs="Arial"/>
          <w:sz w:val="20"/>
          <w:szCs w:val="20"/>
        </w:rPr>
        <w:t>Pardi</w:t>
      </w:r>
      <w:r w:rsidR="00BB546E" w:rsidRPr="00B657E0">
        <w:rPr>
          <w:rFonts w:ascii="Arial" w:hAnsi="Arial" w:cs="Arial"/>
          <w:sz w:val="20"/>
          <w:szCs w:val="20"/>
          <w:vertAlign w:val="superscript"/>
        </w:rPr>
        <w:t>1, 2</w:t>
      </w:r>
      <w:r w:rsidR="000A1AF2" w:rsidRPr="00B657E0">
        <w:rPr>
          <w:rFonts w:ascii="Arial" w:hAnsi="Arial" w:cs="Arial"/>
          <w:sz w:val="20"/>
          <w:szCs w:val="20"/>
        </w:rPr>
        <w:t xml:space="preserve">, </w:t>
      </w:r>
      <w:r w:rsidRPr="00B657E0">
        <w:rPr>
          <w:rFonts w:ascii="Arial" w:hAnsi="Arial" w:cs="Arial"/>
          <w:sz w:val="20"/>
          <w:szCs w:val="20"/>
        </w:rPr>
        <w:t>G. Purcaro</w:t>
      </w:r>
      <w:r w:rsidRPr="00B657E0">
        <w:rPr>
          <w:rFonts w:ascii="Arial" w:hAnsi="Arial" w:cs="Arial"/>
          <w:sz w:val="20"/>
          <w:szCs w:val="20"/>
          <w:vertAlign w:val="superscript"/>
        </w:rPr>
        <w:t>1</w:t>
      </w:r>
      <w:r w:rsidR="000A1AF2" w:rsidRPr="00B657E0">
        <w:rPr>
          <w:rFonts w:ascii="Arial" w:hAnsi="Arial" w:cs="Arial"/>
          <w:sz w:val="20"/>
          <w:szCs w:val="20"/>
        </w:rPr>
        <w:t xml:space="preserve">. </w:t>
      </w:r>
    </w:p>
    <w:p w14:paraId="73A10FF0" w14:textId="7E7A28AE" w:rsidR="00B411C4" w:rsidRPr="00B657E0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</w:rPr>
      </w:pPr>
      <w:r w:rsidRPr="00B657E0">
        <w:rPr>
          <w:rFonts w:ascii="Arial" w:hAnsi="Arial" w:cs="Arial"/>
          <w:i/>
          <w:sz w:val="16"/>
          <w:szCs w:val="16"/>
        </w:rPr>
        <w:t xml:space="preserve">(1) </w:t>
      </w:r>
      <w:r w:rsidR="00E76329" w:rsidRPr="00B657E0">
        <w:rPr>
          <w:rFonts w:ascii="Arial" w:hAnsi="Arial" w:cs="Arial"/>
          <w:i/>
          <w:sz w:val="16"/>
          <w:szCs w:val="16"/>
        </w:rPr>
        <w:t>Gembloux Agro-Bio Tech, University of Liège, Passage des Déportés, 2, Gembloux, B-5030, Belgium.</w:t>
      </w:r>
      <w:r w:rsidRPr="00B657E0">
        <w:rPr>
          <w:rFonts w:ascii="Arial" w:hAnsi="Arial" w:cs="Arial"/>
          <w:i/>
          <w:sz w:val="16"/>
          <w:szCs w:val="16"/>
        </w:rPr>
        <w:t>,</w:t>
      </w:r>
      <w:r w:rsidR="00E76329" w:rsidRPr="00B657E0">
        <w:rPr>
          <w:rFonts w:ascii="Arial" w:hAnsi="Arial" w:cs="Arial"/>
          <w:i/>
          <w:sz w:val="16"/>
          <w:szCs w:val="16"/>
        </w:rPr>
        <w:t xml:space="preserve"> </w:t>
      </w:r>
      <w:hyperlink r:id="rId6" w:history="1">
        <w:r w:rsidR="00E76329" w:rsidRPr="00B657E0">
          <w:rPr>
            <w:rStyle w:val="Hyperlink"/>
            <w:rFonts w:ascii="Arial" w:hAnsi="Arial" w:cs="Arial"/>
            <w:i/>
            <w:sz w:val="16"/>
            <w:szCs w:val="16"/>
          </w:rPr>
          <w:t>d.eggermont@uliege.be</w:t>
        </w:r>
      </w:hyperlink>
      <w:r w:rsidRPr="00B657E0">
        <w:rPr>
          <w:rFonts w:ascii="Arial" w:hAnsi="Arial" w:cs="Arial"/>
          <w:i/>
          <w:sz w:val="16"/>
          <w:szCs w:val="16"/>
        </w:rPr>
        <w:t xml:space="preserve">. </w:t>
      </w:r>
    </w:p>
    <w:p w14:paraId="04ED6AF5" w14:textId="7C344716" w:rsidR="00B411C4" w:rsidRPr="00B657E0" w:rsidRDefault="00BB546E">
      <w:pPr>
        <w:pStyle w:val="TextFirstParagraph"/>
        <w:widowControl w:val="0"/>
        <w:rPr>
          <w:rFonts w:ascii="Arial" w:hAnsi="Arial" w:cs="Arial"/>
          <w:i/>
          <w:sz w:val="16"/>
          <w:szCs w:val="16"/>
        </w:rPr>
      </w:pPr>
      <w:r w:rsidRPr="00B657E0">
        <w:rPr>
          <w:rFonts w:ascii="Arial" w:hAnsi="Arial" w:cs="Arial"/>
          <w:i/>
          <w:sz w:val="16"/>
          <w:szCs w:val="16"/>
        </w:rPr>
        <w:t>(2) La Sapienza, University of Roma, Piazzale Aldo Moro 5, 00185, Roma, Italy</w:t>
      </w:r>
    </w:p>
    <w:p w14:paraId="232CDF25" w14:textId="77777777" w:rsidR="00B411C4" w:rsidRPr="00B657E0" w:rsidRDefault="00B411C4">
      <w:pPr>
        <w:pStyle w:val="TextFirstParagraph"/>
        <w:widowControl w:val="0"/>
        <w:rPr>
          <w:rFonts w:ascii="Arial" w:hAnsi="Arial" w:cs="Arial"/>
          <w:sz w:val="16"/>
          <w:szCs w:val="16"/>
        </w:rPr>
      </w:pPr>
    </w:p>
    <w:p w14:paraId="7D90A11A" w14:textId="6F5EBE68" w:rsidR="00B657E0" w:rsidRPr="00B657E0" w:rsidRDefault="00B657E0" w:rsidP="00B657E0">
      <w:pPr>
        <w:rPr>
          <w:b/>
          <w:bCs/>
        </w:rPr>
      </w:pPr>
      <w:r w:rsidRPr="00B657E0">
        <w:rPr>
          <w:b/>
          <w:bCs/>
        </w:rPr>
        <w:t>3000 characters max (space included)</w:t>
      </w:r>
    </w:p>
    <w:p w14:paraId="488067E9" w14:textId="77777777" w:rsidR="00B411C4" w:rsidRPr="00B657E0" w:rsidRDefault="00B411C4">
      <w:pPr>
        <w:pStyle w:val="TextFirstParagraph"/>
        <w:widowControl w:val="0"/>
        <w:rPr>
          <w:rFonts w:ascii="Arial" w:hAnsi="Arial" w:cs="Arial"/>
          <w:sz w:val="16"/>
          <w:szCs w:val="16"/>
        </w:rPr>
      </w:pPr>
    </w:p>
    <w:p w14:paraId="3A59AEC7" w14:textId="4A1FB3F7" w:rsidR="001F67F7" w:rsidRPr="00B657E0" w:rsidRDefault="0072001C" w:rsidP="00230C38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 w:rsidRPr="00B657E0">
        <w:rPr>
          <w:rFonts w:ascii="Arial" w:hAnsi="Arial" w:cs="Arial"/>
          <w:sz w:val="18"/>
          <w:szCs w:val="18"/>
        </w:rPr>
        <w:t>Over</w:t>
      </w:r>
      <w:r w:rsidR="000D7495" w:rsidRPr="00B657E0">
        <w:rPr>
          <w:rFonts w:ascii="Arial" w:hAnsi="Arial" w:cs="Arial"/>
          <w:sz w:val="18"/>
          <w:szCs w:val="18"/>
        </w:rPr>
        <w:t xml:space="preserve"> the last decades,</w:t>
      </w:r>
      <w:r w:rsidRPr="00B657E0">
        <w:rPr>
          <w:rFonts w:ascii="Arial" w:hAnsi="Arial" w:cs="Arial"/>
          <w:sz w:val="18"/>
          <w:szCs w:val="18"/>
        </w:rPr>
        <w:t xml:space="preserve"> the</w:t>
      </w:r>
      <w:r w:rsidR="000D7495" w:rsidRPr="00B657E0">
        <w:rPr>
          <w:rFonts w:ascii="Arial" w:hAnsi="Arial" w:cs="Arial"/>
          <w:sz w:val="18"/>
          <w:szCs w:val="18"/>
        </w:rPr>
        <w:t xml:space="preserve"> food industr</w:t>
      </w:r>
      <w:r w:rsidRPr="00B657E0">
        <w:rPr>
          <w:rFonts w:ascii="Arial" w:hAnsi="Arial" w:cs="Arial"/>
          <w:sz w:val="18"/>
          <w:szCs w:val="18"/>
        </w:rPr>
        <w:t>y</w:t>
      </w:r>
      <w:r w:rsidR="000D7495" w:rsidRPr="00B657E0">
        <w:rPr>
          <w:rFonts w:ascii="Arial" w:hAnsi="Arial" w:cs="Arial"/>
          <w:sz w:val="18"/>
          <w:szCs w:val="18"/>
        </w:rPr>
        <w:t xml:space="preserve"> and their actors </w:t>
      </w:r>
      <w:r w:rsidRPr="00B657E0">
        <w:rPr>
          <w:rFonts w:ascii="Arial" w:hAnsi="Arial" w:cs="Arial"/>
          <w:sz w:val="18"/>
          <w:szCs w:val="18"/>
        </w:rPr>
        <w:t>have been</w:t>
      </w:r>
      <w:r w:rsidR="000D7495" w:rsidRPr="00B657E0">
        <w:rPr>
          <w:rFonts w:ascii="Arial" w:hAnsi="Arial" w:cs="Arial"/>
          <w:sz w:val="18"/>
          <w:szCs w:val="18"/>
        </w:rPr>
        <w:t xml:space="preserve"> </w:t>
      </w:r>
      <w:r w:rsidRPr="00B657E0">
        <w:rPr>
          <w:rFonts w:ascii="Arial" w:hAnsi="Arial" w:cs="Arial"/>
          <w:sz w:val="18"/>
          <w:szCs w:val="18"/>
        </w:rPr>
        <w:t>faced with</w:t>
      </w:r>
      <w:r w:rsidR="000D7495" w:rsidRPr="00B657E0">
        <w:rPr>
          <w:rFonts w:ascii="Arial" w:hAnsi="Arial" w:cs="Arial"/>
          <w:sz w:val="18"/>
          <w:szCs w:val="18"/>
        </w:rPr>
        <w:t xml:space="preserve"> increasingly challenging requirements. </w:t>
      </w:r>
      <w:r w:rsidR="008E158E" w:rsidRPr="00B657E0">
        <w:rPr>
          <w:rFonts w:ascii="Arial" w:hAnsi="Arial" w:cs="Arial"/>
          <w:sz w:val="18"/>
          <w:szCs w:val="18"/>
        </w:rPr>
        <w:t xml:space="preserve">Food fraud and adulteration, </w:t>
      </w:r>
      <w:r w:rsidRPr="00B657E0">
        <w:rPr>
          <w:rFonts w:ascii="Arial" w:hAnsi="Arial" w:cs="Arial"/>
          <w:sz w:val="18"/>
          <w:szCs w:val="18"/>
        </w:rPr>
        <w:t>particularly</w:t>
      </w:r>
      <w:r w:rsidR="008E158E" w:rsidRPr="00B657E0">
        <w:rPr>
          <w:rFonts w:ascii="Arial" w:hAnsi="Arial" w:cs="Arial"/>
          <w:sz w:val="18"/>
          <w:szCs w:val="18"/>
        </w:rPr>
        <w:t xml:space="preserve"> in expensive or protected </w:t>
      </w:r>
      <w:r w:rsidRPr="00B657E0">
        <w:rPr>
          <w:rFonts w:ascii="Arial" w:hAnsi="Arial" w:cs="Arial"/>
          <w:sz w:val="18"/>
          <w:szCs w:val="18"/>
        </w:rPr>
        <w:t>edible product</w:t>
      </w:r>
      <w:r w:rsidR="008B7771" w:rsidRPr="00B657E0">
        <w:rPr>
          <w:rFonts w:ascii="Arial" w:hAnsi="Arial" w:cs="Arial"/>
          <w:sz w:val="18"/>
          <w:szCs w:val="18"/>
        </w:rPr>
        <w:t>s</w:t>
      </w:r>
      <w:r w:rsidR="008E158E" w:rsidRPr="00B657E0">
        <w:rPr>
          <w:rFonts w:ascii="Arial" w:hAnsi="Arial" w:cs="Arial"/>
          <w:sz w:val="18"/>
          <w:szCs w:val="18"/>
        </w:rPr>
        <w:t xml:space="preserve">, have become </w:t>
      </w:r>
      <w:r w:rsidRPr="00B657E0">
        <w:rPr>
          <w:rFonts w:ascii="Arial" w:hAnsi="Arial" w:cs="Arial"/>
          <w:sz w:val="18"/>
          <w:szCs w:val="18"/>
        </w:rPr>
        <w:t xml:space="preserve">increasingly sophisticated and difficult to detect. Therefore, </w:t>
      </w:r>
      <w:r w:rsidR="00230C38" w:rsidRPr="00B657E0">
        <w:rPr>
          <w:rFonts w:ascii="Arial" w:hAnsi="Arial" w:cs="Arial"/>
          <w:sz w:val="18"/>
          <w:szCs w:val="18"/>
        </w:rPr>
        <w:t xml:space="preserve">analytical methods must </w:t>
      </w:r>
      <w:r w:rsidR="009F5897" w:rsidRPr="00B657E0">
        <w:rPr>
          <w:rFonts w:ascii="Arial" w:hAnsi="Arial" w:cs="Arial"/>
          <w:sz w:val="18"/>
          <w:szCs w:val="18"/>
        </w:rPr>
        <w:t>continuously evolve to meet these new necessities.</w:t>
      </w:r>
      <w:r w:rsidR="00C1595E" w:rsidRPr="00B657E0">
        <w:rPr>
          <w:rFonts w:ascii="Arial" w:hAnsi="Arial" w:cs="Arial"/>
          <w:sz w:val="18"/>
          <w:szCs w:val="18"/>
        </w:rPr>
        <w:t xml:space="preserve"> </w:t>
      </w:r>
      <w:r w:rsidR="009F5897" w:rsidRPr="00B657E0">
        <w:rPr>
          <w:rFonts w:ascii="Arial" w:hAnsi="Arial" w:cs="Arial"/>
          <w:sz w:val="18"/>
          <w:szCs w:val="18"/>
        </w:rPr>
        <w:t>Among these evolutions, we can</w:t>
      </w:r>
      <w:r w:rsidR="00C1595E" w:rsidRPr="00B657E0">
        <w:rPr>
          <w:rFonts w:ascii="Arial" w:hAnsi="Arial" w:cs="Arial"/>
          <w:sz w:val="18"/>
          <w:szCs w:val="18"/>
        </w:rPr>
        <w:t xml:space="preserve"> notably</w:t>
      </w:r>
      <w:r w:rsidR="009F5897" w:rsidRPr="00B657E0">
        <w:rPr>
          <w:rFonts w:ascii="Arial" w:hAnsi="Arial" w:cs="Arial"/>
          <w:sz w:val="18"/>
          <w:szCs w:val="18"/>
        </w:rPr>
        <w:t xml:space="preserve"> cite the use of </w:t>
      </w:r>
      <w:r w:rsidR="00283D50" w:rsidRPr="00B657E0">
        <w:rPr>
          <w:rFonts w:ascii="Arial" w:hAnsi="Arial" w:cs="Arial"/>
          <w:sz w:val="18"/>
          <w:szCs w:val="18"/>
        </w:rPr>
        <w:t>greener and more sustainable techniques</w:t>
      </w:r>
      <w:r w:rsidR="007D7983" w:rsidRPr="00B657E0">
        <w:rPr>
          <w:rFonts w:ascii="Arial" w:hAnsi="Arial" w:cs="Arial"/>
          <w:sz w:val="18"/>
          <w:szCs w:val="18"/>
        </w:rPr>
        <w:t xml:space="preserve">. </w:t>
      </w:r>
    </w:p>
    <w:p w14:paraId="0042FBAB" w14:textId="77777777" w:rsidR="00DC49D7" w:rsidRPr="00B657E0" w:rsidRDefault="00DC49D7" w:rsidP="00230C38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77467C80" w14:textId="23F9847C" w:rsidR="00C1595E" w:rsidRPr="00B657E0" w:rsidRDefault="00402F77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 w:rsidRPr="00B657E0">
        <w:rPr>
          <w:rFonts w:ascii="Arial" w:hAnsi="Arial" w:cs="Arial"/>
          <w:sz w:val="18"/>
          <w:szCs w:val="18"/>
        </w:rPr>
        <w:t>In this context</w:t>
      </w:r>
      <w:r w:rsidR="00C1595E" w:rsidRPr="00B657E0">
        <w:rPr>
          <w:rFonts w:ascii="Arial" w:hAnsi="Arial" w:cs="Arial"/>
          <w:sz w:val="18"/>
          <w:szCs w:val="18"/>
        </w:rPr>
        <w:t xml:space="preserve">, solid-phase microextraction (SPME), introduced nearly 35 years ago, along with its headspace mode (HS-SPME), stands out for its simplicity and efficiency in capturing and concentrating a wide range of compounds without the mandatory use of solvents before analysis. However, HS-SPME faces challenges in extracting low-volatile compounds, where higher temperatures or extended extraction times might be </w:t>
      </w:r>
      <w:r w:rsidRPr="00B657E0">
        <w:rPr>
          <w:rFonts w:ascii="Arial" w:hAnsi="Arial" w:cs="Arial"/>
          <w:sz w:val="18"/>
          <w:szCs w:val="18"/>
        </w:rPr>
        <w:t>needed</w:t>
      </w:r>
      <w:r w:rsidR="00C1595E" w:rsidRPr="00B657E0">
        <w:rPr>
          <w:rFonts w:ascii="Arial" w:hAnsi="Arial" w:cs="Arial"/>
          <w:sz w:val="18"/>
          <w:szCs w:val="18"/>
        </w:rPr>
        <w:t>. Unfortunately, these conditions can be incompatible with delicate matrices and analytes, while also prolonging the analysis process. Additionally, extended extraction times can worsen the displacement effect when it occurs.</w:t>
      </w:r>
    </w:p>
    <w:p w14:paraId="419918F8" w14:textId="77777777" w:rsidR="00C1595E" w:rsidRPr="00B657E0" w:rsidRDefault="00C1595E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73843C18" w14:textId="7143AEBC" w:rsidR="00402F77" w:rsidRPr="00B657E0" w:rsidRDefault="00402F77" w:rsidP="00402F77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 w:rsidRPr="00B657E0">
        <w:rPr>
          <w:rFonts w:ascii="Arial" w:hAnsi="Arial" w:cs="Arial"/>
          <w:sz w:val="18"/>
          <w:szCs w:val="18"/>
        </w:rPr>
        <w:t>To address this issue, several strategies have been developed over the past decades. One approach is to modify the equilibrium conditions by conducting extraction under vacuum (Vac-SPME). This technique reduces the gas-phase resistance to mass transfer, thereby accelerating the volatilization of low-volatile compounds in the headspace</w:t>
      </w:r>
      <w:r w:rsidR="00CA1EEF" w:rsidRPr="00B657E0">
        <w:rPr>
          <w:rFonts w:ascii="Arial" w:hAnsi="Arial" w:cs="Arial"/>
          <w:sz w:val="18"/>
          <w:szCs w:val="18"/>
        </w:rPr>
        <w:t>.</w:t>
      </w:r>
    </w:p>
    <w:p w14:paraId="274224A5" w14:textId="77777777" w:rsidR="00402F77" w:rsidRPr="00B657E0" w:rsidRDefault="00402F77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770CE2A7" w14:textId="09B809AD" w:rsidR="00F82866" w:rsidRPr="00B657E0" w:rsidRDefault="00D62B3C" w:rsidP="004D5693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 w:rsidRPr="00B657E0">
        <w:rPr>
          <w:rFonts w:ascii="Arial" w:hAnsi="Arial" w:cs="Arial"/>
          <w:sz w:val="18"/>
          <w:szCs w:val="18"/>
        </w:rPr>
        <w:t xml:space="preserve">In this study, Vac-SPME has been optimized to quantify 5-hydroxymethylfurfural (5-HMF), a processing contaminant formed during thermal treatment and aging, in honey using GC×GC-MS, while also exploring the possibility of simultaneously </w:t>
      </w:r>
      <w:proofErr w:type="spellStart"/>
      <w:r w:rsidRPr="00B657E0">
        <w:rPr>
          <w:rFonts w:ascii="Arial" w:hAnsi="Arial" w:cs="Arial"/>
          <w:sz w:val="18"/>
          <w:szCs w:val="18"/>
        </w:rPr>
        <w:t>analyzing</w:t>
      </w:r>
      <w:proofErr w:type="spellEnd"/>
      <w:r w:rsidRPr="00B657E0">
        <w:rPr>
          <w:rFonts w:ascii="Arial" w:hAnsi="Arial" w:cs="Arial"/>
          <w:sz w:val="18"/>
          <w:szCs w:val="18"/>
        </w:rPr>
        <w:t xml:space="preserve"> the volatile profile. 5-HMF serves as a quality marker and is regulated by the EU (2001/110/EC) with a maximum allowable limit of 40</w:t>
      </w:r>
      <w:r w:rsidR="008B7771" w:rsidRPr="00B657E0">
        <w:rPr>
          <w:rFonts w:ascii="Arial" w:hAnsi="Arial" w:cs="Arial"/>
          <w:sz w:val="18"/>
          <w:szCs w:val="18"/>
        </w:rPr>
        <w:t> </w:t>
      </w:r>
      <w:r w:rsidRPr="00B657E0">
        <w:rPr>
          <w:rFonts w:ascii="Arial" w:hAnsi="Arial" w:cs="Arial"/>
          <w:sz w:val="18"/>
          <w:szCs w:val="18"/>
        </w:rPr>
        <w:t xml:space="preserve">mg/kg. </w:t>
      </w:r>
      <w:r w:rsidR="00E04798" w:rsidRPr="00B657E0">
        <w:rPr>
          <w:rFonts w:ascii="Arial" w:hAnsi="Arial" w:cs="Arial"/>
          <w:sz w:val="18"/>
          <w:szCs w:val="18"/>
        </w:rPr>
        <w:t>The proposed method was validated through matrix-matched calibration. The achieved LOD and LOQ were 1.6 and 4.7 mg/kg,</w:t>
      </w:r>
      <w:r w:rsidR="00E04798">
        <w:rPr>
          <w:rFonts w:ascii="Arial" w:hAnsi="Arial" w:cs="Arial"/>
          <w:sz w:val="18"/>
          <w:szCs w:val="18"/>
        </w:rPr>
        <w:t xml:space="preserve"> respectively,</w:t>
      </w:r>
      <w:r w:rsidR="00E04798" w:rsidRPr="00B657E0">
        <w:rPr>
          <w:rFonts w:ascii="Arial" w:hAnsi="Arial" w:cs="Arial"/>
          <w:sz w:val="18"/>
          <w:szCs w:val="18"/>
        </w:rPr>
        <w:t xml:space="preserve"> with a recovery rate of 98% and an RSD of 21%. When compared to the </w:t>
      </w:r>
      <w:r w:rsidR="009E1F06">
        <w:rPr>
          <w:rFonts w:ascii="Arial" w:hAnsi="Arial" w:cs="Arial"/>
          <w:sz w:val="18"/>
          <w:szCs w:val="18"/>
        </w:rPr>
        <w:t xml:space="preserve">official </w:t>
      </w:r>
      <w:r w:rsidR="00E04798" w:rsidRPr="00B657E0">
        <w:rPr>
          <w:rFonts w:ascii="Arial" w:hAnsi="Arial" w:cs="Arial"/>
          <w:sz w:val="18"/>
          <w:szCs w:val="18"/>
        </w:rPr>
        <w:t>HPLC method using eight real-world samples, a</w:t>
      </w:r>
      <w:r w:rsidR="00146105">
        <w:rPr>
          <w:rFonts w:ascii="Arial" w:hAnsi="Arial" w:cs="Arial"/>
          <w:sz w:val="18"/>
          <w:szCs w:val="18"/>
        </w:rPr>
        <w:t>n</w:t>
      </w:r>
      <w:r w:rsidR="00E04798" w:rsidRPr="00B657E0">
        <w:rPr>
          <w:rFonts w:ascii="Arial" w:hAnsi="Arial" w:cs="Arial"/>
          <w:sz w:val="18"/>
          <w:szCs w:val="18"/>
        </w:rPr>
        <w:t xml:space="preserve"> </w:t>
      </w:r>
      <w:r w:rsidR="00146105">
        <w:rPr>
          <w:rFonts w:ascii="Arial" w:hAnsi="Arial" w:cs="Arial"/>
          <w:sz w:val="18"/>
          <w:szCs w:val="18"/>
        </w:rPr>
        <w:t xml:space="preserve">average </w:t>
      </w:r>
      <w:r w:rsidR="00E04798" w:rsidRPr="00B657E0">
        <w:rPr>
          <w:rFonts w:ascii="Arial" w:hAnsi="Arial" w:cs="Arial"/>
          <w:sz w:val="18"/>
          <w:szCs w:val="18"/>
        </w:rPr>
        <w:t xml:space="preserve">6% </w:t>
      </w:r>
      <w:r w:rsidR="00E04798">
        <w:rPr>
          <w:rFonts w:ascii="Arial" w:hAnsi="Arial" w:cs="Arial"/>
          <w:sz w:val="18"/>
          <w:szCs w:val="18"/>
        </w:rPr>
        <w:t>bias</w:t>
      </w:r>
      <w:r w:rsidR="00E04798" w:rsidRPr="00B657E0">
        <w:rPr>
          <w:rFonts w:ascii="Arial" w:hAnsi="Arial" w:cs="Arial"/>
          <w:sz w:val="18"/>
          <w:szCs w:val="18"/>
        </w:rPr>
        <w:t xml:space="preserve"> was observed.</w:t>
      </w:r>
      <w:r w:rsidR="00E04798">
        <w:rPr>
          <w:rFonts w:ascii="Arial" w:hAnsi="Arial" w:cs="Arial"/>
          <w:sz w:val="18"/>
          <w:szCs w:val="18"/>
        </w:rPr>
        <w:t xml:space="preserve"> </w:t>
      </w:r>
      <w:r w:rsidRPr="00B657E0">
        <w:rPr>
          <w:rFonts w:ascii="Arial" w:hAnsi="Arial" w:cs="Arial"/>
          <w:sz w:val="18"/>
          <w:szCs w:val="18"/>
        </w:rPr>
        <w:t xml:space="preserve">The </w:t>
      </w:r>
      <w:r w:rsidR="009E1F06">
        <w:rPr>
          <w:rFonts w:ascii="Arial" w:hAnsi="Arial" w:cs="Arial"/>
          <w:sz w:val="18"/>
          <w:szCs w:val="18"/>
        </w:rPr>
        <w:t>International Honey Commission</w:t>
      </w:r>
      <w:r w:rsidR="009E1F06" w:rsidRPr="00B657E0">
        <w:rPr>
          <w:rFonts w:ascii="Arial" w:hAnsi="Arial" w:cs="Arial"/>
          <w:sz w:val="18"/>
          <w:szCs w:val="18"/>
        </w:rPr>
        <w:t xml:space="preserve"> </w:t>
      </w:r>
      <w:r w:rsidRPr="00B657E0">
        <w:rPr>
          <w:rFonts w:ascii="Arial" w:hAnsi="Arial" w:cs="Arial"/>
          <w:sz w:val="18"/>
          <w:szCs w:val="18"/>
        </w:rPr>
        <w:t xml:space="preserve">official method </w:t>
      </w:r>
      <w:r w:rsidR="009E1F06">
        <w:rPr>
          <w:rFonts w:ascii="Arial" w:hAnsi="Arial" w:cs="Arial"/>
          <w:sz w:val="18"/>
          <w:szCs w:val="18"/>
        </w:rPr>
        <w:t>requires a</w:t>
      </w:r>
      <w:r w:rsidRPr="00B657E0">
        <w:rPr>
          <w:rFonts w:ascii="Arial" w:hAnsi="Arial" w:cs="Arial"/>
          <w:sz w:val="18"/>
          <w:szCs w:val="18"/>
        </w:rPr>
        <w:t xml:space="preserve"> direct injection into the HPLC within a very short time after dilution </w:t>
      </w:r>
      <w:r w:rsidR="004D5693" w:rsidRPr="00B657E0">
        <w:rPr>
          <w:rFonts w:ascii="Arial" w:hAnsi="Arial" w:cs="Arial"/>
          <w:sz w:val="18"/>
          <w:szCs w:val="18"/>
        </w:rPr>
        <w:t>(IHC, 2009)</w:t>
      </w:r>
      <w:r w:rsidRPr="00B657E0">
        <w:rPr>
          <w:rFonts w:ascii="Arial" w:hAnsi="Arial" w:cs="Arial"/>
          <w:sz w:val="18"/>
          <w:szCs w:val="18"/>
        </w:rPr>
        <w:t xml:space="preserve">. </w:t>
      </w:r>
      <w:r w:rsidR="00E04798">
        <w:rPr>
          <w:rFonts w:ascii="Arial" w:hAnsi="Arial" w:cs="Arial"/>
          <w:sz w:val="18"/>
          <w:szCs w:val="18"/>
        </w:rPr>
        <w:t>Therefore, from a greenness viewpoint</w:t>
      </w:r>
      <w:r w:rsidR="00383071">
        <w:rPr>
          <w:rFonts w:ascii="Arial" w:hAnsi="Arial" w:cs="Arial"/>
          <w:sz w:val="18"/>
          <w:szCs w:val="18"/>
        </w:rPr>
        <w:t xml:space="preserve">, the proposed method showed better performance, evaluated with AGREE metrics, as well as comparable practicality to the official one, evaluated with the BAGI metric. </w:t>
      </w:r>
    </w:p>
    <w:sectPr w:rsidR="00F82866" w:rsidRPr="00B657E0"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1052" w14:textId="77777777" w:rsidR="0056564D" w:rsidRPr="00B657E0" w:rsidRDefault="0056564D">
      <w:r w:rsidRPr="00B657E0">
        <w:separator/>
      </w:r>
    </w:p>
  </w:endnote>
  <w:endnote w:type="continuationSeparator" w:id="0">
    <w:p w14:paraId="137DBFE3" w14:textId="77777777" w:rsidR="0056564D" w:rsidRPr="00B657E0" w:rsidRDefault="0056564D">
      <w:r w:rsidRPr="00B657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F163D" w14:textId="77777777" w:rsidR="0056564D" w:rsidRPr="00B657E0" w:rsidRDefault="0056564D">
      <w:r w:rsidRPr="00B657E0">
        <w:separator/>
      </w:r>
    </w:p>
  </w:footnote>
  <w:footnote w:type="continuationSeparator" w:id="0">
    <w:p w14:paraId="2EBE2374" w14:textId="77777777" w:rsidR="0056564D" w:rsidRPr="00B657E0" w:rsidRDefault="0056564D">
      <w:r w:rsidRPr="00B657E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zYxMTQ2Mbe0sDRW0lEKTi0uzszPAykwrAUA+t6bDiwAAAA="/>
  </w:docVars>
  <w:rsids>
    <w:rsidRoot w:val="000A1AF2"/>
    <w:rsid w:val="00033C0A"/>
    <w:rsid w:val="00042AF1"/>
    <w:rsid w:val="00044567"/>
    <w:rsid w:val="0008066F"/>
    <w:rsid w:val="000A1AF2"/>
    <w:rsid w:val="000A61D6"/>
    <w:rsid w:val="000B420E"/>
    <w:rsid w:val="000D1DDD"/>
    <w:rsid w:val="000D7495"/>
    <w:rsid w:val="00115B07"/>
    <w:rsid w:val="00146105"/>
    <w:rsid w:val="0019531C"/>
    <w:rsid w:val="001B32C9"/>
    <w:rsid w:val="001C06D4"/>
    <w:rsid w:val="001D1089"/>
    <w:rsid w:val="001F6774"/>
    <w:rsid w:val="001F67F7"/>
    <w:rsid w:val="00217B42"/>
    <w:rsid w:val="002269A7"/>
    <w:rsid w:val="00230C38"/>
    <w:rsid w:val="0027018A"/>
    <w:rsid w:val="00283D50"/>
    <w:rsid w:val="002A6197"/>
    <w:rsid w:val="002B42D3"/>
    <w:rsid w:val="003210A8"/>
    <w:rsid w:val="003301AC"/>
    <w:rsid w:val="00346021"/>
    <w:rsid w:val="0037029B"/>
    <w:rsid w:val="00383071"/>
    <w:rsid w:val="003A6EAD"/>
    <w:rsid w:val="003B4271"/>
    <w:rsid w:val="00402F77"/>
    <w:rsid w:val="004D5693"/>
    <w:rsid w:val="00500882"/>
    <w:rsid w:val="00531981"/>
    <w:rsid w:val="0056564D"/>
    <w:rsid w:val="005835DA"/>
    <w:rsid w:val="00583EFB"/>
    <w:rsid w:val="00597D11"/>
    <w:rsid w:val="005D4FA7"/>
    <w:rsid w:val="0068353E"/>
    <w:rsid w:val="006A287D"/>
    <w:rsid w:val="00712B88"/>
    <w:rsid w:val="0072001C"/>
    <w:rsid w:val="00725F8C"/>
    <w:rsid w:val="007B79FB"/>
    <w:rsid w:val="007D7983"/>
    <w:rsid w:val="00855FB9"/>
    <w:rsid w:val="008635BA"/>
    <w:rsid w:val="00875AF4"/>
    <w:rsid w:val="008A57E1"/>
    <w:rsid w:val="008B7771"/>
    <w:rsid w:val="008E158E"/>
    <w:rsid w:val="008E32E3"/>
    <w:rsid w:val="00922F0C"/>
    <w:rsid w:val="00955175"/>
    <w:rsid w:val="009646A4"/>
    <w:rsid w:val="0099148B"/>
    <w:rsid w:val="009B445D"/>
    <w:rsid w:val="009D4144"/>
    <w:rsid w:val="009E1F06"/>
    <w:rsid w:val="009F5897"/>
    <w:rsid w:val="00A06A7A"/>
    <w:rsid w:val="00A074BE"/>
    <w:rsid w:val="00A2195B"/>
    <w:rsid w:val="00A245F3"/>
    <w:rsid w:val="00A52F49"/>
    <w:rsid w:val="00A76BD2"/>
    <w:rsid w:val="00A96E0F"/>
    <w:rsid w:val="00AD2E36"/>
    <w:rsid w:val="00B411C4"/>
    <w:rsid w:val="00B56E38"/>
    <w:rsid w:val="00B62653"/>
    <w:rsid w:val="00B657E0"/>
    <w:rsid w:val="00B8136F"/>
    <w:rsid w:val="00B83032"/>
    <w:rsid w:val="00BA0A5D"/>
    <w:rsid w:val="00BA7305"/>
    <w:rsid w:val="00BB546E"/>
    <w:rsid w:val="00BF2B55"/>
    <w:rsid w:val="00BF5A5E"/>
    <w:rsid w:val="00C1266D"/>
    <w:rsid w:val="00C1595E"/>
    <w:rsid w:val="00C765CE"/>
    <w:rsid w:val="00CA1EEF"/>
    <w:rsid w:val="00CA4222"/>
    <w:rsid w:val="00CC3DBE"/>
    <w:rsid w:val="00CC6B89"/>
    <w:rsid w:val="00D00A06"/>
    <w:rsid w:val="00D06F94"/>
    <w:rsid w:val="00D0781D"/>
    <w:rsid w:val="00D40C28"/>
    <w:rsid w:val="00D54143"/>
    <w:rsid w:val="00D62B3C"/>
    <w:rsid w:val="00D91F72"/>
    <w:rsid w:val="00DC49D7"/>
    <w:rsid w:val="00DE2B41"/>
    <w:rsid w:val="00E04798"/>
    <w:rsid w:val="00E60DDB"/>
    <w:rsid w:val="00E76329"/>
    <w:rsid w:val="00ED20C0"/>
    <w:rsid w:val="00F06217"/>
    <w:rsid w:val="00F23729"/>
    <w:rsid w:val="00F260C1"/>
    <w:rsid w:val="00F26997"/>
    <w:rsid w:val="00F45B44"/>
    <w:rsid w:val="00F566B0"/>
    <w:rsid w:val="00F56E5D"/>
    <w:rsid w:val="00F6289A"/>
    <w:rsid w:val="00F82866"/>
    <w:rsid w:val="00F92B39"/>
    <w:rsid w:val="00FA0905"/>
    <w:rsid w:val="00FB2BD3"/>
    <w:rsid w:val="00FB4AB6"/>
    <w:rsid w:val="00FE1F7F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Char">
    <w:name w:val="Text 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</w:style>
  <w:style w:type="paragraph" w:customStyle="1" w:styleId="Text">
    <w:name w:val="Text"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pPr>
      <w:ind w:firstLine="0"/>
    </w:pPr>
  </w:style>
  <w:style w:type="paragraph" w:customStyle="1" w:styleId="Figure">
    <w:name w:val="Figure"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xtechTitle">
    <w:name w:val="Extech_Title"/>
    <w:basedOn w:val="Normal"/>
    <w:pPr>
      <w:tabs>
        <w:tab w:val="left" w:pos="688"/>
      </w:tabs>
    </w:pPr>
    <w:rPr>
      <w:rFonts w:ascii="Arial" w:hAnsi="Arial" w:cs="Arial"/>
      <w:b/>
    </w:rPr>
  </w:style>
  <w:style w:type="paragraph" w:customStyle="1" w:styleId="ExTechBody">
    <w:name w:val="ExTech Body"/>
    <w:basedOn w:val="TextFirstParagraph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basedOn w:val="DefaultParagraphFont"/>
    <w:uiPriority w:val="99"/>
    <w:semiHidden/>
    <w:unhideWhenUsed/>
    <w:rsid w:val="00E76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029B"/>
    <w:rPr>
      <w:rFonts w:eastAsia="MS Mincho"/>
      <w:sz w:val="24"/>
      <w:szCs w:val="24"/>
      <w:lang w:val="de-D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7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29B"/>
    <w:rPr>
      <w:rFonts w:eastAsia="MS Mincho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29B"/>
    <w:rPr>
      <w:rFonts w:eastAsia="MS Mincho"/>
      <w:b/>
      <w:bCs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eggermont@ulieg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2421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Purcaro Giorgia</cp:lastModifiedBy>
  <cp:revision>10</cp:revision>
  <cp:lastPrinted>2013-09-24T18:22:00Z</cp:lastPrinted>
  <dcterms:created xsi:type="dcterms:W3CDTF">2024-08-28T14:44:00Z</dcterms:created>
  <dcterms:modified xsi:type="dcterms:W3CDTF">2024-08-30T13:52:00Z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5f34c23387c69cfffdebc897f759c0edfaefd527af51844a43613af35774e9f4</vt:lpwstr>
  </property>
</Properties>
</file>