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7BB3D9" w14:textId="20340B4B" w:rsidR="00111399" w:rsidRDefault="00111399" w:rsidP="00A31D2D">
      <w:pPr>
        <w:spacing w:before="240" w:line="360" w:lineRule="auto"/>
        <w:jc w:val="both"/>
        <w:rPr>
          <w:rFonts w:ascii="Times New Roman" w:hAnsi="Times New Roman" w:cs="Times New Roman"/>
          <w:b/>
          <w:bCs/>
          <w:sz w:val="24"/>
          <w:szCs w:val="24"/>
        </w:rPr>
      </w:pPr>
      <w:r>
        <w:rPr>
          <w:noProof/>
        </w:rPr>
        <w:drawing>
          <wp:inline distT="0" distB="0" distL="0" distR="0" wp14:anchorId="16CF2890" wp14:editId="2909B1AB">
            <wp:extent cx="2642235" cy="2625090"/>
            <wp:effectExtent l="0" t="0" r="5715" b="3810"/>
            <wp:docPr id="1820016718" name="Picture 1" descr="A close-up of a brown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16718" name="Picture 1" descr="A close-up of a brown circle&#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42235" cy="2625090"/>
                    </a:xfrm>
                    <a:prstGeom prst="rect">
                      <a:avLst/>
                    </a:prstGeom>
                    <a:noFill/>
                    <a:ln>
                      <a:noFill/>
                    </a:ln>
                  </pic:spPr>
                </pic:pic>
              </a:graphicData>
            </a:graphic>
          </wp:inline>
        </w:drawing>
      </w:r>
    </w:p>
    <w:p w14:paraId="4F55F4BA" w14:textId="6472D5A9" w:rsidR="00A31D2D" w:rsidRDefault="00A31D2D" w:rsidP="00A31D2D">
      <w:pPr>
        <w:spacing w:before="240" w:line="360" w:lineRule="auto"/>
        <w:jc w:val="both"/>
        <w:rPr>
          <w:rFonts w:ascii="Times New Roman" w:hAnsi="Times New Roman" w:cs="Times New Roman"/>
          <w:sz w:val="24"/>
          <w:szCs w:val="24"/>
        </w:rPr>
      </w:pPr>
      <w:r w:rsidRPr="00A31D2D">
        <w:rPr>
          <w:rFonts w:ascii="Times New Roman" w:hAnsi="Times New Roman" w:cs="Times New Roman"/>
          <w:b/>
          <w:bCs/>
          <w:sz w:val="24"/>
          <w:szCs w:val="24"/>
        </w:rPr>
        <w:t xml:space="preserve">Fig. A.1: </w:t>
      </w:r>
      <w:r w:rsidRPr="00A31D2D">
        <w:rPr>
          <w:rFonts w:ascii="Times New Roman" w:hAnsi="Times New Roman" w:cs="Times New Roman"/>
          <w:sz w:val="24"/>
          <w:szCs w:val="24"/>
        </w:rPr>
        <w:t xml:space="preserve">Black-brown pigment developed Burundi isolate BDI-IS1. This isolate BDI-IS1 (later identified as </w:t>
      </w:r>
      <w:r w:rsidRPr="00A31D2D">
        <w:rPr>
          <w:rFonts w:ascii="Times New Roman" w:hAnsi="Times New Roman" w:cs="Times New Roman"/>
          <w:i/>
          <w:iCs/>
          <w:sz w:val="24"/>
          <w:szCs w:val="24"/>
        </w:rPr>
        <w:t>B. nakamurai</w:t>
      </w:r>
      <w:r w:rsidRPr="00A31D2D">
        <w:rPr>
          <w:rFonts w:ascii="Times New Roman" w:hAnsi="Times New Roman" w:cs="Times New Roman"/>
          <w:sz w:val="24"/>
          <w:szCs w:val="24"/>
        </w:rPr>
        <w:t xml:space="preserve"> BDI-IS1) was grown on tryptic soy agar (TSA) and incubated at 30°C for 72h.</w:t>
      </w:r>
    </w:p>
    <w:p w14:paraId="6DB7F85F" w14:textId="25D8A85B" w:rsidR="00111399" w:rsidRPr="00A31D2D" w:rsidRDefault="00111399" w:rsidP="00A31D2D">
      <w:pPr>
        <w:spacing w:before="240" w:line="360" w:lineRule="auto"/>
        <w:jc w:val="both"/>
        <w:rPr>
          <w:rFonts w:ascii="Times New Roman" w:hAnsi="Times New Roman" w:cs="Times New Roman"/>
          <w:b/>
          <w:bCs/>
          <w:sz w:val="24"/>
          <w:szCs w:val="24"/>
        </w:rPr>
      </w:pPr>
      <w:r>
        <w:rPr>
          <w:noProof/>
        </w:rPr>
        <w:lastRenderedPageBreak/>
        <w:drawing>
          <wp:inline distT="0" distB="0" distL="0" distR="0" wp14:anchorId="352EF42F" wp14:editId="6F1F90FA">
            <wp:extent cx="2501900" cy="4319270"/>
            <wp:effectExtent l="0" t="0" r="0" b="5080"/>
            <wp:docPr id="100375353" name="Picture 2" descr="A collage of images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5353" name="Picture 2" descr="A collage of images of a molecul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01900" cy="4319270"/>
                    </a:xfrm>
                    <a:prstGeom prst="rect">
                      <a:avLst/>
                    </a:prstGeom>
                    <a:noFill/>
                    <a:ln>
                      <a:noFill/>
                    </a:ln>
                  </pic:spPr>
                </pic:pic>
              </a:graphicData>
            </a:graphic>
          </wp:inline>
        </w:drawing>
      </w:r>
    </w:p>
    <w:p w14:paraId="2B6C76A1" w14:textId="7760C112" w:rsidR="00684BC1" w:rsidRDefault="00A31D2D" w:rsidP="00684BC1">
      <w:pPr>
        <w:spacing w:before="240" w:line="360" w:lineRule="auto"/>
        <w:jc w:val="both"/>
        <w:rPr>
          <w:rFonts w:ascii="Times New Roman" w:hAnsi="Times New Roman" w:cs="Times New Roman"/>
          <w:sz w:val="24"/>
          <w:szCs w:val="24"/>
        </w:rPr>
      </w:pPr>
      <w:r w:rsidRPr="00A31D2D">
        <w:rPr>
          <w:rFonts w:ascii="Times New Roman" w:hAnsi="Times New Roman" w:cs="Times New Roman"/>
          <w:b/>
          <w:bCs/>
          <w:sz w:val="24"/>
          <w:szCs w:val="24"/>
        </w:rPr>
        <w:t xml:space="preserve">Fig. A.2: </w:t>
      </w:r>
      <w:r w:rsidR="00684BC1" w:rsidRPr="00A31D2D">
        <w:rPr>
          <w:rFonts w:ascii="Times New Roman" w:hAnsi="Times New Roman" w:cs="Times New Roman"/>
          <w:sz w:val="24"/>
          <w:szCs w:val="24"/>
        </w:rPr>
        <w:t>MS</w:t>
      </w:r>
      <w:r w:rsidR="00684BC1" w:rsidRPr="00A31D2D">
        <w:rPr>
          <w:rFonts w:ascii="Times New Roman" w:hAnsi="Times New Roman" w:cs="Times New Roman"/>
          <w:sz w:val="24"/>
          <w:szCs w:val="24"/>
          <w:vertAlign w:val="superscript"/>
        </w:rPr>
        <w:t xml:space="preserve">2  </w:t>
      </w:r>
      <w:r w:rsidR="00684BC1" w:rsidRPr="00A31D2D">
        <w:rPr>
          <w:rFonts w:ascii="Times New Roman" w:hAnsi="Times New Roman" w:cs="Times New Roman"/>
          <w:sz w:val="24"/>
          <w:szCs w:val="24"/>
        </w:rPr>
        <w:t xml:space="preserve">patterns of surfactin (A) and iturin A (B), and plantazolicin (C). Analysis was performed with </w:t>
      </w:r>
      <w:r w:rsidR="00684BC1">
        <w:rPr>
          <w:rFonts w:ascii="Times New Roman" w:hAnsi="Times New Roman" w:cs="Times New Roman"/>
          <w:sz w:val="24"/>
          <w:szCs w:val="24"/>
        </w:rPr>
        <w:t>the tandem mass spectrometry (MS</w:t>
      </w:r>
      <w:r w:rsidR="00684BC1">
        <w:rPr>
          <w:rFonts w:ascii="Times New Roman" w:hAnsi="Times New Roman" w:cs="Times New Roman"/>
          <w:sz w:val="24"/>
          <w:szCs w:val="24"/>
          <w:vertAlign w:val="superscript"/>
        </w:rPr>
        <w:t>2</w:t>
      </w:r>
      <w:r w:rsidR="00684BC1">
        <w:rPr>
          <w:rFonts w:ascii="Times New Roman" w:hAnsi="Times New Roman" w:cs="Times New Roman"/>
          <w:sz w:val="24"/>
          <w:szCs w:val="24"/>
        </w:rPr>
        <w:t xml:space="preserve">) </w:t>
      </w:r>
      <w:r w:rsidR="00684BC1" w:rsidRPr="00A31D2D">
        <w:rPr>
          <w:rFonts w:ascii="Times New Roman" w:hAnsi="Times New Roman" w:cs="Times New Roman"/>
          <w:sz w:val="24"/>
          <w:szCs w:val="24"/>
        </w:rPr>
        <w:t>in a positive mode.</w:t>
      </w:r>
      <w:r w:rsidR="00203260">
        <w:rPr>
          <w:rFonts w:ascii="Times New Roman" w:hAnsi="Times New Roman" w:cs="Times New Roman"/>
          <w:sz w:val="24"/>
          <w:szCs w:val="24"/>
        </w:rPr>
        <w:t xml:space="preserve"> Plantazolicin MS</w:t>
      </w:r>
      <w:r w:rsidR="00203260" w:rsidRPr="00203260">
        <w:rPr>
          <w:rFonts w:ascii="Times New Roman" w:hAnsi="Times New Roman" w:cs="Times New Roman"/>
          <w:sz w:val="24"/>
          <w:szCs w:val="24"/>
          <w:vertAlign w:val="superscript"/>
        </w:rPr>
        <w:t>2</w:t>
      </w:r>
      <w:r w:rsidR="00203260">
        <w:rPr>
          <w:rFonts w:ascii="Times New Roman" w:hAnsi="Times New Roman" w:cs="Times New Roman"/>
          <w:sz w:val="24"/>
          <w:szCs w:val="24"/>
        </w:rPr>
        <w:t xml:space="preserve"> profile (C) is provided together with chemical structures highlighting of the main fragmentation patterns of the compound.</w:t>
      </w:r>
    </w:p>
    <w:p w14:paraId="38D4C74F" w14:textId="5F075037" w:rsidR="00111399" w:rsidRPr="00A31D2D" w:rsidRDefault="00111399" w:rsidP="00684BC1">
      <w:pPr>
        <w:spacing w:before="240" w:line="360" w:lineRule="auto"/>
        <w:jc w:val="both"/>
        <w:rPr>
          <w:rFonts w:ascii="Times New Roman" w:hAnsi="Times New Roman" w:cs="Times New Roman"/>
          <w:sz w:val="24"/>
          <w:szCs w:val="24"/>
        </w:rPr>
      </w:pPr>
      <w:r>
        <w:rPr>
          <w:noProof/>
        </w:rPr>
        <w:lastRenderedPageBreak/>
        <w:drawing>
          <wp:inline distT="0" distB="0" distL="0" distR="0" wp14:anchorId="37DEF88A" wp14:editId="13D1B529">
            <wp:extent cx="3399790" cy="2995930"/>
            <wp:effectExtent l="0" t="0" r="0" b="0"/>
            <wp:docPr id="753726968" name="Picture 3" descr="A collage of photos of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726968" name="Picture 3" descr="A collage of photos of plants&#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99790" cy="2995930"/>
                    </a:xfrm>
                    <a:prstGeom prst="rect">
                      <a:avLst/>
                    </a:prstGeom>
                    <a:noFill/>
                    <a:ln>
                      <a:noFill/>
                    </a:ln>
                  </pic:spPr>
                </pic:pic>
              </a:graphicData>
            </a:graphic>
          </wp:inline>
        </w:drawing>
      </w:r>
    </w:p>
    <w:p w14:paraId="042C05AC" w14:textId="6AEE8EAC" w:rsidR="00A31D2D" w:rsidRDefault="00A31D2D" w:rsidP="00A31D2D">
      <w:pPr>
        <w:spacing w:before="240" w:line="360" w:lineRule="auto"/>
        <w:jc w:val="both"/>
        <w:rPr>
          <w:rFonts w:ascii="Times New Roman" w:hAnsi="Times New Roman" w:cs="Times New Roman"/>
          <w:sz w:val="24"/>
          <w:szCs w:val="24"/>
          <w:lang w:val="en-US"/>
        </w:rPr>
      </w:pPr>
      <w:r w:rsidRPr="00A31D2D">
        <w:rPr>
          <w:rFonts w:ascii="Times New Roman" w:hAnsi="Times New Roman" w:cs="Times New Roman"/>
          <w:b/>
          <w:bCs/>
          <w:sz w:val="24"/>
          <w:szCs w:val="24"/>
        </w:rPr>
        <w:t xml:space="preserve">Fig. A.3: </w:t>
      </w:r>
      <w:r w:rsidR="00203260" w:rsidRPr="00702F8D">
        <w:rPr>
          <w:rFonts w:ascii="Times New Roman" w:hAnsi="Times New Roman" w:cs="Times New Roman"/>
          <w:sz w:val="24"/>
          <w:szCs w:val="24"/>
          <w:lang w:val="en-US"/>
        </w:rPr>
        <w:t xml:space="preserve">Scale developed for the evaluation of tomato early blight (A) and maize northern leaf blight (B). The scale is based on necrotic leaf area, with tomato early blight scored on a scale of 1 to 9, where 1 = 0-5% of leaf area affected by the disease, 3 = 5-10%, 5 = 10-20%, 7 = 20-50% and 9 = 50-100%. Northern leaf blight was also scored on a scale from 1 to 9, where 1 = 0% of leaf area affected, 2 = 10%, 3 = 20%, 4 = 30%, 5 = 40%, 6 = 50%, 7 = 60%, 8 = 70%, 9 = 80-100%.  Asymptomatic samples are not included in the maize northern leaf blight scale but will obviously have 0% necrotic area. </w:t>
      </w:r>
    </w:p>
    <w:p w14:paraId="26E03B56" w14:textId="1F30DF90" w:rsidR="00111399" w:rsidRPr="00203260" w:rsidRDefault="00111399" w:rsidP="00A31D2D">
      <w:pPr>
        <w:spacing w:before="240" w:line="360" w:lineRule="auto"/>
        <w:jc w:val="both"/>
        <w:rPr>
          <w:rFonts w:ascii="Times New Roman" w:hAnsi="Times New Roman" w:cs="Times New Roman"/>
          <w:sz w:val="24"/>
          <w:szCs w:val="24"/>
          <w:lang w:val="en-US"/>
        </w:rPr>
      </w:pPr>
      <w:r>
        <w:rPr>
          <w:noProof/>
        </w:rPr>
        <w:lastRenderedPageBreak/>
        <w:drawing>
          <wp:inline distT="0" distB="0" distL="0" distR="0" wp14:anchorId="79AE64C3" wp14:editId="7E440DC8">
            <wp:extent cx="5943600" cy="4509135"/>
            <wp:effectExtent l="0" t="0" r="0" b="5715"/>
            <wp:docPr id="2025901466" name="Picture 4" descr="A collage of graphs and diagr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901466" name="Picture 4" descr="A collage of graphs and diagram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509135"/>
                    </a:xfrm>
                    <a:prstGeom prst="rect">
                      <a:avLst/>
                    </a:prstGeom>
                    <a:noFill/>
                    <a:ln>
                      <a:noFill/>
                    </a:ln>
                  </pic:spPr>
                </pic:pic>
              </a:graphicData>
            </a:graphic>
          </wp:inline>
        </w:drawing>
      </w:r>
    </w:p>
    <w:p w14:paraId="3BC54BBA" w14:textId="18E2D09F" w:rsidR="00203260" w:rsidRDefault="00A31D2D" w:rsidP="00A31D2D">
      <w:pPr>
        <w:spacing w:before="240" w:line="360" w:lineRule="auto"/>
        <w:jc w:val="both"/>
        <w:rPr>
          <w:rFonts w:ascii="Times New Roman" w:hAnsi="Times New Roman" w:cs="Times New Roman"/>
          <w:sz w:val="24"/>
          <w:szCs w:val="24"/>
          <w:lang w:val="en-US"/>
        </w:rPr>
      </w:pPr>
      <w:r w:rsidRPr="00A31D2D">
        <w:rPr>
          <w:rFonts w:ascii="Times New Roman" w:hAnsi="Times New Roman" w:cs="Times New Roman"/>
          <w:b/>
          <w:bCs/>
          <w:sz w:val="24"/>
          <w:szCs w:val="24"/>
        </w:rPr>
        <w:t xml:space="preserve">Fig. A.4: </w:t>
      </w:r>
      <w:r w:rsidR="00203260" w:rsidRPr="00A31D2D">
        <w:rPr>
          <w:rFonts w:ascii="Times New Roman" w:hAnsi="Times New Roman" w:cs="Times New Roman"/>
          <w:sz w:val="24"/>
          <w:szCs w:val="24"/>
        </w:rPr>
        <w:t>Biocontrol efficacy of QST713 against tomato early blight (TEB) and nothern corn leaf blight (NLB). A&amp;C</w:t>
      </w:r>
      <w:r w:rsidR="00203260">
        <w:rPr>
          <w:rFonts w:ascii="Times New Roman" w:hAnsi="Times New Roman" w:cs="Times New Roman"/>
          <w:sz w:val="24"/>
          <w:szCs w:val="24"/>
        </w:rPr>
        <w:t>.</w:t>
      </w:r>
      <w:r w:rsidR="00203260" w:rsidRPr="00A31D2D">
        <w:rPr>
          <w:rFonts w:ascii="Times New Roman" w:hAnsi="Times New Roman" w:cs="Times New Roman"/>
          <w:sz w:val="24"/>
          <w:szCs w:val="24"/>
        </w:rPr>
        <w:t xml:space="preserve"> R</w:t>
      </w:r>
      <w:r w:rsidR="00203260" w:rsidRPr="00A31D2D">
        <w:rPr>
          <w:rFonts w:ascii="Times New Roman" w:hAnsi="Times New Roman" w:cs="Times New Roman"/>
          <w:sz w:val="24"/>
          <w:szCs w:val="24"/>
          <w:lang w:val="en-US"/>
        </w:rPr>
        <w:t xml:space="preserve">eduction in disease severity of TEB and NLB on plants treated in the roots (blue) or leaves (red) with QST713 followed by inoculation with </w:t>
      </w:r>
      <w:r w:rsidR="00203260" w:rsidRPr="00A31D2D">
        <w:rPr>
          <w:rFonts w:ascii="Times New Roman" w:hAnsi="Times New Roman" w:cs="Times New Roman"/>
          <w:i/>
          <w:iCs/>
          <w:sz w:val="24"/>
          <w:szCs w:val="24"/>
          <w:lang w:val="en-US"/>
        </w:rPr>
        <w:t xml:space="preserve">Alternaria solani </w:t>
      </w:r>
      <w:r w:rsidR="00203260" w:rsidRPr="00A31D2D">
        <w:rPr>
          <w:rFonts w:ascii="Times New Roman" w:hAnsi="Times New Roman" w:cs="Times New Roman"/>
          <w:sz w:val="24"/>
          <w:szCs w:val="24"/>
          <w:lang w:val="en-US"/>
        </w:rPr>
        <w:t xml:space="preserve">or </w:t>
      </w:r>
      <w:r w:rsidR="00203260" w:rsidRPr="00A31D2D">
        <w:rPr>
          <w:rFonts w:ascii="Times New Roman" w:hAnsi="Times New Roman" w:cs="Times New Roman"/>
          <w:i/>
          <w:iCs/>
          <w:sz w:val="24"/>
          <w:szCs w:val="24"/>
          <w:lang w:val="en-US"/>
        </w:rPr>
        <w:t>Exserohilum turcicum</w:t>
      </w:r>
      <w:r w:rsidR="00203260" w:rsidRPr="00A31D2D">
        <w:rPr>
          <w:rFonts w:ascii="Times New Roman" w:hAnsi="Times New Roman" w:cs="Times New Roman"/>
          <w:sz w:val="24"/>
          <w:szCs w:val="24"/>
          <w:lang w:val="en-US"/>
        </w:rPr>
        <w:t xml:space="preserve">, respectively, and control plants (in green) inoculated with the respective fungus, under greenhouse conditions. Each point in graphs A and C represents the mean (±SE) of disease severity from four replicates (n=4) and three replicates (n=3) for experiments </w:t>
      </w:r>
      <w:r w:rsidR="00203260">
        <w:rPr>
          <w:rFonts w:ascii="Times New Roman" w:hAnsi="Times New Roman" w:cs="Times New Roman"/>
          <w:sz w:val="24"/>
          <w:szCs w:val="24"/>
          <w:lang w:val="en-US"/>
        </w:rPr>
        <w:t>one</w:t>
      </w:r>
      <w:r w:rsidR="00203260" w:rsidRPr="00A31D2D">
        <w:rPr>
          <w:rFonts w:ascii="Times New Roman" w:hAnsi="Times New Roman" w:cs="Times New Roman"/>
          <w:sz w:val="24"/>
          <w:szCs w:val="24"/>
          <w:lang w:val="en-US"/>
        </w:rPr>
        <w:t xml:space="preserve"> and </w:t>
      </w:r>
      <w:r w:rsidR="00203260">
        <w:rPr>
          <w:rFonts w:ascii="Times New Roman" w:hAnsi="Times New Roman" w:cs="Times New Roman"/>
          <w:sz w:val="24"/>
          <w:szCs w:val="24"/>
          <w:lang w:val="en-US"/>
        </w:rPr>
        <w:t>two</w:t>
      </w:r>
      <w:r w:rsidR="00203260" w:rsidRPr="00A31D2D">
        <w:rPr>
          <w:rFonts w:ascii="Times New Roman" w:hAnsi="Times New Roman" w:cs="Times New Roman"/>
          <w:sz w:val="24"/>
          <w:szCs w:val="24"/>
          <w:lang w:val="en-US"/>
        </w:rPr>
        <w:t xml:space="preserve">, respectively. B&amp;D. Protection index (PI) of QST713 when applied to roots or leaves of tomato (B) and maize (D) plants inoculated with </w:t>
      </w:r>
      <w:r w:rsidR="00203260" w:rsidRPr="00A31D2D">
        <w:rPr>
          <w:rFonts w:ascii="Times New Roman" w:hAnsi="Times New Roman" w:cs="Times New Roman"/>
          <w:i/>
          <w:iCs/>
          <w:sz w:val="24"/>
          <w:szCs w:val="24"/>
          <w:lang w:val="en-US"/>
        </w:rPr>
        <w:t xml:space="preserve">A. solani </w:t>
      </w:r>
      <w:r w:rsidR="00203260" w:rsidRPr="00A31D2D">
        <w:rPr>
          <w:rFonts w:ascii="Times New Roman" w:hAnsi="Times New Roman" w:cs="Times New Roman"/>
          <w:sz w:val="24"/>
          <w:szCs w:val="24"/>
          <w:lang w:val="en-US"/>
        </w:rPr>
        <w:t xml:space="preserve">and </w:t>
      </w:r>
      <w:r w:rsidR="00203260" w:rsidRPr="00A31D2D">
        <w:rPr>
          <w:rFonts w:ascii="Times New Roman" w:hAnsi="Times New Roman" w:cs="Times New Roman"/>
          <w:i/>
          <w:iCs/>
          <w:sz w:val="24"/>
          <w:szCs w:val="24"/>
          <w:lang w:val="en-US"/>
        </w:rPr>
        <w:t>E. turcicum</w:t>
      </w:r>
      <w:r w:rsidR="00203260" w:rsidRPr="00A31D2D">
        <w:rPr>
          <w:rFonts w:ascii="Times New Roman" w:hAnsi="Times New Roman" w:cs="Times New Roman"/>
          <w:sz w:val="24"/>
          <w:szCs w:val="24"/>
          <w:lang w:val="en-US"/>
        </w:rPr>
        <w:t>, respectively. PIs represent means (± SE) of two independent experiments with four (red) and three (black) replicates per treatment for experiment one (n = 4) and</w:t>
      </w:r>
      <w:r w:rsidR="00203260">
        <w:rPr>
          <w:rFonts w:ascii="Times New Roman" w:hAnsi="Times New Roman" w:cs="Times New Roman"/>
          <w:sz w:val="24"/>
          <w:szCs w:val="24"/>
          <w:lang w:val="en-US"/>
        </w:rPr>
        <w:t xml:space="preserve"> </w:t>
      </w:r>
      <w:r w:rsidR="00203260" w:rsidRPr="00A31D2D">
        <w:rPr>
          <w:rFonts w:ascii="Times New Roman" w:hAnsi="Times New Roman" w:cs="Times New Roman"/>
          <w:sz w:val="24"/>
          <w:szCs w:val="24"/>
          <w:lang w:val="en-US"/>
        </w:rPr>
        <w:t xml:space="preserve">two (n = 3), respectively. Means of PI are calculated from area under progress curve (AUDPC) data, which in turn depend on disease severity scores and the time interval between successive recording points (see formula in methods). The differences between </w:t>
      </w:r>
      <w:r w:rsidR="00203260" w:rsidRPr="00A31D2D">
        <w:rPr>
          <w:rFonts w:ascii="Times New Roman" w:hAnsi="Times New Roman" w:cs="Times New Roman"/>
          <w:sz w:val="24"/>
          <w:szCs w:val="24"/>
          <w:lang w:val="en-US"/>
        </w:rPr>
        <w:lastRenderedPageBreak/>
        <w:t xml:space="preserve">PI of BDI-IS1 obtained from root and leaf treatment were analyzed using t-test method and there was no significant difference (ns) at </w:t>
      </w:r>
      <w:r w:rsidR="00203260" w:rsidRPr="00A31D2D">
        <w:rPr>
          <w:rFonts w:ascii="Times New Roman" w:hAnsi="Times New Roman" w:cs="Times New Roman"/>
          <w:i/>
          <w:iCs/>
          <w:sz w:val="24"/>
          <w:szCs w:val="24"/>
          <w:lang w:val="en-US"/>
        </w:rPr>
        <w:t>p-value</w:t>
      </w:r>
      <w:r w:rsidR="00203260" w:rsidRPr="00A31D2D">
        <w:rPr>
          <w:rFonts w:ascii="Times New Roman" w:hAnsi="Times New Roman" w:cs="Times New Roman"/>
          <w:sz w:val="24"/>
          <w:szCs w:val="24"/>
          <w:lang w:val="en-US"/>
        </w:rPr>
        <w:t xml:space="preserve"> ≤5%.</w:t>
      </w:r>
    </w:p>
    <w:p w14:paraId="4BC6F3FB" w14:textId="778875E6" w:rsidR="00111399" w:rsidRDefault="00111399" w:rsidP="00A31D2D">
      <w:pPr>
        <w:spacing w:before="240" w:line="360" w:lineRule="auto"/>
        <w:jc w:val="both"/>
        <w:rPr>
          <w:rFonts w:ascii="Times New Roman" w:hAnsi="Times New Roman" w:cs="Times New Roman"/>
          <w:b/>
          <w:bCs/>
          <w:sz w:val="24"/>
          <w:szCs w:val="24"/>
        </w:rPr>
      </w:pPr>
      <w:r>
        <w:rPr>
          <w:noProof/>
        </w:rPr>
        <w:drawing>
          <wp:inline distT="0" distB="0" distL="0" distR="0" wp14:anchorId="7AD661BC" wp14:editId="771BBD8F">
            <wp:extent cx="4863465" cy="5772785"/>
            <wp:effectExtent l="0" t="0" r="0" b="0"/>
            <wp:docPr id="1480373314" name="Picture 5" descr="A graph of different sizes and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373314" name="Picture 5" descr="A graph of different sizes and colors&#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63465" cy="5772785"/>
                    </a:xfrm>
                    <a:prstGeom prst="rect">
                      <a:avLst/>
                    </a:prstGeom>
                    <a:noFill/>
                    <a:ln>
                      <a:noFill/>
                    </a:ln>
                  </pic:spPr>
                </pic:pic>
              </a:graphicData>
            </a:graphic>
          </wp:inline>
        </w:drawing>
      </w:r>
    </w:p>
    <w:p w14:paraId="54400661" w14:textId="2C10EA11" w:rsidR="00A31D2D" w:rsidRDefault="00A31D2D" w:rsidP="00A31D2D">
      <w:pPr>
        <w:spacing w:before="240" w:line="360" w:lineRule="auto"/>
        <w:jc w:val="both"/>
        <w:rPr>
          <w:rFonts w:ascii="Times New Roman" w:hAnsi="Times New Roman" w:cs="Times New Roman"/>
          <w:sz w:val="24"/>
          <w:szCs w:val="24"/>
          <w:lang w:val="en-US"/>
        </w:rPr>
      </w:pPr>
      <w:r w:rsidRPr="00A31D2D">
        <w:rPr>
          <w:rFonts w:ascii="Times New Roman" w:hAnsi="Times New Roman" w:cs="Times New Roman"/>
          <w:b/>
          <w:bCs/>
          <w:sz w:val="24"/>
          <w:szCs w:val="24"/>
        </w:rPr>
        <w:t xml:space="preserve">Fig. A.5: </w:t>
      </w:r>
      <w:r w:rsidR="00961767" w:rsidRPr="00961767">
        <w:rPr>
          <w:rFonts w:ascii="Times New Roman" w:hAnsi="Times New Roman" w:cs="Times New Roman"/>
          <w:sz w:val="24"/>
          <w:szCs w:val="24"/>
        </w:rPr>
        <w:t>Comparison of protection provided by BDI-IS1 and QST713 against TEB and NLB.</w:t>
      </w:r>
      <w:r w:rsidR="00961767" w:rsidRPr="00EB2D12">
        <w:rPr>
          <w:rFonts w:ascii="Times New Roman" w:hAnsi="Times New Roman" w:cs="Times New Roman"/>
          <w:b/>
          <w:bCs/>
          <w:sz w:val="24"/>
          <w:szCs w:val="24"/>
        </w:rPr>
        <w:t xml:space="preserve"> </w:t>
      </w:r>
      <w:r w:rsidR="00961767" w:rsidRPr="00EB2D12">
        <w:rPr>
          <w:rFonts w:ascii="Times New Roman" w:hAnsi="Times New Roman" w:cs="Times New Roman"/>
          <w:sz w:val="24"/>
          <w:szCs w:val="24"/>
          <w:lang w:val="en-US"/>
        </w:rPr>
        <w:t xml:space="preserve">Protection index (PI) of BDI-IS1 and QST713 when applied to roots or leaves of tomato (A) and maize (B) plants inoculated with </w:t>
      </w:r>
      <w:r w:rsidR="00961767" w:rsidRPr="00EB2D12">
        <w:rPr>
          <w:rFonts w:ascii="Times New Roman" w:hAnsi="Times New Roman" w:cs="Times New Roman"/>
          <w:i/>
          <w:iCs/>
          <w:sz w:val="24"/>
          <w:szCs w:val="24"/>
          <w:lang w:val="en-US"/>
        </w:rPr>
        <w:t xml:space="preserve">A. solani </w:t>
      </w:r>
      <w:r w:rsidR="00961767" w:rsidRPr="00EB2D12">
        <w:rPr>
          <w:rFonts w:ascii="Times New Roman" w:hAnsi="Times New Roman" w:cs="Times New Roman"/>
          <w:sz w:val="24"/>
          <w:szCs w:val="24"/>
          <w:lang w:val="en-US"/>
        </w:rPr>
        <w:t xml:space="preserve">and </w:t>
      </w:r>
      <w:r w:rsidR="00961767" w:rsidRPr="00EB2D12">
        <w:rPr>
          <w:rFonts w:ascii="Times New Roman" w:hAnsi="Times New Roman" w:cs="Times New Roman"/>
          <w:i/>
          <w:iCs/>
          <w:sz w:val="24"/>
          <w:szCs w:val="24"/>
          <w:lang w:val="en-US"/>
        </w:rPr>
        <w:t>E. turcicum</w:t>
      </w:r>
      <w:r w:rsidR="00961767" w:rsidRPr="00EB2D12">
        <w:rPr>
          <w:rFonts w:ascii="Times New Roman" w:hAnsi="Times New Roman" w:cs="Times New Roman"/>
          <w:sz w:val="24"/>
          <w:szCs w:val="24"/>
          <w:lang w:val="en-US"/>
        </w:rPr>
        <w:t xml:space="preserve">, respectively. PIs represent means (± SE) of two independent experiments (n = 7) with four and three replicates per treatment for experiment one and two, respectively . Means of PI are calculated from area under progress curve (AUDPC) data, which in turn depend on disease severity scores and the time interval between </w:t>
      </w:r>
      <w:r w:rsidR="00961767" w:rsidRPr="00EB2D12">
        <w:rPr>
          <w:rFonts w:ascii="Times New Roman" w:hAnsi="Times New Roman" w:cs="Times New Roman"/>
          <w:sz w:val="24"/>
          <w:szCs w:val="24"/>
          <w:lang w:val="en-US"/>
        </w:rPr>
        <w:lastRenderedPageBreak/>
        <w:t xml:space="preserve">successive recording points (see formula in </w:t>
      </w:r>
      <w:r w:rsidR="00961767">
        <w:rPr>
          <w:rFonts w:ascii="Times New Roman" w:hAnsi="Times New Roman" w:cs="Times New Roman"/>
          <w:sz w:val="24"/>
          <w:szCs w:val="24"/>
          <w:lang w:val="en-US"/>
        </w:rPr>
        <w:t>section 2.7</w:t>
      </w:r>
      <w:r w:rsidR="00961767" w:rsidRPr="00EB2D12">
        <w:rPr>
          <w:rFonts w:ascii="Times New Roman" w:hAnsi="Times New Roman" w:cs="Times New Roman"/>
          <w:sz w:val="24"/>
          <w:szCs w:val="24"/>
          <w:lang w:val="en-US"/>
        </w:rPr>
        <w:t>). The differences between PI of BDI-IS1 and QST713 obtained from root and leaf treatment were analyzed using t-test method, ns implies that there was no significant difference, while * shows significant statistical difference at p-value ≤5%.</w:t>
      </w:r>
    </w:p>
    <w:p w14:paraId="535DA999" w14:textId="39D98B88" w:rsidR="00111399" w:rsidRPr="00961767" w:rsidRDefault="00111399" w:rsidP="00A31D2D">
      <w:pPr>
        <w:spacing w:before="240" w:line="360" w:lineRule="auto"/>
        <w:jc w:val="both"/>
        <w:rPr>
          <w:rFonts w:ascii="Times New Roman" w:hAnsi="Times New Roman" w:cs="Times New Roman"/>
          <w:sz w:val="24"/>
          <w:szCs w:val="24"/>
          <w:lang w:val="en-US"/>
        </w:rPr>
      </w:pPr>
      <w:r>
        <w:rPr>
          <w:noProof/>
        </w:rPr>
        <w:drawing>
          <wp:inline distT="0" distB="0" distL="0" distR="0" wp14:anchorId="51549BE3" wp14:editId="513B9DA6">
            <wp:extent cx="2350770" cy="1144270"/>
            <wp:effectExtent l="0" t="0" r="0" b="0"/>
            <wp:docPr id="355319663" name="Picture 6" descr="A diagram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319663" name="Picture 6" descr="A diagram of different colored line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0770" cy="1144270"/>
                    </a:xfrm>
                    <a:prstGeom prst="rect">
                      <a:avLst/>
                    </a:prstGeom>
                    <a:noFill/>
                    <a:ln>
                      <a:noFill/>
                    </a:ln>
                  </pic:spPr>
                </pic:pic>
              </a:graphicData>
            </a:graphic>
          </wp:inline>
        </w:drawing>
      </w:r>
    </w:p>
    <w:p w14:paraId="5B4A288F" w14:textId="643A74DE" w:rsidR="00702F8D" w:rsidRDefault="00702F8D" w:rsidP="00A31D2D">
      <w:pPr>
        <w:spacing w:before="240" w:line="360" w:lineRule="auto"/>
        <w:jc w:val="both"/>
        <w:rPr>
          <w:rFonts w:ascii="Times New Roman" w:hAnsi="Times New Roman" w:cs="Times New Roman"/>
          <w:sz w:val="24"/>
          <w:szCs w:val="24"/>
        </w:rPr>
      </w:pPr>
      <w:r w:rsidRPr="00702F8D">
        <w:rPr>
          <w:rFonts w:ascii="Times New Roman" w:hAnsi="Times New Roman" w:cs="Times New Roman"/>
          <w:b/>
          <w:bCs/>
          <w:sz w:val="24"/>
          <w:szCs w:val="24"/>
        </w:rPr>
        <w:t>Fig. A.6</w:t>
      </w:r>
      <w:r w:rsidRPr="00702F8D">
        <w:rPr>
          <w:rFonts w:ascii="Times New Roman" w:hAnsi="Times New Roman" w:cs="Times New Roman"/>
          <w:sz w:val="24"/>
          <w:szCs w:val="24"/>
        </w:rPr>
        <w:t xml:space="preserve">: </w:t>
      </w:r>
      <w:r w:rsidR="00961767">
        <w:rPr>
          <w:rFonts w:ascii="Times New Roman" w:hAnsi="Times New Roman" w:cs="Times New Roman"/>
          <w:sz w:val="24"/>
          <w:szCs w:val="24"/>
        </w:rPr>
        <w:t>Putative biosynthetic gene clusters for new compounds in BDI-IS1 DNA genome. Prediction was performed with AntiSMASH 7.0 in a relaxed detection strictness mode. The architecture of the genes was adapted in line with the information provided by the software.</w:t>
      </w:r>
    </w:p>
    <w:p w14:paraId="57861E01" w14:textId="332587F6" w:rsidR="00111399" w:rsidRDefault="00111399" w:rsidP="00A31D2D">
      <w:pPr>
        <w:spacing w:before="240" w:line="360" w:lineRule="auto"/>
        <w:jc w:val="both"/>
        <w:rPr>
          <w:rFonts w:ascii="Times New Roman" w:hAnsi="Times New Roman" w:cs="Times New Roman"/>
          <w:sz w:val="24"/>
          <w:szCs w:val="24"/>
          <w:lang w:val="en-US"/>
        </w:rPr>
      </w:pPr>
      <w:r>
        <w:rPr>
          <w:noProof/>
        </w:rPr>
        <w:drawing>
          <wp:inline distT="0" distB="0" distL="0" distR="0" wp14:anchorId="505B8B48" wp14:editId="173B1905">
            <wp:extent cx="5943600" cy="3587750"/>
            <wp:effectExtent l="0" t="0" r="0" b="0"/>
            <wp:docPr id="534074039" name="Picture 7" descr="A collage of different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074039" name="Picture 7" descr="A collage of different graph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587750"/>
                    </a:xfrm>
                    <a:prstGeom prst="rect">
                      <a:avLst/>
                    </a:prstGeom>
                    <a:noFill/>
                    <a:ln>
                      <a:noFill/>
                    </a:ln>
                  </pic:spPr>
                </pic:pic>
              </a:graphicData>
            </a:graphic>
          </wp:inline>
        </w:drawing>
      </w:r>
    </w:p>
    <w:p w14:paraId="58835BD0" w14:textId="77777777" w:rsidR="00961767" w:rsidRPr="00A31D2D" w:rsidRDefault="00A31D2D" w:rsidP="00961767">
      <w:pPr>
        <w:spacing w:before="240" w:line="360" w:lineRule="auto"/>
        <w:jc w:val="both"/>
        <w:rPr>
          <w:rFonts w:ascii="Times New Roman" w:hAnsi="Times New Roman" w:cs="Times New Roman"/>
          <w:b/>
          <w:bCs/>
          <w:sz w:val="24"/>
          <w:szCs w:val="24"/>
        </w:rPr>
      </w:pPr>
      <w:r w:rsidRPr="00A31D2D">
        <w:rPr>
          <w:rFonts w:ascii="Times New Roman" w:hAnsi="Times New Roman" w:cs="Times New Roman"/>
          <w:b/>
          <w:bCs/>
          <w:sz w:val="24"/>
          <w:szCs w:val="24"/>
        </w:rPr>
        <w:t xml:space="preserve">Fig. A.7: </w:t>
      </w:r>
      <w:r w:rsidR="00961767" w:rsidRPr="00A31D2D">
        <w:rPr>
          <w:rFonts w:ascii="Times New Roman" w:hAnsi="Times New Roman" w:cs="Times New Roman"/>
          <w:sz w:val="24"/>
          <w:szCs w:val="24"/>
        </w:rPr>
        <w:t>Biocontrol efficacy of BDI-IS1 and QST713 against tomato early blight (TEB) and nothern corn leaf blight (NLB).</w:t>
      </w:r>
      <w:r w:rsidR="00961767" w:rsidRPr="00A31D2D">
        <w:rPr>
          <w:rFonts w:ascii="Times New Roman" w:hAnsi="Times New Roman" w:cs="Times New Roman"/>
          <w:b/>
          <w:bCs/>
          <w:sz w:val="24"/>
          <w:szCs w:val="24"/>
        </w:rPr>
        <w:t xml:space="preserve"> </w:t>
      </w:r>
      <w:r w:rsidR="00961767" w:rsidRPr="00A31D2D">
        <w:rPr>
          <w:rFonts w:ascii="Times New Roman" w:hAnsi="Times New Roman" w:cs="Times New Roman"/>
          <w:sz w:val="24"/>
          <w:szCs w:val="24"/>
          <w:lang w:val="en-US"/>
        </w:rPr>
        <w:t>Reduction in disease severity of TEB (</w:t>
      </w:r>
      <w:r w:rsidR="00961767" w:rsidRPr="00A31D2D">
        <w:rPr>
          <w:rFonts w:ascii="Times New Roman" w:hAnsi="Times New Roman" w:cs="Times New Roman"/>
          <w:sz w:val="24"/>
          <w:szCs w:val="24"/>
        </w:rPr>
        <w:t xml:space="preserve">A&amp;C) </w:t>
      </w:r>
      <w:r w:rsidR="00961767" w:rsidRPr="00A31D2D">
        <w:rPr>
          <w:rFonts w:ascii="Times New Roman" w:hAnsi="Times New Roman" w:cs="Times New Roman"/>
          <w:sz w:val="24"/>
          <w:szCs w:val="24"/>
          <w:lang w:val="en-US"/>
        </w:rPr>
        <w:t xml:space="preserve">and NLB (B&amp;D) on plants treated in the roots (blue) or leaves (red) with BDI-IS1 (A &amp; B) or QST 713 (C&amp;D) followed </w:t>
      </w:r>
      <w:r w:rsidR="00961767" w:rsidRPr="00A31D2D">
        <w:rPr>
          <w:rFonts w:ascii="Times New Roman" w:hAnsi="Times New Roman" w:cs="Times New Roman"/>
          <w:sz w:val="24"/>
          <w:szCs w:val="24"/>
          <w:lang w:val="en-US"/>
        </w:rPr>
        <w:lastRenderedPageBreak/>
        <w:t xml:space="preserve">by inoculation with </w:t>
      </w:r>
      <w:r w:rsidR="00961767" w:rsidRPr="00A31D2D">
        <w:rPr>
          <w:rFonts w:ascii="Times New Roman" w:hAnsi="Times New Roman" w:cs="Times New Roman"/>
          <w:i/>
          <w:iCs/>
          <w:sz w:val="24"/>
          <w:szCs w:val="24"/>
          <w:lang w:val="en-US"/>
        </w:rPr>
        <w:t xml:space="preserve">A. solani </w:t>
      </w:r>
      <w:r w:rsidR="00961767" w:rsidRPr="00A31D2D">
        <w:rPr>
          <w:rFonts w:ascii="Times New Roman" w:hAnsi="Times New Roman" w:cs="Times New Roman"/>
          <w:sz w:val="24"/>
          <w:szCs w:val="24"/>
          <w:lang w:val="en-US"/>
        </w:rPr>
        <w:t xml:space="preserve">or </w:t>
      </w:r>
      <w:r w:rsidR="00961767" w:rsidRPr="00A31D2D">
        <w:rPr>
          <w:rFonts w:ascii="Times New Roman" w:hAnsi="Times New Roman" w:cs="Times New Roman"/>
          <w:i/>
          <w:iCs/>
          <w:sz w:val="24"/>
          <w:szCs w:val="24"/>
          <w:lang w:val="en-US"/>
        </w:rPr>
        <w:t>E. turcicum</w:t>
      </w:r>
      <w:r w:rsidR="00961767" w:rsidRPr="00A31D2D">
        <w:rPr>
          <w:rFonts w:ascii="Times New Roman" w:hAnsi="Times New Roman" w:cs="Times New Roman"/>
          <w:sz w:val="24"/>
          <w:szCs w:val="24"/>
          <w:lang w:val="en-US"/>
        </w:rPr>
        <w:t xml:space="preserve">, respectively, and control plants (in green) inoculated with the respective fungus under greenhouse conditions. Each time point represents the mean (±SE) of disease severity from three replicates (n=3) and four replicates (n=4) for TEB and NLB in experiments </w:t>
      </w:r>
      <w:r w:rsidR="00961767">
        <w:rPr>
          <w:rFonts w:ascii="Times New Roman" w:hAnsi="Times New Roman" w:cs="Times New Roman"/>
          <w:sz w:val="24"/>
          <w:szCs w:val="24"/>
          <w:lang w:val="en-US"/>
        </w:rPr>
        <w:t>two</w:t>
      </w:r>
      <w:r w:rsidR="00961767" w:rsidRPr="00A31D2D">
        <w:rPr>
          <w:rFonts w:ascii="Times New Roman" w:hAnsi="Times New Roman" w:cs="Times New Roman"/>
          <w:sz w:val="24"/>
          <w:szCs w:val="24"/>
          <w:lang w:val="en-US"/>
        </w:rPr>
        <w:t xml:space="preserve"> and </w:t>
      </w:r>
      <w:r w:rsidR="00961767">
        <w:rPr>
          <w:rFonts w:ascii="Times New Roman" w:hAnsi="Times New Roman" w:cs="Times New Roman"/>
          <w:sz w:val="24"/>
          <w:szCs w:val="24"/>
          <w:lang w:val="en-US"/>
        </w:rPr>
        <w:t>one</w:t>
      </w:r>
      <w:r w:rsidR="00961767" w:rsidRPr="00A31D2D">
        <w:rPr>
          <w:rFonts w:ascii="Times New Roman" w:hAnsi="Times New Roman" w:cs="Times New Roman"/>
          <w:sz w:val="24"/>
          <w:szCs w:val="24"/>
          <w:lang w:val="en-US"/>
        </w:rPr>
        <w:t xml:space="preserve">, respectively. The difference between DS was analyzed using general linear mixed models at </w:t>
      </w:r>
      <w:r w:rsidR="00961767" w:rsidRPr="00A31D2D">
        <w:rPr>
          <w:rFonts w:ascii="Times New Roman" w:hAnsi="Times New Roman" w:cs="Times New Roman"/>
          <w:i/>
          <w:iCs/>
          <w:sz w:val="24"/>
          <w:szCs w:val="24"/>
          <w:lang w:val="en-US"/>
        </w:rPr>
        <w:t>p-value</w:t>
      </w:r>
      <w:r w:rsidR="00961767" w:rsidRPr="00A31D2D">
        <w:rPr>
          <w:rFonts w:ascii="Times New Roman" w:hAnsi="Times New Roman" w:cs="Times New Roman"/>
          <w:sz w:val="24"/>
          <w:szCs w:val="24"/>
          <w:lang w:val="en-US"/>
        </w:rPr>
        <w:t xml:space="preserve"> ≤5% (Table A.</w:t>
      </w:r>
      <w:r w:rsidR="00961767">
        <w:rPr>
          <w:rFonts w:ascii="Times New Roman" w:hAnsi="Times New Roman" w:cs="Times New Roman"/>
          <w:sz w:val="24"/>
          <w:szCs w:val="24"/>
          <w:lang w:val="en-US"/>
        </w:rPr>
        <w:t>4</w:t>
      </w:r>
      <w:r w:rsidR="00961767" w:rsidRPr="00A31D2D">
        <w:rPr>
          <w:rFonts w:ascii="Times New Roman" w:hAnsi="Times New Roman" w:cs="Times New Roman"/>
          <w:sz w:val="24"/>
          <w:szCs w:val="24"/>
          <w:lang w:val="en-US"/>
        </w:rPr>
        <w:t xml:space="preserve"> &amp; A.</w:t>
      </w:r>
      <w:r w:rsidR="00961767">
        <w:rPr>
          <w:rFonts w:ascii="Times New Roman" w:hAnsi="Times New Roman" w:cs="Times New Roman"/>
          <w:sz w:val="24"/>
          <w:szCs w:val="24"/>
          <w:lang w:val="en-US"/>
        </w:rPr>
        <w:t>5</w:t>
      </w:r>
      <w:r w:rsidR="00961767" w:rsidRPr="00A31D2D">
        <w:rPr>
          <w:rFonts w:ascii="Times New Roman" w:hAnsi="Times New Roman" w:cs="Times New Roman"/>
          <w:sz w:val="24"/>
          <w:szCs w:val="24"/>
          <w:lang w:val="en-US"/>
        </w:rPr>
        <w:t>)</w:t>
      </w:r>
      <w:r w:rsidR="00961767">
        <w:rPr>
          <w:rFonts w:ascii="Times New Roman" w:hAnsi="Times New Roman" w:cs="Times New Roman"/>
          <w:sz w:val="24"/>
          <w:szCs w:val="24"/>
          <w:lang w:val="en-US"/>
        </w:rPr>
        <w:t>.</w:t>
      </w:r>
    </w:p>
    <w:p w14:paraId="103FFC5B" w14:textId="42662E54" w:rsidR="00A31D2D" w:rsidRPr="00A31D2D" w:rsidRDefault="00A31D2D" w:rsidP="00A31D2D">
      <w:pPr>
        <w:spacing w:before="240" w:line="360" w:lineRule="auto"/>
        <w:jc w:val="both"/>
        <w:rPr>
          <w:rFonts w:ascii="Times New Roman" w:hAnsi="Times New Roman" w:cs="Times New Roman"/>
          <w:b/>
          <w:bCs/>
          <w:sz w:val="24"/>
          <w:szCs w:val="24"/>
        </w:rPr>
      </w:pPr>
    </w:p>
    <w:p w14:paraId="747CAE25" w14:textId="77777777" w:rsidR="009A4F90" w:rsidRPr="00A31D2D" w:rsidRDefault="009A4F90" w:rsidP="00A31D2D">
      <w:pPr>
        <w:spacing w:before="240" w:line="360" w:lineRule="auto"/>
        <w:jc w:val="both"/>
        <w:rPr>
          <w:rFonts w:ascii="Times New Roman" w:hAnsi="Times New Roman" w:cs="Times New Roman"/>
          <w:sz w:val="28"/>
          <w:szCs w:val="28"/>
        </w:rPr>
      </w:pPr>
    </w:p>
    <w:sectPr w:rsidR="009A4F90" w:rsidRPr="00A31D2D" w:rsidSect="00AB79A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AA8"/>
    <w:rsid w:val="00111399"/>
    <w:rsid w:val="00114AA8"/>
    <w:rsid w:val="001762B5"/>
    <w:rsid w:val="00203260"/>
    <w:rsid w:val="00350BFF"/>
    <w:rsid w:val="003F09C5"/>
    <w:rsid w:val="00413CAB"/>
    <w:rsid w:val="00684BC1"/>
    <w:rsid w:val="00702F8D"/>
    <w:rsid w:val="007710AC"/>
    <w:rsid w:val="007D14C3"/>
    <w:rsid w:val="00961767"/>
    <w:rsid w:val="009A4F90"/>
    <w:rsid w:val="00A31D2D"/>
    <w:rsid w:val="00AB79AF"/>
    <w:rsid w:val="00B84CA5"/>
    <w:rsid w:val="00C34019"/>
    <w:rsid w:val="00D41618"/>
    <w:rsid w:val="00D76FB3"/>
    <w:rsid w:val="00DF3B80"/>
    <w:rsid w:val="00EB2D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A8E2E"/>
  <w15:chartTrackingRefBased/>
  <w15:docId w15:val="{765300D7-85EA-4CD4-9FBB-928578688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4AA8"/>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114AA8"/>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114AA8"/>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114AA8"/>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114AA8"/>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114AA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14AA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14AA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14AA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4AA8"/>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114AA8"/>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114AA8"/>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114AA8"/>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114AA8"/>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114A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14A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14A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14AA8"/>
    <w:rPr>
      <w:rFonts w:eastAsiaTheme="majorEastAsia" w:cstheme="majorBidi"/>
      <w:color w:val="272727" w:themeColor="text1" w:themeTint="D8"/>
    </w:rPr>
  </w:style>
  <w:style w:type="paragraph" w:styleId="Title">
    <w:name w:val="Title"/>
    <w:basedOn w:val="Normal"/>
    <w:next w:val="Normal"/>
    <w:link w:val="TitleChar"/>
    <w:uiPriority w:val="10"/>
    <w:qFormat/>
    <w:rsid w:val="00114A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4A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14AA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14A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14AA8"/>
    <w:pPr>
      <w:spacing w:before="160"/>
      <w:jc w:val="center"/>
    </w:pPr>
    <w:rPr>
      <w:i/>
      <w:iCs/>
      <w:color w:val="404040" w:themeColor="text1" w:themeTint="BF"/>
    </w:rPr>
  </w:style>
  <w:style w:type="character" w:customStyle="1" w:styleId="QuoteChar">
    <w:name w:val="Quote Char"/>
    <w:basedOn w:val="DefaultParagraphFont"/>
    <w:link w:val="Quote"/>
    <w:uiPriority w:val="29"/>
    <w:rsid w:val="00114AA8"/>
    <w:rPr>
      <w:i/>
      <w:iCs/>
      <w:color w:val="404040" w:themeColor="text1" w:themeTint="BF"/>
    </w:rPr>
  </w:style>
  <w:style w:type="paragraph" w:styleId="ListParagraph">
    <w:name w:val="List Paragraph"/>
    <w:basedOn w:val="Normal"/>
    <w:uiPriority w:val="34"/>
    <w:qFormat/>
    <w:rsid w:val="00114AA8"/>
    <w:pPr>
      <w:ind w:left="720"/>
      <w:contextualSpacing/>
    </w:pPr>
  </w:style>
  <w:style w:type="character" w:styleId="IntenseEmphasis">
    <w:name w:val="Intense Emphasis"/>
    <w:basedOn w:val="DefaultParagraphFont"/>
    <w:uiPriority w:val="21"/>
    <w:qFormat/>
    <w:rsid w:val="00114AA8"/>
    <w:rPr>
      <w:i/>
      <w:iCs/>
      <w:color w:val="2E74B5" w:themeColor="accent1" w:themeShade="BF"/>
    </w:rPr>
  </w:style>
  <w:style w:type="paragraph" w:styleId="IntenseQuote">
    <w:name w:val="Intense Quote"/>
    <w:basedOn w:val="Normal"/>
    <w:next w:val="Normal"/>
    <w:link w:val="IntenseQuoteChar"/>
    <w:uiPriority w:val="30"/>
    <w:qFormat/>
    <w:rsid w:val="00114AA8"/>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114AA8"/>
    <w:rPr>
      <w:i/>
      <w:iCs/>
      <w:color w:val="2E74B5" w:themeColor="accent1" w:themeShade="BF"/>
    </w:rPr>
  </w:style>
  <w:style w:type="character" w:styleId="IntenseReference">
    <w:name w:val="Intense Reference"/>
    <w:basedOn w:val="DefaultParagraphFont"/>
    <w:uiPriority w:val="32"/>
    <w:qFormat/>
    <w:rsid w:val="00114AA8"/>
    <w:rPr>
      <w:b/>
      <w:bCs/>
      <w:smallCaps/>
      <w:color w:val="2E74B5" w:themeColor="accent1" w:themeShade="BF"/>
      <w:spacing w:val="5"/>
    </w:rPr>
  </w:style>
  <w:style w:type="paragraph" w:styleId="NormalWeb">
    <w:name w:val="Normal (Web)"/>
    <w:basedOn w:val="Normal"/>
    <w:uiPriority w:val="99"/>
    <w:semiHidden/>
    <w:unhideWhenUsed/>
    <w:rsid w:val="00A31D2D"/>
    <w:pPr>
      <w:spacing w:before="100" w:beforeAutospacing="1" w:after="100" w:afterAutospacing="1" w:line="240" w:lineRule="auto"/>
    </w:pPr>
    <w:rPr>
      <w:rFonts w:ascii="Times New Roman" w:eastAsia="Times New Roman" w:hAnsi="Times New Roman" w:cs="Times New Roman"/>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574001">
      <w:bodyDiv w:val="1"/>
      <w:marLeft w:val="0"/>
      <w:marRight w:val="0"/>
      <w:marTop w:val="0"/>
      <w:marBottom w:val="0"/>
      <w:divBdr>
        <w:top w:val="none" w:sz="0" w:space="0" w:color="auto"/>
        <w:left w:val="none" w:sz="0" w:space="0" w:color="auto"/>
        <w:bottom w:val="none" w:sz="0" w:space="0" w:color="auto"/>
        <w:right w:val="none" w:sz="0" w:space="0" w:color="auto"/>
      </w:divBdr>
    </w:div>
    <w:div w:id="93476389">
      <w:bodyDiv w:val="1"/>
      <w:marLeft w:val="0"/>
      <w:marRight w:val="0"/>
      <w:marTop w:val="0"/>
      <w:marBottom w:val="0"/>
      <w:divBdr>
        <w:top w:val="none" w:sz="0" w:space="0" w:color="auto"/>
        <w:left w:val="none" w:sz="0" w:space="0" w:color="auto"/>
        <w:bottom w:val="none" w:sz="0" w:space="0" w:color="auto"/>
        <w:right w:val="none" w:sz="0" w:space="0" w:color="auto"/>
      </w:divBdr>
    </w:div>
    <w:div w:id="145708882">
      <w:bodyDiv w:val="1"/>
      <w:marLeft w:val="0"/>
      <w:marRight w:val="0"/>
      <w:marTop w:val="0"/>
      <w:marBottom w:val="0"/>
      <w:divBdr>
        <w:top w:val="none" w:sz="0" w:space="0" w:color="auto"/>
        <w:left w:val="none" w:sz="0" w:space="0" w:color="auto"/>
        <w:bottom w:val="none" w:sz="0" w:space="0" w:color="auto"/>
        <w:right w:val="none" w:sz="0" w:space="0" w:color="auto"/>
      </w:divBdr>
    </w:div>
    <w:div w:id="238172124">
      <w:bodyDiv w:val="1"/>
      <w:marLeft w:val="0"/>
      <w:marRight w:val="0"/>
      <w:marTop w:val="0"/>
      <w:marBottom w:val="0"/>
      <w:divBdr>
        <w:top w:val="none" w:sz="0" w:space="0" w:color="auto"/>
        <w:left w:val="none" w:sz="0" w:space="0" w:color="auto"/>
        <w:bottom w:val="none" w:sz="0" w:space="0" w:color="auto"/>
        <w:right w:val="none" w:sz="0" w:space="0" w:color="auto"/>
      </w:divBdr>
    </w:div>
    <w:div w:id="243226677">
      <w:bodyDiv w:val="1"/>
      <w:marLeft w:val="0"/>
      <w:marRight w:val="0"/>
      <w:marTop w:val="0"/>
      <w:marBottom w:val="0"/>
      <w:divBdr>
        <w:top w:val="none" w:sz="0" w:space="0" w:color="auto"/>
        <w:left w:val="none" w:sz="0" w:space="0" w:color="auto"/>
        <w:bottom w:val="none" w:sz="0" w:space="0" w:color="auto"/>
        <w:right w:val="none" w:sz="0" w:space="0" w:color="auto"/>
      </w:divBdr>
    </w:div>
    <w:div w:id="298539909">
      <w:bodyDiv w:val="1"/>
      <w:marLeft w:val="0"/>
      <w:marRight w:val="0"/>
      <w:marTop w:val="0"/>
      <w:marBottom w:val="0"/>
      <w:divBdr>
        <w:top w:val="none" w:sz="0" w:space="0" w:color="auto"/>
        <w:left w:val="none" w:sz="0" w:space="0" w:color="auto"/>
        <w:bottom w:val="none" w:sz="0" w:space="0" w:color="auto"/>
        <w:right w:val="none" w:sz="0" w:space="0" w:color="auto"/>
      </w:divBdr>
    </w:div>
    <w:div w:id="768358917">
      <w:bodyDiv w:val="1"/>
      <w:marLeft w:val="0"/>
      <w:marRight w:val="0"/>
      <w:marTop w:val="0"/>
      <w:marBottom w:val="0"/>
      <w:divBdr>
        <w:top w:val="none" w:sz="0" w:space="0" w:color="auto"/>
        <w:left w:val="none" w:sz="0" w:space="0" w:color="auto"/>
        <w:bottom w:val="none" w:sz="0" w:space="0" w:color="auto"/>
        <w:right w:val="none" w:sz="0" w:space="0" w:color="auto"/>
      </w:divBdr>
    </w:div>
    <w:div w:id="913512389">
      <w:bodyDiv w:val="1"/>
      <w:marLeft w:val="0"/>
      <w:marRight w:val="0"/>
      <w:marTop w:val="0"/>
      <w:marBottom w:val="0"/>
      <w:divBdr>
        <w:top w:val="none" w:sz="0" w:space="0" w:color="auto"/>
        <w:left w:val="none" w:sz="0" w:space="0" w:color="auto"/>
        <w:bottom w:val="none" w:sz="0" w:space="0" w:color="auto"/>
        <w:right w:val="none" w:sz="0" w:space="0" w:color="auto"/>
      </w:divBdr>
    </w:div>
    <w:div w:id="1146512353">
      <w:bodyDiv w:val="1"/>
      <w:marLeft w:val="0"/>
      <w:marRight w:val="0"/>
      <w:marTop w:val="0"/>
      <w:marBottom w:val="0"/>
      <w:divBdr>
        <w:top w:val="none" w:sz="0" w:space="0" w:color="auto"/>
        <w:left w:val="none" w:sz="0" w:space="0" w:color="auto"/>
        <w:bottom w:val="none" w:sz="0" w:space="0" w:color="auto"/>
        <w:right w:val="none" w:sz="0" w:space="0" w:color="auto"/>
      </w:divBdr>
    </w:div>
    <w:div w:id="1258252868">
      <w:bodyDiv w:val="1"/>
      <w:marLeft w:val="0"/>
      <w:marRight w:val="0"/>
      <w:marTop w:val="0"/>
      <w:marBottom w:val="0"/>
      <w:divBdr>
        <w:top w:val="none" w:sz="0" w:space="0" w:color="auto"/>
        <w:left w:val="none" w:sz="0" w:space="0" w:color="auto"/>
        <w:bottom w:val="none" w:sz="0" w:space="0" w:color="auto"/>
        <w:right w:val="none" w:sz="0" w:space="0" w:color="auto"/>
      </w:divBdr>
    </w:div>
    <w:div w:id="1382174225">
      <w:bodyDiv w:val="1"/>
      <w:marLeft w:val="0"/>
      <w:marRight w:val="0"/>
      <w:marTop w:val="0"/>
      <w:marBottom w:val="0"/>
      <w:divBdr>
        <w:top w:val="none" w:sz="0" w:space="0" w:color="auto"/>
        <w:left w:val="none" w:sz="0" w:space="0" w:color="auto"/>
        <w:bottom w:val="none" w:sz="0" w:space="0" w:color="auto"/>
        <w:right w:val="none" w:sz="0" w:space="0" w:color="auto"/>
      </w:divBdr>
    </w:div>
    <w:div w:id="1539853744">
      <w:bodyDiv w:val="1"/>
      <w:marLeft w:val="0"/>
      <w:marRight w:val="0"/>
      <w:marTop w:val="0"/>
      <w:marBottom w:val="0"/>
      <w:divBdr>
        <w:top w:val="none" w:sz="0" w:space="0" w:color="auto"/>
        <w:left w:val="none" w:sz="0" w:space="0" w:color="auto"/>
        <w:bottom w:val="none" w:sz="0" w:space="0" w:color="auto"/>
        <w:right w:val="none" w:sz="0" w:space="0" w:color="auto"/>
      </w:divBdr>
    </w:div>
    <w:div w:id="1639451160">
      <w:bodyDiv w:val="1"/>
      <w:marLeft w:val="0"/>
      <w:marRight w:val="0"/>
      <w:marTop w:val="0"/>
      <w:marBottom w:val="0"/>
      <w:divBdr>
        <w:top w:val="none" w:sz="0" w:space="0" w:color="auto"/>
        <w:left w:val="none" w:sz="0" w:space="0" w:color="auto"/>
        <w:bottom w:val="none" w:sz="0" w:space="0" w:color="auto"/>
        <w:right w:val="none" w:sz="0" w:space="0" w:color="auto"/>
      </w:divBdr>
    </w:div>
    <w:div w:id="1998458191">
      <w:bodyDiv w:val="1"/>
      <w:marLeft w:val="0"/>
      <w:marRight w:val="0"/>
      <w:marTop w:val="0"/>
      <w:marBottom w:val="0"/>
      <w:divBdr>
        <w:top w:val="none" w:sz="0" w:space="0" w:color="auto"/>
        <w:left w:val="none" w:sz="0" w:space="0" w:color="auto"/>
        <w:bottom w:val="none" w:sz="0" w:space="0" w:color="auto"/>
        <w:right w:val="none" w:sz="0" w:space="0" w:color="auto"/>
      </w:divBdr>
    </w:div>
    <w:div w:id="214469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fontTable" Target="fontTable.xml"/><Relationship Id="rId5" Type="http://schemas.openxmlformats.org/officeDocument/2006/relationships/image" Target="media/image2.tiff"/><Relationship Id="rId10" Type="http://schemas.openxmlformats.org/officeDocument/2006/relationships/image" Target="media/image7.tiff"/><Relationship Id="rId4" Type="http://schemas.openxmlformats.org/officeDocument/2006/relationships/image" Target="media/image1.tiff"/><Relationship Id="rId9"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7</Pages>
  <Words>635</Words>
  <Characters>3622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Nimbeshaho François</dc:creator>
  <cp:keywords/>
  <dc:description/>
  <cp:lastModifiedBy>Nimbeshaho François</cp:lastModifiedBy>
  <cp:revision>11</cp:revision>
  <cp:lastPrinted>2024-04-22T09:43:00Z</cp:lastPrinted>
  <dcterms:created xsi:type="dcterms:W3CDTF">2024-04-19T15:48:00Z</dcterms:created>
  <dcterms:modified xsi:type="dcterms:W3CDTF">2024-09-09T16:34:00Z</dcterms:modified>
</cp:coreProperties>
</file>