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9F8B83" w14:textId="6634F520" w:rsidR="005E09F0" w:rsidRPr="00EB19CB" w:rsidRDefault="001F29AC" w:rsidP="00516916">
      <w:pPr>
        <w:pStyle w:val="PubliManuscript"/>
        <w:spacing w:after="0" w:line="240" w:lineRule="auto"/>
        <w:ind w:firstLine="0"/>
        <w:jc w:val="center"/>
        <w:rPr>
          <w:b/>
          <w:color w:val="auto"/>
          <w:sz w:val="28"/>
          <w:szCs w:val="28"/>
        </w:rPr>
      </w:pPr>
      <w:r w:rsidRPr="00EB19CB">
        <w:rPr>
          <w:b/>
          <w:color w:val="auto"/>
          <w:sz w:val="28"/>
          <w:szCs w:val="28"/>
        </w:rPr>
        <w:t>Combining field measurements and process-based modelling</w:t>
      </w:r>
      <w:r w:rsidR="000724DD" w:rsidRPr="00EB19CB">
        <w:rPr>
          <w:b/>
          <w:color w:val="auto"/>
          <w:sz w:val="28"/>
          <w:szCs w:val="28"/>
        </w:rPr>
        <w:t xml:space="preserve"> </w:t>
      </w:r>
      <w:r w:rsidR="00A03240" w:rsidRPr="00EB19CB">
        <w:rPr>
          <w:b/>
          <w:color w:val="auto"/>
          <w:sz w:val="28"/>
          <w:szCs w:val="28"/>
        </w:rPr>
        <w:t>to analyze</w:t>
      </w:r>
      <w:r w:rsidR="000724DD" w:rsidRPr="00EB19CB">
        <w:rPr>
          <w:b/>
          <w:color w:val="auto"/>
          <w:sz w:val="28"/>
          <w:szCs w:val="28"/>
        </w:rPr>
        <w:t xml:space="preserve"> soil tillage and crop residues management impacts on crop production and carbon balance</w:t>
      </w:r>
      <w:r w:rsidR="00EE7AC4" w:rsidRPr="00EB19CB">
        <w:rPr>
          <w:b/>
          <w:color w:val="auto"/>
          <w:sz w:val="28"/>
          <w:szCs w:val="28"/>
        </w:rPr>
        <w:t xml:space="preserve"> in temperate areas</w:t>
      </w:r>
    </w:p>
    <w:p w14:paraId="6F800F46" w14:textId="77777777" w:rsidR="00516916" w:rsidRPr="00EB19CB" w:rsidRDefault="00516916" w:rsidP="00516916">
      <w:pPr>
        <w:pStyle w:val="PubliManuscript"/>
        <w:spacing w:after="0" w:line="240" w:lineRule="auto"/>
        <w:ind w:firstLine="0"/>
        <w:jc w:val="center"/>
        <w:rPr>
          <w:b/>
          <w:color w:val="auto"/>
          <w:sz w:val="28"/>
          <w:szCs w:val="28"/>
        </w:rPr>
      </w:pPr>
    </w:p>
    <w:p w14:paraId="0F83731F" w14:textId="76406C41" w:rsidR="005E09F0" w:rsidRPr="00EB19CB" w:rsidRDefault="005E09F0" w:rsidP="00DD49F6">
      <w:pPr>
        <w:jc w:val="center"/>
        <w:rPr>
          <w:color w:val="auto"/>
          <w:vertAlign w:val="superscript"/>
          <w:lang w:val="fr-BE"/>
        </w:rPr>
      </w:pPr>
      <w:r w:rsidRPr="00EB19CB">
        <w:rPr>
          <w:color w:val="auto"/>
          <w:lang w:val="fr-BE"/>
        </w:rPr>
        <w:t>Mathieu Delandmeter</w:t>
      </w:r>
      <w:r w:rsidRPr="00EB19CB">
        <w:rPr>
          <w:color w:val="auto"/>
          <w:vertAlign w:val="superscript"/>
          <w:lang w:val="fr-BE"/>
        </w:rPr>
        <w:t>1</w:t>
      </w:r>
      <w:r w:rsidR="002470AA" w:rsidRPr="00EB19CB">
        <w:rPr>
          <w:color w:val="auto"/>
          <w:vertAlign w:val="superscript"/>
          <w:lang w:val="fr-BE"/>
        </w:rPr>
        <w:t>*</w:t>
      </w:r>
      <w:r w:rsidRPr="00EB19CB">
        <w:rPr>
          <w:color w:val="auto"/>
          <w:lang w:val="fr-BE"/>
        </w:rPr>
        <w:t xml:space="preserve"> </w:t>
      </w:r>
      <w:r w:rsidR="002B0C42" w:rsidRPr="00EB19CB">
        <w:rPr>
          <w:color w:val="auto"/>
          <w:lang w:val="fr-BE"/>
        </w:rPr>
        <w:t xml:space="preserve">, </w:t>
      </w:r>
      <w:r w:rsidR="00AF09F7" w:rsidRPr="00EB19CB">
        <w:rPr>
          <w:color w:val="auto"/>
          <w:lang w:val="fr-BE"/>
        </w:rPr>
        <w:t>Gilles Colinet</w:t>
      </w:r>
      <w:r w:rsidR="0057544C" w:rsidRPr="00EB19CB">
        <w:rPr>
          <w:color w:val="auto"/>
          <w:vertAlign w:val="superscript"/>
          <w:lang w:val="fr-BE"/>
        </w:rPr>
        <w:t>2</w:t>
      </w:r>
      <w:r w:rsidR="002B0C42" w:rsidRPr="00EB19CB">
        <w:rPr>
          <w:color w:val="auto"/>
          <w:lang w:val="fr-BE"/>
        </w:rPr>
        <w:t>,</w:t>
      </w:r>
      <w:r w:rsidR="008529E4" w:rsidRPr="00EB19CB">
        <w:rPr>
          <w:color w:val="auto"/>
          <w:lang w:val="fr-BE"/>
        </w:rPr>
        <w:t xml:space="preserve"> </w:t>
      </w:r>
      <w:r w:rsidR="00C76545" w:rsidRPr="00EB19CB">
        <w:rPr>
          <w:color w:val="auto"/>
          <w:lang w:val="fr-BE"/>
        </w:rPr>
        <w:t>Jérôme Pierreux</w:t>
      </w:r>
      <w:r w:rsidR="00D558C0" w:rsidRPr="00EB19CB">
        <w:rPr>
          <w:color w:val="auto"/>
          <w:vertAlign w:val="superscript"/>
          <w:lang w:val="fr-BE"/>
        </w:rPr>
        <w:t>3</w:t>
      </w:r>
      <w:r w:rsidR="00C76545" w:rsidRPr="00EB19CB">
        <w:rPr>
          <w:color w:val="auto"/>
          <w:lang w:val="fr-BE"/>
        </w:rPr>
        <w:t xml:space="preserve">, </w:t>
      </w:r>
      <w:r w:rsidR="002B0C42" w:rsidRPr="00EB19CB">
        <w:rPr>
          <w:color w:val="auto"/>
          <w:lang w:val="fr-BE"/>
        </w:rPr>
        <w:t>Jérôme Bindelle</w:t>
      </w:r>
      <w:r w:rsidR="00D558C0" w:rsidRPr="00EB19CB">
        <w:rPr>
          <w:color w:val="auto"/>
          <w:vertAlign w:val="superscript"/>
          <w:lang w:val="fr-BE"/>
        </w:rPr>
        <w:t>4</w:t>
      </w:r>
      <w:r w:rsidR="002B0C42" w:rsidRPr="00EB19CB">
        <w:rPr>
          <w:color w:val="auto"/>
          <w:lang w:val="fr-BE"/>
        </w:rPr>
        <w:t xml:space="preserve">, </w:t>
      </w:r>
      <w:r w:rsidRPr="00EB19CB">
        <w:rPr>
          <w:color w:val="auto"/>
          <w:lang w:val="fr-BE"/>
        </w:rPr>
        <w:t>Benjamin Dumont</w:t>
      </w:r>
      <w:r w:rsidRPr="00EB19CB">
        <w:rPr>
          <w:color w:val="auto"/>
          <w:vertAlign w:val="superscript"/>
          <w:lang w:val="fr-BE"/>
        </w:rPr>
        <w:t>1</w:t>
      </w:r>
    </w:p>
    <w:p w14:paraId="1A121CBF" w14:textId="117DC816" w:rsidR="00961C05" w:rsidRPr="00EB19CB" w:rsidRDefault="00FA404F" w:rsidP="00961C05">
      <w:pPr>
        <w:jc w:val="both"/>
        <w:rPr>
          <w:color w:val="auto"/>
          <w:lang w:val="fr-BE"/>
        </w:rPr>
      </w:pPr>
      <w:r w:rsidRPr="00EB19CB">
        <w:rPr>
          <w:color w:val="auto"/>
          <w:vertAlign w:val="superscript"/>
          <w:lang w:val="fr-BE"/>
        </w:rPr>
        <w:t>1</w:t>
      </w:r>
      <w:r w:rsidRPr="00EB19CB">
        <w:rPr>
          <w:color w:val="auto"/>
          <w:lang w:val="fr-BE"/>
        </w:rPr>
        <w:t>Liege</w:t>
      </w:r>
      <w:r w:rsidR="00E557F5" w:rsidRPr="00EB19CB">
        <w:rPr>
          <w:color w:val="auto"/>
          <w:lang w:val="fr-BE"/>
        </w:rPr>
        <w:t xml:space="preserve"> </w:t>
      </w:r>
      <w:proofErr w:type="spellStart"/>
      <w:r w:rsidR="00961C05" w:rsidRPr="00EB19CB">
        <w:rPr>
          <w:color w:val="auto"/>
          <w:lang w:val="fr-BE"/>
        </w:rPr>
        <w:t>University</w:t>
      </w:r>
      <w:proofErr w:type="spellEnd"/>
      <w:r w:rsidR="00961C05" w:rsidRPr="00EB19CB">
        <w:rPr>
          <w:color w:val="auto"/>
          <w:lang w:val="fr-BE"/>
        </w:rPr>
        <w:t xml:space="preserve">, Gembloux Agro-Bio Tech, TERRA </w:t>
      </w:r>
      <w:proofErr w:type="spellStart"/>
      <w:r w:rsidR="00961C05" w:rsidRPr="00EB19CB">
        <w:rPr>
          <w:color w:val="auto"/>
          <w:lang w:val="fr-BE"/>
        </w:rPr>
        <w:t>Teaching</w:t>
      </w:r>
      <w:proofErr w:type="spellEnd"/>
      <w:r w:rsidR="00961C05" w:rsidRPr="00EB19CB">
        <w:rPr>
          <w:color w:val="auto"/>
          <w:lang w:val="fr-BE"/>
        </w:rPr>
        <w:t xml:space="preserve"> and </w:t>
      </w:r>
      <w:proofErr w:type="spellStart"/>
      <w:r w:rsidR="00961C05" w:rsidRPr="00EB19CB">
        <w:rPr>
          <w:color w:val="auto"/>
          <w:lang w:val="fr-BE"/>
        </w:rPr>
        <w:t>Research</w:t>
      </w:r>
      <w:proofErr w:type="spellEnd"/>
      <w:r w:rsidR="00961C05" w:rsidRPr="00EB19CB">
        <w:rPr>
          <w:color w:val="auto"/>
          <w:lang w:val="fr-BE"/>
        </w:rPr>
        <w:t xml:space="preserve"> Centre, Plant Sciences/Crop Science, Passage des </w:t>
      </w:r>
      <w:r w:rsidR="00961C05" w:rsidRPr="00EB19CB">
        <w:rPr>
          <w:rFonts w:asciiTheme="minorHAnsi" w:hAnsiTheme="minorHAnsi" w:cstheme="minorHAnsi"/>
          <w:color w:val="auto"/>
          <w:szCs w:val="22"/>
          <w:lang w:val="fr-BE"/>
        </w:rPr>
        <w:t>Déportés</w:t>
      </w:r>
      <w:r w:rsidR="00961C05" w:rsidRPr="00EB19CB">
        <w:rPr>
          <w:color w:val="auto"/>
          <w:lang w:val="fr-BE"/>
        </w:rPr>
        <w:t xml:space="preserve"> 2, 5030, Gembloux, </w:t>
      </w:r>
      <w:proofErr w:type="spellStart"/>
      <w:r w:rsidR="00961C05" w:rsidRPr="00EB19CB">
        <w:rPr>
          <w:color w:val="auto"/>
          <w:lang w:val="fr-BE"/>
        </w:rPr>
        <w:t>Belgium</w:t>
      </w:r>
      <w:proofErr w:type="spellEnd"/>
    </w:p>
    <w:p w14:paraId="43E57AD1" w14:textId="5FFDFEE9" w:rsidR="00961C05" w:rsidRPr="00EB19CB" w:rsidRDefault="00E557F5" w:rsidP="00961C05">
      <w:pPr>
        <w:jc w:val="both"/>
        <w:rPr>
          <w:color w:val="auto"/>
          <w:lang w:val="fr-BE"/>
        </w:rPr>
      </w:pPr>
      <w:r w:rsidRPr="00EB19CB">
        <w:rPr>
          <w:color w:val="auto"/>
          <w:vertAlign w:val="superscript"/>
          <w:lang w:val="fr-BE"/>
        </w:rPr>
        <w:t>2</w:t>
      </w:r>
      <w:r w:rsidRPr="00EB19CB">
        <w:rPr>
          <w:color w:val="auto"/>
          <w:lang w:val="fr-BE"/>
        </w:rPr>
        <w:t xml:space="preserve">Liege </w:t>
      </w:r>
      <w:proofErr w:type="spellStart"/>
      <w:r w:rsidR="00961C05" w:rsidRPr="00EB19CB">
        <w:rPr>
          <w:color w:val="auto"/>
          <w:lang w:val="fr-BE"/>
        </w:rPr>
        <w:t>University</w:t>
      </w:r>
      <w:proofErr w:type="spellEnd"/>
      <w:r w:rsidR="00961C05" w:rsidRPr="00EB19CB">
        <w:rPr>
          <w:color w:val="auto"/>
          <w:lang w:val="fr-BE"/>
        </w:rPr>
        <w:t xml:space="preserve">, Gembloux Agro-Bio Tech,  TERRA </w:t>
      </w:r>
      <w:proofErr w:type="spellStart"/>
      <w:r w:rsidR="00961C05" w:rsidRPr="00EB19CB">
        <w:rPr>
          <w:color w:val="auto"/>
          <w:lang w:val="fr-BE"/>
        </w:rPr>
        <w:t>Teaching</w:t>
      </w:r>
      <w:proofErr w:type="spellEnd"/>
      <w:r w:rsidR="00961C05" w:rsidRPr="00EB19CB">
        <w:rPr>
          <w:color w:val="auto"/>
          <w:lang w:val="fr-BE"/>
        </w:rPr>
        <w:t xml:space="preserve"> and </w:t>
      </w:r>
      <w:proofErr w:type="spellStart"/>
      <w:r w:rsidR="00961C05" w:rsidRPr="00EB19CB">
        <w:rPr>
          <w:color w:val="auto"/>
          <w:lang w:val="fr-BE"/>
        </w:rPr>
        <w:t>Research</w:t>
      </w:r>
      <w:proofErr w:type="spellEnd"/>
      <w:r w:rsidR="00961C05" w:rsidRPr="00EB19CB">
        <w:rPr>
          <w:color w:val="auto"/>
          <w:lang w:val="fr-BE"/>
        </w:rPr>
        <w:t xml:space="preserve"> Centre, EESP, Passage des </w:t>
      </w:r>
      <w:r w:rsidR="00961C05" w:rsidRPr="00EB19CB">
        <w:rPr>
          <w:rFonts w:asciiTheme="minorHAnsi" w:hAnsiTheme="minorHAnsi" w:cstheme="minorHAnsi"/>
          <w:color w:val="auto"/>
          <w:szCs w:val="22"/>
          <w:lang w:val="fr-BE"/>
        </w:rPr>
        <w:t>Déportés</w:t>
      </w:r>
      <w:r w:rsidR="00961C05" w:rsidRPr="00EB19CB">
        <w:rPr>
          <w:color w:val="auto"/>
          <w:lang w:val="fr-BE"/>
        </w:rPr>
        <w:t xml:space="preserve"> 2, 5030, Gembloux, </w:t>
      </w:r>
      <w:proofErr w:type="spellStart"/>
      <w:r w:rsidR="00961C05" w:rsidRPr="00EB19CB">
        <w:rPr>
          <w:color w:val="auto"/>
          <w:lang w:val="fr-BE"/>
        </w:rPr>
        <w:t>Belgium</w:t>
      </w:r>
      <w:proofErr w:type="spellEnd"/>
    </w:p>
    <w:p w14:paraId="3D41AA26" w14:textId="568CE332" w:rsidR="00BD6D2A" w:rsidRPr="00EB19CB" w:rsidRDefault="00BD6D2A" w:rsidP="00961C05">
      <w:pPr>
        <w:jc w:val="both"/>
        <w:rPr>
          <w:color w:val="auto"/>
          <w:vertAlign w:val="subscript"/>
          <w:lang w:val="fr-BE"/>
        </w:rPr>
      </w:pPr>
      <w:r w:rsidRPr="00EB19CB">
        <w:rPr>
          <w:color w:val="auto"/>
          <w:vertAlign w:val="superscript"/>
          <w:lang w:val="fr-BE"/>
        </w:rPr>
        <w:t>3</w:t>
      </w:r>
      <w:r w:rsidRPr="00EB19CB">
        <w:rPr>
          <w:color w:val="auto"/>
          <w:lang w:val="fr-BE"/>
        </w:rPr>
        <w:t xml:space="preserve">Liege </w:t>
      </w:r>
      <w:proofErr w:type="spellStart"/>
      <w:r w:rsidRPr="00EB19CB">
        <w:rPr>
          <w:color w:val="auto"/>
          <w:lang w:val="fr-BE"/>
        </w:rPr>
        <w:t>University</w:t>
      </w:r>
      <w:proofErr w:type="spellEnd"/>
      <w:r w:rsidRPr="00EB19CB">
        <w:rPr>
          <w:color w:val="auto"/>
          <w:lang w:val="fr-BE"/>
        </w:rPr>
        <w:t xml:space="preserve">, Gembloux Agro-Bio Tech,  </w:t>
      </w:r>
      <w:proofErr w:type="spellStart"/>
      <w:r w:rsidR="009537EB" w:rsidRPr="00EB19CB">
        <w:rPr>
          <w:color w:val="auto"/>
          <w:lang w:val="fr-BE"/>
        </w:rPr>
        <w:t>Experimental</w:t>
      </w:r>
      <w:proofErr w:type="spellEnd"/>
      <w:r w:rsidR="009537EB" w:rsidRPr="00EB19CB">
        <w:rPr>
          <w:color w:val="auto"/>
          <w:lang w:val="fr-BE"/>
        </w:rPr>
        <w:t xml:space="preserve"> </w:t>
      </w:r>
      <w:proofErr w:type="spellStart"/>
      <w:r w:rsidR="009537EB" w:rsidRPr="00EB19CB">
        <w:rPr>
          <w:color w:val="auto"/>
          <w:lang w:val="fr-BE"/>
        </w:rPr>
        <w:t>Farm</w:t>
      </w:r>
      <w:proofErr w:type="spellEnd"/>
      <w:r w:rsidRPr="00EB19CB">
        <w:rPr>
          <w:color w:val="auto"/>
          <w:lang w:val="fr-BE"/>
        </w:rPr>
        <w:t xml:space="preserve">, Passage des </w:t>
      </w:r>
      <w:r w:rsidRPr="00EB19CB">
        <w:rPr>
          <w:rFonts w:asciiTheme="minorHAnsi" w:hAnsiTheme="minorHAnsi" w:cstheme="minorHAnsi"/>
          <w:color w:val="auto"/>
          <w:szCs w:val="22"/>
          <w:lang w:val="fr-BE"/>
        </w:rPr>
        <w:t>Déportés</w:t>
      </w:r>
      <w:r w:rsidRPr="00EB19CB">
        <w:rPr>
          <w:color w:val="auto"/>
          <w:lang w:val="fr-BE"/>
        </w:rPr>
        <w:t xml:space="preserve"> 2, 5030, Gembloux, </w:t>
      </w:r>
      <w:proofErr w:type="spellStart"/>
      <w:r w:rsidRPr="00EB19CB">
        <w:rPr>
          <w:color w:val="auto"/>
          <w:lang w:val="fr-BE"/>
        </w:rPr>
        <w:t>Belgium</w:t>
      </w:r>
      <w:proofErr w:type="spellEnd"/>
    </w:p>
    <w:p w14:paraId="55A57CF1" w14:textId="21B92A34" w:rsidR="00961C05" w:rsidRPr="00EB19CB" w:rsidRDefault="00BD6D2A" w:rsidP="00961C05">
      <w:pPr>
        <w:jc w:val="both"/>
        <w:rPr>
          <w:color w:val="auto"/>
          <w:lang w:val="fr-BE"/>
        </w:rPr>
      </w:pPr>
      <w:r w:rsidRPr="00EB19CB">
        <w:rPr>
          <w:color w:val="auto"/>
          <w:vertAlign w:val="superscript"/>
          <w:lang w:val="fr-BE"/>
        </w:rPr>
        <w:t>4</w:t>
      </w:r>
      <w:r w:rsidR="00961C05" w:rsidRPr="00EB19CB">
        <w:rPr>
          <w:color w:val="auto"/>
          <w:lang w:val="fr-BE"/>
        </w:rPr>
        <w:t xml:space="preserve">Liege </w:t>
      </w:r>
      <w:proofErr w:type="spellStart"/>
      <w:r w:rsidR="00961C05" w:rsidRPr="00EB19CB">
        <w:rPr>
          <w:color w:val="auto"/>
          <w:lang w:val="fr-BE"/>
        </w:rPr>
        <w:t>University</w:t>
      </w:r>
      <w:proofErr w:type="spellEnd"/>
      <w:r w:rsidR="00961C05" w:rsidRPr="00EB19CB">
        <w:rPr>
          <w:color w:val="auto"/>
          <w:lang w:val="fr-BE"/>
        </w:rPr>
        <w:t xml:space="preserve">, Gembloux Agro-Bio Tech, TERRA </w:t>
      </w:r>
      <w:proofErr w:type="spellStart"/>
      <w:r w:rsidR="00961C05" w:rsidRPr="00EB19CB">
        <w:rPr>
          <w:color w:val="auto"/>
          <w:lang w:val="fr-BE"/>
        </w:rPr>
        <w:t>Teaching</w:t>
      </w:r>
      <w:proofErr w:type="spellEnd"/>
      <w:r w:rsidR="00961C05" w:rsidRPr="00EB19CB">
        <w:rPr>
          <w:color w:val="auto"/>
          <w:lang w:val="fr-BE"/>
        </w:rPr>
        <w:t xml:space="preserve"> and </w:t>
      </w:r>
      <w:proofErr w:type="spellStart"/>
      <w:r w:rsidR="00961C05" w:rsidRPr="00EB19CB">
        <w:rPr>
          <w:color w:val="auto"/>
          <w:lang w:val="fr-BE"/>
        </w:rPr>
        <w:t>Research</w:t>
      </w:r>
      <w:proofErr w:type="spellEnd"/>
      <w:r w:rsidR="00961C05" w:rsidRPr="00EB19CB">
        <w:rPr>
          <w:color w:val="auto"/>
          <w:lang w:val="fr-BE"/>
        </w:rPr>
        <w:t xml:space="preserve"> Centre, Animal Sciences, Passage des </w:t>
      </w:r>
      <w:r w:rsidR="00961C05" w:rsidRPr="00EB19CB">
        <w:rPr>
          <w:rFonts w:asciiTheme="minorHAnsi" w:hAnsiTheme="minorHAnsi" w:cstheme="minorHAnsi"/>
          <w:color w:val="auto"/>
          <w:szCs w:val="22"/>
          <w:lang w:val="fr-BE"/>
        </w:rPr>
        <w:t>Déportés</w:t>
      </w:r>
      <w:r w:rsidR="00961C05" w:rsidRPr="00EB19CB">
        <w:rPr>
          <w:color w:val="auto"/>
          <w:lang w:val="fr-BE"/>
        </w:rPr>
        <w:t xml:space="preserve"> 2, 5030, Gembloux, </w:t>
      </w:r>
      <w:proofErr w:type="spellStart"/>
      <w:r w:rsidR="00961C05" w:rsidRPr="00EB19CB">
        <w:rPr>
          <w:color w:val="auto"/>
          <w:lang w:val="fr-BE"/>
        </w:rPr>
        <w:t>Belgium</w:t>
      </w:r>
      <w:proofErr w:type="spellEnd"/>
    </w:p>
    <w:p w14:paraId="18742054" w14:textId="7519DC7F" w:rsidR="002A43EB" w:rsidRPr="00EB19CB" w:rsidRDefault="002A43EB" w:rsidP="002A43EB">
      <w:pPr>
        <w:pStyle w:val="PubliManuscript"/>
        <w:spacing w:after="0" w:line="240" w:lineRule="auto"/>
        <w:ind w:firstLine="0"/>
        <w:jc w:val="left"/>
        <w:rPr>
          <w:rFonts w:asciiTheme="minorHAnsi" w:hAnsiTheme="minorHAnsi" w:cstheme="minorHAnsi"/>
          <w:b/>
          <w:color w:val="auto"/>
          <w:szCs w:val="22"/>
          <w:lang w:val="fr-BE"/>
        </w:rPr>
      </w:pPr>
      <w:r w:rsidRPr="00EB19CB">
        <w:rPr>
          <w:rFonts w:asciiTheme="minorHAnsi" w:hAnsiTheme="minorHAnsi" w:cstheme="minorHAnsi"/>
          <w:color w:val="auto"/>
          <w:szCs w:val="22"/>
          <w:vertAlign w:val="superscript"/>
          <w:lang w:val="fr-BE"/>
        </w:rPr>
        <w:t>*</w:t>
      </w:r>
      <w:r w:rsidRPr="00EB19CB">
        <w:rPr>
          <w:rFonts w:asciiTheme="minorHAnsi" w:hAnsiTheme="minorHAnsi" w:cstheme="minorHAnsi"/>
          <w:color w:val="auto"/>
          <w:szCs w:val="22"/>
          <w:lang w:val="fr-BE"/>
        </w:rPr>
        <w:t xml:space="preserve">Passage des Déportés 2, 5030 Gembloux, </w:t>
      </w:r>
      <w:proofErr w:type="spellStart"/>
      <w:r w:rsidRPr="00EB19CB">
        <w:rPr>
          <w:rFonts w:asciiTheme="minorHAnsi" w:hAnsiTheme="minorHAnsi" w:cstheme="minorHAnsi"/>
          <w:color w:val="auto"/>
          <w:szCs w:val="22"/>
          <w:lang w:val="fr-BE"/>
        </w:rPr>
        <w:t>Belgium</w:t>
      </w:r>
      <w:proofErr w:type="spellEnd"/>
      <w:r w:rsidRPr="00EB19CB">
        <w:rPr>
          <w:rFonts w:asciiTheme="minorHAnsi" w:hAnsiTheme="minorHAnsi" w:cstheme="minorHAnsi"/>
          <w:color w:val="auto"/>
          <w:szCs w:val="22"/>
          <w:lang w:val="fr-BE"/>
        </w:rPr>
        <w:t xml:space="preserve"> - @ : </w:t>
      </w:r>
      <w:hyperlink r:id="rId8" w:history="1">
        <w:r w:rsidRPr="00EB19CB">
          <w:rPr>
            <w:rStyle w:val="Lienhypertexte"/>
            <w:rFonts w:asciiTheme="minorHAnsi" w:hAnsiTheme="minorHAnsi" w:cstheme="minorHAnsi"/>
            <w:color w:val="auto"/>
            <w:szCs w:val="22"/>
            <w:lang w:val="fr-BE"/>
          </w:rPr>
          <w:t>mathieu.delandmeter@uliege.be</w:t>
        </w:r>
      </w:hyperlink>
      <w:r w:rsidRPr="00EB19CB">
        <w:rPr>
          <w:rFonts w:asciiTheme="minorHAnsi" w:hAnsiTheme="minorHAnsi" w:cstheme="minorHAnsi"/>
          <w:color w:val="auto"/>
          <w:szCs w:val="22"/>
          <w:lang w:val="fr-BE"/>
        </w:rPr>
        <w:t xml:space="preserve"> </w:t>
      </w:r>
    </w:p>
    <w:p w14:paraId="08E14C02" w14:textId="77777777" w:rsidR="004925B6" w:rsidRPr="00EB19CB" w:rsidRDefault="004925B6" w:rsidP="00A2618A">
      <w:pPr>
        <w:pStyle w:val="PubliManuscript"/>
        <w:spacing w:after="0" w:line="240" w:lineRule="auto"/>
        <w:ind w:firstLine="0"/>
        <w:rPr>
          <w:color w:val="auto"/>
          <w:lang w:val="fr-BE"/>
        </w:rPr>
      </w:pPr>
    </w:p>
    <w:p w14:paraId="462D92D6" w14:textId="77777777" w:rsidR="00E679CC" w:rsidRPr="00EB19CB" w:rsidRDefault="00E679CC" w:rsidP="00A2618A">
      <w:pPr>
        <w:pStyle w:val="PubliManuscript"/>
        <w:spacing w:after="0" w:line="240" w:lineRule="auto"/>
        <w:ind w:firstLine="0"/>
        <w:rPr>
          <w:b/>
          <w:color w:val="auto"/>
          <w:sz w:val="24"/>
        </w:rPr>
      </w:pPr>
      <w:r w:rsidRPr="00EB19CB">
        <w:rPr>
          <w:b/>
          <w:color w:val="auto"/>
          <w:sz w:val="24"/>
        </w:rPr>
        <w:t xml:space="preserve">Abstract  </w:t>
      </w:r>
    </w:p>
    <w:p w14:paraId="4B27C2A2" w14:textId="1AE95859" w:rsidR="008E12F0" w:rsidRPr="00EB19CB" w:rsidRDefault="004F78B0" w:rsidP="00FC5471">
      <w:pPr>
        <w:pStyle w:val="PubliManuscript"/>
        <w:spacing w:after="0" w:line="240" w:lineRule="auto"/>
        <w:ind w:firstLine="0"/>
        <w:rPr>
          <w:color w:val="auto"/>
        </w:rPr>
      </w:pPr>
      <w:r w:rsidRPr="00EB19CB">
        <w:rPr>
          <w:color w:val="auto"/>
        </w:rPr>
        <w:t xml:space="preserve">Crop residues management is an important issue in the context of climate change. They might be kept on the field and restituted to the soil to enhance its fertility or exported for other uses such as the production of energy through </w:t>
      </w:r>
      <w:proofErr w:type="spellStart"/>
      <w:r w:rsidRPr="00EB19CB">
        <w:rPr>
          <w:color w:val="auto"/>
        </w:rPr>
        <w:t>biomethanization</w:t>
      </w:r>
      <w:proofErr w:type="spellEnd"/>
      <w:r w:rsidRPr="00EB19CB">
        <w:rPr>
          <w:color w:val="auto"/>
        </w:rPr>
        <w:t xml:space="preserve">. Furthermore, the choices regarding tillage operations  impact the potential to incorporate residues, which in turns affects soil physical (e.g. structure, water retention), biological (e.g. organic matter, microorganisms) and chemical (e.g. nutrient release through mineralization) fertility. We combined measurements from a 14-year field experiment in the Hesbaye loamy region of Belgium and its simulation with the STICS soil-crop model to investigate the impacts of soil tillage and crop residues management on crop production, soil characteristics and carbon balance. Four treatments were </w:t>
      </w:r>
      <w:r w:rsidR="000B514A" w:rsidRPr="00EB19CB">
        <w:rPr>
          <w:color w:val="auto"/>
        </w:rPr>
        <w:t>compared</w:t>
      </w:r>
      <w:r w:rsidRPr="00EB19CB">
        <w:rPr>
          <w:color w:val="auto"/>
        </w:rPr>
        <w:t>, where all combination</w:t>
      </w:r>
      <w:r w:rsidR="00A260D3" w:rsidRPr="00EB19CB">
        <w:rPr>
          <w:color w:val="auto"/>
        </w:rPr>
        <w:t>s</w:t>
      </w:r>
      <w:r w:rsidRPr="00EB19CB">
        <w:rPr>
          <w:color w:val="auto"/>
        </w:rPr>
        <w:t xml:space="preserve"> of the incorporation versus exportation of crop residues and conventional versus reduced tillage were tested. The comparison of field observations </w:t>
      </w:r>
      <w:r w:rsidR="009D322A" w:rsidRPr="00EB19CB">
        <w:rPr>
          <w:color w:val="auto"/>
        </w:rPr>
        <w:t>with</w:t>
      </w:r>
      <w:r w:rsidRPr="00EB19CB">
        <w:rPr>
          <w:color w:val="auto"/>
        </w:rPr>
        <w:t xml:space="preserve"> model simulations proved that </w:t>
      </w:r>
      <w:r w:rsidR="00095FAF" w:rsidRPr="00EB19CB">
        <w:rPr>
          <w:color w:val="auto"/>
        </w:rPr>
        <w:t xml:space="preserve">the </w:t>
      </w:r>
      <w:r w:rsidRPr="00EB19CB">
        <w:rPr>
          <w:color w:val="auto"/>
        </w:rPr>
        <w:t xml:space="preserve">STICS model is adequate to explore the impacts of such contrasted management. The combined analysis of field data and soil-crop model outputs showed that crop production was positively influenced by conventional tillage but unresponsive to crop residues fate. </w:t>
      </w:r>
      <w:r w:rsidR="009D4FF5" w:rsidRPr="00EB19CB">
        <w:rPr>
          <w:color w:val="auto"/>
        </w:rPr>
        <w:t xml:space="preserve">Reduced tillage led to a clear stratification in </w:t>
      </w:r>
      <w:r w:rsidR="00390BF3" w:rsidRPr="00EB19CB">
        <w:rPr>
          <w:color w:val="auto"/>
        </w:rPr>
        <w:t xml:space="preserve">observed </w:t>
      </w:r>
      <w:r w:rsidR="009D4FF5" w:rsidRPr="00EB19CB">
        <w:rPr>
          <w:color w:val="auto"/>
        </w:rPr>
        <w:t xml:space="preserve">SOC </w:t>
      </w:r>
      <w:r w:rsidR="000D3615" w:rsidRPr="00EB19CB">
        <w:rPr>
          <w:color w:val="auto"/>
        </w:rPr>
        <w:t xml:space="preserve">content </w:t>
      </w:r>
      <w:r w:rsidR="009D4FF5" w:rsidRPr="00EB19CB">
        <w:rPr>
          <w:color w:val="auto"/>
        </w:rPr>
        <w:t xml:space="preserve">in the topsoil (0-30 cm), </w:t>
      </w:r>
      <w:r w:rsidR="008247E7" w:rsidRPr="00EB19CB">
        <w:rPr>
          <w:color w:val="auto"/>
        </w:rPr>
        <w:t xml:space="preserve">but also </w:t>
      </w:r>
      <w:r w:rsidR="00390BF3" w:rsidRPr="00EB19CB">
        <w:rPr>
          <w:color w:val="auto"/>
        </w:rPr>
        <w:t xml:space="preserve">to an increase </w:t>
      </w:r>
      <w:r w:rsidR="00D27C0F" w:rsidRPr="00EB19CB">
        <w:rPr>
          <w:color w:val="auto"/>
        </w:rPr>
        <w:t>in</w:t>
      </w:r>
      <w:r w:rsidR="00390BF3" w:rsidRPr="00EB19CB">
        <w:rPr>
          <w:color w:val="auto"/>
        </w:rPr>
        <w:t xml:space="preserve"> simulated SOC stocks </w:t>
      </w:r>
      <w:r w:rsidR="005D65B1" w:rsidRPr="006A77C4">
        <w:rPr>
          <w:color w:val="auto"/>
        </w:rPr>
        <w:t>(</w:t>
      </w:r>
      <w:r w:rsidR="00390BF3" w:rsidRPr="006A77C4">
        <w:rPr>
          <w:color w:val="auto"/>
        </w:rPr>
        <w:t>0-26</w:t>
      </w:r>
      <w:r w:rsidR="005D65B1" w:rsidRPr="006A77C4">
        <w:rPr>
          <w:color w:val="auto"/>
        </w:rPr>
        <w:t xml:space="preserve"> cm)</w:t>
      </w:r>
      <w:r w:rsidR="00390BF3" w:rsidRPr="006A77C4">
        <w:rPr>
          <w:color w:val="auto"/>
        </w:rPr>
        <w:t>.</w:t>
      </w:r>
      <w:r w:rsidR="00590F6C" w:rsidRPr="00EB19CB">
        <w:rPr>
          <w:color w:val="auto"/>
        </w:rPr>
        <w:t xml:space="preserve"> </w:t>
      </w:r>
      <w:r w:rsidR="007F7259" w:rsidRPr="00EB19CB">
        <w:rPr>
          <w:color w:val="auto"/>
        </w:rPr>
        <w:t>This</w:t>
      </w:r>
      <w:r w:rsidR="002B086A" w:rsidRPr="00EB19CB">
        <w:rPr>
          <w:color w:val="auto"/>
        </w:rPr>
        <w:t xml:space="preserve"> SOC </w:t>
      </w:r>
      <w:r w:rsidR="007F7259" w:rsidRPr="00EB19CB">
        <w:rPr>
          <w:color w:val="auto"/>
        </w:rPr>
        <w:t xml:space="preserve">gain </w:t>
      </w:r>
      <w:r w:rsidR="002B086A" w:rsidRPr="00EB19CB">
        <w:rPr>
          <w:color w:val="auto"/>
        </w:rPr>
        <w:t>led to greater water retention</w:t>
      </w:r>
      <w:r w:rsidR="00BE1CCB" w:rsidRPr="00EB19CB">
        <w:rPr>
          <w:color w:val="auto"/>
        </w:rPr>
        <w:t xml:space="preserve"> under reduced tillage</w:t>
      </w:r>
      <w:r w:rsidR="002B086A" w:rsidRPr="00EB19CB">
        <w:rPr>
          <w:color w:val="auto"/>
        </w:rPr>
        <w:t xml:space="preserve">. </w:t>
      </w:r>
      <w:r w:rsidR="00620E86" w:rsidRPr="00EB19CB">
        <w:rPr>
          <w:color w:val="auto"/>
        </w:rPr>
        <w:t>Moreover, i</w:t>
      </w:r>
      <w:r w:rsidR="00590F6C" w:rsidRPr="00EB19CB">
        <w:rPr>
          <w:color w:val="auto"/>
        </w:rPr>
        <w:t xml:space="preserve">n both tillage treatments, incorporating residues increased soil organic carbon despite the associated </w:t>
      </w:r>
      <w:r w:rsidR="00C92E25" w:rsidRPr="00EB19CB">
        <w:rPr>
          <w:color w:val="auto"/>
        </w:rPr>
        <w:t>augmentation</w:t>
      </w:r>
      <w:r w:rsidR="00590F6C" w:rsidRPr="00EB19CB">
        <w:rPr>
          <w:color w:val="auto"/>
        </w:rPr>
        <w:t xml:space="preserve"> in soil heterotrophic respiration.</w:t>
      </w:r>
      <w:r w:rsidR="00E4068F" w:rsidRPr="00EB19CB">
        <w:rPr>
          <w:color w:val="auto"/>
        </w:rPr>
        <w:t xml:space="preserve"> </w:t>
      </w:r>
      <w:r w:rsidR="001F0E7F" w:rsidRPr="00EB19CB">
        <w:rPr>
          <w:color w:val="auto"/>
        </w:rPr>
        <w:t xml:space="preserve">Finally, the importance of environmental conditions in carbon balance suggests that crop modelling might be very useful to explore the impacts of soil tillage and crop residues management in specific </w:t>
      </w:r>
      <w:proofErr w:type="spellStart"/>
      <w:r w:rsidR="001F0E7F" w:rsidRPr="00EB19CB">
        <w:rPr>
          <w:color w:val="auto"/>
        </w:rPr>
        <w:t>agro</w:t>
      </w:r>
      <w:proofErr w:type="spellEnd"/>
      <w:r w:rsidR="001F0E7F" w:rsidRPr="00EB19CB">
        <w:rPr>
          <w:color w:val="auto"/>
        </w:rPr>
        <w:t>-pedoclimatic contexts, especially when facing climate change.</w:t>
      </w:r>
    </w:p>
    <w:p w14:paraId="11DF6B11" w14:textId="30ED94C0" w:rsidR="008E12F0" w:rsidRPr="00EB19CB" w:rsidRDefault="00EE6168" w:rsidP="00054000">
      <w:pPr>
        <w:pStyle w:val="PubliManuscript"/>
        <w:spacing w:after="0" w:line="240" w:lineRule="auto"/>
        <w:ind w:firstLine="0"/>
        <w:rPr>
          <w:color w:val="auto"/>
        </w:rPr>
      </w:pPr>
      <w:r w:rsidRPr="00EB19CB">
        <w:rPr>
          <w:b/>
          <w:bCs/>
          <w:color w:val="auto"/>
        </w:rPr>
        <w:t>Keywords</w:t>
      </w:r>
      <w:r w:rsidRPr="00EB19CB">
        <w:rPr>
          <w:color w:val="auto"/>
        </w:rPr>
        <w:t xml:space="preserve"> Tillage; </w:t>
      </w:r>
      <w:r w:rsidR="00FB11E3" w:rsidRPr="00EB19CB">
        <w:rPr>
          <w:color w:val="auto"/>
        </w:rPr>
        <w:t>Crop r</w:t>
      </w:r>
      <w:r w:rsidRPr="00EB19CB">
        <w:rPr>
          <w:color w:val="auto"/>
        </w:rPr>
        <w:t xml:space="preserve">esidue; Soil organic carbon; </w:t>
      </w:r>
      <w:r w:rsidR="009D4435" w:rsidRPr="00EB19CB">
        <w:rPr>
          <w:color w:val="auto"/>
        </w:rPr>
        <w:t xml:space="preserve">Reduced tillage; </w:t>
      </w:r>
      <w:r w:rsidRPr="00EB19CB">
        <w:rPr>
          <w:color w:val="auto"/>
        </w:rPr>
        <w:t>Carbon balance;</w:t>
      </w:r>
      <w:r w:rsidR="00022FDE" w:rsidRPr="00EB19CB">
        <w:rPr>
          <w:color w:val="auto"/>
        </w:rPr>
        <w:t xml:space="preserve"> Crop model;</w:t>
      </w:r>
      <w:r w:rsidRPr="00EB19CB">
        <w:rPr>
          <w:color w:val="auto"/>
        </w:rPr>
        <w:t xml:space="preserve"> Crop production</w:t>
      </w:r>
      <w:r w:rsidR="008E12F0" w:rsidRPr="00EB19CB">
        <w:rPr>
          <w:color w:val="auto"/>
          <w:sz w:val="28"/>
          <w:szCs w:val="28"/>
          <w:u w:val="single"/>
        </w:rPr>
        <w:br w:type="page"/>
      </w:r>
    </w:p>
    <w:p w14:paraId="57107118" w14:textId="28B0B0E2" w:rsidR="008D4204" w:rsidRPr="00EB19CB" w:rsidRDefault="00E679CC" w:rsidP="0065166D">
      <w:pPr>
        <w:pStyle w:val="Publi1"/>
        <w:spacing w:line="240" w:lineRule="auto"/>
      </w:pPr>
      <w:r w:rsidRPr="00EB19CB">
        <w:lastRenderedPageBreak/>
        <w:t>Introduction</w:t>
      </w:r>
    </w:p>
    <w:p w14:paraId="0781DFA7" w14:textId="2033E7CD" w:rsidR="001259BA" w:rsidRPr="00EB19CB" w:rsidRDefault="00B10423" w:rsidP="00336963">
      <w:pPr>
        <w:pStyle w:val="PubliManuscript"/>
        <w:rPr>
          <w:color w:val="auto"/>
        </w:rPr>
      </w:pPr>
      <w:r w:rsidRPr="00EB19CB">
        <w:rPr>
          <w:color w:val="auto"/>
        </w:rPr>
        <w:t xml:space="preserve">Soils are known </w:t>
      </w:r>
      <w:r w:rsidR="00336963" w:rsidRPr="00EB19CB">
        <w:rPr>
          <w:color w:val="auto"/>
        </w:rPr>
        <w:t xml:space="preserve">to store more than twice as much carbon as is contained in the vegetation or the atmosphere (Bellamy et al., 2005). </w:t>
      </w:r>
      <w:r w:rsidR="00E60732" w:rsidRPr="00EB19CB">
        <w:rPr>
          <w:color w:val="auto"/>
        </w:rPr>
        <w:t xml:space="preserve">Increasing soil organic carbon (SOC) is seen as a challenging but promising </w:t>
      </w:r>
      <w:r w:rsidR="007B0396" w:rsidRPr="00EB19CB">
        <w:rPr>
          <w:color w:val="auto"/>
        </w:rPr>
        <w:t>way</w:t>
      </w:r>
      <w:r w:rsidR="00E60732" w:rsidRPr="00EB19CB">
        <w:rPr>
          <w:color w:val="auto"/>
        </w:rPr>
        <w:t xml:space="preserve"> to mitigate the increase in atmospheric CO</w:t>
      </w:r>
      <w:r w:rsidR="00E60732" w:rsidRPr="00EB19CB">
        <w:rPr>
          <w:color w:val="auto"/>
          <w:vertAlign w:val="subscript"/>
        </w:rPr>
        <w:t xml:space="preserve">2 </w:t>
      </w:r>
      <w:r w:rsidR="00E60732" w:rsidRPr="00EB19CB">
        <w:rPr>
          <w:color w:val="auto"/>
        </w:rPr>
        <w:t xml:space="preserve">concentration and thus </w:t>
      </w:r>
      <w:r w:rsidR="00123874" w:rsidRPr="00EB19CB">
        <w:rPr>
          <w:color w:val="auto"/>
        </w:rPr>
        <w:t xml:space="preserve">attenuate </w:t>
      </w:r>
      <w:r w:rsidR="00E60732" w:rsidRPr="00EB19CB">
        <w:rPr>
          <w:color w:val="auto"/>
        </w:rPr>
        <w:t xml:space="preserve">climate change (Martin et al., 2021). </w:t>
      </w:r>
      <w:r w:rsidRPr="00EB19CB">
        <w:rPr>
          <w:color w:val="auto"/>
        </w:rPr>
        <w:t xml:space="preserve">However, </w:t>
      </w:r>
      <w:r w:rsidR="00E60732" w:rsidRPr="00EB19CB">
        <w:rPr>
          <w:color w:val="auto"/>
        </w:rPr>
        <w:t>soils</w:t>
      </w:r>
      <w:r w:rsidRPr="00EB19CB">
        <w:rPr>
          <w:color w:val="auto"/>
        </w:rPr>
        <w:t xml:space="preserve"> </w:t>
      </w:r>
      <w:r w:rsidR="00336963" w:rsidRPr="00EB19CB">
        <w:rPr>
          <w:color w:val="auto"/>
        </w:rPr>
        <w:t>emit through autotrophic and heterotrophic respiration 10 times more CO</w:t>
      </w:r>
      <w:r w:rsidR="00336963" w:rsidRPr="00EB19CB">
        <w:rPr>
          <w:color w:val="auto"/>
          <w:vertAlign w:val="subscript"/>
        </w:rPr>
        <w:t xml:space="preserve">2 </w:t>
      </w:r>
      <w:r w:rsidR="00336963" w:rsidRPr="00EB19CB">
        <w:rPr>
          <w:color w:val="auto"/>
        </w:rPr>
        <w:t>into the atmosphere than human activities (Basile-</w:t>
      </w:r>
      <w:proofErr w:type="spellStart"/>
      <w:r w:rsidR="00336963" w:rsidRPr="00EB19CB">
        <w:rPr>
          <w:color w:val="auto"/>
        </w:rPr>
        <w:t>Doelsch</w:t>
      </w:r>
      <w:proofErr w:type="spellEnd"/>
      <w:r w:rsidR="00336963" w:rsidRPr="00EB19CB">
        <w:rPr>
          <w:color w:val="auto"/>
        </w:rPr>
        <w:t xml:space="preserve"> et al., 2020).</w:t>
      </w:r>
      <w:r w:rsidR="00994B33" w:rsidRPr="00EB19CB">
        <w:rPr>
          <w:color w:val="auto"/>
        </w:rPr>
        <w:t xml:space="preserve"> </w:t>
      </w:r>
      <w:r w:rsidR="0057664F" w:rsidRPr="00EB19CB">
        <w:rPr>
          <w:color w:val="auto"/>
        </w:rPr>
        <w:t xml:space="preserve">Moreover, records indicate that global soil respiration increased between 1989 and 2008 </w:t>
      </w:r>
      <w:r w:rsidR="008D0A45" w:rsidRPr="00EB19CB">
        <w:rPr>
          <w:color w:val="auto"/>
        </w:rPr>
        <w:t>with a global Q</w:t>
      </w:r>
      <w:r w:rsidR="008D0A45" w:rsidRPr="00EB19CB">
        <w:rPr>
          <w:color w:val="auto"/>
          <w:vertAlign w:val="subscript"/>
        </w:rPr>
        <w:t xml:space="preserve">10 </w:t>
      </w:r>
      <w:r w:rsidR="008D0A45" w:rsidRPr="00EB19CB">
        <w:rPr>
          <w:color w:val="auto"/>
        </w:rPr>
        <w:t>response to air temperature of 1.5</w:t>
      </w:r>
      <w:r w:rsidR="002A1EF2" w:rsidRPr="00EB19CB">
        <w:rPr>
          <w:color w:val="auto"/>
        </w:rPr>
        <w:t xml:space="preserve"> (Bond-Lamberty and Thomson, 2010)</w:t>
      </w:r>
      <w:r w:rsidR="0057664F" w:rsidRPr="00EB19CB">
        <w:rPr>
          <w:color w:val="auto"/>
        </w:rPr>
        <w:t>.</w:t>
      </w:r>
      <w:r w:rsidR="001259BA" w:rsidRPr="00EB19CB">
        <w:rPr>
          <w:color w:val="auto"/>
        </w:rPr>
        <w:t xml:space="preserve"> </w:t>
      </w:r>
      <w:r w:rsidR="00AB0D93" w:rsidRPr="00EB19CB">
        <w:rPr>
          <w:color w:val="auto"/>
        </w:rPr>
        <w:t>SOC is also the most often reported indicator from long-term studies of soil quality and agronomic sustainability</w:t>
      </w:r>
      <w:r w:rsidR="00CB0BE2" w:rsidRPr="00EB19CB">
        <w:rPr>
          <w:color w:val="auto"/>
        </w:rPr>
        <w:t>, b</w:t>
      </w:r>
      <w:r w:rsidR="00166256" w:rsidRPr="00EB19CB">
        <w:rPr>
          <w:color w:val="auto"/>
        </w:rPr>
        <w:t xml:space="preserve">ecause of its additional impact on other physical, chemical and biological indicators, </w:t>
      </w:r>
      <w:r w:rsidR="00CE0349" w:rsidRPr="00EB19CB">
        <w:rPr>
          <w:color w:val="auto"/>
        </w:rPr>
        <w:t>including</w:t>
      </w:r>
      <w:r w:rsidR="00B26511" w:rsidRPr="00EB19CB">
        <w:rPr>
          <w:color w:val="auto"/>
        </w:rPr>
        <w:t xml:space="preserve"> soil quality, water filtration, erosion control and nutrient cycling (</w:t>
      </w:r>
      <w:r w:rsidR="005F38D2" w:rsidRPr="00EB19CB">
        <w:rPr>
          <w:color w:val="auto"/>
        </w:rPr>
        <w:t>Basso et al., 2006</w:t>
      </w:r>
      <w:r w:rsidR="00E87F67" w:rsidRPr="00EB19CB">
        <w:rPr>
          <w:color w:val="auto"/>
        </w:rPr>
        <w:t>; Fujisaki et al., 2018</w:t>
      </w:r>
      <w:r w:rsidR="005F38D2" w:rsidRPr="00EB19CB">
        <w:rPr>
          <w:color w:val="auto"/>
        </w:rPr>
        <w:t>).</w:t>
      </w:r>
    </w:p>
    <w:p w14:paraId="147B51D2" w14:textId="7F10C81A" w:rsidR="00017164" w:rsidRPr="00EB19CB" w:rsidRDefault="006F7C5F" w:rsidP="00BD75DB">
      <w:pPr>
        <w:pStyle w:val="PubliManuscript"/>
        <w:rPr>
          <w:color w:val="auto"/>
        </w:rPr>
      </w:pPr>
      <w:r w:rsidRPr="00EB19CB">
        <w:rPr>
          <w:color w:val="auto"/>
        </w:rPr>
        <w:t xml:space="preserve">Tillage </w:t>
      </w:r>
      <w:r w:rsidR="00555E60" w:rsidRPr="00EB19CB">
        <w:rPr>
          <w:color w:val="auto"/>
        </w:rPr>
        <w:t>has</w:t>
      </w:r>
      <w:r w:rsidRPr="00EB19CB">
        <w:rPr>
          <w:color w:val="auto"/>
        </w:rPr>
        <w:t xml:space="preserve"> important impacts on soil-crop</w:t>
      </w:r>
      <w:r w:rsidR="002B32CD" w:rsidRPr="00EB19CB">
        <w:rPr>
          <w:color w:val="auto"/>
        </w:rPr>
        <w:t>-atmosphere</w:t>
      </w:r>
      <w:r w:rsidRPr="00EB19CB">
        <w:rPr>
          <w:color w:val="auto"/>
        </w:rPr>
        <w:t xml:space="preserve"> carbon cycles. </w:t>
      </w:r>
      <w:r w:rsidR="00A319E6" w:rsidRPr="00EB19CB">
        <w:rPr>
          <w:color w:val="auto"/>
        </w:rPr>
        <w:t xml:space="preserve">Soil tillage </w:t>
      </w:r>
      <w:r w:rsidR="000463AF" w:rsidRPr="00EB19CB">
        <w:rPr>
          <w:color w:val="auto"/>
        </w:rPr>
        <w:t>is</w:t>
      </w:r>
      <w:r w:rsidR="00A319E6" w:rsidRPr="00EB19CB">
        <w:rPr>
          <w:color w:val="auto"/>
        </w:rPr>
        <w:t xml:space="preserve"> </w:t>
      </w:r>
      <w:r w:rsidR="001015ED" w:rsidRPr="00EB19CB">
        <w:rPr>
          <w:color w:val="auto"/>
        </w:rPr>
        <w:t xml:space="preserve">sometimes </w:t>
      </w:r>
      <w:r w:rsidR="00A319E6" w:rsidRPr="00EB19CB">
        <w:rPr>
          <w:color w:val="auto"/>
        </w:rPr>
        <w:t>reported as a significant</w:t>
      </w:r>
      <w:r w:rsidR="00C758F4" w:rsidRPr="00EB19CB">
        <w:rPr>
          <w:color w:val="auto"/>
        </w:rPr>
        <w:t xml:space="preserve"> historical</w:t>
      </w:r>
      <w:r w:rsidR="00A319E6" w:rsidRPr="00EB19CB">
        <w:rPr>
          <w:color w:val="auto"/>
        </w:rPr>
        <w:t xml:space="preserve"> </w:t>
      </w:r>
      <w:r w:rsidR="00464797" w:rsidRPr="00EB19CB">
        <w:rPr>
          <w:color w:val="auto"/>
        </w:rPr>
        <w:t xml:space="preserve">cause of SOC </w:t>
      </w:r>
      <w:r w:rsidR="0020329C" w:rsidRPr="00EB19CB">
        <w:rPr>
          <w:color w:val="auto"/>
        </w:rPr>
        <w:t>losses</w:t>
      </w:r>
      <w:r w:rsidR="00464797" w:rsidRPr="00EB19CB">
        <w:rPr>
          <w:color w:val="auto"/>
        </w:rPr>
        <w:t xml:space="preserve"> and a </w:t>
      </w:r>
      <w:r w:rsidR="00A319E6" w:rsidRPr="00EB19CB">
        <w:rPr>
          <w:color w:val="auto"/>
        </w:rPr>
        <w:t>driver of the increase in atmospheric CO</w:t>
      </w:r>
      <w:r w:rsidR="00A319E6" w:rsidRPr="00EB19CB">
        <w:rPr>
          <w:color w:val="auto"/>
          <w:vertAlign w:val="subscript"/>
        </w:rPr>
        <w:t>2</w:t>
      </w:r>
      <w:r w:rsidR="00A319E6" w:rsidRPr="00EB19CB">
        <w:rPr>
          <w:color w:val="auto"/>
        </w:rPr>
        <w:t xml:space="preserve"> in the </w:t>
      </w:r>
      <w:r w:rsidR="00BD7A13" w:rsidRPr="00EB19CB">
        <w:rPr>
          <w:color w:val="auto"/>
        </w:rPr>
        <w:t>p</w:t>
      </w:r>
      <w:r w:rsidR="00A319E6" w:rsidRPr="00EB19CB">
        <w:rPr>
          <w:color w:val="auto"/>
        </w:rPr>
        <w:t>ast decades (Lal, 1997</w:t>
      </w:r>
      <w:r w:rsidR="00143D1E" w:rsidRPr="00EB19CB">
        <w:rPr>
          <w:color w:val="auto"/>
        </w:rPr>
        <w:t>; Lal, 2004</w:t>
      </w:r>
      <w:r w:rsidR="00A319E6" w:rsidRPr="00EB19CB">
        <w:rPr>
          <w:color w:val="auto"/>
        </w:rPr>
        <w:t>).</w:t>
      </w:r>
      <w:r w:rsidR="00A679E3" w:rsidRPr="00EB19CB">
        <w:rPr>
          <w:color w:val="auto"/>
        </w:rPr>
        <w:t xml:space="preserve"> </w:t>
      </w:r>
      <w:r w:rsidR="008D36A8" w:rsidRPr="00EB19CB">
        <w:rPr>
          <w:color w:val="auto"/>
        </w:rPr>
        <w:t>Yet its</w:t>
      </w:r>
      <w:r w:rsidR="00A679E3" w:rsidRPr="00EB19CB">
        <w:rPr>
          <w:color w:val="auto"/>
        </w:rPr>
        <w:t xml:space="preserve"> precise impact on </w:t>
      </w:r>
      <w:r w:rsidR="008D36A8" w:rsidRPr="00EB19CB">
        <w:rPr>
          <w:color w:val="auto"/>
        </w:rPr>
        <w:t>SOC is still unclear</w:t>
      </w:r>
      <w:r w:rsidR="00B77BE9" w:rsidRPr="00EB19CB">
        <w:rPr>
          <w:color w:val="auto"/>
        </w:rPr>
        <w:t xml:space="preserve"> </w:t>
      </w:r>
      <w:r w:rsidR="009B4527" w:rsidRPr="00EB19CB">
        <w:rPr>
          <w:color w:val="auto"/>
        </w:rPr>
        <w:t>as it</w:t>
      </w:r>
      <w:r w:rsidR="00B77BE9" w:rsidRPr="00EB19CB">
        <w:rPr>
          <w:color w:val="auto"/>
        </w:rPr>
        <w:t xml:space="preserve"> depends on climate and soil characteristics (Luo et al., 2010; </w:t>
      </w:r>
      <w:proofErr w:type="spellStart"/>
      <w:r w:rsidR="00B77BE9" w:rsidRPr="00EB19CB">
        <w:rPr>
          <w:color w:val="auto"/>
        </w:rPr>
        <w:t>Powlson</w:t>
      </w:r>
      <w:proofErr w:type="spellEnd"/>
      <w:r w:rsidR="00B77BE9" w:rsidRPr="00EB19CB">
        <w:rPr>
          <w:color w:val="auto"/>
        </w:rPr>
        <w:t xml:space="preserve"> et al., 2014; Meurer et al., 2018; Ogle et al., 2019; Mary et al., 2020; Sun et al., 2020). </w:t>
      </w:r>
      <w:r w:rsidR="00FB4678" w:rsidRPr="00EB19CB">
        <w:rPr>
          <w:color w:val="auto"/>
        </w:rPr>
        <w:t>It is also widely reported that</w:t>
      </w:r>
      <w:r w:rsidR="00C81218" w:rsidRPr="00EB19CB">
        <w:rPr>
          <w:color w:val="auto"/>
        </w:rPr>
        <w:t xml:space="preserve"> differences in C inputs are more important than differences in tillage systems in determining changes in SOC stocks</w:t>
      </w:r>
      <w:r w:rsidR="00FB4678" w:rsidRPr="00EB19CB">
        <w:rPr>
          <w:color w:val="auto"/>
        </w:rPr>
        <w:t xml:space="preserve"> (</w:t>
      </w:r>
      <w:r w:rsidR="00E16606" w:rsidRPr="00EB19CB">
        <w:rPr>
          <w:color w:val="auto"/>
        </w:rPr>
        <w:t xml:space="preserve">Virto et al., 2012; </w:t>
      </w:r>
      <w:r w:rsidR="006046D1" w:rsidRPr="00EB19CB">
        <w:rPr>
          <w:color w:val="auto"/>
        </w:rPr>
        <w:t>Martin et al., 2021</w:t>
      </w:r>
      <w:r w:rsidR="00FB4678" w:rsidRPr="00EB19CB">
        <w:rPr>
          <w:color w:val="auto"/>
        </w:rPr>
        <w:t>). The fate of crop residues, that might be left on the field and incorporated into the soil</w:t>
      </w:r>
      <w:r w:rsidR="00555E60" w:rsidRPr="00EB19CB">
        <w:rPr>
          <w:color w:val="auto"/>
        </w:rPr>
        <w:t xml:space="preserve"> </w:t>
      </w:r>
      <w:r w:rsidR="00FB4678" w:rsidRPr="00EB19CB">
        <w:rPr>
          <w:color w:val="auto"/>
        </w:rPr>
        <w:t>with conventional or reduced tillage, or which can be exported e.g. for animal fodder or bioenergy production</w:t>
      </w:r>
      <w:r w:rsidR="000965E8" w:rsidRPr="00EB19CB">
        <w:rPr>
          <w:color w:val="auto"/>
        </w:rPr>
        <w:t xml:space="preserve">, is therefore </w:t>
      </w:r>
      <w:r w:rsidR="003B2150" w:rsidRPr="00EB19CB">
        <w:rPr>
          <w:color w:val="auto"/>
        </w:rPr>
        <w:t>critical</w:t>
      </w:r>
      <w:r w:rsidR="000965E8" w:rsidRPr="00EB19CB">
        <w:rPr>
          <w:color w:val="auto"/>
        </w:rPr>
        <w:t>.</w:t>
      </w:r>
      <w:r w:rsidR="0079113A" w:rsidRPr="00EB19CB">
        <w:rPr>
          <w:color w:val="auto"/>
        </w:rPr>
        <w:t xml:space="preserve"> But its impact on soil heterotrophic respiration is not clear</w:t>
      </w:r>
      <w:r w:rsidR="001307B5" w:rsidRPr="00EB19CB">
        <w:rPr>
          <w:color w:val="auto"/>
        </w:rPr>
        <w:t>, with driving variables</w:t>
      </w:r>
      <w:r w:rsidR="0079113A" w:rsidRPr="00EB19CB">
        <w:rPr>
          <w:color w:val="auto"/>
        </w:rPr>
        <w:t xml:space="preserve"> </w:t>
      </w:r>
      <w:r w:rsidR="001307B5" w:rsidRPr="00EB19CB">
        <w:rPr>
          <w:color w:val="auto"/>
        </w:rPr>
        <w:t>subject to high variability in both space and time</w:t>
      </w:r>
      <w:r w:rsidR="001C327C" w:rsidRPr="00EB19CB">
        <w:rPr>
          <w:color w:val="auto"/>
        </w:rPr>
        <w:t xml:space="preserve"> (Buysse et al., 2013</w:t>
      </w:r>
      <w:r w:rsidR="00BD75DB" w:rsidRPr="00EB19CB">
        <w:rPr>
          <w:color w:val="auto"/>
        </w:rPr>
        <w:t>).</w:t>
      </w:r>
    </w:p>
    <w:p w14:paraId="4CAA7CE4" w14:textId="48CFA8ED" w:rsidR="00E325D4" w:rsidRPr="00EB19CB" w:rsidRDefault="007770D5" w:rsidP="00E325D4">
      <w:pPr>
        <w:pStyle w:val="PubliManuscript"/>
        <w:rPr>
          <w:color w:val="auto"/>
        </w:rPr>
      </w:pPr>
      <w:r w:rsidRPr="00EB19CB">
        <w:rPr>
          <w:color w:val="auto"/>
        </w:rPr>
        <w:t xml:space="preserve">Davis et al. (2010), investigating the variations due to tillage practices in Net Ecosystem Exchange with eddy covariance towers, </w:t>
      </w:r>
      <w:r w:rsidR="001D6435" w:rsidRPr="00EB19CB">
        <w:rPr>
          <w:color w:val="auto"/>
        </w:rPr>
        <w:t>showed</w:t>
      </w:r>
      <w:r w:rsidRPr="00EB19CB">
        <w:rPr>
          <w:color w:val="auto"/>
        </w:rPr>
        <w:t xml:space="preserve"> that spatial variation</w:t>
      </w:r>
      <w:r w:rsidR="0070402F" w:rsidRPr="00EB19CB">
        <w:rPr>
          <w:color w:val="auto"/>
        </w:rPr>
        <w:t xml:space="preserve"> was greater than treatment effects and that large number</w:t>
      </w:r>
      <w:r w:rsidR="00850BE8" w:rsidRPr="00EB19CB">
        <w:rPr>
          <w:color w:val="auto"/>
        </w:rPr>
        <w:t>s</w:t>
      </w:r>
      <w:r w:rsidR="0070402F" w:rsidRPr="00EB19CB">
        <w:rPr>
          <w:color w:val="auto"/>
        </w:rPr>
        <w:t xml:space="preserve"> of replicates were necessary to address </w:t>
      </w:r>
      <w:r w:rsidR="00443C21" w:rsidRPr="00EB19CB">
        <w:rPr>
          <w:color w:val="auto"/>
        </w:rPr>
        <w:t xml:space="preserve">this </w:t>
      </w:r>
      <w:r w:rsidR="0070402F" w:rsidRPr="00EB19CB">
        <w:rPr>
          <w:color w:val="auto"/>
        </w:rPr>
        <w:t xml:space="preserve">spatial variability. </w:t>
      </w:r>
      <w:r w:rsidR="00347F05" w:rsidRPr="00EB19CB">
        <w:rPr>
          <w:color w:val="auto"/>
        </w:rPr>
        <w:t xml:space="preserve">Because of such variability in soil tillage and crop residues management responses, crop modelling appears as a </w:t>
      </w:r>
      <w:r w:rsidR="00D649B0" w:rsidRPr="00EB19CB">
        <w:rPr>
          <w:color w:val="auto"/>
        </w:rPr>
        <w:t>relevant</w:t>
      </w:r>
      <w:r w:rsidR="00347F05" w:rsidRPr="00EB19CB">
        <w:rPr>
          <w:color w:val="auto"/>
        </w:rPr>
        <w:t xml:space="preserve"> tool to complement field experiments.</w:t>
      </w:r>
      <w:r w:rsidR="00625340" w:rsidRPr="00EB19CB">
        <w:rPr>
          <w:color w:val="auto"/>
        </w:rPr>
        <w:t xml:space="preserve"> Process-based soil-crop models </w:t>
      </w:r>
      <w:r w:rsidR="00284751" w:rsidRPr="00EB19CB">
        <w:rPr>
          <w:color w:val="auto"/>
        </w:rPr>
        <w:t xml:space="preserve">allow </w:t>
      </w:r>
      <w:r w:rsidR="00453111" w:rsidRPr="00EB19CB">
        <w:rPr>
          <w:color w:val="auto"/>
        </w:rPr>
        <w:t>the prediction of</w:t>
      </w:r>
      <w:r w:rsidR="00284751" w:rsidRPr="00EB19CB">
        <w:rPr>
          <w:color w:val="auto"/>
        </w:rPr>
        <w:t xml:space="preserve"> SOC dynamics in the long term across a range of land use, management and pedoclimatic conditions </w:t>
      </w:r>
      <w:r w:rsidR="00284751" w:rsidRPr="00EB19CB">
        <w:rPr>
          <w:color w:val="auto"/>
        </w:rPr>
        <w:lastRenderedPageBreak/>
        <w:t xml:space="preserve">(Stockmann et al., 2013; </w:t>
      </w:r>
      <w:r w:rsidR="001E384B" w:rsidRPr="00EB19CB">
        <w:rPr>
          <w:color w:val="auto"/>
        </w:rPr>
        <w:t>Campbell and Paustian, 2015</w:t>
      </w:r>
      <w:r w:rsidR="002A30A7" w:rsidRPr="00EB19CB">
        <w:rPr>
          <w:color w:val="auto"/>
        </w:rPr>
        <w:t xml:space="preserve">; </w:t>
      </w:r>
      <w:proofErr w:type="spellStart"/>
      <w:r w:rsidR="002A30A7" w:rsidRPr="00EB19CB">
        <w:rPr>
          <w:color w:val="auto"/>
        </w:rPr>
        <w:t>Clivot</w:t>
      </w:r>
      <w:proofErr w:type="spellEnd"/>
      <w:r w:rsidR="002A30A7" w:rsidRPr="00EB19CB">
        <w:rPr>
          <w:color w:val="auto"/>
        </w:rPr>
        <w:t xml:space="preserve"> et al., 2019</w:t>
      </w:r>
      <w:r w:rsidR="00D13292" w:rsidRPr="00EB19CB">
        <w:rPr>
          <w:color w:val="auto"/>
        </w:rPr>
        <w:t>: Morais et al., 2019</w:t>
      </w:r>
      <w:r w:rsidR="003A6762" w:rsidRPr="00EB19CB">
        <w:rPr>
          <w:color w:val="auto"/>
        </w:rPr>
        <w:t>).</w:t>
      </w:r>
      <w:r w:rsidR="001846C7" w:rsidRPr="00EB19CB">
        <w:rPr>
          <w:color w:val="auto"/>
        </w:rPr>
        <w:t xml:space="preserve"> </w:t>
      </w:r>
      <w:r w:rsidR="00DD39FD" w:rsidRPr="00EB19CB">
        <w:rPr>
          <w:color w:val="auto"/>
        </w:rPr>
        <w:t>Investi</w:t>
      </w:r>
      <w:r w:rsidR="00DE4B58" w:rsidRPr="00EB19CB">
        <w:rPr>
          <w:color w:val="auto"/>
        </w:rPr>
        <w:t>gat</w:t>
      </w:r>
      <w:r w:rsidR="007B3539" w:rsidRPr="00EB19CB">
        <w:rPr>
          <w:color w:val="auto"/>
        </w:rPr>
        <w:t>i</w:t>
      </w:r>
      <w:r w:rsidR="00DD39FD" w:rsidRPr="00EB19CB">
        <w:rPr>
          <w:color w:val="auto"/>
        </w:rPr>
        <w:t xml:space="preserve">ng contrasted scenarios for improved agricultural circularity, related to e.g. </w:t>
      </w:r>
      <w:r w:rsidR="00057295" w:rsidRPr="00EB19CB">
        <w:rPr>
          <w:color w:val="auto"/>
        </w:rPr>
        <w:t>straw-manure exchange</w:t>
      </w:r>
      <w:r w:rsidR="00DD39FD" w:rsidRPr="00EB19CB">
        <w:rPr>
          <w:color w:val="auto"/>
        </w:rPr>
        <w:t xml:space="preserve"> or bioenergy production, requires </w:t>
      </w:r>
      <w:r w:rsidR="001B2F34" w:rsidRPr="00EB19CB">
        <w:rPr>
          <w:color w:val="auto"/>
        </w:rPr>
        <w:t>trustworthy simulations of crop residues management in their effects on SOC, such as performed by Stella et al. (2019)</w:t>
      </w:r>
      <w:r w:rsidR="00EF5B91" w:rsidRPr="00EB19CB">
        <w:rPr>
          <w:color w:val="auto"/>
        </w:rPr>
        <w:t xml:space="preserve">. Yet </w:t>
      </w:r>
      <w:r w:rsidR="003D5F65" w:rsidRPr="00EB19CB">
        <w:rPr>
          <w:color w:val="auto"/>
        </w:rPr>
        <w:t>modelling approaches</w:t>
      </w:r>
      <w:r w:rsidR="0095660E" w:rsidRPr="00EB19CB">
        <w:rPr>
          <w:color w:val="auto"/>
        </w:rPr>
        <w:t xml:space="preserve"> are</w:t>
      </w:r>
      <w:r w:rsidR="003D5F65" w:rsidRPr="00EB19CB">
        <w:rPr>
          <w:color w:val="auto"/>
        </w:rPr>
        <w:t xml:space="preserve"> still </w:t>
      </w:r>
      <w:r w:rsidR="0095660E" w:rsidRPr="00EB19CB">
        <w:rPr>
          <w:color w:val="auto"/>
        </w:rPr>
        <w:t xml:space="preserve">a </w:t>
      </w:r>
      <w:r w:rsidR="003D5F65" w:rsidRPr="00EB19CB">
        <w:rPr>
          <w:color w:val="auto"/>
        </w:rPr>
        <w:t xml:space="preserve">challenge </w:t>
      </w:r>
      <w:r w:rsidR="00C40988" w:rsidRPr="00EB19CB">
        <w:rPr>
          <w:color w:val="auto"/>
        </w:rPr>
        <w:t>(Ogle et al., 2010</w:t>
      </w:r>
      <w:r w:rsidR="006765C7" w:rsidRPr="00EB19CB">
        <w:rPr>
          <w:color w:val="auto"/>
        </w:rPr>
        <w:t xml:space="preserve">), </w:t>
      </w:r>
      <w:r w:rsidR="00281D26" w:rsidRPr="00EB19CB">
        <w:rPr>
          <w:color w:val="auto"/>
        </w:rPr>
        <w:t xml:space="preserve">and there is a need for finer predictions of potential SOC changes </w:t>
      </w:r>
      <w:r w:rsidR="000B20D6" w:rsidRPr="00EB19CB">
        <w:rPr>
          <w:color w:val="auto"/>
        </w:rPr>
        <w:t xml:space="preserve">related to tillage and residues management, as well as </w:t>
      </w:r>
      <w:r w:rsidR="00404455" w:rsidRPr="00EB19CB">
        <w:rPr>
          <w:color w:val="auto"/>
        </w:rPr>
        <w:t>more detailed</w:t>
      </w:r>
      <w:r w:rsidR="00F96CD8" w:rsidRPr="00EB19CB">
        <w:rPr>
          <w:color w:val="auto"/>
        </w:rPr>
        <w:t xml:space="preserve"> </w:t>
      </w:r>
      <w:r w:rsidR="000B20D6" w:rsidRPr="00EB19CB">
        <w:rPr>
          <w:color w:val="auto"/>
        </w:rPr>
        <w:t xml:space="preserve">analyses </w:t>
      </w:r>
      <w:r w:rsidR="001D0ACF" w:rsidRPr="00EB19CB">
        <w:rPr>
          <w:color w:val="auto"/>
        </w:rPr>
        <w:t>of the amount of respired C versus the C which is effectively transferred to soil</w:t>
      </w:r>
      <w:r w:rsidR="00152234" w:rsidRPr="00EB19CB">
        <w:rPr>
          <w:color w:val="auto"/>
        </w:rPr>
        <w:t xml:space="preserve"> (Stockmann et al., 2013).</w:t>
      </w:r>
    </w:p>
    <w:p w14:paraId="15194A40" w14:textId="4CEFA610" w:rsidR="00117C3E" w:rsidRPr="00EB19CB" w:rsidRDefault="00D9359D" w:rsidP="001A77D6">
      <w:pPr>
        <w:pStyle w:val="PubliManuscript"/>
        <w:rPr>
          <w:color w:val="auto"/>
        </w:rPr>
      </w:pPr>
      <w:r w:rsidRPr="00EB19CB">
        <w:rPr>
          <w:color w:val="auto"/>
        </w:rPr>
        <w:t xml:space="preserve">In this paper, we compare two different crop residues </w:t>
      </w:r>
      <w:r w:rsidR="005C5BA4" w:rsidRPr="00EB19CB">
        <w:rPr>
          <w:color w:val="auto"/>
        </w:rPr>
        <w:t>treatments</w:t>
      </w:r>
      <w:r w:rsidRPr="00EB19CB">
        <w:rPr>
          <w:color w:val="auto"/>
        </w:rPr>
        <w:t xml:space="preserve"> (incorporation or exportation) and two different tillage techniques (conventional or reduced), </w:t>
      </w:r>
      <w:r w:rsidR="008D6E03" w:rsidRPr="00EB19CB">
        <w:rPr>
          <w:color w:val="auto"/>
        </w:rPr>
        <w:t>combined to form</w:t>
      </w:r>
      <w:r w:rsidRPr="00EB19CB">
        <w:rPr>
          <w:color w:val="auto"/>
        </w:rPr>
        <w:t xml:space="preserve"> four different treatments. </w:t>
      </w:r>
      <w:r w:rsidR="00692C62" w:rsidRPr="00EB19CB">
        <w:rPr>
          <w:color w:val="auto"/>
        </w:rPr>
        <w:t>To this end, we use</w:t>
      </w:r>
      <w:r w:rsidR="00474D00" w:rsidRPr="00EB19CB">
        <w:rPr>
          <w:color w:val="auto"/>
        </w:rPr>
        <w:t>d</w:t>
      </w:r>
      <w:r w:rsidR="00692C62" w:rsidRPr="00EB19CB">
        <w:rPr>
          <w:color w:val="auto"/>
        </w:rPr>
        <w:t xml:space="preserve"> a 14-year field experiment in </w:t>
      </w:r>
      <w:r w:rsidR="00483719" w:rsidRPr="00EB19CB">
        <w:rPr>
          <w:color w:val="auto"/>
        </w:rPr>
        <w:t>Gembloux</w:t>
      </w:r>
      <w:r w:rsidR="00692C62" w:rsidRPr="00EB19CB">
        <w:rPr>
          <w:color w:val="auto"/>
        </w:rPr>
        <w:t xml:space="preserve"> </w:t>
      </w:r>
      <w:r w:rsidR="00AD5BAB" w:rsidRPr="00EB19CB">
        <w:rPr>
          <w:color w:val="auto"/>
        </w:rPr>
        <w:t xml:space="preserve">(Belgium – Hiel at al., 2018) </w:t>
      </w:r>
      <w:r w:rsidR="00692C62" w:rsidRPr="00EB19CB">
        <w:rPr>
          <w:color w:val="auto"/>
        </w:rPr>
        <w:t>and its simulation with the soil-crop model STICS</w:t>
      </w:r>
      <w:r w:rsidR="00461220" w:rsidRPr="00EB19CB">
        <w:rPr>
          <w:color w:val="auto"/>
        </w:rPr>
        <w:t xml:space="preserve"> (Brisson et al., </w:t>
      </w:r>
      <w:r w:rsidR="004A3039" w:rsidRPr="00EB19CB">
        <w:rPr>
          <w:color w:val="auto"/>
        </w:rPr>
        <w:t>2009)</w:t>
      </w:r>
      <w:r w:rsidR="00117C3E" w:rsidRPr="00EB19CB">
        <w:rPr>
          <w:color w:val="auto"/>
        </w:rPr>
        <w:t>.</w:t>
      </w:r>
      <w:r w:rsidR="00F128E3" w:rsidRPr="00EB19CB">
        <w:rPr>
          <w:color w:val="auto"/>
        </w:rPr>
        <w:t xml:space="preserve"> The crop rotation included five different crops which are very common in the Belgian region of Hesbaye</w:t>
      </w:r>
      <w:r w:rsidR="00867253" w:rsidRPr="00EB19CB">
        <w:rPr>
          <w:color w:val="auto"/>
        </w:rPr>
        <w:t xml:space="preserve"> with loamy soils and temperate climate</w:t>
      </w:r>
      <w:r w:rsidR="00B920A2" w:rsidRPr="00EB19CB">
        <w:rPr>
          <w:color w:val="auto"/>
        </w:rPr>
        <w:t>.</w:t>
      </w:r>
      <w:r w:rsidR="006F403A" w:rsidRPr="00EB19CB">
        <w:rPr>
          <w:color w:val="auto"/>
        </w:rPr>
        <w:t xml:space="preserve"> </w:t>
      </w:r>
      <w:r w:rsidR="00117C3E" w:rsidRPr="00EB19CB">
        <w:rPr>
          <w:color w:val="auto"/>
        </w:rPr>
        <w:t xml:space="preserve">The objectives of this study </w:t>
      </w:r>
      <w:r w:rsidR="00505728" w:rsidRPr="00EB19CB">
        <w:rPr>
          <w:color w:val="auto"/>
        </w:rPr>
        <w:t>were</w:t>
      </w:r>
      <w:r w:rsidR="00117C3E" w:rsidRPr="00EB19CB">
        <w:rPr>
          <w:color w:val="auto"/>
        </w:rPr>
        <w:t xml:space="preserve"> (</w:t>
      </w:r>
      <w:proofErr w:type="spellStart"/>
      <w:r w:rsidR="00117C3E" w:rsidRPr="00EB19CB">
        <w:rPr>
          <w:i/>
          <w:iCs/>
          <w:color w:val="auto"/>
        </w:rPr>
        <w:t>i</w:t>
      </w:r>
      <w:proofErr w:type="spellEnd"/>
      <w:r w:rsidR="00117C3E" w:rsidRPr="00EB19CB">
        <w:rPr>
          <w:color w:val="auto"/>
        </w:rPr>
        <w:t xml:space="preserve">) to </w:t>
      </w:r>
      <w:r w:rsidR="00691362" w:rsidRPr="00EB19CB">
        <w:rPr>
          <w:color w:val="auto"/>
        </w:rPr>
        <w:t xml:space="preserve">extend the analysis initiated by </w:t>
      </w:r>
      <w:r w:rsidR="00E93191" w:rsidRPr="00EB19CB">
        <w:rPr>
          <w:color w:val="auto"/>
        </w:rPr>
        <w:t xml:space="preserve">Hiel et al. (2018) on the </w:t>
      </w:r>
      <w:r w:rsidR="00C31FB4" w:rsidRPr="00EB19CB">
        <w:rPr>
          <w:color w:val="auto"/>
        </w:rPr>
        <w:t xml:space="preserve">observations made </w:t>
      </w:r>
      <w:r w:rsidR="00B2262B" w:rsidRPr="00EB19CB">
        <w:rPr>
          <w:color w:val="auto"/>
        </w:rPr>
        <w:t>between</w:t>
      </w:r>
      <w:r w:rsidR="00E93191" w:rsidRPr="00EB19CB">
        <w:rPr>
          <w:color w:val="auto"/>
        </w:rPr>
        <w:t xml:space="preserve"> 2008-2015</w:t>
      </w:r>
      <w:r w:rsidR="00691362" w:rsidRPr="00EB19CB">
        <w:rPr>
          <w:color w:val="auto"/>
        </w:rPr>
        <w:t xml:space="preserve"> </w:t>
      </w:r>
      <w:r w:rsidR="00F43712" w:rsidRPr="00EB19CB">
        <w:rPr>
          <w:color w:val="auto"/>
        </w:rPr>
        <w:t>about</w:t>
      </w:r>
      <w:r w:rsidR="00117C3E" w:rsidRPr="00EB19CB">
        <w:rPr>
          <w:color w:val="auto"/>
        </w:rPr>
        <w:t xml:space="preserve"> the impacts of the combination of </w:t>
      </w:r>
      <w:r w:rsidR="00425A04" w:rsidRPr="00EB19CB">
        <w:rPr>
          <w:color w:val="auto"/>
        </w:rPr>
        <w:t>tillage and residues</w:t>
      </w:r>
      <w:r w:rsidR="00691362" w:rsidRPr="00EB19CB">
        <w:rPr>
          <w:color w:val="auto"/>
        </w:rPr>
        <w:t xml:space="preserve"> management</w:t>
      </w:r>
      <w:r w:rsidR="00425A04" w:rsidRPr="00EB19CB">
        <w:rPr>
          <w:color w:val="auto"/>
        </w:rPr>
        <w:t xml:space="preserve"> </w:t>
      </w:r>
      <w:r w:rsidR="00812E1C" w:rsidRPr="00EB19CB">
        <w:rPr>
          <w:color w:val="auto"/>
        </w:rPr>
        <w:t>to</w:t>
      </w:r>
      <w:r w:rsidR="000F6DC2" w:rsidRPr="00EB19CB">
        <w:rPr>
          <w:color w:val="auto"/>
        </w:rPr>
        <w:t xml:space="preserve"> the</w:t>
      </w:r>
      <w:r w:rsidR="00425A04" w:rsidRPr="00EB19CB">
        <w:rPr>
          <w:color w:val="auto"/>
        </w:rPr>
        <w:t xml:space="preserve"> whole dataset 2008-2021, (</w:t>
      </w:r>
      <w:r w:rsidR="00425A04" w:rsidRPr="00EB19CB">
        <w:rPr>
          <w:i/>
          <w:iCs/>
          <w:color w:val="auto"/>
        </w:rPr>
        <w:t>ii</w:t>
      </w:r>
      <w:r w:rsidR="00425A04" w:rsidRPr="00EB19CB">
        <w:rPr>
          <w:color w:val="auto"/>
        </w:rPr>
        <w:t>) to assess the ability of the soil-crop model STICS to reproduce the results and trends observed on the field, and (</w:t>
      </w:r>
      <w:r w:rsidR="00425A04" w:rsidRPr="00EB19CB">
        <w:rPr>
          <w:i/>
          <w:iCs/>
          <w:color w:val="auto"/>
        </w:rPr>
        <w:t>iii</w:t>
      </w:r>
      <w:r w:rsidR="00425A04" w:rsidRPr="00EB19CB">
        <w:rPr>
          <w:color w:val="auto"/>
        </w:rPr>
        <w:t xml:space="preserve">) </w:t>
      </w:r>
      <w:r w:rsidR="001A77D6" w:rsidRPr="00EB19CB">
        <w:rPr>
          <w:color w:val="auto"/>
        </w:rPr>
        <w:t>to investigate further the drivers of the variability between the four management treatments, and establish how their carbon budget (respiration, photosynthesis and Net Ecosystem Exchange) is impacted.</w:t>
      </w:r>
    </w:p>
    <w:p w14:paraId="7FF282DE" w14:textId="4221D46D" w:rsidR="00C73D9D" w:rsidRPr="00EB19CB" w:rsidRDefault="00C73D9D" w:rsidP="00A2618A">
      <w:pPr>
        <w:pStyle w:val="Publi1"/>
        <w:spacing w:line="240" w:lineRule="auto"/>
      </w:pPr>
      <w:r w:rsidRPr="00EB19CB">
        <w:t>Material and Methods</w:t>
      </w:r>
    </w:p>
    <w:p w14:paraId="39B254C6" w14:textId="12E87343" w:rsidR="00A22C7D" w:rsidRPr="00EB19CB" w:rsidRDefault="003902AD" w:rsidP="00A2618A">
      <w:pPr>
        <w:pStyle w:val="Publi2"/>
        <w:spacing w:line="240" w:lineRule="auto"/>
        <w:rPr>
          <w:color w:val="auto"/>
        </w:rPr>
      </w:pPr>
      <w:r w:rsidRPr="00EB19CB">
        <w:rPr>
          <w:color w:val="auto"/>
        </w:rPr>
        <w:t xml:space="preserve"> </w:t>
      </w:r>
      <w:r w:rsidR="00A22C7D" w:rsidRPr="00EB19CB">
        <w:rPr>
          <w:color w:val="auto"/>
        </w:rPr>
        <w:t>Field trial</w:t>
      </w:r>
    </w:p>
    <w:p w14:paraId="25013411" w14:textId="5416EE08" w:rsidR="00615BBA" w:rsidRPr="00EB19CB" w:rsidRDefault="00615BBA" w:rsidP="00D405D6">
      <w:pPr>
        <w:pStyle w:val="PubliManuscript"/>
        <w:rPr>
          <w:color w:val="auto"/>
        </w:rPr>
      </w:pPr>
      <w:r w:rsidRPr="00EB19CB">
        <w:rPr>
          <w:color w:val="auto"/>
        </w:rPr>
        <w:t>The field experiment is situated on the experimental farm of Gembloux Agro-Bio Tech, University of Liège, in Belgium (50°33’49.6’’N, 4°42’45.0’’E).</w:t>
      </w:r>
      <w:r w:rsidR="00614389" w:rsidRPr="00EB19CB">
        <w:rPr>
          <w:color w:val="auto"/>
        </w:rPr>
        <w:t xml:space="preserve"> </w:t>
      </w:r>
      <w:r w:rsidR="008E2200" w:rsidRPr="00EB19CB">
        <w:rPr>
          <w:color w:val="auto"/>
        </w:rPr>
        <w:t xml:space="preserve">The soil is a Cutanic </w:t>
      </w:r>
      <w:proofErr w:type="spellStart"/>
      <w:r w:rsidR="008E2200" w:rsidRPr="00EB19CB">
        <w:rPr>
          <w:color w:val="auto"/>
        </w:rPr>
        <w:t>Luvisol</w:t>
      </w:r>
      <w:proofErr w:type="spellEnd"/>
      <w:r w:rsidR="008E2200" w:rsidRPr="00EB19CB">
        <w:rPr>
          <w:color w:val="auto"/>
        </w:rPr>
        <w:t xml:space="preserve"> (IUSS Working Group WRB, 2014), containing 70-80% of silt, 18-22% of clay and 5-10% of sand. </w:t>
      </w:r>
      <w:r w:rsidR="00D83D83" w:rsidRPr="00EB19CB">
        <w:rPr>
          <w:color w:val="auto"/>
        </w:rPr>
        <w:t>The climate is temperate</w:t>
      </w:r>
      <w:r w:rsidR="006965EC" w:rsidRPr="00EB19CB">
        <w:rPr>
          <w:color w:val="auto"/>
        </w:rPr>
        <w:t xml:space="preserve"> (</w:t>
      </w:r>
      <w:proofErr w:type="spellStart"/>
      <w:r w:rsidR="006965EC" w:rsidRPr="00EB19CB">
        <w:rPr>
          <w:color w:val="auto"/>
        </w:rPr>
        <w:t>Cfb</w:t>
      </w:r>
      <w:proofErr w:type="spellEnd"/>
      <w:r w:rsidR="006965EC" w:rsidRPr="00EB19CB">
        <w:rPr>
          <w:color w:val="auto"/>
        </w:rPr>
        <w:t xml:space="preserve"> in </w:t>
      </w:r>
      <w:proofErr w:type="spellStart"/>
      <w:r w:rsidR="006965EC" w:rsidRPr="00EB19CB">
        <w:rPr>
          <w:color w:val="auto"/>
        </w:rPr>
        <w:t>Köppen</w:t>
      </w:r>
      <w:proofErr w:type="spellEnd"/>
      <w:r w:rsidR="006965EC" w:rsidRPr="00EB19CB">
        <w:rPr>
          <w:color w:val="auto"/>
        </w:rPr>
        <w:t>-Geiger classification (Peel, Finlayson and McMahon, 2007)</w:t>
      </w:r>
      <w:r w:rsidR="00A326B6" w:rsidRPr="00EB19CB">
        <w:rPr>
          <w:color w:val="auto"/>
        </w:rPr>
        <w:t>)</w:t>
      </w:r>
      <w:r w:rsidR="00D83D83" w:rsidRPr="00EB19CB">
        <w:rPr>
          <w:color w:val="auto"/>
        </w:rPr>
        <w:t xml:space="preserve"> with </w:t>
      </w:r>
      <w:r w:rsidR="00934A93" w:rsidRPr="00EB19CB">
        <w:rPr>
          <w:color w:val="auto"/>
        </w:rPr>
        <w:t xml:space="preserve">average annual precipitations of </w:t>
      </w:r>
      <w:r w:rsidR="00D83D83" w:rsidRPr="00EB19CB">
        <w:rPr>
          <w:color w:val="auto"/>
        </w:rPr>
        <w:t>819 mm</w:t>
      </w:r>
      <w:r w:rsidR="00934A93" w:rsidRPr="00EB19CB">
        <w:rPr>
          <w:color w:val="auto"/>
        </w:rPr>
        <w:t xml:space="preserve"> and</w:t>
      </w:r>
      <w:r w:rsidR="00D83D83" w:rsidRPr="00EB19CB">
        <w:rPr>
          <w:color w:val="auto"/>
        </w:rPr>
        <w:t xml:space="preserve"> average annual</w:t>
      </w:r>
      <w:r w:rsidR="00934A93" w:rsidRPr="00EB19CB">
        <w:rPr>
          <w:color w:val="auto"/>
        </w:rPr>
        <w:t xml:space="preserve"> temperature</w:t>
      </w:r>
      <w:r w:rsidR="00D83D83" w:rsidRPr="00EB19CB">
        <w:rPr>
          <w:color w:val="auto"/>
        </w:rPr>
        <w:t xml:space="preserve"> </w:t>
      </w:r>
      <w:r w:rsidR="00FB18BF" w:rsidRPr="00EB19CB">
        <w:rPr>
          <w:color w:val="auto"/>
        </w:rPr>
        <w:t xml:space="preserve">of </w:t>
      </w:r>
      <w:r w:rsidR="00D83D83" w:rsidRPr="00EB19CB">
        <w:rPr>
          <w:color w:val="auto"/>
        </w:rPr>
        <w:t>9.8°C</w:t>
      </w:r>
      <w:r w:rsidR="00E95C1F" w:rsidRPr="00EB19CB">
        <w:rPr>
          <w:color w:val="auto"/>
        </w:rPr>
        <w:t>.</w:t>
      </w:r>
      <w:r w:rsidR="00D83D83" w:rsidRPr="00EB19CB">
        <w:rPr>
          <w:color w:val="auto"/>
        </w:rPr>
        <w:t xml:space="preserve"> </w:t>
      </w:r>
      <w:r w:rsidR="008E2200" w:rsidRPr="00EB19CB">
        <w:rPr>
          <w:color w:val="auto"/>
        </w:rPr>
        <w:t>Further details about soil and climate ar</w:t>
      </w:r>
      <w:r w:rsidR="00917B5F" w:rsidRPr="00EB19CB">
        <w:rPr>
          <w:color w:val="auto"/>
        </w:rPr>
        <w:t>e available in Hiel et al. (2018).</w:t>
      </w:r>
    </w:p>
    <w:p w14:paraId="083B292A" w14:textId="7304F7A6" w:rsidR="00402FD0" w:rsidRPr="00EB19CB" w:rsidRDefault="00DB2418" w:rsidP="00DB2418">
      <w:pPr>
        <w:pStyle w:val="PubliManuscript"/>
        <w:rPr>
          <w:color w:val="auto"/>
        </w:rPr>
      </w:pPr>
      <w:r w:rsidRPr="00EB19CB">
        <w:rPr>
          <w:color w:val="auto"/>
        </w:rPr>
        <w:t>The field was designed as a Latin square with four replications</w:t>
      </w:r>
      <w:r w:rsidR="00F5440D" w:rsidRPr="00EB19CB">
        <w:rPr>
          <w:color w:val="auto"/>
        </w:rPr>
        <w:t xml:space="preserve">, each plot measuring 40m long </w:t>
      </w:r>
      <w:r w:rsidR="00F5440D" w:rsidRPr="00EB19CB">
        <w:rPr>
          <w:color w:val="auto"/>
        </w:rPr>
        <w:lastRenderedPageBreak/>
        <w:t>and 15m large.</w:t>
      </w:r>
      <w:r w:rsidRPr="00EB19CB">
        <w:rPr>
          <w:color w:val="auto"/>
        </w:rPr>
        <w:t xml:space="preserve"> </w:t>
      </w:r>
      <w:r w:rsidR="00C76E7F" w:rsidRPr="00EB19CB">
        <w:rPr>
          <w:color w:val="auto"/>
        </w:rPr>
        <w:t xml:space="preserve">The </w:t>
      </w:r>
      <w:r w:rsidR="00EC6535" w:rsidRPr="00EB19CB">
        <w:rPr>
          <w:color w:val="auto"/>
        </w:rPr>
        <w:t>experimentation</w:t>
      </w:r>
      <w:r w:rsidR="00C76E7F" w:rsidRPr="00EB19CB">
        <w:rPr>
          <w:color w:val="auto"/>
        </w:rPr>
        <w:t xml:space="preserve"> </w:t>
      </w:r>
      <w:r w:rsidR="00DD59DA" w:rsidRPr="00EB19CB">
        <w:rPr>
          <w:color w:val="auto"/>
        </w:rPr>
        <w:t>compare</w:t>
      </w:r>
      <w:r w:rsidR="00CD2FE4" w:rsidRPr="00EB19CB">
        <w:rPr>
          <w:color w:val="auto"/>
        </w:rPr>
        <w:t>d</w:t>
      </w:r>
      <w:r w:rsidR="00C76E7F" w:rsidRPr="00EB19CB">
        <w:rPr>
          <w:color w:val="auto"/>
        </w:rPr>
        <w:t xml:space="preserve"> </w:t>
      </w:r>
      <w:r w:rsidR="007E54DD" w:rsidRPr="00EB19CB">
        <w:rPr>
          <w:color w:val="auto"/>
        </w:rPr>
        <w:t>two</w:t>
      </w:r>
      <w:r w:rsidR="00DD59DA" w:rsidRPr="00EB19CB">
        <w:rPr>
          <w:color w:val="auto"/>
        </w:rPr>
        <w:t xml:space="preserve"> different </w:t>
      </w:r>
      <w:r w:rsidR="00EC6535" w:rsidRPr="00EB19CB">
        <w:rPr>
          <w:color w:val="auto"/>
        </w:rPr>
        <w:t xml:space="preserve">management </w:t>
      </w:r>
      <w:r w:rsidR="00C76E7F" w:rsidRPr="00EB19CB">
        <w:rPr>
          <w:color w:val="auto"/>
        </w:rPr>
        <w:t xml:space="preserve">practices: </w:t>
      </w:r>
      <w:r w:rsidR="00DD74B9" w:rsidRPr="00EB19CB">
        <w:rPr>
          <w:color w:val="auto"/>
        </w:rPr>
        <w:t>(</w:t>
      </w:r>
      <w:proofErr w:type="spellStart"/>
      <w:r w:rsidR="00DD74B9" w:rsidRPr="00EB19CB">
        <w:rPr>
          <w:i/>
          <w:iCs/>
          <w:color w:val="auto"/>
        </w:rPr>
        <w:t>i</w:t>
      </w:r>
      <w:proofErr w:type="spellEnd"/>
      <w:r w:rsidR="00DD74B9" w:rsidRPr="00EB19CB">
        <w:rPr>
          <w:color w:val="auto"/>
        </w:rPr>
        <w:t xml:space="preserve">) the type of tillage: conventional (CT) or reduced (RT), and </w:t>
      </w:r>
      <w:r w:rsidR="00C76E7F" w:rsidRPr="00EB19CB">
        <w:rPr>
          <w:color w:val="auto"/>
        </w:rPr>
        <w:t>(</w:t>
      </w:r>
      <w:r w:rsidR="00DD74B9" w:rsidRPr="00EB19CB">
        <w:rPr>
          <w:i/>
          <w:iCs/>
          <w:color w:val="auto"/>
        </w:rPr>
        <w:t>i</w:t>
      </w:r>
      <w:r w:rsidR="00C76E7F" w:rsidRPr="00EB19CB">
        <w:rPr>
          <w:i/>
          <w:iCs/>
          <w:color w:val="auto"/>
        </w:rPr>
        <w:t>i</w:t>
      </w:r>
      <w:r w:rsidR="00C76E7F" w:rsidRPr="00EB19CB">
        <w:rPr>
          <w:color w:val="auto"/>
        </w:rPr>
        <w:t>) the restitution (IN) or the exportation (OUT) of crop residues</w:t>
      </w:r>
      <w:r w:rsidR="00DD74B9" w:rsidRPr="00EB19CB">
        <w:rPr>
          <w:color w:val="auto"/>
        </w:rPr>
        <w:t>.</w:t>
      </w:r>
      <w:r w:rsidR="00C76E7F" w:rsidRPr="00EB19CB">
        <w:rPr>
          <w:color w:val="auto"/>
        </w:rPr>
        <w:t xml:space="preserve"> </w:t>
      </w:r>
      <w:r w:rsidR="00C92620" w:rsidRPr="00EB19CB">
        <w:rPr>
          <w:color w:val="auto"/>
        </w:rPr>
        <w:t>The combination of these practices led to four modalities: CT-IN, CT-OUT, RT-IN and RT-OUT.</w:t>
      </w:r>
      <w:r w:rsidR="00D83046" w:rsidRPr="00EB19CB">
        <w:rPr>
          <w:color w:val="auto"/>
        </w:rPr>
        <w:t xml:space="preserve"> In all treatments, </w:t>
      </w:r>
      <w:r w:rsidR="0003577E" w:rsidRPr="00EB19CB">
        <w:rPr>
          <w:color w:val="auto"/>
        </w:rPr>
        <w:t xml:space="preserve">CT and RT, </w:t>
      </w:r>
      <w:r w:rsidR="00D83046" w:rsidRPr="00EB19CB">
        <w:rPr>
          <w:color w:val="auto"/>
        </w:rPr>
        <w:t>stubble breaking (10</w:t>
      </w:r>
      <w:r w:rsidR="00876066" w:rsidRPr="00EB19CB">
        <w:rPr>
          <w:color w:val="auto"/>
        </w:rPr>
        <w:t xml:space="preserve"> </w:t>
      </w:r>
      <w:r w:rsidR="00D83046" w:rsidRPr="00EB19CB">
        <w:rPr>
          <w:color w:val="auto"/>
        </w:rPr>
        <w:t xml:space="preserve">cm depth) was performed following cereals harvests, but in CT treatments, ploughing was also </w:t>
      </w:r>
      <w:r w:rsidR="006321C6" w:rsidRPr="00EB19CB">
        <w:rPr>
          <w:color w:val="auto"/>
        </w:rPr>
        <w:t>executed</w:t>
      </w:r>
      <w:r w:rsidR="00D83046" w:rsidRPr="00EB19CB">
        <w:rPr>
          <w:color w:val="auto"/>
        </w:rPr>
        <w:t xml:space="preserve"> (25</w:t>
      </w:r>
      <w:r w:rsidR="00876066" w:rsidRPr="00EB19CB">
        <w:rPr>
          <w:color w:val="auto"/>
        </w:rPr>
        <w:t xml:space="preserve"> </w:t>
      </w:r>
      <w:r w:rsidR="00D83046" w:rsidRPr="00EB19CB">
        <w:rPr>
          <w:color w:val="auto"/>
        </w:rPr>
        <w:t>cm depth). In the IN treatments</w:t>
      </w:r>
      <w:r w:rsidR="001D52D0" w:rsidRPr="00EB19CB">
        <w:rPr>
          <w:color w:val="auto"/>
        </w:rPr>
        <w:t>, stubbles and straw were le</w:t>
      </w:r>
      <w:r w:rsidR="00822D0E" w:rsidRPr="00EB19CB">
        <w:rPr>
          <w:color w:val="auto"/>
        </w:rPr>
        <w:t>ft</w:t>
      </w:r>
      <w:r w:rsidR="001D52D0" w:rsidRPr="00EB19CB">
        <w:rPr>
          <w:color w:val="auto"/>
        </w:rPr>
        <w:t xml:space="preserve"> on the field </w:t>
      </w:r>
      <w:r w:rsidR="00B17998" w:rsidRPr="00EB19CB">
        <w:rPr>
          <w:color w:val="auto"/>
        </w:rPr>
        <w:t xml:space="preserve">after harvest </w:t>
      </w:r>
      <w:r w:rsidR="001D52D0" w:rsidRPr="00EB19CB">
        <w:rPr>
          <w:color w:val="auto"/>
        </w:rPr>
        <w:t>whereas in the OUT treatments, only stubbles remained.</w:t>
      </w:r>
      <w:r w:rsidR="005E4414" w:rsidRPr="00EB19CB">
        <w:rPr>
          <w:color w:val="auto"/>
        </w:rPr>
        <w:t xml:space="preserve"> The 1</w:t>
      </w:r>
      <w:r w:rsidR="00C75A45" w:rsidRPr="00EB19CB">
        <w:rPr>
          <w:color w:val="auto"/>
        </w:rPr>
        <w:t>4</w:t>
      </w:r>
      <w:r w:rsidR="005E4414" w:rsidRPr="00EB19CB">
        <w:rPr>
          <w:color w:val="auto"/>
        </w:rPr>
        <w:t xml:space="preserve">-year </w:t>
      </w:r>
      <w:r w:rsidR="004E71F8" w:rsidRPr="00EB19CB">
        <w:rPr>
          <w:color w:val="auto"/>
        </w:rPr>
        <w:t>experiment comprised winter wheat, rapeseed, sugar</w:t>
      </w:r>
      <w:r w:rsidR="005D38E9" w:rsidRPr="00EB19CB">
        <w:rPr>
          <w:color w:val="auto"/>
        </w:rPr>
        <w:t>beet, maize</w:t>
      </w:r>
      <w:r w:rsidR="00061909" w:rsidRPr="00EB19CB">
        <w:rPr>
          <w:color w:val="auto"/>
        </w:rPr>
        <w:t>, faba bean</w:t>
      </w:r>
      <w:r w:rsidR="005D38E9" w:rsidRPr="00EB19CB">
        <w:rPr>
          <w:color w:val="auto"/>
        </w:rPr>
        <w:t xml:space="preserve"> and mustard cover crops</w:t>
      </w:r>
      <w:r w:rsidR="006B7940" w:rsidRPr="00EB19CB">
        <w:rPr>
          <w:color w:val="auto"/>
        </w:rPr>
        <w:t>, sown and harvested at the same dates for all treatments</w:t>
      </w:r>
      <w:r w:rsidR="009B4A52" w:rsidRPr="00EB19CB">
        <w:rPr>
          <w:color w:val="auto"/>
        </w:rPr>
        <w:t>.</w:t>
      </w:r>
      <w:r w:rsidR="008B5903" w:rsidRPr="00EB19CB">
        <w:rPr>
          <w:color w:val="auto"/>
        </w:rPr>
        <w:t xml:space="preserve"> Fertilization</w:t>
      </w:r>
      <w:r w:rsidR="00B2047E" w:rsidRPr="00EB19CB">
        <w:rPr>
          <w:color w:val="auto"/>
        </w:rPr>
        <w:t xml:space="preserve"> was</w:t>
      </w:r>
      <w:r w:rsidR="008B5903" w:rsidRPr="00EB19CB">
        <w:rPr>
          <w:color w:val="auto"/>
        </w:rPr>
        <w:t xml:space="preserve"> </w:t>
      </w:r>
      <w:r w:rsidR="00376C65" w:rsidRPr="00EB19CB">
        <w:rPr>
          <w:color w:val="auto"/>
        </w:rPr>
        <w:t xml:space="preserve">also </w:t>
      </w:r>
      <w:r w:rsidR="008B5903" w:rsidRPr="00EB19CB">
        <w:rPr>
          <w:color w:val="auto"/>
        </w:rPr>
        <w:t>similar in all treatments</w:t>
      </w:r>
      <w:r w:rsidR="00BF2374" w:rsidRPr="00EB19CB">
        <w:rPr>
          <w:color w:val="auto"/>
        </w:rPr>
        <w:t>, and for all of them, on the 1</w:t>
      </w:r>
      <w:r w:rsidR="00BF2374" w:rsidRPr="00EB19CB">
        <w:rPr>
          <w:color w:val="auto"/>
          <w:vertAlign w:val="superscript"/>
        </w:rPr>
        <w:t>st</w:t>
      </w:r>
      <w:r w:rsidR="00BF2374" w:rsidRPr="00EB19CB">
        <w:rPr>
          <w:color w:val="auto"/>
        </w:rPr>
        <w:t xml:space="preserve"> September of 2016, 30 T ha</w:t>
      </w:r>
      <w:r w:rsidR="00BF2374" w:rsidRPr="00EB19CB">
        <w:rPr>
          <w:color w:val="auto"/>
          <w:vertAlign w:val="superscript"/>
        </w:rPr>
        <w:t>-1</w:t>
      </w:r>
      <w:r w:rsidR="00BF2374" w:rsidRPr="00EB19CB">
        <w:rPr>
          <w:color w:val="auto"/>
        </w:rPr>
        <w:t xml:space="preserve"> of </w:t>
      </w:r>
      <w:r w:rsidR="00AF5049" w:rsidRPr="00EB19CB">
        <w:rPr>
          <w:color w:val="auto"/>
        </w:rPr>
        <w:t xml:space="preserve">cattle </w:t>
      </w:r>
      <w:r w:rsidR="00BF2374" w:rsidRPr="00EB19CB">
        <w:rPr>
          <w:color w:val="auto"/>
        </w:rPr>
        <w:t xml:space="preserve">manure </w:t>
      </w:r>
      <w:r w:rsidR="005E3002" w:rsidRPr="00EB19CB">
        <w:rPr>
          <w:color w:val="auto"/>
        </w:rPr>
        <w:t>was</w:t>
      </w:r>
      <w:r w:rsidR="00BF2374" w:rsidRPr="00EB19CB">
        <w:rPr>
          <w:color w:val="auto"/>
        </w:rPr>
        <w:t xml:space="preserve"> spread.</w:t>
      </w:r>
      <w:r w:rsidR="0083508E" w:rsidRPr="00EB19CB">
        <w:rPr>
          <w:color w:val="auto"/>
        </w:rPr>
        <w:t xml:space="preserve"> Relevant information for the crop model regarding the c</w:t>
      </w:r>
      <w:r w:rsidR="00ED12D4" w:rsidRPr="00EB19CB">
        <w:rPr>
          <w:color w:val="auto"/>
        </w:rPr>
        <w:t>rop management is detailed in Table A1</w:t>
      </w:r>
      <w:r w:rsidR="007A72CD" w:rsidRPr="00EB19CB">
        <w:rPr>
          <w:color w:val="auto"/>
        </w:rPr>
        <w:t>. It includes</w:t>
      </w:r>
      <w:r w:rsidR="007E32B8" w:rsidRPr="00EB19CB">
        <w:rPr>
          <w:color w:val="auto"/>
        </w:rPr>
        <w:t xml:space="preserve"> data related to</w:t>
      </w:r>
      <w:r w:rsidR="007A72CD" w:rsidRPr="00EB19CB">
        <w:rPr>
          <w:color w:val="auto"/>
        </w:rPr>
        <w:t xml:space="preserve"> </w:t>
      </w:r>
      <w:r w:rsidR="00CE1B18" w:rsidRPr="00EB19CB">
        <w:rPr>
          <w:color w:val="auto"/>
        </w:rPr>
        <w:t xml:space="preserve">the </w:t>
      </w:r>
      <w:r w:rsidR="00ED12D4" w:rsidRPr="00EB19CB">
        <w:rPr>
          <w:color w:val="auto"/>
        </w:rPr>
        <w:t xml:space="preserve">restitution or exportation of </w:t>
      </w:r>
      <w:r w:rsidR="0080437C" w:rsidRPr="00EB19CB">
        <w:rPr>
          <w:color w:val="auto"/>
        </w:rPr>
        <w:t xml:space="preserve">crop residues, </w:t>
      </w:r>
      <w:r w:rsidR="00353A7A" w:rsidRPr="00EB19CB">
        <w:rPr>
          <w:color w:val="auto"/>
        </w:rPr>
        <w:t>soil tillage</w:t>
      </w:r>
      <w:r w:rsidR="0080437C" w:rsidRPr="00EB19CB">
        <w:rPr>
          <w:color w:val="auto"/>
        </w:rPr>
        <w:t xml:space="preserve">, stubble breaking, </w:t>
      </w:r>
      <w:r w:rsidR="000046C9" w:rsidRPr="00EB19CB">
        <w:rPr>
          <w:color w:val="auto"/>
        </w:rPr>
        <w:t xml:space="preserve">sowing, </w:t>
      </w:r>
      <w:r w:rsidR="0080437C" w:rsidRPr="00EB19CB">
        <w:rPr>
          <w:color w:val="auto"/>
        </w:rPr>
        <w:t>nitrogen fertilization</w:t>
      </w:r>
      <w:r w:rsidR="000046C9" w:rsidRPr="00EB19CB">
        <w:rPr>
          <w:color w:val="auto"/>
        </w:rPr>
        <w:t xml:space="preserve"> and harvest.</w:t>
      </w:r>
      <w:r w:rsidR="000E395F" w:rsidRPr="00EB19CB">
        <w:rPr>
          <w:color w:val="auto"/>
        </w:rPr>
        <w:t xml:space="preserve"> Other aspects of crop management </w:t>
      </w:r>
      <w:r w:rsidR="00FC6CC2" w:rsidRPr="00EB19CB">
        <w:rPr>
          <w:color w:val="auto"/>
        </w:rPr>
        <w:t>(pesticide</w:t>
      </w:r>
      <w:r w:rsidR="00A01FC4" w:rsidRPr="00EB19CB">
        <w:rPr>
          <w:color w:val="auto"/>
        </w:rPr>
        <w:t xml:space="preserve">s, brand of material used, etc.) </w:t>
      </w:r>
      <w:r w:rsidR="000E395F" w:rsidRPr="00EB19CB">
        <w:rPr>
          <w:color w:val="auto"/>
        </w:rPr>
        <w:t>are detailed in Hiel et al. (2018).</w:t>
      </w:r>
    </w:p>
    <w:p w14:paraId="5C92A7D2" w14:textId="1F514138" w:rsidR="00083794" w:rsidRPr="00EB19CB" w:rsidRDefault="00934F1B" w:rsidP="00846E82">
      <w:pPr>
        <w:pStyle w:val="PubliManuscript"/>
        <w:rPr>
          <w:color w:val="auto"/>
        </w:rPr>
      </w:pPr>
      <w:r w:rsidRPr="00EB19CB">
        <w:rPr>
          <w:color w:val="auto"/>
        </w:rPr>
        <w:t>During the 20</w:t>
      </w:r>
      <w:r w:rsidR="0010185D" w:rsidRPr="00EB19CB">
        <w:rPr>
          <w:color w:val="auto"/>
        </w:rPr>
        <w:t>0</w:t>
      </w:r>
      <w:r w:rsidRPr="00EB19CB">
        <w:rPr>
          <w:color w:val="auto"/>
        </w:rPr>
        <w:t xml:space="preserve">8-2021 </w:t>
      </w:r>
      <w:r w:rsidR="006450E3" w:rsidRPr="00EB19CB">
        <w:rPr>
          <w:color w:val="auto"/>
        </w:rPr>
        <w:t>period</w:t>
      </w:r>
      <w:r w:rsidR="00832E6B" w:rsidRPr="00EB19CB">
        <w:rPr>
          <w:color w:val="auto"/>
        </w:rPr>
        <w:t xml:space="preserve">, </w:t>
      </w:r>
      <w:r w:rsidR="00DC7A20" w:rsidRPr="00EB19CB">
        <w:rPr>
          <w:color w:val="auto"/>
        </w:rPr>
        <w:t>three</w:t>
      </w:r>
      <w:r w:rsidR="00832E6B" w:rsidRPr="00EB19CB">
        <w:rPr>
          <w:color w:val="auto"/>
        </w:rPr>
        <w:t xml:space="preserve"> types of data </w:t>
      </w:r>
      <w:r w:rsidRPr="00EB19CB">
        <w:rPr>
          <w:color w:val="auto"/>
        </w:rPr>
        <w:t xml:space="preserve">were </w:t>
      </w:r>
      <w:r w:rsidR="00FC50CD" w:rsidRPr="00EB19CB">
        <w:rPr>
          <w:color w:val="auto"/>
        </w:rPr>
        <w:t>regularly collected</w:t>
      </w:r>
      <w:r w:rsidRPr="00EB19CB">
        <w:rPr>
          <w:color w:val="auto"/>
        </w:rPr>
        <w:t xml:space="preserve">: </w:t>
      </w:r>
      <w:r w:rsidR="00BC21F9" w:rsidRPr="00EB19CB">
        <w:rPr>
          <w:color w:val="auto"/>
        </w:rPr>
        <w:t xml:space="preserve">crop growth, </w:t>
      </w:r>
      <w:r w:rsidRPr="00EB19CB">
        <w:rPr>
          <w:color w:val="auto"/>
        </w:rPr>
        <w:t>yields</w:t>
      </w:r>
      <w:r w:rsidR="00FC50CD" w:rsidRPr="00EB19CB">
        <w:rPr>
          <w:color w:val="auto"/>
        </w:rPr>
        <w:t xml:space="preserve"> and</w:t>
      </w:r>
      <w:r w:rsidRPr="00EB19CB">
        <w:rPr>
          <w:color w:val="auto"/>
        </w:rPr>
        <w:t xml:space="preserve"> soil organic carbon</w:t>
      </w:r>
      <w:r w:rsidR="00FC50CD" w:rsidRPr="00EB19CB">
        <w:rPr>
          <w:color w:val="auto"/>
        </w:rPr>
        <w:t xml:space="preserve">. </w:t>
      </w:r>
      <w:r w:rsidR="006110B4" w:rsidRPr="00EB19CB">
        <w:rPr>
          <w:color w:val="auto"/>
        </w:rPr>
        <w:t>D</w:t>
      </w:r>
      <w:r w:rsidR="00083794" w:rsidRPr="00EB19CB">
        <w:rPr>
          <w:color w:val="auto"/>
        </w:rPr>
        <w:t>uring the 2009-2015</w:t>
      </w:r>
      <w:r w:rsidR="008178CC" w:rsidRPr="00EB19CB">
        <w:rPr>
          <w:color w:val="auto"/>
        </w:rPr>
        <w:t xml:space="preserve"> period</w:t>
      </w:r>
      <w:r w:rsidR="00083794" w:rsidRPr="00EB19CB">
        <w:rPr>
          <w:color w:val="auto"/>
        </w:rPr>
        <w:t xml:space="preserve"> - analyzed in Hiel et al. (2018) - experimental data included dynamic measurements of shoots and grain yield elaboration</w:t>
      </w:r>
      <w:r w:rsidR="00CD3A5D" w:rsidRPr="00EB19CB">
        <w:rPr>
          <w:color w:val="auto"/>
        </w:rPr>
        <w:t>,</w:t>
      </w:r>
      <w:r w:rsidR="007477CF" w:rsidRPr="00EB19CB">
        <w:rPr>
          <w:color w:val="auto"/>
        </w:rPr>
        <w:t xml:space="preserve"> </w:t>
      </w:r>
      <w:r w:rsidR="00D42864" w:rsidRPr="00EB19CB">
        <w:rPr>
          <w:color w:val="auto"/>
        </w:rPr>
        <w:t>determination</w:t>
      </w:r>
      <w:r w:rsidR="007477CF" w:rsidRPr="00EB19CB">
        <w:rPr>
          <w:color w:val="auto"/>
        </w:rPr>
        <w:t xml:space="preserve"> of </w:t>
      </w:r>
      <w:r w:rsidR="00083794" w:rsidRPr="00EB19CB">
        <w:rPr>
          <w:color w:val="auto"/>
        </w:rPr>
        <w:t>crop residues</w:t>
      </w:r>
      <w:r w:rsidR="00D42864" w:rsidRPr="00EB19CB">
        <w:rPr>
          <w:color w:val="auto"/>
        </w:rPr>
        <w:t xml:space="preserve"> amount</w:t>
      </w:r>
      <w:r w:rsidR="00CC27A3" w:rsidRPr="00EB19CB">
        <w:rPr>
          <w:color w:val="auto"/>
        </w:rPr>
        <w:t xml:space="preserve"> and mineral content</w:t>
      </w:r>
      <w:r w:rsidR="007477CF" w:rsidRPr="00EB19CB">
        <w:rPr>
          <w:color w:val="auto"/>
        </w:rPr>
        <w:t xml:space="preserve">, as well as </w:t>
      </w:r>
      <w:r w:rsidR="006F32C7" w:rsidRPr="00EB19CB">
        <w:rPr>
          <w:color w:val="auto"/>
        </w:rPr>
        <w:t>multiple soil sampling on which mineral and organic compositions were characterized</w:t>
      </w:r>
      <w:r w:rsidR="00083794" w:rsidRPr="00EB19CB">
        <w:rPr>
          <w:color w:val="auto"/>
        </w:rPr>
        <w:t>.</w:t>
      </w:r>
      <w:r w:rsidR="00A258F4" w:rsidRPr="00EB19CB">
        <w:rPr>
          <w:color w:val="auto"/>
        </w:rPr>
        <w:t xml:space="preserve"> Soil sampling was performed twice a year (around April and October) at 0-10, 10-20 and 20-30 cm depths.</w:t>
      </w:r>
      <w:r w:rsidR="008F024A" w:rsidRPr="00EB19CB">
        <w:rPr>
          <w:color w:val="auto"/>
        </w:rPr>
        <w:t xml:space="preserve"> </w:t>
      </w:r>
      <w:r w:rsidR="00846E82" w:rsidRPr="00EB19CB">
        <w:rPr>
          <w:color w:val="auto"/>
        </w:rPr>
        <w:t xml:space="preserve">The SOC content in 0-30 cm depth was computed through a simple average of the SOC contents in 0-10, 10-20 and 20-30 cm depths, as no density data were </w:t>
      </w:r>
      <w:r w:rsidR="00FA38BC" w:rsidRPr="00EB19CB">
        <w:rPr>
          <w:color w:val="auto"/>
        </w:rPr>
        <w:t>measured</w:t>
      </w:r>
      <w:r w:rsidR="00846E82" w:rsidRPr="00EB19CB">
        <w:rPr>
          <w:color w:val="auto"/>
        </w:rPr>
        <w:t xml:space="preserve"> for each horizon. </w:t>
      </w:r>
      <w:r w:rsidR="00486954" w:rsidRPr="00EB19CB">
        <w:rPr>
          <w:color w:val="auto"/>
        </w:rPr>
        <w:t>Since 2016,</w:t>
      </w:r>
      <w:r w:rsidR="00EB299A" w:rsidRPr="00EB19CB">
        <w:rPr>
          <w:color w:val="auto"/>
        </w:rPr>
        <w:t xml:space="preserve"> only</w:t>
      </w:r>
      <w:r w:rsidR="00486954" w:rsidRPr="00EB19CB">
        <w:rPr>
          <w:color w:val="auto"/>
        </w:rPr>
        <w:t xml:space="preserve"> final yields were measured and annual soil sampl</w:t>
      </w:r>
      <w:r w:rsidR="00B865AD" w:rsidRPr="00EB19CB">
        <w:rPr>
          <w:color w:val="auto"/>
        </w:rPr>
        <w:t>ing</w:t>
      </w:r>
      <w:r w:rsidR="00486954" w:rsidRPr="00EB19CB">
        <w:rPr>
          <w:color w:val="auto"/>
        </w:rPr>
        <w:t xml:space="preserve"> were </w:t>
      </w:r>
      <w:r w:rsidR="009D2E73" w:rsidRPr="00EB19CB">
        <w:rPr>
          <w:color w:val="auto"/>
        </w:rPr>
        <w:t>performed</w:t>
      </w:r>
      <w:r w:rsidR="00486954" w:rsidRPr="00EB19CB">
        <w:rPr>
          <w:color w:val="auto"/>
        </w:rPr>
        <w:t>.</w:t>
      </w:r>
      <w:r w:rsidR="00C36CEF" w:rsidRPr="00EB19CB">
        <w:rPr>
          <w:color w:val="auto"/>
        </w:rPr>
        <w:t xml:space="preserve"> </w:t>
      </w:r>
      <w:bookmarkStart w:id="0" w:name="_Hlk157695060"/>
      <w:r w:rsidR="008F024A" w:rsidRPr="00EB19CB">
        <w:rPr>
          <w:color w:val="auto"/>
        </w:rPr>
        <w:t>Further details about</w:t>
      </w:r>
      <w:r w:rsidR="005C16B7" w:rsidRPr="00EB19CB">
        <w:rPr>
          <w:color w:val="auto"/>
        </w:rPr>
        <w:t xml:space="preserve"> sampling methodology</w:t>
      </w:r>
      <w:r w:rsidR="008F024A" w:rsidRPr="00EB19CB">
        <w:rPr>
          <w:color w:val="auto"/>
        </w:rPr>
        <w:t xml:space="preserve"> </w:t>
      </w:r>
      <w:r w:rsidR="001C5519" w:rsidRPr="00EB19CB">
        <w:rPr>
          <w:color w:val="auto"/>
        </w:rPr>
        <w:t xml:space="preserve">within each replicate </w:t>
      </w:r>
      <w:r w:rsidR="002C0436" w:rsidRPr="00EB19CB">
        <w:rPr>
          <w:color w:val="auto"/>
        </w:rPr>
        <w:t xml:space="preserve">are presented in Table A2 as well as </w:t>
      </w:r>
      <w:r w:rsidR="00A90C05" w:rsidRPr="00EB19CB">
        <w:rPr>
          <w:color w:val="auto"/>
        </w:rPr>
        <w:t>in Hiel et al. (2018).</w:t>
      </w:r>
      <w:bookmarkEnd w:id="0"/>
    </w:p>
    <w:p w14:paraId="3A1F8528" w14:textId="6CEF3284" w:rsidR="00DB3CC5" w:rsidRPr="00EB19CB" w:rsidRDefault="009F4C95" w:rsidP="00A2618A">
      <w:pPr>
        <w:pStyle w:val="Publi2"/>
        <w:spacing w:line="240" w:lineRule="auto"/>
        <w:rPr>
          <w:color w:val="auto"/>
        </w:rPr>
      </w:pPr>
      <w:r w:rsidRPr="00EB19CB">
        <w:rPr>
          <w:color w:val="auto"/>
        </w:rPr>
        <w:t xml:space="preserve"> </w:t>
      </w:r>
      <w:r w:rsidR="00DB3CC5" w:rsidRPr="00EB19CB">
        <w:rPr>
          <w:color w:val="auto"/>
        </w:rPr>
        <w:t>The STICS soil-crop model</w:t>
      </w:r>
      <w:r w:rsidR="00EA6469" w:rsidRPr="00EB19CB">
        <w:rPr>
          <w:color w:val="auto"/>
        </w:rPr>
        <w:t xml:space="preserve"> (v</w:t>
      </w:r>
      <w:r w:rsidR="005B7BF9" w:rsidRPr="00EB19CB">
        <w:rPr>
          <w:color w:val="auto"/>
        </w:rPr>
        <w:t>10</w:t>
      </w:r>
      <w:r w:rsidR="00EA6469" w:rsidRPr="00EB19CB">
        <w:rPr>
          <w:color w:val="auto"/>
        </w:rPr>
        <w:t>)</w:t>
      </w:r>
    </w:p>
    <w:p w14:paraId="38612911" w14:textId="55DB9886" w:rsidR="00A841DD" w:rsidRPr="00EB19CB" w:rsidRDefault="008C7DF3" w:rsidP="008C7DF3">
      <w:pPr>
        <w:pStyle w:val="Publi3"/>
        <w:numPr>
          <w:ilvl w:val="0"/>
          <w:numId w:val="0"/>
        </w:numPr>
        <w:ind w:left="1428"/>
      </w:pPr>
      <w:r w:rsidRPr="00EB19CB">
        <w:t xml:space="preserve">2.2.1 </w:t>
      </w:r>
      <w:r w:rsidR="00AD241E" w:rsidRPr="00EB19CB">
        <w:t>Overview</w:t>
      </w:r>
    </w:p>
    <w:p w14:paraId="454CF10C" w14:textId="2B23D887" w:rsidR="00A2618A" w:rsidRPr="00EB19CB" w:rsidRDefault="00A2618A" w:rsidP="00952F5D">
      <w:pPr>
        <w:pStyle w:val="PubliManuscript"/>
        <w:rPr>
          <w:color w:val="auto"/>
        </w:rPr>
      </w:pPr>
      <w:r w:rsidRPr="00EB19CB">
        <w:rPr>
          <w:color w:val="auto"/>
        </w:rPr>
        <w:t>STICS (</w:t>
      </w:r>
      <w:proofErr w:type="spellStart"/>
      <w:r w:rsidRPr="00EB19CB">
        <w:rPr>
          <w:i/>
          <w:iCs/>
          <w:color w:val="auto"/>
        </w:rPr>
        <w:t>Simulateur</w:t>
      </w:r>
      <w:proofErr w:type="spellEnd"/>
      <w:r w:rsidRPr="00EB19CB">
        <w:rPr>
          <w:i/>
          <w:iCs/>
          <w:color w:val="auto"/>
        </w:rPr>
        <w:t xml:space="preserve"> </w:t>
      </w:r>
      <w:proofErr w:type="spellStart"/>
      <w:r w:rsidRPr="00EB19CB">
        <w:rPr>
          <w:i/>
          <w:iCs/>
          <w:color w:val="auto"/>
        </w:rPr>
        <w:t>mulTIdisciplinaire</w:t>
      </w:r>
      <w:proofErr w:type="spellEnd"/>
      <w:r w:rsidRPr="00EB19CB">
        <w:rPr>
          <w:i/>
          <w:iCs/>
          <w:color w:val="auto"/>
        </w:rPr>
        <w:t xml:space="preserve"> pour les Cultures Standard</w:t>
      </w:r>
      <w:r w:rsidRPr="00EB19CB">
        <w:rPr>
          <w:color w:val="auto"/>
        </w:rPr>
        <w:t xml:space="preserve"> in French) is a daily soil-crop model</w:t>
      </w:r>
      <w:r w:rsidR="00811E4D" w:rsidRPr="00EB19CB">
        <w:rPr>
          <w:color w:val="auto"/>
        </w:rPr>
        <w:t xml:space="preserve"> with input variables relating to climate, soil and the cropping system which gives as outputs </w:t>
      </w:r>
      <w:r w:rsidR="00811E4D" w:rsidRPr="00EB19CB">
        <w:rPr>
          <w:color w:val="auto"/>
        </w:rPr>
        <w:lastRenderedPageBreak/>
        <w:t xml:space="preserve">variables both agronomic (e.g. </w:t>
      </w:r>
      <w:r w:rsidR="001E2BAD" w:rsidRPr="00EB19CB">
        <w:rPr>
          <w:color w:val="auto"/>
        </w:rPr>
        <w:t xml:space="preserve">biomass and </w:t>
      </w:r>
      <w:r w:rsidR="00811E4D" w:rsidRPr="00EB19CB">
        <w:rPr>
          <w:color w:val="auto"/>
        </w:rPr>
        <w:t>yield) and environmental (e.g. SOC, soil water and nitrogen, etc.)</w:t>
      </w:r>
      <w:r w:rsidR="00677AB4" w:rsidRPr="00EB19CB">
        <w:rPr>
          <w:color w:val="auto"/>
        </w:rPr>
        <w:t xml:space="preserve"> (Brisson et al.</w:t>
      </w:r>
      <w:r w:rsidR="00364D1C" w:rsidRPr="00EB19CB">
        <w:rPr>
          <w:color w:val="auto"/>
        </w:rPr>
        <w:t>,</w:t>
      </w:r>
      <w:r w:rsidR="00677AB4" w:rsidRPr="00EB19CB">
        <w:rPr>
          <w:color w:val="auto"/>
        </w:rPr>
        <w:t xml:space="preserve"> 200</w:t>
      </w:r>
      <w:r w:rsidR="00D54A1A" w:rsidRPr="00EB19CB">
        <w:rPr>
          <w:color w:val="auto"/>
        </w:rPr>
        <w:t>9</w:t>
      </w:r>
      <w:r w:rsidR="00677AB4" w:rsidRPr="00EB19CB">
        <w:rPr>
          <w:color w:val="auto"/>
        </w:rPr>
        <w:t>).</w:t>
      </w:r>
      <w:r w:rsidR="000A6225" w:rsidRPr="00EB19CB">
        <w:rPr>
          <w:color w:val="auto"/>
        </w:rPr>
        <w:t xml:space="preserve"> </w:t>
      </w:r>
      <w:bookmarkStart w:id="1" w:name="_Hlk157592623"/>
      <w:r w:rsidR="00952F5D" w:rsidRPr="00EB19CB">
        <w:rPr>
          <w:color w:val="auto"/>
        </w:rPr>
        <w:t>Its process-based approach allows to provide a deep understanding of the link</w:t>
      </w:r>
      <w:r w:rsidR="001628AB" w:rsidRPr="00EB19CB">
        <w:rPr>
          <w:color w:val="auto"/>
        </w:rPr>
        <w:t>s</w:t>
      </w:r>
      <w:r w:rsidR="00952F5D" w:rsidRPr="00EB19CB">
        <w:rPr>
          <w:color w:val="auto"/>
        </w:rPr>
        <w:t xml:space="preserve"> between different physiological mechanisms, and how they are impacted by contrasted </w:t>
      </w:r>
      <w:r w:rsidR="00D25237" w:rsidRPr="00EB19CB">
        <w:rPr>
          <w:color w:val="auto"/>
        </w:rPr>
        <w:t>pedo-climatic</w:t>
      </w:r>
      <w:r w:rsidR="00952F5D" w:rsidRPr="00EB19CB">
        <w:rPr>
          <w:color w:val="auto"/>
        </w:rPr>
        <w:t xml:space="preserve"> </w:t>
      </w:r>
      <w:r w:rsidR="00F877E7" w:rsidRPr="00EB19CB">
        <w:rPr>
          <w:color w:val="auto"/>
        </w:rPr>
        <w:t xml:space="preserve">conditions </w:t>
      </w:r>
      <w:r w:rsidR="00952F5D" w:rsidRPr="00EB19CB">
        <w:rPr>
          <w:color w:val="auto"/>
        </w:rPr>
        <w:t>or human management.</w:t>
      </w:r>
      <w:bookmarkEnd w:id="1"/>
      <w:r w:rsidR="00CB4274" w:rsidRPr="00EB19CB">
        <w:rPr>
          <w:color w:val="auto"/>
        </w:rPr>
        <w:t xml:space="preserve"> </w:t>
      </w:r>
    </w:p>
    <w:p w14:paraId="628A03BC" w14:textId="6FE42F60" w:rsidR="00BF1D8C" w:rsidRPr="00EB19CB" w:rsidRDefault="00BF1D8C" w:rsidP="00BF1D8C">
      <w:pPr>
        <w:pStyle w:val="Publi3"/>
        <w:numPr>
          <w:ilvl w:val="0"/>
          <w:numId w:val="0"/>
        </w:numPr>
        <w:ind w:left="1428"/>
      </w:pPr>
      <w:r w:rsidRPr="00EB19CB">
        <w:t xml:space="preserve">2.2.2 </w:t>
      </w:r>
      <w:r w:rsidR="009D6979" w:rsidRPr="00EB19CB">
        <w:t xml:space="preserve">Tillage </w:t>
      </w:r>
      <w:r w:rsidR="0022024C" w:rsidRPr="00EB19CB">
        <w:t>simulation</w:t>
      </w:r>
    </w:p>
    <w:p w14:paraId="1FFA7555" w14:textId="626E82B7" w:rsidR="00684060" w:rsidRPr="00EB19CB" w:rsidRDefault="007F7315" w:rsidP="007F7315">
      <w:pPr>
        <w:pStyle w:val="PubliManuscript"/>
        <w:rPr>
          <w:color w:val="auto"/>
        </w:rPr>
      </w:pPr>
      <w:r w:rsidRPr="00EB19CB">
        <w:rPr>
          <w:color w:val="auto"/>
        </w:rPr>
        <w:t xml:space="preserve">Tillage in STICS mixes the newly added organic residues and remixes the previous residues </w:t>
      </w:r>
      <w:r w:rsidR="00CB75AA" w:rsidRPr="00EB19CB">
        <w:rPr>
          <w:color w:val="auto"/>
        </w:rPr>
        <w:t>which</w:t>
      </w:r>
      <w:r w:rsidRPr="00EB19CB">
        <w:rPr>
          <w:color w:val="auto"/>
        </w:rPr>
        <w:t xml:space="preserve"> are decomposing</w:t>
      </w:r>
      <w:r w:rsidR="00C52C4F" w:rsidRPr="00EB19CB">
        <w:rPr>
          <w:color w:val="auto"/>
        </w:rPr>
        <w:t xml:space="preserve">, homogenizing C-N pools, water and mineral N content in a </w:t>
      </w:r>
      <w:r w:rsidR="00DC0989" w:rsidRPr="00EB19CB">
        <w:rPr>
          <w:color w:val="auto"/>
        </w:rPr>
        <w:t xml:space="preserve">given </w:t>
      </w:r>
      <w:r w:rsidR="00C52C4F" w:rsidRPr="00EB19CB">
        <w:rPr>
          <w:color w:val="auto"/>
        </w:rPr>
        <w:t>soil layer specified by the user</w:t>
      </w:r>
      <w:r w:rsidR="00B3174D" w:rsidRPr="00EB19CB">
        <w:rPr>
          <w:color w:val="auto"/>
        </w:rPr>
        <w:t>.</w:t>
      </w:r>
      <w:r w:rsidRPr="00EB19CB">
        <w:rPr>
          <w:color w:val="auto"/>
        </w:rPr>
        <w:t xml:space="preserve"> </w:t>
      </w:r>
      <w:r w:rsidR="00B3174D" w:rsidRPr="00EB19CB">
        <w:rPr>
          <w:color w:val="auto"/>
        </w:rPr>
        <w:t>It also</w:t>
      </w:r>
      <w:r w:rsidRPr="00EB19CB">
        <w:rPr>
          <w:color w:val="auto"/>
        </w:rPr>
        <w:t xml:space="preserve"> </w:t>
      </w:r>
      <w:r w:rsidR="00F55409" w:rsidRPr="00EB19CB">
        <w:rPr>
          <w:color w:val="auto"/>
        </w:rPr>
        <w:t>modifies</w:t>
      </w:r>
      <w:r w:rsidRPr="00EB19CB">
        <w:rPr>
          <w:color w:val="auto"/>
        </w:rPr>
        <w:t xml:space="preserve"> the environmental conditions of decomposition such as temperature, soil water content, porosity and mineral N availability</w:t>
      </w:r>
      <w:r w:rsidR="00B3174D" w:rsidRPr="00EB19CB">
        <w:rPr>
          <w:color w:val="auto"/>
        </w:rPr>
        <w:t>.</w:t>
      </w:r>
    </w:p>
    <w:p w14:paraId="686FF7A5" w14:textId="18245BF5" w:rsidR="00DD1EDA" w:rsidRPr="00EB19CB" w:rsidRDefault="00ED58B9" w:rsidP="008F3F84">
      <w:pPr>
        <w:pStyle w:val="PubliManuscript"/>
        <w:rPr>
          <w:color w:val="auto"/>
        </w:rPr>
      </w:pPr>
      <w:r w:rsidRPr="00EB19CB">
        <w:rPr>
          <w:color w:val="auto"/>
        </w:rPr>
        <w:t>To simulate</w:t>
      </w:r>
      <w:r w:rsidR="00A83BAC" w:rsidRPr="00EB19CB">
        <w:rPr>
          <w:color w:val="auto"/>
        </w:rPr>
        <w:t xml:space="preserve"> the impact of</w:t>
      </w:r>
      <w:r w:rsidRPr="00EB19CB">
        <w:rPr>
          <w:color w:val="auto"/>
        </w:rPr>
        <w:t xml:space="preserve"> tillage on soil bulk density, we applied two different simulation schemes in CT and RT. </w:t>
      </w:r>
      <w:r w:rsidR="007B193E" w:rsidRPr="00EB19CB">
        <w:rPr>
          <w:color w:val="auto"/>
        </w:rPr>
        <w:t>Because b</w:t>
      </w:r>
      <w:r w:rsidRPr="00EB19CB">
        <w:rPr>
          <w:color w:val="auto"/>
        </w:rPr>
        <w:t>ulk density</w:t>
      </w:r>
      <w:r w:rsidR="007B193E" w:rsidRPr="00EB19CB">
        <w:rPr>
          <w:color w:val="auto"/>
        </w:rPr>
        <w:t xml:space="preserve"> is uniformized in CT by frequent tillage operations, it</w:t>
      </w:r>
      <w:r w:rsidRPr="00EB19CB">
        <w:rPr>
          <w:color w:val="auto"/>
        </w:rPr>
        <w:t xml:space="preserve"> was considered as constant </w:t>
      </w:r>
      <w:r w:rsidR="007B193E" w:rsidRPr="00EB19CB">
        <w:rPr>
          <w:color w:val="auto"/>
        </w:rPr>
        <w:t xml:space="preserve">and </w:t>
      </w:r>
      <w:r w:rsidRPr="00EB19CB">
        <w:rPr>
          <w:color w:val="auto"/>
        </w:rPr>
        <w:t>set at 1.3 g cm</w:t>
      </w:r>
      <w:r w:rsidRPr="00EB19CB">
        <w:rPr>
          <w:color w:val="auto"/>
          <w:vertAlign w:val="superscript"/>
        </w:rPr>
        <w:t>-3</w:t>
      </w:r>
      <w:r w:rsidR="007B193E" w:rsidRPr="00EB19CB">
        <w:rPr>
          <w:color w:val="auto"/>
        </w:rPr>
        <w:t xml:space="preserve"> </w:t>
      </w:r>
      <w:r w:rsidR="00B63EA1" w:rsidRPr="00EB19CB">
        <w:rPr>
          <w:color w:val="auto"/>
        </w:rPr>
        <w:t>for the 0-30</w:t>
      </w:r>
      <w:r w:rsidR="00876066" w:rsidRPr="00EB19CB">
        <w:rPr>
          <w:color w:val="auto"/>
        </w:rPr>
        <w:t xml:space="preserve"> </w:t>
      </w:r>
      <w:r w:rsidR="00B63EA1" w:rsidRPr="00EB19CB">
        <w:rPr>
          <w:color w:val="auto"/>
        </w:rPr>
        <w:t>cm</w:t>
      </w:r>
      <w:r w:rsidR="00F73453" w:rsidRPr="00EB19CB">
        <w:rPr>
          <w:color w:val="auto"/>
        </w:rPr>
        <w:t xml:space="preserve"> </w:t>
      </w:r>
      <w:r w:rsidR="00B63EA1" w:rsidRPr="00EB19CB">
        <w:rPr>
          <w:color w:val="auto"/>
        </w:rPr>
        <w:t xml:space="preserve">layer, </w:t>
      </w:r>
      <w:r w:rsidR="007B193E" w:rsidRPr="00EB19CB">
        <w:rPr>
          <w:color w:val="auto"/>
        </w:rPr>
        <w:t>based on</w:t>
      </w:r>
      <w:r w:rsidR="00B000CF" w:rsidRPr="00EB19CB">
        <w:rPr>
          <w:color w:val="auto"/>
        </w:rPr>
        <w:t xml:space="preserve"> initial</w:t>
      </w:r>
      <w:r w:rsidR="007B193E" w:rsidRPr="00EB19CB">
        <w:rPr>
          <w:color w:val="auto"/>
        </w:rPr>
        <w:t xml:space="preserve"> observations. </w:t>
      </w:r>
      <w:r w:rsidR="00D331C2" w:rsidRPr="00EB19CB">
        <w:rPr>
          <w:color w:val="auto"/>
        </w:rPr>
        <w:t xml:space="preserve">On the opposite, bulk density is known to </w:t>
      </w:r>
      <w:r w:rsidR="008A5A23" w:rsidRPr="00EB19CB">
        <w:rPr>
          <w:color w:val="auto"/>
        </w:rPr>
        <w:t>stratify</w:t>
      </w:r>
      <w:r w:rsidR="007665C9" w:rsidRPr="00EB19CB">
        <w:rPr>
          <w:color w:val="auto"/>
        </w:rPr>
        <w:t xml:space="preserve"> under</w:t>
      </w:r>
      <w:r w:rsidR="00D331C2" w:rsidRPr="00EB19CB">
        <w:rPr>
          <w:color w:val="auto"/>
        </w:rPr>
        <w:t xml:space="preserve"> decreasing disturbance and increasing SOC concentration (Fowler et al., 2023</w:t>
      </w:r>
      <w:r w:rsidR="00E43E25" w:rsidRPr="00EB19CB">
        <w:rPr>
          <w:color w:val="auto"/>
        </w:rPr>
        <w:t>; Schlüter et al., 2018</w:t>
      </w:r>
      <w:r w:rsidR="00D331C2" w:rsidRPr="00EB19CB">
        <w:rPr>
          <w:color w:val="auto"/>
        </w:rPr>
        <w:t>).</w:t>
      </w:r>
      <w:r w:rsidR="00CF0D21" w:rsidRPr="00EB19CB">
        <w:rPr>
          <w:color w:val="auto"/>
        </w:rPr>
        <w:t xml:space="preserve"> </w:t>
      </w:r>
      <w:r w:rsidR="00923570" w:rsidRPr="00EB19CB">
        <w:rPr>
          <w:color w:val="auto"/>
        </w:rPr>
        <w:t xml:space="preserve">These changes in bulk density were implemented using the fragmentation and compaction formalisms in STICS model (Beaudoin et al., 2022). The fragmentation STICS formalism allows to define distinct resulting bulk densities after </w:t>
      </w:r>
      <w:proofErr w:type="spellStart"/>
      <w:r w:rsidR="00923570" w:rsidRPr="00EB19CB">
        <w:rPr>
          <w:color w:val="auto"/>
        </w:rPr>
        <w:t>chiselling</w:t>
      </w:r>
      <w:proofErr w:type="spellEnd"/>
      <w:r w:rsidR="00923570" w:rsidRPr="00EB19CB">
        <w:rPr>
          <w:color w:val="auto"/>
        </w:rPr>
        <w:t xml:space="preserve"> or ploughing operations, whereas the compaction formalism permits to simulate an increase in bulk density as a </w:t>
      </w:r>
      <w:r w:rsidR="00245F40" w:rsidRPr="00EB19CB">
        <w:rPr>
          <w:color w:val="auto"/>
        </w:rPr>
        <w:t>consequence</w:t>
      </w:r>
      <w:r w:rsidR="00923570" w:rsidRPr="00EB19CB">
        <w:rPr>
          <w:color w:val="auto"/>
        </w:rPr>
        <w:t xml:space="preserve"> of sowing and harvesting operations. </w:t>
      </w:r>
      <w:r w:rsidR="00CF0D21" w:rsidRPr="00EB19CB">
        <w:rPr>
          <w:color w:val="auto"/>
        </w:rPr>
        <w:t xml:space="preserve">Therefore we considered that </w:t>
      </w:r>
      <w:proofErr w:type="spellStart"/>
      <w:r w:rsidR="00CF0D21" w:rsidRPr="00EB19CB">
        <w:rPr>
          <w:color w:val="auto"/>
        </w:rPr>
        <w:t>chiselling</w:t>
      </w:r>
      <w:proofErr w:type="spellEnd"/>
      <w:r w:rsidR="00CF0D21" w:rsidRPr="00EB19CB">
        <w:rPr>
          <w:color w:val="auto"/>
        </w:rPr>
        <w:t xml:space="preserve"> operations in RT reduced the bulk density to 1.1 g cm</w:t>
      </w:r>
      <w:r w:rsidR="00CF0D21" w:rsidRPr="00EB19CB">
        <w:rPr>
          <w:color w:val="auto"/>
          <w:vertAlign w:val="superscript"/>
        </w:rPr>
        <w:t>-3</w:t>
      </w:r>
      <w:r w:rsidR="00F73453" w:rsidRPr="00EB19CB">
        <w:rPr>
          <w:color w:val="auto"/>
          <w:vertAlign w:val="superscript"/>
        </w:rPr>
        <w:t xml:space="preserve"> </w:t>
      </w:r>
      <w:r w:rsidR="00B17A10" w:rsidRPr="00EB19CB">
        <w:rPr>
          <w:color w:val="auto"/>
        </w:rPr>
        <w:t xml:space="preserve">on the </w:t>
      </w:r>
      <w:r w:rsidR="00D20FAB" w:rsidRPr="00EB19CB">
        <w:rPr>
          <w:color w:val="auto"/>
        </w:rPr>
        <w:t>tilled</w:t>
      </w:r>
      <w:r w:rsidR="001C4AC4" w:rsidRPr="00EB19CB">
        <w:rPr>
          <w:color w:val="auto"/>
        </w:rPr>
        <w:t xml:space="preserve"> layer (0-10</w:t>
      </w:r>
      <w:r w:rsidR="00876066" w:rsidRPr="00EB19CB">
        <w:rPr>
          <w:color w:val="auto"/>
        </w:rPr>
        <w:t xml:space="preserve"> </w:t>
      </w:r>
      <w:r w:rsidR="001C4AC4" w:rsidRPr="00EB19CB">
        <w:rPr>
          <w:color w:val="auto"/>
        </w:rPr>
        <w:t xml:space="preserve">cm), </w:t>
      </w:r>
      <w:r w:rsidR="00F73453" w:rsidRPr="00EB19CB">
        <w:rPr>
          <w:color w:val="auto"/>
        </w:rPr>
        <w:t>in coherence with Fowler et al.</w:t>
      </w:r>
      <w:r w:rsidR="00811E6A" w:rsidRPr="00EB19CB">
        <w:rPr>
          <w:color w:val="auto"/>
        </w:rPr>
        <w:t xml:space="preserve"> (</w:t>
      </w:r>
      <w:r w:rsidR="00F73453" w:rsidRPr="00EB19CB">
        <w:rPr>
          <w:color w:val="auto"/>
        </w:rPr>
        <w:t>2023</w:t>
      </w:r>
      <w:r w:rsidR="00811E6A" w:rsidRPr="00EB19CB">
        <w:rPr>
          <w:color w:val="auto"/>
        </w:rPr>
        <w:t>)</w:t>
      </w:r>
      <w:r w:rsidR="00CF0D21" w:rsidRPr="00EB19CB">
        <w:rPr>
          <w:color w:val="auto"/>
        </w:rPr>
        <w:t xml:space="preserve">, whereas compaction increased it to </w:t>
      </w:r>
      <w:r w:rsidR="006C7DEA" w:rsidRPr="00EB19CB">
        <w:rPr>
          <w:color w:val="auto"/>
        </w:rPr>
        <w:t>1.5 g cm</w:t>
      </w:r>
      <w:r w:rsidR="006C7DEA" w:rsidRPr="00EB19CB">
        <w:rPr>
          <w:color w:val="auto"/>
          <w:vertAlign w:val="superscript"/>
        </w:rPr>
        <w:t>-3</w:t>
      </w:r>
      <w:r w:rsidR="006C7DEA" w:rsidRPr="00EB19CB">
        <w:rPr>
          <w:color w:val="auto"/>
        </w:rPr>
        <w:t xml:space="preserve"> on the 10-30</w:t>
      </w:r>
      <w:r w:rsidR="00876066" w:rsidRPr="00EB19CB">
        <w:rPr>
          <w:color w:val="auto"/>
        </w:rPr>
        <w:t xml:space="preserve"> </w:t>
      </w:r>
      <w:r w:rsidR="006C7DEA" w:rsidRPr="00EB19CB">
        <w:rPr>
          <w:color w:val="auto"/>
        </w:rPr>
        <w:t xml:space="preserve">cm </w:t>
      </w:r>
      <w:r w:rsidR="0036240C" w:rsidRPr="00EB19CB">
        <w:rPr>
          <w:color w:val="auto"/>
        </w:rPr>
        <w:t>soil horizon</w:t>
      </w:r>
      <w:r w:rsidR="00AA39E6" w:rsidRPr="00EB19CB">
        <w:rPr>
          <w:color w:val="auto"/>
        </w:rPr>
        <w:t xml:space="preserve"> after 4 years of experiment</w:t>
      </w:r>
      <w:r w:rsidR="00E05F87" w:rsidRPr="00EB19CB">
        <w:rPr>
          <w:color w:val="auto"/>
        </w:rPr>
        <w:t xml:space="preserve"> (Schlüter et al., 2018</w:t>
      </w:r>
      <w:r w:rsidR="0065517E" w:rsidRPr="00EB19CB">
        <w:rPr>
          <w:color w:val="auto"/>
        </w:rPr>
        <w:t>; Krauss et al., 2022</w:t>
      </w:r>
      <w:r w:rsidR="00C3725B" w:rsidRPr="00EB19CB">
        <w:rPr>
          <w:color w:val="auto"/>
        </w:rPr>
        <w:t>). In order to convert simulated SOC stocks in</w:t>
      </w:r>
      <w:r w:rsidR="00411A30" w:rsidRPr="00EB19CB">
        <w:rPr>
          <w:color w:val="auto"/>
        </w:rPr>
        <w:t>to</w:t>
      </w:r>
      <w:r w:rsidR="00C3725B" w:rsidRPr="00EB19CB">
        <w:rPr>
          <w:color w:val="auto"/>
        </w:rPr>
        <w:t xml:space="preserve"> contents and allow comparisons with observed SOC contents, as the model outputs do not differentiate SOC within the humified sub-horizons and only considers one main horizon (0-26 cm), we used an average bulk density of  1.3 g cm</w:t>
      </w:r>
      <w:r w:rsidR="00C3725B" w:rsidRPr="00EB19CB">
        <w:rPr>
          <w:color w:val="auto"/>
          <w:vertAlign w:val="superscript"/>
        </w:rPr>
        <w:t>-3</w:t>
      </w:r>
      <w:r w:rsidR="00C3725B" w:rsidRPr="00EB19CB">
        <w:rPr>
          <w:color w:val="auto"/>
        </w:rPr>
        <w:t xml:space="preserve"> to convert both CT and RT values. This value is inherently coherent for CT treatment, and is consistent for RT considering that bulk density is lower in the upper tilled layer, where SOC content is the greatest (and vice-versa for the deeper horizons).</w:t>
      </w:r>
    </w:p>
    <w:p w14:paraId="569AEDDC" w14:textId="5F3D2C6F" w:rsidR="009D6979" w:rsidRPr="00EB19CB" w:rsidRDefault="009D6979" w:rsidP="00891686">
      <w:pPr>
        <w:pStyle w:val="Publi3"/>
        <w:numPr>
          <w:ilvl w:val="0"/>
          <w:numId w:val="0"/>
        </w:numPr>
        <w:ind w:left="1428"/>
      </w:pPr>
      <w:r w:rsidRPr="00EB19CB">
        <w:lastRenderedPageBreak/>
        <w:t xml:space="preserve">2.2.3 Crop residues </w:t>
      </w:r>
      <w:r w:rsidR="00891686" w:rsidRPr="00EB19CB">
        <w:t>simulation</w:t>
      </w:r>
    </w:p>
    <w:p w14:paraId="63FFB366" w14:textId="7CB41C85" w:rsidR="00C7463C" w:rsidRPr="00EB19CB" w:rsidRDefault="009D50A0" w:rsidP="00C0241D">
      <w:pPr>
        <w:pStyle w:val="PubliManuscript"/>
        <w:rPr>
          <w:color w:val="auto"/>
        </w:rPr>
      </w:pPr>
      <w:r w:rsidRPr="00EB19CB">
        <w:rPr>
          <w:color w:val="auto"/>
        </w:rPr>
        <w:tab/>
        <w:t>STICS simulates the decomposition of the different crop residues and their humification due to microbial activity.</w:t>
      </w:r>
      <w:r w:rsidR="00FE080E" w:rsidRPr="00EB19CB">
        <w:rPr>
          <w:color w:val="auto"/>
        </w:rPr>
        <w:t xml:space="preserve"> </w:t>
      </w:r>
      <w:r w:rsidR="00AB7A46" w:rsidRPr="00EB19CB">
        <w:rPr>
          <w:color w:val="auto"/>
        </w:rPr>
        <w:t>M</w:t>
      </w:r>
      <w:r w:rsidR="00C0241D" w:rsidRPr="00EB19CB">
        <w:rPr>
          <w:color w:val="auto"/>
        </w:rPr>
        <w:t xml:space="preserve">ineralization is assumed to occur down to a certain depth which must be equal to or slightly greater than the maximum ploughing depth, since several studies suggest that the contribution of lower layers to total mineralization is small (Beaudoin et al., 2022). </w:t>
      </w:r>
      <w:bookmarkStart w:id="2" w:name="_Hlk168562286"/>
      <w:r w:rsidR="007D322E" w:rsidRPr="00EB19CB">
        <w:rPr>
          <w:color w:val="auto"/>
        </w:rPr>
        <w:t xml:space="preserve">It is recommended for the STICS model to set the parameter expressing the maximal depth with an active biological activity as </w:t>
      </w:r>
      <w:r w:rsidR="005232F8" w:rsidRPr="00EB19CB">
        <w:rPr>
          <w:color w:val="auto"/>
        </w:rPr>
        <w:t>equal to or 10% greater than the</w:t>
      </w:r>
      <w:r w:rsidR="007D322E" w:rsidRPr="00EB19CB">
        <w:rPr>
          <w:color w:val="auto"/>
        </w:rPr>
        <w:t xml:space="preserve"> ploughing dept</w:t>
      </w:r>
      <w:r w:rsidR="005232F8" w:rsidRPr="00EB19CB">
        <w:rPr>
          <w:color w:val="auto"/>
        </w:rPr>
        <w:t>h</w:t>
      </w:r>
      <w:r w:rsidR="007E413B" w:rsidRPr="00EB19CB">
        <w:rPr>
          <w:color w:val="auto"/>
        </w:rPr>
        <w:t xml:space="preserve"> (Beaudoin et al., 2008; </w:t>
      </w:r>
      <w:r w:rsidR="003B5570" w:rsidRPr="00EB19CB">
        <w:rPr>
          <w:color w:val="auto"/>
        </w:rPr>
        <w:t xml:space="preserve">Mary et al., 1999; </w:t>
      </w:r>
      <w:proofErr w:type="spellStart"/>
      <w:r w:rsidR="00603F0E" w:rsidRPr="00EB19CB">
        <w:rPr>
          <w:color w:val="auto"/>
        </w:rPr>
        <w:t>Ravelojaona</w:t>
      </w:r>
      <w:proofErr w:type="spellEnd"/>
      <w:r w:rsidR="00603F0E" w:rsidRPr="00EB19CB">
        <w:rPr>
          <w:color w:val="auto"/>
        </w:rPr>
        <w:t xml:space="preserve"> et al., 2023).</w:t>
      </w:r>
      <w:r w:rsidR="00FD57AC" w:rsidRPr="00EB19CB">
        <w:rPr>
          <w:color w:val="auto"/>
        </w:rPr>
        <w:t xml:space="preserve"> </w:t>
      </w:r>
      <w:r w:rsidR="001B7C87" w:rsidRPr="00EB19CB">
        <w:rPr>
          <w:color w:val="auto"/>
        </w:rPr>
        <w:t>Since</w:t>
      </w:r>
      <w:r w:rsidR="004B264F" w:rsidRPr="00EB19CB">
        <w:rPr>
          <w:color w:val="auto"/>
        </w:rPr>
        <w:t xml:space="preserve"> the maximal</w:t>
      </w:r>
      <w:r w:rsidR="004B264F" w:rsidRPr="00EB19CB">
        <w:rPr>
          <w:rFonts w:eastAsia="Calibri"/>
          <w:color w:val="auto"/>
          <w:lang w:val="en-GB"/>
        </w:rPr>
        <w:t xml:space="preserve"> ploughing depth is 25 cm, and that</w:t>
      </w:r>
      <w:r w:rsidR="001B7C87" w:rsidRPr="00EB19CB">
        <w:rPr>
          <w:rFonts w:eastAsia="Calibri"/>
          <w:color w:val="auto"/>
          <w:lang w:val="en-GB"/>
        </w:rPr>
        <w:t>, on the field trial, t</w:t>
      </w:r>
      <w:r w:rsidR="00AC1361" w:rsidRPr="00EB19CB">
        <w:rPr>
          <w:rFonts w:eastAsia="Calibri"/>
          <w:color w:val="auto"/>
          <w:lang w:val="en-GB"/>
        </w:rPr>
        <w:t>he presence of the plough sole is confirmed to be found around this approximative depth</w:t>
      </w:r>
      <w:r w:rsidR="00FD57AC" w:rsidRPr="00EB19CB">
        <w:rPr>
          <w:rFonts w:eastAsia="Calibri"/>
          <w:color w:val="auto"/>
          <w:lang w:val="en-GB"/>
        </w:rPr>
        <w:t xml:space="preserve"> </w:t>
      </w:r>
      <w:r w:rsidR="00AC1361" w:rsidRPr="00EB19CB">
        <w:rPr>
          <w:rFonts w:eastAsia="Calibri"/>
          <w:color w:val="auto"/>
          <w:lang w:val="en-GB"/>
        </w:rPr>
        <w:t>(Figure A</w:t>
      </w:r>
      <w:r w:rsidR="00BC5347" w:rsidRPr="00EB19CB">
        <w:rPr>
          <w:rFonts w:eastAsia="Calibri"/>
          <w:color w:val="auto"/>
          <w:lang w:val="en-GB"/>
        </w:rPr>
        <w:t>1</w:t>
      </w:r>
      <w:r w:rsidR="00AC1361" w:rsidRPr="00EB19CB">
        <w:rPr>
          <w:rFonts w:eastAsia="Calibri"/>
          <w:color w:val="auto"/>
          <w:lang w:val="en-GB"/>
        </w:rPr>
        <w:t>)</w:t>
      </w:r>
      <w:r w:rsidR="00FD57AC" w:rsidRPr="00EB19CB">
        <w:rPr>
          <w:rFonts w:eastAsia="Calibri"/>
          <w:color w:val="auto"/>
          <w:lang w:val="en-GB"/>
        </w:rPr>
        <w:t xml:space="preserve">, we set this parameter expressing the biologically active layer </w:t>
      </w:r>
      <w:r w:rsidR="007340FF" w:rsidRPr="00EB19CB">
        <w:rPr>
          <w:rFonts w:eastAsia="Calibri"/>
          <w:color w:val="auto"/>
          <w:lang w:val="en-GB"/>
        </w:rPr>
        <w:t>at</w:t>
      </w:r>
      <w:r w:rsidR="00FD57AC" w:rsidRPr="00EB19CB">
        <w:rPr>
          <w:rFonts w:eastAsia="Calibri"/>
          <w:color w:val="auto"/>
          <w:lang w:val="en-GB"/>
        </w:rPr>
        <w:t xml:space="preserve"> 26 cm</w:t>
      </w:r>
      <w:r w:rsidR="00B864DD" w:rsidRPr="00EB19CB">
        <w:rPr>
          <w:rFonts w:eastAsia="Calibri"/>
          <w:color w:val="auto"/>
          <w:lang w:val="en-GB"/>
        </w:rPr>
        <w:t xml:space="preserve"> (for both treatments CT and RT since we simulate them since the initialization of a contrasted tillage)</w:t>
      </w:r>
      <w:r w:rsidR="00AC1361" w:rsidRPr="00EB19CB">
        <w:rPr>
          <w:rFonts w:eastAsia="Calibri"/>
          <w:color w:val="auto"/>
          <w:lang w:val="en-GB"/>
        </w:rPr>
        <w:t>.</w:t>
      </w:r>
      <w:bookmarkEnd w:id="2"/>
      <w:r w:rsidR="0038302C" w:rsidRPr="00EB19CB">
        <w:rPr>
          <w:rFonts w:eastAsia="Calibri"/>
          <w:color w:val="auto"/>
          <w:lang w:val="en-GB"/>
        </w:rPr>
        <w:t xml:space="preserve"> </w:t>
      </w:r>
      <w:r w:rsidR="006F36AA" w:rsidRPr="00EB19CB">
        <w:rPr>
          <w:color w:val="auto"/>
        </w:rPr>
        <w:t>The</w:t>
      </w:r>
      <w:r w:rsidR="00FE080E" w:rsidRPr="00EB19CB">
        <w:rPr>
          <w:color w:val="auto"/>
        </w:rPr>
        <w:t xml:space="preserve"> fate of crop residues, either left on the field (the whole plant, or only the straw or stubble) or exported</w:t>
      </w:r>
      <w:r w:rsidR="006F36AA" w:rsidRPr="00EB19CB">
        <w:rPr>
          <w:color w:val="auto"/>
        </w:rPr>
        <w:t xml:space="preserve">, is </w:t>
      </w:r>
      <w:r w:rsidR="00040237" w:rsidRPr="00EB19CB">
        <w:rPr>
          <w:color w:val="auto"/>
        </w:rPr>
        <w:t>a</w:t>
      </w:r>
      <w:r w:rsidR="00CA0D5F" w:rsidRPr="00EB19CB">
        <w:rPr>
          <w:color w:val="auto"/>
        </w:rPr>
        <w:t>lso a</w:t>
      </w:r>
      <w:r w:rsidR="00040237" w:rsidRPr="00EB19CB">
        <w:rPr>
          <w:color w:val="auto"/>
        </w:rPr>
        <w:t xml:space="preserve"> parameter of the model</w:t>
      </w:r>
      <w:r w:rsidR="00FE080E" w:rsidRPr="00EB19CB">
        <w:rPr>
          <w:color w:val="auto"/>
        </w:rPr>
        <w:t>.</w:t>
      </w:r>
    </w:p>
    <w:p w14:paraId="494DCD5A" w14:textId="7DDD278A" w:rsidR="00AF0C92" w:rsidRPr="00EB19CB" w:rsidRDefault="00AF0C92" w:rsidP="00C7463C">
      <w:pPr>
        <w:pStyle w:val="PubliManuscript"/>
        <w:ind w:firstLine="0"/>
        <w:rPr>
          <w:color w:val="auto"/>
        </w:rPr>
      </w:pPr>
      <w:r w:rsidRPr="00EB19CB">
        <w:rPr>
          <w:b/>
          <w:bCs/>
          <w:color w:val="auto"/>
        </w:rPr>
        <w:tab/>
      </w:r>
      <w:r w:rsidR="00BD21D3" w:rsidRPr="00EB19CB">
        <w:rPr>
          <w:color w:val="auto"/>
        </w:rPr>
        <w:t>Th</w:t>
      </w:r>
      <w:r w:rsidRPr="00EB19CB">
        <w:rPr>
          <w:color w:val="auto"/>
        </w:rPr>
        <w:t xml:space="preserve">e decomposition of crop residues left as mulch </w:t>
      </w:r>
      <w:r w:rsidR="00515E3A" w:rsidRPr="00EB19CB">
        <w:rPr>
          <w:color w:val="auto"/>
        </w:rPr>
        <w:t>on the ground</w:t>
      </w:r>
      <w:r w:rsidRPr="00EB19CB">
        <w:rPr>
          <w:color w:val="auto"/>
        </w:rPr>
        <w:t xml:space="preserve"> </w:t>
      </w:r>
      <w:r w:rsidR="000509F4" w:rsidRPr="00EB19CB">
        <w:rPr>
          <w:color w:val="auto"/>
        </w:rPr>
        <w:t xml:space="preserve">is simulated </w:t>
      </w:r>
      <w:r w:rsidRPr="00EB19CB">
        <w:rPr>
          <w:color w:val="auto"/>
        </w:rPr>
        <w:t>by considering that it is composed of two layers: (</w:t>
      </w:r>
      <w:proofErr w:type="spellStart"/>
      <w:r w:rsidRPr="00EB19CB">
        <w:rPr>
          <w:i/>
          <w:iCs/>
          <w:color w:val="auto"/>
        </w:rPr>
        <w:t>i</w:t>
      </w:r>
      <w:proofErr w:type="spellEnd"/>
      <w:r w:rsidRPr="00EB19CB">
        <w:rPr>
          <w:color w:val="auto"/>
        </w:rPr>
        <w:t>) the upper one, which is above the soil and does not decompose yet; and (</w:t>
      </w:r>
      <w:r w:rsidRPr="00EB19CB">
        <w:rPr>
          <w:i/>
          <w:iCs/>
          <w:color w:val="auto"/>
        </w:rPr>
        <w:t>ii</w:t>
      </w:r>
      <w:r w:rsidRPr="00EB19CB">
        <w:rPr>
          <w:color w:val="auto"/>
        </w:rPr>
        <w:t xml:space="preserve">) the lower one, </w:t>
      </w:r>
      <w:r w:rsidR="00D30528" w:rsidRPr="00EB19CB">
        <w:rPr>
          <w:color w:val="auto"/>
        </w:rPr>
        <w:t>assumed to be in direct contact with the soil</w:t>
      </w:r>
      <w:r w:rsidR="00A7008B" w:rsidRPr="00EB19CB">
        <w:rPr>
          <w:color w:val="auto"/>
        </w:rPr>
        <w:t>. Decomposition rates were fitted on incubation experiments and are function of crop residues C/N ratio.</w:t>
      </w:r>
      <w:r w:rsidRPr="00EB19CB">
        <w:rPr>
          <w:color w:val="auto"/>
        </w:rPr>
        <w:t xml:space="preserve">  </w:t>
      </w:r>
    </w:p>
    <w:p w14:paraId="22DB182A" w14:textId="36911FDB" w:rsidR="00C7463C" w:rsidRPr="00EB19CB" w:rsidRDefault="00EE6BFC" w:rsidP="003E7483">
      <w:pPr>
        <w:pStyle w:val="PubliManuscript"/>
        <w:ind w:firstLine="0"/>
        <w:rPr>
          <w:color w:val="auto"/>
        </w:rPr>
      </w:pPr>
      <w:r w:rsidRPr="00EB19CB">
        <w:rPr>
          <w:b/>
          <w:bCs/>
          <w:color w:val="auto"/>
        </w:rPr>
        <w:tab/>
      </w:r>
      <w:r w:rsidR="00F7539F" w:rsidRPr="00EB19CB">
        <w:rPr>
          <w:color w:val="auto"/>
        </w:rPr>
        <w:t>In STICS, the presence of mulch residues has an impact on several soil physical conditions. It (</w:t>
      </w:r>
      <w:proofErr w:type="spellStart"/>
      <w:r w:rsidR="00F7539F" w:rsidRPr="00EB19CB">
        <w:rPr>
          <w:i/>
          <w:iCs/>
          <w:color w:val="auto"/>
        </w:rPr>
        <w:t>i</w:t>
      </w:r>
      <w:proofErr w:type="spellEnd"/>
      <w:r w:rsidR="00F7539F" w:rsidRPr="00EB19CB">
        <w:rPr>
          <w:color w:val="auto"/>
        </w:rPr>
        <w:t>) reduces water surface runoff, (</w:t>
      </w:r>
      <w:r w:rsidR="00F7539F" w:rsidRPr="00EB19CB">
        <w:rPr>
          <w:i/>
          <w:iCs/>
          <w:color w:val="auto"/>
        </w:rPr>
        <w:t>ii</w:t>
      </w:r>
      <w:r w:rsidR="00F7539F" w:rsidRPr="00EB19CB">
        <w:rPr>
          <w:color w:val="auto"/>
        </w:rPr>
        <w:t>) intercepts water, (</w:t>
      </w:r>
      <w:r w:rsidR="00F7539F" w:rsidRPr="00EB19CB">
        <w:rPr>
          <w:i/>
          <w:iCs/>
          <w:color w:val="auto"/>
        </w:rPr>
        <w:t>iii</w:t>
      </w:r>
      <w:r w:rsidR="00F7539F" w:rsidRPr="00EB19CB">
        <w:rPr>
          <w:color w:val="auto"/>
        </w:rPr>
        <w:t xml:space="preserve">) reduces direct soil evaporation, depending on the proportion of soil covered by the mulch (which is related to its quantity), and </w:t>
      </w:r>
      <w:r w:rsidR="00ED4BE1" w:rsidRPr="00EB19CB">
        <w:rPr>
          <w:color w:val="auto"/>
        </w:rPr>
        <w:t>(</w:t>
      </w:r>
      <w:r w:rsidR="00ED4BE1" w:rsidRPr="00EB19CB">
        <w:rPr>
          <w:i/>
          <w:iCs/>
          <w:color w:val="auto"/>
        </w:rPr>
        <w:t>iv</w:t>
      </w:r>
      <w:r w:rsidR="00ED4BE1" w:rsidRPr="00EB19CB">
        <w:rPr>
          <w:color w:val="auto"/>
        </w:rPr>
        <w:t xml:space="preserve">) </w:t>
      </w:r>
      <w:r w:rsidR="00F7539F" w:rsidRPr="00EB19CB">
        <w:rPr>
          <w:color w:val="auto"/>
        </w:rPr>
        <w:t>modifies both crop and soil temperatures, with a modification of the surface albedo and an impact on energy balance.</w:t>
      </w:r>
    </w:p>
    <w:p w14:paraId="001A76CB" w14:textId="670F60DE" w:rsidR="0071389C" w:rsidRPr="00EB19CB" w:rsidRDefault="0071389C" w:rsidP="0071389C">
      <w:pPr>
        <w:pStyle w:val="Publi3"/>
        <w:numPr>
          <w:ilvl w:val="0"/>
          <w:numId w:val="0"/>
        </w:numPr>
        <w:ind w:left="1428"/>
      </w:pPr>
      <w:r w:rsidRPr="00EB19CB">
        <w:t>2.2.4 Carbon balance</w:t>
      </w:r>
    </w:p>
    <w:p w14:paraId="332C2823" w14:textId="77777777" w:rsidR="004C2FD3" w:rsidRPr="00EB19CB" w:rsidRDefault="004C2FD3" w:rsidP="004C2FD3">
      <w:pPr>
        <w:pStyle w:val="PubliManuscript"/>
        <w:ind w:firstLine="708"/>
        <w:rPr>
          <w:color w:val="auto"/>
        </w:rPr>
      </w:pPr>
      <w:r w:rsidRPr="00EB19CB">
        <w:rPr>
          <w:color w:val="auto"/>
        </w:rPr>
        <w:t xml:space="preserve">The STICS model allows to compare SOC stocks over the biologically active soil layer where mineralization </w:t>
      </w:r>
      <w:r w:rsidRPr="00422B53">
        <w:rPr>
          <w:color w:val="auto"/>
        </w:rPr>
        <w:t>occurs (0-26 cm) (Beaudoin</w:t>
      </w:r>
      <w:r w:rsidRPr="00EB19CB">
        <w:rPr>
          <w:color w:val="auto"/>
        </w:rPr>
        <w:t xml:space="preserve"> et al., 2022).</w:t>
      </w:r>
    </w:p>
    <w:p w14:paraId="3C1A4219" w14:textId="2FCFA928" w:rsidR="0071389C" w:rsidRPr="00EB19CB" w:rsidRDefault="0071389C" w:rsidP="00530C6A">
      <w:pPr>
        <w:pStyle w:val="PubliManuscript"/>
        <w:ind w:firstLine="708"/>
        <w:rPr>
          <w:color w:val="auto"/>
        </w:rPr>
      </w:pPr>
      <w:r w:rsidRPr="00EB19CB">
        <w:rPr>
          <w:color w:val="auto"/>
        </w:rPr>
        <w:t>To be complete, in addition to SOC analysis, the evaluation of carbon balance must investigate carbon atmospheric fluxes such as respiration, photosynthesis and Net Ecosystem Exchange</w:t>
      </w:r>
      <w:r w:rsidR="0046469F" w:rsidRPr="00EB19CB">
        <w:rPr>
          <w:color w:val="auto"/>
        </w:rPr>
        <w:t xml:space="preserve"> (NEE)</w:t>
      </w:r>
      <w:r w:rsidR="00CE30F5" w:rsidRPr="00EB19CB">
        <w:rPr>
          <w:color w:val="auto"/>
        </w:rPr>
        <w:t>. Following the methodology of Delandmeter et al. (2023), we derived</w:t>
      </w:r>
      <w:r w:rsidR="00D40EAD" w:rsidRPr="00EB19CB">
        <w:rPr>
          <w:color w:val="auto"/>
        </w:rPr>
        <w:t xml:space="preserve"> from STICS model simulations</w:t>
      </w:r>
      <w:r w:rsidR="00CE30F5" w:rsidRPr="00EB19CB">
        <w:rPr>
          <w:color w:val="auto"/>
        </w:rPr>
        <w:t xml:space="preserve"> </w:t>
      </w:r>
      <w:r w:rsidR="00CE30F5" w:rsidRPr="00EB19CB">
        <w:rPr>
          <w:color w:val="auto"/>
        </w:rPr>
        <w:lastRenderedPageBreak/>
        <w:t>(</w:t>
      </w:r>
      <w:proofErr w:type="spellStart"/>
      <w:r w:rsidR="00CE30F5" w:rsidRPr="00EB19CB">
        <w:rPr>
          <w:i/>
          <w:iCs/>
          <w:color w:val="auto"/>
        </w:rPr>
        <w:t>i</w:t>
      </w:r>
      <w:proofErr w:type="spellEnd"/>
      <w:r w:rsidR="00CE30F5" w:rsidRPr="00EB19CB">
        <w:rPr>
          <w:color w:val="auto"/>
        </w:rPr>
        <w:t>) Gross Primary Productivity</w:t>
      </w:r>
      <w:r w:rsidR="0090769F" w:rsidRPr="00EB19CB">
        <w:rPr>
          <w:color w:val="auto"/>
        </w:rPr>
        <w:t xml:space="preserve"> (GPP)</w:t>
      </w:r>
      <w:r w:rsidR="00CE30F5" w:rsidRPr="00EB19CB">
        <w:rPr>
          <w:color w:val="auto"/>
        </w:rPr>
        <w:t xml:space="preserve"> from the autotrophic respiration and </w:t>
      </w:r>
      <w:r w:rsidR="00CD51E1" w:rsidRPr="00EB19CB">
        <w:rPr>
          <w:color w:val="auto"/>
        </w:rPr>
        <w:t xml:space="preserve">from </w:t>
      </w:r>
      <w:r w:rsidR="00CE30F5" w:rsidRPr="00EB19CB">
        <w:rPr>
          <w:color w:val="auto"/>
        </w:rPr>
        <w:t>the Net Primary Productivity, which was</w:t>
      </w:r>
      <w:r w:rsidR="00184DDF" w:rsidRPr="00EB19CB">
        <w:rPr>
          <w:color w:val="auto"/>
        </w:rPr>
        <w:t xml:space="preserve"> itself</w:t>
      </w:r>
      <w:r w:rsidR="00CE30F5" w:rsidRPr="00EB19CB">
        <w:rPr>
          <w:color w:val="auto"/>
        </w:rPr>
        <w:t xml:space="preserve"> computed </w:t>
      </w:r>
      <w:r w:rsidR="007F327B" w:rsidRPr="00EB19CB">
        <w:rPr>
          <w:color w:val="auto"/>
        </w:rPr>
        <w:t>as the</w:t>
      </w:r>
      <w:r w:rsidR="00CE30F5" w:rsidRPr="00EB19CB">
        <w:rPr>
          <w:color w:val="auto"/>
        </w:rPr>
        <w:t xml:space="preserve"> C increase</w:t>
      </w:r>
      <w:r w:rsidR="007F327B" w:rsidRPr="00EB19CB">
        <w:rPr>
          <w:color w:val="auto"/>
        </w:rPr>
        <w:t xml:space="preserve"> in the aboveground and belowground part</w:t>
      </w:r>
      <w:r w:rsidR="00146FF8" w:rsidRPr="00EB19CB">
        <w:rPr>
          <w:color w:val="auto"/>
        </w:rPr>
        <w:t>s</w:t>
      </w:r>
      <w:r w:rsidR="007F327B" w:rsidRPr="00EB19CB">
        <w:rPr>
          <w:color w:val="auto"/>
        </w:rPr>
        <w:t xml:space="preserve"> of the plant</w:t>
      </w:r>
      <w:r w:rsidR="00CE30F5" w:rsidRPr="00EB19CB">
        <w:rPr>
          <w:color w:val="auto"/>
        </w:rPr>
        <w:t>; (</w:t>
      </w:r>
      <w:r w:rsidR="00CE30F5" w:rsidRPr="00EB19CB">
        <w:rPr>
          <w:i/>
          <w:iCs/>
          <w:color w:val="auto"/>
        </w:rPr>
        <w:t>ii</w:t>
      </w:r>
      <w:r w:rsidR="00CE30F5" w:rsidRPr="00EB19CB">
        <w:rPr>
          <w:color w:val="auto"/>
        </w:rPr>
        <w:t xml:space="preserve">) autotrophic respiration (AR) </w:t>
      </w:r>
      <w:r w:rsidR="0082067F" w:rsidRPr="00EB19CB">
        <w:rPr>
          <w:color w:val="auto"/>
        </w:rPr>
        <w:t xml:space="preserve">by separately considering </w:t>
      </w:r>
      <w:r w:rsidR="003C5CEF" w:rsidRPr="00EB19CB">
        <w:rPr>
          <w:color w:val="auto"/>
        </w:rPr>
        <w:t xml:space="preserve">maintenance respiration (MR; computed from </w:t>
      </w:r>
      <w:r w:rsidR="00CE30F5" w:rsidRPr="00EB19CB">
        <w:rPr>
          <w:color w:val="auto"/>
        </w:rPr>
        <w:t>plant biomass</w:t>
      </w:r>
      <w:r w:rsidR="003C5CEF" w:rsidRPr="00EB19CB">
        <w:rPr>
          <w:color w:val="auto"/>
        </w:rPr>
        <w:t xml:space="preserve"> and </w:t>
      </w:r>
      <w:r w:rsidR="00CE30F5" w:rsidRPr="00EB19CB">
        <w:rPr>
          <w:color w:val="auto"/>
        </w:rPr>
        <w:t>plant nitrogen concentration</w:t>
      </w:r>
      <w:r w:rsidR="003C5CEF" w:rsidRPr="00EB19CB">
        <w:rPr>
          <w:color w:val="auto"/>
        </w:rPr>
        <w:t>) and growth respiration (</w:t>
      </w:r>
      <w:r w:rsidR="00D415AB" w:rsidRPr="00EB19CB">
        <w:rPr>
          <w:color w:val="auto"/>
        </w:rPr>
        <w:t xml:space="preserve">GR; </w:t>
      </w:r>
      <w:r w:rsidR="003C5CEF" w:rsidRPr="00EB19CB">
        <w:rPr>
          <w:color w:val="auto"/>
        </w:rPr>
        <w:t>calculated as a fixed fraction of the available carbon for growth (</w:t>
      </w:r>
      <w:r w:rsidR="00CE30F5" w:rsidRPr="00EB19CB">
        <w:rPr>
          <w:color w:val="auto"/>
        </w:rPr>
        <w:t>GPP</w:t>
      </w:r>
      <w:r w:rsidR="00797255" w:rsidRPr="00EB19CB">
        <w:rPr>
          <w:color w:val="auto"/>
        </w:rPr>
        <w:t>-MR))</w:t>
      </w:r>
      <w:r w:rsidR="00CE30F5" w:rsidRPr="00EB19CB">
        <w:rPr>
          <w:color w:val="auto"/>
        </w:rPr>
        <w:t>, (</w:t>
      </w:r>
      <w:r w:rsidR="00CE30F5" w:rsidRPr="00EB19CB">
        <w:rPr>
          <w:i/>
          <w:iCs/>
          <w:color w:val="auto"/>
        </w:rPr>
        <w:t>iii</w:t>
      </w:r>
      <w:r w:rsidR="00CE30F5" w:rsidRPr="00EB19CB">
        <w:rPr>
          <w:color w:val="auto"/>
        </w:rPr>
        <w:t>) heterotrophic respiration (HR) from the mineralization of residues and organic matter, and (</w:t>
      </w:r>
      <w:r w:rsidR="00CE30F5" w:rsidRPr="00EB19CB">
        <w:rPr>
          <w:i/>
          <w:iCs/>
          <w:color w:val="auto"/>
        </w:rPr>
        <w:t>iv</w:t>
      </w:r>
      <w:r w:rsidR="00CE30F5" w:rsidRPr="00EB19CB">
        <w:rPr>
          <w:color w:val="auto"/>
        </w:rPr>
        <w:t>) the NEE from the sum of GP</w:t>
      </w:r>
      <w:r w:rsidR="00B55724" w:rsidRPr="00EB19CB">
        <w:rPr>
          <w:color w:val="auto"/>
        </w:rPr>
        <w:t>P, AR and HR</w:t>
      </w:r>
      <w:r w:rsidR="00CE30F5" w:rsidRPr="00EB19CB">
        <w:rPr>
          <w:color w:val="auto"/>
        </w:rPr>
        <w:t>.</w:t>
      </w:r>
    </w:p>
    <w:p w14:paraId="211D7870" w14:textId="0D1084FA" w:rsidR="007F6BEA" w:rsidRPr="00EB19CB" w:rsidRDefault="00FC5471" w:rsidP="007F6BEA">
      <w:pPr>
        <w:pStyle w:val="Publi2"/>
        <w:spacing w:line="240" w:lineRule="auto"/>
        <w:rPr>
          <w:color w:val="auto"/>
        </w:rPr>
      </w:pPr>
      <w:r w:rsidRPr="00EB19CB">
        <w:rPr>
          <w:color w:val="auto"/>
        </w:rPr>
        <w:t xml:space="preserve"> </w:t>
      </w:r>
      <w:r w:rsidR="004C15AA" w:rsidRPr="00EB19CB">
        <w:rPr>
          <w:color w:val="auto"/>
        </w:rPr>
        <w:t xml:space="preserve">Crop model </w:t>
      </w:r>
      <w:r w:rsidR="00316DFF" w:rsidRPr="00EB19CB">
        <w:rPr>
          <w:color w:val="auto"/>
        </w:rPr>
        <w:t>parameterization</w:t>
      </w:r>
      <w:r w:rsidR="004C08C6" w:rsidRPr="00EB19CB">
        <w:rPr>
          <w:color w:val="auto"/>
        </w:rPr>
        <w:t xml:space="preserve"> and </w:t>
      </w:r>
      <w:r w:rsidR="004C15AA" w:rsidRPr="00EB19CB">
        <w:rPr>
          <w:color w:val="auto"/>
        </w:rPr>
        <w:t>validation</w:t>
      </w:r>
    </w:p>
    <w:p w14:paraId="03AE9BC2" w14:textId="0FC60997" w:rsidR="004C08C6" w:rsidRPr="00EB19CB" w:rsidRDefault="00680D12" w:rsidP="00680D12">
      <w:pPr>
        <w:pStyle w:val="Publi3"/>
        <w:numPr>
          <w:ilvl w:val="0"/>
          <w:numId w:val="0"/>
        </w:numPr>
        <w:ind w:left="1428"/>
      </w:pPr>
      <w:r w:rsidRPr="00EB19CB">
        <w:t>2.</w:t>
      </w:r>
      <w:r w:rsidR="00F72B6F" w:rsidRPr="00EB19CB">
        <w:t>3</w:t>
      </w:r>
      <w:r w:rsidRPr="00EB19CB">
        <w:t xml:space="preserve">.1 </w:t>
      </w:r>
      <w:r w:rsidR="00D5300B" w:rsidRPr="00EB19CB">
        <w:t>Parameterization</w:t>
      </w:r>
    </w:p>
    <w:p w14:paraId="5B654763" w14:textId="6B5EC028" w:rsidR="00465198" w:rsidRPr="00EB19CB" w:rsidRDefault="00E7043B" w:rsidP="00733727">
      <w:pPr>
        <w:pStyle w:val="PubliManuscript"/>
        <w:rPr>
          <w:color w:val="auto"/>
        </w:rPr>
      </w:pPr>
      <w:r w:rsidRPr="00EB19CB">
        <w:rPr>
          <w:color w:val="auto"/>
        </w:rPr>
        <w:t>For</w:t>
      </w:r>
      <w:r w:rsidR="009A24B3" w:rsidRPr="00EB19CB">
        <w:rPr>
          <w:color w:val="auto"/>
        </w:rPr>
        <w:t xml:space="preserve"> this study</w:t>
      </w:r>
      <w:r w:rsidRPr="00EB19CB">
        <w:rPr>
          <w:color w:val="auto"/>
        </w:rPr>
        <w:t>, we used</w:t>
      </w:r>
      <w:r w:rsidR="009A24B3" w:rsidRPr="00EB19CB">
        <w:rPr>
          <w:color w:val="auto"/>
        </w:rPr>
        <w:t xml:space="preserve"> the </w:t>
      </w:r>
      <w:r w:rsidR="000A0B78" w:rsidRPr="00EB19CB">
        <w:rPr>
          <w:color w:val="auto"/>
        </w:rPr>
        <w:t xml:space="preserve">standard </w:t>
      </w:r>
      <w:r w:rsidR="009A24B3" w:rsidRPr="00EB19CB">
        <w:rPr>
          <w:color w:val="auto"/>
        </w:rPr>
        <w:t xml:space="preserve">version </w:t>
      </w:r>
      <w:r w:rsidR="006A4B59" w:rsidRPr="00EB19CB">
        <w:rPr>
          <w:color w:val="auto"/>
        </w:rPr>
        <w:t>v</w:t>
      </w:r>
      <w:r w:rsidR="003F54AB" w:rsidRPr="00EB19CB">
        <w:rPr>
          <w:color w:val="auto"/>
        </w:rPr>
        <w:t>10</w:t>
      </w:r>
      <w:r w:rsidR="009A24B3" w:rsidRPr="00EB19CB">
        <w:rPr>
          <w:color w:val="auto"/>
        </w:rPr>
        <w:t xml:space="preserve"> of STICS</w:t>
      </w:r>
      <w:r w:rsidR="00190638" w:rsidRPr="00EB19CB">
        <w:rPr>
          <w:color w:val="auto"/>
        </w:rPr>
        <w:t xml:space="preserve"> (Beaudoin et al., 2022)</w:t>
      </w:r>
      <w:r w:rsidR="009A24B3" w:rsidRPr="00EB19CB">
        <w:rPr>
          <w:color w:val="auto"/>
        </w:rPr>
        <w:t>.</w:t>
      </w:r>
      <w:r w:rsidR="00733727" w:rsidRPr="00EB19CB">
        <w:rPr>
          <w:color w:val="auto"/>
        </w:rPr>
        <w:t xml:space="preserve"> </w:t>
      </w:r>
      <w:r w:rsidR="00465198" w:rsidRPr="00EB19CB">
        <w:rPr>
          <w:color w:val="auto"/>
        </w:rPr>
        <w:t>Soil parameters initializing the simulations originate</w:t>
      </w:r>
      <w:r w:rsidR="00A31AD4" w:rsidRPr="00EB19CB">
        <w:rPr>
          <w:color w:val="auto"/>
        </w:rPr>
        <w:t>d</w:t>
      </w:r>
      <w:r w:rsidR="00465198" w:rsidRPr="00EB19CB">
        <w:rPr>
          <w:color w:val="auto"/>
        </w:rPr>
        <w:t xml:space="preserve"> from </w:t>
      </w:r>
      <w:r w:rsidR="00960B14" w:rsidRPr="00EB19CB">
        <w:rPr>
          <w:color w:val="auto"/>
        </w:rPr>
        <w:t>observations</w:t>
      </w:r>
      <w:r w:rsidR="00A31AD4" w:rsidRPr="00EB19CB">
        <w:rPr>
          <w:color w:val="auto"/>
        </w:rPr>
        <w:t xml:space="preserve"> used to define a standard profile</w:t>
      </w:r>
      <w:r w:rsidR="008B49A6" w:rsidRPr="00EB19CB">
        <w:rPr>
          <w:color w:val="auto"/>
        </w:rPr>
        <w:t>.</w:t>
      </w:r>
      <w:r w:rsidR="00E56ABD" w:rsidRPr="00EB19CB">
        <w:rPr>
          <w:color w:val="auto"/>
        </w:rPr>
        <w:t xml:space="preserve"> Key parameters </w:t>
      </w:r>
      <w:r w:rsidR="0013797C" w:rsidRPr="00EB19CB">
        <w:rPr>
          <w:color w:val="auto"/>
        </w:rPr>
        <w:t>for soil initialization</w:t>
      </w:r>
      <w:r w:rsidR="004B3D97" w:rsidRPr="00EB19CB">
        <w:rPr>
          <w:color w:val="auto"/>
        </w:rPr>
        <w:t xml:space="preserve">, global and related to each soil layer, are described in Table </w:t>
      </w:r>
      <w:r w:rsidR="00B11588" w:rsidRPr="00EB19CB">
        <w:rPr>
          <w:color w:val="auto"/>
        </w:rPr>
        <w:t>A</w:t>
      </w:r>
      <w:r w:rsidR="00800848" w:rsidRPr="00EB19CB">
        <w:rPr>
          <w:color w:val="auto"/>
        </w:rPr>
        <w:t>3</w:t>
      </w:r>
      <w:r w:rsidR="004B3D97" w:rsidRPr="00EB19CB">
        <w:rPr>
          <w:color w:val="auto"/>
        </w:rPr>
        <w:t xml:space="preserve">. </w:t>
      </w:r>
      <w:r w:rsidR="001C1244" w:rsidRPr="00EB19CB">
        <w:rPr>
          <w:color w:val="auto"/>
        </w:rPr>
        <w:t>For the plants, we used the standard parameters files provided with STICS v10, which were validated on the extensive and diversified datasets from which the STICS core team assess</w:t>
      </w:r>
      <w:r w:rsidR="00DE37BF" w:rsidRPr="00EB19CB">
        <w:rPr>
          <w:color w:val="auto"/>
        </w:rPr>
        <w:t>es</w:t>
      </w:r>
      <w:r w:rsidR="001C1244" w:rsidRPr="00EB19CB">
        <w:rPr>
          <w:color w:val="auto"/>
        </w:rPr>
        <w:t xml:space="preserve"> any improvement made to the model formalization (Beaudoin et al., 2022). Few minor parameters were modified from standard values for faba bean (M. Launay, personal communication - based on distinct field experiments) and for winter wheat (based on authors’ previous stud</w:t>
      </w:r>
      <w:r w:rsidR="000B4E08" w:rsidRPr="00EB19CB">
        <w:rPr>
          <w:color w:val="auto"/>
        </w:rPr>
        <w:t>ies</w:t>
      </w:r>
      <w:r w:rsidR="001C1244" w:rsidRPr="00EB19CB">
        <w:rPr>
          <w:color w:val="auto"/>
        </w:rPr>
        <w:t xml:space="preserve"> conducted in similar pedo-climatic context</w:t>
      </w:r>
      <w:r w:rsidR="00BE03D4" w:rsidRPr="00EB19CB">
        <w:rPr>
          <w:color w:val="auto"/>
        </w:rPr>
        <w:t>s</w:t>
      </w:r>
      <w:r w:rsidR="001C1244" w:rsidRPr="00EB19CB">
        <w:rPr>
          <w:color w:val="auto"/>
        </w:rPr>
        <w:t xml:space="preserve"> - Delandmeter et al., 2023; Dumont et al., 2015; </w:t>
      </w:r>
      <w:proofErr w:type="spellStart"/>
      <w:r w:rsidR="001C1244" w:rsidRPr="00EB19CB">
        <w:rPr>
          <w:color w:val="auto"/>
        </w:rPr>
        <w:t>Artru</w:t>
      </w:r>
      <w:proofErr w:type="spellEnd"/>
      <w:r w:rsidR="001C1244" w:rsidRPr="00EB19CB">
        <w:rPr>
          <w:color w:val="auto"/>
        </w:rPr>
        <w:t xml:space="preserve"> et al., 2018).</w:t>
      </w:r>
    </w:p>
    <w:p w14:paraId="471180B9" w14:textId="0E554231" w:rsidR="00AC1705" w:rsidRPr="00EB19CB" w:rsidRDefault="00FF0A38" w:rsidP="00733727">
      <w:pPr>
        <w:pStyle w:val="PubliManuscript"/>
        <w:rPr>
          <w:color w:val="auto"/>
        </w:rPr>
      </w:pPr>
      <w:r w:rsidRPr="00EB19CB">
        <w:rPr>
          <w:color w:val="auto"/>
        </w:rPr>
        <w:t xml:space="preserve">Technical itineraries </w:t>
      </w:r>
      <w:r w:rsidR="00C96CF9" w:rsidRPr="00EB19CB">
        <w:rPr>
          <w:color w:val="auto"/>
        </w:rPr>
        <w:t>were parameterized to simulate the exact crop management of the field experiment, detailing sowing depth and seed density, nitrogen fertilization, stubble breaking</w:t>
      </w:r>
      <w:r w:rsidR="007E318B" w:rsidRPr="00EB19CB">
        <w:rPr>
          <w:color w:val="auto"/>
        </w:rPr>
        <w:t xml:space="preserve">, </w:t>
      </w:r>
      <w:r w:rsidR="004A0860" w:rsidRPr="00EB19CB">
        <w:rPr>
          <w:color w:val="auto"/>
        </w:rPr>
        <w:t>soil tillage</w:t>
      </w:r>
      <w:r w:rsidR="00C96CF9" w:rsidRPr="00EB19CB">
        <w:rPr>
          <w:color w:val="auto"/>
        </w:rPr>
        <w:t xml:space="preserve">, harvest date, etc. (Table A1). </w:t>
      </w:r>
    </w:p>
    <w:p w14:paraId="3534A553" w14:textId="4D9B9C62" w:rsidR="004C08C6" w:rsidRPr="00EB19CB" w:rsidRDefault="00680D12" w:rsidP="00680D12">
      <w:pPr>
        <w:pStyle w:val="Publi3"/>
        <w:numPr>
          <w:ilvl w:val="0"/>
          <w:numId w:val="0"/>
        </w:numPr>
        <w:ind w:left="1428"/>
      </w:pPr>
      <w:r w:rsidRPr="00EB19CB">
        <w:t>2.</w:t>
      </w:r>
      <w:r w:rsidR="00F72B6F" w:rsidRPr="00EB19CB">
        <w:t>3</w:t>
      </w:r>
      <w:r w:rsidRPr="00EB19CB">
        <w:t xml:space="preserve">.2 </w:t>
      </w:r>
      <w:r w:rsidR="004C08C6" w:rsidRPr="00EB19CB">
        <w:t>Validation</w:t>
      </w:r>
    </w:p>
    <w:p w14:paraId="376441D8" w14:textId="2F0AB23B" w:rsidR="00C977BD" w:rsidRPr="00EB19CB" w:rsidRDefault="006B6EA3" w:rsidP="00847574">
      <w:pPr>
        <w:pStyle w:val="PubliManuscript"/>
        <w:rPr>
          <w:color w:val="auto"/>
        </w:rPr>
      </w:pPr>
      <w:r w:rsidRPr="00EB19CB">
        <w:rPr>
          <w:color w:val="auto"/>
        </w:rPr>
        <w:t>In order to evaluate the accuracy of the model simulations,</w:t>
      </w:r>
      <w:r w:rsidR="00BA4916" w:rsidRPr="00EB19CB">
        <w:rPr>
          <w:color w:val="auto"/>
        </w:rPr>
        <w:t xml:space="preserve"> we compare</w:t>
      </w:r>
      <w:r w:rsidR="00AF6A61" w:rsidRPr="00EB19CB">
        <w:rPr>
          <w:color w:val="auto"/>
        </w:rPr>
        <w:t>d</w:t>
      </w:r>
      <w:r w:rsidR="00BA4916" w:rsidRPr="00EB19CB">
        <w:rPr>
          <w:color w:val="auto"/>
        </w:rPr>
        <w:t xml:space="preserve"> the simulations </w:t>
      </w:r>
      <m:oMath>
        <m:acc>
          <m:accPr>
            <m:ctrlPr>
              <w:rPr>
                <w:rFonts w:ascii="Cambria Math" w:hAnsi="Cambria Math"/>
                <w:i/>
                <w:color w:val="auto"/>
              </w:rPr>
            </m:ctrlPr>
          </m:accPr>
          <m:e>
            <m:sSub>
              <m:sSubPr>
                <m:ctrlPr>
                  <w:rPr>
                    <w:rFonts w:ascii="Cambria Math" w:hAnsi="Cambria Math"/>
                    <w:i/>
                    <w:color w:val="auto"/>
                  </w:rPr>
                </m:ctrlPr>
              </m:sSubPr>
              <m:e>
                <m:r>
                  <w:rPr>
                    <w:rFonts w:ascii="Cambria Math" w:hAnsi="Cambria Math"/>
                    <w:color w:val="auto"/>
                  </w:rPr>
                  <m:t>Y</m:t>
                </m:r>
              </m:e>
              <m:sub>
                <m:r>
                  <w:rPr>
                    <w:rFonts w:ascii="Cambria Math" w:hAnsi="Cambria Math"/>
                    <w:color w:val="auto"/>
                  </w:rPr>
                  <m:t>i</m:t>
                </m:r>
              </m:sub>
            </m:sSub>
          </m:e>
        </m:acc>
      </m:oMath>
      <w:r w:rsidR="00BA4916" w:rsidRPr="00EB19CB">
        <w:rPr>
          <w:color w:val="auto"/>
        </w:rPr>
        <w:t xml:space="preserve"> and the observations </w:t>
      </w:r>
      <m:oMath>
        <m:sSub>
          <m:sSubPr>
            <m:ctrlPr>
              <w:rPr>
                <w:rFonts w:ascii="Cambria Math" w:hAnsi="Cambria Math"/>
                <w:i/>
                <w:color w:val="auto"/>
              </w:rPr>
            </m:ctrlPr>
          </m:sSubPr>
          <m:e>
            <m:r>
              <w:rPr>
                <w:rFonts w:ascii="Cambria Math" w:hAnsi="Cambria Math"/>
                <w:color w:val="auto"/>
              </w:rPr>
              <m:t>Y</m:t>
            </m:r>
          </m:e>
          <m:sub>
            <m:r>
              <w:rPr>
                <w:rFonts w:ascii="Cambria Math" w:hAnsi="Cambria Math"/>
                <w:color w:val="auto"/>
              </w:rPr>
              <m:t>i</m:t>
            </m:r>
          </m:sub>
        </m:sSub>
      </m:oMath>
      <w:r w:rsidR="00BA4916" w:rsidRPr="00EB19CB">
        <w:rPr>
          <w:color w:val="auto"/>
        </w:rPr>
        <w:t>.</w:t>
      </w:r>
      <w:r w:rsidRPr="00EB19CB">
        <w:rPr>
          <w:color w:val="auto"/>
        </w:rPr>
        <w:t xml:space="preserve"> </w:t>
      </w:r>
      <w:r w:rsidR="00C977BD" w:rsidRPr="00EB19CB">
        <w:rPr>
          <w:color w:val="auto"/>
        </w:rPr>
        <w:t xml:space="preserve">Based on field data availability, the target variables included the aboveground biomass, the yield of all crops but also specifically the yield of crops for which grains are harvested (wheat, maize, faba bean), the crop residues biomass and </w:t>
      </w:r>
      <w:r w:rsidR="0011660B" w:rsidRPr="00EB19CB">
        <w:rPr>
          <w:color w:val="auto"/>
        </w:rPr>
        <w:t xml:space="preserve">topsoil </w:t>
      </w:r>
      <w:r w:rsidR="00566A81" w:rsidRPr="00EB19CB">
        <w:rPr>
          <w:color w:val="auto"/>
        </w:rPr>
        <w:t>SOC contents.</w:t>
      </w:r>
    </w:p>
    <w:p w14:paraId="6A45ABD0" w14:textId="09D12537" w:rsidR="006B6EA3" w:rsidRPr="00EB19CB" w:rsidRDefault="002A4C19" w:rsidP="00847574">
      <w:pPr>
        <w:pStyle w:val="PubliManuscript"/>
        <w:rPr>
          <w:color w:val="auto"/>
        </w:rPr>
      </w:pPr>
      <w:r w:rsidRPr="00EB19CB">
        <w:rPr>
          <w:color w:val="auto"/>
        </w:rPr>
        <w:t>T</w:t>
      </w:r>
      <w:r w:rsidR="00873505" w:rsidRPr="00EB19CB">
        <w:rPr>
          <w:color w:val="auto"/>
        </w:rPr>
        <w:t>hree</w:t>
      </w:r>
      <w:r w:rsidR="006B6EA3" w:rsidRPr="00EB19CB">
        <w:rPr>
          <w:color w:val="auto"/>
        </w:rPr>
        <w:t xml:space="preserve"> different indicators</w:t>
      </w:r>
      <w:r w:rsidRPr="00EB19CB">
        <w:rPr>
          <w:color w:val="auto"/>
        </w:rPr>
        <w:t xml:space="preserve"> were used to compare simulations and observations</w:t>
      </w:r>
      <w:r w:rsidR="006B6EA3" w:rsidRPr="00EB19CB">
        <w:rPr>
          <w:color w:val="auto"/>
        </w:rPr>
        <w:t xml:space="preserve">: the Root Mean </w:t>
      </w:r>
      <w:r w:rsidR="006B6EA3" w:rsidRPr="00EB19CB">
        <w:rPr>
          <w:color w:val="auto"/>
        </w:rPr>
        <w:lastRenderedPageBreak/>
        <w:t>Square Error (RMSE), the Model Efficiency (EF) and the Normalized Deviation (ND)</w:t>
      </w:r>
      <w:r w:rsidR="0097602C" w:rsidRPr="00EB19CB">
        <w:rPr>
          <w:color w:val="auto"/>
        </w:rPr>
        <w:t>:</w:t>
      </w:r>
    </w:p>
    <w:p w14:paraId="29A78EEC" w14:textId="2C4223A7" w:rsidR="00EA7C25" w:rsidRPr="00EB19CB" w:rsidRDefault="00844D1A" w:rsidP="00A2618A">
      <w:pPr>
        <w:pStyle w:val="PubliManuscript"/>
        <w:spacing w:line="240" w:lineRule="auto"/>
        <w:ind w:firstLine="0"/>
        <w:rPr>
          <w:color w:val="auto"/>
        </w:rPr>
      </w:pPr>
      <m:oMathPara>
        <m:oMath>
          <m:r>
            <w:rPr>
              <w:rFonts w:ascii="Cambria Math" w:hAnsi="Cambria Math"/>
              <w:color w:val="auto"/>
            </w:rPr>
            <m:t xml:space="preserve">RMSE= </m:t>
          </m:r>
          <m:rad>
            <m:radPr>
              <m:degHide m:val="1"/>
              <m:ctrlPr>
                <w:rPr>
                  <w:rFonts w:ascii="Cambria Math" w:hAnsi="Cambria Math"/>
                  <w:i/>
                  <w:color w:val="auto"/>
                </w:rPr>
              </m:ctrlPr>
            </m:radPr>
            <m:deg/>
            <m:e>
              <m:r>
                <w:rPr>
                  <w:rFonts w:ascii="Cambria Math" w:hAnsi="Cambria Math"/>
                  <w:color w:val="auto"/>
                </w:rPr>
                <m:t xml:space="preserve"> </m:t>
              </m:r>
              <m:f>
                <m:fPr>
                  <m:ctrlPr>
                    <w:rPr>
                      <w:rFonts w:ascii="Cambria Math" w:hAnsi="Cambria Math"/>
                      <w:i/>
                      <w:color w:val="auto"/>
                    </w:rPr>
                  </m:ctrlPr>
                </m:fPr>
                <m:num>
                  <m:r>
                    <w:rPr>
                      <w:rFonts w:ascii="Cambria Math" w:hAnsi="Cambria Math"/>
                      <w:color w:val="auto"/>
                    </w:rPr>
                    <m:t>1</m:t>
                  </m:r>
                </m:num>
                <m:den>
                  <m:r>
                    <w:rPr>
                      <w:rFonts w:ascii="Cambria Math" w:hAnsi="Cambria Math"/>
                      <w:color w:val="auto"/>
                    </w:rPr>
                    <m:t>n</m:t>
                  </m:r>
                </m:den>
              </m:f>
              <m:r>
                <w:rPr>
                  <w:rFonts w:ascii="Cambria Math" w:hAnsi="Cambria Math"/>
                  <w:color w:val="auto"/>
                </w:rPr>
                <m:t xml:space="preserve"> </m:t>
              </m:r>
              <m:nary>
                <m:naryPr>
                  <m:chr m:val="∑"/>
                  <m:limLoc m:val="undOvr"/>
                  <m:ctrlPr>
                    <w:rPr>
                      <w:rFonts w:ascii="Cambria Math" w:hAnsi="Cambria Math"/>
                      <w:i/>
                      <w:color w:val="auto"/>
                    </w:rPr>
                  </m:ctrlPr>
                </m:naryPr>
                <m:sub>
                  <m:r>
                    <w:rPr>
                      <w:rFonts w:ascii="Cambria Math" w:hAnsi="Cambria Math"/>
                      <w:color w:val="auto"/>
                    </w:rPr>
                    <m:t>i=1</m:t>
                  </m:r>
                </m:sub>
                <m:sup>
                  <m:r>
                    <w:rPr>
                      <w:rFonts w:ascii="Cambria Math" w:hAnsi="Cambria Math"/>
                      <w:color w:val="auto"/>
                    </w:rPr>
                    <m:t>n</m:t>
                  </m:r>
                </m:sup>
                <m:e>
                  <m:sSup>
                    <m:sSupPr>
                      <m:ctrlPr>
                        <w:rPr>
                          <w:rFonts w:ascii="Cambria Math" w:hAnsi="Cambria Math"/>
                          <w:i/>
                          <w:color w:val="auto"/>
                        </w:rPr>
                      </m:ctrlPr>
                    </m:sSupPr>
                    <m:e>
                      <m:r>
                        <w:rPr>
                          <w:rFonts w:ascii="Cambria Math" w:hAnsi="Cambria Math"/>
                          <w:color w:val="auto"/>
                        </w:rPr>
                        <m:t>(</m:t>
                      </m:r>
                      <m:acc>
                        <m:accPr>
                          <m:ctrlPr>
                            <w:rPr>
                              <w:rFonts w:ascii="Cambria Math" w:hAnsi="Cambria Math"/>
                              <w:i/>
                              <w:color w:val="auto"/>
                            </w:rPr>
                          </m:ctrlPr>
                        </m:accPr>
                        <m:e>
                          <m:sSub>
                            <m:sSubPr>
                              <m:ctrlPr>
                                <w:rPr>
                                  <w:rFonts w:ascii="Cambria Math" w:hAnsi="Cambria Math"/>
                                  <w:i/>
                                  <w:color w:val="auto"/>
                                </w:rPr>
                              </m:ctrlPr>
                            </m:sSubPr>
                            <m:e>
                              <m:r>
                                <w:rPr>
                                  <w:rFonts w:ascii="Cambria Math" w:hAnsi="Cambria Math"/>
                                  <w:color w:val="auto"/>
                                </w:rPr>
                                <m:t>Y</m:t>
                              </m:r>
                            </m:e>
                            <m:sub>
                              <m:r>
                                <w:rPr>
                                  <w:rFonts w:ascii="Cambria Math" w:hAnsi="Cambria Math"/>
                                  <w:color w:val="auto"/>
                                </w:rPr>
                                <m:t>i</m:t>
                              </m:r>
                            </m:sub>
                          </m:sSub>
                        </m:e>
                      </m:acc>
                      <m:r>
                        <w:rPr>
                          <w:rFonts w:ascii="Cambria Math" w:hAnsi="Cambria Math"/>
                          <w:color w:val="auto"/>
                        </w:rPr>
                        <m:t>-</m:t>
                      </m:r>
                      <m:sSub>
                        <m:sSubPr>
                          <m:ctrlPr>
                            <w:rPr>
                              <w:rFonts w:ascii="Cambria Math" w:hAnsi="Cambria Math"/>
                              <w:i/>
                              <w:color w:val="auto"/>
                            </w:rPr>
                          </m:ctrlPr>
                        </m:sSubPr>
                        <m:e>
                          <m:r>
                            <w:rPr>
                              <w:rFonts w:ascii="Cambria Math" w:hAnsi="Cambria Math"/>
                              <w:color w:val="auto"/>
                            </w:rPr>
                            <m:t>Y</m:t>
                          </m:r>
                        </m:e>
                        <m:sub>
                          <m:r>
                            <w:rPr>
                              <w:rFonts w:ascii="Cambria Math" w:hAnsi="Cambria Math"/>
                              <w:color w:val="auto"/>
                            </w:rPr>
                            <m:t>i</m:t>
                          </m:r>
                        </m:sub>
                      </m:sSub>
                      <m:r>
                        <w:rPr>
                          <w:rFonts w:ascii="Cambria Math" w:hAnsi="Cambria Math"/>
                          <w:color w:val="auto"/>
                        </w:rPr>
                        <m:t>)</m:t>
                      </m:r>
                    </m:e>
                    <m:sup>
                      <m:r>
                        <w:rPr>
                          <w:rFonts w:ascii="Cambria Math" w:hAnsi="Cambria Math"/>
                          <w:color w:val="auto"/>
                        </w:rPr>
                        <m:t>2</m:t>
                      </m:r>
                    </m:sup>
                  </m:sSup>
                </m:e>
              </m:nary>
            </m:e>
          </m:rad>
        </m:oMath>
      </m:oMathPara>
    </w:p>
    <w:p w14:paraId="005E8B60" w14:textId="199BAF13" w:rsidR="00D134A6" w:rsidRPr="00EB19CB" w:rsidRDefault="00D134A6" w:rsidP="00A2618A">
      <w:pPr>
        <w:pStyle w:val="PubliManuscript"/>
        <w:spacing w:line="240" w:lineRule="auto"/>
        <w:ind w:firstLine="0"/>
        <w:rPr>
          <w:color w:val="auto"/>
        </w:rPr>
      </w:pPr>
      <m:oMathPara>
        <m:oMath>
          <m:r>
            <w:rPr>
              <w:rFonts w:ascii="Cambria Math" w:hAnsi="Cambria Math"/>
              <w:color w:val="auto"/>
            </w:rPr>
            <m:t xml:space="preserve">EF=1- </m:t>
          </m:r>
          <m:f>
            <m:fPr>
              <m:ctrlPr>
                <w:rPr>
                  <w:rFonts w:ascii="Cambria Math" w:hAnsi="Cambria Math"/>
                  <w:i/>
                  <w:color w:val="auto"/>
                </w:rPr>
              </m:ctrlPr>
            </m:fPr>
            <m:num>
              <m:nary>
                <m:naryPr>
                  <m:chr m:val="∑"/>
                  <m:limLoc m:val="undOvr"/>
                  <m:ctrlPr>
                    <w:rPr>
                      <w:rFonts w:ascii="Cambria Math" w:hAnsi="Cambria Math"/>
                      <w:i/>
                      <w:color w:val="auto"/>
                    </w:rPr>
                  </m:ctrlPr>
                </m:naryPr>
                <m:sub>
                  <m:r>
                    <w:rPr>
                      <w:rFonts w:ascii="Cambria Math" w:hAnsi="Cambria Math"/>
                      <w:color w:val="auto"/>
                    </w:rPr>
                    <m:t>i=1</m:t>
                  </m:r>
                </m:sub>
                <m:sup>
                  <m:r>
                    <w:rPr>
                      <w:rFonts w:ascii="Cambria Math" w:hAnsi="Cambria Math"/>
                      <w:color w:val="auto"/>
                    </w:rPr>
                    <m:t>n</m:t>
                  </m:r>
                </m:sup>
                <m:e>
                  <m:sSup>
                    <m:sSupPr>
                      <m:ctrlPr>
                        <w:rPr>
                          <w:rFonts w:ascii="Cambria Math" w:hAnsi="Cambria Math"/>
                          <w:i/>
                          <w:color w:val="auto"/>
                        </w:rPr>
                      </m:ctrlPr>
                    </m:sSupPr>
                    <m:e>
                      <m:r>
                        <w:rPr>
                          <w:rFonts w:ascii="Cambria Math" w:hAnsi="Cambria Math"/>
                          <w:color w:val="auto"/>
                        </w:rPr>
                        <m:t>(</m:t>
                      </m:r>
                      <m:acc>
                        <m:accPr>
                          <m:ctrlPr>
                            <w:rPr>
                              <w:rFonts w:ascii="Cambria Math" w:hAnsi="Cambria Math"/>
                              <w:i/>
                              <w:color w:val="auto"/>
                            </w:rPr>
                          </m:ctrlPr>
                        </m:accPr>
                        <m:e>
                          <m:sSub>
                            <m:sSubPr>
                              <m:ctrlPr>
                                <w:rPr>
                                  <w:rFonts w:ascii="Cambria Math" w:hAnsi="Cambria Math"/>
                                  <w:i/>
                                  <w:color w:val="auto"/>
                                </w:rPr>
                              </m:ctrlPr>
                            </m:sSubPr>
                            <m:e>
                              <m:r>
                                <w:rPr>
                                  <w:rFonts w:ascii="Cambria Math" w:hAnsi="Cambria Math"/>
                                  <w:color w:val="auto"/>
                                </w:rPr>
                                <m:t>Y</m:t>
                              </m:r>
                            </m:e>
                            <m:sub>
                              <m:r>
                                <w:rPr>
                                  <w:rFonts w:ascii="Cambria Math" w:hAnsi="Cambria Math"/>
                                  <w:color w:val="auto"/>
                                </w:rPr>
                                <m:t>i</m:t>
                              </m:r>
                            </m:sub>
                          </m:sSub>
                        </m:e>
                      </m:acc>
                      <m:r>
                        <w:rPr>
                          <w:rFonts w:ascii="Cambria Math" w:hAnsi="Cambria Math"/>
                          <w:color w:val="auto"/>
                        </w:rPr>
                        <m:t>-</m:t>
                      </m:r>
                      <m:sSub>
                        <m:sSubPr>
                          <m:ctrlPr>
                            <w:rPr>
                              <w:rFonts w:ascii="Cambria Math" w:hAnsi="Cambria Math"/>
                              <w:i/>
                              <w:color w:val="auto"/>
                            </w:rPr>
                          </m:ctrlPr>
                        </m:sSubPr>
                        <m:e>
                          <m:r>
                            <w:rPr>
                              <w:rFonts w:ascii="Cambria Math" w:hAnsi="Cambria Math"/>
                              <w:color w:val="auto"/>
                            </w:rPr>
                            <m:t>Y</m:t>
                          </m:r>
                        </m:e>
                        <m:sub>
                          <m:r>
                            <w:rPr>
                              <w:rFonts w:ascii="Cambria Math" w:hAnsi="Cambria Math"/>
                              <w:color w:val="auto"/>
                            </w:rPr>
                            <m:t>i</m:t>
                          </m:r>
                        </m:sub>
                      </m:sSub>
                      <m:r>
                        <w:rPr>
                          <w:rFonts w:ascii="Cambria Math" w:hAnsi="Cambria Math"/>
                          <w:color w:val="auto"/>
                        </w:rPr>
                        <m:t>)</m:t>
                      </m:r>
                    </m:e>
                    <m:sup>
                      <m:r>
                        <w:rPr>
                          <w:rFonts w:ascii="Cambria Math" w:hAnsi="Cambria Math"/>
                          <w:color w:val="auto"/>
                        </w:rPr>
                        <m:t>2</m:t>
                      </m:r>
                    </m:sup>
                  </m:sSup>
                </m:e>
              </m:nary>
            </m:num>
            <m:den>
              <m:nary>
                <m:naryPr>
                  <m:chr m:val="∑"/>
                  <m:limLoc m:val="undOvr"/>
                  <m:ctrlPr>
                    <w:rPr>
                      <w:rFonts w:ascii="Cambria Math" w:hAnsi="Cambria Math"/>
                      <w:i/>
                      <w:color w:val="auto"/>
                    </w:rPr>
                  </m:ctrlPr>
                </m:naryPr>
                <m:sub>
                  <m:r>
                    <w:rPr>
                      <w:rFonts w:ascii="Cambria Math" w:hAnsi="Cambria Math"/>
                      <w:color w:val="auto"/>
                    </w:rPr>
                    <m:t>i=1</m:t>
                  </m:r>
                </m:sub>
                <m:sup>
                  <m:r>
                    <w:rPr>
                      <w:rFonts w:ascii="Cambria Math" w:hAnsi="Cambria Math"/>
                      <w:color w:val="auto"/>
                    </w:rPr>
                    <m:t>n</m:t>
                  </m:r>
                </m:sup>
                <m:e>
                  <m:sSup>
                    <m:sSupPr>
                      <m:ctrlPr>
                        <w:rPr>
                          <w:rFonts w:ascii="Cambria Math" w:hAnsi="Cambria Math"/>
                          <w:i/>
                          <w:color w:val="auto"/>
                        </w:rPr>
                      </m:ctrlPr>
                    </m:sSupPr>
                    <m:e>
                      <m:r>
                        <w:rPr>
                          <w:rFonts w:ascii="Cambria Math" w:hAnsi="Cambria Math"/>
                          <w:color w:val="auto"/>
                        </w:rPr>
                        <m:t>(</m:t>
                      </m:r>
                      <m:sSub>
                        <m:sSubPr>
                          <m:ctrlPr>
                            <w:rPr>
                              <w:rFonts w:ascii="Cambria Math" w:hAnsi="Cambria Math"/>
                              <w:i/>
                              <w:color w:val="auto"/>
                            </w:rPr>
                          </m:ctrlPr>
                        </m:sSubPr>
                        <m:e>
                          <m:r>
                            <w:rPr>
                              <w:rFonts w:ascii="Cambria Math" w:hAnsi="Cambria Math"/>
                              <w:color w:val="auto"/>
                            </w:rPr>
                            <m:t>Y</m:t>
                          </m:r>
                        </m:e>
                        <m:sub>
                          <m:r>
                            <w:rPr>
                              <w:rFonts w:ascii="Cambria Math" w:hAnsi="Cambria Math"/>
                              <w:color w:val="auto"/>
                            </w:rPr>
                            <m:t>i</m:t>
                          </m:r>
                        </m:sub>
                      </m:sSub>
                      <m:r>
                        <w:rPr>
                          <w:rFonts w:ascii="Cambria Math" w:hAnsi="Cambria Math"/>
                          <w:color w:val="auto"/>
                        </w:rPr>
                        <m:t>-</m:t>
                      </m:r>
                      <m:acc>
                        <m:accPr>
                          <m:chr m:val="̅"/>
                          <m:ctrlPr>
                            <w:rPr>
                              <w:rFonts w:ascii="Cambria Math" w:hAnsi="Cambria Math"/>
                              <w:i/>
                              <w:color w:val="auto"/>
                            </w:rPr>
                          </m:ctrlPr>
                        </m:accPr>
                        <m:e>
                          <m:r>
                            <w:rPr>
                              <w:rFonts w:ascii="Cambria Math" w:hAnsi="Cambria Math"/>
                              <w:color w:val="auto"/>
                            </w:rPr>
                            <m:t>Y</m:t>
                          </m:r>
                        </m:e>
                      </m:acc>
                      <m:r>
                        <w:rPr>
                          <w:rFonts w:ascii="Cambria Math" w:hAnsi="Cambria Math"/>
                          <w:color w:val="auto"/>
                        </w:rPr>
                        <m:t>)</m:t>
                      </m:r>
                    </m:e>
                    <m:sup>
                      <m:r>
                        <w:rPr>
                          <w:rFonts w:ascii="Cambria Math" w:hAnsi="Cambria Math"/>
                          <w:color w:val="auto"/>
                        </w:rPr>
                        <m:t>2</m:t>
                      </m:r>
                    </m:sup>
                  </m:sSup>
                </m:e>
              </m:nary>
            </m:den>
          </m:f>
        </m:oMath>
      </m:oMathPara>
    </w:p>
    <w:p w14:paraId="1A8E31A0" w14:textId="736CE5CA" w:rsidR="00553382" w:rsidRPr="00EB19CB" w:rsidRDefault="00553382" w:rsidP="00A2618A">
      <w:pPr>
        <w:pStyle w:val="PubliManuscript"/>
        <w:spacing w:line="240" w:lineRule="auto"/>
        <w:ind w:firstLine="0"/>
        <w:rPr>
          <w:color w:val="auto"/>
        </w:rPr>
      </w:pPr>
      <m:oMathPara>
        <m:oMath>
          <m:r>
            <w:rPr>
              <w:rFonts w:ascii="Cambria Math" w:hAnsi="Cambria Math"/>
              <w:color w:val="auto"/>
            </w:rPr>
            <m:t xml:space="preserve">ND= </m:t>
          </m:r>
          <m:f>
            <m:fPr>
              <m:ctrlPr>
                <w:rPr>
                  <w:rFonts w:ascii="Cambria Math" w:hAnsi="Cambria Math"/>
                  <w:i/>
                  <w:color w:val="auto"/>
                </w:rPr>
              </m:ctrlPr>
            </m:fPr>
            <m:num>
              <m:r>
                <w:rPr>
                  <w:rFonts w:ascii="Cambria Math" w:hAnsi="Cambria Math"/>
                  <w:color w:val="auto"/>
                </w:rPr>
                <m:t xml:space="preserve"> </m:t>
              </m:r>
              <m:nary>
                <m:naryPr>
                  <m:chr m:val="∑"/>
                  <m:limLoc m:val="undOvr"/>
                  <m:ctrlPr>
                    <w:rPr>
                      <w:rFonts w:ascii="Cambria Math" w:hAnsi="Cambria Math"/>
                      <w:i/>
                      <w:color w:val="auto"/>
                    </w:rPr>
                  </m:ctrlPr>
                </m:naryPr>
                <m:sub>
                  <m:r>
                    <w:rPr>
                      <w:rFonts w:ascii="Cambria Math" w:hAnsi="Cambria Math"/>
                      <w:color w:val="auto"/>
                    </w:rPr>
                    <m:t>i=1</m:t>
                  </m:r>
                </m:sub>
                <m:sup>
                  <m:r>
                    <w:rPr>
                      <w:rFonts w:ascii="Cambria Math" w:hAnsi="Cambria Math"/>
                      <w:color w:val="auto"/>
                    </w:rPr>
                    <m:t>n</m:t>
                  </m:r>
                </m:sup>
                <m:e>
                  <m:sSub>
                    <m:sSubPr>
                      <m:ctrlPr>
                        <w:rPr>
                          <w:rFonts w:ascii="Cambria Math" w:hAnsi="Cambria Math"/>
                          <w:i/>
                          <w:color w:val="auto"/>
                        </w:rPr>
                      </m:ctrlPr>
                    </m:sSubPr>
                    <m:e>
                      <m:r>
                        <w:rPr>
                          <w:rFonts w:ascii="Cambria Math" w:hAnsi="Cambria Math"/>
                          <w:color w:val="auto"/>
                        </w:rPr>
                        <m:t>Y</m:t>
                      </m:r>
                    </m:e>
                    <m:sub>
                      <m:r>
                        <w:rPr>
                          <w:rFonts w:ascii="Cambria Math" w:hAnsi="Cambria Math"/>
                          <w:color w:val="auto"/>
                        </w:rPr>
                        <m:t>i</m:t>
                      </m:r>
                    </m:sub>
                  </m:sSub>
                </m:e>
              </m:nary>
              <m:r>
                <w:rPr>
                  <w:rFonts w:ascii="Cambria Math" w:hAnsi="Cambria Math"/>
                  <w:color w:val="auto"/>
                </w:rPr>
                <m:t xml:space="preserve">- </m:t>
              </m:r>
              <m:nary>
                <m:naryPr>
                  <m:chr m:val="∑"/>
                  <m:limLoc m:val="undOvr"/>
                  <m:ctrlPr>
                    <w:rPr>
                      <w:rFonts w:ascii="Cambria Math" w:hAnsi="Cambria Math"/>
                      <w:i/>
                      <w:color w:val="auto"/>
                    </w:rPr>
                  </m:ctrlPr>
                </m:naryPr>
                <m:sub>
                  <m:r>
                    <w:rPr>
                      <w:rFonts w:ascii="Cambria Math" w:hAnsi="Cambria Math"/>
                      <w:color w:val="auto"/>
                    </w:rPr>
                    <m:t>i=1</m:t>
                  </m:r>
                </m:sub>
                <m:sup>
                  <m:r>
                    <w:rPr>
                      <w:rFonts w:ascii="Cambria Math" w:hAnsi="Cambria Math"/>
                      <w:color w:val="auto"/>
                    </w:rPr>
                    <m:t>n</m:t>
                  </m:r>
                </m:sup>
                <m:e>
                  <m:sSub>
                    <m:sSubPr>
                      <m:ctrlPr>
                        <w:rPr>
                          <w:rFonts w:ascii="Cambria Math" w:hAnsi="Cambria Math"/>
                          <w:i/>
                          <w:color w:val="auto"/>
                        </w:rPr>
                      </m:ctrlPr>
                    </m:sSubPr>
                    <m:e>
                      <m:acc>
                        <m:accPr>
                          <m:ctrlPr>
                            <w:rPr>
                              <w:rFonts w:ascii="Cambria Math" w:hAnsi="Cambria Math"/>
                              <w:i/>
                              <w:color w:val="auto"/>
                            </w:rPr>
                          </m:ctrlPr>
                        </m:accPr>
                        <m:e>
                          <m:r>
                            <w:rPr>
                              <w:rFonts w:ascii="Cambria Math" w:hAnsi="Cambria Math"/>
                              <w:color w:val="auto"/>
                            </w:rPr>
                            <m:t>Y</m:t>
                          </m:r>
                        </m:e>
                      </m:acc>
                    </m:e>
                    <m:sub>
                      <m:r>
                        <w:rPr>
                          <w:rFonts w:ascii="Cambria Math" w:hAnsi="Cambria Math"/>
                          <w:color w:val="auto"/>
                        </w:rPr>
                        <m:t>i</m:t>
                      </m:r>
                    </m:sub>
                  </m:sSub>
                </m:e>
              </m:nary>
            </m:num>
            <m:den>
              <m:nary>
                <m:naryPr>
                  <m:chr m:val="∑"/>
                  <m:limLoc m:val="undOvr"/>
                  <m:ctrlPr>
                    <w:rPr>
                      <w:rFonts w:ascii="Cambria Math" w:hAnsi="Cambria Math"/>
                      <w:i/>
                      <w:color w:val="auto"/>
                    </w:rPr>
                  </m:ctrlPr>
                </m:naryPr>
                <m:sub>
                  <m:r>
                    <w:rPr>
                      <w:rFonts w:ascii="Cambria Math" w:hAnsi="Cambria Math"/>
                      <w:color w:val="auto"/>
                    </w:rPr>
                    <m:t>i=1</m:t>
                  </m:r>
                </m:sub>
                <m:sup>
                  <m:r>
                    <w:rPr>
                      <w:rFonts w:ascii="Cambria Math" w:hAnsi="Cambria Math"/>
                      <w:color w:val="auto"/>
                    </w:rPr>
                    <m:t>n</m:t>
                  </m:r>
                </m:sup>
                <m:e>
                  <m:sSub>
                    <m:sSubPr>
                      <m:ctrlPr>
                        <w:rPr>
                          <w:rFonts w:ascii="Cambria Math" w:hAnsi="Cambria Math"/>
                          <w:i/>
                          <w:color w:val="auto"/>
                        </w:rPr>
                      </m:ctrlPr>
                    </m:sSubPr>
                    <m:e>
                      <m:r>
                        <w:rPr>
                          <w:rFonts w:ascii="Cambria Math" w:hAnsi="Cambria Math"/>
                          <w:color w:val="auto"/>
                        </w:rPr>
                        <m:t>Y</m:t>
                      </m:r>
                    </m:e>
                    <m:sub>
                      <m:r>
                        <w:rPr>
                          <w:rFonts w:ascii="Cambria Math" w:hAnsi="Cambria Math"/>
                          <w:color w:val="auto"/>
                        </w:rPr>
                        <m:t>i</m:t>
                      </m:r>
                    </m:sub>
                  </m:sSub>
                </m:e>
              </m:nary>
            </m:den>
          </m:f>
        </m:oMath>
      </m:oMathPara>
    </w:p>
    <w:p w14:paraId="64E762C0" w14:textId="77777777" w:rsidR="00854047" w:rsidRPr="00EB19CB" w:rsidRDefault="00DE28BC" w:rsidP="009D4904">
      <w:pPr>
        <w:pStyle w:val="PubliManuscript"/>
        <w:rPr>
          <w:color w:val="auto"/>
        </w:rPr>
      </w:pPr>
      <w:r w:rsidRPr="00EB19CB">
        <w:rPr>
          <w:color w:val="auto"/>
        </w:rPr>
        <w:t>We</w:t>
      </w:r>
      <w:r w:rsidR="00A615C9" w:rsidRPr="00EB19CB">
        <w:rPr>
          <w:color w:val="auto"/>
        </w:rPr>
        <w:t xml:space="preserve"> consider</w:t>
      </w:r>
      <w:r w:rsidR="00BD33BE" w:rsidRPr="00EB19CB">
        <w:rPr>
          <w:color w:val="auto"/>
        </w:rPr>
        <w:t>ed</w:t>
      </w:r>
      <w:r w:rsidR="00A615C9" w:rsidRPr="00EB19CB">
        <w:rPr>
          <w:color w:val="auto"/>
        </w:rPr>
        <w:t xml:space="preserve"> </w:t>
      </w:r>
      <w:r w:rsidR="00560976" w:rsidRPr="00EB19CB">
        <w:rPr>
          <w:color w:val="auto"/>
        </w:rPr>
        <w:t xml:space="preserve">the model </w:t>
      </w:r>
      <w:r w:rsidR="00BD33BE" w:rsidRPr="00EB19CB">
        <w:rPr>
          <w:color w:val="auto"/>
        </w:rPr>
        <w:t>to be</w:t>
      </w:r>
      <w:r w:rsidR="00560976" w:rsidRPr="00EB19CB">
        <w:rPr>
          <w:color w:val="auto"/>
        </w:rPr>
        <w:t xml:space="preserve"> adequate for a certain variable of interest</w:t>
      </w:r>
      <w:r w:rsidR="00A615C9" w:rsidRPr="00EB19CB">
        <w:rPr>
          <w:color w:val="auto"/>
        </w:rPr>
        <w:t xml:space="preserve"> if </w:t>
      </w:r>
      <m:oMath>
        <m:r>
          <w:rPr>
            <w:rFonts w:ascii="Cambria Math" w:hAnsi="Cambria Math"/>
            <w:color w:val="auto"/>
          </w:rPr>
          <m:t>EF ≥0.5</m:t>
        </m:r>
      </m:oMath>
      <w:r w:rsidR="00AE7A49" w:rsidRPr="00EB19CB">
        <w:rPr>
          <w:color w:val="auto"/>
        </w:rPr>
        <w:t xml:space="preserve"> and </w:t>
      </w:r>
      <m:oMath>
        <m:r>
          <w:rPr>
            <w:rFonts w:ascii="Cambria Math" w:hAnsi="Cambria Math"/>
            <w:color w:val="auto"/>
          </w:rPr>
          <m:t>ND ≤0.1</m:t>
        </m:r>
      </m:oMath>
      <w:r w:rsidR="00304775" w:rsidRPr="00EB19CB">
        <w:rPr>
          <w:color w:val="auto"/>
        </w:rPr>
        <w:t xml:space="preserve"> (Beaudoin et al., 2008)</w:t>
      </w:r>
      <w:r w:rsidR="006678E4" w:rsidRPr="00EB19CB">
        <w:rPr>
          <w:color w:val="auto"/>
        </w:rPr>
        <w:t xml:space="preserve">. </w:t>
      </w:r>
    </w:p>
    <w:p w14:paraId="01F29FB4" w14:textId="4DF26A5D" w:rsidR="00854047" w:rsidRPr="00EB19CB" w:rsidRDefault="00304775" w:rsidP="00854047">
      <w:pPr>
        <w:pStyle w:val="PubliManuscript"/>
        <w:rPr>
          <w:color w:val="auto"/>
        </w:rPr>
      </w:pPr>
      <w:r w:rsidRPr="00EB19CB">
        <w:rPr>
          <w:color w:val="auto"/>
        </w:rPr>
        <w:t xml:space="preserve">A graphical analysis based on RMSE decomposition between its systematic and unsystematic components (Willmott et al., 1981), initially proposed in Taylor (2001), was used to assess model global performance. </w:t>
      </w:r>
      <w:bookmarkStart w:id="3" w:name="_Hlk136355376"/>
      <w:r w:rsidR="00D44E4C" w:rsidRPr="00EB19CB">
        <w:rPr>
          <w:color w:val="auto"/>
        </w:rPr>
        <w:t>These two components</w:t>
      </w:r>
      <w:r w:rsidR="00854047" w:rsidRPr="00EB19CB">
        <w:rPr>
          <w:color w:val="auto"/>
        </w:rPr>
        <w:t xml:space="preserve"> were calculated as follows:</w:t>
      </w:r>
    </w:p>
    <w:p w14:paraId="53E55AF6" w14:textId="75CE1CD0" w:rsidR="00854047" w:rsidRPr="00EB19CB" w:rsidRDefault="00854047" w:rsidP="00854047">
      <w:pPr>
        <w:pStyle w:val="PubliManuscript"/>
        <w:spacing w:line="240" w:lineRule="auto"/>
        <w:ind w:firstLine="0"/>
        <w:rPr>
          <w:color w:val="auto"/>
        </w:rPr>
      </w:pPr>
      <m:oMathPara>
        <m:oMath>
          <m:r>
            <w:rPr>
              <w:rFonts w:ascii="Cambria Math" w:hAnsi="Cambria Math"/>
              <w:color w:val="auto"/>
            </w:rPr>
            <m:t xml:space="preserve">RMSEs= </m:t>
          </m:r>
          <m:rad>
            <m:radPr>
              <m:degHide m:val="1"/>
              <m:ctrlPr>
                <w:rPr>
                  <w:rFonts w:ascii="Cambria Math" w:hAnsi="Cambria Math"/>
                  <w:i/>
                  <w:color w:val="auto"/>
                </w:rPr>
              </m:ctrlPr>
            </m:radPr>
            <m:deg/>
            <m:e>
              <m:r>
                <w:rPr>
                  <w:rFonts w:ascii="Cambria Math" w:hAnsi="Cambria Math"/>
                  <w:color w:val="auto"/>
                </w:rPr>
                <m:t xml:space="preserve"> </m:t>
              </m:r>
              <m:f>
                <m:fPr>
                  <m:ctrlPr>
                    <w:rPr>
                      <w:rFonts w:ascii="Cambria Math" w:hAnsi="Cambria Math"/>
                      <w:i/>
                      <w:color w:val="auto"/>
                    </w:rPr>
                  </m:ctrlPr>
                </m:fPr>
                <m:num>
                  <m:r>
                    <w:rPr>
                      <w:rFonts w:ascii="Cambria Math" w:hAnsi="Cambria Math"/>
                      <w:color w:val="auto"/>
                    </w:rPr>
                    <m:t>1</m:t>
                  </m:r>
                </m:num>
                <m:den>
                  <m:r>
                    <w:rPr>
                      <w:rFonts w:ascii="Cambria Math" w:hAnsi="Cambria Math"/>
                      <w:color w:val="auto"/>
                    </w:rPr>
                    <m:t>n</m:t>
                  </m:r>
                </m:den>
              </m:f>
              <m:r>
                <w:rPr>
                  <w:rFonts w:ascii="Cambria Math" w:hAnsi="Cambria Math"/>
                  <w:color w:val="auto"/>
                </w:rPr>
                <m:t xml:space="preserve"> </m:t>
              </m:r>
              <m:nary>
                <m:naryPr>
                  <m:chr m:val="∑"/>
                  <m:limLoc m:val="undOvr"/>
                  <m:ctrlPr>
                    <w:rPr>
                      <w:rFonts w:ascii="Cambria Math" w:hAnsi="Cambria Math"/>
                      <w:i/>
                      <w:color w:val="auto"/>
                    </w:rPr>
                  </m:ctrlPr>
                </m:naryPr>
                <m:sub>
                  <m:r>
                    <w:rPr>
                      <w:rFonts w:ascii="Cambria Math" w:hAnsi="Cambria Math"/>
                      <w:color w:val="auto"/>
                    </w:rPr>
                    <m:t>i=1</m:t>
                  </m:r>
                </m:sub>
                <m:sup>
                  <m:r>
                    <w:rPr>
                      <w:rFonts w:ascii="Cambria Math" w:hAnsi="Cambria Math"/>
                      <w:color w:val="auto"/>
                    </w:rPr>
                    <m:t>n</m:t>
                  </m:r>
                </m:sup>
                <m:e>
                  <m:sSup>
                    <m:sSupPr>
                      <m:ctrlPr>
                        <w:rPr>
                          <w:rFonts w:ascii="Cambria Math" w:hAnsi="Cambria Math"/>
                          <w:i/>
                          <w:color w:val="auto"/>
                        </w:rPr>
                      </m:ctrlPr>
                    </m:sSupPr>
                    <m:e>
                      <m:r>
                        <w:rPr>
                          <w:rFonts w:ascii="Cambria Math" w:hAnsi="Cambria Math"/>
                          <w:color w:val="auto"/>
                        </w:rPr>
                        <m:t>(</m:t>
                      </m:r>
                      <m:acc>
                        <m:accPr>
                          <m:chr m:val="̿"/>
                          <m:ctrlPr>
                            <w:rPr>
                              <w:rFonts w:ascii="Cambria Math" w:hAnsi="Cambria Math"/>
                              <w:i/>
                              <w:color w:val="auto"/>
                            </w:rPr>
                          </m:ctrlPr>
                        </m:accPr>
                        <m:e>
                          <m:sSub>
                            <m:sSubPr>
                              <m:ctrlPr>
                                <w:rPr>
                                  <w:rFonts w:ascii="Cambria Math" w:hAnsi="Cambria Math"/>
                                  <w:i/>
                                  <w:color w:val="auto"/>
                                </w:rPr>
                              </m:ctrlPr>
                            </m:sSubPr>
                            <m:e>
                              <m:r>
                                <w:rPr>
                                  <w:rFonts w:ascii="Cambria Math" w:hAnsi="Cambria Math"/>
                                  <w:color w:val="auto"/>
                                </w:rPr>
                                <m:t>S</m:t>
                              </m:r>
                            </m:e>
                            <m:sub>
                              <m:r>
                                <w:rPr>
                                  <w:rFonts w:ascii="Cambria Math" w:hAnsi="Cambria Math"/>
                                  <w:color w:val="auto"/>
                                </w:rPr>
                                <m:t>i</m:t>
                              </m:r>
                            </m:sub>
                          </m:sSub>
                        </m:e>
                      </m:acc>
                      <m:r>
                        <w:rPr>
                          <w:rFonts w:ascii="Cambria Math" w:hAnsi="Cambria Math"/>
                          <w:color w:val="auto"/>
                        </w:rPr>
                        <m:t>-</m:t>
                      </m:r>
                      <m:sSub>
                        <m:sSubPr>
                          <m:ctrlPr>
                            <w:rPr>
                              <w:rFonts w:ascii="Cambria Math" w:hAnsi="Cambria Math"/>
                              <w:i/>
                              <w:color w:val="auto"/>
                            </w:rPr>
                          </m:ctrlPr>
                        </m:sSubPr>
                        <m:e>
                          <m:r>
                            <w:rPr>
                              <w:rFonts w:ascii="Cambria Math" w:hAnsi="Cambria Math"/>
                              <w:color w:val="auto"/>
                            </w:rPr>
                            <m:t>O</m:t>
                          </m:r>
                        </m:e>
                        <m:sub>
                          <m:r>
                            <w:rPr>
                              <w:rFonts w:ascii="Cambria Math" w:hAnsi="Cambria Math"/>
                              <w:color w:val="auto"/>
                            </w:rPr>
                            <m:t>i</m:t>
                          </m:r>
                        </m:sub>
                      </m:sSub>
                      <m:r>
                        <w:rPr>
                          <w:rFonts w:ascii="Cambria Math" w:hAnsi="Cambria Math"/>
                          <w:color w:val="auto"/>
                        </w:rPr>
                        <m:t>)</m:t>
                      </m:r>
                    </m:e>
                    <m:sup>
                      <m:r>
                        <w:rPr>
                          <w:rFonts w:ascii="Cambria Math" w:hAnsi="Cambria Math"/>
                          <w:color w:val="auto"/>
                        </w:rPr>
                        <m:t>2</m:t>
                      </m:r>
                    </m:sup>
                  </m:sSup>
                </m:e>
              </m:nary>
            </m:e>
          </m:rad>
        </m:oMath>
      </m:oMathPara>
    </w:p>
    <w:p w14:paraId="20DF6D68" w14:textId="77777777" w:rsidR="00854047" w:rsidRPr="00EB19CB" w:rsidRDefault="00854047" w:rsidP="00854047">
      <w:pPr>
        <w:pStyle w:val="PubliManuscript"/>
        <w:spacing w:line="240" w:lineRule="auto"/>
        <w:ind w:firstLine="0"/>
        <w:rPr>
          <w:color w:val="auto"/>
        </w:rPr>
      </w:pPr>
      <m:oMathPara>
        <m:oMath>
          <m:r>
            <w:rPr>
              <w:rFonts w:ascii="Cambria Math" w:hAnsi="Cambria Math"/>
              <w:color w:val="auto"/>
            </w:rPr>
            <m:t xml:space="preserve">RMSEu= </m:t>
          </m:r>
          <m:rad>
            <m:radPr>
              <m:degHide m:val="1"/>
              <m:ctrlPr>
                <w:rPr>
                  <w:rFonts w:ascii="Cambria Math" w:hAnsi="Cambria Math"/>
                  <w:i/>
                  <w:color w:val="auto"/>
                </w:rPr>
              </m:ctrlPr>
            </m:radPr>
            <m:deg/>
            <m:e>
              <m:r>
                <w:rPr>
                  <w:rFonts w:ascii="Cambria Math" w:hAnsi="Cambria Math"/>
                  <w:color w:val="auto"/>
                </w:rPr>
                <m:t xml:space="preserve"> </m:t>
              </m:r>
              <m:f>
                <m:fPr>
                  <m:ctrlPr>
                    <w:rPr>
                      <w:rFonts w:ascii="Cambria Math" w:hAnsi="Cambria Math"/>
                      <w:i/>
                      <w:color w:val="auto"/>
                    </w:rPr>
                  </m:ctrlPr>
                </m:fPr>
                <m:num>
                  <m:r>
                    <w:rPr>
                      <w:rFonts w:ascii="Cambria Math" w:hAnsi="Cambria Math"/>
                      <w:color w:val="auto"/>
                    </w:rPr>
                    <m:t>1</m:t>
                  </m:r>
                </m:num>
                <m:den>
                  <m:r>
                    <w:rPr>
                      <w:rFonts w:ascii="Cambria Math" w:hAnsi="Cambria Math"/>
                      <w:color w:val="auto"/>
                    </w:rPr>
                    <m:t>n</m:t>
                  </m:r>
                </m:den>
              </m:f>
              <m:r>
                <w:rPr>
                  <w:rFonts w:ascii="Cambria Math" w:hAnsi="Cambria Math"/>
                  <w:color w:val="auto"/>
                </w:rPr>
                <m:t xml:space="preserve"> </m:t>
              </m:r>
              <m:nary>
                <m:naryPr>
                  <m:chr m:val="∑"/>
                  <m:limLoc m:val="undOvr"/>
                  <m:ctrlPr>
                    <w:rPr>
                      <w:rFonts w:ascii="Cambria Math" w:hAnsi="Cambria Math"/>
                      <w:i/>
                      <w:color w:val="auto"/>
                    </w:rPr>
                  </m:ctrlPr>
                </m:naryPr>
                <m:sub>
                  <m:r>
                    <w:rPr>
                      <w:rFonts w:ascii="Cambria Math" w:hAnsi="Cambria Math"/>
                      <w:color w:val="auto"/>
                    </w:rPr>
                    <m:t>i=1</m:t>
                  </m:r>
                </m:sub>
                <m:sup>
                  <m:r>
                    <w:rPr>
                      <w:rFonts w:ascii="Cambria Math" w:hAnsi="Cambria Math"/>
                      <w:color w:val="auto"/>
                    </w:rPr>
                    <m:t>n</m:t>
                  </m:r>
                </m:sup>
                <m:e>
                  <m:sSup>
                    <m:sSupPr>
                      <m:ctrlPr>
                        <w:rPr>
                          <w:rFonts w:ascii="Cambria Math" w:hAnsi="Cambria Math"/>
                          <w:i/>
                          <w:color w:val="auto"/>
                        </w:rPr>
                      </m:ctrlPr>
                    </m:sSupPr>
                    <m:e>
                      <m:r>
                        <w:rPr>
                          <w:rFonts w:ascii="Cambria Math" w:hAnsi="Cambria Math"/>
                          <w:color w:val="auto"/>
                        </w:rPr>
                        <m:t>(</m:t>
                      </m:r>
                      <m:sSub>
                        <m:sSubPr>
                          <m:ctrlPr>
                            <w:rPr>
                              <w:rFonts w:ascii="Cambria Math" w:hAnsi="Cambria Math"/>
                              <w:i/>
                              <w:color w:val="auto"/>
                            </w:rPr>
                          </m:ctrlPr>
                        </m:sSubPr>
                        <m:e>
                          <m:r>
                            <w:rPr>
                              <w:rFonts w:ascii="Cambria Math" w:hAnsi="Cambria Math"/>
                              <w:color w:val="auto"/>
                            </w:rPr>
                            <m:t>S</m:t>
                          </m:r>
                        </m:e>
                        <m:sub>
                          <m:r>
                            <w:rPr>
                              <w:rFonts w:ascii="Cambria Math" w:hAnsi="Cambria Math"/>
                              <w:color w:val="auto"/>
                            </w:rPr>
                            <m:t>i</m:t>
                          </m:r>
                        </m:sub>
                      </m:sSub>
                      <m:r>
                        <w:rPr>
                          <w:rFonts w:ascii="Cambria Math" w:hAnsi="Cambria Math"/>
                          <w:color w:val="auto"/>
                        </w:rPr>
                        <m:t xml:space="preserve">- </m:t>
                      </m:r>
                      <m:acc>
                        <m:accPr>
                          <m:chr m:val="̿"/>
                          <m:ctrlPr>
                            <w:rPr>
                              <w:rFonts w:ascii="Cambria Math" w:hAnsi="Cambria Math"/>
                              <w:i/>
                              <w:color w:val="auto"/>
                            </w:rPr>
                          </m:ctrlPr>
                        </m:accPr>
                        <m:e>
                          <m:sSub>
                            <m:sSubPr>
                              <m:ctrlPr>
                                <w:rPr>
                                  <w:rFonts w:ascii="Cambria Math" w:hAnsi="Cambria Math"/>
                                  <w:i/>
                                  <w:color w:val="auto"/>
                                </w:rPr>
                              </m:ctrlPr>
                            </m:sSubPr>
                            <m:e>
                              <m:r>
                                <w:rPr>
                                  <w:rFonts w:ascii="Cambria Math" w:hAnsi="Cambria Math"/>
                                  <w:color w:val="auto"/>
                                </w:rPr>
                                <m:t>S</m:t>
                              </m:r>
                            </m:e>
                            <m:sub>
                              <m:r>
                                <w:rPr>
                                  <w:rFonts w:ascii="Cambria Math" w:hAnsi="Cambria Math"/>
                                  <w:color w:val="auto"/>
                                </w:rPr>
                                <m:t>i</m:t>
                              </m:r>
                            </m:sub>
                          </m:sSub>
                        </m:e>
                      </m:acc>
                      <m:r>
                        <w:rPr>
                          <w:rFonts w:ascii="Cambria Math" w:hAnsi="Cambria Math"/>
                          <w:color w:val="auto"/>
                        </w:rPr>
                        <m:t>)</m:t>
                      </m:r>
                    </m:e>
                    <m:sup>
                      <m:r>
                        <w:rPr>
                          <w:rFonts w:ascii="Cambria Math" w:hAnsi="Cambria Math"/>
                          <w:color w:val="auto"/>
                        </w:rPr>
                        <m:t>2</m:t>
                      </m:r>
                    </m:sup>
                  </m:sSup>
                </m:e>
              </m:nary>
            </m:e>
          </m:rad>
        </m:oMath>
      </m:oMathPara>
    </w:p>
    <w:p w14:paraId="1D76FE49" w14:textId="0763FDCC" w:rsidR="00BC1EE4" w:rsidRPr="00EB19CB" w:rsidRDefault="00854047" w:rsidP="00C977BD">
      <w:pPr>
        <w:pStyle w:val="PubliManuscript"/>
        <w:rPr>
          <w:color w:val="auto"/>
        </w:rPr>
      </w:pPr>
      <w:r w:rsidRPr="00EB19CB">
        <w:rPr>
          <w:color w:val="auto"/>
        </w:rPr>
        <w:t xml:space="preserve">with </w:t>
      </w:r>
      <m:oMath>
        <m:acc>
          <m:accPr>
            <m:chr m:val="̿"/>
            <m:ctrlPr>
              <w:rPr>
                <w:rFonts w:ascii="Cambria Math" w:hAnsi="Cambria Math"/>
                <w:color w:val="auto"/>
              </w:rPr>
            </m:ctrlPr>
          </m:accPr>
          <m:e>
            <m:sSub>
              <m:sSubPr>
                <m:ctrlPr>
                  <w:rPr>
                    <w:rFonts w:ascii="Cambria Math" w:hAnsi="Cambria Math"/>
                    <w:color w:val="auto"/>
                  </w:rPr>
                </m:ctrlPr>
              </m:sSubPr>
              <m:e>
                <m:r>
                  <w:rPr>
                    <w:rFonts w:ascii="Cambria Math" w:hAnsi="Cambria Math"/>
                    <w:color w:val="auto"/>
                  </w:rPr>
                  <m:t>S</m:t>
                </m:r>
              </m:e>
              <m:sub>
                <m:r>
                  <w:rPr>
                    <w:rFonts w:ascii="Cambria Math" w:hAnsi="Cambria Math"/>
                    <w:color w:val="auto"/>
                  </w:rPr>
                  <m:t>i</m:t>
                </m:r>
              </m:sub>
            </m:sSub>
          </m:e>
        </m:acc>
        <m:r>
          <m:rPr>
            <m:sty m:val="p"/>
          </m:rPr>
          <w:rPr>
            <w:rFonts w:ascii="Cambria Math" w:hAnsi="Cambria Math"/>
            <w:color w:val="auto"/>
          </w:rPr>
          <m:t>=</m:t>
        </m:r>
        <m:sSub>
          <m:sSubPr>
            <m:ctrlPr>
              <w:rPr>
                <w:rFonts w:ascii="Cambria Math" w:hAnsi="Cambria Math"/>
                <w:i/>
                <w:color w:val="auto"/>
              </w:rPr>
            </m:ctrlPr>
          </m:sSubPr>
          <m:e>
            <m:r>
              <w:rPr>
                <w:rFonts w:ascii="Cambria Math" w:hAnsi="Cambria Math"/>
                <w:color w:val="auto"/>
              </w:rPr>
              <m:t>c</m:t>
            </m:r>
          </m:e>
          <m:sub>
            <m:r>
              <w:rPr>
                <w:rFonts w:ascii="Cambria Math" w:hAnsi="Cambria Math"/>
                <w:color w:val="auto"/>
              </w:rPr>
              <m:t>1</m:t>
            </m:r>
          </m:sub>
        </m:sSub>
        <m:r>
          <m:rPr>
            <m:sty m:val="p"/>
          </m:rPr>
          <w:rPr>
            <w:rFonts w:ascii="Cambria Math" w:hAnsi="Cambria Math"/>
            <w:color w:val="auto"/>
          </w:rPr>
          <m:t>+</m:t>
        </m:r>
        <m:sSub>
          <m:sSubPr>
            <m:ctrlPr>
              <w:rPr>
                <w:rFonts w:ascii="Cambria Math" w:hAnsi="Cambria Math"/>
                <w:i/>
                <w:color w:val="auto"/>
              </w:rPr>
            </m:ctrlPr>
          </m:sSubPr>
          <m:e>
            <m:r>
              <w:rPr>
                <w:rFonts w:ascii="Cambria Math" w:hAnsi="Cambria Math"/>
                <w:color w:val="auto"/>
              </w:rPr>
              <m:t>d</m:t>
            </m:r>
          </m:e>
          <m:sub>
            <m:r>
              <w:rPr>
                <w:rFonts w:ascii="Cambria Math" w:hAnsi="Cambria Math"/>
                <w:color w:val="auto"/>
              </w:rPr>
              <m:t>1</m:t>
            </m:r>
          </m:sub>
        </m:sSub>
        <m:r>
          <m:rPr>
            <m:sty m:val="p"/>
          </m:rPr>
          <w:rPr>
            <w:rFonts w:ascii="Cambria Math" w:hAnsi="Cambria Math"/>
            <w:color w:val="auto"/>
          </w:rPr>
          <m:t xml:space="preserve">* </m:t>
        </m:r>
        <m:sSub>
          <m:sSubPr>
            <m:ctrlPr>
              <w:rPr>
                <w:rFonts w:ascii="Cambria Math" w:hAnsi="Cambria Math"/>
                <w:color w:val="auto"/>
              </w:rPr>
            </m:ctrlPr>
          </m:sSubPr>
          <m:e>
            <m:r>
              <w:rPr>
                <w:rFonts w:ascii="Cambria Math" w:hAnsi="Cambria Math"/>
                <w:color w:val="auto"/>
              </w:rPr>
              <m:t>O</m:t>
            </m:r>
          </m:e>
          <m:sub>
            <m:r>
              <w:rPr>
                <w:rFonts w:ascii="Cambria Math" w:hAnsi="Cambria Math"/>
                <w:color w:val="auto"/>
              </w:rPr>
              <m:t>i</m:t>
            </m:r>
          </m:sub>
        </m:sSub>
      </m:oMath>
      <w:r w:rsidRPr="00EB19CB">
        <w:rPr>
          <w:color w:val="auto"/>
        </w:rPr>
        <w:t xml:space="preserve"> the linear regression of observed versus simulated values</w:t>
      </w:r>
      <w:r w:rsidR="00150872" w:rsidRPr="00EB19CB">
        <w:rPr>
          <w:color w:val="auto"/>
        </w:rPr>
        <w:t>.</w:t>
      </w:r>
      <w:r w:rsidR="00611824" w:rsidRPr="00EB19CB">
        <w:rPr>
          <w:color w:val="auto"/>
        </w:rPr>
        <w:t xml:space="preserve"> RMSE components were standardized to compare the goodness of fit between variables having different units.</w:t>
      </w:r>
      <w:r w:rsidR="009D4904" w:rsidRPr="00EB19CB">
        <w:rPr>
          <w:color w:val="auto"/>
        </w:rPr>
        <w:t xml:space="preserve"> </w:t>
      </w:r>
      <w:proofErr w:type="spellStart"/>
      <w:r w:rsidR="009D4904" w:rsidRPr="00EB19CB">
        <w:rPr>
          <w:color w:val="auto"/>
        </w:rPr>
        <w:t>Coucheney</w:t>
      </w:r>
      <w:proofErr w:type="spellEnd"/>
      <w:r w:rsidR="009D4904" w:rsidRPr="00EB19CB">
        <w:rPr>
          <w:color w:val="auto"/>
        </w:rPr>
        <w:t xml:space="preserve"> et al. (2015)</w:t>
      </w:r>
      <w:r w:rsidR="00B13AE1" w:rsidRPr="00EB19CB">
        <w:rPr>
          <w:color w:val="auto"/>
        </w:rPr>
        <w:t xml:space="preserve"> </w:t>
      </w:r>
      <w:r w:rsidR="002F1F6B" w:rsidRPr="00EB19CB">
        <w:rPr>
          <w:color w:val="auto"/>
        </w:rPr>
        <w:t>used</w:t>
      </w:r>
      <w:r w:rsidR="009D4904" w:rsidRPr="00EB19CB">
        <w:rPr>
          <w:color w:val="auto"/>
        </w:rPr>
        <w:t xml:space="preserve"> criteria allowing to determine quality-indicator for simulation ranked in three categories: </w:t>
      </w:r>
      <w:r w:rsidR="009D4904" w:rsidRPr="00EB19CB">
        <w:rPr>
          <w:i/>
          <w:iCs/>
          <w:color w:val="auto"/>
        </w:rPr>
        <w:t>satisfactory</w:t>
      </w:r>
      <w:r w:rsidR="009D4904" w:rsidRPr="00EB19CB">
        <w:rPr>
          <w:color w:val="auto"/>
        </w:rPr>
        <w:t xml:space="preserve">, </w:t>
      </w:r>
      <w:r w:rsidR="009D4904" w:rsidRPr="00EB19CB">
        <w:rPr>
          <w:i/>
          <w:iCs/>
          <w:color w:val="auto"/>
        </w:rPr>
        <w:t>good</w:t>
      </w:r>
      <w:r w:rsidR="009D4904" w:rsidRPr="00EB19CB">
        <w:rPr>
          <w:color w:val="auto"/>
        </w:rPr>
        <w:t xml:space="preserve"> or </w:t>
      </w:r>
      <w:r w:rsidR="009D4904" w:rsidRPr="00EB19CB">
        <w:rPr>
          <w:i/>
          <w:iCs/>
          <w:color w:val="auto"/>
        </w:rPr>
        <w:t>very</w:t>
      </w:r>
      <w:r w:rsidR="009D4904" w:rsidRPr="00EB19CB">
        <w:rPr>
          <w:color w:val="auto"/>
        </w:rPr>
        <w:t xml:space="preserve"> </w:t>
      </w:r>
      <w:r w:rsidR="009D4904" w:rsidRPr="00EB19CB">
        <w:rPr>
          <w:i/>
          <w:iCs/>
          <w:color w:val="auto"/>
        </w:rPr>
        <w:t>good</w:t>
      </w:r>
      <w:r w:rsidR="009D4904" w:rsidRPr="00EB19CB">
        <w:rPr>
          <w:color w:val="auto"/>
        </w:rPr>
        <w:t xml:space="preserve">. </w:t>
      </w:r>
      <w:bookmarkEnd w:id="3"/>
    </w:p>
    <w:p w14:paraId="2C37DB01" w14:textId="78550BCA" w:rsidR="002F588D" w:rsidRPr="00EB19CB" w:rsidRDefault="00B95670" w:rsidP="00B95670">
      <w:pPr>
        <w:pStyle w:val="Publi2"/>
        <w:rPr>
          <w:color w:val="auto"/>
        </w:rPr>
      </w:pPr>
      <w:r w:rsidRPr="00EB19CB">
        <w:rPr>
          <w:color w:val="auto"/>
        </w:rPr>
        <w:t xml:space="preserve"> Statistics</w:t>
      </w:r>
    </w:p>
    <w:p w14:paraId="0325DCF0" w14:textId="6972D095" w:rsidR="00251B57" w:rsidRPr="00EB19CB" w:rsidRDefault="002D4F39" w:rsidP="00521BD2">
      <w:pPr>
        <w:pStyle w:val="PubliManuscript"/>
        <w:rPr>
          <w:color w:val="auto"/>
        </w:rPr>
      </w:pPr>
      <w:r w:rsidRPr="00EB19CB">
        <w:rPr>
          <w:color w:val="auto"/>
        </w:rPr>
        <w:t xml:space="preserve">Statistical analyses were performed </w:t>
      </w:r>
      <w:r w:rsidR="00F54724" w:rsidRPr="00EB19CB">
        <w:rPr>
          <w:color w:val="auto"/>
        </w:rPr>
        <w:t>using R Statistical Software (v4.2.1; R Core Team 2021).</w:t>
      </w:r>
      <w:r w:rsidR="0054286B" w:rsidRPr="00EB19CB">
        <w:rPr>
          <w:color w:val="auto"/>
        </w:rPr>
        <w:t xml:space="preserve"> </w:t>
      </w:r>
      <w:r w:rsidR="00251B57" w:rsidRPr="00EB19CB">
        <w:rPr>
          <w:color w:val="auto"/>
        </w:rPr>
        <w:t>Analyses of variance (2-way ANOVA) were applied to assess the impact of tillage and residues management on crop and soil field measurements</w:t>
      </w:r>
      <w:r w:rsidR="00305600" w:rsidRPr="00EB19CB">
        <w:rPr>
          <w:color w:val="auto"/>
        </w:rPr>
        <w:t xml:space="preserve"> and </w:t>
      </w:r>
      <w:r w:rsidR="006B2C9B" w:rsidRPr="00EB19CB">
        <w:rPr>
          <w:color w:val="auto"/>
        </w:rPr>
        <w:t xml:space="preserve">model </w:t>
      </w:r>
      <w:r w:rsidR="00305600" w:rsidRPr="00EB19CB">
        <w:rPr>
          <w:color w:val="auto"/>
        </w:rPr>
        <w:t>simulations</w:t>
      </w:r>
      <w:r w:rsidR="00251B57" w:rsidRPr="00EB19CB">
        <w:rPr>
          <w:color w:val="auto"/>
        </w:rPr>
        <w:t>. Shapiro-Wilk and Bartlett tests were previously executed to check the conditions of application of the ANOVA test</w:t>
      </w:r>
      <w:r w:rsidR="00F54724" w:rsidRPr="00EB19CB">
        <w:rPr>
          <w:color w:val="auto"/>
        </w:rPr>
        <w:t>.</w:t>
      </w:r>
      <w:r w:rsidR="003F06A5" w:rsidRPr="00EB19CB">
        <w:rPr>
          <w:color w:val="auto"/>
        </w:rPr>
        <w:t xml:space="preserve"> </w:t>
      </w:r>
      <w:r w:rsidR="00F54724" w:rsidRPr="00EB19CB">
        <w:rPr>
          <w:color w:val="auto"/>
        </w:rPr>
        <w:t xml:space="preserve">For soil organic carbon analysis, linear regressions were </w:t>
      </w:r>
      <w:r w:rsidR="00BC1C2A" w:rsidRPr="00EB19CB">
        <w:rPr>
          <w:color w:val="auto"/>
        </w:rPr>
        <w:t>conducted</w:t>
      </w:r>
      <w:r w:rsidR="00F54724" w:rsidRPr="00EB19CB">
        <w:rPr>
          <w:color w:val="auto"/>
        </w:rPr>
        <w:t xml:space="preserve">, and one-tailed analyses of variance (ANOVAs) and least-square means were then performed in order to determine statistical differences </w:t>
      </w:r>
      <w:r w:rsidR="00F54724" w:rsidRPr="00EB19CB">
        <w:rPr>
          <w:color w:val="auto"/>
        </w:rPr>
        <w:lastRenderedPageBreak/>
        <w:t>with 95%-confidence.</w:t>
      </w:r>
    </w:p>
    <w:p w14:paraId="7622D933" w14:textId="071DB6EF" w:rsidR="001F187C" w:rsidRPr="00EB19CB" w:rsidRDefault="00534675" w:rsidP="001F187C">
      <w:pPr>
        <w:pStyle w:val="Publi1"/>
        <w:spacing w:line="240" w:lineRule="auto"/>
      </w:pPr>
      <w:r w:rsidRPr="00EB19CB">
        <w:t>R</w:t>
      </w:r>
      <w:r w:rsidR="002F64BE" w:rsidRPr="00EB19CB">
        <w:t>esults</w:t>
      </w:r>
      <w:r w:rsidR="00F22C1E" w:rsidRPr="00EB19CB">
        <w:t xml:space="preserve"> and Discussion</w:t>
      </w:r>
    </w:p>
    <w:p w14:paraId="4599CB48" w14:textId="0F4DA0AA" w:rsidR="001808C7" w:rsidRPr="00EB19CB" w:rsidRDefault="00986408" w:rsidP="001808C7">
      <w:pPr>
        <w:pStyle w:val="Publi2"/>
        <w:rPr>
          <w:color w:val="auto"/>
        </w:rPr>
      </w:pPr>
      <w:r w:rsidRPr="00EB19CB">
        <w:rPr>
          <w:color w:val="auto"/>
        </w:rPr>
        <w:t xml:space="preserve"> </w:t>
      </w:r>
      <w:r w:rsidR="003923E8" w:rsidRPr="00EB19CB">
        <w:rPr>
          <w:color w:val="auto"/>
        </w:rPr>
        <w:t>Overall model performance</w:t>
      </w:r>
    </w:p>
    <w:p w14:paraId="20FFF6AE" w14:textId="252BCE89" w:rsidR="008F0D9C" w:rsidRPr="00EB19CB" w:rsidRDefault="008F0D9C" w:rsidP="00680ADD">
      <w:pPr>
        <w:pStyle w:val="PubliManuscript"/>
        <w:spacing w:line="240" w:lineRule="auto"/>
        <w:ind w:firstLine="0"/>
        <w:jc w:val="center"/>
        <w:rPr>
          <w:i/>
          <w:iCs/>
          <w:noProof/>
          <w:color w:val="auto"/>
          <w:u w:val="single"/>
        </w:rPr>
      </w:pPr>
      <w:r w:rsidRPr="00EB19CB">
        <w:rPr>
          <w:i/>
          <w:iCs/>
          <w:noProof/>
          <w:color w:val="auto"/>
        </w:rPr>
        <w:drawing>
          <wp:inline distT="0" distB="0" distL="0" distR="0" wp14:anchorId="1C9F16DE" wp14:editId="0C91D978">
            <wp:extent cx="5288280" cy="5288280"/>
            <wp:effectExtent l="0" t="0" r="0" b="0"/>
            <wp:docPr id="9225982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598242" name="Imag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88280" cy="5288280"/>
                    </a:xfrm>
                    <a:prstGeom prst="rect">
                      <a:avLst/>
                    </a:prstGeom>
                  </pic:spPr>
                </pic:pic>
              </a:graphicData>
            </a:graphic>
          </wp:inline>
        </w:drawing>
      </w:r>
    </w:p>
    <w:p w14:paraId="16463004" w14:textId="232734BD" w:rsidR="001808C7" w:rsidRPr="00EB19CB" w:rsidRDefault="001808C7" w:rsidP="00E0602A">
      <w:pPr>
        <w:pStyle w:val="PubliManuscript"/>
        <w:spacing w:line="240" w:lineRule="auto"/>
        <w:ind w:firstLine="0"/>
        <w:rPr>
          <w:b/>
          <w:bCs/>
          <w:color w:val="auto"/>
        </w:rPr>
      </w:pPr>
      <w:r w:rsidRPr="00EB19CB">
        <w:rPr>
          <w:b/>
          <w:bCs/>
          <w:color w:val="auto"/>
        </w:rPr>
        <w:t xml:space="preserve">Figure 1. Overall model performance using the graphical representation proposed in Taylor (2001) and </w:t>
      </w:r>
      <w:proofErr w:type="spellStart"/>
      <w:r w:rsidRPr="00EB19CB">
        <w:rPr>
          <w:b/>
          <w:bCs/>
          <w:color w:val="auto"/>
        </w:rPr>
        <w:t>Coucheney</w:t>
      </w:r>
      <w:proofErr w:type="spellEnd"/>
      <w:r w:rsidRPr="00EB19CB">
        <w:rPr>
          <w:b/>
          <w:bCs/>
          <w:color w:val="auto"/>
        </w:rPr>
        <w:t xml:space="preserve"> et al. (2015) that establishes criteria allowing to qualify an indicator simulation as </w:t>
      </w:r>
      <w:r w:rsidRPr="00EB19CB">
        <w:rPr>
          <w:b/>
          <w:bCs/>
          <w:i/>
          <w:iCs/>
          <w:color w:val="auto"/>
        </w:rPr>
        <w:t>satisfactory</w:t>
      </w:r>
      <w:r w:rsidRPr="00EB19CB">
        <w:rPr>
          <w:b/>
          <w:bCs/>
          <w:color w:val="auto"/>
        </w:rPr>
        <w:t xml:space="preserve">, </w:t>
      </w:r>
      <w:r w:rsidRPr="00EB19CB">
        <w:rPr>
          <w:b/>
          <w:bCs/>
          <w:i/>
          <w:iCs/>
          <w:color w:val="auto"/>
        </w:rPr>
        <w:t>good</w:t>
      </w:r>
      <w:r w:rsidRPr="00EB19CB">
        <w:rPr>
          <w:b/>
          <w:bCs/>
          <w:color w:val="auto"/>
        </w:rPr>
        <w:t xml:space="preserve"> or </w:t>
      </w:r>
      <w:r w:rsidRPr="00EB19CB">
        <w:rPr>
          <w:b/>
          <w:bCs/>
          <w:i/>
          <w:iCs/>
          <w:color w:val="auto"/>
        </w:rPr>
        <w:t>very good</w:t>
      </w:r>
      <w:r w:rsidRPr="00EB19CB">
        <w:rPr>
          <w:b/>
          <w:bCs/>
          <w:color w:val="auto"/>
        </w:rPr>
        <w:t>.</w:t>
      </w:r>
      <w:r w:rsidR="00327145" w:rsidRPr="00EB19CB">
        <w:rPr>
          <w:b/>
          <w:bCs/>
          <w:color w:val="auto"/>
        </w:rPr>
        <w:t xml:space="preserve"> Shoot = </w:t>
      </w:r>
      <w:r w:rsidR="0025741E" w:rsidRPr="00EB19CB">
        <w:rPr>
          <w:b/>
          <w:bCs/>
          <w:color w:val="auto"/>
        </w:rPr>
        <w:t>aboveground</w:t>
      </w:r>
      <w:r w:rsidR="00327145" w:rsidRPr="00EB19CB">
        <w:rPr>
          <w:b/>
          <w:bCs/>
          <w:color w:val="auto"/>
        </w:rPr>
        <w:t xml:space="preserve"> biomass; Yield = </w:t>
      </w:r>
      <w:r w:rsidR="0031759C" w:rsidRPr="00EB19CB">
        <w:rPr>
          <w:b/>
          <w:bCs/>
          <w:color w:val="auto"/>
        </w:rPr>
        <w:t>yield of</w:t>
      </w:r>
      <w:r w:rsidR="00494482" w:rsidRPr="00EB19CB">
        <w:rPr>
          <w:b/>
          <w:bCs/>
          <w:color w:val="auto"/>
        </w:rPr>
        <w:t xml:space="preserve"> all crops</w:t>
      </w:r>
      <w:r w:rsidR="00327145" w:rsidRPr="00EB19CB">
        <w:rPr>
          <w:b/>
          <w:bCs/>
          <w:color w:val="auto"/>
        </w:rPr>
        <w:t>; Grain =</w:t>
      </w:r>
      <w:r w:rsidR="00F66D16" w:rsidRPr="00EB19CB">
        <w:rPr>
          <w:b/>
          <w:bCs/>
          <w:color w:val="auto"/>
        </w:rPr>
        <w:t xml:space="preserve"> yield of crops for which grains are harvested (wheat, maize, faba bean)</w:t>
      </w:r>
      <w:r w:rsidR="00327145" w:rsidRPr="00EB19CB">
        <w:rPr>
          <w:b/>
          <w:bCs/>
          <w:color w:val="auto"/>
        </w:rPr>
        <w:t>; Residue = crop residues biomass; SOC =</w:t>
      </w:r>
      <w:r w:rsidR="005B7083" w:rsidRPr="00EB19CB">
        <w:rPr>
          <w:b/>
          <w:bCs/>
          <w:color w:val="auto"/>
        </w:rPr>
        <w:t xml:space="preserve"> topsoil</w:t>
      </w:r>
      <w:r w:rsidR="00327145" w:rsidRPr="00EB19CB">
        <w:rPr>
          <w:b/>
          <w:bCs/>
          <w:color w:val="auto"/>
        </w:rPr>
        <w:t xml:space="preserve"> organic carbon contents.</w:t>
      </w:r>
      <w:r w:rsidR="000D7CC0" w:rsidRPr="00EB19CB">
        <w:rPr>
          <w:b/>
          <w:bCs/>
          <w:color w:val="auto"/>
        </w:rPr>
        <w:t xml:space="preserve"> Shoot, grain and residue biomasses were only measured between 2009 and 2015</w:t>
      </w:r>
      <w:r w:rsidR="004A6FFB" w:rsidRPr="00EB19CB">
        <w:rPr>
          <w:b/>
          <w:bCs/>
          <w:color w:val="auto"/>
        </w:rPr>
        <w:t>, whereas other data concern the whole experimental period (2009-2021).</w:t>
      </w:r>
    </w:p>
    <w:p w14:paraId="7EE0E5B9" w14:textId="23DD2331" w:rsidR="001B0348" w:rsidRPr="00EB19CB" w:rsidRDefault="001B0348" w:rsidP="006E7608">
      <w:pPr>
        <w:pStyle w:val="PubliManuscript"/>
        <w:rPr>
          <w:color w:val="auto"/>
        </w:rPr>
      </w:pPr>
      <w:r w:rsidRPr="00EB19CB">
        <w:rPr>
          <w:color w:val="auto"/>
        </w:rPr>
        <w:t xml:space="preserve">The model proved to be able to simulate </w:t>
      </w:r>
      <w:r w:rsidR="00C216FE" w:rsidRPr="00EB19CB">
        <w:rPr>
          <w:color w:val="auto"/>
        </w:rPr>
        <w:t xml:space="preserve">very </w:t>
      </w:r>
      <w:r w:rsidR="00CF60A4" w:rsidRPr="00EB19CB">
        <w:rPr>
          <w:color w:val="auto"/>
        </w:rPr>
        <w:t>satisfyingly</w:t>
      </w:r>
      <w:r w:rsidRPr="00EB19CB">
        <w:rPr>
          <w:color w:val="auto"/>
        </w:rPr>
        <w:t xml:space="preserve"> </w:t>
      </w:r>
      <w:r w:rsidR="00B603CC" w:rsidRPr="00EB19CB">
        <w:rPr>
          <w:color w:val="auto"/>
        </w:rPr>
        <w:t>aboveground</w:t>
      </w:r>
      <w:r w:rsidR="000439A2" w:rsidRPr="00EB19CB">
        <w:rPr>
          <w:color w:val="auto"/>
        </w:rPr>
        <w:t xml:space="preserve"> </w:t>
      </w:r>
      <w:r w:rsidR="0003302B" w:rsidRPr="00EB19CB">
        <w:rPr>
          <w:color w:val="auto"/>
        </w:rPr>
        <w:t>biomass</w:t>
      </w:r>
      <w:r w:rsidR="00EB2BC7" w:rsidRPr="00EB19CB">
        <w:rPr>
          <w:color w:val="auto"/>
        </w:rPr>
        <w:t xml:space="preserve"> and</w:t>
      </w:r>
      <w:r w:rsidR="000439A2" w:rsidRPr="00EB19CB">
        <w:rPr>
          <w:color w:val="auto"/>
        </w:rPr>
        <w:t xml:space="preserve"> </w:t>
      </w:r>
      <w:r w:rsidRPr="00EB19CB">
        <w:rPr>
          <w:color w:val="auto"/>
        </w:rPr>
        <w:t xml:space="preserve">grain and </w:t>
      </w:r>
      <w:r w:rsidR="008C1D29" w:rsidRPr="00EB19CB">
        <w:rPr>
          <w:color w:val="auto"/>
        </w:rPr>
        <w:t xml:space="preserve">to a lesser extent </w:t>
      </w:r>
      <w:r w:rsidRPr="00EB19CB">
        <w:rPr>
          <w:color w:val="auto"/>
        </w:rPr>
        <w:t>yields</w:t>
      </w:r>
      <w:r w:rsidR="0039483E" w:rsidRPr="00EB19CB">
        <w:rPr>
          <w:color w:val="auto"/>
        </w:rPr>
        <w:t xml:space="preserve"> and crop residues biomass</w:t>
      </w:r>
      <w:r w:rsidR="009635D2" w:rsidRPr="00EB19CB">
        <w:rPr>
          <w:color w:val="auto"/>
        </w:rPr>
        <w:t xml:space="preserve"> </w:t>
      </w:r>
      <w:r w:rsidRPr="00EB19CB">
        <w:rPr>
          <w:color w:val="auto"/>
        </w:rPr>
        <w:t xml:space="preserve">(Fig. </w:t>
      </w:r>
      <w:r w:rsidR="002232F8" w:rsidRPr="00EB19CB">
        <w:rPr>
          <w:color w:val="auto"/>
        </w:rPr>
        <w:t>1</w:t>
      </w:r>
      <w:r w:rsidR="0006225D" w:rsidRPr="00EB19CB">
        <w:rPr>
          <w:color w:val="auto"/>
        </w:rPr>
        <w:t>).</w:t>
      </w:r>
      <w:r w:rsidR="000439A2" w:rsidRPr="00EB19CB">
        <w:rPr>
          <w:color w:val="auto"/>
        </w:rPr>
        <w:t xml:space="preserve"> </w:t>
      </w:r>
      <w:r w:rsidR="0026502B" w:rsidRPr="00EB19CB">
        <w:rPr>
          <w:color w:val="auto"/>
        </w:rPr>
        <w:t>Soil NO</w:t>
      </w:r>
      <w:r w:rsidR="0026502B" w:rsidRPr="00EB19CB">
        <w:rPr>
          <w:color w:val="auto"/>
          <w:vertAlign w:val="subscript"/>
        </w:rPr>
        <w:t>3</w:t>
      </w:r>
      <w:r w:rsidR="0026502B" w:rsidRPr="00EB19CB">
        <w:rPr>
          <w:color w:val="auto"/>
        </w:rPr>
        <w:t xml:space="preserve"> content, as well as grain and residues N content, reinforced our confidence in the model ability to simulate the N cycle (Fig. </w:t>
      </w:r>
      <w:r w:rsidR="00C62AEB" w:rsidRPr="00EB19CB">
        <w:rPr>
          <w:color w:val="auto"/>
        </w:rPr>
        <w:t>A</w:t>
      </w:r>
      <w:r w:rsidR="00E77555" w:rsidRPr="00EB19CB">
        <w:rPr>
          <w:color w:val="auto"/>
        </w:rPr>
        <w:t>2</w:t>
      </w:r>
      <w:r w:rsidR="0026502B" w:rsidRPr="00EB19CB">
        <w:rPr>
          <w:color w:val="auto"/>
        </w:rPr>
        <w:t xml:space="preserve">). </w:t>
      </w:r>
      <w:r w:rsidR="007F3CD6" w:rsidRPr="00EB19CB">
        <w:rPr>
          <w:color w:val="auto"/>
        </w:rPr>
        <w:t xml:space="preserve">As shown on Fig. </w:t>
      </w:r>
      <w:r w:rsidR="002232F8" w:rsidRPr="00EB19CB">
        <w:rPr>
          <w:color w:val="auto"/>
        </w:rPr>
        <w:t>2</w:t>
      </w:r>
      <w:r w:rsidR="007F3CD6" w:rsidRPr="00EB19CB">
        <w:rPr>
          <w:color w:val="auto"/>
        </w:rPr>
        <w:t>, b</w:t>
      </w:r>
      <w:r w:rsidR="000439A2" w:rsidRPr="00EB19CB">
        <w:rPr>
          <w:color w:val="auto"/>
        </w:rPr>
        <w:t xml:space="preserve">iomasses were globally slightly overestimated (ND = </w:t>
      </w:r>
      <w:r w:rsidR="009A6FFF" w:rsidRPr="00EB19CB">
        <w:rPr>
          <w:color w:val="auto"/>
        </w:rPr>
        <w:t>1</w:t>
      </w:r>
      <w:r w:rsidR="00D537BC" w:rsidRPr="00EB19CB">
        <w:rPr>
          <w:color w:val="auto"/>
        </w:rPr>
        <w:t>0</w:t>
      </w:r>
      <w:r w:rsidR="009A6FFF" w:rsidRPr="00EB19CB">
        <w:rPr>
          <w:color w:val="auto"/>
        </w:rPr>
        <w:t>%</w:t>
      </w:r>
      <w:r w:rsidR="000439A2" w:rsidRPr="00EB19CB">
        <w:rPr>
          <w:color w:val="auto"/>
        </w:rPr>
        <w:t xml:space="preserve">), but </w:t>
      </w:r>
      <w:r w:rsidR="00EB6E99" w:rsidRPr="00EB19CB">
        <w:rPr>
          <w:color w:val="auto"/>
        </w:rPr>
        <w:t xml:space="preserve">no clear </w:t>
      </w:r>
      <w:r w:rsidR="00EB6E99" w:rsidRPr="00EB19CB">
        <w:rPr>
          <w:color w:val="auto"/>
        </w:rPr>
        <w:lastRenderedPageBreak/>
        <w:t>difference in simulations quality was observed between treatments (</w:t>
      </w:r>
      <w:r w:rsidR="003E45B2" w:rsidRPr="00EB19CB">
        <w:rPr>
          <w:color w:val="auto"/>
        </w:rPr>
        <w:t>Table A</w:t>
      </w:r>
      <w:r w:rsidR="00A83CB4" w:rsidRPr="00EB19CB">
        <w:rPr>
          <w:color w:val="auto"/>
        </w:rPr>
        <w:t>4</w:t>
      </w:r>
      <w:r w:rsidR="008F5553" w:rsidRPr="00EB19CB">
        <w:rPr>
          <w:color w:val="auto"/>
        </w:rPr>
        <w:t xml:space="preserve"> and Fig. A</w:t>
      </w:r>
      <w:r w:rsidR="00E77555" w:rsidRPr="00EB19CB">
        <w:rPr>
          <w:color w:val="auto"/>
        </w:rPr>
        <w:t>3</w:t>
      </w:r>
      <w:r w:rsidR="00EB6E99" w:rsidRPr="00EB19CB">
        <w:rPr>
          <w:color w:val="auto"/>
        </w:rPr>
        <w:t xml:space="preserve">). </w:t>
      </w:r>
      <w:r w:rsidR="0006225D" w:rsidRPr="00EB19CB">
        <w:rPr>
          <w:color w:val="auto"/>
        </w:rPr>
        <w:t>It is interesting to note that the model was globally better at simulating conventional tillage in comparison to reduced tillage, especially for the yields of sugarbeet and maize</w:t>
      </w:r>
      <w:r w:rsidR="00405638" w:rsidRPr="00EB19CB">
        <w:rPr>
          <w:color w:val="auto"/>
        </w:rPr>
        <w:t>.</w:t>
      </w:r>
      <w:r w:rsidR="001217FA" w:rsidRPr="00EB19CB">
        <w:rPr>
          <w:color w:val="auto"/>
        </w:rPr>
        <w:t xml:space="preserve"> </w:t>
      </w:r>
      <w:r w:rsidR="00F826DF" w:rsidRPr="00EB19CB">
        <w:rPr>
          <w:color w:val="auto"/>
        </w:rPr>
        <w:t xml:space="preserve">Globally, we see on Fig. 1 that, except for SOC and yields simulated under RT treatment, the RMSE is dominated by its unsystematic component, indicating that model errors relate to data dispersion rather than to a systematic bias in the model (Willmott, 1981; </w:t>
      </w:r>
      <w:proofErr w:type="spellStart"/>
      <w:r w:rsidR="00F826DF" w:rsidRPr="00EB19CB">
        <w:rPr>
          <w:color w:val="auto"/>
        </w:rPr>
        <w:t>Coucheney</w:t>
      </w:r>
      <w:proofErr w:type="spellEnd"/>
      <w:r w:rsidR="00F826DF" w:rsidRPr="00EB19CB">
        <w:rPr>
          <w:color w:val="auto"/>
        </w:rPr>
        <w:t xml:space="preserve"> et al., 2015)</w:t>
      </w:r>
      <w:r w:rsidR="008872ED" w:rsidRPr="00EB19CB">
        <w:rPr>
          <w:color w:val="auto"/>
        </w:rPr>
        <w:t xml:space="preserve">. </w:t>
      </w:r>
      <w:r w:rsidR="00E45091" w:rsidRPr="00EB19CB">
        <w:rPr>
          <w:color w:val="auto"/>
        </w:rPr>
        <w:t>Hence the STICS model appears to be adequate for investigating the impacts of crop residues management on crop production within diversified crop rotations under temperate climate conditions. However, concerning SOC</w:t>
      </w:r>
      <w:r w:rsidR="00A1370B" w:rsidRPr="00EB19CB">
        <w:rPr>
          <w:color w:val="auto"/>
        </w:rPr>
        <w:t xml:space="preserve"> content</w:t>
      </w:r>
      <w:r w:rsidR="00E45091" w:rsidRPr="00EB19CB">
        <w:rPr>
          <w:color w:val="auto"/>
        </w:rPr>
        <w:t>, simulations were not qualified as satisfactory b</w:t>
      </w:r>
      <w:r w:rsidR="00342A1E" w:rsidRPr="00EB19CB">
        <w:rPr>
          <w:color w:val="auto"/>
        </w:rPr>
        <w:t>ased solely on model efficiencies and RMSE components</w:t>
      </w:r>
      <w:r w:rsidR="0024098C" w:rsidRPr="00EB19CB">
        <w:rPr>
          <w:color w:val="auto"/>
        </w:rPr>
        <w:t xml:space="preserve">, according to Fig. </w:t>
      </w:r>
      <w:r w:rsidR="006B51D7" w:rsidRPr="00EB19CB">
        <w:rPr>
          <w:color w:val="auto"/>
        </w:rPr>
        <w:t>1</w:t>
      </w:r>
      <w:r w:rsidR="0024098C" w:rsidRPr="00EB19CB">
        <w:rPr>
          <w:color w:val="auto"/>
        </w:rPr>
        <w:t>; yet further sections of this manuscript will be dedicated to the overall analysis of SOC trends</w:t>
      </w:r>
      <w:r w:rsidR="001C7418" w:rsidRPr="00EB19CB">
        <w:rPr>
          <w:color w:val="auto"/>
        </w:rPr>
        <w:t>.</w:t>
      </w:r>
      <w:r w:rsidR="006E7608" w:rsidRPr="00EB19CB">
        <w:rPr>
          <w:color w:val="auto"/>
        </w:rPr>
        <w:t xml:space="preserve"> </w:t>
      </w:r>
    </w:p>
    <w:p w14:paraId="1A6C8715" w14:textId="61DA5807" w:rsidR="008F0D9C" w:rsidRPr="00EB19CB" w:rsidRDefault="008F0D9C" w:rsidP="00F35458">
      <w:pPr>
        <w:pStyle w:val="PubliManuscript"/>
        <w:spacing w:line="240" w:lineRule="auto"/>
        <w:ind w:firstLine="0"/>
        <w:jc w:val="center"/>
        <w:rPr>
          <w:i/>
          <w:iCs/>
          <w:noProof/>
          <w:color w:val="auto"/>
          <w:u w:val="single"/>
        </w:rPr>
      </w:pPr>
      <w:r w:rsidRPr="00EB19CB">
        <w:rPr>
          <w:i/>
          <w:iCs/>
          <w:noProof/>
          <w:color w:val="auto"/>
        </w:rPr>
        <w:drawing>
          <wp:inline distT="0" distB="0" distL="0" distR="0" wp14:anchorId="106FE3DB" wp14:editId="15357D31">
            <wp:extent cx="5760719" cy="4073734"/>
            <wp:effectExtent l="0" t="0" r="0" b="0"/>
            <wp:docPr id="197342907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429076" name="Imag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19" cy="4073734"/>
                    </a:xfrm>
                    <a:prstGeom prst="rect">
                      <a:avLst/>
                    </a:prstGeom>
                  </pic:spPr>
                </pic:pic>
              </a:graphicData>
            </a:graphic>
          </wp:inline>
        </w:drawing>
      </w:r>
    </w:p>
    <w:p w14:paraId="324DF2A1" w14:textId="4B087603" w:rsidR="00F35458" w:rsidRPr="00EB19CB" w:rsidRDefault="00F35458" w:rsidP="0000145B">
      <w:pPr>
        <w:pStyle w:val="PubliManuscript"/>
        <w:spacing w:line="240" w:lineRule="auto"/>
        <w:ind w:firstLine="0"/>
        <w:rPr>
          <w:b/>
          <w:bCs/>
          <w:color w:val="auto"/>
        </w:rPr>
      </w:pPr>
      <w:r w:rsidRPr="00EB19CB">
        <w:rPr>
          <w:b/>
          <w:bCs/>
          <w:color w:val="auto"/>
        </w:rPr>
        <w:t xml:space="preserve">Figure 2. Comparison between observed and simulated </w:t>
      </w:r>
      <w:r w:rsidR="0000145B" w:rsidRPr="00EB19CB">
        <w:rPr>
          <w:b/>
          <w:bCs/>
          <w:color w:val="auto"/>
        </w:rPr>
        <w:t>aboveground</w:t>
      </w:r>
      <w:r w:rsidRPr="00EB19CB">
        <w:rPr>
          <w:b/>
          <w:bCs/>
          <w:color w:val="auto"/>
        </w:rPr>
        <w:t xml:space="preserve"> biomass (period 2009-2015).</w:t>
      </w:r>
    </w:p>
    <w:p w14:paraId="38CE1417" w14:textId="203BCA5D" w:rsidR="00BB31B5" w:rsidRPr="00EB19CB" w:rsidRDefault="00FF1556" w:rsidP="00015FD7">
      <w:pPr>
        <w:pStyle w:val="Publi2"/>
        <w:rPr>
          <w:color w:val="auto"/>
        </w:rPr>
      </w:pPr>
      <w:r w:rsidRPr="00EB19CB">
        <w:rPr>
          <w:color w:val="auto"/>
        </w:rPr>
        <w:t xml:space="preserve"> </w:t>
      </w:r>
      <w:r w:rsidR="00BB31B5" w:rsidRPr="00EB19CB">
        <w:rPr>
          <w:color w:val="auto"/>
        </w:rPr>
        <w:t>Biomass and yield</w:t>
      </w:r>
    </w:p>
    <w:p w14:paraId="0E7E67E3" w14:textId="04CB67B8" w:rsidR="00AE4B57" w:rsidRPr="00EB19CB" w:rsidRDefault="002839D0" w:rsidP="00AE4B57">
      <w:pPr>
        <w:pStyle w:val="PubliManuscript"/>
        <w:rPr>
          <w:color w:val="auto"/>
        </w:rPr>
      </w:pPr>
      <w:r w:rsidRPr="00EB19CB">
        <w:rPr>
          <w:color w:val="auto"/>
        </w:rPr>
        <w:t>Analysis of field data over the period 2009-2021 showed that</w:t>
      </w:r>
      <w:r w:rsidR="00E3498B" w:rsidRPr="00EB19CB">
        <w:rPr>
          <w:color w:val="auto"/>
        </w:rPr>
        <w:t xml:space="preserve"> the</w:t>
      </w:r>
      <w:r w:rsidRPr="00EB19CB">
        <w:rPr>
          <w:color w:val="auto"/>
        </w:rPr>
        <w:t xml:space="preserve"> </w:t>
      </w:r>
      <w:r w:rsidR="00245319" w:rsidRPr="00EB19CB">
        <w:rPr>
          <w:color w:val="auto"/>
        </w:rPr>
        <w:t xml:space="preserve">observed </w:t>
      </w:r>
      <w:r w:rsidR="0001083B" w:rsidRPr="00EB19CB">
        <w:rPr>
          <w:color w:val="auto"/>
        </w:rPr>
        <w:t>cumulative crop yield of the rotation</w:t>
      </w:r>
      <w:r w:rsidRPr="00EB19CB">
        <w:rPr>
          <w:color w:val="auto"/>
        </w:rPr>
        <w:t xml:space="preserve"> was significantly influenced by tillage but not by crop residues fate (Table A</w:t>
      </w:r>
      <w:r w:rsidR="00A83CB4" w:rsidRPr="00EB19CB">
        <w:rPr>
          <w:color w:val="auto"/>
        </w:rPr>
        <w:t>5</w:t>
      </w:r>
      <w:r w:rsidRPr="00EB19CB">
        <w:rPr>
          <w:color w:val="auto"/>
        </w:rPr>
        <w:t xml:space="preserve">). </w:t>
      </w:r>
      <w:r w:rsidRPr="00EB19CB">
        <w:rPr>
          <w:color w:val="auto"/>
        </w:rPr>
        <w:lastRenderedPageBreak/>
        <w:t>This confirms earlier findings reported by Hiel et al. (2018) over the period 2009-2015. Similar conclusions were also drawn by Brennan et al. (2014)</w:t>
      </w:r>
      <w:r w:rsidR="002F4BE1" w:rsidRPr="00EB19CB">
        <w:rPr>
          <w:color w:val="auto"/>
        </w:rPr>
        <w:t xml:space="preserve"> and Young et al. (2021)</w:t>
      </w:r>
      <w:r w:rsidRPr="00EB19CB">
        <w:rPr>
          <w:color w:val="auto"/>
        </w:rPr>
        <w:t xml:space="preserve">. The cumulative yield measured in the field experiment from 2009 to 2021 was higher under conventional than reduced tillage (+6.07% of RT total production). </w:t>
      </w:r>
      <w:r w:rsidR="000F5DC5" w:rsidRPr="00EB19CB">
        <w:rPr>
          <w:color w:val="auto"/>
        </w:rPr>
        <w:t xml:space="preserve">Another study performed on the same experiment suggested that this might notably be due to greater weed pressure in the RT treatment (Lacroix et al., </w:t>
      </w:r>
      <w:r w:rsidR="000F5DC5" w:rsidRPr="00EB19CB">
        <w:rPr>
          <w:i/>
          <w:iCs/>
          <w:color w:val="auto"/>
        </w:rPr>
        <w:t>in prep</w:t>
      </w:r>
      <w:r w:rsidR="000F5DC5" w:rsidRPr="00EB19CB">
        <w:rPr>
          <w:color w:val="auto"/>
        </w:rPr>
        <w:t>).</w:t>
      </w:r>
    </w:p>
    <w:p w14:paraId="7CF744E8" w14:textId="1FB7B784" w:rsidR="00660F84" w:rsidRPr="00EB19CB" w:rsidRDefault="009C1D1B" w:rsidP="00472141">
      <w:pPr>
        <w:pStyle w:val="PubliManuscript"/>
        <w:rPr>
          <w:color w:val="auto"/>
        </w:rPr>
      </w:pPr>
      <w:bookmarkStart w:id="4" w:name="_Hlk136356473"/>
      <w:r w:rsidRPr="00EB19CB">
        <w:rPr>
          <w:color w:val="auto"/>
        </w:rPr>
        <w:t>The comparisons of simulated yields (Fig. 3) and simulated shoot biomasses (not shown) across treatments led to the same conclusions than field measurements</w:t>
      </w:r>
      <w:bookmarkEnd w:id="4"/>
      <w:r w:rsidRPr="00EB19CB">
        <w:rPr>
          <w:color w:val="auto"/>
        </w:rPr>
        <w:t>. From the model perspective, it can be</w:t>
      </w:r>
      <w:r w:rsidR="00472141" w:rsidRPr="00EB19CB">
        <w:rPr>
          <w:color w:val="auto"/>
        </w:rPr>
        <w:t xml:space="preserve">  </w:t>
      </w:r>
      <w:r w:rsidRPr="00EB19CB">
        <w:rPr>
          <w:color w:val="auto"/>
        </w:rPr>
        <w:t>concluded that</w:t>
      </w:r>
      <w:r w:rsidR="0086094A" w:rsidRPr="00EB19CB">
        <w:rPr>
          <w:color w:val="auto"/>
        </w:rPr>
        <w:t xml:space="preserve"> </w:t>
      </w:r>
      <w:r w:rsidRPr="00EB19CB">
        <w:rPr>
          <w:color w:val="auto"/>
        </w:rPr>
        <w:t xml:space="preserve">CT leads to a global yields increase of </w:t>
      </w:r>
      <w:r w:rsidR="009623D5" w:rsidRPr="00EB19CB">
        <w:rPr>
          <w:color w:val="auto"/>
        </w:rPr>
        <w:t>17.3</w:t>
      </w:r>
      <w:r w:rsidR="00C63531" w:rsidRPr="00EB19CB">
        <w:rPr>
          <w:color w:val="auto"/>
        </w:rPr>
        <w:t>8</w:t>
      </w:r>
      <w:r w:rsidRPr="00EB19CB">
        <w:rPr>
          <w:color w:val="auto"/>
        </w:rPr>
        <w:t>% compared to RT total production</w:t>
      </w:r>
      <w:r w:rsidR="00016ABA" w:rsidRPr="00EB19CB">
        <w:rPr>
          <w:color w:val="auto"/>
        </w:rPr>
        <w:t>.</w:t>
      </w:r>
      <w:r w:rsidRPr="00EB19CB">
        <w:rPr>
          <w:color w:val="auto"/>
        </w:rPr>
        <w:t xml:space="preserve"> The difference was greater with simulated data than for observations</w:t>
      </w:r>
      <w:r w:rsidR="0086094A" w:rsidRPr="00EB19CB">
        <w:rPr>
          <w:color w:val="auto"/>
        </w:rPr>
        <w:t xml:space="preserve"> (Fig. A</w:t>
      </w:r>
      <w:r w:rsidR="008F5553" w:rsidRPr="00EB19CB">
        <w:rPr>
          <w:color w:val="auto"/>
        </w:rPr>
        <w:t>4</w:t>
      </w:r>
      <w:r w:rsidR="0086094A" w:rsidRPr="00EB19CB">
        <w:rPr>
          <w:color w:val="auto"/>
        </w:rPr>
        <w:t>).</w:t>
      </w:r>
      <w:r w:rsidRPr="00EB19CB">
        <w:rPr>
          <w:color w:val="auto"/>
        </w:rPr>
        <w:t xml:space="preserve"> This was mainly due to the model underestimation of some yields under reduced tillage: sugarbeet and maize yields were slightly underestimated by model simulations but they had a greater importance in total production when expressed in tons per hectare. </w:t>
      </w:r>
    </w:p>
    <w:p w14:paraId="5F01F07C" w14:textId="2FA6EFBA" w:rsidR="008F0D9C" w:rsidRPr="00EB19CB" w:rsidRDefault="008F0D9C" w:rsidP="000372F1">
      <w:pPr>
        <w:pStyle w:val="PubliManuscript"/>
        <w:spacing w:line="240" w:lineRule="auto"/>
        <w:ind w:firstLine="0"/>
        <w:jc w:val="center"/>
        <w:rPr>
          <w:i/>
          <w:iCs/>
          <w:noProof/>
          <w:color w:val="auto"/>
          <w:u w:val="single"/>
        </w:rPr>
      </w:pPr>
      <w:r w:rsidRPr="00EB19CB">
        <w:rPr>
          <w:i/>
          <w:iCs/>
          <w:noProof/>
          <w:color w:val="auto"/>
        </w:rPr>
        <w:drawing>
          <wp:inline distT="0" distB="0" distL="0" distR="0" wp14:anchorId="3247746F" wp14:editId="0BA2114D">
            <wp:extent cx="5760719" cy="4073734"/>
            <wp:effectExtent l="0" t="0" r="0" b="0"/>
            <wp:docPr id="164153122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531225" name="Imag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19" cy="4073734"/>
                    </a:xfrm>
                    <a:prstGeom prst="rect">
                      <a:avLst/>
                    </a:prstGeom>
                  </pic:spPr>
                </pic:pic>
              </a:graphicData>
            </a:graphic>
          </wp:inline>
        </w:drawing>
      </w:r>
    </w:p>
    <w:p w14:paraId="31AB0B50" w14:textId="310D1C42" w:rsidR="000010EA" w:rsidRPr="00EB19CB" w:rsidRDefault="0033013D" w:rsidP="000372F1">
      <w:pPr>
        <w:pStyle w:val="PubliManuscript"/>
        <w:spacing w:line="240" w:lineRule="auto"/>
        <w:ind w:firstLine="0"/>
        <w:jc w:val="center"/>
        <w:rPr>
          <w:b/>
          <w:bCs/>
          <w:color w:val="auto"/>
        </w:rPr>
      </w:pPr>
      <w:r w:rsidRPr="00EB19CB">
        <w:rPr>
          <w:b/>
          <w:bCs/>
          <w:color w:val="auto"/>
        </w:rPr>
        <w:t xml:space="preserve">Figure 3. </w:t>
      </w:r>
      <w:r w:rsidR="00023666" w:rsidRPr="00EB19CB">
        <w:rPr>
          <w:b/>
          <w:bCs/>
          <w:color w:val="auto"/>
        </w:rPr>
        <w:t>Cumulated y</w:t>
      </w:r>
      <w:r w:rsidRPr="00EB19CB">
        <w:rPr>
          <w:b/>
          <w:bCs/>
          <w:color w:val="auto"/>
        </w:rPr>
        <w:t>ields comparison</w:t>
      </w:r>
      <w:r w:rsidR="000A571B" w:rsidRPr="00EB19CB">
        <w:rPr>
          <w:b/>
          <w:bCs/>
          <w:color w:val="auto"/>
        </w:rPr>
        <w:t xml:space="preserve"> from simulations</w:t>
      </w:r>
      <w:r w:rsidR="005E2F40" w:rsidRPr="00EB19CB">
        <w:rPr>
          <w:b/>
          <w:bCs/>
          <w:color w:val="auto"/>
        </w:rPr>
        <w:t xml:space="preserve"> for the whole period 2008-2021</w:t>
      </w:r>
      <w:r w:rsidR="00B22317" w:rsidRPr="00EB19CB">
        <w:rPr>
          <w:b/>
          <w:bCs/>
          <w:color w:val="auto"/>
        </w:rPr>
        <w:t>.</w:t>
      </w:r>
    </w:p>
    <w:p w14:paraId="0C7825BC" w14:textId="362E2C42" w:rsidR="00AF38F3" w:rsidRPr="00EB19CB" w:rsidRDefault="00AF38F3" w:rsidP="00FE33D8">
      <w:pPr>
        <w:pStyle w:val="PubliManuscript"/>
        <w:rPr>
          <w:color w:val="auto"/>
        </w:rPr>
      </w:pPr>
      <w:r w:rsidRPr="00EB19CB">
        <w:rPr>
          <w:color w:val="auto"/>
        </w:rPr>
        <w:t>The observed yield loss associated to reduced tillage did not significantly differ between crops (</w:t>
      </w:r>
      <w:r w:rsidRPr="00EB19CB">
        <w:rPr>
          <w:i/>
          <w:iCs/>
          <w:color w:val="auto"/>
        </w:rPr>
        <w:t xml:space="preserve">p </w:t>
      </w:r>
      <w:r w:rsidRPr="00EB19CB">
        <w:rPr>
          <w:color w:val="auto"/>
        </w:rPr>
        <w:t xml:space="preserve">= 0.68), despite Van den Putte et al. (2010) reviewed a greater loss for maize and to a lesser extent </w:t>
      </w:r>
      <w:r w:rsidRPr="00EB19CB">
        <w:rPr>
          <w:color w:val="auto"/>
        </w:rPr>
        <w:lastRenderedPageBreak/>
        <w:t xml:space="preserve">winter wheat compared to root and tuber crops. </w:t>
      </w:r>
      <w:r w:rsidR="00154ACF" w:rsidRPr="00EB19CB">
        <w:rPr>
          <w:color w:val="auto"/>
        </w:rPr>
        <w:t xml:space="preserve">While Knapp and van der Heijden (2018) indicated that yield stability does not differ between no-till and conventional tillage, the negative impact of reduced tillage on yields under humid climatic conditions was already reported in many studies with losses ranging up to 30% (Van den Putte et al., 2010; Pittelkow et al., 2015b; Sun et al., 2020). </w:t>
      </w:r>
      <w:r w:rsidR="00444A21" w:rsidRPr="00EB19CB">
        <w:rPr>
          <w:color w:val="auto"/>
        </w:rPr>
        <w:t>Pittelkow et al. (2015b) reported that such a negative impact could be minimized with residue retention on</w:t>
      </w:r>
      <w:r w:rsidR="001E2307" w:rsidRPr="00EB19CB">
        <w:rPr>
          <w:color w:val="auto"/>
        </w:rPr>
        <w:t xml:space="preserve"> the</w:t>
      </w:r>
      <w:r w:rsidR="00444A21" w:rsidRPr="00EB19CB">
        <w:rPr>
          <w:color w:val="auto"/>
        </w:rPr>
        <w:t xml:space="preserve"> field</w:t>
      </w:r>
      <w:r w:rsidR="00FE33D8" w:rsidRPr="00EB19CB">
        <w:rPr>
          <w:color w:val="auto"/>
        </w:rPr>
        <w:t xml:space="preserve">. </w:t>
      </w:r>
    </w:p>
    <w:p w14:paraId="65B6B3FF" w14:textId="513A2225" w:rsidR="00660F84" w:rsidRPr="00EB19CB" w:rsidRDefault="00AF38F3" w:rsidP="00721C08">
      <w:pPr>
        <w:pStyle w:val="PubliManuscript"/>
        <w:rPr>
          <w:color w:val="auto"/>
        </w:rPr>
      </w:pPr>
      <w:r w:rsidRPr="00EB19CB">
        <w:rPr>
          <w:color w:val="auto"/>
        </w:rPr>
        <w:t xml:space="preserve">No significative difference was found between crop residues fates either in measured yields </w:t>
      </w:r>
      <w:r w:rsidR="008F3F27" w:rsidRPr="00EB19CB">
        <w:rPr>
          <w:color w:val="auto"/>
        </w:rPr>
        <w:t>(</w:t>
      </w:r>
      <w:r w:rsidR="00A30117" w:rsidRPr="00EB19CB">
        <w:rPr>
          <w:color w:val="auto"/>
        </w:rPr>
        <w:t xml:space="preserve">except for winter wheat in 2010-2011; </w:t>
      </w:r>
      <w:r w:rsidR="008F3F27" w:rsidRPr="00EB19CB">
        <w:rPr>
          <w:color w:val="auto"/>
        </w:rPr>
        <w:t>Table A</w:t>
      </w:r>
      <w:r w:rsidR="00A83CB4" w:rsidRPr="00EB19CB">
        <w:rPr>
          <w:color w:val="auto"/>
        </w:rPr>
        <w:t>5</w:t>
      </w:r>
      <w:r w:rsidR="006077D9" w:rsidRPr="00EB19CB">
        <w:rPr>
          <w:color w:val="auto"/>
        </w:rPr>
        <w:t>; Hiel et al., 2018</w:t>
      </w:r>
      <w:r w:rsidR="008F3F27" w:rsidRPr="00EB19CB">
        <w:rPr>
          <w:color w:val="auto"/>
        </w:rPr>
        <w:t xml:space="preserve">) </w:t>
      </w:r>
      <w:r w:rsidRPr="00EB19CB">
        <w:rPr>
          <w:color w:val="auto"/>
        </w:rPr>
        <w:t>nor in simulations (0.</w:t>
      </w:r>
      <w:r w:rsidR="0041179C" w:rsidRPr="00EB19CB">
        <w:rPr>
          <w:color w:val="auto"/>
        </w:rPr>
        <w:t>4</w:t>
      </w:r>
      <w:r w:rsidRPr="00EB19CB">
        <w:rPr>
          <w:color w:val="auto"/>
        </w:rPr>
        <w:t>% of difference between yields in IN and OUT treatments).</w:t>
      </w:r>
      <w:r w:rsidR="00844C1C" w:rsidRPr="00EB19CB">
        <w:rPr>
          <w:color w:val="auto"/>
        </w:rPr>
        <w:t xml:space="preserve"> However,</w:t>
      </w:r>
      <w:r w:rsidR="00105C51" w:rsidRPr="00EB19CB">
        <w:rPr>
          <w:color w:val="auto"/>
        </w:rPr>
        <w:t xml:space="preserve"> one must be vigilant to the risk of nitrogen deficiency</w:t>
      </w:r>
      <w:r w:rsidRPr="00EB19CB">
        <w:rPr>
          <w:color w:val="auto"/>
        </w:rPr>
        <w:t xml:space="preserve"> </w:t>
      </w:r>
      <w:r w:rsidR="00066D18" w:rsidRPr="00EB19CB">
        <w:rPr>
          <w:color w:val="auto"/>
        </w:rPr>
        <w:t xml:space="preserve">that might happen when incorporated crop residues are </w:t>
      </w:r>
      <w:r w:rsidR="00CF2ABB" w:rsidRPr="00EB19CB">
        <w:rPr>
          <w:color w:val="auto"/>
        </w:rPr>
        <w:t>particularly</w:t>
      </w:r>
      <w:r w:rsidR="00066D18" w:rsidRPr="00EB19CB">
        <w:rPr>
          <w:color w:val="auto"/>
        </w:rPr>
        <w:t xml:space="preserve"> rich in carbon content</w:t>
      </w:r>
      <w:r w:rsidR="00CF2ABB" w:rsidRPr="00EB19CB">
        <w:rPr>
          <w:color w:val="auto"/>
        </w:rPr>
        <w:t xml:space="preserve"> as it is the case </w:t>
      </w:r>
      <w:r w:rsidR="004B2ADC" w:rsidRPr="00EB19CB">
        <w:rPr>
          <w:color w:val="auto"/>
        </w:rPr>
        <w:t>within cereal-based cropping systems</w:t>
      </w:r>
      <w:r w:rsidR="00066D18" w:rsidRPr="00EB19CB">
        <w:rPr>
          <w:color w:val="auto"/>
        </w:rPr>
        <w:t>. Generally speaking, this highlights the importance of</w:t>
      </w:r>
      <w:r w:rsidR="00324F01" w:rsidRPr="00EB19CB">
        <w:rPr>
          <w:color w:val="auto"/>
        </w:rPr>
        <w:t xml:space="preserve"> a proper and coherent</w:t>
      </w:r>
      <w:r w:rsidR="00066D18" w:rsidRPr="00EB19CB">
        <w:rPr>
          <w:color w:val="auto"/>
        </w:rPr>
        <w:t xml:space="preserve"> crop rotation</w:t>
      </w:r>
      <w:r w:rsidR="00324F01" w:rsidRPr="00EB19CB">
        <w:rPr>
          <w:color w:val="auto"/>
        </w:rPr>
        <w:t xml:space="preserve"> management</w:t>
      </w:r>
      <w:r w:rsidR="00066D18" w:rsidRPr="00EB19CB">
        <w:rPr>
          <w:color w:val="auto"/>
        </w:rPr>
        <w:t>, as advocated in Pittelkow et al. (2015b) or Sun et al. (2020)</w:t>
      </w:r>
      <w:r w:rsidR="00B817AF" w:rsidRPr="00EB19CB">
        <w:rPr>
          <w:color w:val="auto"/>
        </w:rPr>
        <w:t>.</w:t>
      </w:r>
    </w:p>
    <w:p w14:paraId="38DA3723" w14:textId="1583FD28" w:rsidR="00995455" w:rsidRPr="00EB19CB" w:rsidRDefault="001706FD" w:rsidP="009A22A7">
      <w:pPr>
        <w:pStyle w:val="Publi2"/>
        <w:rPr>
          <w:color w:val="auto"/>
        </w:rPr>
      </w:pPr>
      <w:r w:rsidRPr="00EB19CB">
        <w:rPr>
          <w:color w:val="auto"/>
        </w:rPr>
        <w:t xml:space="preserve"> </w:t>
      </w:r>
      <w:r w:rsidR="00995455" w:rsidRPr="00EB19CB">
        <w:rPr>
          <w:color w:val="auto"/>
        </w:rPr>
        <w:t>Soil organic carbon</w:t>
      </w:r>
    </w:p>
    <w:p w14:paraId="4F6A283F" w14:textId="7DF4E321" w:rsidR="00C62900" w:rsidRPr="00EB19CB" w:rsidRDefault="00C62900" w:rsidP="009E749E">
      <w:pPr>
        <w:pStyle w:val="Publi3"/>
        <w:numPr>
          <w:ilvl w:val="0"/>
          <w:numId w:val="0"/>
        </w:numPr>
        <w:ind w:left="1428" w:firstLine="12"/>
      </w:pPr>
      <w:r w:rsidRPr="00EB19CB">
        <w:t>3.</w:t>
      </w:r>
      <w:r w:rsidR="00C75720" w:rsidRPr="00EB19CB">
        <w:t>3.</w:t>
      </w:r>
      <w:r w:rsidRPr="00EB19CB">
        <w:t>1 Topsoil organic carbon content</w:t>
      </w:r>
    </w:p>
    <w:p w14:paraId="2682023F" w14:textId="782AB4B1" w:rsidR="00995455" w:rsidRPr="00EB19CB" w:rsidRDefault="00995455" w:rsidP="00995455">
      <w:pPr>
        <w:pStyle w:val="PubliManuscript"/>
        <w:rPr>
          <w:color w:val="auto"/>
        </w:rPr>
      </w:pPr>
      <w:bookmarkStart w:id="5" w:name="_Hlk136504004"/>
      <w:r w:rsidRPr="00EB19CB">
        <w:rPr>
          <w:color w:val="auto"/>
        </w:rPr>
        <w:t xml:space="preserve">After 14 years of experiment, </w:t>
      </w:r>
      <w:r w:rsidR="00B72614" w:rsidRPr="00EB19CB">
        <w:rPr>
          <w:color w:val="auto"/>
        </w:rPr>
        <w:t>t</w:t>
      </w:r>
      <w:r w:rsidRPr="00EB19CB">
        <w:rPr>
          <w:color w:val="auto"/>
        </w:rPr>
        <w:t xml:space="preserve">here </w:t>
      </w:r>
      <w:r w:rsidR="00F275BF" w:rsidRPr="00EB19CB">
        <w:rPr>
          <w:color w:val="auto"/>
        </w:rPr>
        <w:t>was</w:t>
      </w:r>
      <w:r w:rsidRPr="00EB19CB">
        <w:rPr>
          <w:color w:val="auto"/>
        </w:rPr>
        <w:t xml:space="preserve"> a strong differentiation</w:t>
      </w:r>
      <w:r w:rsidR="00D7560B" w:rsidRPr="00EB19CB">
        <w:rPr>
          <w:color w:val="auto"/>
        </w:rPr>
        <w:t xml:space="preserve"> on the field </w:t>
      </w:r>
      <w:r w:rsidRPr="00EB19CB">
        <w:rPr>
          <w:color w:val="auto"/>
        </w:rPr>
        <w:t>between tillage treatments in the 0-10</w:t>
      </w:r>
      <w:r w:rsidR="00F51F44" w:rsidRPr="00EB19CB">
        <w:rPr>
          <w:color w:val="auto"/>
        </w:rPr>
        <w:t xml:space="preserve"> </w:t>
      </w:r>
      <w:r w:rsidRPr="00EB19CB">
        <w:rPr>
          <w:color w:val="auto"/>
        </w:rPr>
        <w:t>cm and 20-30</w:t>
      </w:r>
      <w:r w:rsidR="00F51F44" w:rsidRPr="00EB19CB">
        <w:rPr>
          <w:color w:val="auto"/>
        </w:rPr>
        <w:t xml:space="preserve"> </w:t>
      </w:r>
      <w:r w:rsidRPr="00EB19CB">
        <w:rPr>
          <w:color w:val="auto"/>
        </w:rPr>
        <w:t xml:space="preserve">cm soil layers (Fig. </w:t>
      </w:r>
      <w:r w:rsidR="00E2033A" w:rsidRPr="00EB19CB">
        <w:rPr>
          <w:color w:val="auto"/>
        </w:rPr>
        <w:t>4</w:t>
      </w:r>
      <w:r w:rsidRPr="00EB19CB">
        <w:rPr>
          <w:color w:val="auto"/>
        </w:rPr>
        <w:t xml:space="preserve">b and </w:t>
      </w:r>
      <w:r w:rsidR="00E2033A" w:rsidRPr="00EB19CB">
        <w:rPr>
          <w:color w:val="auto"/>
        </w:rPr>
        <w:t>4</w:t>
      </w:r>
      <w:r w:rsidRPr="00EB19CB">
        <w:rPr>
          <w:color w:val="auto"/>
        </w:rPr>
        <w:t>d). Reduced tillage concentrate</w:t>
      </w:r>
      <w:r w:rsidR="0081135B" w:rsidRPr="00EB19CB">
        <w:rPr>
          <w:color w:val="auto"/>
        </w:rPr>
        <w:t>d</w:t>
      </w:r>
      <w:r w:rsidRPr="00EB19CB">
        <w:rPr>
          <w:color w:val="auto"/>
        </w:rPr>
        <w:t xml:space="preserve"> SOC in the upper soil layer, leading to a higher SOC content in the 0-10</w:t>
      </w:r>
      <w:r w:rsidR="00F51F44" w:rsidRPr="00EB19CB">
        <w:rPr>
          <w:color w:val="auto"/>
        </w:rPr>
        <w:t xml:space="preserve"> </w:t>
      </w:r>
      <w:r w:rsidRPr="00EB19CB">
        <w:rPr>
          <w:color w:val="auto"/>
        </w:rPr>
        <w:t>cm layer compared to conventional tillage, but this result</w:t>
      </w:r>
      <w:r w:rsidR="009E14DF" w:rsidRPr="00EB19CB">
        <w:rPr>
          <w:color w:val="auto"/>
        </w:rPr>
        <w:t>ed</w:t>
      </w:r>
      <w:r w:rsidRPr="00EB19CB">
        <w:rPr>
          <w:color w:val="auto"/>
        </w:rPr>
        <w:t xml:space="preserve"> in </w:t>
      </w:r>
      <w:r w:rsidR="00D45CE2" w:rsidRPr="00EB19CB">
        <w:rPr>
          <w:color w:val="auto"/>
        </w:rPr>
        <w:t xml:space="preserve">lower </w:t>
      </w:r>
      <w:r w:rsidRPr="00EB19CB">
        <w:rPr>
          <w:color w:val="auto"/>
        </w:rPr>
        <w:t>SOC</w:t>
      </w:r>
      <w:r w:rsidR="00D45CE2" w:rsidRPr="00EB19CB">
        <w:rPr>
          <w:color w:val="auto"/>
        </w:rPr>
        <w:t xml:space="preserve"> content</w:t>
      </w:r>
      <w:r w:rsidRPr="00EB19CB">
        <w:rPr>
          <w:color w:val="auto"/>
        </w:rPr>
        <w:t xml:space="preserve"> in the 20-30</w:t>
      </w:r>
      <w:r w:rsidR="00F51F44" w:rsidRPr="00EB19CB">
        <w:rPr>
          <w:color w:val="auto"/>
        </w:rPr>
        <w:t xml:space="preserve"> </w:t>
      </w:r>
      <w:r w:rsidRPr="00EB19CB">
        <w:rPr>
          <w:color w:val="auto"/>
        </w:rPr>
        <w:t>cm. Conversely, ploughing at 25</w:t>
      </w:r>
      <w:r w:rsidR="00F51F44" w:rsidRPr="00EB19CB">
        <w:rPr>
          <w:color w:val="auto"/>
        </w:rPr>
        <w:t xml:space="preserve"> </w:t>
      </w:r>
      <w:r w:rsidRPr="00EB19CB">
        <w:rPr>
          <w:color w:val="auto"/>
        </w:rPr>
        <w:t>cm incorporates the organic matter in the lower layer and uniformizes the SOC content over the whole ploughed layer.</w:t>
      </w:r>
      <w:r w:rsidR="00D12824" w:rsidRPr="00EB19CB">
        <w:rPr>
          <w:color w:val="auto"/>
        </w:rPr>
        <w:t xml:space="preserve"> These observed impacts of tillage on the distribution of SOC across the profile, with a concentration of SOC within the topsoil associated with a continuous SOC depletion in the undisturbed lower soil layers, almost make consensus and were reported in studies investigating reduced tillage or no-till techniques (Clapp et al., 2000; Lopez-</w:t>
      </w:r>
      <w:proofErr w:type="spellStart"/>
      <w:r w:rsidR="00D12824" w:rsidRPr="00EB19CB">
        <w:rPr>
          <w:color w:val="auto"/>
        </w:rPr>
        <w:t>Fando</w:t>
      </w:r>
      <w:proofErr w:type="spellEnd"/>
      <w:r w:rsidR="00D12824" w:rsidRPr="00EB19CB">
        <w:rPr>
          <w:color w:val="auto"/>
        </w:rPr>
        <w:t xml:space="preserve"> and Pardo, 2001; </w:t>
      </w:r>
      <w:proofErr w:type="spellStart"/>
      <w:r w:rsidR="00D12824" w:rsidRPr="00EB19CB">
        <w:rPr>
          <w:color w:val="auto"/>
        </w:rPr>
        <w:t>Hernanz</w:t>
      </w:r>
      <w:proofErr w:type="spellEnd"/>
      <w:r w:rsidR="00D12824" w:rsidRPr="00EB19CB">
        <w:rPr>
          <w:color w:val="auto"/>
        </w:rPr>
        <w:t xml:space="preserve"> et al., 2009; Luo et al., 2010; </w:t>
      </w:r>
      <w:proofErr w:type="spellStart"/>
      <w:r w:rsidR="00D12824" w:rsidRPr="00EB19CB">
        <w:rPr>
          <w:color w:val="auto"/>
        </w:rPr>
        <w:t>Powlson</w:t>
      </w:r>
      <w:proofErr w:type="spellEnd"/>
      <w:r w:rsidR="00D12824" w:rsidRPr="00EB19CB">
        <w:rPr>
          <w:color w:val="auto"/>
        </w:rPr>
        <w:t xml:space="preserve"> et al., 2014; Ogle et al., 2019; Mary et al., 2020).</w:t>
      </w:r>
    </w:p>
    <w:p w14:paraId="0BE8AAFC" w14:textId="3A081438" w:rsidR="008F0D9C" w:rsidRPr="00EB19CB" w:rsidRDefault="008F0D9C" w:rsidP="000749D0">
      <w:pPr>
        <w:pStyle w:val="PubliManuscript"/>
        <w:spacing w:line="240" w:lineRule="auto"/>
        <w:ind w:firstLine="0"/>
        <w:rPr>
          <w:i/>
          <w:iCs/>
          <w:noProof/>
          <w:color w:val="auto"/>
          <w:u w:val="single"/>
        </w:rPr>
      </w:pPr>
      <w:r w:rsidRPr="00EB19CB">
        <w:rPr>
          <w:i/>
          <w:iCs/>
          <w:noProof/>
          <w:color w:val="auto"/>
        </w:rPr>
        <w:lastRenderedPageBreak/>
        <w:drawing>
          <wp:inline distT="0" distB="0" distL="0" distR="0" wp14:anchorId="62FC7631" wp14:editId="5B51EF11">
            <wp:extent cx="5760720" cy="4074160"/>
            <wp:effectExtent l="0" t="0" r="0" b="2540"/>
            <wp:docPr id="225671334" name="Image 5" descr="Une image contenant texte, capture d’écran, diagramm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71334" name="Image 5" descr="Une image contenant texte, capture d’écran, diagramme, Tracé&#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074160"/>
                    </a:xfrm>
                    <a:prstGeom prst="rect">
                      <a:avLst/>
                    </a:prstGeom>
                  </pic:spPr>
                </pic:pic>
              </a:graphicData>
            </a:graphic>
          </wp:inline>
        </w:drawing>
      </w:r>
    </w:p>
    <w:p w14:paraId="7D5A4D57" w14:textId="690D5B6D" w:rsidR="000749D0" w:rsidRPr="00EB19CB" w:rsidRDefault="000749D0" w:rsidP="000749D0">
      <w:pPr>
        <w:pStyle w:val="PubliManuscript"/>
        <w:spacing w:line="240" w:lineRule="auto"/>
        <w:ind w:firstLine="0"/>
        <w:rPr>
          <w:b/>
          <w:bCs/>
          <w:color w:val="auto"/>
        </w:rPr>
      </w:pPr>
      <w:r w:rsidRPr="00EB19CB">
        <w:rPr>
          <w:b/>
          <w:bCs/>
          <w:color w:val="auto"/>
        </w:rPr>
        <w:t xml:space="preserve">Figure </w:t>
      </w:r>
      <w:r w:rsidR="00152B25" w:rsidRPr="00EB19CB">
        <w:rPr>
          <w:b/>
          <w:bCs/>
          <w:color w:val="auto"/>
        </w:rPr>
        <w:t>4</w:t>
      </w:r>
      <w:r w:rsidRPr="00EB19CB">
        <w:rPr>
          <w:b/>
          <w:bCs/>
          <w:color w:val="auto"/>
        </w:rPr>
        <w:t xml:space="preserve">. SOC field measurements for different soil profiles. For each measurement date, stars represent significant differences between tillage management (ANOVA, </w:t>
      </w:r>
      <w:r w:rsidRPr="00EB19CB">
        <w:rPr>
          <w:b/>
          <w:bCs/>
          <w:i/>
          <w:iCs/>
          <w:color w:val="auto"/>
        </w:rPr>
        <w:t>p</w:t>
      </w:r>
      <w:r w:rsidRPr="00EB19CB">
        <w:rPr>
          <w:b/>
          <w:bCs/>
          <w:color w:val="auto"/>
        </w:rPr>
        <w:t xml:space="preserve">-value &lt; 0.05) and crosses represent significant differences between residues management (ANOVA, </w:t>
      </w:r>
      <w:r w:rsidRPr="00EB19CB">
        <w:rPr>
          <w:b/>
          <w:bCs/>
          <w:i/>
          <w:iCs/>
          <w:color w:val="auto"/>
        </w:rPr>
        <w:t>p</w:t>
      </w:r>
      <w:r w:rsidRPr="00EB19CB">
        <w:rPr>
          <w:b/>
          <w:bCs/>
          <w:color w:val="auto"/>
        </w:rPr>
        <w:t xml:space="preserve">-value &lt; 0.05). </w:t>
      </w:r>
    </w:p>
    <w:p w14:paraId="649CFE21" w14:textId="0DFC781A" w:rsidR="00995455" w:rsidRPr="00EB19CB" w:rsidRDefault="00B72614" w:rsidP="0013324B">
      <w:pPr>
        <w:pStyle w:val="PubliManuscript"/>
        <w:rPr>
          <w:color w:val="auto"/>
        </w:rPr>
      </w:pPr>
      <w:r w:rsidRPr="00EB19CB">
        <w:rPr>
          <w:color w:val="auto"/>
        </w:rPr>
        <w:t xml:space="preserve">No significant difference in measured soil organic carbon </w:t>
      </w:r>
      <w:r w:rsidR="0046201F" w:rsidRPr="00EB19CB">
        <w:rPr>
          <w:color w:val="auto"/>
        </w:rPr>
        <w:t xml:space="preserve">content </w:t>
      </w:r>
      <w:r w:rsidRPr="00EB19CB">
        <w:rPr>
          <w:color w:val="auto"/>
        </w:rPr>
        <w:t>over the whole 0-30</w:t>
      </w:r>
      <w:r w:rsidR="000410D1" w:rsidRPr="00EB19CB">
        <w:rPr>
          <w:color w:val="auto"/>
        </w:rPr>
        <w:t xml:space="preserve"> </w:t>
      </w:r>
      <w:r w:rsidRPr="00EB19CB">
        <w:rPr>
          <w:color w:val="auto"/>
        </w:rPr>
        <w:t xml:space="preserve">cm profile was observed between tillage management or crop residues fate (Fig. </w:t>
      </w:r>
      <w:r w:rsidR="00E2033A" w:rsidRPr="00EB19CB">
        <w:rPr>
          <w:color w:val="auto"/>
        </w:rPr>
        <w:t>4</w:t>
      </w:r>
      <w:r w:rsidRPr="00EB19CB">
        <w:rPr>
          <w:color w:val="auto"/>
        </w:rPr>
        <w:t xml:space="preserve">a). </w:t>
      </w:r>
      <w:r w:rsidR="00716517" w:rsidRPr="00EB19CB">
        <w:rPr>
          <w:color w:val="auto"/>
        </w:rPr>
        <w:t xml:space="preserve">But the </w:t>
      </w:r>
      <w:r w:rsidR="00976829" w:rsidRPr="00EB19CB">
        <w:rPr>
          <w:color w:val="auto"/>
        </w:rPr>
        <w:t>SOC evolution between</w:t>
      </w:r>
      <w:r w:rsidR="00995455" w:rsidRPr="00EB19CB">
        <w:rPr>
          <w:color w:val="auto"/>
        </w:rPr>
        <w:t xml:space="preserve"> 2009 and 2018 suggests contrasted trends (</w:t>
      </w:r>
      <w:r w:rsidR="00995455" w:rsidRPr="00EB19CB">
        <w:rPr>
          <w:i/>
          <w:iCs/>
          <w:color w:val="auto"/>
        </w:rPr>
        <w:t xml:space="preserve">p </w:t>
      </w:r>
      <w:r w:rsidR="00995455" w:rsidRPr="00EB19CB">
        <w:rPr>
          <w:color w:val="auto"/>
        </w:rPr>
        <w:t xml:space="preserve">= 0.06 for tillage and </w:t>
      </w:r>
      <w:r w:rsidR="00995455" w:rsidRPr="00EB19CB">
        <w:rPr>
          <w:i/>
          <w:iCs/>
          <w:color w:val="auto"/>
        </w:rPr>
        <w:t xml:space="preserve">p </w:t>
      </w:r>
      <w:r w:rsidR="00995455" w:rsidRPr="00EB19CB">
        <w:rPr>
          <w:color w:val="auto"/>
        </w:rPr>
        <w:t>= 0.1 for residues management)</w:t>
      </w:r>
      <w:r w:rsidR="00170625" w:rsidRPr="00EB19CB">
        <w:rPr>
          <w:color w:val="auto"/>
        </w:rPr>
        <w:t>.</w:t>
      </w:r>
      <w:r w:rsidR="00995455" w:rsidRPr="00EB19CB">
        <w:rPr>
          <w:color w:val="auto"/>
        </w:rPr>
        <w:t xml:space="preserve"> We therefore decided to compare linear regressions across years over the successive SOC contents observed or simulated (Fig. </w:t>
      </w:r>
      <w:r w:rsidR="00E2033A" w:rsidRPr="00EB19CB">
        <w:rPr>
          <w:color w:val="auto"/>
        </w:rPr>
        <w:t>5</w:t>
      </w:r>
      <w:r w:rsidR="00995455" w:rsidRPr="00EB19CB">
        <w:rPr>
          <w:color w:val="auto"/>
        </w:rPr>
        <w:t xml:space="preserve">). As the STICS model only accounts for the simulation of </w:t>
      </w:r>
      <w:r w:rsidR="00685C0F" w:rsidRPr="00EB19CB">
        <w:rPr>
          <w:color w:val="auto"/>
        </w:rPr>
        <w:t>organic carbon</w:t>
      </w:r>
      <w:r w:rsidR="00995455" w:rsidRPr="00EB19CB">
        <w:rPr>
          <w:color w:val="auto"/>
        </w:rPr>
        <w:t xml:space="preserve"> over the whole humic soil profile, linear regressions were performed over the whole </w:t>
      </w:r>
      <w:r w:rsidR="00CD17BA" w:rsidRPr="00EB19CB">
        <w:rPr>
          <w:color w:val="auto"/>
        </w:rPr>
        <w:t>top</w:t>
      </w:r>
      <w:r w:rsidR="00995455" w:rsidRPr="00EB19CB">
        <w:rPr>
          <w:color w:val="auto"/>
        </w:rPr>
        <w:t>soil profile both for the observed (solid lines) and simulated data (dashed lines)</w:t>
      </w:r>
      <w:r w:rsidR="00886619" w:rsidRPr="00EB19CB">
        <w:rPr>
          <w:color w:val="auto"/>
        </w:rPr>
        <w:t>.</w:t>
      </w:r>
      <w:r w:rsidR="002021D2" w:rsidRPr="00EB19CB">
        <w:rPr>
          <w:color w:val="auto"/>
        </w:rPr>
        <w:t xml:space="preserve"> </w:t>
      </w:r>
      <w:r w:rsidR="00886619" w:rsidRPr="00EB19CB">
        <w:rPr>
          <w:color w:val="auto"/>
        </w:rPr>
        <w:t>The r</w:t>
      </w:r>
      <w:r w:rsidR="008259F8" w:rsidRPr="00EB19CB">
        <w:rPr>
          <w:color w:val="auto"/>
        </w:rPr>
        <w:t>esults of regressions</w:t>
      </w:r>
      <w:bookmarkEnd w:id="5"/>
      <w:r w:rsidR="00886619" w:rsidRPr="00EB19CB">
        <w:rPr>
          <w:color w:val="auto"/>
        </w:rPr>
        <w:t xml:space="preserve">, conducted on the period </w:t>
      </w:r>
      <w:r w:rsidR="00B922A3" w:rsidRPr="00EB19CB">
        <w:rPr>
          <w:color w:val="auto"/>
        </w:rPr>
        <w:t>covered by field observations</w:t>
      </w:r>
      <w:r w:rsidR="00886619" w:rsidRPr="00EB19CB">
        <w:rPr>
          <w:color w:val="auto"/>
        </w:rPr>
        <w:t xml:space="preserve">, </w:t>
      </w:r>
      <w:r w:rsidR="000C1B4C" w:rsidRPr="00EB19CB">
        <w:rPr>
          <w:color w:val="auto"/>
        </w:rPr>
        <w:t xml:space="preserve">are </w:t>
      </w:r>
      <w:r w:rsidR="0098413E" w:rsidRPr="00EB19CB">
        <w:rPr>
          <w:color w:val="auto"/>
        </w:rPr>
        <w:t>detailed</w:t>
      </w:r>
      <w:r w:rsidR="000C1B4C" w:rsidRPr="00EB19CB">
        <w:rPr>
          <w:color w:val="auto"/>
        </w:rPr>
        <w:t xml:space="preserve"> in Table A</w:t>
      </w:r>
      <w:r w:rsidR="00A83CB4" w:rsidRPr="00EB19CB">
        <w:rPr>
          <w:color w:val="auto"/>
        </w:rPr>
        <w:t>6</w:t>
      </w:r>
      <w:r w:rsidR="000C1B4C" w:rsidRPr="00EB19CB">
        <w:rPr>
          <w:color w:val="auto"/>
        </w:rPr>
        <w:t>.</w:t>
      </w:r>
    </w:p>
    <w:p w14:paraId="6A40851E" w14:textId="19BBF781" w:rsidR="00B957B4" w:rsidRPr="00EB19CB" w:rsidRDefault="00B957B4" w:rsidP="0013324B">
      <w:pPr>
        <w:pStyle w:val="PubliManuscript"/>
        <w:rPr>
          <w:color w:val="auto"/>
        </w:rPr>
      </w:pPr>
      <w:r w:rsidRPr="00EB19CB">
        <w:rPr>
          <w:color w:val="auto"/>
        </w:rPr>
        <w:t>Results show a clear differentiation in global trends (</w:t>
      </w:r>
      <w:r w:rsidRPr="00EB19CB">
        <w:rPr>
          <w:i/>
          <w:iCs/>
          <w:color w:val="auto"/>
        </w:rPr>
        <w:t xml:space="preserve">p </w:t>
      </w:r>
      <w:r w:rsidRPr="00EB19CB">
        <w:rPr>
          <w:color w:val="auto"/>
        </w:rPr>
        <w:t xml:space="preserve">&lt; 0.05 for both tillage and residues management when comparing regression slopes) both under observations and simulations. In the CT treatment (Fig. </w:t>
      </w:r>
      <w:r w:rsidR="00E2033A" w:rsidRPr="00EB19CB">
        <w:rPr>
          <w:color w:val="auto"/>
        </w:rPr>
        <w:t>5</w:t>
      </w:r>
      <w:r w:rsidRPr="00EB19CB">
        <w:rPr>
          <w:color w:val="auto"/>
        </w:rPr>
        <w:t>a), incorporation of crop residues into the soil slightly increased SOC</w:t>
      </w:r>
      <w:r w:rsidR="00D541D4" w:rsidRPr="00EB19CB">
        <w:rPr>
          <w:color w:val="auto"/>
        </w:rPr>
        <w:t xml:space="preserve"> content</w:t>
      </w:r>
      <w:r w:rsidRPr="00EB19CB">
        <w:rPr>
          <w:color w:val="auto"/>
        </w:rPr>
        <w:t xml:space="preserve">, whereas exporting them decreased it. In the RT treatment (Fig. </w:t>
      </w:r>
      <w:r w:rsidR="00E2033A" w:rsidRPr="00EB19CB">
        <w:rPr>
          <w:color w:val="auto"/>
        </w:rPr>
        <w:t>5</w:t>
      </w:r>
      <w:r w:rsidRPr="00EB19CB">
        <w:rPr>
          <w:color w:val="auto"/>
        </w:rPr>
        <w:t xml:space="preserve">b), the difference between residues </w:t>
      </w:r>
      <w:r w:rsidRPr="00EB19CB">
        <w:rPr>
          <w:color w:val="auto"/>
        </w:rPr>
        <w:lastRenderedPageBreak/>
        <w:t xml:space="preserve">managements was smaller; an </w:t>
      </w:r>
      <w:r w:rsidR="006737CA" w:rsidRPr="00EB19CB">
        <w:rPr>
          <w:color w:val="auto"/>
        </w:rPr>
        <w:t>augmentation of</w:t>
      </w:r>
      <w:r w:rsidRPr="00EB19CB">
        <w:rPr>
          <w:color w:val="auto"/>
        </w:rPr>
        <w:t xml:space="preserve"> SOC </w:t>
      </w:r>
      <w:r w:rsidR="00207A0D" w:rsidRPr="00EB19CB">
        <w:rPr>
          <w:color w:val="auto"/>
        </w:rPr>
        <w:t xml:space="preserve">content </w:t>
      </w:r>
      <w:r w:rsidRPr="00EB19CB">
        <w:rPr>
          <w:color w:val="auto"/>
        </w:rPr>
        <w:t>was observed in both cases but greater when crop residues were incorporated into the soil.</w:t>
      </w:r>
    </w:p>
    <w:p w14:paraId="47FCA08C" w14:textId="0F6CC58A" w:rsidR="0081564D" w:rsidRPr="00EB19CB" w:rsidRDefault="009D1E44" w:rsidP="00E70E80">
      <w:pPr>
        <w:pStyle w:val="PubliManuscript"/>
        <w:rPr>
          <w:rFonts w:eastAsia="Calibri"/>
          <w:color w:val="auto"/>
          <w:lang w:val="en-GB"/>
        </w:rPr>
      </w:pPr>
      <w:r w:rsidRPr="00EB19CB">
        <w:rPr>
          <w:color w:val="auto"/>
        </w:rPr>
        <w:t>The STICS model globally proved to be able to simulate topsoil organic carbon contents under contrasted soil tillage and residues management. For each treatment, linear regression slope obtained from simulated SOC contents did not significatively differ from the one obtained from observations (</w:t>
      </w:r>
      <w:r w:rsidRPr="00EB19CB">
        <w:rPr>
          <w:i/>
          <w:iCs/>
          <w:color w:val="auto"/>
        </w:rPr>
        <w:t xml:space="preserve">p </w:t>
      </w:r>
      <w:r w:rsidRPr="00EB19CB">
        <w:rPr>
          <w:color w:val="auto"/>
        </w:rPr>
        <w:t>&gt; 0.05). This suggests that, in our pedoclimatic conditions, the model is able to capture the impacts of the different treatments on topsoil SOC content. Yet we observed that simulating accurately SOC contents under reduced tillage required to account for a dynamic simulation of soil bulk density within the topsoil layer, by distinguishing the tilled (0-10 cm) and the underneath (10-30 cm) layers (</w:t>
      </w:r>
      <w:proofErr w:type="spellStart"/>
      <w:r w:rsidRPr="00EB19CB">
        <w:rPr>
          <w:color w:val="auto"/>
        </w:rPr>
        <w:t>cfr</w:t>
      </w:r>
      <w:proofErr w:type="spellEnd"/>
      <w:r w:rsidRPr="00EB19CB">
        <w:rPr>
          <w:color w:val="auto"/>
        </w:rPr>
        <w:t xml:space="preserve"> Section 2.2.2 of Material and Methods). </w:t>
      </w:r>
      <w:r w:rsidR="00825D2E" w:rsidRPr="00EB19CB">
        <w:rPr>
          <w:color w:val="auto"/>
        </w:rPr>
        <w:t xml:space="preserve">This was made possible thanks to the last evolutions of the STICS model, which now internally computes SOC at a 1 cm scale and not </w:t>
      </w:r>
      <w:r w:rsidR="005810DD" w:rsidRPr="00EB19CB">
        <w:rPr>
          <w:color w:val="auto"/>
        </w:rPr>
        <w:t xml:space="preserve">anymore </w:t>
      </w:r>
      <w:r w:rsidR="00825D2E" w:rsidRPr="00EB19CB">
        <w:rPr>
          <w:color w:val="auto"/>
        </w:rPr>
        <w:t xml:space="preserve">for the whole </w:t>
      </w:r>
      <w:r w:rsidR="004A0359" w:rsidRPr="00EB19CB">
        <w:rPr>
          <w:color w:val="auto"/>
        </w:rPr>
        <w:t xml:space="preserve">biologically active </w:t>
      </w:r>
      <w:r w:rsidR="00825D2E" w:rsidRPr="00EB19CB">
        <w:rPr>
          <w:color w:val="auto"/>
        </w:rPr>
        <w:t xml:space="preserve">layer </w:t>
      </w:r>
      <w:r w:rsidR="005810DD" w:rsidRPr="00EB19CB">
        <w:rPr>
          <w:color w:val="auto"/>
        </w:rPr>
        <w:t>as one global pool</w:t>
      </w:r>
      <w:r w:rsidR="00F22BF6" w:rsidRPr="00EB19CB">
        <w:rPr>
          <w:color w:val="auto"/>
        </w:rPr>
        <w:t xml:space="preserve"> only</w:t>
      </w:r>
      <w:r w:rsidR="00FF0B6D" w:rsidRPr="00EB19CB">
        <w:rPr>
          <w:color w:val="auto"/>
        </w:rPr>
        <w:t xml:space="preserve">, </w:t>
      </w:r>
      <w:r w:rsidR="001C0FC6" w:rsidRPr="00EB19CB">
        <w:rPr>
          <w:color w:val="auto"/>
        </w:rPr>
        <w:t>allowing to investigate reduced tillage or no-till management.</w:t>
      </w:r>
      <w:r w:rsidR="00FF0B6D" w:rsidRPr="00EB19CB">
        <w:rPr>
          <w:color w:val="auto"/>
        </w:rPr>
        <w:t xml:space="preserve"> </w:t>
      </w:r>
      <w:r w:rsidR="002950C6" w:rsidRPr="00EB19CB">
        <w:rPr>
          <w:color w:val="auto"/>
        </w:rPr>
        <w:t>Yet t</w:t>
      </w:r>
      <w:r w:rsidRPr="00EB19CB">
        <w:rPr>
          <w:color w:val="auto"/>
        </w:rPr>
        <w:t xml:space="preserve">his finding points to a potential limitation of the STICS model when no granular data on soil bulk densities are available. As suggested by Fowler et al. (2023), we therefore underline that one must be particularly attentive to bulk density parameterization when simulating such systems with contrasted tillage management. </w:t>
      </w:r>
      <w:r w:rsidR="0045255B" w:rsidRPr="00EB19CB">
        <w:rPr>
          <w:rFonts w:eastAsia="Calibri"/>
          <w:color w:val="auto"/>
          <w:lang w:val="en-GB"/>
        </w:rPr>
        <w:t xml:space="preserve">The STICS model could also be enhanced by allowing to distinguish the maximal soil depth at which mineralization occurs and the depth of SOC outputs. Indeed, in its current version, STICS </w:t>
      </w:r>
      <w:r w:rsidR="003B07FF" w:rsidRPr="00EB19CB">
        <w:rPr>
          <w:rFonts w:eastAsia="Calibri"/>
          <w:color w:val="auto"/>
          <w:lang w:val="en-GB"/>
        </w:rPr>
        <w:t xml:space="preserve">outputs SOC </w:t>
      </w:r>
      <w:r w:rsidR="00C75C23" w:rsidRPr="00EB19CB">
        <w:rPr>
          <w:rFonts w:eastAsia="Calibri"/>
          <w:color w:val="auto"/>
          <w:lang w:val="en-GB"/>
        </w:rPr>
        <w:t xml:space="preserve">content </w:t>
      </w:r>
      <w:r w:rsidR="003B07FF" w:rsidRPr="00EB19CB">
        <w:rPr>
          <w:rFonts w:eastAsia="Calibri"/>
          <w:color w:val="auto"/>
          <w:lang w:val="en-GB"/>
        </w:rPr>
        <w:t>at this same biologically active profile depth, which we set at 26 cm as explained in Material &amp; Methods</w:t>
      </w:r>
      <w:r w:rsidR="007223FC" w:rsidRPr="00EB19CB">
        <w:rPr>
          <w:rFonts w:eastAsia="Calibri"/>
          <w:color w:val="auto"/>
          <w:lang w:val="en-GB"/>
        </w:rPr>
        <w:t xml:space="preserve"> since (</w:t>
      </w:r>
      <w:proofErr w:type="spellStart"/>
      <w:r w:rsidR="007223FC" w:rsidRPr="00EB19CB">
        <w:rPr>
          <w:rFonts w:eastAsia="Calibri"/>
          <w:i/>
          <w:iCs/>
          <w:color w:val="auto"/>
          <w:lang w:val="en-GB"/>
        </w:rPr>
        <w:t>i</w:t>
      </w:r>
      <w:proofErr w:type="spellEnd"/>
      <w:r w:rsidR="007223FC" w:rsidRPr="00EB19CB">
        <w:rPr>
          <w:rFonts w:eastAsia="Calibri"/>
          <w:color w:val="auto"/>
          <w:lang w:val="en-GB"/>
        </w:rPr>
        <w:t>) the field is ploughed since many years at around 25 cm</w:t>
      </w:r>
      <w:r w:rsidR="002C1F0E" w:rsidRPr="00EB19CB">
        <w:rPr>
          <w:rFonts w:eastAsia="Calibri"/>
          <w:color w:val="auto"/>
          <w:lang w:val="en-GB"/>
        </w:rPr>
        <w:t>,</w:t>
      </w:r>
      <w:r w:rsidR="007223FC" w:rsidRPr="00EB19CB">
        <w:rPr>
          <w:rFonts w:eastAsia="Calibri"/>
          <w:color w:val="auto"/>
          <w:lang w:val="en-GB"/>
        </w:rPr>
        <w:t xml:space="preserve"> (</w:t>
      </w:r>
      <w:r w:rsidR="007223FC" w:rsidRPr="00EB19CB">
        <w:rPr>
          <w:rFonts w:eastAsia="Calibri"/>
          <w:i/>
          <w:iCs/>
          <w:color w:val="auto"/>
          <w:lang w:val="en-GB"/>
        </w:rPr>
        <w:t>ii</w:t>
      </w:r>
      <w:r w:rsidR="007223FC" w:rsidRPr="00EB19CB">
        <w:rPr>
          <w:rFonts w:eastAsia="Calibri"/>
          <w:color w:val="auto"/>
          <w:lang w:val="en-GB"/>
        </w:rPr>
        <w:t>) the plough sole is known in the field trial to be around 26 cm (Fig. A</w:t>
      </w:r>
      <w:r w:rsidR="00795A84" w:rsidRPr="00EB19CB">
        <w:rPr>
          <w:rFonts w:eastAsia="Calibri"/>
          <w:color w:val="auto"/>
          <w:lang w:val="en-GB"/>
        </w:rPr>
        <w:t>1</w:t>
      </w:r>
      <w:r w:rsidR="007223FC" w:rsidRPr="00EB19CB">
        <w:rPr>
          <w:rFonts w:eastAsia="Calibri"/>
          <w:color w:val="auto"/>
          <w:lang w:val="en-GB"/>
        </w:rPr>
        <w:t>)</w:t>
      </w:r>
      <w:r w:rsidR="002C1F0E" w:rsidRPr="00EB19CB">
        <w:rPr>
          <w:rFonts w:eastAsia="Calibri"/>
          <w:color w:val="auto"/>
          <w:lang w:val="en-GB"/>
        </w:rPr>
        <w:t>, and (</w:t>
      </w:r>
      <w:r w:rsidR="002C1F0E" w:rsidRPr="00EB19CB">
        <w:rPr>
          <w:rFonts w:eastAsia="Calibri"/>
          <w:i/>
          <w:iCs/>
          <w:color w:val="auto"/>
          <w:lang w:val="en-GB"/>
        </w:rPr>
        <w:t>iii</w:t>
      </w:r>
      <w:r w:rsidR="002C1F0E" w:rsidRPr="00EB19CB">
        <w:rPr>
          <w:rFonts w:eastAsia="Calibri"/>
          <w:color w:val="auto"/>
          <w:lang w:val="en-GB"/>
        </w:rPr>
        <w:t xml:space="preserve">) literature using the STICS model confirmed that this parameter should be equal to or 10% greater than the ploughing depth </w:t>
      </w:r>
      <w:r w:rsidR="006E57A9" w:rsidRPr="00EB19CB">
        <w:rPr>
          <w:rFonts w:eastAsia="Calibri"/>
          <w:color w:val="auto"/>
          <w:lang w:val="en-GB"/>
        </w:rPr>
        <w:t xml:space="preserve">(Beaudoin et al., 2008; Mary et al., 1999; </w:t>
      </w:r>
      <w:proofErr w:type="spellStart"/>
      <w:r w:rsidR="006E57A9" w:rsidRPr="00EB19CB">
        <w:rPr>
          <w:rFonts w:eastAsia="Calibri"/>
          <w:color w:val="auto"/>
          <w:lang w:val="en-GB"/>
        </w:rPr>
        <w:t>Ravelojaona</w:t>
      </w:r>
      <w:proofErr w:type="spellEnd"/>
      <w:r w:rsidR="006E57A9" w:rsidRPr="00EB19CB">
        <w:rPr>
          <w:rFonts w:eastAsia="Calibri"/>
          <w:color w:val="auto"/>
          <w:lang w:val="en-GB"/>
        </w:rPr>
        <w:t xml:space="preserve"> et al., 2023)</w:t>
      </w:r>
      <w:r w:rsidR="002C1F0E" w:rsidRPr="00EB19CB">
        <w:rPr>
          <w:rFonts w:eastAsia="Calibri"/>
          <w:color w:val="auto"/>
          <w:lang w:val="en-GB"/>
        </w:rPr>
        <w:t>.</w:t>
      </w:r>
      <w:r w:rsidR="004039E1" w:rsidRPr="00EB19CB">
        <w:rPr>
          <w:rFonts w:eastAsia="Calibri"/>
          <w:color w:val="auto"/>
          <w:lang w:val="en-GB"/>
        </w:rPr>
        <w:t xml:space="preserve"> We tried setting this parameter at 30 cm, since it is a standard observation depth and in order to allow an easier comparison with field SOC measurements, but it appeared to be unsuitable for a proper simulation in this particular case study.</w:t>
      </w:r>
      <w:r w:rsidR="00E70E80" w:rsidRPr="00EB19CB">
        <w:rPr>
          <w:rFonts w:eastAsia="Calibri"/>
          <w:color w:val="auto"/>
          <w:lang w:val="en-GB"/>
        </w:rPr>
        <w:t xml:space="preserve"> </w:t>
      </w:r>
      <w:r w:rsidR="00EE5E82" w:rsidRPr="00EB19CB">
        <w:rPr>
          <w:rFonts w:eastAsia="Calibri"/>
          <w:color w:val="auto"/>
          <w:lang w:val="en-GB"/>
        </w:rPr>
        <w:t xml:space="preserve">Moreover, since modifying </w:t>
      </w:r>
      <w:r w:rsidR="00E868BA" w:rsidRPr="00EB19CB">
        <w:rPr>
          <w:rFonts w:eastAsia="Calibri"/>
          <w:color w:val="auto"/>
          <w:lang w:val="en-GB"/>
        </w:rPr>
        <w:t xml:space="preserve">soil bulk density has an influence on SOC stocks and volume, it could be interesting to allow </w:t>
      </w:r>
      <w:r w:rsidR="00D407A3" w:rsidRPr="00EB19CB">
        <w:rPr>
          <w:rFonts w:eastAsia="Calibri"/>
          <w:color w:val="auto"/>
          <w:lang w:val="en-GB"/>
        </w:rPr>
        <w:t>a dynamic</w:t>
      </w:r>
      <w:r w:rsidR="00BE7014" w:rsidRPr="00EB19CB">
        <w:rPr>
          <w:rFonts w:eastAsia="Calibri"/>
          <w:color w:val="auto"/>
          <w:lang w:val="en-GB"/>
        </w:rPr>
        <w:t xml:space="preserve"> simulation of </w:t>
      </w:r>
      <w:r w:rsidR="00586478" w:rsidRPr="00EB19CB">
        <w:rPr>
          <w:rFonts w:eastAsia="Calibri"/>
          <w:color w:val="auto"/>
          <w:lang w:val="en-GB"/>
        </w:rPr>
        <w:t>the</w:t>
      </w:r>
      <w:r w:rsidR="00BE7014" w:rsidRPr="00EB19CB">
        <w:rPr>
          <w:rFonts w:eastAsia="Calibri"/>
          <w:color w:val="auto"/>
          <w:lang w:val="en-GB"/>
        </w:rPr>
        <w:t xml:space="preserve"> biologically active profile depth (</w:t>
      </w:r>
      <w:proofErr w:type="spellStart"/>
      <w:r w:rsidR="00BE7014" w:rsidRPr="00EB19CB">
        <w:rPr>
          <w:rFonts w:eastAsia="Calibri"/>
          <w:i/>
          <w:iCs/>
          <w:color w:val="auto"/>
          <w:lang w:val="en-GB"/>
        </w:rPr>
        <w:t>profhum</w:t>
      </w:r>
      <w:proofErr w:type="spellEnd"/>
      <w:r w:rsidR="00BE7014" w:rsidRPr="00EB19CB">
        <w:rPr>
          <w:rFonts w:eastAsia="Calibri"/>
          <w:i/>
          <w:iCs/>
          <w:color w:val="auto"/>
          <w:lang w:val="en-GB"/>
        </w:rPr>
        <w:t xml:space="preserve"> </w:t>
      </w:r>
      <w:r w:rsidR="00BE7014" w:rsidRPr="00EB19CB">
        <w:rPr>
          <w:rFonts w:eastAsia="Calibri"/>
          <w:color w:val="auto"/>
          <w:lang w:val="en-GB"/>
        </w:rPr>
        <w:t>parameter).</w:t>
      </w:r>
      <w:r w:rsidR="00EE5E82" w:rsidRPr="00EB19CB">
        <w:rPr>
          <w:rFonts w:eastAsia="Calibri"/>
          <w:color w:val="auto"/>
          <w:lang w:val="en-GB"/>
        </w:rPr>
        <w:t xml:space="preserve"> </w:t>
      </w:r>
      <w:r w:rsidRPr="00EB19CB">
        <w:rPr>
          <w:color w:val="auto"/>
        </w:rPr>
        <w:t xml:space="preserve">We believe that it might be appreciable for STICS to allow </w:t>
      </w:r>
      <w:r w:rsidRPr="00EB19CB">
        <w:rPr>
          <w:color w:val="auto"/>
        </w:rPr>
        <w:lastRenderedPageBreak/>
        <w:t xml:space="preserve">for a finer-grained stratification of soil organic matter over the different soil horizons. In the same direction, current work for enhancing the simulation of rooting systems with STICS is made, such as initiated in </w:t>
      </w:r>
      <w:proofErr w:type="spellStart"/>
      <w:r w:rsidRPr="00EB19CB">
        <w:rPr>
          <w:color w:val="auto"/>
        </w:rPr>
        <w:t>Strullu</w:t>
      </w:r>
      <w:proofErr w:type="spellEnd"/>
      <w:r w:rsidRPr="00EB19CB">
        <w:rPr>
          <w:color w:val="auto"/>
        </w:rPr>
        <w:t xml:space="preserve"> et al. (2020), and will be valuable for improving carbon inputs estimations</w:t>
      </w:r>
      <w:r w:rsidR="00F14FB8" w:rsidRPr="00EB19CB">
        <w:rPr>
          <w:color w:val="auto"/>
        </w:rPr>
        <w:t>.</w:t>
      </w:r>
    </w:p>
    <w:p w14:paraId="4019824B" w14:textId="4CAA9984" w:rsidR="00386AF6" w:rsidRPr="00EB19CB" w:rsidRDefault="00386AF6" w:rsidP="0081564D">
      <w:pPr>
        <w:pStyle w:val="PubliManuscript"/>
        <w:rPr>
          <w:color w:val="auto"/>
        </w:rPr>
      </w:pPr>
      <w:r w:rsidRPr="00EB19CB">
        <w:rPr>
          <w:i/>
          <w:iCs/>
          <w:noProof/>
          <w:color w:val="auto"/>
        </w:rPr>
        <w:drawing>
          <wp:inline distT="0" distB="0" distL="0" distR="0" wp14:anchorId="2B727F3A" wp14:editId="3CDAFD16">
            <wp:extent cx="5760719" cy="4073734"/>
            <wp:effectExtent l="0" t="0" r="0" b="0"/>
            <wp:docPr id="40550496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04963" name="Imag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19" cy="4073734"/>
                    </a:xfrm>
                    <a:prstGeom prst="rect">
                      <a:avLst/>
                    </a:prstGeom>
                  </pic:spPr>
                </pic:pic>
              </a:graphicData>
            </a:graphic>
          </wp:inline>
        </w:drawing>
      </w:r>
    </w:p>
    <w:p w14:paraId="7CC5BB5E" w14:textId="6D605504" w:rsidR="00386AF6" w:rsidRPr="00EB19CB" w:rsidRDefault="00386AF6" w:rsidP="00386AF6">
      <w:pPr>
        <w:pStyle w:val="PubliManuscript"/>
        <w:spacing w:line="240" w:lineRule="auto"/>
        <w:ind w:firstLine="0"/>
        <w:rPr>
          <w:b/>
          <w:bCs/>
          <w:color w:val="auto"/>
        </w:rPr>
      </w:pPr>
      <w:r w:rsidRPr="00EB19CB">
        <w:rPr>
          <w:b/>
          <w:bCs/>
          <w:color w:val="auto"/>
        </w:rPr>
        <w:t xml:space="preserve">Figure </w:t>
      </w:r>
      <w:r w:rsidR="00E2033A" w:rsidRPr="00EB19CB">
        <w:rPr>
          <w:b/>
          <w:bCs/>
          <w:color w:val="auto"/>
        </w:rPr>
        <w:t>5</w:t>
      </w:r>
      <w:r w:rsidRPr="00EB19CB">
        <w:rPr>
          <w:b/>
          <w:bCs/>
          <w:color w:val="auto"/>
        </w:rPr>
        <w:t xml:space="preserve">. </w:t>
      </w:r>
      <w:r w:rsidR="008F4849" w:rsidRPr="00EB19CB">
        <w:rPr>
          <w:b/>
          <w:bCs/>
          <w:color w:val="auto"/>
        </w:rPr>
        <w:t>Tops</w:t>
      </w:r>
      <w:r w:rsidRPr="00EB19CB">
        <w:rPr>
          <w:b/>
          <w:bCs/>
          <w:color w:val="auto"/>
        </w:rPr>
        <w:t xml:space="preserve">oil organic carbon </w:t>
      </w:r>
      <w:r w:rsidR="0032696B" w:rsidRPr="00EB19CB">
        <w:rPr>
          <w:b/>
          <w:bCs/>
          <w:color w:val="auto"/>
        </w:rPr>
        <w:t xml:space="preserve">content </w:t>
      </w:r>
      <w:r w:rsidRPr="00EB19CB">
        <w:rPr>
          <w:b/>
          <w:bCs/>
          <w:color w:val="auto"/>
        </w:rPr>
        <w:t>dynamics under a) conventional tillage and b) reduced tillage, with incorporation of residues (red) and exportation (blue). Field observations are indicated by points, simulations are represented by a curve. The straight lines represent the linear regressions of observations (solid lines) and simulations (dotted lines).</w:t>
      </w:r>
    </w:p>
    <w:p w14:paraId="4A6E303C" w14:textId="2AC71317" w:rsidR="00FE7B35" w:rsidRPr="00EB19CB" w:rsidRDefault="00FE7B35" w:rsidP="00FE7B35">
      <w:pPr>
        <w:pStyle w:val="Publi3"/>
        <w:numPr>
          <w:ilvl w:val="0"/>
          <w:numId w:val="0"/>
        </w:numPr>
        <w:ind w:left="1428"/>
      </w:pPr>
      <w:r w:rsidRPr="00EB19CB">
        <w:t>3.</w:t>
      </w:r>
      <w:r w:rsidR="000D0D63" w:rsidRPr="00EB19CB">
        <w:t>3</w:t>
      </w:r>
      <w:r w:rsidRPr="00EB19CB">
        <w:t>.</w:t>
      </w:r>
      <w:r w:rsidR="000445B1" w:rsidRPr="00EB19CB">
        <w:t>2</w:t>
      </w:r>
      <w:r w:rsidRPr="00EB19CB">
        <w:t xml:space="preserve"> </w:t>
      </w:r>
      <w:r w:rsidR="005D36F2" w:rsidRPr="00EB19CB">
        <w:t>Simulated c</w:t>
      </w:r>
      <w:r w:rsidRPr="00EB19CB">
        <w:t>arbon sequestration</w:t>
      </w:r>
    </w:p>
    <w:p w14:paraId="30E88255" w14:textId="69E94FF2" w:rsidR="00D75330" w:rsidRPr="00C04BB9" w:rsidRDefault="00386AF6" w:rsidP="00D75330">
      <w:pPr>
        <w:pStyle w:val="PubliManuscript"/>
        <w:rPr>
          <w:color w:val="auto"/>
        </w:rPr>
      </w:pPr>
      <w:bookmarkStart w:id="6" w:name="_Hlk157691396"/>
      <w:r w:rsidRPr="00EB19CB">
        <w:rPr>
          <w:color w:val="auto"/>
        </w:rPr>
        <w:t xml:space="preserve">Once the observations proved the model to be valid for simulating SOC contents, </w:t>
      </w:r>
      <w:r w:rsidR="00520163" w:rsidRPr="00EB19CB">
        <w:rPr>
          <w:color w:val="auto"/>
        </w:rPr>
        <w:t xml:space="preserve">we </w:t>
      </w:r>
      <w:r w:rsidR="00E273CB" w:rsidRPr="00EB19CB">
        <w:rPr>
          <w:color w:val="auto"/>
        </w:rPr>
        <w:t>investigate</w:t>
      </w:r>
      <w:r w:rsidR="00D01396" w:rsidRPr="00EB19CB">
        <w:rPr>
          <w:color w:val="auto"/>
        </w:rPr>
        <w:t>d</w:t>
      </w:r>
      <w:r w:rsidR="00E273CB" w:rsidRPr="00EB19CB">
        <w:rPr>
          <w:color w:val="auto"/>
        </w:rPr>
        <w:t xml:space="preserve"> the impacts of </w:t>
      </w:r>
      <w:r w:rsidR="00A97906" w:rsidRPr="00EB19CB">
        <w:rPr>
          <w:color w:val="auto"/>
        </w:rPr>
        <w:t xml:space="preserve">soil tillage and crop residues management on carbon sequestration by comparing simulated SOC </w:t>
      </w:r>
      <w:r w:rsidR="00A97906" w:rsidRPr="00C04BB9">
        <w:rPr>
          <w:color w:val="auto"/>
        </w:rPr>
        <w:t>stocks over</w:t>
      </w:r>
      <w:r w:rsidR="00420226" w:rsidRPr="00C04BB9">
        <w:rPr>
          <w:color w:val="auto"/>
        </w:rPr>
        <w:t xml:space="preserve"> the 0-26 cm profile</w:t>
      </w:r>
      <w:r w:rsidR="00A97906" w:rsidRPr="00C04BB9">
        <w:rPr>
          <w:color w:val="auto"/>
        </w:rPr>
        <w:t>.</w:t>
      </w:r>
      <w:r w:rsidR="00F3319F" w:rsidRPr="00C04BB9">
        <w:rPr>
          <w:color w:val="auto"/>
        </w:rPr>
        <w:t xml:space="preserve"> As in Fig. </w:t>
      </w:r>
      <w:r w:rsidR="00E2033A" w:rsidRPr="00C04BB9">
        <w:rPr>
          <w:color w:val="auto"/>
        </w:rPr>
        <w:t>5</w:t>
      </w:r>
      <w:r w:rsidR="00F3319F" w:rsidRPr="00C04BB9">
        <w:rPr>
          <w:color w:val="auto"/>
        </w:rPr>
        <w:t xml:space="preserve">, we </w:t>
      </w:r>
      <w:r w:rsidR="00E25261" w:rsidRPr="00C04BB9">
        <w:rPr>
          <w:color w:val="auto"/>
        </w:rPr>
        <w:t>analyzed</w:t>
      </w:r>
      <w:r w:rsidR="00F3319F" w:rsidRPr="00C04BB9">
        <w:rPr>
          <w:color w:val="auto"/>
        </w:rPr>
        <w:t xml:space="preserve"> simulated SOC stocks </w:t>
      </w:r>
      <w:r w:rsidR="00E25261" w:rsidRPr="00C04BB9">
        <w:rPr>
          <w:color w:val="auto"/>
        </w:rPr>
        <w:t>dynamics by comparing linear regressions</w:t>
      </w:r>
      <w:r w:rsidR="00884B7A" w:rsidRPr="00C04BB9">
        <w:rPr>
          <w:color w:val="auto"/>
        </w:rPr>
        <w:t xml:space="preserve"> (Fig. A5).</w:t>
      </w:r>
      <w:r w:rsidR="007A3725" w:rsidRPr="00C04BB9">
        <w:rPr>
          <w:color w:val="auto"/>
        </w:rPr>
        <w:t xml:space="preserve"> </w:t>
      </w:r>
      <w:r w:rsidR="003924E8" w:rsidRPr="00C04BB9">
        <w:rPr>
          <w:color w:val="auto"/>
        </w:rPr>
        <w:t xml:space="preserve">Regressions results are </w:t>
      </w:r>
      <w:r w:rsidR="005279E0" w:rsidRPr="00C04BB9">
        <w:rPr>
          <w:color w:val="auto"/>
        </w:rPr>
        <w:t>detailed</w:t>
      </w:r>
      <w:r w:rsidR="003924E8" w:rsidRPr="00C04BB9">
        <w:rPr>
          <w:color w:val="auto"/>
        </w:rPr>
        <w:t xml:space="preserve"> in Table A</w:t>
      </w:r>
      <w:r w:rsidR="00A83CB4" w:rsidRPr="00C04BB9">
        <w:rPr>
          <w:color w:val="auto"/>
        </w:rPr>
        <w:t>7</w:t>
      </w:r>
      <w:r w:rsidR="003924E8" w:rsidRPr="00C04BB9">
        <w:rPr>
          <w:color w:val="auto"/>
        </w:rPr>
        <w:t>.</w:t>
      </w:r>
    </w:p>
    <w:p w14:paraId="3AE664C7" w14:textId="39623583" w:rsidR="0013324B" w:rsidRPr="00EB19CB" w:rsidRDefault="00EB011B" w:rsidP="00F435F8">
      <w:pPr>
        <w:pStyle w:val="PubliManuscript"/>
        <w:rPr>
          <w:color w:val="auto"/>
        </w:rPr>
      </w:pPr>
      <w:r w:rsidRPr="00EB19CB">
        <w:rPr>
          <w:color w:val="auto"/>
        </w:rPr>
        <w:t>Firstly,</w:t>
      </w:r>
      <w:r w:rsidR="00015939" w:rsidRPr="00EB19CB">
        <w:rPr>
          <w:color w:val="auto"/>
        </w:rPr>
        <w:t xml:space="preserve"> due to the </w:t>
      </w:r>
      <w:r w:rsidR="00316AF5" w:rsidRPr="00EB19CB">
        <w:rPr>
          <w:color w:val="auto"/>
        </w:rPr>
        <w:t xml:space="preserve">resulting </w:t>
      </w:r>
      <w:r w:rsidR="00015939" w:rsidRPr="00EB19CB">
        <w:rPr>
          <w:color w:val="auto"/>
        </w:rPr>
        <w:t>greater amount of C inputs</w:t>
      </w:r>
      <w:r w:rsidR="00316AF5" w:rsidRPr="00EB19CB">
        <w:rPr>
          <w:color w:val="auto"/>
        </w:rPr>
        <w:t>,</w:t>
      </w:r>
      <w:r w:rsidR="00015939" w:rsidRPr="00EB19CB">
        <w:rPr>
          <w:color w:val="auto"/>
        </w:rPr>
        <w:t xml:space="preserve"> </w:t>
      </w:r>
      <w:r w:rsidR="00AB7436" w:rsidRPr="00EB19CB">
        <w:rPr>
          <w:color w:val="auto"/>
        </w:rPr>
        <w:t>the incorporation of residues prove</w:t>
      </w:r>
      <w:r w:rsidR="00866902" w:rsidRPr="00EB19CB">
        <w:rPr>
          <w:color w:val="auto"/>
        </w:rPr>
        <w:t>d</w:t>
      </w:r>
      <w:r w:rsidR="00AB7436" w:rsidRPr="00EB19CB">
        <w:rPr>
          <w:color w:val="auto"/>
        </w:rPr>
        <w:t xml:space="preserve"> to increase carbon sequestration</w:t>
      </w:r>
      <w:r w:rsidR="00AC7E36" w:rsidRPr="00EB19CB">
        <w:rPr>
          <w:color w:val="auto"/>
        </w:rPr>
        <w:t xml:space="preserve"> in topsoil </w:t>
      </w:r>
      <w:r w:rsidR="00671008" w:rsidRPr="00EB19CB">
        <w:rPr>
          <w:color w:val="auto"/>
        </w:rPr>
        <w:t>(</w:t>
      </w:r>
      <w:r w:rsidR="00671008" w:rsidRPr="00EB19CB">
        <w:rPr>
          <w:i/>
          <w:iCs/>
          <w:color w:val="auto"/>
        </w:rPr>
        <w:t xml:space="preserve">p </w:t>
      </w:r>
      <w:r w:rsidR="00671008" w:rsidRPr="00EB19CB">
        <w:rPr>
          <w:color w:val="auto"/>
        </w:rPr>
        <w:t>&lt; 0.05</w:t>
      </w:r>
      <w:r w:rsidR="00015939" w:rsidRPr="00EB19CB">
        <w:rPr>
          <w:color w:val="auto"/>
        </w:rPr>
        <w:t xml:space="preserve">), in accordance with wide literature </w:t>
      </w:r>
      <w:r w:rsidR="0013324B" w:rsidRPr="00EB19CB">
        <w:rPr>
          <w:color w:val="auto"/>
        </w:rPr>
        <w:t>(Jacinthe et al., 2002; Smith et al., 2008; Hiel et al., 2016; Abbas et al., 2020; Mary et al., 2020).</w:t>
      </w:r>
    </w:p>
    <w:p w14:paraId="60D06887" w14:textId="74542DE6" w:rsidR="000445B1" w:rsidRPr="00702304" w:rsidRDefault="00995455" w:rsidP="00AF46AD">
      <w:pPr>
        <w:pStyle w:val="PubliManuscript"/>
        <w:rPr>
          <w:color w:val="auto"/>
        </w:rPr>
      </w:pPr>
      <w:r w:rsidRPr="00702304">
        <w:rPr>
          <w:color w:val="auto"/>
        </w:rPr>
        <w:lastRenderedPageBreak/>
        <w:t>The increase in SOC was found to be even more important when combined with reduced tillage. The significative</w:t>
      </w:r>
      <w:r w:rsidR="00CF0B95" w:rsidRPr="00702304">
        <w:rPr>
          <w:color w:val="auto"/>
        </w:rPr>
        <w:t xml:space="preserve"> (</w:t>
      </w:r>
      <w:r w:rsidR="00CF0B95" w:rsidRPr="00702304">
        <w:rPr>
          <w:i/>
          <w:iCs/>
          <w:color w:val="auto"/>
        </w:rPr>
        <w:t xml:space="preserve">p </w:t>
      </w:r>
      <w:r w:rsidR="00CF0B95" w:rsidRPr="00702304">
        <w:rPr>
          <w:color w:val="auto"/>
        </w:rPr>
        <w:t>&lt; 0.05)</w:t>
      </w:r>
      <w:r w:rsidRPr="00702304">
        <w:rPr>
          <w:color w:val="auto"/>
        </w:rPr>
        <w:t xml:space="preserve"> impact of tillage on </w:t>
      </w:r>
      <w:r w:rsidR="00F44A64" w:rsidRPr="00702304">
        <w:rPr>
          <w:color w:val="auto"/>
        </w:rPr>
        <w:t>the</w:t>
      </w:r>
      <w:r w:rsidRPr="00702304">
        <w:rPr>
          <w:color w:val="auto"/>
        </w:rPr>
        <w:t xml:space="preserve"> simulated SOC </w:t>
      </w:r>
      <w:r w:rsidR="00FE68EB" w:rsidRPr="00702304">
        <w:rPr>
          <w:color w:val="auto"/>
        </w:rPr>
        <w:t xml:space="preserve">stocks </w:t>
      </w:r>
      <w:r w:rsidR="004C2C41" w:rsidRPr="00702304">
        <w:rPr>
          <w:color w:val="auto"/>
        </w:rPr>
        <w:t>over the</w:t>
      </w:r>
      <w:r w:rsidR="00F44A64" w:rsidRPr="00702304">
        <w:rPr>
          <w:color w:val="auto"/>
        </w:rPr>
        <w:t xml:space="preserve"> topsoil (0-26 cm) </w:t>
      </w:r>
      <w:r w:rsidR="002F010B" w:rsidRPr="00702304">
        <w:rPr>
          <w:color w:val="auto"/>
        </w:rPr>
        <w:t>profile</w:t>
      </w:r>
      <w:r w:rsidRPr="00702304">
        <w:rPr>
          <w:color w:val="auto"/>
        </w:rPr>
        <w:t xml:space="preserve"> is consistent with several studies (Lal, 2004; Smith et al., 2008; Ogle et al., 2019; Sun et al., 2020</w:t>
      </w:r>
      <w:r w:rsidR="006C35D9" w:rsidRPr="00702304">
        <w:rPr>
          <w:color w:val="auto"/>
        </w:rPr>
        <w:t>; Young et al., 2021</w:t>
      </w:r>
      <w:r w:rsidRPr="00702304">
        <w:rPr>
          <w:color w:val="auto"/>
        </w:rPr>
        <w:t xml:space="preserve">). </w:t>
      </w:r>
      <w:bookmarkEnd w:id="6"/>
      <w:r w:rsidRPr="00702304">
        <w:rPr>
          <w:color w:val="auto"/>
        </w:rPr>
        <w:t xml:space="preserve">However, the global SOC increase with reduced tillage is far from being universal and depends upon climate and soil characteristics (Luo et al., 2010; </w:t>
      </w:r>
      <w:proofErr w:type="spellStart"/>
      <w:r w:rsidRPr="00702304">
        <w:rPr>
          <w:color w:val="auto"/>
        </w:rPr>
        <w:t>Powlson</w:t>
      </w:r>
      <w:proofErr w:type="spellEnd"/>
      <w:r w:rsidRPr="00702304">
        <w:rPr>
          <w:color w:val="auto"/>
        </w:rPr>
        <w:t xml:space="preserve"> et al., 2014; Meurer et al., 2018; Ogle et al., 2019; Mary et al., 2020; Sun et al., 2020). </w:t>
      </w:r>
    </w:p>
    <w:p w14:paraId="06278790" w14:textId="7FC69E2C" w:rsidR="001706FD" w:rsidRPr="00EB19CB" w:rsidRDefault="006A6C40" w:rsidP="006A6C40">
      <w:pPr>
        <w:pStyle w:val="Publi2"/>
        <w:rPr>
          <w:color w:val="auto"/>
        </w:rPr>
      </w:pPr>
      <w:r w:rsidRPr="00EB19CB">
        <w:rPr>
          <w:color w:val="auto"/>
        </w:rPr>
        <w:t xml:space="preserve"> </w:t>
      </w:r>
      <w:r w:rsidR="001706FD" w:rsidRPr="00EB19CB">
        <w:rPr>
          <w:color w:val="auto"/>
        </w:rPr>
        <w:t>Simulated soil water and nutrients</w:t>
      </w:r>
    </w:p>
    <w:p w14:paraId="358841DB" w14:textId="77777777" w:rsidR="001706FD" w:rsidRPr="00EB19CB" w:rsidRDefault="001706FD" w:rsidP="001706FD">
      <w:pPr>
        <w:pStyle w:val="PubliManuscript"/>
        <w:rPr>
          <w:color w:val="auto"/>
        </w:rPr>
      </w:pPr>
      <w:r w:rsidRPr="00EB19CB">
        <w:rPr>
          <w:color w:val="auto"/>
        </w:rPr>
        <w:t xml:space="preserve">Crop simulations allow to complement field observations by investigating the drivers of yields and SOC between treatments. As proposed in Alvarez and Steinbach (2009), we compared the effect of crop residues management on simulated water and nutrients availability around two critical moments: sowing and flowering. We found that these soil indicators, averaged over the 10-days period around sowing/flowering, were significantly correlated with yields (Table 1). Greater nutrient availability was associated to a yield increase, whereas greater soil water content was found to increase the final yield when observed at sowing but to decrease it when observed at flowering. Indeed water availability in surface soil is determinant at early crop stages for plant development, but at flowering stage, roots can uptake water from deeper soil layers (Alvarez and Steinbach, 2009). </w:t>
      </w:r>
    </w:p>
    <w:p w14:paraId="47533E48" w14:textId="77777777" w:rsidR="001706FD" w:rsidRPr="00EB19CB" w:rsidRDefault="001706FD" w:rsidP="001706FD">
      <w:pPr>
        <w:pStyle w:val="PubliManuscript"/>
        <w:rPr>
          <w:color w:val="auto"/>
        </w:rPr>
      </w:pPr>
      <w:r w:rsidRPr="00EB19CB">
        <w:rPr>
          <w:color w:val="auto"/>
        </w:rPr>
        <w:t>No clear effect of crop residues fate (IN/OUT) was found in our case study, neither on water content nor soil N content (Table 1). We believe that our field experiment has not been implemented over a sufficiently long period for the contrast in SOC content to lead to significative differences in soil water content. Concerning soil N content, Hiel et al. (2018) did neither measure any impact of residue treatment on the nitrate content on the same field experiment. Authors hypothesized that the proportionally high amounts of mineral N fertilizer – following common practices in Belgium – completely dominate the effects of nitrogen coming from residues restitution. Yet the literature suggests that residue removal, by reducing soil organic matter levels, might decrease soils ability to retain water and increases evaporation (Blanco-Canqui and Lal, 2009).</w:t>
      </w:r>
    </w:p>
    <w:p w14:paraId="5F89342F" w14:textId="485C5558" w:rsidR="001706FD" w:rsidRPr="00EB19CB" w:rsidRDefault="001706FD" w:rsidP="001706FD">
      <w:pPr>
        <w:pStyle w:val="PubliManuscript"/>
        <w:rPr>
          <w:color w:val="auto"/>
        </w:rPr>
      </w:pPr>
      <w:r w:rsidRPr="00EB19CB">
        <w:rPr>
          <w:color w:val="auto"/>
        </w:rPr>
        <w:t>Conventional tillage was found to report greater soil ammonium levels and, even if not significative, nitrate levels, whereas reduced tillage showed greater soil water contents over the first 0-</w:t>
      </w:r>
      <w:r w:rsidRPr="00EB19CB">
        <w:rPr>
          <w:color w:val="auto"/>
        </w:rPr>
        <w:lastRenderedPageBreak/>
        <w:t xml:space="preserve">30 cm horizon, at both sowing and flowering stages (Table 1 and Fig. </w:t>
      </w:r>
      <w:r w:rsidR="00AA5D22" w:rsidRPr="00EB19CB">
        <w:rPr>
          <w:color w:val="auto"/>
        </w:rPr>
        <w:t>6a</w:t>
      </w:r>
      <w:r w:rsidRPr="00EB19CB">
        <w:rPr>
          <w:color w:val="auto"/>
        </w:rPr>
        <w:t>). This fully agrees with e.g. Alvarez and Steinbach (2009), Pittelkow et al. (2015a) and Blanco-Canqui and Ruis (2018) which found the same conclusions for the effects of tillage on soil water and nutrient contents. Concerning the latter,</w:t>
      </w:r>
      <w:r w:rsidR="004936FB" w:rsidRPr="00EB19CB">
        <w:rPr>
          <w:color w:val="auto"/>
        </w:rPr>
        <w:t xml:space="preserve"> it is mainly explained by a difference in soil temperature over the first soil horizon, where mineralization occur</w:t>
      </w:r>
      <w:r w:rsidR="00E22744" w:rsidRPr="00EB19CB">
        <w:rPr>
          <w:color w:val="auto"/>
        </w:rPr>
        <w:t>s. Fig. 6b represents the cumulated difference in soil temperature, in 0-30 cm</w:t>
      </w:r>
      <w:r w:rsidR="00571EB0" w:rsidRPr="00EB19CB">
        <w:rPr>
          <w:color w:val="auto"/>
        </w:rPr>
        <w:t xml:space="preserve"> depth</w:t>
      </w:r>
      <w:r w:rsidR="00E22744" w:rsidRPr="00EB19CB">
        <w:rPr>
          <w:color w:val="auto"/>
        </w:rPr>
        <w:t xml:space="preserve">, between CT and RT. This cumulated difference is only computed during the days when soil temperature in CT is over 15°C, since it is the reference temperature above which organic matter (humus and organic residues) is mainly decomposed (Beaudoin et al., 2022). </w:t>
      </w:r>
      <w:r w:rsidR="003A2C14" w:rsidRPr="00EB19CB">
        <w:rPr>
          <w:color w:val="auto"/>
        </w:rPr>
        <w:t>We see on Fig. 6b that, during warm days when most heterotrophic respiration occurs, soil temperature is higher in CT and increases mineralization.</w:t>
      </w:r>
      <w:r w:rsidR="00616FF0" w:rsidRPr="00EB19CB">
        <w:rPr>
          <w:color w:val="auto"/>
        </w:rPr>
        <w:t xml:space="preserve"> </w:t>
      </w:r>
      <w:r w:rsidR="00426F90" w:rsidRPr="00EB19CB">
        <w:rPr>
          <w:color w:val="auto"/>
        </w:rPr>
        <w:t>On the opposite, the influence of soil water content on the mineralization rate is much lower in STICS</w:t>
      </w:r>
      <w:r w:rsidR="00DF63D7" w:rsidRPr="00EB19CB">
        <w:rPr>
          <w:color w:val="auto"/>
        </w:rPr>
        <w:t xml:space="preserve"> (Beaudoin et al., 2022)</w:t>
      </w:r>
      <w:r w:rsidR="001E197F" w:rsidRPr="00EB19CB">
        <w:rPr>
          <w:color w:val="auto"/>
        </w:rPr>
        <w:t>.</w:t>
      </w:r>
      <w:r w:rsidR="00426F90" w:rsidRPr="00EB19CB">
        <w:rPr>
          <w:color w:val="auto"/>
        </w:rPr>
        <w:t xml:space="preserve"> </w:t>
      </w:r>
      <w:r w:rsidR="00D512D3" w:rsidRPr="00EB19CB">
        <w:rPr>
          <w:color w:val="auto"/>
        </w:rPr>
        <w:t>This explain</w:t>
      </w:r>
      <w:r w:rsidR="00B2575B" w:rsidRPr="00EB19CB">
        <w:rPr>
          <w:color w:val="auto"/>
        </w:rPr>
        <w:t>s the higher SOC stocks observed in RT, as well as</w:t>
      </w:r>
      <w:r w:rsidR="00D512D3" w:rsidRPr="00EB19CB">
        <w:rPr>
          <w:color w:val="auto"/>
        </w:rPr>
        <w:t xml:space="preserve"> the higher soil NO</w:t>
      </w:r>
      <w:r w:rsidR="00D512D3" w:rsidRPr="00EB19CB">
        <w:rPr>
          <w:color w:val="auto"/>
          <w:vertAlign w:val="subscript"/>
        </w:rPr>
        <w:t>3</w:t>
      </w:r>
      <w:r w:rsidR="00D512D3" w:rsidRPr="00EB19CB">
        <w:rPr>
          <w:color w:val="auto"/>
        </w:rPr>
        <w:t xml:space="preserve"> content in CT described above which leads to lower nitrogen stress in CT (Fig. 6d).</w:t>
      </w:r>
      <w:r w:rsidR="00426F90" w:rsidRPr="00EB19CB">
        <w:rPr>
          <w:color w:val="auto"/>
        </w:rPr>
        <w:t xml:space="preserve"> </w:t>
      </w:r>
      <w:r w:rsidR="004936FB" w:rsidRPr="00EB19CB">
        <w:rPr>
          <w:color w:val="auto"/>
        </w:rPr>
        <w:t>This is also in agreement with</w:t>
      </w:r>
      <w:r w:rsidRPr="00EB19CB">
        <w:rPr>
          <w:color w:val="auto"/>
        </w:rPr>
        <w:t xml:space="preserve"> Alvarez and Steinbach (2009) </w:t>
      </w:r>
      <w:r w:rsidR="00A07DD7" w:rsidRPr="00EB19CB">
        <w:rPr>
          <w:color w:val="auto"/>
        </w:rPr>
        <w:t xml:space="preserve">which </w:t>
      </w:r>
      <w:r w:rsidRPr="00EB19CB">
        <w:rPr>
          <w:color w:val="auto"/>
        </w:rPr>
        <w:t>reported that conventional tillage leads to greater nitrogen mineralization rates due to higher soil temperatures, disruption of soil aggregates and hence faster residues decomposition and nitrogen liberation, and therefore suggested that reduced tillage might lead to greater nitrogen fertilizer requirements.</w:t>
      </w:r>
    </w:p>
    <w:p w14:paraId="66E8DA83" w14:textId="1BAC49E0" w:rsidR="00757AC6" w:rsidRPr="00EB19CB" w:rsidRDefault="00757AC6" w:rsidP="001706FD">
      <w:pPr>
        <w:pStyle w:val="PubliManuscript"/>
        <w:spacing w:line="240" w:lineRule="auto"/>
        <w:ind w:firstLine="0"/>
        <w:rPr>
          <w:i/>
          <w:iCs/>
          <w:noProof/>
          <w:color w:val="auto"/>
          <w:u w:val="single"/>
        </w:rPr>
      </w:pPr>
      <w:r w:rsidRPr="00EB19CB">
        <w:rPr>
          <w:i/>
          <w:iCs/>
          <w:noProof/>
          <w:color w:val="auto"/>
          <w:u w:val="single"/>
        </w:rPr>
        <w:lastRenderedPageBreak/>
        <w:drawing>
          <wp:inline distT="0" distB="0" distL="0" distR="0" wp14:anchorId="3B9AE341" wp14:editId="7886763F">
            <wp:extent cx="5760720" cy="5043170"/>
            <wp:effectExtent l="0" t="0" r="0" b="0"/>
            <wp:docPr id="703777077" name="Image 2" descr="Une image contenant texte, capture d’écran, diagramm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777077" name="Image 2" descr="Une image contenant texte, capture d’écran, diagramme, Tracé&#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5043170"/>
                    </a:xfrm>
                    <a:prstGeom prst="rect">
                      <a:avLst/>
                    </a:prstGeom>
                  </pic:spPr>
                </pic:pic>
              </a:graphicData>
            </a:graphic>
          </wp:inline>
        </w:drawing>
      </w:r>
    </w:p>
    <w:p w14:paraId="02310A39" w14:textId="78DDA5F5" w:rsidR="001706FD" w:rsidRPr="00EB19CB" w:rsidRDefault="001706FD" w:rsidP="001706FD">
      <w:pPr>
        <w:pStyle w:val="PubliManuscript"/>
        <w:spacing w:line="240" w:lineRule="auto"/>
        <w:ind w:firstLine="0"/>
        <w:rPr>
          <w:noProof/>
          <w:color w:val="auto"/>
          <w:u w:val="single"/>
        </w:rPr>
      </w:pPr>
      <w:r w:rsidRPr="00EB19CB">
        <w:rPr>
          <w:b/>
          <w:bCs/>
          <w:color w:val="auto"/>
        </w:rPr>
        <w:t xml:space="preserve">Figure </w:t>
      </w:r>
      <w:r w:rsidR="00E2033A" w:rsidRPr="00EB19CB">
        <w:rPr>
          <w:b/>
          <w:bCs/>
          <w:color w:val="auto"/>
        </w:rPr>
        <w:t>6</w:t>
      </w:r>
      <w:r w:rsidRPr="00EB19CB">
        <w:rPr>
          <w:b/>
          <w:bCs/>
          <w:color w:val="auto"/>
        </w:rPr>
        <w:t xml:space="preserve">. </w:t>
      </w:r>
      <w:r w:rsidR="00757AC6" w:rsidRPr="00EB19CB">
        <w:rPr>
          <w:b/>
          <w:bCs/>
          <w:color w:val="auto"/>
        </w:rPr>
        <w:t>Simulated soil dynamics and arising stresses. a) Relative d</w:t>
      </w:r>
      <w:r w:rsidRPr="00EB19CB">
        <w:rPr>
          <w:b/>
          <w:bCs/>
          <w:color w:val="auto"/>
        </w:rPr>
        <w:t>ifference in S</w:t>
      </w:r>
      <w:r w:rsidR="00A508D0" w:rsidRPr="00EB19CB">
        <w:rPr>
          <w:b/>
          <w:bCs/>
          <w:color w:val="auto"/>
        </w:rPr>
        <w:t>oil Water Content (S</w:t>
      </w:r>
      <w:r w:rsidRPr="00EB19CB">
        <w:rPr>
          <w:b/>
          <w:bCs/>
          <w:color w:val="auto"/>
        </w:rPr>
        <w:t>WC</w:t>
      </w:r>
      <w:r w:rsidR="00A508D0" w:rsidRPr="00EB19CB">
        <w:rPr>
          <w:b/>
          <w:bCs/>
          <w:color w:val="auto"/>
        </w:rPr>
        <w:t>)</w:t>
      </w:r>
      <w:r w:rsidRPr="00EB19CB">
        <w:rPr>
          <w:b/>
          <w:bCs/>
          <w:color w:val="auto"/>
        </w:rPr>
        <w:t xml:space="preserve"> (simulated SWC minus the SWC averaged over all four treatments at each day</w:t>
      </w:r>
      <w:r w:rsidR="00757AC6" w:rsidRPr="00EB19CB">
        <w:rPr>
          <w:b/>
          <w:bCs/>
          <w:color w:val="auto"/>
        </w:rPr>
        <w:t>, divided by simulated SWC</w:t>
      </w:r>
      <w:r w:rsidRPr="00EB19CB">
        <w:rPr>
          <w:b/>
          <w:bCs/>
          <w:color w:val="auto"/>
        </w:rPr>
        <w:t>) in the soil horizon 0-30 cm</w:t>
      </w:r>
      <w:r w:rsidR="00E1091D" w:rsidRPr="00EB19CB">
        <w:rPr>
          <w:b/>
          <w:bCs/>
          <w:color w:val="auto"/>
        </w:rPr>
        <w:t xml:space="preserve">; b) </w:t>
      </w:r>
      <w:r w:rsidR="000A3BB9" w:rsidRPr="00EB19CB">
        <w:rPr>
          <w:b/>
          <w:bCs/>
          <w:color w:val="auto"/>
        </w:rPr>
        <w:t>Cumulated d</w:t>
      </w:r>
      <w:r w:rsidR="00E1091D" w:rsidRPr="00EB19CB">
        <w:rPr>
          <w:b/>
          <w:bCs/>
          <w:color w:val="auto"/>
        </w:rPr>
        <w:t>ifference in soil temperature (CT – RT) for the two residues managements, in the soil horizon 0-30 cm; c) Cumulated sum of stomatic water stress STICS indices 1-</w:t>
      </w:r>
      <w:r w:rsidR="00E1091D" w:rsidRPr="00EB19CB">
        <w:rPr>
          <w:b/>
          <w:bCs/>
          <w:i/>
          <w:iCs/>
          <w:color w:val="auto"/>
        </w:rPr>
        <w:t>swfac</w:t>
      </w:r>
      <w:r w:rsidR="00E1091D" w:rsidRPr="00EB19CB">
        <w:rPr>
          <w:b/>
          <w:bCs/>
          <w:color w:val="auto"/>
        </w:rPr>
        <w:t xml:space="preserve"> (1-</w:t>
      </w:r>
      <w:r w:rsidR="00E1091D" w:rsidRPr="00EB19CB">
        <w:rPr>
          <w:b/>
          <w:bCs/>
          <w:i/>
          <w:iCs/>
          <w:color w:val="auto"/>
        </w:rPr>
        <w:t xml:space="preserve">swfac </w:t>
      </w:r>
      <w:r w:rsidR="00E1091D" w:rsidRPr="00EB19CB">
        <w:rPr>
          <w:b/>
          <w:bCs/>
          <w:color w:val="auto"/>
        </w:rPr>
        <w:t>= 0 indicating no stress; 1-</w:t>
      </w:r>
      <w:r w:rsidR="00E1091D" w:rsidRPr="00EB19CB">
        <w:rPr>
          <w:b/>
          <w:bCs/>
          <w:i/>
          <w:iCs/>
          <w:color w:val="auto"/>
        </w:rPr>
        <w:t xml:space="preserve">swfac </w:t>
      </w:r>
      <w:r w:rsidR="00E1091D" w:rsidRPr="00EB19CB">
        <w:rPr>
          <w:b/>
          <w:bCs/>
          <w:color w:val="auto"/>
        </w:rPr>
        <w:t>= 1 indicating a maximal stress)</w:t>
      </w:r>
      <w:r w:rsidR="004D3C4C" w:rsidRPr="00EB19CB">
        <w:rPr>
          <w:b/>
          <w:bCs/>
          <w:color w:val="auto"/>
        </w:rPr>
        <w:t>; d) Cumulated sum of nitrogen stress STICS indices 1-</w:t>
      </w:r>
      <w:r w:rsidR="004D3C4C" w:rsidRPr="00EB19CB">
        <w:rPr>
          <w:b/>
          <w:bCs/>
          <w:i/>
          <w:iCs/>
          <w:color w:val="auto"/>
        </w:rPr>
        <w:t>inns</w:t>
      </w:r>
      <w:r w:rsidR="004D3C4C" w:rsidRPr="00EB19CB">
        <w:rPr>
          <w:b/>
          <w:bCs/>
          <w:color w:val="auto"/>
        </w:rPr>
        <w:t xml:space="preserve"> (1-</w:t>
      </w:r>
      <w:r w:rsidR="004D3C4C" w:rsidRPr="00EB19CB">
        <w:rPr>
          <w:b/>
          <w:bCs/>
          <w:i/>
          <w:iCs/>
          <w:color w:val="auto"/>
        </w:rPr>
        <w:t xml:space="preserve">inns </w:t>
      </w:r>
      <w:r w:rsidR="004D3C4C" w:rsidRPr="00EB19CB">
        <w:rPr>
          <w:b/>
          <w:bCs/>
          <w:color w:val="auto"/>
        </w:rPr>
        <w:t>= 0 indicating no stress; 1-</w:t>
      </w:r>
      <w:r w:rsidR="004D3C4C" w:rsidRPr="00EB19CB">
        <w:rPr>
          <w:b/>
          <w:bCs/>
          <w:i/>
          <w:iCs/>
          <w:color w:val="auto"/>
        </w:rPr>
        <w:t xml:space="preserve">inns </w:t>
      </w:r>
      <w:r w:rsidR="004D3C4C" w:rsidRPr="00EB19CB">
        <w:rPr>
          <w:b/>
          <w:bCs/>
          <w:color w:val="auto"/>
        </w:rPr>
        <w:t>= 1 indicating a maximal stress)</w:t>
      </w:r>
      <w:r w:rsidR="00BF1053" w:rsidRPr="00EB19CB">
        <w:rPr>
          <w:b/>
          <w:bCs/>
          <w:color w:val="auto"/>
        </w:rPr>
        <w:t>.</w:t>
      </w:r>
    </w:p>
    <w:p w14:paraId="2E61E129" w14:textId="1D92CCED" w:rsidR="001706FD" w:rsidRPr="00EB19CB" w:rsidRDefault="001706FD" w:rsidP="001706FD">
      <w:pPr>
        <w:pStyle w:val="PubliManuscript"/>
        <w:rPr>
          <w:color w:val="auto"/>
        </w:rPr>
      </w:pPr>
      <w:r w:rsidRPr="00EB19CB">
        <w:rPr>
          <w:color w:val="auto"/>
        </w:rPr>
        <w:t xml:space="preserve">In STICS, the greater water retention under reduced tillage is mainly due to the runoff associated with a lower soil infiltrability under conventional tillage, and the disappearance of mulch just after tillage that changes the albedo of the soil-plant system (Brisson et al., 2009). Water content was found to be more affected by tillage management rather than by the incorporation or not of crop residues (Table 1 and Fig. </w:t>
      </w:r>
      <w:r w:rsidR="00312882" w:rsidRPr="00EB19CB">
        <w:rPr>
          <w:color w:val="auto"/>
        </w:rPr>
        <w:t>6a</w:t>
      </w:r>
      <w:r w:rsidRPr="00EB19CB">
        <w:rPr>
          <w:color w:val="auto"/>
        </w:rPr>
        <w:t xml:space="preserve">), in line with </w:t>
      </w:r>
      <w:proofErr w:type="spellStart"/>
      <w:r w:rsidRPr="00EB19CB">
        <w:rPr>
          <w:color w:val="auto"/>
        </w:rPr>
        <w:t>Bescansa</w:t>
      </w:r>
      <w:proofErr w:type="spellEnd"/>
      <w:r w:rsidRPr="00EB19CB">
        <w:rPr>
          <w:color w:val="auto"/>
        </w:rPr>
        <w:t xml:space="preserve"> et al. (2006). We see on Figure </w:t>
      </w:r>
      <w:r w:rsidR="00115929" w:rsidRPr="00EB19CB">
        <w:rPr>
          <w:color w:val="auto"/>
        </w:rPr>
        <w:t>6a</w:t>
      </w:r>
      <w:r w:rsidRPr="00EB19CB">
        <w:rPr>
          <w:color w:val="auto"/>
        </w:rPr>
        <w:t xml:space="preserve"> that the difference between CT and RT is particularly high during the winter wheat season of 2017-2018. That winter was exceptionally wet, with heavy precipitations in December 2017 and January 2018 (respectively 151% and 130% of the monthly average of the experimental 14-year period), but only </w:t>
      </w:r>
      <w:r w:rsidRPr="00EB19CB">
        <w:rPr>
          <w:color w:val="auto"/>
        </w:rPr>
        <w:lastRenderedPageBreak/>
        <w:t>the treatments in reduced tillage succeeded to retain water.</w:t>
      </w:r>
    </w:p>
    <w:p w14:paraId="7C079B10" w14:textId="38EA30C9" w:rsidR="001706FD" w:rsidRPr="00EB19CB" w:rsidRDefault="001706FD" w:rsidP="001706FD">
      <w:pPr>
        <w:pStyle w:val="PubliManuscript"/>
        <w:rPr>
          <w:color w:val="auto"/>
          <w:sz w:val="20"/>
          <w:szCs w:val="20"/>
        </w:rPr>
      </w:pPr>
      <w:r w:rsidRPr="00EB19CB">
        <w:rPr>
          <w:color w:val="auto"/>
        </w:rPr>
        <w:t>Globally, water stress episodes were rare during the investigated periods. This might explain why</w:t>
      </w:r>
      <w:r w:rsidR="00DA4C88" w:rsidRPr="00EB19CB">
        <w:rPr>
          <w:color w:val="auto"/>
        </w:rPr>
        <w:t>, as illustrated by the dynamics of water and nitrogen stress</w:t>
      </w:r>
      <w:r w:rsidR="00012978" w:rsidRPr="00EB19CB">
        <w:rPr>
          <w:color w:val="auto"/>
        </w:rPr>
        <w:t>es</w:t>
      </w:r>
      <w:r w:rsidR="00DA4C88" w:rsidRPr="00EB19CB">
        <w:rPr>
          <w:color w:val="auto"/>
        </w:rPr>
        <w:t xml:space="preserve"> on Fig. </w:t>
      </w:r>
      <w:r w:rsidR="001D494B" w:rsidRPr="00EB19CB">
        <w:rPr>
          <w:color w:val="auto"/>
        </w:rPr>
        <w:t>6</w:t>
      </w:r>
      <w:r w:rsidR="00DA4C88" w:rsidRPr="00EB19CB">
        <w:rPr>
          <w:color w:val="auto"/>
        </w:rPr>
        <w:t xml:space="preserve">c and Fig. </w:t>
      </w:r>
      <w:r w:rsidR="001D494B" w:rsidRPr="00EB19CB">
        <w:rPr>
          <w:color w:val="auto"/>
        </w:rPr>
        <w:t>6</w:t>
      </w:r>
      <w:r w:rsidR="00DA4C88" w:rsidRPr="00EB19CB">
        <w:rPr>
          <w:color w:val="auto"/>
        </w:rPr>
        <w:t>d</w:t>
      </w:r>
      <w:r w:rsidR="00DA4C88" w:rsidRPr="00EB19CB">
        <w:rPr>
          <w:color w:val="auto"/>
          <w:sz w:val="20"/>
          <w:szCs w:val="20"/>
        </w:rPr>
        <w:t>,</w:t>
      </w:r>
      <w:r w:rsidRPr="00EB19CB">
        <w:rPr>
          <w:color w:val="auto"/>
        </w:rPr>
        <w:t xml:space="preserve"> the greater soil content of water reported under RT did not translate into a positive difference in yields, conversely of soil N content that led to greater yields under conventional tillage</w:t>
      </w:r>
      <w:bookmarkStart w:id="7" w:name="_Hlk168670965"/>
      <w:r w:rsidR="00DA4C88" w:rsidRPr="00EB19CB">
        <w:rPr>
          <w:color w:val="auto"/>
        </w:rPr>
        <w:t>.</w:t>
      </w:r>
    </w:p>
    <w:bookmarkEnd w:id="7"/>
    <w:tbl>
      <w:tblPr>
        <w:tblStyle w:val="Grilledutableau"/>
        <w:tblW w:w="94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4"/>
        <w:gridCol w:w="1043"/>
        <w:gridCol w:w="1042"/>
        <w:gridCol w:w="1040"/>
        <w:gridCol w:w="1041"/>
        <w:gridCol w:w="1043"/>
        <w:gridCol w:w="1043"/>
        <w:gridCol w:w="1042"/>
        <w:gridCol w:w="1041"/>
      </w:tblGrid>
      <w:tr w:rsidR="00EB19CB" w:rsidRPr="00EB19CB" w14:paraId="23B7CDC8" w14:textId="77777777" w:rsidTr="009F1978">
        <w:trPr>
          <w:trHeight w:hRule="exact" w:val="851"/>
        </w:trPr>
        <w:tc>
          <w:tcPr>
            <w:tcW w:w="1084" w:type="dxa"/>
            <w:shd w:val="clear" w:color="auto" w:fill="D9D9D9" w:themeFill="background1" w:themeFillShade="D9"/>
          </w:tcPr>
          <w:p w14:paraId="4AD4BC5C" w14:textId="77777777" w:rsidR="001706FD" w:rsidRPr="00EB19CB" w:rsidRDefault="001706FD" w:rsidP="009F1978">
            <w:pPr>
              <w:pStyle w:val="PubliManuscript"/>
              <w:spacing w:before="0" w:after="0" w:line="240" w:lineRule="auto"/>
              <w:ind w:firstLine="0"/>
              <w:jc w:val="center"/>
              <w:rPr>
                <w:color w:val="auto"/>
                <w:sz w:val="20"/>
                <w:szCs w:val="20"/>
              </w:rPr>
            </w:pPr>
          </w:p>
        </w:tc>
        <w:tc>
          <w:tcPr>
            <w:tcW w:w="4166" w:type="dxa"/>
            <w:gridSpan w:val="4"/>
            <w:shd w:val="clear" w:color="auto" w:fill="D9D9D9" w:themeFill="background1" w:themeFillShade="D9"/>
          </w:tcPr>
          <w:p w14:paraId="5E4ADF86" w14:textId="77777777" w:rsidR="001706FD" w:rsidRPr="00EB19CB" w:rsidRDefault="001706FD" w:rsidP="009F1978">
            <w:pPr>
              <w:pStyle w:val="PubliManuscript"/>
              <w:spacing w:before="0" w:after="0" w:line="240" w:lineRule="auto"/>
              <w:ind w:firstLine="0"/>
              <w:jc w:val="center"/>
              <w:rPr>
                <w:color w:val="auto"/>
                <w:sz w:val="20"/>
                <w:szCs w:val="20"/>
              </w:rPr>
            </w:pPr>
          </w:p>
          <w:p w14:paraId="796E0A2B"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At sowing</w:t>
            </w:r>
          </w:p>
        </w:tc>
        <w:tc>
          <w:tcPr>
            <w:tcW w:w="4169" w:type="dxa"/>
            <w:gridSpan w:val="4"/>
            <w:shd w:val="clear" w:color="auto" w:fill="D9D9D9" w:themeFill="background1" w:themeFillShade="D9"/>
          </w:tcPr>
          <w:p w14:paraId="0D890272" w14:textId="77777777" w:rsidR="001706FD" w:rsidRPr="00EB19CB" w:rsidRDefault="001706FD" w:rsidP="009F1978">
            <w:pPr>
              <w:pStyle w:val="PubliManuscript"/>
              <w:spacing w:before="0" w:after="0" w:line="240" w:lineRule="auto"/>
              <w:ind w:firstLine="0"/>
              <w:jc w:val="center"/>
              <w:rPr>
                <w:color w:val="auto"/>
                <w:sz w:val="20"/>
                <w:szCs w:val="20"/>
              </w:rPr>
            </w:pPr>
          </w:p>
          <w:p w14:paraId="5C2F7567"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At flowering</w:t>
            </w:r>
          </w:p>
        </w:tc>
      </w:tr>
      <w:tr w:rsidR="00EB19CB" w:rsidRPr="00EB19CB" w14:paraId="3FDE97C2" w14:textId="77777777" w:rsidTr="009F1978">
        <w:trPr>
          <w:trHeight w:hRule="exact" w:val="1134"/>
        </w:trPr>
        <w:tc>
          <w:tcPr>
            <w:tcW w:w="1084" w:type="dxa"/>
            <w:shd w:val="clear" w:color="auto" w:fill="D9D9D9" w:themeFill="background1" w:themeFillShade="D9"/>
          </w:tcPr>
          <w:p w14:paraId="5D5E3192" w14:textId="77777777" w:rsidR="001706FD" w:rsidRPr="00EB19CB" w:rsidRDefault="001706FD" w:rsidP="009F1978">
            <w:pPr>
              <w:pStyle w:val="PubliManuscript"/>
              <w:spacing w:before="0" w:after="0" w:line="240" w:lineRule="auto"/>
              <w:ind w:firstLine="0"/>
              <w:jc w:val="center"/>
              <w:rPr>
                <w:color w:val="auto"/>
                <w:sz w:val="20"/>
                <w:szCs w:val="20"/>
              </w:rPr>
            </w:pPr>
          </w:p>
        </w:tc>
        <w:tc>
          <w:tcPr>
            <w:tcW w:w="1043" w:type="dxa"/>
            <w:shd w:val="clear" w:color="auto" w:fill="D9D9D9" w:themeFill="background1" w:themeFillShade="D9"/>
          </w:tcPr>
          <w:p w14:paraId="01A0858F"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Water content [%]</w:t>
            </w:r>
          </w:p>
          <w:p w14:paraId="0630786C"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0-30 cm</w:t>
            </w:r>
          </w:p>
        </w:tc>
        <w:tc>
          <w:tcPr>
            <w:tcW w:w="1042" w:type="dxa"/>
            <w:shd w:val="clear" w:color="auto" w:fill="D9D9D9" w:themeFill="background1" w:themeFillShade="D9"/>
          </w:tcPr>
          <w:p w14:paraId="0C8886EE"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Water content [%]</w:t>
            </w:r>
          </w:p>
          <w:p w14:paraId="6CAD0034"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 xml:space="preserve"> 30-60 cm</w:t>
            </w:r>
          </w:p>
        </w:tc>
        <w:tc>
          <w:tcPr>
            <w:tcW w:w="1040" w:type="dxa"/>
            <w:shd w:val="clear" w:color="auto" w:fill="D9D9D9" w:themeFill="background1" w:themeFillShade="D9"/>
          </w:tcPr>
          <w:p w14:paraId="43EDBE1D" w14:textId="77777777" w:rsidR="001706FD" w:rsidRPr="00EB19CB" w:rsidRDefault="001706FD" w:rsidP="009F1978">
            <w:pPr>
              <w:pStyle w:val="PubliManuscript"/>
              <w:spacing w:before="0" w:after="0" w:line="240" w:lineRule="auto"/>
              <w:ind w:firstLine="0"/>
              <w:jc w:val="center"/>
              <w:rPr>
                <w:color w:val="auto"/>
                <w:sz w:val="20"/>
                <w:szCs w:val="20"/>
                <w:vertAlign w:val="superscript"/>
              </w:rPr>
            </w:pPr>
            <w:r w:rsidRPr="00EB19CB">
              <w:rPr>
                <w:color w:val="auto"/>
                <w:sz w:val="20"/>
                <w:szCs w:val="20"/>
              </w:rPr>
              <w:t>NH</w:t>
            </w:r>
            <w:r w:rsidRPr="00EB19CB">
              <w:rPr>
                <w:color w:val="auto"/>
                <w:sz w:val="20"/>
                <w:szCs w:val="20"/>
                <w:vertAlign w:val="subscript"/>
              </w:rPr>
              <w:t>4</w:t>
            </w:r>
            <w:r w:rsidRPr="00EB19CB">
              <w:rPr>
                <w:color w:val="auto"/>
                <w:sz w:val="20"/>
                <w:szCs w:val="20"/>
                <w:vertAlign w:val="superscript"/>
              </w:rPr>
              <w:t>+</w:t>
            </w:r>
          </w:p>
          <w:p w14:paraId="12A327E5"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[kg ha</w:t>
            </w:r>
            <w:r w:rsidRPr="00EB19CB">
              <w:rPr>
                <w:color w:val="auto"/>
                <w:sz w:val="20"/>
                <w:szCs w:val="20"/>
                <w:vertAlign w:val="superscript"/>
              </w:rPr>
              <w:t>-1</w:t>
            </w:r>
            <w:r w:rsidRPr="00EB19CB">
              <w:rPr>
                <w:color w:val="auto"/>
                <w:sz w:val="20"/>
                <w:szCs w:val="20"/>
              </w:rPr>
              <w:t>]</w:t>
            </w:r>
          </w:p>
          <w:p w14:paraId="183E2900"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0-30 cm</w:t>
            </w:r>
          </w:p>
        </w:tc>
        <w:tc>
          <w:tcPr>
            <w:tcW w:w="1041" w:type="dxa"/>
            <w:shd w:val="clear" w:color="auto" w:fill="D9D9D9" w:themeFill="background1" w:themeFillShade="D9"/>
          </w:tcPr>
          <w:p w14:paraId="23B7B04E" w14:textId="77777777" w:rsidR="001706FD" w:rsidRPr="00EB19CB" w:rsidRDefault="001706FD" w:rsidP="009F1978">
            <w:pPr>
              <w:pStyle w:val="PubliManuscript"/>
              <w:spacing w:before="0" w:after="0" w:line="240" w:lineRule="auto"/>
              <w:ind w:firstLine="0"/>
              <w:jc w:val="center"/>
              <w:rPr>
                <w:color w:val="auto"/>
                <w:sz w:val="20"/>
                <w:szCs w:val="20"/>
                <w:vertAlign w:val="superscript"/>
              </w:rPr>
            </w:pPr>
            <w:r w:rsidRPr="00EB19CB">
              <w:rPr>
                <w:color w:val="auto"/>
                <w:sz w:val="20"/>
                <w:szCs w:val="20"/>
              </w:rPr>
              <w:t>NO</w:t>
            </w:r>
            <w:r w:rsidRPr="00EB19CB">
              <w:rPr>
                <w:color w:val="auto"/>
                <w:sz w:val="20"/>
                <w:szCs w:val="20"/>
                <w:vertAlign w:val="subscript"/>
              </w:rPr>
              <w:t>3</w:t>
            </w:r>
            <w:r w:rsidRPr="00EB19CB">
              <w:rPr>
                <w:color w:val="auto"/>
                <w:sz w:val="20"/>
                <w:szCs w:val="20"/>
                <w:vertAlign w:val="superscript"/>
              </w:rPr>
              <w:t>-</w:t>
            </w:r>
          </w:p>
          <w:p w14:paraId="58F368DE"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[kg ha</w:t>
            </w:r>
            <w:r w:rsidRPr="00EB19CB">
              <w:rPr>
                <w:color w:val="auto"/>
                <w:sz w:val="20"/>
                <w:szCs w:val="20"/>
                <w:vertAlign w:val="superscript"/>
              </w:rPr>
              <w:t>-1</w:t>
            </w:r>
            <w:r w:rsidRPr="00EB19CB">
              <w:rPr>
                <w:color w:val="auto"/>
                <w:sz w:val="20"/>
                <w:szCs w:val="20"/>
              </w:rPr>
              <w:t>]</w:t>
            </w:r>
          </w:p>
          <w:p w14:paraId="0D0ADFE6"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0-30 cm</w:t>
            </w:r>
          </w:p>
        </w:tc>
        <w:tc>
          <w:tcPr>
            <w:tcW w:w="1043" w:type="dxa"/>
            <w:shd w:val="clear" w:color="auto" w:fill="D9D9D9" w:themeFill="background1" w:themeFillShade="D9"/>
          </w:tcPr>
          <w:p w14:paraId="753C2676"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Water content [%]</w:t>
            </w:r>
          </w:p>
          <w:p w14:paraId="1F9C67A4"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0-30 cm</w:t>
            </w:r>
          </w:p>
        </w:tc>
        <w:tc>
          <w:tcPr>
            <w:tcW w:w="1043" w:type="dxa"/>
            <w:shd w:val="clear" w:color="auto" w:fill="D9D9D9" w:themeFill="background1" w:themeFillShade="D9"/>
          </w:tcPr>
          <w:p w14:paraId="4E40D246"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Water content [%]</w:t>
            </w:r>
          </w:p>
          <w:p w14:paraId="27CF9D26"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 xml:space="preserve"> 30-60 cm</w:t>
            </w:r>
          </w:p>
        </w:tc>
        <w:tc>
          <w:tcPr>
            <w:tcW w:w="1042" w:type="dxa"/>
            <w:shd w:val="clear" w:color="auto" w:fill="D9D9D9" w:themeFill="background1" w:themeFillShade="D9"/>
          </w:tcPr>
          <w:p w14:paraId="62CC8CD9" w14:textId="77777777" w:rsidR="001706FD" w:rsidRPr="00EB19CB" w:rsidRDefault="001706FD" w:rsidP="009F1978">
            <w:pPr>
              <w:pStyle w:val="PubliManuscript"/>
              <w:spacing w:before="0" w:after="0" w:line="240" w:lineRule="auto"/>
              <w:ind w:firstLine="0"/>
              <w:jc w:val="center"/>
              <w:rPr>
                <w:color w:val="auto"/>
                <w:sz w:val="20"/>
                <w:szCs w:val="20"/>
                <w:vertAlign w:val="superscript"/>
              </w:rPr>
            </w:pPr>
            <w:r w:rsidRPr="00EB19CB">
              <w:rPr>
                <w:color w:val="auto"/>
                <w:sz w:val="20"/>
                <w:szCs w:val="20"/>
              </w:rPr>
              <w:t>NH</w:t>
            </w:r>
            <w:r w:rsidRPr="00EB19CB">
              <w:rPr>
                <w:color w:val="auto"/>
                <w:sz w:val="20"/>
                <w:szCs w:val="20"/>
                <w:vertAlign w:val="subscript"/>
              </w:rPr>
              <w:t>4</w:t>
            </w:r>
            <w:r w:rsidRPr="00EB19CB">
              <w:rPr>
                <w:color w:val="auto"/>
                <w:sz w:val="20"/>
                <w:szCs w:val="20"/>
                <w:vertAlign w:val="superscript"/>
              </w:rPr>
              <w:t>+</w:t>
            </w:r>
          </w:p>
          <w:p w14:paraId="5C445D10"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[kg ha</w:t>
            </w:r>
            <w:r w:rsidRPr="00EB19CB">
              <w:rPr>
                <w:color w:val="auto"/>
                <w:sz w:val="20"/>
                <w:szCs w:val="20"/>
                <w:vertAlign w:val="superscript"/>
              </w:rPr>
              <w:t>-1</w:t>
            </w:r>
            <w:r w:rsidRPr="00EB19CB">
              <w:rPr>
                <w:color w:val="auto"/>
                <w:sz w:val="20"/>
                <w:szCs w:val="20"/>
              </w:rPr>
              <w:t>]</w:t>
            </w:r>
          </w:p>
          <w:p w14:paraId="45B30ECC"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0-30 cm</w:t>
            </w:r>
          </w:p>
        </w:tc>
        <w:tc>
          <w:tcPr>
            <w:tcW w:w="1041" w:type="dxa"/>
            <w:shd w:val="clear" w:color="auto" w:fill="D9D9D9" w:themeFill="background1" w:themeFillShade="D9"/>
          </w:tcPr>
          <w:p w14:paraId="014B75BD" w14:textId="77777777" w:rsidR="001706FD" w:rsidRPr="00EB19CB" w:rsidRDefault="001706FD" w:rsidP="009F1978">
            <w:pPr>
              <w:pStyle w:val="PubliManuscript"/>
              <w:spacing w:before="0" w:after="0" w:line="240" w:lineRule="auto"/>
              <w:ind w:firstLine="0"/>
              <w:jc w:val="center"/>
              <w:rPr>
                <w:color w:val="auto"/>
                <w:sz w:val="20"/>
                <w:szCs w:val="20"/>
                <w:vertAlign w:val="superscript"/>
              </w:rPr>
            </w:pPr>
            <w:r w:rsidRPr="00EB19CB">
              <w:rPr>
                <w:color w:val="auto"/>
                <w:sz w:val="20"/>
                <w:szCs w:val="20"/>
              </w:rPr>
              <w:t>NO</w:t>
            </w:r>
            <w:r w:rsidRPr="00EB19CB">
              <w:rPr>
                <w:color w:val="auto"/>
                <w:sz w:val="20"/>
                <w:szCs w:val="20"/>
                <w:vertAlign w:val="subscript"/>
              </w:rPr>
              <w:t>3</w:t>
            </w:r>
            <w:r w:rsidRPr="00EB19CB">
              <w:rPr>
                <w:color w:val="auto"/>
                <w:sz w:val="20"/>
                <w:szCs w:val="20"/>
                <w:vertAlign w:val="superscript"/>
              </w:rPr>
              <w:t>-</w:t>
            </w:r>
          </w:p>
          <w:p w14:paraId="46F08E07"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[kg ha</w:t>
            </w:r>
            <w:r w:rsidRPr="00EB19CB">
              <w:rPr>
                <w:color w:val="auto"/>
                <w:sz w:val="20"/>
                <w:szCs w:val="20"/>
                <w:vertAlign w:val="superscript"/>
              </w:rPr>
              <w:t>-1</w:t>
            </w:r>
            <w:r w:rsidRPr="00EB19CB">
              <w:rPr>
                <w:color w:val="auto"/>
                <w:sz w:val="20"/>
                <w:szCs w:val="20"/>
              </w:rPr>
              <w:t>]</w:t>
            </w:r>
          </w:p>
          <w:p w14:paraId="15858F7E"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0-30 cm</w:t>
            </w:r>
          </w:p>
        </w:tc>
      </w:tr>
      <w:tr w:rsidR="00EB19CB" w:rsidRPr="00EB19CB" w14:paraId="509F31E3" w14:textId="77777777" w:rsidTr="009F1978">
        <w:trPr>
          <w:trHeight w:hRule="exact" w:val="851"/>
        </w:trPr>
        <w:tc>
          <w:tcPr>
            <w:tcW w:w="9419" w:type="dxa"/>
            <w:gridSpan w:val="9"/>
            <w:shd w:val="clear" w:color="auto" w:fill="D9D9D9" w:themeFill="background1" w:themeFillShade="D9"/>
          </w:tcPr>
          <w:p w14:paraId="5970D626" w14:textId="77777777" w:rsidR="001706FD" w:rsidRPr="00EB19CB" w:rsidRDefault="001706FD" w:rsidP="009F1978">
            <w:pPr>
              <w:pStyle w:val="PubliManuscript"/>
              <w:spacing w:before="0" w:after="0" w:line="240" w:lineRule="auto"/>
              <w:ind w:firstLine="0"/>
              <w:jc w:val="center"/>
              <w:rPr>
                <w:color w:val="auto"/>
                <w:sz w:val="18"/>
                <w:szCs w:val="18"/>
              </w:rPr>
            </w:pPr>
          </w:p>
          <w:p w14:paraId="58D4667D" w14:textId="77777777" w:rsidR="001706FD" w:rsidRPr="00EB19CB" w:rsidRDefault="001706FD" w:rsidP="009F1978">
            <w:pPr>
              <w:pStyle w:val="PubliManuscript"/>
              <w:spacing w:before="0" w:after="0" w:line="240" w:lineRule="auto"/>
              <w:ind w:firstLine="0"/>
              <w:jc w:val="center"/>
              <w:rPr>
                <w:b/>
                <w:bCs/>
                <w:color w:val="auto"/>
                <w:sz w:val="20"/>
                <w:szCs w:val="20"/>
              </w:rPr>
            </w:pPr>
            <w:r w:rsidRPr="00EB19CB">
              <w:rPr>
                <w:b/>
                <w:bCs/>
                <w:color w:val="auto"/>
                <w:sz w:val="20"/>
                <w:szCs w:val="20"/>
              </w:rPr>
              <w:t>Linear correlation between average water/ NH</w:t>
            </w:r>
            <w:r w:rsidRPr="00EB19CB">
              <w:rPr>
                <w:b/>
                <w:bCs/>
                <w:color w:val="auto"/>
                <w:sz w:val="20"/>
                <w:szCs w:val="20"/>
                <w:vertAlign w:val="subscript"/>
              </w:rPr>
              <w:t>4</w:t>
            </w:r>
            <w:r w:rsidRPr="00EB19CB">
              <w:rPr>
                <w:b/>
                <w:bCs/>
                <w:color w:val="auto"/>
                <w:sz w:val="20"/>
                <w:szCs w:val="20"/>
                <w:vertAlign w:val="superscript"/>
              </w:rPr>
              <w:t>+</w:t>
            </w:r>
            <w:r w:rsidRPr="00EB19CB">
              <w:rPr>
                <w:b/>
                <w:bCs/>
                <w:color w:val="auto"/>
                <w:sz w:val="20"/>
                <w:szCs w:val="20"/>
              </w:rPr>
              <w:t>/ NO</w:t>
            </w:r>
            <w:r w:rsidRPr="00EB19CB">
              <w:rPr>
                <w:b/>
                <w:bCs/>
                <w:color w:val="auto"/>
                <w:sz w:val="20"/>
                <w:szCs w:val="20"/>
                <w:vertAlign w:val="subscript"/>
              </w:rPr>
              <w:t>3</w:t>
            </w:r>
            <w:r w:rsidRPr="00EB19CB">
              <w:rPr>
                <w:b/>
                <w:bCs/>
                <w:color w:val="auto"/>
                <w:sz w:val="20"/>
                <w:szCs w:val="20"/>
                <w:vertAlign w:val="superscript"/>
              </w:rPr>
              <w:t>-</w:t>
            </w:r>
            <w:r w:rsidRPr="00EB19CB">
              <w:rPr>
                <w:b/>
                <w:bCs/>
                <w:color w:val="auto"/>
                <w:sz w:val="20"/>
                <w:szCs w:val="20"/>
              </w:rPr>
              <w:t xml:space="preserve"> contents and yields</w:t>
            </w:r>
          </w:p>
          <w:p w14:paraId="676CBED2" w14:textId="77777777" w:rsidR="001706FD" w:rsidRPr="00EB19CB" w:rsidRDefault="001706FD" w:rsidP="009F1978">
            <w:pPr>
              <w:pStyle w:val="PubliManuscript"/>
              <w:spacing w:before="0" w:after="0" w:line="240" w:lineRule="auto"/>
              <w:ind w:firstLine="0"/>
              <w:jc w:val="center"/>
              <w:rPr>
                <w:color w:val="auto"/>
                <w:sz w:val="20"/>
                <w:szCs w:val="20"/>
              </w:rPr>
            </w:pPr>
          </w:p>
          <w:p w14:paraId="51E17054" w14:textId="77777777" w:rsidR="001706FD" w:rsidRPr="00EB19CB" w:rsidRDefault="001706FD" w:rsidP="009F1978">
            <w:pPr>
              <w:pStyle w:val="PubliManuscript"/>
              <w:spacing w:before="0" w:after="0" w:line="240" w:lineRule="auto"/>
              <w:ind w:firstLine="0"/>
              <w:jc w:val="center"/>
              <w:rPr>
                <w:color w:val="auto"/>
                <w:sz w:val="18"/>
                <w:szCs w:val="18"/>
              </w:rPr>
            </w:pPr>
          </w:p>
        </w:tc>
      </w:tr>
      <w:tr w:rsidR="00EB19CB" w:rsidRPr="00EB19CB" w14:paraId="2ADA563D" w14:textId="77777777" w:rsidTr="009F1978">
        <w:trPr>
          <w:trHeight w:hRule="exact" w:val="851"/>
        </w:trPr>
        <w:tc>
          <w:tcPr>
            <w:tcW w:w="1084" w:type="dxa"/>
            <w:shd w:val="clear" w:color="auto" w:fill="D9D9D9" w:themeFill="background1" w:themeFillShade="D9"/>
          </w:tcPr>
          <w:p w14:paraId="0649B679" w14:textId="77777777" w:rsidR="001706FD" w:rsidRPr="00EB19CB" w:rsidRDefault="001706FD" w:rsidP="009F1978">
            <w:pPr>
              <w:pStyle w:val="PubliManuscript"/>
              <w:spacing w:before="0" w:after="0" w:line="240" w:lineRule="auto"/>
              <w:ind w:firstLine="0"/>
              <w:jc w:val="center"/>
              <w:rPr>
                <w:i/>
                <w:iCs/>
                <w:color w:val="auto"/>
                <w:sz w:val="20"/>
                <w:szCs w:val="20"/>
              </w:rPr>
            </w:pPr>
          </w:p>
          <w:p w14:paraId="54E9EDBD" w14:textId="77777777" w:rsidR="001706FD" w:rsidRPr="00EB19CB" w:rsidRDefault="001706FD" w:rsidP="009F1978">
            <w:pPr>
              <w:pStyle w:val="PubliManuscript"/>
              <w:spacing w:before="0" w:after="0" w:line="240" w:lineRule="auto"/>
              <w:ind w:firstLine="0"/>
              <w:jc w:val="center"/>
              <w:rPr>
                <w:i/>
                <w:iCs/>
                <w:color w:val="auto"/>
                <w:sz w:val="20"/>
                <w:szCs w:val="20"/>
              </w:rPr>
            </w:pPr>
            <w:r w:rsidRPr="00EB19CB">
              <w:rPr>
                <w:i/>
                <w:iCs/>
                <w:color w:val="auto"/>
                <w:sz w:val="20"/>
                <w:szCs w:val="20"/>
              </w:rPr>
              <w:t>p</w:t>
            </w:r>
            <w:r w:rsidRPr="00EB19CB">
              <w:rPr>
                <w:color w:val="auto"/>
                <w:sz w:val="20"/>
                <w:szCs w:val="20"/>
              </w:rPr>
              <w:t>-value</w:t>
            </w:r>
          </w:p>
        </w:tc>
        <w:tc>
          <w:tcPr>
            <w:tcW w:w="1043" w:type="dxa"/>
          </w:tcPr>
          <w:p w14:paraId="2D5244D4" w14:textId="77777777" w:rsidR="001706FD" w:rsidRPr="00EB19CB" w:rsidRDefault="001706FD" w:rsidP="009F1978">
            <w:pPr>
              <w:pStyle w:val="PubliManuscript"/>
              <w:spacing w:before="0" w:after="0" w:line="240" w:lineRule="auto"/>
              <w:ind w:firstLine="0"/>
              <w:jc w:val="center"/>
              <w:rPr>
                <w:color w:val="auto"/>
                <w:sz w:val="18"/>
                <w:szCs w:val="18"/>
              </w:rPr>
            </w:pPr>
          </w:p>
          <w:p w14:paraId="48273256" w14:textId="77777777" w:rsidR="001706FD" w:rsidRPr="00EB19CB" w:rsidRDefault="001706FD" w:rsidP="009F1978">
            <w:pPr>
              <w:pStyle w:val="PubliManuscript"/>
              <w:spacing w:before="0" w:after="0" w:line="240" w:lineRule="auto"/>
              <w:ind w:firstLine="0"/>
              <w:jc w:val="center"/>
              <w:rPr>
                <w:color w:val="auto"/>
                <w:sz w:val="18"/>
                <w:szCs w:val="18"/>
              </w:rPr>
            </w:pPr>
            <w:r w:rsidRPr="00EB19CB">
              <w:rPr>
                <w:color w:val="auto"/>
                <w:sz w:val="18"/>
                <w:szCs w:val="18"/>
              </w:rPr>
              <w:t>3.5 x 10-</w:t>
            </w:r>
            <w:r w:rsidRPr="00EB19CB">
              <w:rPr>
                <w:color w:val="auto"/>
                <w:sz w:val="18"/>
                <w:szCs w:val="18"/>
                <w:vertAlign w:val="superscript"/>
              </w:rPr>
              <w:t xml:space="preserve">4 </w:t>
            </w:r>
            <w:r w:rsidRPr="00EB19CB">
              <w:rPr>
                <w:color w:val="auto"/>
                <w:sz w:val="18"/>
                <w:szCs w:val="18"/>
              </w:rPr>
              <w:t>(**)</w:t>
            </w:r>
          </w:p>
        </w:tc>
        <w:tc>
          <w:tcPr>
            <w:tcW w:w="1042" w:type="dxa"/>
          </w:tcPr>
          <w:p w14:paraId="22C2E55C" w14:textId="77777777" w:rsidR="001706FD" w:rsidRPr="00EB19CB" w:rsidRDefault="001706FD" w:rsidP="009F1978">
            <w:pPr>
              <w:pStyle w:val="PubliManuscript"/>
              <w:spacing w:before="0" w:after="0" w:line="240" w:lineRule="auto"/>
              <w:ind w:firstLine="0"/>
              <w:jc w:val="center"/>
              <w:rPr>
                <w:color w:val="auto"/>
                <w:sz w:val="18"/>
                <w:szCs w:val="18"/>
              </w:rPr>
            </w:pPr>
          </w:p>
          <w:p w14:paraId="29E5C547" w14:textId="77777777" w:rsidR="001706FD" w:rsidRPr="00EB19CB" w:rsidRDefault="001706FD" w:rsidP="009F1978">
            <w:pPr>
              <w:pStyle w:val="PubliManuscript"/>
              <w:spacing w:before="0" w:after="0" w:line="240" w:lineRule="auto"/>
              <w:ind w:firstLine="0"/>
              <w:jc w:val="center"/>
              <w:rPr>
                <w:color w:val="auto"/>
                <w:sz w:val="18"/>
                <w:szCs w:val="18"/>
              </w:rPr>
            </w:pPr>
            <w:r w:rsidRPr="00EB19CB">
              <w:rPr>
                <w:color w:val="auto"/>
                <w:sz w:val="18"/>
                <w:szCs w:val="18"/>
              </w:rPr>
              <w:t>2.96 x 10</w:t>
            </w:r>
            <w:r w:rsidRPr="00EB19CB">
              <w:rPr>
                <w:color w:val="auto"/>
                <w:sz w:val="18"/>
                <w:szCs w:val="18"/>
                <w:vertAlign w:val="superscript"/>
              </w:rPr>
              <w:t xml:space="preserve">-5 </w:t>
            </w:r>
            <w:r w:rsidRPr="00EB19CB">
              <w:rPr>
                <w:color w:val="auto"/>
                <w:sz w:val="18"/>
                <w:szCs w:val="18"/>
              </w:rPr>
              <w:t xml:space="preserve">(**) </w:t>
            </w:r>
          </w:p>
        </w:tc>
        <w:tc>
          <w:tcPr>
            <w:tcW w:w="1040" w:type="dxa"/>
          </w:tcPr>
          <w:p w14:paraId="6ECDF9E0" w14:textId="77777777" w:rsidR="001706FD" w:rsidRPr="00EB19CB" w:rsidRDefault="001706FD" w:rsidP="009F1978">
            <w:pPr>
              <w:pStyle w:val="PubliManuscript"/>
              <w:spacing w:before="0" w:after="0" w:line="240" w:lineRule="auto"/>
              <w:ind w:firstLine="0"/>
              <w:jc w:val="center"/>
              <w:rPr>
                <w:color w:val="auto"/>
                <w:sz w:val="18"/>
                <w:szCs w:val="18"/>
              </w:rPr>
            </w:pPr>
          </w:p>
          <w:p w14:paraId="6EF7F258" w14:textId="77777777" w:rsidR="001706FD" w:rsidRPr="00EB19CB" w:rsidRDefault="001706FD" w:rsidP="009F1978">
            <w:pPr>
              <w:pStyle w:val="PubliManuscript"/>
              <w:spacing w:before="0" w:after="0" w:line="240" w:lineRule="auto"/>
              <w:ind w:firstLine="0"/>
              <w:jc w:val="center"/>
              <w:rPr>
                <w:color w:val="auto"/>
                <w:sz w:val="18"/>
                <w:szCs w:val="18"/>
              </w:rPr>
            </w:pPr>
            <w:r w:rsidRPr="00EB19CB">
              <w:rPr>
                <w:color w:val="auto"/>
                <w:sz w:val="18"/>
                <w:szCs w:val="18"/>
              </w:rPr>
              <w:t>5.67 x 10</w:t>
            </w:r>
            <w:r w:rsidRPr="00EB19CB">
              <w:rPr>
                <w:color w:val="auto"/>
                <w:sz w:val="18"/>
                <w:szCs w:val="18"/>
                <w:vertAlign w:val="superscript"/>
              </w:rPr>
              <w:t xml:space="preserve">-5 </w:t>
            </w:r>
            <w:r w:rsidRPr="00EB19CB">
              <w:rPr>
                <w:color w:val="auto"/>
                <w:sz w:val="18"/>
                <w:szCs w:val="18"/>
              </w:rPr>
              <w:t>(**)</w:t>
            </w:r>
          </w:p>
        </w:tc>
        <w:tc>
          <w:tcPr>
            <w:tcW w:w="1041" w:type="dxa"/>
          </w:tcPr>
          <w:p w14:paraId="3919106E" w14:textId="77777777" w:rsidR="001706FD" w:rsidRPr="00EB19CB" w:rsidRDefault="001706FD" w:rsidP="009F1978">
            <w:pPr>
              <w:pStyle w:val="PubliManuscript"/>
              <w:spacing w:before="0" w:after="0" w:line="240" w:lineRule="auto"/>
              <w:ind w:firstLine="0"/>
              <w:jc w:val="center"/>
              <w:rPr>
                <w:color w:val="auto"/>
                <w:sz w:val="18"/>
                <w:szCs w:val="18"/>
              </w:rPr>
            </w:pPr>
          </w:p>
          <w:p w14:paraId="11982C8C" w14:textId="77777777" w:rsidR="001706FD" w:rsidRPr="00EB19CB" w:rsidRDefault="001706FD" w:rsidP="009F1978">
            <w:pPr>
              <w:pStyle w:val="PubliManuscript"/>
              <w:spacing w:before="0" w:after="0" w:line="240" w:lineRule="auto"/>
              <w:ind w:firstLine="0"/>
              <w:jc w:val="center"/>
              <w:rPr>
                <w:color w:val="auto"/>
                <w:sz w:val="18"/>
                <w:szCs w:val="18"/>
              </w:rPr>
            </w:pPr>
            <w:r w:rsidRPr="00EB19CB">
              <w:rPr>
                <w:color w:val="auto"/>
                <w:sz w:val="18"/>
                <w:szCs w:val="18"/>
              </w:rPr>
              <w:t>0.08</w:t>
            </w:r>
          </w:p>
          <w:p w14:paraId="15F1AF82" w14:textId="77777777" w:rsidR="001706FD" w:rsidRPr="00EB19CB" w:rsidRDefault="001706FD" w:rsidP="009F1978">
            <w:pPr>
              <w:pStyle w:val="PubliManuscript"/>
              <w:spacing w:before="0" w:after="0" w:line="240" w:lineRule="auto"/>
              <w:ind w:firstLine="0"/>
              <w:jc w:val="center"/>
              <w:rPr>
                <w:color w:val="auto"/>
                <w:sz w:val="18"/>
                <w:szCs w:val="18"/>
              </w:rPr>
            </w:pPr>
            <w:r w:rsidRPr="00EB19CB">
              <w:rPr>
                <w:color w:val="auto"/>
                <w:sz w:val="18"/>
                <w:szCs w:val="18"/>
              </w:rPr>
              <w:t>(*)</w:t>
            </w:r>
          </w:p>
        </w:tc>
        <w:tc>
          <w:tcPr>
            <w:tcW w:w="1043" w:type="dxa"/>
          </w:tcPr>
          <w:p w14:paraId="73E6CDFD" w14:textId="77777777" w:rsidR="001706FD" w:rsidRPr="00EB19CB" w:rsidRDefault="001706FD" w:rsidP="009F1978">
            <w:pPr>
              <w:pStyle w:val="PubliManuscript"/>
              <w:spacing w:before="0" w:after="0" w:line="240" w:lineRule="auto"/>
              <w:ind w:firstLine="0"/>
              <w:jc w:val="center"/>
              <w:rPr>
                <w:color w:val="auto"/>
                <w:sz w:val="18"/>
                <w:szCs w:val="18"/>
              </w:rPr>
            </w:pPr>
          </w:p>
          <w:p w14:paraId="787952DA" w14:textId="77777777" w:rsidR="001706FD" w:rsidRPr="00EB19CB" w:rsidRDefault="001706FD" w:rsidP="009F1978">
            <w:pPr>
              <w:pStyle w:val="PubliManuscript"/>
              <w:spacing w:before="0" w:after="0" w:line="240" w:lineRule="auto"/>
              <w:ind w:firstLine="0"/>
              <w:jc w:val="center"/>
              <w:rPr>
                <w:color w:val="auto"/>
                <w:sz w:val="18"/>
                <w:szCs w:val="18"/>
              </w:rPr>
            </w:pPr>
            <w:r w:rsidRPr="00EB19CB">
              <w:rPr>
                <w:color w:val="auto"/>
                <w:sz w:val="18"/>
                <w:szCs w:val="18"/>
              </w:rPr>
              <w:t>0.01</w:t>
            </w:r>
          </w:p>
          <w:p w14:paraId="616C5D6B" w14:textId="77777777" w:rsidR="001706FD" w:rsidRPr="00EB19CB" w:rsidRDefault="001706FD" w:rsidP="009F1978">
            <w:pPr>
              <w:pStyle w:val="PubliManuscript"/>
              <w:spacing w:before="0" w:after="0" w:line="240" w:lineRule="auto"/>
              <w:ind w:firstLine="0"/>
              <w:jc w:val="center"/>
              <w:rPr>
                <w:color w:val="auto"/>
                <w:sz w:val="18"/>
                <w:szCs w:val="18"/>
              </w:rPr>
            </w:pPr>
            <w:r w:rsidRPr="00EB19CB">
              <w:rPr>
                <w:color w:val="auto"/>
                <w:sz w:val="18"/>
                <w:szCs w:val="18"/>
              </w:rPr>
              <w:t>(**)</w:t>
            </w:r>
          </w:p>
        </w:tc>
        <w:tc>
          <w:tcPr>
            <w:tcW w:w="1043" w:type="dxa"/>
          </w:tcPr>
          <w:p w14:paraId="1548C530" w14:textId="77777777" w:rsidR="001706FD" w:rsidRPr="00EB19CB" w:rsidRDefault="001706FD" w:rsidP="009F1978">
            <w:pPr>
              <w:pStyle w:val="PubliManuscript"/>
              <w:spacing w:before="0" w:after="0" w:line="240" w:lineRule="auto"/>
              <w:ind w:firstLine="0"/>
              <w:jc w:val="center"/>
              <w:rPr>
                <w:color w:val="auto"/>
                <w:sz w:val="18"/>
                <w:szCs w:val="18"/>
              </w:rPr>
            </w:pPr>
          </w:p>
          <w:p w14:paraId="23C18AD2" w14:textId="77777777" w:rsidR="001706FD" w:rsidRPr="00EB19CB" w:rsidRDefault="001706FD" w:rsidP="009F1978">
            <w:pPr>
              <w:pStyle w:val="PubliManuscript"/>
              <w:spacing w:before="0" w:after="0" w:line="240" w:lineRule="auto"/>
              <w:ind w:firstLine="0"/>
              <w:jc w:val="center"/>
              <w:rPr>
                <w:color w:val="auto"/>
                <w:sz w:val="18"/>
                <w:szCs w:val="18"/>
              </w:rPr>
            </w:pPr>
            <w:r w:rsidRPr="00EB19CB">
              <w:rPr>
                <w:color w:val="auto"/>
                <w:sz w:val="18"/>
                <w:szCs w:val="18"/>
              </w:rPr>
              <w:t>1.23 x 10</w:t>
            </w:r>
            <w:r w:rsidRPr="00EB19CB">
              <w:rPr>
                <w:color w:val="auto"/>
                <w:sz w:val="18"/>
                <w:szCs w:val="18"/>
                <w:vertAlign w:val="superscript"/>
              </w:rPr>
              <w:t xml:space="preserve">-3 </w:t>
            </w:r>
            <w:r w:rsidRPr="00EB19CB">
              <w:rPr>
                <w:color w:val="auto"/>
                <w:sz w:val="18"/>
                <w:szCs w:val="18"/>
              </w:rPr>
              <w:t>(**)</w:t>
            </w:r>
          </w:p>
        </w:tc>
        <w:tc>
          <w:tcPr>
            <w:tcW w:w="1042" w:type="dxa"/>
          </w:tcPr>
          <w:p w14:paraId="52F75F99" w14:textId="77777777" w:rsidR="001706FD" w:rsidRPr="00EB19CB" w:rsidRDefault="001706FD" w:rsidP="009F1978">
            <w:pPr>
              <w:pStyle w:val="PubliManuscript"/>
              <w:spacing w:before="0" w:after="0" w:line="240" w:lineRule="auto"/>
              <w:ind w:firstLine="0"/>
              <w:jc w:val="center"/>
              <w:rPr>
                <w:color w:val="auto"/>
                <w:sz w:val="18"/>
                <w:szCs w:val="18"/>
              </w:rPr>
            </w:pPr>
          </w:p>
          <w:p w14:paraId="771B4B18" w14:textId="77777777" w:rsidR="001706FD" w:rsidRPr="00EB19CB" w:rsidRDefault="001706FD" w:rsidP="009F1978">
            <w:pPr>
              <w:pStyle w:val="PubliManuscript"/>
              <w:spacing w:before="0" w:after="0" w:line="240" w:lineRule="auto"/>
              <w:ind w:firstLine="0"/>
              <w:jc w:val="center"/>
              <w:rPr>
                <w:color w:val="auto"/>
                <w:sz w:val="18"/>
                <w:szCs w:val="18"/>
              </w:rPr>
            </w:pPr>
            <w:r w:rsidRPr="00EB19CB">
              <w:rPr>
                <w:color w:val="auto"/>
                <w:sz w:val="18"/>
                <w:szCs w:val="18"/>
              </w:rPr>
              <w:t>0.07</w:t>
            </w:r>
          </w:p>
          <w:p w14:paraId="6D1CC1BD" w14:textId="77777777" w:rsidR="001706FD" w:rsidRPr="00EB19CB" w:rsidRDefault="001706FD" w:rsidP="009F1978">
            <w:pPr>
              <w:pStyle w:val="PubliManuscript"/>
              <w:spacing w:before="0" w:after="0" w:line="240" w:lineRule="auto"/>
              <w:ind w:firstLine="0"/>
              <w:jc w:val="center"/>
              <w:rPr>
                <w:color w:val="auto"/>
                <w:sz w:val="18"/>
                <w:szCs w:val="18"/>
              </w:rPr>
            </w:pPr>
            <w:r w:rsidRPr="00EB19CB">
              <w:rPr>
                <w:color w:val="auto"/>
                <w:sz w:val="18"/>
                <w:szCs w:val="18"/>
              </w:rPr>
              <w:t>(*)</w:t>
            </w:r>
          </w:p>
        </w:tc>
        <w:tc>
          <w:tcPr>
            <w:tcW w:w="1041" w:type="dxa"/>
          </w:tcPr>
          <w:p w14:paraId="034170C4" w14:textId="77777777" w:rsidR="001706FD" w:rsidRPr="00EB19CB" w:rsidRDefault="001706FD" w:rsidP="009F1978">
            <w:pPr>
              <w:pStyle w:val="PubliManuscript"/>
              <w:spacing w:before="0" w:after="0" w:line="240" w:lineRule="auto"/>
              <w:ind w:firstLine="0"/>
              <w:jc w:val="center"/>
              <w:rPr>
                <w:color w:val="auto"/>
                <w:sz w:val="18"/>
                <w:szCs w:val="18"/>
              </w:rPr>
            </w:pPr>
          </w:p>
          <w:p w14:paraId="008FC17C" w14:textId="77777777" w:rsidR="001706FD" w:rsidRPr="00EB19CB" w:rsidRDefault="001706FD" w:rsidP="009F1978">
            <w:pPr>
              <w:pStyle w:val="PubliManuscript"/>
              <w:spacing w:before="0" w:after="0" w:line="240" w:lineRule="auto"/>
              <w:ind w:firstLine="0"/>
              <w:jc w:val="center"/>
              <w:rPr>
                <w:color w:val="auto"/>
                <w:sz w:val="18"/>
                <w:szCs w:val="18"/>
              </w:rPr>
            </w:pPr>
            <w:r w:rsidRPr="00EB19CB">
              <w:rPr>
                <w:color w:val="auto"/>
                <w:sz w:val="18"/>
                <w:szCs w:val="18"/>
              </w:rPr>
              <w:t>0.035</w:t>
            </w:r>
          </w:p>
          <w:p w14:paraId="25FE60F5" w14:textId="77777777" w:rsidR="001706FD" w:rsidRPr="00EB19CB" w:rsidRDefault="001706FD" w:rsidP="009F1978">
            <w:pPr>
              <w:pStyle w:val="PubliManuscript"/>
              <w:spacing w:before="0" w:after="0" w:line="240" w:lineRule="auto"/>
              <w:ind w:firstLine="0"/>
              <w:jc w:val="center"/>
              <w:rPr>
                <w:color w:val="auto"/>
                <w:sz w:val="18"/>
                <w:szCs w:val="18"/>
              </w:rPr>
            </w:pPr>
            <w:r w:rsidRPr="00EB19CB">
              <w:rPr>
                <w:color w:val="auto"/>
                <w:sz w:val="18"/>
                <w:szCs w:val="18"/>
              </w:rPr>
              <w:t>(**)</w:t>
            </w:r>
          </w:p>
        </w:tc>
      </w:tr>
      <w:tr w:rsidR="00EB19CB" w:rsidRPr="00EB19CB" w14:paraId="3CCCE577" w14:textId="77777777" w:rsidTr="009F1978">
        <w:trPr>
          <w:trHeight w:hRule="exact" w:val="851"/>
        </w:trPr>
        <w:tc>
          <w:tcPr>
            <w:tcW w:w="1084" w:type="dxa"/>
            <w:shd w:val="clear" w:color="auto" w:fill="D9D9D9" w:themeFill="background1" w:themeFillShade="D9"/>
          </w:tcPr>
          <w:p w14:paraId="152B348C" w14:textId="77777777" w:rsidR="001706FD" w:rsidRPr="00EB19CB" w:rsidRDefault="001706FD" w:rsidP="009F1978">
            <w:pPr>
              <w:pStyle w:val="PubliManuscript"/>
              <w:spacing w:before="0" w:after="0" w:line="240" w:lineRule="auto"/>
              <w:ind w:firstLine="0"/>
              <w:jc w:val="center"/>
              <w:rPr>
                <w:i/>
                <w:iCs/>
                <w:color w:val="auto"/>
                <w:sz w:val="20"/>
                <w:szCs w:val="20"/>
              </w:rPr>
            </w:pPr>
          </w:p>
          <w:p w14:paraId="358B9A8A"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Pearson correlation</w:t>
            </w:r>
          </w:p>
        </w:tc>
        <w:tc>
          <w:tcPr>
            <w:tcW w:w="1043" w:type="dxa"/>
          </w:tcPr>
          <w:p w14:paraId="47B480C1" w14:textId="77777777" w:rsidR="001706FD" w:rsidRPr="00EB19CB" w:rsidRDefault="001706FD" w:rsidP="009F1978">
            <w:pPr>
              <w:pStyle w:val="PubliManuscript"/>
              <w:spacing w:before="0" w:after="0" w:line="240" w:lineRule="auto"/>
              <w:ind w:firstLine="0"/>
              <w:jc w:val="center"/>
              <w:rPr>
                <w:color w:val="auto"/>
                <w:sz w:val="18"/>
                <w:szCs w:val="18"/>
              </w:rPr>
            </w:pPr>
          </w:p>
          <w:p w14:paraId="72BC3B62" w14:textId="77777777" w:rsidR="001706FD" w:rsidRPr="00EB19CB" w:rsidRDefault="001706FD" w:rsidP="009F1978">
            <w:pPr>
              <w:pStyle w:val="PubliManuscript"/>
              <w:spacing w:before="0" w:after="0" w:line="240" w:lineRule="auto"/>
              <w:ind w:firstLine="0"/>
              <w:jc w:val="center"/>
              <w:rPr>
                <w:color w:val="auto"/>
                <w:sz w:val="18"/>
                <w:szCs w:val="18"/>
              </w:rPr>
            </w:pPr>
            <w:r w:rsidRPr="00EB19CB">
              <w:rPr>
                <w:color w:val="auto"/>
                <w:sz w:val="18"/>
                <w:szCs w:val="18"/>
              </w:rPr>
              <w:t>0.41</w:t>
            </w:r>
          </w:p>
        </w:tc>
        <w:tc>
          <w:tcPr>
            <w:tcW w:w="1042" w:type="dxa"/>
          </w:tcPr>
          <w:p w14:paraId="3A3F258C" w14:textId="77777777" w:rsidR="001706FD" w:rsidRPr="00EB19CB" w:rsidRDefault="001706FD" w:rsidP="009F1978">
            <w:pPr>
              <w:pStyle w:val="PubliManuscript"/>
              <w:spacing w:before="0" w:after="0" w:line="240" w:lineRule="auto"/>
              <w:ind w:firstLine="0"/>
              <w:jc w:val="center"/>
              <w:rPr>
                <w:color w:val="auto"/>
                <w:sz w:val="18"/>
                <w:szCs w:val="18"/>
              </w:rPr>
            </w:pPr>
          </w:p>
          <w:p w14:paraId="23904AF2" w14:textId="77777777" w:rsidR="001706FD" w:rsidRPr="00EB19CB" w:rsidRDefault="001706FD" w:rsidP="009F1978">
            <w:pPr>
              <w:pStyle w:val="PubliManuscript"/>
              <w:spacing w:before="0" w:after="0" w:line="240" w:lineRule="auto"/>
              <w:ind w:firstLine="0"/>
              <w:jc w:val="center"/>
              <w:rPr>
                <w:color w:val="auto"/>
                <w:sz w:val="18"/>
                <w:szCs w:val="18"/>
              </w:rPr>
            </w:pPr>
            <w:r w:rsidRPr="00EB19CB">
              <w:rPr>
                <w:color w:val="auto"/>
                <w:sz w:val="18"/>
                <w:szCs w:val="18"/>
              </w:rPr>
              <w:t>0.47</w:t>
            </w:r>
          </w:p>
        </w:tc>
        <w:tc>
          <w:tcPr>
            <w:tcW w:w="1040" w:type="dxa"/>
          </w:tcPr>
          <w:p w14:paraId="7197ECA5" w14:textId="77777777" w:rsidR="001706FD" w:rsidRPr="00EB19CB" w:rsidRDefault="001706FD" w:rsidP="009F1978">
            <w:pPr>
              <w:pStyle w:val="PubliManuscript"/>
              <w:spacing w:before="0" w:after="0" w:line="240" w:lineRule="auto"/>
              <w:ind w:firstLine="0"/>
              <w:jc w:val="center"/>
              <w:rPr>
                <w:color w:val="auto"/>
                <w:sz w:val="18"/>
                <w:szCs w:val="18"/>
              </w:rPr>
            </w:pPr>
          </w:p>
          <w:p w14:paraId="6C5E61C3" w14:textId="77777777" w:rsidR="001706FD" w:rsidRPr="00EB19CB" w:rsidRDefault="001706FD" w:rsidP="009F1978">
            <w:pPr>
              <w:pStyle w:val="PubliManuscript"/>
              <w:spacing w:before="0" w:after="0" w:line="240" w:lineRule="auto"/>
              <w:ind w:firstLine="0"/>
              <w:jc w:val="center"/>
              <w:rPr>
                <w:color w:val="auto"/>
                <w:sz w:val="18"/>
                <w:szCs w:val="18"/>
              </w:rPr>
            </w:pPr>
            <w:r w:rsidRPr="00EB19CB">
              <w:rPr>
                <w:color w:val="auto"/>
                <w:sz w:val="18"/>
                <w:szCs w:val="18"/>
              </w:rPr>
              <w:t>0.46</w:t>
            </w:r>
          </w:p>
        </w:tc>
        <w:tc>
          <w:tcPr>
            <w:tcW w:w="1041" w:type="dxa"/>
          </w:tcPr>
          <w:p w14:paraId="7BD95E5D" w14:textId="77777777" w:rsidR="001706FD" w:rsidRPr="00EB19CB" w:rsidRDefault="001706FD" w:rsidP="009F1978">
            <w:pPr>
              <w:pStyle w:val="PubliManuscript"/>
              <w:spacing w:before="0" w:after="0" w:line="240" w:lineRule="auto"/>
              <w:ind w:firstLine="0"/>
              <w:jc w:val="center"/>
              <w:rPr>
                <w:color w:val="auto"/>
                <w:sz w:val="18"/>
                <w:szCs w:val="18"/>
              </w:rPr>
            </w:pPr>
          </w:p>
          <w:p w14:paraId="5D05FE9C" w14:textId="77777777" w:rsidR="001706FD" w:rsidRPr="00EB19CB" w:rsidRDefault="001706FD" w:rsidP="009F1978">
            <w:pPr>
              <w:pStyle w:val="PubliManuscript"/>
              <w:spacing w:before="0" w:after="0" w:line="240" w:lineRule="auto"/>
              <w:ind w:firstLine="0"/>
              <w:jc w:val="center"/>
              <w:rPr>
                <w:color w:val="auto"/>
                <w:sz w:val="18"/>
                <w:szCs w:val="18"/>
              </w:rPr>
            </w:pPr>
            <w:r w:rsidRPr="00EB19CB">
              <w:rPr>
                <w:color w:val="auto"/>
                <w:sz w:val="18"/>
                <w:szCs w:val="18"/>
              </w:rPr>
              <w:t>0.31</w:t>
            </w:r>
          </w:p>
        </w:tc>
        <w:tc>
          <w:tcPr>
            <w:tcW w:w="1043" w:type="dxa"/>
          </w:tcPr>
          <w:p w14:paraId="4A058502" w14:textId="77777777" w:rsidR="001706FD" w:rsidRPr="00EB19CB" w:rsidRDefault="001706FD" w:rsidP="009F1978">
            <w:pPr>
              <w:pStyle w:val="PubliManuscript"/>
              <w:spacing w:before="0" w:after="0" w:line="240" w:lineRule="auto"/>
              <w:ind w:firstLine="0"/>
              <w:jc w:val="center"/>
              <w:rPr>
                <w:color w:val="auto"/>
                <w:sz w:val="18"/>
                <w:szCs w:val="18"/>
              </w:rPr>
            </w:pPr>
          </w:p>
          <w:p w14:paraId="50CC6B80" w14:textId="77777777" w:rsidR="001706FD" w:rsidRPr="00EB19CB" w:rsidRDefault="001706FD" w:rsidP="009F1978">
            <w:pPr>
              <w:pStyle w:val="PubliManuscript"/>
              <w:spacing w:before="0" w:after="0" w:line="240" w:lineRule="auto"/>
              <w:ind w:firstLine="0"/>
              <w:jc w:val="center"/>
              <w:rPr>
                <w:color w:val="auto"/>
                <w:sz w:val="18"/>
                <w:szCs w:val="18"/>
              </w:rPr>
            </w:pPr>
            <w:r w:rsidRPr="00EB19CB">
              <w:rPr>
                <w:color w:val="auto"/>
                <w:sz w:val="18"/>
                <w:szCs w:val="18"/>
              </w:rPr>
              <w:t>-0.31</w:t>
            </w:r>
          </w:p>
        </w:tc>
        <w:tc>
          <w:tcPr>
            <w:tcW w:w="1043" w:type="dxa"/>
          </w:tcPr>
          <w:p w14:paraId="4D44FC2B" w14:textId="77777777" w:rsidR="001706FD" w:rsidRPr="00EB19CB" w:rsidRDefault="001706FD" w:rsidP="009F1978">
            <w:pPr>
              <w:pStyle w:val="PubliManuscript"/>
              <w:spacing w:before="0" w:after="0" w:line="240" w:lineRule="auto"/>
              <w:ind w:firstLine="0"/>
              <w:jc w:val="center"/>
              <w:rPr>
                <w:color w:val="auto"/>
                <w:sz w:val="18"/>
                <w:szCs w:val="18"/>
              </w:rPr>
            </w:pPr>
          </w:p>
          <w:p w14:paraId="6A8AE253" w14:textId="77777777" w:rsidR="001706FD" w:rsidRPr="00EB19CB" w:rsidRDefault="001706FD" w:rsidP="009F1978">
            <w:pPr>
              <w:pStyle w:val="PubliManuscript"/>
              <w:spacing w:before="0" w:after="0" w:line="240" w:lineRule="auto"/>
              <w:ind w:firstLine="0"/>
              <w:jc w:val="center"/>
              <w:rPr>
                <w:color w:val="auto"/>
                <w:sz w:val="18"/>
                <w:szCs w:val="18"/>
              </w:rPr>
            </w:pPr>
            <w:r w:rsidRPr="00EB19CB">
              <w:rPr>
                <w:color w:val="auto"/>
                <w:sz w:val="18"/>
                <w:szCs w:val="18"/>
              </w:rPr>
              <w:t>-0.39</w:t>
            </w:r>
          </w:p>
        </w:tc>
        <w:tc>
          <w:tcPr>
            <w:tcW w:w="1042" w:type="dxa"/>
          </w:tcPr>
          <w:p w14:paraId="6D1968C9" w14:textId="77777777" w:rsidR="001706FD" w:rsidRPr="00EB19CB" w:rsidRDefault="001706FD" w:rsidP="009F1978">
            <w:pPr>
              <w:pStyle w:val="PubliManuscript"/>
              <w:spacing w:before="0" w:after="0" w:line="240" w:lineRule="auto"/>
              <w:ind w:firstLine="0"/>
              <w:jc w:val="center"/>
              <w:rPr>
                <w:color w:val="auto"/>
                <w:sz w:val="18"/>
                <w:szCs w:val="18"/>
              </w:rPr>
            </w:pPr>
          </w:p>
          <w:p w14:paraId="02D5D0AC" w14:textId="77777777" w:rsidR="001706FD" w:rsidRPr="00EB19CB" w:rsidRDefault="001706FD" w:rsidP="009F1978">
            <w:pPr>
              <w:pStyle w:val="PubliManuscript"/>
              <w:spacing w:before="0" w:after="0" w:line="240" w:lineRule="auto"/>
              <w:ind w:firstLine="0"/>
              <w:jc w:val="center"/>
              <w:rPr>
                <w:color w:val="auto"/>
                <w:sz w:val="18"/>
                <w:szCs w:val="18"/>
              </w:rPr>
            </w:pPr>
            <w:r w:rsidRPr="00EB19CB">
              <w:rPr>
                <w:color w:val="auto"/>
                <w:sz w:val="18"/>
                <w:szCs w:val="18"/>
              </w:rPr>
              <w:t>0.16</w:t>
            </w:r>
          </w:p>
        </w:tc>
        <w:tc>
          <w:tcPr>
            <w:tcW w:w="1041" w:type="dxa"/>
          </w:tcPr>
          <w:p w14:paraId="5FB30E74" w14:textId="77777777" w:rsidR="001706FD" w:rsidRPr="00EB19CB" w:rsidRDefault="001706FD" w:rsidP="009F1978">
            <w:pPr>
              <w:pStyle w:val="PubliManuscript"/>
              <w:spacing w:before="0" w:after="0" w:line="240" w:lineRule="auto"/>
              <w:ind w:firstLine="0"/>
              <w:jc w:val="center"/>
              <w:rPr>
                <w:color w:val="auto"/>
                <w:sz w:val="18"/>
                <w:szCs w:val="18"/>
              </w:rPr>
            </w:pPr>
          </w:p>
          <w:p w14:paraId="733E6C47" w14:textId="77777777" w:rsidR="001706FD" w:rsidRPr="00EB19CB" w:rsidRDefault="001706FD" w:rsidP="009F1978">
            <w:pPr>
              <w:pStyle w:val="PubliManuscript"/>
              <w:spacing w:before="0" w:after="0" w:line="240" w:lineRule="auto"/>
              <w:ind w:firstLine="0"/>
              <w:jc w:val="center"/>
              <w:rPr>
                <w:color w:val="auto"/>
                <w:sz w:val="18"/>
                <w:szCs w:val="18"/>
              </w:rPr>
            </w:pPr>
            <w:r w:rsidRPr="00EB19CB">
              <w:rPr>
                <w:color w:val="auto"/>
                <w:sz w:val="18"/>
                <w:szCs w:val="18"/>
              </w:rPr>
              <w:t>0.18</w:t>
            </w:r>
          </w:p>
        </w:tc>
      </w:tr>
      <w:tr w:rsidR="00EB19CB" w:rsidRPr="00EB19CB" w14:paraId="191CB263" w14:textId="77777777" w:rsidTr="009F1978">
        <w:trPr>
          <w:trHeight w:hRule="exact" w:val="851"/>
        </w:trPr>
        <w:tc>
          <w:tcPr>
            <w:tcW w:w="9419" w:type="dxa"/>
            <w:gridSpan w:val="9"/>
            <w:shd w:val="clear" w:color="auto" w:fill="D9D9D9" w:themeFill="background1" w:themeFillShade="D9"/>
          </w:tcPr>
          <w:p w14:paraId="1B8BE1DF" w14:textId="77777777" w:rsidR="001706FD" w:rsidRPr="00EB19CB" w:rsidRDefault="001706FD" w:rsidP="009F1978">
            <w:pPr>
              <w:pStyle w:val="PubliManuscript"/>
              <w:spacing w:before="0" w:after="0" w:line="240" w:lineRule="auto"/>
              <w:ind w:firstLine="0"/>
              <w:jc w:val="center"/>
              <w:rPr>
                <w:color w:val="auto"/>
                <w:sz w:val="20"/>
                <w:szCs w:val="20"/>
              </w:rPr>
            </w:pPr>
          </w:p>
          <w:p w14:paraId="6064E11B" w14:textId="77777777" w:rsidR="001706FD" w:rsidRPr="00EB19CB" w:rsidRDefault="001706FD" w:rsidP="009F1978">
            <w:pPr>
              <w:pStyle w:val="PubliManuscript"/>
              <w:spacing w:before="0" w:after="0" w:line="240" w:lineRule="auto"/>
              <w:ind w:firstLine="0"/>
              <w:jc w:val="center"/>
              <w:rPr>
                <w:b/>
                <w:bCs/>
                <w:color w:val="auto"/>
                <w:sz w:val="18"/>
                <w:szCs w:val="18"/>
              </w:rPr>
            </w:pPr>
            <w:r w:rsidRPr="00EB19CB">
              <w:rPr>
                <w:b/>
                <w:bCs/>
                <w:color w:val="auto"/>
                <w:sz w:val="20"/>
                <w:szCs w:val="20"/>
              </w:rPr>
              <w:t>Average water/ NH</w:t>
            </w:r>
            <w:r w:rsidRPr="00EB19CB">
              <w:rPr>
                <w:b/>
                <w:bCs/>
                <w:color w:val="auto"/>
                <w:sz w:val="20"/>
                <w:szCs w:val="20"/>
                <w:vertAlign w:val="subscript"/>
              </w:rPr>
              <w:t>4</w:t>
            </w:r>
            <w:r w:rsidRPr="00EB19CB">
              <w:rPr>
                <w:b/>
                <w:bCs/>
                <w:color w:val="auto"/>
                <w:sz w:val="20"/>
                <w:szCs w:val="20"/>
                <w:vertAlign w:val="superscript"/>
              </w:rPr>
              <w:t>+</w:t>
            </w:r>
            <w:r w:rsidRPr="00EB19CB">
              <w:rPr>
                <w:b/>
                <w:bCs/>
                <w:color w:val="auto"/>
                <w:sz w:val="20"/>
                <w:szCs w:val="20"/>
              </w:rPr>
              <w:t>/ NO</w:t>
            </w:r>
            <w:r w:rsidRPr="00EB19CB">
              <w:rPr>
                <w:b/>
                <w:bCs/>
                <w:color w:val="auto"/>
                <w:sz w:val="20"/>
                <w:szCs w:val="20"/>
                <w:vertAlign w:val="subscript"/>
              </w:rPr>
              <w:t>3</w:t>
            </w:r>
            <w:r w:rsidRPr="00EB19CB">
              <w:rPr>
                <w:b/>
                <w:bCs/>
                <w:color w:val="auto"/>
                <w:sz w:val="20"/>
                <w:szCs w:val="20"/>
                <w:vertAlign w:val="superscript"/>
              </w:rPr>
              <w:t>-</w:t>
            </w:r>
            <w:r w:rsidRPr="00EB19CB">
              <w:rPr>
                <w:b/>
                <w:bCs/>
                <w:color w:val="auto"/>
                <w:sz w:val="20"/>
                <w:szCs w:val="20"/>
              </w:rPr>
              <w:t xml:space="preserve"> contents for each treatment</w:t>
            </w:r>
          </w:p>
        </w:tc>
      </w:tr>
      <w:tr w:rsidR="00EB19CB" w:rsidRPr="00EB19CB" w14:paraId="551CF4D0" w14:textId="77777777" w:rsidTr="009F1978">
        <w:trPr>
          <w:trHeight w:hRule="exact" w:val="850"/>
        </w:trPr>
        <w:tc>
          <w:tcPr>
            <w:tcW w:w="1084" w:type="dxa"/>
            <w:shd w:val="clear" w:color="auto" w:fill="D9D9D9" w:themeFill="background1" w:themeFillShade="D9"/>
          </w:tcPr>
          <w:p w14:paraId="7CF430D1" w14:textId="77777777" w:rsidR="001706FD" w:rsidRPr="00EB19CB" w:rsidRDefault="001706FD" w:rsidP="009F1978">
            <w:pPr>
              <w:pStyle w:val="PubliManuscript"/>
              <w:spacing w:before="0" w:after="0" w:line="240" w:lineRule="auto"/>
              <w:ind w:firstLine="0"/>
              <w:jc w:val="center"/>
              <w:rPr>
                <w:i/>
                <w:iCs/>
                <w:color w:val="auto"/>
                <w:sz w:val="20"/>
                <w:szCs w:val="20"/>
              </w:rPr>
            </w:pPr>
          </w:p>
          <w:p w14:paraId="3F01AC40"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i/>
                <w:iCs/>
                <w:color w:val="auto"/>
                <w:sz w:val="20"/>
                <w:szCs w:val="20"/>
              </w:rPr>
              <w:t>p</w:t>
            </w:r>
            <w:r w:rsidRPr="00EB19CB">
              <w:rPr>
                <w:color w:val="auto"/>
                <w:sz w:val="20"/>
                <w:szCs w:val="20"/>
              </w:rPr>
              <w:t>-value</w:t>
            </w:r>
          </w:p>
          <w:p w14:paraId="3E39E380"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CT-RT</w:t>
            </w:r>
          </w:p>
        </w:tc>
        <w:tc>
          <w:tcPr>
            <w:tcW w:w="1043" w:type="dxa"/>
          </w:tcPr>
          <w:p w14:paraId="4DD96D95" w14:textId="77777777" w:rsidR="001706FD" w:rsidRPr="00EB19CB" w:rsidRDefault="001706FD" w:rsidP="009F1978">
            <w:pPr>
              <w:pStyle w:val="PubliManuscript"/>
              <w:spacing w:before="0" w:after="0" w:line="240" w:lineRule="auto"/>
              <w:ind w:firstLine="0"/>
              <w:jc w:val="center"/>
              <w:rPr>
                <w:color w:val="auto"/>
                <w:sz w:val="18"/>
                <w:szCs w:val="18"/>
              </w:rPr>
            </w:pPr>
          </w:p>
          <w:p w14:paraId="294DBCEE"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18"/>
                <w:szCs w:val="18"/>
              </w:rPr>
              <w:t>9.2 x 10</w:t>
            </w:r>
            <w:r w:rsidRPr="00EB19CB">
              <w:rPr>
                <w:color w:val="auto"/>
                <w:sz w:val="18"/>
                <w:szCs w:val="18"/>
                <w:vertAlign w:val="superscript"/>
              </w:rPr>
              <w:t xml:space="preserve">-10 </w:t>
            </w:r>
            <w:r w:rsidRPr="00EB19CB">
              <w:rPr>
                <w:color w:val="auto"/>
                <w:sz w:val="18"/>
                <w:szCs w:val="18"/>
              </w:rPr>
              <w:t>(**)</w:t>
            </w:r>
          </w:p>
        </w:tc>
        <w:tc>
          <w:tcPr>
            <w:tcW w:w="1042" w:type="dxa"/>
          </w:tcPr>
          <w:p w14:paraId="2655BB19" w14:textId="77777777" w:rsidR="001706FD" w:rsidRPr="00EB19CB" w:rsidRDefault="001706FD" w:rsidP="009F1978">
            <w:pPr>
              <w:pStyle w:val="PubliManuscript"/>
              <w:spacing w:before="0" w:after="0" w:line="240" w:lineRule="auto"/>
              <w:ind w:firstLine="0"/>
              <w:jc w:val="center"/>
              <w:rPr>
                <w:color w:val="auto"/>
                <w:sz w:val="18"/>
                <w:szCs w:val="18"/>
              </w:rPr>
            </w:pPr>
          </w:p>
          <w:p w14:paraId="41F7703E"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0.76</w:t>
            </w:r>
          </w:p>
        </w:tc>
        <w:tc>
          <w:tcPr>
            <w:tcW w:w="1040" w:type="dxa"/>
          </w:tcPr>
          <w:p w14:paraId="4C99E346" w14:textId="77777777" w:rsidR="001706FD" w:rsidRPr="00EB19CB" w:rsidRDefault="001706FD" w:rsidP="009F1978">
            <w:pPr>
              <w:pStyle w:val="PubliManuscript"/>
              <w:spacing w:before="0" w:after="0" w:line="240" w:lineRule="auto"/>
              <w:ind w:firstLine="0"/>
              <w:jc w:val="center"/>
              <w:rPr>
                <w:color w:val="auto"/>
                <w:sz w:val="18"/>
                <w:szCs w:val="18"/>
              </w:rPr>
            </w:pPr>
          </w:p>
          <w:p w14:paraId="46B0CBB9" w14:textId="77777777" w:rsidR="001706FD" w:rsidRPr="00EB19CB" w:rsidRDefault="001706FD" w:rsidP="009F1978">
            <w:pPr>
              <w:pStyle w:val="PubliManuscript"/>
              <w:spacing w:before="0" w:after="0" w:line="240" w:lineRule="auto"/>
              <w:ind w:firstLine="0"/>
              <w:jc w:val="center"/>
              <w:rPr>
                <w:color w:val="auto"/>
                <w:sz w:val="18"/>
                <w:szCs w:val="18"/>
              </w:rPr>
            </w:pPr>
            <w:r w:rsidRPr="00EB19CB">
              <w:rPr>
                <w:color w:val="auto"/>
                <w:sz w:val="18"/>
                <w:szCs w:val="18"/>
              </w:rPr>
              <w:t>0.006</w:t>
            </w:r>
          </w:p>
          <w:p w14:paraId="07844324"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18"/>
                <w:szCs w:val="18"/>
                <w:vertAlign w:val="superscript"/>
              </w:rPr>
              <w:t xml:space="preserve"> </w:t>
            </w:r>
            <w:r w:rsidRPr="00EB19CB">
              <w:rPr>
                <w:color w:val="auto"/>
                <w:sz w:val="18"/>
                <w:szCs w:val="18"/>
              </w:rPr>
              <w:t>(**)</w:t>
            </w:r>
          </w:p>
        </w:tc>
        <w:tc>
          <w:tcPr>
            <w:tcW w:w="1041" w:type="dxa"/>
          </w:tcPr>
          <w:p w14:paraId="781061C4" w14:textId="77777777" w:rsidR="001706FD" w:rsidRPr="00EB19CB" w:rsidRDefault="001706FD" w:rsidP="009F1978">
            <w:pPr>
              <w:pStyle w:val="PubliManuscript"/>
              <w:spacing w:before="0" w:after="0" w:line="240" w:lineRule="auto"/>
              <w:ind w:firstLine="0"/>
              <w:jc w:val="center"/>
              <w:rPr>
                <w:color w:val="auto"/>
                <w:sz w:val="18"/>
                <w:szCs w:val="18"/>
              </w:rPr>
            </w:pPr>
          </w:p>
          <w:p w14:paraId="2783840E" w14:textId="77777777" w:rsidR="001706FD" w:rsidRPr="00EB19CB" w:rsidRDefault="001706FD" w:rsidP="009F1978">
            <w:pPr>
              <w:pStyle w:val="PubliManuscript"/>
              <w:spacing w:before="0" w:after="0" w:line="240" w:lineRule="auto"/>
              <w:ind w:firstLine="0"/>
              <w:jc w:val="center"/>
              <w:rPr>
                <w:color w:val="auto"/>
                <w:sz w:val="18"/>
                <w:szCs w:val="18"/>
              </w:rPr>
            </w:pPr>
            <w:r w:rsidRPr="00EB19CB">
              <w:rPr>
                <w:color w:val="auto"/>
                <w:sz w:val="18"/>
                <w:szCs w:val="18"/>
              </w:rPr>
              <w:t>0.16</w:t>
            </w:r>
          </w:p>
        </w:tc>
        <w:tc>
          <w:tcPr>
            <w:tcW w:w="1043" w:type="dxa"/>
          </w:tcPr>
          <w:p w14:paraId="7B6DDDA1" w14:textId="77777777" w:rsidR="001706FD" w:rsidRPr="00EB19CB" w:rsidRDefault="001706FD" w:rsidP="009F1978">
            <w:pPr>
              <w:pStyle w:val="PubliManuscript"/>
              <w:spacing w:before="0" w:after="0" w:line="240" w:lineRule="auto"/>
              <w:ind w:firstLine="0"/>
              <w:jc w:val="center"/>
              <w:rPr>
                <w:color w:val="auto"/>
                <w:sz w:val="18"/>
                <w:szCs w:val="18"/>
              </w:rPr>
            </w:pPr>
          </w:p>
          <w:p w14:paraId="40DC73CE"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18"/>
                <w:szCs w:val="18"/>
              </w:rPr>
              <w:t>1.42 x 10</w:t>
            </w:r>
            <w:r w:rsidRPr="00EB19CB">
              <w:rPr>
                <w:color w:val="auto"/>
                <w:sz w:val="18"/>
                <w:szCs w:val="18"/>
                <w:vertAlign w:val="superscript"/>
              </w:rPr>
              <w:t xml:space="preserve">-4 </w:t>
            </w:r>
            <w:r w:rsidRPr="00EB19CB">
              <w:rPr>
                <w:color w:val="auto"/>
                <w:sz w:val="18"/>
                <w:szCs w:val="18"/>
              </w:rPr>
              <w:t>(**)</w:t>
            </w:r>
          </w:p>
        </w:tc>
        <w:tc>
          <w:tcPr>
            <w:tcW w:w="1043" w:type="dxa"/>
          </w:tcPr>
          <w:p w14:paraId="64538BA9" w14:textId="77777777" w:rsidR="001706FD" w:rsidRPr="00EB19CB" w:rsidRDefault="001706FD" w:rsidP="009F1978">
            <w:pPr>
              <w:pStyle w:val="PubliManuscript"/>
              <w:spacing w:before="0" w:after="0" w:line="240" w:lineRule="auto"/>
              <w:ind w:firstLine="0"/>
              <w:jc w:val="center"/>
              <w:rPr>
                <w:color w:val="auto"/>
                <w:sz w:val="18"/>
                <w:szCs w:val="18"/>
              </w:rPr>
            </w:pPr>
          </w:p>
          <w:p w14:paraId="7421CCD3"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0.52</w:t>
            </w:r>
          </w:p>
        </w:tc>
        <w:tc>
          <w:tcPr>
            <w:tcW w:w="1042" w:type="dxa"/>
          </w:tcPr>
          <w:p w14:paraId="4FBBB336" w14:textId="77777777" w:rsidR="001706FD" w:rsidRPr="00EB19CB" w:rsidRDefault="001706FD" w:rsidP="009F1978">
            <w:pPr>
              <w:pStyle w:val="PubliManuscript"/>
              <w:spacing w:before="0" w:after="0" w:line="240" w:lineRule="auto"/>
              <w:ind w:firstLine="0"/>
              <w:jc w:val="center"/>
              <w:rPr>
                <w:color w:val="auto"/>
                <w:sz w:val="18"/>
                <w:szCs w:val="18"/>
              </w:rPr>
            </w:pPr>
          </w:p>
          <w:p w14:paraId="6ED7027E" w14:textId="77777777" w:rsidR="001706FD" w:rsidRPr="00EB19CB" w:rsidRDefault="001706FD" w:rsidP="009F1978">
            <w:pPr>
              <w:pStyle w:val="PubliManuscript"/>
              <w:spacing w:before="0" w:after="0" w:line="240" w:lineRule="auto"/>
              <w:ind w:firstLine="0"/>
              <w:jc w:val="center"/>
              <w:rPr>
                <w:color w:val="auto"/>
                <w:sz w:val="18"/>
                <w:szCs w:val="18"/>
              </w:rPr>
            </w:pPr>
            <w:r w:rsidRPr="00EB19CB">
              <w:rPr>
                <w:color w:val="auto"/>
                <w:sz w:val="18"/>
                <w:szCs w:val="18"/>
              </w:rPr>
              <w:t>0.073</w:t>
            </w:r>
          </w:p>
          <w:p w14:paraId="4987A0D9"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18"/>
                <w:szCs w:val="18"/>
              </w:rPr>
              <w:t>(*)</w:t>
            </w:r>
          </w:p>
        </w:tc>
        <w:tc>
          <w:tcPr>
            <w:tcW w:w="1041" w:type="dxa"/>
          </w:tcPr>
          <w:p w14:paraId="73326F15" w14:textId="77777777" w:rsidR="001706FD" w:rsidRPr="00EB19CB" w:rsidRDefault="001706FD" w:rsidP="009F1978">
            <w:pPr>
              <w:pStyle w:val="PubliManuscript"/>
              <w:spacing w:before="0" w:after="0" w:line="240" w:lineRule="auto"/>
              <w:ind w:firstLine="0"/>
              <w:jc w:val="center"/>
              <w:rPr>
                <w:color w:val="auto"/>
                <w:sz w:val="18"/>
                <w:szCs w:val="18"/>
              </w:rPr>
            </w:pPr>
          </w:p>
          <w:p w14:paraId="70DC790E"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18"/>
                <w:szCs w:val="18"/>
              </w:rPr>
              <w:t>0.99</w:t>
            </w:r>
          </w:p>
        </w:tc>
      </w:tr>
      <w:tr w:rsidR="00EB19CB" w:rsidRPr="00EB19CB" w14:paraId="603B1B2E" w14:textId="77777777" w:rsidTr="009F1978">
        <w:trPr>
          <w:trHeight w:hRule="exact" w:val="284"/>
        </w:trPr>
        <w:tc>
          <w:tcPr>
            <w:tcW w:w="1084" w:type="dxa"/>
            <w:shd w:val="clear" w:color="auto" w:fill="D9D9D9" w:themeFill="background1" w:themeFillShade="D9"/>
          </w:tcPr>
          <w:p w14:paraId="52E8AA99"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CT-IN</w:t>
            </w:r>
          </w:p>
          <w:p w14:paraId="42E5A405" w14:textId="77777777" w:rsidR="001706FD" w:rsidRPr="00EB19CB" w:rsidRDefault="001706FD" w:rsidP="009F1978">
            <w:pPr>
              <w:pStyle w:val="PubliManuscript"/>
              <w:spacing w:before="0" w:after="0" w:line="240" w:lineRule="auto"/>
              <w:ind w:firstLine="0"/>
              <w:jc w:val="center"/>
              <w:rPr>
                <w:color w:val="auto"/>
                <w:sz w:val="20"/>
                <w:szCs w:val="20"/>
              </w:rPr>
            </w:pPr>
          </w:p>
        </w:tc>
        <w:tc>
          <w:tcPr>
            <w:tcW w:w="1043" w:type="dxa"/>
          </w:tcPr>
          <w:p w14:paraId="7ED237FE" w14:textId="77777777" w:rsidR="001706FD" w:rsidRPr="00EB19CB" w:rsidRDefault="001706FD" w:rsidP="009F1978">
            <w:pPr>
              <w:pStyle w:val="PubliManuscript"/>
              <w:spacing w:before="0" w:after="0" w:line="240" w:lineRule="auto"/>
              <w:ind w:firstLine="0"/>
              <w:jc w:val="center"/>
              <w:rPr>
                <w:color w:val="auto"/>
                <w:sz w:val="20"/>
                <w:szCs w:val="20"/>
                <w:vertAlign w:val="superscript"/>
              </w:rPr>
            </w:pPr>
            <w:r w:rsidRPr="00EB19CB">
              <w:rPr>
                <w:color w:val="auto"/>
                <w:sz w:val="20"/>
                <w:szCs w:val="20"/>
              </w:rPr>
              <w:t xml:space="preserve">14.84 </w:t>
            </w:r>
            <w:r w:rsidRPr="00EB19CB">
              <w:rPr>
                <w:color w:val="auto"/>
                <w:sz w:val="20"/>
                <w:szCs w:val="20"/>
                <w:vertAlign w:val="superscript"/>
              </w:rPr>
              <w:t>b</w:t>
            </w:r>
          </w:p>
        </w:tc>
        <w:tc>
          <w:tcPr>
            <w:tcW w:w="1042" w:type="dxa"/>
          </w:tcPr>
          <w:p w14:paraId="61BB05DB" w14:textId="77777777" w:rsidR="001706FD" w:rsidRPr="00EB19CB" w:rsidRDefault="001706FD" w:rsidP="009F1978">
            <w:pPr>
              <w:pStyle w:val="PubliManuscript"/>
              <w:spacing w:before="0" w:after="0" w:line="240" w:lineRule="auto"/>
              <w:ind w:firstLine="0"/>
              <w:jc w:val="center"/>
              <w:rPr>
                <w:color w:val="auto"/>
                <w:sz w:val="20"/>
                <w:szCs w:val="20"/>
                <w:vertAlign w:val="superscript"/>
              </w:rPr>
            </w:pPr>
            <w:r w:rsidRPr="00EB19CB">
              <w:rPr>
                <w:color w:val="auto"/>
                <w:sz w:val="20"/>
                <w:szCs w:val="20"/>
              </w:rPr>
              <w:t xml:space="preserve">15.33 </w:t>
            </w:r>
            <w:proofErr w:type="spellStart"/>
            <w:r w:rsidRPr="00EB19CB">
              <w:rPr>
                <w:color w:val="auto"/>
                <w:sz w:val="20"/>
                <w:szCs w:val="20"/>
                <w:vertAlign w:val="superscript"/>
              </w:rPr>
              <w:t>n.s</w:t>
            </w:r>
            <w:proofErr w:type="spellEnd"/>
            <w:r w:rsidRPr="00EB19CB">
              <w:rPr>
                <w:color w:val="auto"/>
                <w:sz w:val="20"/>
                <w:szCs w:val="20"/>
                <w:vertAlign w:val="superscript"/>
              </w:rPr>
              <w:t>.</w:t>
            </w:r>
          </w:p>
        </w:tc>
        <w:tc>
          <w:tcPr>
            <w:tcW w:w="1040" w:type="dxa"/>
          </w:tcPr>
          <w:p w14:paraId="5EDC82B1"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 xml:space="preserve">8.25 </w:t>
            </w:r>
            <w:r w:rsidRPr="00EB19CB">
              <w:rPr>
                <w:color w:val="auto"/>
                <w:sz w:val="20"/>
                <w:szCs w:val="20"/>
                <w:vertAlign w:val="superscript"/>
              </w:rPr>
              <w:t>a</w:t>
            </w:r>
          </w:p>
        </w:tc>
        <w:tc>
          <w:tcPr>
            <w:tcW w:w="1041" w:type="dxa"/>
          </w:tcPr>
          <w:p w14:paraId="4C8E9BDD"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 xml:space="preserve">18.61 </w:t>
            </w:r>
            <w:proofErr w:type="spellStart"/>
            <w:r w:rsidRPr="00EB19CB">
              <w:rPr>
                <w:color w:val="auto"/>
                <w:sz w:val="20"/>
                <w:szCs w:val="20"/>
                <w:vertAlign w:val="superscript"/>
              </w:rPr>
              <w:t>n.s</w:t>
            </w:r>
            <w:proofErr w:type="spellEnd"/>
            <w:r w:rsidRPr="00EB19CB">
              <w:rPr>
                <w:color w:val="auto"/>
                <w:sz w:val="20"/>
                <w:szCs w:val="20"/>
                <w:vertAlign w:val="superscript"/>
              </w:rPr>
              <w:t>.</w:t>
            </w:r>
          </w:p>
        </w:tc>
        <w:tc>
          <w:tcPr>
            <w:tcW w:w="1043" w:type="dxa"/>
          </w:tcPr>
          <w:p w14:paraId="15FE45C7"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14.17</w:t>
            </w:r>
            <w:r w:rsidRPr="00EB19CB">
              <w:rPr>
                <w:color w:val="auto"/>
                <w:sz w:val="20"/>
                <w:szCs w:val="20"/>
                <w:vertAlign w:val="superscript"/>
              </w:rPr>
              <w:t xml:space="preserve"> b</w:t>
            </w:r>
          </w:p>
        </w:tc>
        <w:tc>
          <w:tcPr>
            <w:tcW w:w="1043" w:type="dxa"/>
          </w:tcPr>
          <w:p w14:paraId="56C7AAA0"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12.79</w:t>
            </w:r>
            <w:r w:rsidRPr="00EB19CB">
              <w:rPr>
                <w:color w:val="auto"/>
                <w:sz w:val="20"/>
                <w:szCs w:val="20"/>
                <w:vertAlign w:val="superscript"/>
              </w:rPr>
              <w:t xml:space="preserve"> </w:t>
            </w:r>
            <w:proofErr w:type="spellStart"/>
            <w:r w:rsidRPr="00EB19CB">
              <w:rPr>
                <w:color w:val="auto"/>
                <w:sz w:val="20"/>
                <w:szCs w:val="20"/>
                <w:vertAlign w:val="superscript"/>
              </w:rPr>
              <w:t>n.s</w:t>
            </w:r>
            <w:proofErr w:type="spellEnd"/>
            <w:r w:rsidRPr="00EB19CB">
              <w:rPr>
                <w:color w:val="auto"/>
                <w:sz w:val="20"/>
                <w:szCs w:val="20"/>
                <w:vertAlign w:val="superscript"/>
              </w:rPr>
              <w:t>.</w:t>
            </w:r>
          </w:p>
        </w:tc>
        <w:tc>
          <w:tcPr>
            <w:tcW w:w="1042" w:type="dxa"/>
          </w:tcPr>
          <w:p w14:paraId="44E992F8"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4.18</w:t>
            </w:r>
            <w:r w:rsidRPr="00EB19CB">
              <w:rPr>
                <w:color w:val="auto"/>
                <w:sz w:val="20"/>
                <w:szCs w:val="20"/>
                <w:vertAlign w:val="superscript"/>
              </w:rPr>
              <w:t xml:space="preserve"> a</w:t>
            </w:r>
          </w:p>
        </w:tc>
        <w:tc>
          <w:tcPr>
            <w:tcW w:w="1041" w:type="dxa"/>
          </w:tcPr>
          <w:p w14:paraId="4FB7FB93"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22.12</w:t>
            </w:r>
            <w:r w:rsidRPr="00EB19CB">
              <w:rPr>
                <w:color w:val="auto"/>
                <w:sz w:val="20"/>
                <w:szCs w:val="20"/>
                <w:vertAlign w:val="superscript"/>
              </w:rPr>
              <w:t xml:space="preserve"> </w:t>
            </w:r>
            <w:proofErr w:type="spellStart"/>
            <w:r w:rsidRPr="00EB19CB">
              <w:rPr>
                <w:color w:val="auto"/>
                <w:sz w:val="20"/>
                <w:szCs w:val="20"/>
                <w:vertAlign w:val="superscript"/>
              </w:rPr>
              <w:t>n.s</w:t>
            </w:r>
            <w:proofErr w:type="spellEnd"/>
            <w:r w:rsidRPr="00EB19CB">
              <w:rPr>
                <w:color w:val="auto"/>
                <w:sz w:val="20"/>
                <w:szCs w:val="20"/>
                <w:vertAlign w:val="superscript"/>
              </w:rPr>
              <w:t>.</w:t>
            </w:r>
          </w:p>
        </w:tc>
      </w:tr>
      <w:tr w:rsidR="00EB19CB" w:rsidRPr="00EB19CB" w14:paraId="3760912A" w14:textId="77777777" w:rsidTr="009F1978">
        <w:trPr>
          <w:trHeight w:hRule="exact" w:val="284"/>
        </w:trPr>
        <w:tc>
          <w:tcPr>
            <w:tcW w:w="1084" w:type="dxa"/>
            <w:shd w:val="clear" w:color="auto" w:fill="D9D9D9" w:themeFill="background1" w:themeFillShade="D9"/>
          </w:tcPr>
          <w:p w14:paraId="568E9950"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CT-OUT</w:t>
            </w:r>
          </w:p>
        </w:tc>
        <w:tc>
          <w:tcPr>
            <w:tcW w:w="1043" w:type="dxa"/>
          </w:tcPr>
          <w:p w14:paraId="379C7797" w14:textId="77777777" w:rsidR="001706FD" w:rsidRPr="00EB19CB" w:rsidRDefault="001706FD" w:rsidP="009F1978">
            <w:pPr>
              <w:pStyle w:val="PubliManuscript"/>
              <w:spacing w:before="0" w:after="0" w:line="240" w:lineRule="auto"/>
              <w:ind w:firstLine="0"/>
              <w:jc w:val="center"/>
              <w:rPr>
                <w:color w:val="auto"/>
                <w:sz w:val="20"/>
                <w:szCs w:val="20"/>
                <w:vertAlign w:val="superscript"/>
              </w:rPr>
            </w:pPr>
            <w:r w:rsidRPr="00EB19CB">
              <w:rPr>
                <w:color w:val="auto"/>
                <w:sz w:val="20"/>
                <w:szCs w:val="20"/>
              </w:rPr>
              <w:t xml:space="preserve">14.44 </w:t>
            </w:r>
            <w:r w:rsidRPr="00EB19CB">
              <w:rPr>
                <w:color w:val="auto"/>
                <w:sz w:val="20"/>
                <w:szCs w:val="20"/>
                <w:vertAlign w:val="superscript"/>
              </w:rPr>
              <w:t>b</w:t>
            </w:r>
          </w:p>
        </w:tc>
        <w:tc>
          <w:tcPr>
            <w:tcW w:w="1042" w:type="dxa"/>
          </w:tcPr>
          <w:p w14:paraId="08A4BA6B"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 xml:space="preserve">15.33 </w:t>
            </w:r>
            <w:proofErr w:type="spellStart"/>
            <w:r w:rsidRPr="00EB19CB">
              <w:rPr>
                <w:color w:val="auto"/>
                <w:sz w:val="20"/>
                <w:szCs w:val="20"/>
                <w:vertAlign w:val="superscript"/>
              </w:rPr>
              <w:t>n.s</w:t>
            </w:r>
            <w:proofErr w:type="spellEnd"/>
            <w:r w:rsidRPr="00EB19CB">
              <w:rPr>
                <w:color w:val="auto"/>
                <w:sz w:val="20"/>
                <w:szCs w:val="20"/>
                <w:vertAlign w:val="superscript"/>
              </w:rPr>
              <w:t>.</w:t>
            </w:r>
          </w:p>
        </w:tc>
        <w:tc>
          <w:tcPr>
            <w:tcW w:w="1040" w:type="dxa"/>
          </w:tcPr>
          <w:p w14:paraId="32905731"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 xml:space="preserve">8.02 </w:t>
            </w:r>
            <w:r w:rsidRPr="00EB19CB">
              <w:rPr>
                <w:color w:val="auto"/>
                <w:sz w:val="20"/>
                <w:szCs w:val="20"/>
                <w:vertAlign w:val="superscript"/>
              </w:rPr>
              <w:t>a</w:t>
            </w:r>
          </w:p>
        </w:tc>
        <w:tc>
          <w:tcPr>
            <w:tcW w:w="1041" w:type="dxa"/>
          </w:tcPr>
          <w:p w14:paraId="666DAEBE"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18.16</w:t>
            </w:r>
            <w:r w:rsidRPr="00EB19CB">
              <w:rPr>
                <w:color w:val="auto"/>
                <w:sz w:val="20"/>
                <w:szCs w:val="20"/>
                <w:vertAlign w:val="superscript"/>
              </w:rPr>
              <w:t xml:space="preserve"> </w:t>
            </w:r>
            <w:proofErr w:type="spellStart"/>
            <w:r w:rsidRPr="00EB19CB">
              <w:rPr>
                <w:color w:val="auto"/>
                <w:sz w:val="20"/>
                <w:szCs w:val="20"/>
                <w:vertAlign w:val="superscript"/>
              </w:rPr>
              <w:t>n.s</w:t>
            </w:r>
            <w:proofErr w:type="spellEnd"/>
            <w:r w:rsidRPr="00EB19CB">
              <w:rPr>
                <w:color w:val="auto"/>
                <w:sz w:val="20"/>
                <w:szCs w:val="20"/>
                <w:vertAlign w:val="superscript"/>
              </w:rPr>
              <w:t>.</w:t>
            </w:r>
          </w:p>
        </w:tc>
        <w:tc>
          <w:tcPr>
            <w:tcW w:w="1043" w:type="dxa"/>
          </w:tcPr>
          <w:p w14:paraId="18D594DB"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14.18</w:t>
            </w:r>
            <w:r w:rsidRPr="00EB19CB">
              <w:rPr>
                <w:color w:val="auto"/>
                <w:sz w:val="20"/>
                <w:szCs w:val="20"/>
                <w:vertAlign w:val="superscript"/>
              </w:rPr>
              <w:t xml:space="preserve"> b</w:t>
            </w:r>
          </w:p>
        </w:tc>
        <w:tc>
          <w:tcPr>
            <w:tcW w:w="1043" w:type="dxa"/>
          </w:tcPr>
          <w:p w14:paraId="54BC4344"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12.8</w:t>
            </w:r>
            <w:r w:rsidRPr="00EB19CB">
              <w:rPr>
                <w:color w:val="auto"/>
                <w:sz w:val="20"/>
                <w:szCs w:val="20"/>
                <w:vertAlign w:val="superscript"/>
              </w:rPr>
              <w:t xml:space="preserve"> </w:t>
            </w:r>
            <w:proofErr w:type="spellStart"/>
            <w:r w:rsidRPr="00EB19CB">
              <w:rPr>
                <w:color w:val="auto"/>
                <w:sz w:val="20"/>
                <w:szCs w:val="20"/>
                <w:vertAlign w:val="superscript"/>
              </w:rPr>
              <w:t>n.s</w:t>
            </w:r>
            <w:proofErr w:type="spellEnd"/>
            <w:r w:rsidRPr="00EB19CB">
              <w:rPr>
                <w:color w:val="auto"/>
                <w:sz w:val="20"/>
                <w:szCs w:val="20"/>
                <w:vertAlign w:val="superscript"/>
              </w:rPr>
              <w:t>.</w:t>
            </w:r>
          </w:p>
        </w:tc>
        <w:tc>
          <w:tcPr>
            <w:tcW w:w="1042" w:type="dxa"/>
          </w:tcPr>
          <w:p w14:paraId="556D59E6"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4.11</w:t>
            </w:r>
            <w:r w:rsidRPr="00EB19CB">
              <w:rPr>
                <w:color w:val="auto"/>
                <w:sz w:val="20"/>
                <w:szCs w:val="20"/>
                <w:vertAlign w:val="superscript"/>
              </w:rPr>
              <w:t xml:space="preserve"> a</w:t>
            </w:r>
          </w:p>
        </w:tc>
        <w:tc>
          <w:tcPr>
            <w:tcW w:w="1041" w:type="dxa"/>
          </w:tcPr>
          <w:p w14:paraId="5F1EB05C"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22.09</w:t>
            </w:r>
            <w:r w:rsidRPr="00EB19CB">
              <w:rPr>
                <w:color w:val="auto"/>
                <w:sz w:val="20"/>
                <w:szCs w:val="20"/>
                <w:vertAlign w:val="superscript"/>
              </w:rPr>
              <w:t xml:space="preserve"> </w:t>
            </w:r>
            <w:proofErr w:type="spellStart"/>
            <w:r w:rsidRPr="00EB19CB">
              <w:rPr>
                <w:color w:val="auto"/>
                <w:sz w:val="20"/>
                <w:szCs w:val="20"/>
                <w:vertAlign w:val="superscript"/>
              </w:rPr>
              <w:t>n.s</w:t>
            </w:r>
            <w:proofErr w:type="spellEnd"/>
            <w:r w:rsidRPr="00EB19CB">
              <w:rPr>
                <w:color w:val="auto"/>
                <w:sz w:val="20"/>
                <w:szCs w:val="20"/>
                <w:vertAlign w:val="superscript"/>
              </w:rPr>
              <w:t>.</w:t>
            </w:r>
          </w:p>
        </w:tc>
      </w:tr>
      <w:tr w:rsidR="00EB19CB" w:rsidRPr="00EB19CB" w14:paraId="4A328E25" w14:textId="77777777" w:rsidTr="009F1978">
        <w:trPr>
          <w:trHeight w:hRule="exact" w:val="284"/>
        </w:trPr>
        <w:tc>
          <w:tcPr>
            <w:tcW w:w="1084" w:type="dxa"/>
            <w:shd w:val="clear" w:color="auto" w:fill="D9D9D9" w:themeFill="background1" w:themeFillShade="D9"/>
          </w:tcPr>
          <w:p w14:paraId="0EADC6A3"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RT-IN</w:t>
            </w:r>
          </w:p>
        </w:tc>
        <w:tc>
          <w:tcPr>
            <w:tcW w:w="1043" w:type="dxa"/>
          </w:tcPr>
          <w:p w14:paraId="3BAA0E8B" w14:textId="77777777" w:rsidR="001706FD" w:rsidRPr="00EB19CB" w:rsidRDefault="001706FD" w:rsidP="009F1978">
            <w:pPr>
              <w:pStyle w:val="PubliManuscript"/>
              <w:spacing w:before="0" w:after="0" w:line="240" w:lineRule="auto"/>
              <w:ind w:firstLine="0"/>
              <w:jc w:val="center"/>
              <w:rPr>
                <w:color w:val="auto"/>
                <w:sz w:val="20"/>
                <w:szCs w:val="20"/>
                <w:vertAlign w:val="superscript"/>
              </w:rPr>
            </w:pPr>
            <w:r w:rsidRPr="00EB19CB">
              <w:rPr>
                <w:color w:val="auto"/>
                <w:sz w:val="20"/>
                <w:szCs w:val="20"/>
              </w:rPr>
              <w:t>16.27</w:t>
            </w:r>
            <w:r w:rsidRPr="00EB19CB">
              <w:rPr>
                <w:color w:val="auto"/>
                <w:sz w:val="20"/>
                <w:szCs w:val="20"/>
                <w:vertAlign w:val="superscript"/>
              </w:rPr>
              <w:t xml:space="preserve"> a</w:t>
            </w:r>
          </w:p>
        </w:tc>
        <w:tc>
          <w:tcPr>
            <w:tcW w:w="1042" w:type="dxa"/>
          </w:tcPr>
          <w:p w14:paraId="05FCAE3C"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15.15</w:t>
            </w:r>
            <w:r w:rsidRPr="00EB19CB">
              <w:rPr>
                <w:color w:val="auto"/>
                <w:sz w:val="20"/>
                <w:szCs w:val="20"/>
                <w:vertAlign w:val="superscript"/>
              </w:rPr>
              <w:t xml:space="preserve"> </w:t>
            </w:r>
            <w:proofErr w:type="spellStart"/>
            <w:r w:rsidRPr="00EB19CB">
              <w:rPr>
                <w:color w:val="auto"/>
                <w:sz w:val="20"/>
                <w:szCs w:val="20"/>
                <w:vertAlign w:val="superscript"/>
              </w:rPr>
              <w:t>n.s</w:t>
            </w:r>
            <w:proofErr w:type="spellEnd"/>
            <w:r w:rsidRPr="00EB19CB">
              <w:rPr>
                <w:color w:val="auto"/>
                <w:sz w:val="20"/>
                <w:szCs w:val="20"/>
                <w:vertAlign w:val="superscript"/>
              </w:rPr>
              <w:t>.</w:t>
            </w:r>
          </w:p>
        </w:tc>
        <w:tc>
          <w:tcPr>
            <w:tcW w:w="1040" w:type="dxa"/>
          </w:tcPr>
          <w:p w14:paraId="49B4EF11"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5.86</w:t>
            </w:r>
            <w:r w:rsidRPr="00EB19CB">
              <w:rPr>
                <w:color w:val="auto"/>
                <w:sz w:val="20"/>
                <w:szCs w:val="20"/>
                <w:vertAlign w:val="superscript"/>
              </w:rPr>
              <w:t xml:space="preserve"> b</w:t>
            </w:r>
          </w:p>
        </w:tc>
        <w:tc>
          <w:tcPr>
            <w:tcW w:w="1041" w:type="dxa"/>
          </w:tcPr>
          <w:p w14:paraId="3D442CA7"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15.8</w:t>
            </w:r>
            <w:r w:rsidRPr="00EB19CB">
              <w:rPr>
                <w:color w:val="auto"/>
                <w:sz w:val="20"/>
                <w:szCs w:val="20"/>
                <w:vertAlign w:val="superscript"/>
              </w:rPr>
              <w:t xml:space="preserve"> </w:t>
            </w:r>
            <w:proofErr w:type="spellStart"/>
            <w:r w:rsidRPr="00EB19CB">
              <w:rPr>
                <w:color w:val="auto"/>
                <w:sz w:val="20"/>
                <w:szCs w:val="20"/>
                <w:vertAlign w:val="superscript"/>
              </w:rPr>
              <w:t>n.s</w:t>
            </w:r>
            <w:proofErr w:type="spellEnd"/>
            <w:r w:rsidRPr="00EB19CB">
              <w:rPr>
                <w:color w:val="auto"/>
                <w:sz w:val="20"/>
                <w:szCs w:val="20"/>
                <w:vertAlign w:val="superscript"/>
              </w:rPr>
              <w:t>.</w:t>
            </w:r>
          </w:p>
        </w:tc>
        <w:tc>
          <w:tcPr>
            <w:tcW w:w="1043" w:type="dxa"/>
          </w:tcPr>
          <w:p w14:paraId="7B71D576"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15.38</w:t>
            </w:r>
            <w:r w:rsidRPr="00EB19CB">
              <w:rPr>
                <w:color w:val="auto"/>
                <w:sz w:val="20"/>
                <w:szCs w:val="20"/>
                <w:vertAlign w:val="superscript"/>
              </w:rPr>
              <w:t xml:space="preserve"> a</w:t>
            </w:r>
          </w:p>
        </w:tc>
        <w:tc>
          <w:tcPr>
            <w:tcW w:w="1043" w:type="dxa"/>
          </w:tcPr>
          <w:p w14:paraId="5917050E"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12.57</w:t>
            </w:r>
            <w:r w:rsidRPr="00EB19CB">
              <w:rPr>
                <w:color w:val="auto"/>
                <w:sz w:val="20"/>
                <w:szCs w:val="20"/>
                <w:vertAlign w:val="superscript"/>
              </w:rPr>
              <w:t xml:space="preserve"> </w:t>
            </w:r>
            <w:proofErr w:type="spellStart"/>
            <w:r w:rsidRPr="00EB19CB">
              <w:rPr>
                <w:color w:val="auto"/>
                <w:sz w:val="20"/>
                <w:szCs w:val="20"/>
                <w:vertAlign w:val="superscript"/>
              </w:rPr>
              <w:t>n.s</w:t>
            </w:r>
            <w:proofErr w:type="spellEnd"/>
            <w:r w:rsidRPr="00EB19CB">
              <w:rPr>
                <w:color w:val="auto"/>
                <w:sz w:val="20"/>
                <w:szCs w:val="20"/>
                <w:vertAlign w:val="superscript"/>
              </w:rPr>
              <w:t>.</w:t>
            </w:r>
          </w:p>
        </w:tc>
        <w:tc>
          <w:tcPr>
            <w:tcW w:w="1042" w:type="dxa"/>
          </w:tcPr>
          <w:p w14:paraId="6329C738"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3.5</w:t>
            </w:r>
            <w:r w:rsidRPr="00EB19CB">
              <w:rPr>
                <w:color w:val="auto"/>
                <w:sz w:val="20"/>
                <w:szCs w:val="20"/>
                <w:vertAlign w:val="superscript"/>
              </w:rPr>
              <w:t xml:space="preserve"> b</w:t>
            </w:r>
          </w:p>
        </w:tc>
        <w:tc>
          <w:tcPr>
            <w:tcW w:w="1041" w:type="dxa"/>
          </w:tcPr>
          <w:p w14:paraId="54CCA714"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20.88</w:t>
            </w:r>
            <w:r w:rsidRPr="00EB19CB">
              <w:rPr>
                <w:color w:val="auto"/>
                <w:sz w:val="20"/>
                <w:szCs w:val="20"/>
                <w:vertAlign w:val="superscript"/>
              </w:rPr>
              <w:t xml:space="preserve"> </w:t>
            </w:r>
            <w:proofErr w:type="spellStart"/>
            <w:r w:rsidRPr="00EB19CB">
              <w:rPr>
                <w:color w:val="auto"/>
                <w:sz w:val="20"/>
                <w:szCs w:val="20"/>
                <w:vertAlign w:val="superscript"/>
              </w:rPr>
              <w:t>n.s</w:t>
            </w:r>
            <w:proofErr w:type="spellEnd"/>
            <w:r w:rsidRPr="00EB19CB">
              <w:rPr>
                <w:color w:val="auto"/>
                <w:sz w:val="20"/>
                <w:szCs w:val="20"/>
                <w:vertAlign w:val="superscript"/>
              </w:rPr>
              <w:t>.</w:t>
            </w:r>
          </w:p>
        </w:tc>
      </w:tr>
      <w:tr w:rsidR="00EB19CB" w:rsidRPr="00EB19CB" w14:paraId="00A9B1BD" w14:textId="77777777" w:rsidTr="009F1978">
        <w:trPr>
          <w:trHeight w:hRule="exact" w:val="284"/>
        </w:trPr>
        <w:tc>
          <w:tcPr>
            <w:tcW w:w="1084" w:type="dxa"/>
            <w:shd w:val="clear" w:color="auto" w:fill="D9D9D9" w:themeFill="background1" w:themeFillShade="D9"/>
          </w:tcPr>
          <w:p w14:paraId="10840027"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RT-OUT</w:t>
            </w:r>
          </w:p>
        </w:tc>
        <w:tc>
          <w:tcPr>
            <w:tcW w:w="1043" w:type="dxa"/>
          </w:tcPr>
          <w:p w14:paraId="3306A26C" w14:textId="77777777" w:rsidR="001706FD" w:rsidRPr="00EB19CB" w:rsidRDefault="001706FD" w:rsidP="009F1978">
            <w:pPr>
              <w:pStyle w:val="PubliManuscript"/>
              <w:spacing w:before="0" w:after="0" w:line="240" w:lineRule="auto"/>
              <w:ind w:firstLine="0"/>
              <w:jc w:val="center"/>
              <w:rPr>
                <w:color w:val="auto"/>
                <w:sz w:val="20"/>
                <w:szCs w:val="20"/>
                <w:vertAlign w:val="superscript"/>
              </w:rPr>
            </w:pPr>
            <w:r w:rsidRPr="00EB19CB">
              <w:rPr>
                <w:color w:val="auto"/>
                <w:sz w:val="20"/>
                <w:szCs w:val="20"/>
              </w:rPr>
              <w:t xml:space="preserve">16.12 </w:t>
            </w:r>
            <w:r w:rsidRPr="00EB19CB">
              <w:rPr>
                <w:color w:val="auto"/>
                <w:sz w:val="20"/>
                <w:szCs w:val="20"/>
                <w:vertAlign w:val="superscript"/>
              </w:rPr>
              <w:t>a</w:t>
            </w:r>
          </w:p>
        </w:tc>
        <w:tc>
          <w:tcPr>
            <w:tcW w:w="1042" w:type="dxa"/>
          </w:tcPr>
          <w:p w14:paraId="2091E34D"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15.32</w:t>
            </w:r>
            <w:r w:rsidRPr="00EB19CB">
              <w:rPr>
                <w:color w:val="auto"/>
                <w:sz w:val="20"/>
                <w:szCs w:val="20"/>
                <w:vertAlign w:val="superscript"/>
              </w:rPr>
              <w:t xml:space="preserve"> </w:t>
            </w:r>
            <w:proofErr w:type="spellStart"/>
            <w:r w:rsidRPr="00EB19CB">
              <w:rPr>
                <w:color w:val="auto"/>
                <w:sz w:val="20"/>
                <w:szCs w:val="20"/>
                <w:vertAlign w:val="superscript"/>
              </w:rPr>
              <w:t>n.s</w:t>
            </w:r>
            <w:proofErr w:type="spellEnd"/>
            <w:r w:rsidRPr="00EB19CB">
              <w:rPr>
                <w:color w:val="auto"/>
                <w:sz w:val="20"/>
                <w:szCs w:val="20"/>
                <w:vertAlign w:val="superscript"/>
              </w:rPr>
              <w:t>.</w:t>
            </w:r>
          </w:p>
        </w:tc>
        <w:tc>
          <w:tcPr>
            <w:tcW w:w="1040" w:type="dxa"/>
          </w:tcPr>
          <w:p w14:paraId="17C9C130"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6.37</w:t>
            </w:r>
            <w:r w:rsidRPr="00EB19CB">
              <w:rPr>
                <w:color w:val="auto"/>
                <w:sz w:val="20"/>
                <w:szCs w:val="20"/>
                <w:vertAlign w:val="superscript"/>
              </w:rPr>
              <w:t xml:space="preserve"> b</w:t>
            </w:r>
          </w:p>
        </w:tc>
        <w:tc>
          <w:tcPr>
            <w:tcW w:w="1041" w:type="dxa"/>
          </w:tcPr>
          <w:p w14:paraId="32051B77"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16.95</w:t>
            </w:r>
            <w:r w:rsidRPr="00EB19CB">
              <w:rPr>
                <w:color w:val="auto"/>
                <w:sz w:val="20"/>
                <w:szCs w:val="20"/>
                <w:vertAlign w:val="superscript"/>
              </w:rPr>
              <w:t xml:space="preserve"> </w:t>
            </w:r>
            <w:proofErr w:type="spellStart"/>
            <w:r w:rsidRPr="00EB19CB">
              <w:rPr>
                <w:color w:val="auto"/>
                <w:sz w:val="20"/>
                <w:szCs w:val="20"/>
                <w:vertAlign w:val="superscript"/>
              </w:rPr>
              <w:t>n.s</w:t>
            </w:r>
            <w:proofErr w:type="spellEnd"/>
            <w:r w:rsidRPr="00EB19CB">
              <w:rPr>
                <w:color w:val="auto"/>
                <w:sz w:val="20"/>
                <w:szCs w:val="20"/>
                <w:vertAlign w:val="superscript"/>
              </w:rPr>
              <w:t>.</w:t>
            </w:r>
          </w:p>
        </w:tc>
        <w:tc>
          <w:tcPr>
            <w:tcW w:w="1043" w:type="dxa"/>
          </w:tcPr>
          <w:p w14:paraId="08FB7395"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15.43</w:t>
            </w:r>
            <w:r w:rsidRPr="00EB19CB">
              <w:rPr>
                <w:color w:val="auto"/>
                <w:sz w:val="20"/>
                <w:szCs w:val="20"/>
                <w:vertAlign w:val="superscript"/>
              </w:rPr>
              <w:t xml:space="preserve"> a</w:t>
            </w:r>
          </w:p>
        </w:tc>
        <w:tc>
          <w:tcPr>
            <w:tcW w:w="1043" w:type="dxa"/>
          </w:tcPr>
          <w:p w14:paraId="318DDC51"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12.87</w:t>
            </w:r>
            <w:r w:rsidRPr="00EB19CB">
              <w:rPr>
                <w:color w:val="auto"/>
                <w:sz w:val="20"/>
                <w:szCs w:val="20"/>
                <w:vertAlign w:val="superscript"/>
              </w:rPr>
              <w:t xml:space="preserve"> </w:t>
            </w:r>
            <w:proofErr w:type="spellStart"/>
            <w:r w:rsidRPr="00EB19CB">
              <w:rPr>
                <w:color w:val="auto"/>
                <w:sz w:val="20"/>
                <w:szCs w:val="20"/>
                <w:vertAlign w:val="superscript"/>
              </w:rPr>
              <w:t>n.s</w:t>
            </w:r>
            <w:proofErr w:type="spellEnd"/>
            <w:r w:rsidRPr="00EB19CB">
              <w:rPr>
                <w:color w:val="auto"/>
                <w:sz w:val="20"/>
                <w:szCs w:val="20"/>
                <w:vertAlign w:val="superscript"/>
              </w:rPr>
              <w:t>.</w:t>
            </w:r>
          </w:p>
        </w:tc>
        <w:tc>
          <w:tcPr>
            <w:tcW w:w="1042" w:type="dxa"/>
          </w:tcPr>
          <w:p w14:paraId="2A49EA51"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3.6</w:t>
            </w:r>
            <w:r w:rsidRPr="00EB19CB">
              <w:rPr>
                <w:color w:val="auto"/>
                <w:sz w:val="20"/>
                <w:szCs w:val="20"/>
                <w:vertAlign w:val="superscript"/>
              </w:rPr>
              <w:t xml:space="preserve"> b</w:t>
            </w:r>
          </w:p>
        </w:tc>
        <w:tc>
          <w:tcPr>
            <w:tcW w:w="1041" w:type="dxa"/>
          </w:tcPr>
          <w:p w14:paraId="70AEE590" w14:textId="77777777" w:rsidR="001706FD" w:rsidRPr="00EB19CB" w:rsidRDefault="001706FD" w:rsidP="009F1978">
            <w:pPr>
              <w:pStyle w:val="PubliManuscript"/>
              <w:spacing w:before="0" w:after="0" w:line="240" w:lineRule="auto"/>
              <w:ind w:firstLine="0"/>
              <w:jc w:val="center"/>
              <w:rPr>
                <w:color w:val="auto"/>
                <w:sz w:val="20"/>
                <w:szCs w:val="20"/>
              </w:rPr>
            </w:pPr>
            <w:r w:rsidRPr="00EB19CB">
              <w:rPr>
                <w:color w:val="auto"/>
                <w:sz w:val="20"/>
                <w:szCs w:val="20"/>
              </w:rPr>
              <w:t>22.28</w:t>
            </w:r>
            <w:r w:rsidRPr="00EB19CB">
              <w:rPr>
                <w:color w:val="auto"/>
                <w:sz w:val="20"/>
                <w:szCs w:val="20"/>
                <w:vertAlign w:val="superscript"/>
              </w:rPr>
              <w:t xml:space="preserve"> </w:t>
            </w:r>
            <w:proofErr w:type="spellStart"/>
            <w:r w:rsidRPr="00EB19CB">
              <w:rPr>
                <w:color w:val="auto"/>
                <w:sz w:val="20"/>
                <w:szCs w:val="20"/>
                <w:vertAlign w:val="superscript"/>
              </w:rPr>
              <w:t>n.s</w:t>
            </w:r>
            <w:proofErr w:type="spellEnd"/>
            <w:r w:rsidRPr="00EB19CB">
              <w:rPr>
                <w:color w:val="auto"/>
                <w:sz w:val="20"/>
                <w:szCs w:val="20"/>
                <w:vertAlign w:val="superscript"/>
              </w:rPr>
              <w:t>.</w:t>
            </w:r>
          </w:p>
        </w:tc>
      </w:tr>
    </w:tbl>
    <w:p w14:paraId="361EE5D4" w14:textId="3E2FBB5F" w:rsidR="009F1978" w:rsidRPr="00EB19CB" w:rsidRDefault="001706FD" w:rsidP="001706FD">
      <w:pPr>
        <w:pStyle w:val="PubliManuscript"/>
        <w:spacing w:line="240" w:lineRule="auto"/>
        <w:ind w:firstLine="0"/>
        <w:rPr>
          <w:b/>
          <w:bCs/>
          <w:color w:val="auto"/>
        </w:rPr>
      </w:pPr>
      <w:r w:rsidRPr="00EB19CB">
        <w:rPr>
          <w:b/>
          <w:bCs/>
          <w:color w:val="auto"/>
        </w:rPr>
        <w:t xml:space="preserve">Table 1. Soil water and nitrogen average contents. Each mean is computed over all seasons, at sowing (from 5 days before to 5 days after) and at flowering (from 5 days before to 5 days after). Pearson correlations and </w:t>
      </w:r>
      <w:r w:rsidRPr="00EB19CB">
        <w:rPr>
          <w:b/>
          <w:bCs/>
          <w:i/>
          <w:iCs/>
          <w:color w:val="auto"/>
        </w:rPr>
        <w:t>p</w:t>
      </w:r>
      <w:r w:rsidRPr="00EB19CB">
        <w:rPr>
          <w:b/>
          <w:bCs/>
          <w:color w:val="auto"/>
        </w:rPr>
        <w:t xml:space="preserve">-values indicate the strength and significance of the linear relationship between this soil indicator (soil water content or soil nitrogen mean at sowing or at flowering) and the yield (* = 90%-confidence, ** = 95%-confidence). The </w:t>
      </w:r>
      <w:r w:rsidRPr="00EB19CB">
        <w:rPr>
          <w:b/>
          <w:bCs/>
          <w:i/>
          <w:iCs/>
          <w:color w:val="auto"/>
        </w:rPr>
        <w:t>p</w:t>
      </w:r>
      <w:r w:rsidRPr="00EB19CB">
        <w:rPr>
          <w:b/>
          <w:bCs/>
          <w:color w:val="auto"/>
        </w:rPr>
        <w:t xml:space="preserve">-values CT-RT indicate the significance of the difference in soil indicators between CT and RT treatments. No significant difference was found between IN and OUT treatments.  </w:t>
      </w:r>
      <w:proofErr w:type="spellStart"/>
      <w:r w:rsidRPr="00EB19CB">
        <w:rPr>
          <w:b/>
          <w:bCs/>
          <w:color w:val="auto"/>
        </w:rPr>
        <w:t>n.s</w:t>
      </w:r>
      <w:proofErr w:type="spellEnd"/>
      <w:r w:rsidRPr="00EB19CB">
        <w:rPr>
          <w:b/>
          <w:bCs/>
          <w:color w:val="auto"/>
        </w:rPr>
        <w:t>. = not significative.</w:t>
      </w:r>
    </w:p>
    <w:p w14:paraId="3DBC213B" w14:textId="11937600" w:rsidR="00986408" w:rsidRPr="00EB19CB" w:rsidRDefault="00386AF6" w:rsidP="00986408">
      <w:pPr>
        <w:pStyle w:val="Publi2"/>
        <w:rPr>
          <w:color w:val="auto"/>
        </w:rPr>
      </w:pPr>
      <w:r w:rsidRPr="00EB19CB">
        <w:rPr>
          <w:color w:val="auto"/>
        </w:rPr>
        <w:t xml:space="preserve"> </w:t>
      </w:r>
      <w:r w:rsidR="00E048B1" w:rsidRPr="00EB19CB">
        <w:rPr>
          <w:color w:val="auto"/>
        </w:rPr>
        <w:t>Simulated c</w:t>
      </w:r>
      <w:r w:rsidR="00A400B9" w:rsidRPr="00EB19CB">
        <w:rPr>
          <w:color w:val="auto"/>
        </w:rPr>
        <w:t>arbon fluxes</w:t>
      </w:r>
    </w:p>
    <w:p w14:paraId="280D1E4C" w14:textId="601EC960" w:rsidR="00CE3A74" w:rsidRPr="00EB19CB" w:rsidRDefault="00CE3A74" w:rsidP="00BE09B7">
      <w:pPr>
        <w:pStyle w:val="PubliManuscript"/>
        <w:rPr>
          <w:color w:val="auto"/>
        </w:rPr>
      </w:pPr>
      <w:r w:rsidRPr="00EB19CB">
        <w:rPr>
          <w:color w:val="auto"/>
        </w:rPr>
        <w:t>Modelling approaches appear as a suitable way to look at carbon fluxes (respiration and Net Ecosystem Exchange) to complete the investigation of the carbon balance.</w:t>
      </w:r>
    </w:p>
    <w:p w14:paraId="7D9D4F40" w14:textId="19CE70C7" w:rsidR="00BE09B7" w:rsidRPr="00EB19CB" w:rsidRDefault="00AA58F9" w:rsidP="00BE09B7">
      <w:pPr>
        <w:pStyle w:val="PubliManuscript"/>
        <w:rPr>
          <w:color w:val="auto"/>
        </w:rPr>
      </w:pPr>
      <w:r w:rsidRPr="00EB19CB">
        <w:rPr>
          <w:color w:val="auto"/>
        </w:rPr>
        <w:t>On Fig. 7</w:t>
      </w:r>
      <w:r w:rsidR="003713F9" w:rsidRPr="00EB19CB">
        <w:rPr>
          <w:color w:val="auto"/>
        </w:rPr>
        <w:t>a</w:t>
      </w:r>
      <w:r w:rsidRPr="00EB19CB">
        <w:rPr>
          <w:color w:val="auto"/>
        </w:rPr>
        <w:t xml:space="preserve">, we see that the autotrophic respiration does not differ much between treatments and </w:t>
      </w:r>
      <w:r w:rsidRPr="00EB19CB">
        <w:rPr>
          <w:color w:val="auto"/>
        </w:rPr>
        <w:lastRenderedPageBreak/>
        <w:t>follows logically the hierarchy in biomass and yield productivity. Incorporating the crop residues (IN) le</w:t>
      </w:r>
      <w:r w:rsidR="00691AB2" w:rsidRPr="00EB19CB">
        <w:rPr>
          <w:color w:val="auto"/>
        </w:rPr>
        <w:t>d</w:t>
      </w:r>
      <w:r w:rsidRPr="00EB19CB">
        <w:rPr>
          <w:color w:val="auto"/>
        </w:rPr>
        <w:t xml:space="preserve"> to a much greater overall heterotrophic respiration (+4</w:t>
      </w:r>
      <w:r w:rsidR="00E20D5A" w:rsidRPr="00EB19CB">
        <w:rPr>
          <w:color w:val="auto"/>
        </w:rPr>
        <w:t>6</w:t>
      </w:r>
      <w:r w:rsidRPr="00EB19CB">
        <w:rPr>
          <w:color w:val="auto"/>
        </w:rPr>
        <w:t>% compared to the OUT treatment). Furthermore, the heterotrophic respiration was found to be greater in CT as compared to RT treatments (Fig. 7b). This led to the following hierarchy in total ecosystem respiration: CT-IN &gt; CT-OUT &gt; RT-IN &gt; RT-OUT (Fig. 7</w:t>
      </w:r>
      <w:r w:rsidR="003713F9" w:rsidRPr="00EB19CB">
        <w:rPr>
          <w:color w:val="auto"/>
        </w:rPr>
        <w:t>c</w:t>
      </w:r>
      <w:r w:rsidR="00E52E99" w:rsidRPr="00EB19CB">
        <w:rPr>
          <w:color w:val="auto"/>
        </w:rPr>
        <w:t>)</w:t>
      </w:r>
      <w:r w:rsidR="00F40CA3" w:rsidRPr="00EB19CB">
        <w:rPr>
          <w:color w:val="auto"/>
        </w:rPr>
        <w:t>.</w:t>
      </w:r>
    </w:p>
    <w:p w14:paraId="1FF3C871" w14:textId="6E113B0E" w:rsidR="008F0D9C" w:rsidRPr="00EB19CB" w:rsidRDefault="008F0D9C" w:rsidP="00FE42BC">
      <w:pPr>
        <w:pStyle w:val="PubliManuscript"/>
        <w:spacing w:line="240" w:lineRule="auto"/>
        <w:ind w:firstLine="0"/>
        <w:jc w:val="center"/>
        <w:rPr>
          <w:i/>
          <w:iCs/>
          <w:noProof/>
          <w:color w:val="auto"/>
          <w:u w:val="single"/>
        </w:rPr>
      </w:pPr>
      <w:r w:rsidRPr="00EB19CB">
        <w:rPr>
          <w:i/>
          <w:iCs/>
          <w:noProof/>
          <w:color w:val="auto"/>
        </w:rPr>
        <w:drawing>
          <wp:inline distT="0" distB="0" distL="0" distR="0" wp14:anchorId="26138272" wp14:editId="6BF8DF21">
            <wp:extent cx="5760718" cy="4073733"/>
            <wp:effectExtent l="0" t="0" r="0" b="0"/>
            <wp:docPr id="39099532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995322" name="Imag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18" cy="4073733"/>
                    </a:xfrm>
                    <a:prstGeom prst="rect">
                      <a:avLst/>
                    </a:prstGeom>
                  </pic:spPr>
                </pic:pic>
              </a:graphicData>
            </a:graphic>
          </wp:inline>
        </w:drawing>
      </w:r>
    </w:p>
    <w:p w14:paraId="131178C0" w14:textId="455BE546" w:rsidR="00E32957" w:rsidRPr="00EB19CB" w:rsidRDefault="00E32957" w:rsidP="00FE42BC">
      <w:pPr>
        <w:pStyle w:val="PubliManuscript"/>
        <w:spacing w:line="240" w:lineRule="auto"/>
        <w:ind w:firstLine="0"/>
        <w:jc w:val="center"/>
        <w:rPr>
          <w:b/>
          <w:bCs/>
          <w:color w:val="auto"/>
        </w:rPr>
      </w:pPr>
      <w:r w:rsidRPr="00EB19CB">
        <w:rPr>
          <w:b/>
          <w:bCs/>
          <w:color w:val="auto"/>
        </w:rPr>
        <w:t xml:space="preserve">Figure </w:t>
      </w:r>
      <w:r w:rsidR="00912D64" w:rsidRPr="00EB19CB">
        <w:rPr>
          <w:b/>
          <w:bCs/>
          <w:color w:val="auto"/>
        </w:rPr>
        <w:t>7</w:t>
      </w:r>
      <w:r w:rsidR="00FF5033" w:rsidRPr="00EB19CB">
        <w:rPr>
          <w:b/>
          <w:bCs/>
          <w:color w:val="auto"/>
        </w:rPr>
        <w:t xml:space="preserve">. </w:t>
      </w:r>
      <w:r w:rsidR="003209AD" w:rsidRPr="00EB19CB">
        <w:rPr>
          <w:b/>
          <w:bCs/>
          <w:color w:val="auto"/>
        </w:rPr>
        <w:t>Respiration</w:t>
      </w:r>
      <w:r w:rsidR="00FF5033" w:rsidRPr="00EB19CB">
        <w:rPr>
          <w:b/>
          <w:bCs/>
          <w:color w:val="auto"/>
        </w:rPr>
        <w:t xml:space="preserve"> fluxes</w:t>
      </w:r>
      <w:r w:rsidR="0007284D" w:rsidRPr="00EB19CB">
        <w:rPr>
          <w:b/>
          <w:bCs/>
          <w:color w:val="auto"/>
        </w:rPr>
        <w:t xml:space="preserve"> comparison</w:t>
      </w:r>
      <w:r w:rsidR="003209AD" w:rsidRPr="00EB19CB">
        <w:rPr>
          <w:b/>
          <w:bCs/>
          <w:color w:val="auto"/>
        </w:rPr>
        <w:t>, cumulated over the 2008-2021 period,</w:t>
      </w:r>
      <w:r w:rsidR="000F3A8A" w:rsidRPr="00EB19CB">
        <w:rPr>
          <w:b/>
          <w:bCs/>
          <w:color w:val="auto"/>
        </w:rPr>
        <w:t xml:space="preserve"> for a) </w:t>
      </w:r>
      <w:r w:rsidR="00A153B0" w:rsidRPr="00EB19CB">
        <w:rPr>
          <w:b/>
          <w:bCs/>
          <w:color w:val="auto"/>
        </w:rPr>
        <w:t>AR</w:t>
      </w:r>
      <w:r w:rsidR="000F3A8A" w:rsidRPr="00EB19CB">
        <w:rPr>
          <w:b/>
          <w:bCs/>
          <w:color w:val="auto"/>
        </w:rPr>
        <w:t xml:space="preserve"> b) HR and c) </w:t>
      </w:r>
      <w:r w:rsidR="00A153B0" w:rsidRPr="00EB19CB">
        <w:rPr>
          <w:b/>
          <w:bCs/>
          <w:color w:val="auto"/>
        </w:rPr>
        <w:t>RECO</w:t>
      </w:r>
      <w:r w:rsidR="00D0671A" w:rsidRPr="00EB19CB">
        <w:rPr>
          <w:b/>
          <w:bCs/>
          <w:color w:val="auto"/>
        </w:rPr>
        <w:t>.</w:t>
      </w:r>
    </w:p>
    <w:p w14:paraId="086B1A56" w14:textId="2E776361" w:rsidR="00C207AA" w:rsidRPr="00EB19CB" w:rsidRDefault="002A4F70" w:rsidP="002D3B2F">
      <w:pPr>
        <w:pStyle w:val="PubliManuscript"/>
        <w:rPr>
          <w:color w:val="auto"/>
        </w:rPr>
      </w:pPr>
      <w:r w:rsidRPr="00EB19CB">
        <w:rPr>
          <w:color w:val="auto"/>
        </w:rPr>
        <w:t xml:space="preserve">The greater heterotrophic respiration observed in IN treatments is directly linked to the greater </w:t>
      </w:r>
      <w:r w:rsidR="00BC0A98" w:rsidRPr="00EB19CB">
        <w:rPr>
          <w:color w:val="auto"/>
        </w:rPr>
        <w:t>amount of</w:t>
      </w:r>
      <w:r w:rsidRPr="00EB19CB">
        <w:rPr>
          <w:color w:val="auto"/>
        </w:rPr>
        <w:t xml:space="preserve"> crop residues returned to the field</w:t>
      </w:r>
      <w:r w:rsidR="00BC0A98" w:rsidRPr="00EB19CB">
        <w:rPr>
          <w:color w:val="auto"/>
        </w:rPr>
        <w:t>, within which a main part of residue C is readily mineralized and returned to the atmosphere</w:t>
      </w:r>
      <w:r w:rsidRPr="00EB19CB">
        <w:rPr>
          <w:color w:val="auto"/>
        </w:rPr>
        <w:t>. Such results are</w:t>
      </w:r>
      <w:r w:rsidR="0094076F" w:rsidRPr="00EB19CB">
        <w:rPr>
          <w:color w:val="auto"/>
        </w:rPr>
        <w:t xml:space="preserve"> in line with e.g. Zhang et al. (2021) </w:t>
      </w:r>
      <w:r w:rsidR="003B3B5D" w:rsidRPr="00EB19CB">
        <w:rPr>
          <w:color w:val="auto"/>
        </w:rPr>
        <w:t>which</w:t>
      </w:r>
      <w:r w:rsidR="0094076F" w:rsidRPr="00EB19CB">
        <w:rPr>
          <w:color w:val="auto"/>
        </w:rPr>
        <w:t xml:space="preserve"> found a 90%-increase</w:t>
      </w:r>
      <w:r w:rsidR="003E3DD2" w:rsidRPr="00EB19CB">
        <w:rPr>
          <w:color w:val="auto"/>
        </w:rPr>
        <w:t>, and</w:t>
      </w:r>
      <w:r w:rsidR="0094076F" w:rsidRPr="00EB19CB">
        <w:rPr>
          <w:color w:val="auto"/>
        </w:rPr>
        <w:t xml:space="preserve"> confirms </w:t>
      </w:r>
      <w:r w:rsidR="00591050" w:rsidRPr="00EB19CB">
        <w:rPr>
          <w:color w:val="auto"/>
        </w:rPr>
        <w:t xml:space="preserve">the positive relationship between C inputs and soil respiration (Jacinthe et al., 2002; </w:t>
      </w:r>
      <w:r w:rsidR="007A7278" w:rsidRPr="00EB19CB">
        <w:rPr>
          <w:color w:val="auto"/>
        </w:rPr>
        <w:t xml:space="preserve">Vinther et al., 2004; </w:t>
      </w:r>
      <w:r w:rsidR="00591050" w:rsidRPr="00EB19CB">
        <w:rPr>
          <w:color w:val="auto"/>
        </w:rPr>
        <w:t>Liu et al., 2006;</w:t>
      </w:r>
      <w:r w:rsidR="009E3A2F" w:rsidRPr="00EB19CB">
        <w:rPr>
          <w:color w:val="auto"/>
        </w:rPr>
        <w:t xml:space="preserve"> Lehtinen et al., 2014;</w:t>
      </w:r>
      <w:r w:rsidR="00591050" w:rsidRPr="00EB19CB">
        <w:rPr>
          <w:color w:val="auto"/>
        </w:rPr>
        <w:t xml:space="preserve"> </w:t>
      </w:r>
      <w:r w:rsidR="00F55867" w:rsidRPr="00EB19CB">
        <w:rPr>
          <w:color w:val="auto"/>
        </w:rPr>
        <w:t>Zhang et al., 2021)</w:t>
      </w:r>
      <w:r w:rsidR="0094076F" w:rsidRPr="00EB19CB">
        <w:rPr>
          <w:color w:val="auto"/>
        </w:rPr>
        <w:t>.</w:t>
      </w:r>
      <w:r w:rsidR="00C5135D" w:rsidRPr="00EB19CB">
        <w:rPr>
          <w:color w:val="auto"/>
        </w:rPr>
        <w:t xml:space="preserve"> SOC could also indirectly increase CO</w:t>
      </w:r>
      <w:r w:rsidR="00C5135D" w:rsidRPr="00EB19CB">
        <w:rPr>
          <w:color w:val="auto"/>
          <w:vertAlign w:val="subscript"/>
        </w:rPr>
        <w:t>2</w:t>
      </w:r>
      <w:r w:rsidR="00C5135D" w:rsidRPr="00EB19CB">
        <w:rPr>
          <w:color w:val="auto"/>
        </w:rPr>
        <w:t xml:space="preserve"> respiration by affecting soil characteristics such as the increase in soil moisture and soil temperatures and decreasing soil compaction</w:t>
      </w:r>
      <w:r w:rsidR="004B7051" w:rsidRPr="00EB19CB">
        <w:rPr>
          <w:color w:val="auto"/>
        </w:rPr>
        <w:t xml:space="preserve"> (Zhang et al., 2021)</w:t>
      </w:r>
      <w:r w:rsidR="002721B3" w:rsidRPr="00EB19CB">
        <w:rPr>
          <w:color w:val="auto"/>
        </w:rPr>
        <w:t>.</w:t>
      </w:r>
      <w:r w:rsidR="00537886" w:rsidRPr="00EB19CB">
        <w:rPr>
          <w:color w:val="auto"/>
        </w:rPr>
        <w:t xml:space="preserve"> </w:t>
      </w:r>
    </w:p>
    <w:p w14:paraId="70694876" w14:textId="51B769CC" w:rsidR="00EB7793" w:rsidRPr="00EB19CB" w:rsidRDefault="00272A9F" w:rsidP="00A5342C">
      <w:pPr>
        <w:pStyle w:val="PubliManuscript"/>
        <w:rPr>
          <w:color w:val="auto"/>
        </w:rPr>
      </w:pPr>
      <w:r w:rsidRPr="00EB19CB">
        <w:rPr>
          <w:color w:val="auto"/>
        </w:rPr>
        <w:lastRenderedPageBreak/>
        <w:t>In both crop residues fates, reduced tillage leads to lower total heterotrophic respiration</w:t>
      </w:r>
      <w:r w:rsidR="004A4F42" w:rsidRPr="00EB19CB">
        <w:rPr>
          <w:color w:val="auto"/>
        </w:rPr>
        <w:t>, despite greater SOC</w:t>
      </w:r>
      <w:r w:rsidR="000026FA" w:rsidRPr="00EB19CB">
        <w:rPr>
          <w:color w:val="auto"/>
        </w:rPr>
        <w:t>,</w:t>
      </w:r>
      <w:r w:rsidR="00161C15" w:rsidRPr="00EB19CB">
        <w:rPr>
          <w:color w:val="auto"/>
        </w:rPr>
        <w:t xml:space="preserve"> compared to conventional tillage</w:t>
      </w:r>
      <w:r w:rsidRPr="00EB19CB">
        <w:rPr>
          <w:color w:val="auto"/>
        </w:rPr>
        <w:t>.</w:t>
      </w:r>
      <w:r w:rsidR="00AF0F9A" w:rsidRPr="00EB19CB">
        <w:rPr>
          <w:color w:val="auto"/>
        </w:rPr>
        <w:t xml:space="preserve"> </w:t>
      </w:r>
      <w:r w:rsidR="006D1133" w:rsidRPr="00EB19CB">
        <w:rPr>
          <w:color w:val="auto"/>
        </w:rPr>
        <w:t>F</w:t>
      </w:r>
      <w:r w:rsidR="00A476B9" w:rsidRPr="00EB19CB">
        <w:rPr>
          <w:color w:val="auto"/>
        </w:rPr>
        <w:t xml:space="preserve">ew studies have been conducted to compare the influence of tillage on </w:t>
      </w:r>
      <w:r w:rsidR="00D80B18" w:rsidRPr="00EB19CB">
        <w:rPr>
          <w:color w:val="auto"/>
        </w:rPr>
        <w:t xml:space="preserve">global soil respiration, and even fewer on </w:t>
      </w:r>
      <w:r w:rsidR="00A476B9" w:rsidRPr="00EB19CB">
        <w:rPr>
          <w:color w:val="auto"/>
        </w:rPr>
        <w:t xml:space="preserve">heterotrophic respiration, since it requires either root exclusion methods, either </w:t>
      </w:r>
      <w:r w:rsidR="00F51CFF" w:rsidRPr="00EB19CB">
        <w:rPr>
          <w:color w:val="auto"/>
        </w:rPr>
        <w:t>modelling approaches</w:t>
      </w:r>
      <w:r w:rsidR="00A476B9" w:rsidRPr="00EB19CB">
        <w:rPr>
          <w:color w:val="auto"/>
        </w:rPr>
        <w:t xml:space="preserve">. </w:t>
      </w:r>
      <w:r w:rsidR="002721B3" w:rsidRPr="00EB19CB">
        <w:rPr>
          <w:color w:val="auto"/>
        </w:rPr>
        <w:t xml:space="preserve">It </w:t>
      </w:r>
      <w:r w:rsidR="00EC5BAF" w:rsidRPr="00EB19CB">
        <w:rPr>
          <w:color w:val="auto"/>
        </w:rPr>
        <w:t>wa</w:t>
      </w:r>
      <w:r w:rsidR="002721B3" w:rsidRPr="00EB19CB">
        <w:rPr>
          <w:color w:val="auto"/>
        </w:rPr>
        <w:t xml:space="preserve">s globally reported that </w:t>
      </w:r>
      <w:r w:rsidR="00B45BB5" w:rsidRPr="00EB19CB">
        <w:rPr>
          <w:color w:val="auto"/>
        </w:rPr>
        <w:t xml:space="preserve">both </w:t>
      </w:r>
      <w:r w:rsidR="002721B3" w:rsidRPr="00EB19CB">
        <w:rPr>
          <w:color w:val="auto"/>
        </w:rPr>
        <w:t>higher soil respiration</w:t>
      </w:r>
      <w:r w:rsidR="00FE0FD3" w:rsidRPr="00EB19CB">
        <w:rPr>
          <w:color w:val="auto"/>
        </w:rPr>
        <w:t xml:space="preserve"> and heterotrophic respiration</w:t>
      </w:r>
      <w:r w:rsidR="002721B3" w:rsidRPr="00EB19CB">
        <w:rPr>
          <w:color w:val="auto"/>
        </w:rPr>
        <w:t xml:space="preserve"> levels are observed under conventional tillage compared to reduced tillage</w:t>
      </w:r>
      <w:r w:rsidR="006D38EB" w:rsidRPr="00EB19CB">
        <w:rPr>
          <w:color w:val="auto"/>
        </w:rPr>
        <w:t xml:space="preserve">, mainly because of </w:t>
      </w:r>
      <w:r w:rsidR="00425102" w:rsidRPr="00EB19CB">
        <w:rPr>
          <w:color w:val="auto"/>
        </w:rPr>
        <w:t xml:space="preserve">greater soil disturbance, </w:t>
      </w:r>
      <w:r w:rsidR="00836FC5" w:rsidRPr="00EB19CB">
        <w:rPr>
          <w:color w:val="auto"/>
        </w:rPr>
        <w:t>lower</w:t>
      </w:r>
      <w:r w:rsidR="006D38EB" w:rsidRPr="00EB19CB">
        <w:rPr>
          <w:color w:val="auto"/>
        </w:rPr>
        <w:t xml:space="preserve"> soil water content</w:t>
      </w:r>
      <w:r w:rsidR="008303CE" w:rsidRPr="00EB19CB">
        <w:rPr>
          <w:color w:val="auto"/>
        </w:rPr>
        <w:t xml:space="preserve"> and </w:t>
      </w:r>
      <w:r w:rsidR="00836FC5" w:rsidRPr="00EB19CB">
        <w:rPr>
          <w:color w:val="auto"/>
        </w:rPr>
        <w:t>higher</w:t>
      </w:r>
      <w:r w:rsidR="006D38EB" w:rsidRPr="00EB19CB">
        <w:rPr>
          <w:color w:val="auto"/>
        </w:rPr>
        <w:t xml:space="preserve"> soil temperatures</w:t>
      </w:r>
      <w:r w:rsidR="002721B3" w:rsidRPr="00EB19CB">
        <w:rPr>
          <w:color w:val="auto"/>
        </w:rPr>
        <w:t xml:space="preserve"> (</w:t>
      </w:r>
      <w:proofErr w:type="spellStart"/>
      <w:r w:rsidR="00075E69" w:rsidRPr="00EB19CB">
        <w:rPr>
          <w:color w:val="auto"/>
        </w:rPr>
        <w:t>Ussiri</w:t>
      </w:r>
      <w:proofErr w:type="spellEnd"/>
      <w:r w:rsidR="00162134" w:rsidRPr="00EB19CB">
        <w:rPr>
          <w:color w:val="auto"/>
        </w:rPr>
        <w:t xml:space="preserve"> and Lal</w:t>
      </w:r>
      <w:r w:rsidR="00075E69" w:rsidRPr="00EB19CB">
        <w:rPr>
          <w:color w:val="auto"/>
        </w:rPr>
        <w:t xml:space="preserve">, 2009; </w:t>
      </w:r>
      <w:r w:rsidR="00CE03B9" w:rsidRPr="00EB19CB">
        <w:rPr>
          <w:color w:val="auto"/>
        </w:rPr>
        <w:t xml:space="preserve">Lu et al., 2010; </w:t>
      </w:r>
      <w:r w:rsidR="00EC6810" w:rsidRPr="00EB19CB">
        <w:rPr>
          <w:color w:val="auto"/>
        </w:rPr>
        <w:t xml:space="preserve">Krištof </w:t>
      </w:r>
      <w:r w:rsidR="00982E0F" w:rsidRPr="00EB19CB">
        <w:rPr>
          <w:color w:val="auto"/>
        </w:rPr>
        <w:t xml:space="preserve">et al., 2014; </w:t>
      </w:r>
      <w:r w:rsidR="002721B3" w:rsidRPr="00EB19CB">
        <w:rPr>
          <w:color w:val="auto"/>
        </w:rPr>
        <w:t>Rutkowska et al., 2018</w:t>
      </w:r>
      <w:r w:rsidR="00777955" w:rsidRPr="00EB19CB">
        <w:rPr>
          <w:color w:val="auto"/>
        </w:rPr>
        <w:t>; Du et al., 2020</w:t>
      </w:r>
      <w:r w:rsidR="00C96E86" w:rsidRPr="00EB19CB">
        <w:rPr>
          <w:color w:val="auto"/>
        </w:rPr>
        <w:t xml:space="preserve">; </w:t>
      </w:r>
      <w:r w:rsidR="00B64333" w:rsidRPr="00EB19CB">
        <w:rPr>
          <w:color w:val="auto"/>
        </w:rPr>
        <w:t xml:space="preserve">Young et al., 2021; </w:t>
      </w:r>
      <w:r w:rsidR="00C96E86" w:rsidRPr="00EB19CB">
        <w:rPr>
          <w:color w:val="auto"/>
        </w:rPr>
        <w:t>Delandmeter et al., 2023</w:t>
      </w:r>
      <w:r w:rsidR="00210CF5" w:rsidRPr="00EB19CB">
        <w:rPr>
          <w:color w:val="auto"/>
        </w:rPr>
        <w:t>).</w:t>
      </w:r>
      <w:r w:rsidR="00A56CCA" w:rsidRPr="00EB19CB">
        <w:rPr>
          <w:color w:val="auto"/>
        </w:rPr>
        <w:t xml:space="preserve"> </w:t>
      </w:r>
      <w:r w:rsidR="002721B3" w:rsidRPr="00EB19CB">
        <w:rPr>
          <w:color w:val="auto"/>
        </w:rPr>
        <w:t xml:space="preserve"> </w:t>
      </w:r>
      <w:r w:rsidR="00A61567" w:rsidRPr="00EB19CB">
        <w:rPr>
          <w:color w:val="auto"/>
        </w:rPr>
        <w:t xml:space="preserve">Furthermore, </w:t>
      </w:r>
      <w:r w:rsidR="00AF0F9A" w:rsidRPr="00EB19CB">
        <w:rPr>
          <w:color w:val="auto"/>
        </w:rPr>
        <w:t>Zhang et al. (2021) suggest</w:t>
      </w:r>
      <w:r w:rsidR="00FC65A7" w:rsidRPr="00EB19CB">
        <w:rPr>
          <w:color w:val="auto"/>
        </w:rPr>
        <w:t>ed</w:t>
      </w:r>
      <w:r w:rsidR="00AF0F9A" w:rsidRPr="00EB19CB">
        <w:rPr>
          <w:color w:val="auto"/>
        </w:rPr>
        <w:t xml:space="preserve"> that, when residues are exported, </w:t>
      </w:r>
      <w:r w:rsidR="00B67A7D" w:rsidRPr="00EB19CB">
        <w:rPr>
          <w:color w:val="auto"/>
        </w:rPr>
        <w:t>reduced tillage leads to lower soil respiration because of</w:t>
      </w:r>
      <w:r w:rsidR="00EB7793" w:rsidRPr="00EB19CB">
        <w:rPr>
          <w:color w:val="auto"/>
        </w:rPr>
        <w:t xml:space="preserve"> increased bulk density and decreased effective gas diffusivity</w:t>
      </w:r>
      <w:r w:rsidR="00397EF1" w:rsidRPr="00EB19CB">
        <w:rPr>
          <w:color w:val="auto"/>
        </w:rPr>
        <w:t>.</w:t>
      </w:r>
      <w:r w:rsidR="00126DB2" w:rsidRPr="00EB19CB">
        <w:rPr>
          <w:color w:val="auto"/>
        </w:rPr>
        <w:t xml:space="preserve"> </w:t>
      </w:r>
      <w:r w:rsidR="0002518D" w:rsidRPr="00EB19CB">
        <w:rPr>
          <w:color w:val="auto"/>
        </w:rPr>
        <w:t xml:space="preserve">Conversely, </w:t>
      </w:r>
      <w:r w:rsidR="00126DB2" w:rsidRPr="00EB19CB">
        <w:rPr>
          <w:color w:val="auto"/>
        </w:rPr>
        <w:t xml:space="preserve">under residue returning, </w:t>
      </w:r>
      <w:r w:rsidR="00677232" w:rsidRPr="00EB19CB">
        <w:rPr>
          <w:color w:val="auto"/>
        </w:rPr>
        <w:t xml:space="preserve">they found </w:t>
      </w:r>
      <w:r w:rsidR="00126DB2" w:rsidRPr="00EB19CB">
        <w:rPr>
          <w:color w:val="auto"/>
        </w:rPr>
        <w:t xml:space="preserve">greater soil respiration under reduced tillage due to the associated increases in stock and lability of SOC, indicating that the positive effect of RT on SOC might be </w:t>
      </w:r>
      <w:r w:rsidR="002F6581" w:rsidRPr="00EB19CB">
        <w:rPr>
          <w:color w:val="auto"/>
        </w:rPr>
        <w:t xml:space="preserve">sometimes </w:t>
      </w:r>
      <w:r w:rsidR="00126DB2" w:rsidRPr="00EB19CB">
        <w:rPr>
          <w:color w:val="auto"/>
        </w:rPr>
        <w:t xml:space="preserve">counter-balanced </w:t>
      </w:r>
      <w:r w:rsidR="008C20C8" w:rsidRPr="00EB19CB">
        <w:rPr>
          <w:color w:val="auto"/>
        </w:rPr>
        <w:t xml:space="preserve">by greater </w:t>
      </w:r>
      <w:r w:rsidR="00B52517" w:rsidRPr="00EB19CB">
        <w:rPr>
          <w:color w:val="auto"/>
        </w:rPr>
        <w:t>soil respiration</w:t>
      </w:r>
      <w:r w:rsidR="008C20C8" w:rsidRPr="00EB19CB">
        <w:rPr>
          <w:color w:val="auto"/>
        </w:rPr>
        <w:t>.</w:t>
      </w:r>
      <w:r w:rsidR="002721B3" w:rsidRPr="00EB19CB">
        <w:rPr>
          <w:color w:val="auto"/>
        </w:rPr>
        <w:t xml:space="preserve"> </w:t>
      </w:r>
      <w:r w:rsidR="000140C0" w:rsidRPr="00EB19CB">
        <w:rPr>
          <w:color w:val="auto"/>
        </w:rPr>
        <w:t xml:space="preserve"> </w:t>
      </w:r>
    </w:p>
    <w:p w14:paraId="622E5468" w14:textId="3922BCD9" w:rsidR="00AE559E" w:rsidRPr="00EB19CB" w:rsidRDefault="009B04CE" w:rsidP="00B72C49">
      <w:pPr>
        <w:pStyle w:val="PubliManuscript"/>
        <w:rPr>
          <w:color w:val="auto"/>
        </w:rPr>
      </w:pPr>
      <w:r w:rsidRPr="00EB19CB">
        <w:rPr>
          <w:color w:val="auto"/>
        </w:rPr>
        <w:t>Globally, exporting residues (OUT) led to greater Net Ecosystem Exchange (Fig. A</w:t>
      </w:r>
      <w:r w:rsidR="008F5553" w:rsidRPr="00EB19CB">
        <w:rPr>
          <w:color w:val="auto"/>
        </w:rPr>
        <w:t>6</w:t>
      </w:r>
      <w:r w:rsidRPr="00EB19CB">
        <w:rPr>
          <w:color w:val="auto"/>
        </w:rPr>
        <w:t>) because of the combination of (</w:t>
      </w:r>
      <w:proofErr w:type="spellStart"/>
      <w:r w:rsidRPr="00EB19CB">
        <w:rPr>
          <w:i/>
          <w:iCs/>
          <w:color w:val="auto"/>
        </w:rPr>
        <w:t>i</w:t>
      </w:r>
      <w:proofErr w:type="spellEnd"/>
      <w:r w:rsidRPr="00EB19CB">
        <w:rPr>
          <w:color w:val="auto"/>
        </w:rPr>
        <w:t>) lower ecosystem respiration due to its lower heterotrophic component, while (</w:t>
      </w:r>
      <w:r w:rsidRPr="00EB19CB">
        <w:rPr>
          <w:i/>
          <w:iCs/>
          <w:color w:val="auto"/>
        </w:rPr>
        <w:t>ii</w:t>
      </w:r>
      <w:r w:rsidRPr="00EB19CB">
        <w:rPr>
          <w:color w:val="auto"/>
        </w:rPr>
        <w:t>) similar autotrophic respiration and GPP were reported in comparison to IN treatments</w:t>
      </w:r>
      <w:r w:rsidR="001748B5" w:rsidRPr="00EB19CB">
        <w:rPr>
          <w:color w:val="auto"/>
        </w:rPr>
        <w:t xml:space="preserve"> (Fig. 7)</w:t>
      </w:r>
      <w:r w:rsidRPr="00EB19CB">
        <w:rPr>
          <w:color w:val="auto"/>
        </w:rPr>
        <w:t>.</w:t>
      </w:r>
      <w:r w:rsidR="00DA3F6E" w:rsidRPr="00EB19CB">
        <w:rPr>
          <w:color w:val="auto"/>
        </w:rPr>
        <w:t xml:space="preserve"> </w:t>
      </w:r>
      <w:r w:rsidRPr="00EB19CB">
        <w:rPr>
          <w:color w:val="auto"/>
        </w:rPr>
        <w:t>On the other hand, tillage management did not lead to significative difference in NEE, since lower ecosystem respiration (mainly heterotrophic) in reduced tillage (RT) was compensated by lower GPP as compared to CT</w:t>
      </w:r>
      <w:r w:rsidR="00706E24" w:rsidRPr="00EB19CB">
        <w:rPr>
          <w:color w:val="auto"/>
        </w:rPr>
        <w:t>.</w:t>
      </w:r>
    </w:p>
    <w:p w14:paraId="32C4BEE0" w14:textId="1825B9E2" w:rsidR="006D5FC5" w:rsidRPr="00EB19CB" w:rsidRDefault="00A60899" w:rsidP="00DE62F8">
      <w:pPr>
        <w:pStyle w:val="Publi1"/>
        <w:spacing w:line="240" w:lineRule="auto"/>
      </w:pPr>
      <w:r w:rsidRPr="00EB19CB">
        <w:t>C</w:t>
      </w:r>
      <w:r w:rsidR="00C0583E" w:rsidRPr="00EB19CB">
        <w:t>onclusions</w:t>
      </w:r>
    </w:p>
    <w:p w14:paraId="1123C3C9" w14:textId="1F5A6C70" w:rsidR="00AE1081" w:rsidRPr="00EB19CB" w:rsidRDefault="005458D3" w:rsidP="006D5FC5">
      <w:pPr>
        <w:pStyle w:val="PubliManuscript"/>
        <w:rPr>
          <w:color w:val="auto"/>
        </w:rPr>
      </w:pPr>
      <w:r w:rsidRPr="00EB19CB">
        <w:rPr>
          <w:color w:val="auto"/>
        </w:rPr>
        <w:t>T</w:t>
      </w:r>
      <w:r w:rsidR="00BC5949" w:rsidRPr="00EB19CB">
        <w:rPr>
          <w:color w:val="auto"/>
        </w:rPr>
        <w:t xml:space="preserve">he contrasted results gained across a range of plant- and soil-indicators show that advocating one soil tillage or crop residue management technique is not straightforward and depends not only on the </w:t>
      </w:r>
      <w:proofErr w:type="spellStart"/>
      <w:r w:rsidR="00BC5949" w:rsidRPr="00EB19CB">
        <w:rPr>
          <w:color w:val="auto"/>
        </w:rPr>
        <w:t>agro</w:t>
      </w:r>
      <w:proofErr w:type="spellEnd"/>
      <w:r w:rsidR="00BC5949" w:rsidRPr="00EB19CB">
        <w:rPr>
          <w:color w:val="auto"/>
        </w:rPr>
        <w:t>-pedoclimatic context but also on the farm objectives. Conventional tillage appeared to yield better productivity, whereas reduced tillage led to better environmental performance such as carbon sequestration, water retention and lower soil respiration. One should therefore be cautious when comparing both managements and weigh the productivity by the concomitant environmental impact. In the same way, incorporating crop residues after harvest allowed to increase soil organic carbon</w:t>
      </w:r>
      <w:r w:rsidR="00791A27" w:rsidRPr="00EB19CB">
        <w:rPr>
          <w:color w:val="auto"/>
        </w:rPr>
        <w:t xml:space="preserve"> </w:t>
      </w:r>
      <w:r w:rsidR="00BC5949" w:rsidRPr="00EB19CB">
        <w:rPr>
          <w:color w:val="auto"/>
        </w:rPr>
        <w:lastRenderedPageBreak/>
        <w:t xml:space="preserve">without a significant impact on crop productivity. </w:t>
      </w:r>
      <w:r w:rsidR="00791A27" w:rsidRPr="00EB19CB">
        <w:rPr>
          <w:color w:val="auto"/>
        </w:rPr>
        <w:t>Yet the associated greater heterotrophic respiration</w:t>
      </w:r>
      <w:r w:rsidR="000A0FBB" w:rsidRPr="00EB19CB">
        <w:rPr>
          <w:color w:val="auto"/>
        </w:rPr>
        <w:t xml:space="preserve"> </w:t>
      </w:r>
      <w:r w:rsidR="00791A27" w:rsidRPr="00EB19CB">
        <w:rPr>
          <w:color w:val="auto"/>
        </w:rPr>
        <w:t>reminds that it i</w:t>
      </w:r>
      <w:r w:rsidR="003F0C39" w:rsidRPr="00EB19CB">
        <w:rPr>
          <w:color w:val="auto"/>
        </w:rPr>
        <w:t>s primordial to also take into account greenhouse gas emissions</w:t>
      </w:r>
      <w:r w:rsidR="00F20AA9" w:rsidRPr="00EB19CB">
        <w:rPr>
          <w:color w:val="auto"/>
        </w:rPr>
        <w:t>, soil N</w:t>
      </w:r>
      <w:r w:rsidR="00F20AA9" w:rsidRPr="00EB19CB">
        <w:rPr>
          <w:color w:val="auto"/>
          <w:vertAlign w:val="subscript"/>
        </w:rPr>
        <w:t>2</w:t>
      </w:r>
      <w:r w:rsidR="00F20AA9" w:rsidRPr="00EB19CB">
        <w:rPr>
          <w:color w:val="auto"/>
        </w:rPr>
        <w:t xml:space="preserve">O emissions being predicted to increase as well with </w:t>
      </w:r>
      <w:r w:rsidR="00F0241D" w:rsidRPr="00EB19CB">
        <w:rPr>
          <w:color w:val="auto"/>
        </w:rPr>
        <w:t xml:space="preserve">crop </w:t>
      </w:r>
      <w:r w:rsidR="00F20AA9" w:rsidRPr="00EB19CB">
        <w:rPr>
          <w:color w:val="auto"/>
        </w:rPr>
        <w:t>residue</w:t>
      </w:r>
      <w:r w:rsidR="00F0241D" w:rsidRPr="00EB19CB">
        <w:rPr>
          <w:color w:val="auto"/>
        </w:rPr>
        <w:t>s</w:t>
      </w:r>
      <w:r w:rsidR="00F20AA9" w:rsidRPr="00EB19CB">
        <w:rPr>
          <w:color w:val="auto"/>
        </w:rPr>
        <w:t xml:space="preserve"> retention</w:t>
      </w:r>
      <w:r w:rsidR="003F0C39" w:rsidRPr="00EB19CB">
        <w:rPr>
          <w:color w:val="auto"/>
        </w:rPr>
        <w:t xml:space="preserve"> (Lehtinen et al., 2014).</w:t>
      </w:r>
      <w:r w:rsidR="00791A27" w:rsidRPr="00EB19CB">
        <w:rPr>
          <w:color w:val="auto"/>
        </w:rPr>
        <w:t xml:space="preserve"> </w:t>
      </w:r>
      <w:r w:rsidR="00BC5949" w:rsidRPr="00EB19CB">
        <w:rPr>
          <w:color w:val="auto"/>
        </w:rPr>
        <w:t xml:space="preserve">However, in Europe, when wheat straw residues are exported from the field, it is most often in exchange of manure or for </w:t>
      </w:r>
      <w:proofErr w:type="spellStart"/>
      <w:r w:rsidR="00BC5949" w:rsidRPr="00EB19CB">
        <w:rPr>
          <w:color w:val="auto"/>
        </w:rPr>
        <w:t>biomethanization</w:t>
      </w:r>
      <w:proofErr w:type="spellEnd"/>
      <w:r w:rsidR="00BC5949" w:rsidRPr="00EB19CB">
        <w:rPr>
          <w:color w:val="auto"/>
        </w:rPr>
        <w:t xml:space="preserve"> which produces sludges, which can both be re-imported to the agricultural system in a second time. This highlights the importance of comparing agricultural systems in their whole complexity, and if possible with the integration of socio-economic aspects. We also believe that long-term studies are necessary to take into account the evolution of soil fertility, considering that the change in soil organic carbon might have an impact on crop productivity in the long run (Basso et al., 20</w:t>
      </w:r>
      <w:r w:rsidR="00F7377B" w:rsidRPr="00EB19CB">
        <w:rPr>
          <w:color w:val="auto"/>
        </w:rPr>
        <w:t>18</w:t>
      </w:r>
      <w:r w:rsidR="00BC5949" w:rsidRPr="00EB19CB">
        <w:rPr>
          <w:color w:val="auto"/>
        </w:rPr>
        <w:t>).</w:t>
      </w:r>
    </w:p>
    <w:p w14:paraId="7D4A08C5" w14:textId="08141408" w:rsidR="00DF1116" w:rsidRPr="00EB19CB" w:rsidRDefault="008325AD" w:rsidP="006D5FC5">
      <w:pPr>
        <w:pStyle w:val="PubliManuscript"/>
        <w:rPr>
          <w:color w:val="auto"/>
        </w:rPr>
      </w:pPr>
      <w:r w:rsidRPr="00EB19CB">
        <w:rPr>
          <w:color w:val="auto"/>
        </w:rPr>
        <w:t>The STICS soil-crop model was found to be adequate to investigate the different impacts of soil tillage and crop residues management</w:t>
      </w:r>
      <w:r w:rsidR="00382B31" w:rsidRPr="00EB19CB">
        <w:rPr>
          <w:color w:val="auto"/>
        </w:rPr>
        <w:t xml:space="preserve"> on the carbon balance</w:t>
      </w:r>
      <w:r w:rsidRPr="00EB19CB">
        <w:rPr>
          <w:color w:val="auto"/>
        </w:rPr>
        <w:t>.</w:t>
      </w:r>
      <w:r w:rsidR="00B02530" w:rsidRPr="00EB19CB">
        <w:rPr>
          <w:color w:val="auto"/>
        </w:rPr>
        <w:t xml:space="preserve"> </w:t>
      </w:r>
      <w:r w:rsidR="008E4BB4" w:rsidRPr="00EB19CB">
        <w:rPr>
          <w:color w:val="auto"/>
        </w:rPr>
        <w:t xml:space="preserve">It allowed to complement field observations </w:t>
      </w:r>
      <w:r w:rsidR="0080351B" w:rsidRPr="00EB19CB">
        <w:rPr>
          <w:color w:val="auto"/>
        </w:rPr>
        <w:t xml:space="preserve">with a granular analysis of </w:t>
      </w:r>
      <w:r w:rsidR="008613DA" w:rsidRPr="00EB19CB">
        <w:rPr>
          <w:color w:val="auto"/>
        </w:rPr>
        <w:t>th</w:t>
      </w:r>
      <w:r w:rsidR="00415DF2" w:rsidRPr="00EB19CB">
        <w:rPr>
          <w:color w:val="auto"/>
        </w:rPr>
        <w:t>e treatments</w:t>
      </w:r>
      <w:r w:rsidR="008613DA" w:rsidRPr="00EB19CB">
        <w:rPr>
          <w:color w:val="auto"/>
        </w:rPr>
        <w:t xml:space="preserve"> effects on </w:t>
      </w:r>
      <w:r w:rsidR="00EC0A3C" w:rsidRPr="00EB19CB">
        <w:rPr>
          <w:color w:val="auto"/>
        </w:rPr>
        <w:t>CO</w:t>
      </w:r>
      <w:r w:rsidR="00EC0A3C" w:rsidRPr="00EB19CB">
        <w:rPr>
          <w:color w:val="auto"/>
          <w:vertAlign w:val="subscript"/>
        </w:rPr>
        <w:t xml:space="preserve">2 </w:t>
      </w:r>
      <w:r w:rsidR="00EC0A3C" w:rsidRPr="00EB19CB">
        <w:rPr>
          <w:color w:val="auto"/>
        </w:rPr>
        <w:t>fluxes</w:t>
      </w:r>
      <w:r w:rsidR="00B02530" w:rsidRPr="00EB19CB">
        <w:rPr>
          <w:color w:val="auto"/>
        </w:rPr>
        <w:t xml:space="preserve"> and </w:t>
      </w:r>
      <w:r w:rsidR="008613DA" w:rsidRPr="00EB19CB">
        <w:rPr>
          <w:color w:val="auto"/>
        </w:rPr>
        <w:t>soil water and nutrients</w:t>
      </w:r>
      <w:r w:rsidR="00533807" w:rsidRPr="00EB19CB">
        <w:rPr>
          <w:color w:val="auto"/>
        </w:rPr>
        <w:t xml:space="preserve">. </w:t>
      </w:r>
      <w:r w:rsidR="00B75BEC" w:rsidRPr="00EB19CB">
        <w:rPr>
          <w:color w:val="auto"/>
        </w:rPr>
        <w:t>Ye</w:t>
      </w:r>
      <w:r w:rsidR="00DC7E81" w:rsidRPr="00EB19CB">
        <w:rPr>
          <w:color w:val="auto"/>
        </w:rPr>
        <w:t>t</w:t>
      </w:r>
      <w:r w:rsidR="00430765" w:rsidRPr="00EB19CB">
        <w:rPr>
          <w:color w:val="auto"/>
        </w:rPr>
        <w:t xml:space="preserve"> </w:t>
      </w:r>
      <w:r w:rsidR="00B75BEC" w:rsidRPr="00EB19CB">
        <w:rPr>
          <w:color w:val="auto"/>
        </w:rPr>
        <w:t>further studies in other pedoclimatic conditions and with diversified cropping systems</w:t>
      </w:r>
      <w:r w:rsidR="00802D43" w:rsidRPr="00EB19CB">
        <w:rPr>
          <w:color w:val="auto"/>
        </w:rPr>
        <w:t xml:space="preserve"> </w:t>
      </w:r>
      <w:r w:rsidR="00036EB8" w:rsidRPr="00EB19CB">
        <w:rPr>
          <w:color w:val="auto"/>
        </w:rPr>
        <w:t>would be welcomed</w:t>
      </w:r>
      <w:r w:rsidR="002A14E5" w:rsidRPr="00EB19CB">
        <w:rPr>
          <w:color w:val="auto"/>
        </w:rPr>
        <w:t xml:space="preserve"> for validating the use of STICS in crop residues management investigation.</w:t>
      </w:r>
      <w:r w:rsidR="00442F6D" w:rsidRPr="00EB19CB">
        <w:rPr>
          <w:color w:val="auto"/>
        </w:rPr>
        <w:t xml:space="preserve"> </w:t>
      </w:r>
      <w:r w:rsidRPr="00EB19CB">
        <w:rPr>
          <w:color w:val="auto"/>
        </w:rPr>
        <w:t>Considering the above-mentioned need of long-term studies</w:t>
      </w:r>
      <w:r w:rsidRPr="00EB19CB" w:rsidDel="007213CD">
        <w:rPr>
          <w:color w:val="auto"/>
        </w:rPr>
        <w:t xml:space="preserve"> </w:t>
      </w:r>
      <w:r w:rsidRPr="00EB19CB">
        <w:rPr>
          <w:color w:val="auto"/>
        </w:rPr>
        <w:t xml:space="preserve">and that the effects strongly depend on the </w:t>
      </w:r>
      <w:proofErr w:type="spellStart"/>
      <w:r w:rsidRPr="00EB19CB">
        <w:rPr>
          <w:color w:val="auto"/>
        </w:rPr>
        <w:t>agro</w:t>
      </w:r>
      <w:proofErr w:type="spellEnd"/>
      <w:r w:rsidRPr="00EB19CB">
        <w:rPr>
          <w:color w:val="auto"/>
        </w:rPr>
        <w:t>-pedoclimatic context (Pittelkow et al., 2015a; Sun et al., 2020), we believe that crop modelling might be very useful to explore innovative crop management in both historical and future climatic conditions</w:t>
      </w:r>
      <w:r w:rsidR="00C94F7D" w:rsidRPr="00EB19CB">
        <w:rPr>
          <w:color w:val="auto"/>
        </w:rPr>
        <w:t>.</w:t>
      </w:r>
    </w:p>
    <w:p w14:paraId="1CBE5630" w14:textId="64339CEE" w:rsidR="00760A85" w:rsidRPr="00EB19CB" w:rsidRDefault="009D7B7B" w:rsidP="00760A85">
      <w:pPr>
        <w:pStyle w:val="Publi1"/>
        <w:spacing w:line="240" w:lineRule="auto"/>
      </w:pPr>
      <w:r w:rsidRPr="00EB19CB">
        <w:t>Declarations</w:t>
      </w:r>
      <w:r w:rsidR="00760A85" w:rsidRPr="00EB19CB">
        <w:t xml:space="preserve"> of interest</w:t>
      </w:r>
    </w:p>
    <w:p w14:paraId="2B1F690B" w14:textId="199697F5" w:rsidR="00760A85" w:rsidRPr="00EB19CB" w:rsidRDefault="00760A85" w:rsidP="00760A85">
      <w:pPr>
        <w:pStyle w:val="PubliManuscript"/>
        <w:rPr>
          <w:color w:val="auto"/>
        </w:rPr>
      </w:pPr>
      <w:r w:rsidRPr="00EB19CB">
        <w:rPr>
          <w:color w:val="auto"/>
        </w:rPr>
        <w:t>The authors declare no conflicts of interest.</w:t>
      </w:r>
    </w:p>
    <w:p w14:paraId="1D0E9CE5" w14:textId="77777777" w:rsidR="00534675" w:rsidRPr="00EB19CB" w:rsidRDefault="00534675" w:rsidP="00A2618A">
      <w:pPr>
        <w:pStyle w:val="Publi1"/>
        <w:spacing w:line="240" w:lineRule="auto"/>
      </w:pPr>
      <w:r w:rsidRPr="00EB19CB">
        <w:t>Acknowledgement</w:t>
      </w:r>
    </w:p>
    <w:p w14:paraId="47DEB1F7" w14:textId="7AA62499" w:rsidR="00B45E68" w:rsidRPr="00EB19CB" w:rsidRDefault="004B4F92" w:rsidP="00F45DC3">
      <w:pPr>
        <w:pStyle w:val="PubliManuscript"/>
        <w:rPr>
          <w:color w:val="auto"/>
        </w:rPr>
      </w:pPr>
      <w:r w:rsidRPr="00EB19CB">
        <w:rPr>
          <w:color w:val="auto"/>
        </w:rPr>
        <w:t>This study was funded by the F</w:t>
      </w:r>
      <w:r w:rsidR="002D2928" w:rsidRPr="00EB19CB">
        <w:rPr>
          <w:color w:val="auto"/>
        </w:rPr>
        <w:t>.R.S</w:t>
      </w:r>
      <w:r w:rsidR="00B06E42" w:rsidRPr="00EB19CB">
        <w:rPr>
          <w:color w:val="auto"/>
        </w:rPr>
        <w:t>.</w:t>
      </w:r>
      <w:r w:rsidR="002D2928" w:rsidRPr="00EB19CB">
        <w:rPr>
          <w:color w:val="auto"/>
        </w:rPr>
        <w:t>-F</w:t>
      </w:r>
      <w:r w:rsidRPr="00EB19CB">
        <w:rPr>
          <w:color w:val="auto"/>
        </w:rPr>
        <w:t>NRS (</w:t>
      </w:r>
      <w:r w:rsidR="002D2928" w:rsidRPr="00EB19CB">
        <w:rPr>
          <w:color w:val="auto"/>
        </w:rPr>
        <w:t xml:space="preserve">Belgian Fund for Scientific Research; </w:t>
      </w:r>
      <w:r w:rsidRPr="00EB19CB">
        <w:rPr>
          <w:color w:val="auto"/>
        </w:rPr>
        <w:t xml:space="preserve">Research Fellow grant </w:t>
      </w:r>
      <w:r w:rsidR="0023033E" w:rsidRPr="00EB19CB">
        <w:rPr>
          <w:color w:val="auto"/>
        </w:rPr>
        <w:t>(number 44221)</w:t>
      </w:r>
      <w:r w:rsidR="00557951" w:rsidRPr="00EB19CB">
        <w:rPr>
          <w:color w:val="auto"/>
        </w:rPr>
        <w:t xml:space="preserve"> </w:t>
      </w:r>
      <w:r w:rsidRPr="00EB19CB">
        <w:rPr>
          <w:color w:val="auto"/>
        </w:rPr>
        <w:t>awarded to M. Delandmeter).</w:t>
      </w:r>
      <w:r w:rsidR="00C90E5B" w:rsidRPr="00EB19CB">
        <w:rPr>
          <w:color w:val="auto"/>
        </w:rPr>
        <w:t xml:space="preserve"> </w:t>
      </w:r>
      <w:r w:rsidR="001A3569" w:rsidRPr="00EB19CB">
        <w:rPr>
          <w:color w:val="auto"/>
        </w:rPr>
        <w:t>The authors thank</w:t>
      </w:r>
      <w:r w:rsidR="00731B0D" w:rsidRPr="00EB19CB">
        <w:rPr>
          <w:color w:val="auto"/>
        </w:rPr>
        <w:t xml:space="preserve"> </w:t>
      </w:r>
      <w:r w:rsidR="00724A1C" w:rsidRPr="00EB19CB">
        <w:rPr>
          <w:color w:val="auto"/>
        </w:rPr>
        <w:t>the entire team of the experimental farm</w:t>
      </w:r>
      <w:r w:rsidR="00A827DD" w:rsidRPr="00EB19CB">
        <w:rPr>
          <w:color w:val="auto"/>
        </w:rPr>
        <w:t xml:space="preserve"> for </w:t>
      </w:r>
      <w:r w:rsidR="00A14984" w:rsidRPr="00EB19CB">
        <w:rPr>
          <w:color w:val="auto"/>
        </w:rPr>
        <w:t>maintaining</w:t>
      </w:r>
      <w:r w:rsidR="00C91224" w:rsidRPr="00EB19CB">
        <w:rPr>
          <w:color w:val="auto"/>
        </w:rPr>
        <w:t xml:space="preserve"> the scientific potential of its experiments </w:t>
      </w:r>
      <w:r w:rsidR="009D377C" w:rsidRPr="00EB19CB">
        <w:rPr>
          <w:color w:val="auto"/>
        </w:rPr>
        <w:t>and allowing such research</w:t>
      </w:r>
      <w:r w:rsidR="0037415D" w:rsidRPr="00EB19CB">
        <w:rPr>
          <w:color w:val="auto"/>
        </w:rPr>
        <w:t>es</w:t>
      </w:r>
      <w:r w:rsidR="00C20793" w:rsidRPr="00EB19CB">
        <w:rPr>
          <w:color w:val="auto"/>
        </w:rPr>
        <w:t>.</w:t>
      </w:r>
      <w:r w:rsidR="00B45E68" w:rsidRPr="00EB19CB">
        <w:rPr>
          <w:color w:val="auto"/>
        </w:rPr>
        <w:br w:type="page"/>
      </w:r>
    </w:p>
    <w:p w14:paraId="6CBACF25" w14:textId="73161E04" w:rsidR="00B45E68" w:rsidRPr="00EB19CB" w:rsidRDefault="0024383F">
      <w:pPr>
        <w:pStyle w:val="Publi1"/>
        <w:spacing w:line="240" w:lineRule="auto"/>
      </w:pPr>
      <w:r w:rsidRPr="00EB19CB">
        <w:lastRenderedPageBreak/>
        <w:t>References</w:t>
      </w:r>
    </w:p>
    <w:p w14:paraId="5C53E8F3" w14:textId="7A698941" w:rsidR="00592CD5" w:rsidRPr="00EB19CB" w:rsidRDefault="00592CD5" w:rsidP="00A80853">
      <w:pPr>
        <w:pStyle w:val="PubliManuscript"/>
        <w:spacing w:line="240" w:lineRule="auto"/>
        <w:ind w:firstLine="0"/>
        <w:rPr>
          <w:rFonts w:ascii="Arial" w:hAnsi="Arial" w:cs="Arial"/>
          <w:color w:val="auto"/>
          <w:sz w:val="20"/>
          <w:szCs w:val="20"/>
          <w:shd w:val="clear" w:color="auto" w:fill="FFFFFF"/>
        </w:rPr>
      </w:pPr>
      <w:r w:rsidRPr="00EB19CB">
        <w:rPr>
          <w:rFonts w:ascii="Arial" w:hAnsi="Arial" w:cs="Arial"/>
          <w:color w:val="auto"/>
          <w:sz w:val="20"/>
          <w:szCs w:val="20"/>
          <w:shd w:val="clear" w:color="auto" w:fill="FFFFFF"/>
        </w:rPr>
        <w:t xml:space="preserve">Abbas, F., Hammad, H. M., Ishaq, W., Farooque, A. A., Bakhat, H. F., Zia, Z., ... &amp; </w:t>
      </w:r>
      <w:proofErr w:type="spellStart"/>
      <w:r w:rsidRPr="00EB19CB">
        <w:rPr>
          <w:rFonts w:ascii="Arial" w:hAnsi="Arial" w:cs="Arial"/>
          <w:color w:val="auto"/>
          <w:sz w:val="20"/>
          <w:szCs w:val="20"/>
          <w:shd w:val="clear" w:color="auto" w:fill="FFFFFF"/>
        </w:rPr>
        <w:t>Cerdà</w:t>
      </w:r>
      <w:proofErr w:type="spellEnd"/>
      <w:r w:rsidRPr="00EB19CB">
        <w:rPr>
          <w:rFonts w:ascii="Arial" w:hAnsi="Arial" w:cs="Arial"/>
          <w:color w:val="auto"/>
          <w:sz w:val="20"/>
          <w:szCs w:val="20"/>
          <w:shd w:val="clear" w:color="auto" w:fill="FFFFFF"/>
        </w:rPr>
        <w:t>, A. (2020). A review of soil carbon dynamics resulting from agricultural practices. </w:t>
      </w:r>
      <w:r w:rsidRPr="00EB19CB">
        <w:rPr>
          <w:rFonts w:ascii="Arial" w:hAnsi="Arial" w:cs="Arial"/>
          <w:i/>
          <w:iCs/>
          <w:color w:val="auto"/>
          <w:sz w:val="20"/>
          <w:szCs w:val="20"/>
          <w:shd w:val="clear" w:color="auto" w:fill="FFFFFF"/>
        </w:rPr>
        <w:t>Journal of environmental management</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268</w:t>
      </w:r>
      <w:r w:rsidRPr="00EB19CB">
        <w:rPr>
          <w:rFonts w:ascii="Arial" w:hAnsi="Arial" w:cs="Arial"/>
          <w:color w:val="auto"/>
          <w:sz w:val="20"/>
          <w:szCs w:val="20"/>
          <w:shd w:val="clear" w:color="auto" w:fill="FFFFFF"/>
        </w:rPr>
        <w:t>, 110319.</w:t>
      </w:r>
      <w:r w:rsidR="00B9653F" w:rsidRPr="00EB19CB">
        <w:rPr>
          <w:rFonts w:ascii="Arial" w:hAnsi="Arial" w:cs="Arial"/>
          <w:color w:val="auto"/>
          <w:sz w:val="20"/>
          <w:szCs w:val="20"/>
          <w:shd w:val="clear" w:color="auto" w:fill="FFFFFF"/>
        </w:rPr>
        <w:t xml:space="preserve"> </w:t>
      </w:r>
      <w:hyperlink r:id="rId16" w:tgtFrame="_blank" w:tooltip="Persistent link using digital object identifier" w:history="1">
        <w:r w:rsidR="00B9653F" w:rsidRPr="00EB19CB">
          <w:rPr>
            <w:rFonts w:ascii="Arial" w:hAnsi="Arial" w:cs="Arial"/>
            <w:color w:val="auto"/>
            <w:sz w:val="20"/>
            <w:szCs w:val="20"/>
            <w:shd w:val="clear" w:color="auto" w:fill="FFFFFF"/>
          </w:rPr>
          <w:t>https://doi.org/10.1016/j.jenvman.2020.110319</w:t>
        </w:r>
      </w:hyperlink>
    </w:p>
    <w:p w14:paraId="3AEDA35C" w14:textId="23B470B1" w:rsidR="00054E37" w:rsidRPr="00EB19CB" w:rsidRDefault="00054E37" w:rsidP="00A80853">
      <w:pPr>
        <w:pStyle w:val="PubliManuscript"/>
        <w:spacing w:line="240" w:lineRule="auto"/>
        <w:ind w:firstLine="0"/>
        <w:rPr>
          <w:rFonts w:ascii="Arial" w:hAnsi="Arial" w:cs="Arial"/>
          <w:color w:val="auto"/>
          <w:sz w:val="20"/>
          <w:szCs w:val="20"/>
          <w:shd w:val="clear" w:color="auto" w:fill="FFFFFF"/>
        </w:rPr>
      </w:pPr>
      <w:r w:rsidRPr="00EB19CB">
        <w:rPr>
          <w:rFonts w:ascii="Arial" w:hAnsi="Arial" w:cs="Arial"/>
          <w:color w:val="auto"/>
          <w:sz w:val="20"/>
          <w:szCs w:val="20"/>
          <w:shd w:val="clear" w:color="auto" w:fill="FFFFFF"/>
        </w:rPr>
        <w:t>Alvarez, R., &amp; Steinbach, H. S. (2009). A review of the effects of tillage systems on some soil physical properties, water content, nitrate availability and crops yield in the Argentine Pampas. </w:t>
      </w:r>
      <w:r w:rsidRPr="00EB19CB">
        <w:rPr>
          <w:rFonts w:ascii="Arial" w:hAnsi="Arial" w:cs="Arial"/>
          <w:i/>
          <w:iCs/>
          <w:color w:val="auto"/>
          <w:sz w:val="20"/>
          <w:szCs w:val="20"/>
          <w:shd w:val="clear" w:color="auto" w:fill="FFFFFF"/>
        </w:rPr>
        <w:t>Soil and tillage research</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104</w:t>
      </w:r>
      <w:r w:rsidRPr="00EB19CB">
        <w:rPr>
          <w:rFonts w:ascii="Arial" w:hAnsi="Arial" w:cs="Arial"/>
          <w:color w:val="auto"/>
          <w:sz w:val="20"/>
          <w:szCs w:val="20"/>
          <w:shd w:val="clear" w:color="auto" w:fill="FFFFFF"/>
        </w:rPr>
        <w:t>(1), 1-15.</w:t>
      </w:r>
      <w:r w:rsidR="00AD1DF2" w:rsidRPr="00EB19CB">
        <w:rPr>
          <w:rFonts w:ascii="Arial" w:hAnsi="Arial" w:cs="Arial"/>
          <w:color w:val="auto"/>
          <w:sz w:val="20"/>
          <w:szCs w:val="20"/>
          <w:shd w:val="clear" w:color="auto" w:fill="FFFFFF"/>
        </w:rPr>
        <w:t xml:space="preserve"> </w:t>
      </w:r>
      <w:hyperlink r:id="rId17" w:tgtFrame="_blank" w:tooltip="Persistent link using digital object identifier" w:history="1">
        <w:r w:rsidR="00AD1DF2" w:rsidRPr="00EB19CB">
          <w:rPr>
            <w:rFonts w:ascii="Arial" w:hAnsi="Arial" w:cs="Arial"/>
            <w:color w:val="auto"/>
            <w:sz w:val="20"/>
            <w:szCs w:val="20"/>
            <w:shd w:val="clear" w:color="auto" w:fill="FFFFFF"/>
          </w:rPr>
          <w:t>https://doi.org/10.1016/j.still.2009.02.005</w:t>
        </w:r>
      </w:hyperlink>
    </w:p>
    <w:p w14:paraId="6F1F321E" w14:textId="15DF8A66" w:rsidR="008A344C" w:rsidRPr="00EB19CB" w:rsidRDefault="008A344C" w:rsidP="00A80853">
      <w:pPr>
        <w:pStyle w:val="PubliManuscript"/>
        <w:spacing w:line="240" w:lineRule="auto"/>
        <w:ind w:firstLine="0"/>
        <w:rPr>
          <w:rFonts w:ascii="Arial" w:hAnsi="Arial" w:cs="Arial"/>
          <w:color w:val="auto"/>
          <w:sz w:val="20"/>
          <w:szCs w:val="20"/>
          <w:shd w:val="clear" w:color="auto" w:fill="FFFFFF"/>
        </w:rPr>
      </w:pPr>
      <w:proofErr w:type="spellStart"/>
      <w:r w:rsidRPr="00EB19CB">
        <w:rPr>
          <w:rFonts w:ascii="Arial" w:hAnsi="Arial" w:cs="Arial"/>
          <w:color w:val="auto"/>
          <w:sz w:val="20"/>
          <w:szCs w:val="20"/>
          <w:shd w:val="clear" w:color="auto" w:fill="FFFFFF"/>
        </w:rPr>
        <w:t>Artru</w:t>
      </w:r>
      <w:proofErr w:type="spellEnd"/>
      <w:r w:rsidRPr="00EB19CB">
        <w:rPr>
          <w:rFonts w:ascii="Arial" w:hAnsi="Arial" w:cs="Arial"/>
          <w:color w:val="auto"/>
          <w:sz w:val="20"/>
          <w:szCs w:val="20"/>
          <w:shd w:val="clear" w:color="auto" w:fill="FFFFFF"/>
        </w:rPr>
        <w:t xml:space="preserve">, S., Dumont, B., </w:t>
      </w:r>
      <w:proofErr w:type="spellStart"/>
      <w:r w:rsidRPr="00EB19CB">
        <w:rPr>
          <w:rFonts w:ascii="Arial" w:hAnsi="Arial" w:cs="Arial"/>
          <w:color w:val="auto"/>
          <w:sz w:val="20"/>
          <w:szCs w:val="20"/>
          <w:shd w:val="clear" w:color="auto" w:fill="FFFFFF"/>
        </w:rPr>
        <w:t>Ruget</w:t>
      </w:r>
      <w:proofErr w:type="spellEnd"/>
      <w:r w:rsidRPr="00EB19CB">
        <w:rPr>
          <w:rFonts w:ascii="Arial" w:hAnsi="Arial" w:cs="Arial"/>
          <w:color w:val="auto"/>
          <w:sz w:val="20"/>
          <w:szCs w:val="20"/>
          <w:shd w:val="clear" w:color="auto" w:fill="FFFFFF"/>
        </w:rPr>
        <w:t xml:space="preserve">, F., Launay, M., </w:t>
      </w:r>
      <w:proofErr w:type="spellStart"/>
      <w:r w:rsidRPr="00EB19CB">
        <w:rPr>
          <w:rFonts w:ascii="Arial" w:hAnsi="Arial" w:cs="Arial"/>
          <w:color w:val="auto"/>
          <w:sz w:val="20"/>
          <w:szCs w:val="20"/>
          <w:shd w:val="clear" w:color="auto" w:fill="FFFFFF"/>
        </w:rPr>
        <w:t>Ripoche</w:t>
      </w:r>
      <w:proofErr w:type="spellEnd"/>
      <w:r w:rsidRPr="00EB19CB">
        <w:rPr>
          <w:rFonts w:ascii="Arial" w:hAnsi="Arial" w:cs="Arial"/>
          <w:color w:val="auto"/>
          <w:sz w:val="20"/>
          <w:szCs w:val="20"/>
          <w:shd w:val="clear" w:color="auto" w:fill="FFFFFF"/>
        </w:rPr>
        <w:t xml:space="preserve">, D., </w:t>
      </w:r>
      <w:proofErr w:type="spellStart"/>
      <w:r w:rsidRPr="00EB19CB">
        <w:rPr>
          <w:rFonts w:ascii="Arial" w:hAnsi="Arial" w:cs="Arial"/>
          <w:color w:val="auto"/>
          <w:sz w:val="20"/>
          <w:szCs w:val="20"/>
          <w:shd w:val="clear" w:color="auto" w:fill="FFFFFF"/>
        </w:rPr>
        <w:t>Lassois</w:t>
      </w:r>
      <w:proofErr w:type="spellEnd"/>
      <w:r w:rsidRPr="00EB19CB">
        <w:rPr>
          <w:rFonts w:ascii="Arial" w:hAnsi="Arial" w:cs="Arial"/>
          <w:color w:val="auto"/>
          <w:sz w:val="20"/>
          <w:szCs w:val="20"/>
          <w:shd w:val="clear" w:color="auto" w:fill="FFFFFF"/>
        </w:rPr>
        <w:t xml:space="preserve">, L., &amp; </w:t>
      </w:r>
      <w:proofErr w:type="spellStart"/>
      <w:r w:rsidRPr="00EB19CB">
        <w:rPr>
          <w:rFonts w:ascii="Arial" w:hAnsi="Arial" w:cs="Arial"/>
          <w:color w:val="auto"/>
          <w:sz w:val="20"/>
          <w:szCs w:val="20"/>
          <w:shd w:val="clear" w:color="auto" w:fill="FFFFFF"/>
        </w:rPr>
        <w:t>Garré</w:t>
      </w:r>
      <w:proofErr w:type="spellEnd"/>
      <w:r w:rsidRPr="00EB19CB">
        <w:rPr>
          <w:rFonts w:ascii="Arial" w:hAnsi="Arial" w:cs="Arial"/>
          <w:color w:val="auto"/>
          <w:sz w:val="20"/>
          <w:szCs w:val="20"/>
          <w:shd w:val="clear" w:color="auto" w:fill="FFFFFF"/>
        </w:rPr>
        <w:t xml:space="preserve">, S. (2018). How does STICS crop model simulate crop growth and productivity under shade conditions?. Field Crops Research, 215, 83-93. </w:t>
      </w:r>
      <w:hyperlink r:id="rId18" w:tgtFrame="_blank" w:tooltip="Persistent link using digital object identifier" w:history="1">
        <w:r w:rsidR="0005690D" w:rsidRPr="00EB19CB">
          <w:rPr>
            <w:rFonts w:ascii="Arial" w:hAnsi="Arial" w:cs="Arial"/>
            <w:color w:val="auto"/>
            <w:sz w:val="20"/>
            <w:szCs w:val="20"/>
            <w:shd w:val="clear" w:color="auto" w:fill="FFFFFF"/>
          </w:rPr>
          <w:t>https://doi.org/10.1016/j.fcr.2017.10.005</w:t>
        </w:r>
      </w:hyperlink>
    </w:p>
    <w:p w14:paraId="7C4FDFA7" w14:textId="106CD9D6" w:rsidR="00194A5F" w:rsidRPr="00EB19CB" w:rsidRDefault="00194A5F" w:rsidP="00A80853">
      <w:pPr>
        <w:pStyle w:val="PubliManuscript"/>
        <w:spacing w:line="240" w:lineRule="auto"/>
        <w:ind w:firstLine="0"/>
        <w:rPr>
          <w:rFonts w:ascii="Arial" w:hAnsi="Arial" w:cs="Arial"/>
          <w:color w:val="auto"/>
          <w:sz w:val="20"/>
          <w:szCs w:val="20"/>
          <w:shd w:val="clear" w:color="auto" w:fill="FFFFFF"/>
          <w:lang w:val="fr-BE"/>
        </w:rPr>
      </w:pPr>
      <w:r w:rsidRPr="00EB19CB">
        <w:rPr>
          <w:rFonts w:ascii="Arial" w:hAnsi="Arial" w:cs="Arial"/>
          <w:color w:val="auto"/>
          <w:sz w:val="20"/>
          <w:szCs w:val="20"/>
          <w:shd w:val="clear" w:color="auto" w:fill="FFFFFF"/>
        </w:rPr>
        <w:t>Basile-</w:t>
      </w:r>
      <w:proofErr w:type="spellStart"/>
      <w:r w:rsidRPr="00EB19CB">
        <w:rPr>
          <w:rFonts w:ascii="Arial" w:hAnsi="Arial" w:cs="Arial"/>
          <w:color w:val="auto"/>
          <w:sz w:val="20"/>
          <w:szCs w:val="20"/>
          <w:shd w:val="clear" w:color="auto" w:fill="FFFFFF"/>
        </w:rPr>
        <w:t>Doelsch</w:t>
      </w:r>
      <w:proofErr w:type="spellEnd"/>
      <w:r w:rsidRPr="00EB19CB">
        <w:rPr>
          <w:rFonts w:ascii="Arial" w:hAnsi="Arial" w:cs="Arial"/>
          <w:color w:val="auto"/>
          <w:sz w:val="20"/>
          <w:szCs w:val="20"/>
          <w:shd w:val="clear" w:color="auto" w:fill="FFFFFF"/>
        </w:rPr>
        <w:t xml:space="preserve">, I., </w:t>
      </w:r>
      <w:proofErr w:type="spellStart"/>
      <w:r w:rsidRPr="00EB19CB">
        <w:rPr>
          <w:rFonts w:ascii="Arial" w:hAnsi="Arial" w:cs="Arial"/>
          <w:color w:val="auto"/>
          <w:sz w:val="20"/>
          <w:szCs w:val="20"/>
          <w:shd w:val="clear" w:color="auto" w:fill="FFFFFF"/>
        </w:rPr>
        <w:t>Balesdent</w:t>
      </w:r>
      <w:proofErr w:type="spellEnd"/>
      <w:r w:rsidRPr="00EB19CB">
        <w:rPr>
          <w:rFonts w:ascii="Arial" w:hAnsi="Arial" w:cs="Arial"/>
          <w:color w:val="auto"/>
          <w:sz w:val="20"/>
          <w:szCs w:val="20"/>
          <w:shd w:val="clear" w:color="auto" w:fill="FFFFFF"/>
        </w:rPr>
        <w:t>, J., &amp; Pellerin, S. (2020). Reviews and syntheses: The mechanisms underlying carbon storage in soil. </w:t>
      </w:r>
      <w:proofErr w:type="spellStart"/>
      <w:r w:rsidRPr="00EB19CB">
        <w:rPr>
          <w:rFonts w:ascii="Arial" w:hAnsi="Arial" w:cs="Arial"/>
          <w:i/>
          <w:iCs/>
          <w:color w:val="auto"/>
          <w:sz w:val="20"/>
          <w:szCs w:val="20"/>
          <w:shd w:val="clear" w:color="auto" w:fill="FFFFFF"/>
          <w:lang w:val="fr-BE"/>
        </w:rPr>
        <w:t>Biogeosciences</w:t>
      </w:r>
      <w:proofErr w:type="spellEnd"/>
      <w:r w:rsidRPr="00EB19CB">
        <w:rPr>
          <w:rFonts w:ascii="Arial" w:hAnsi="Arial" w:cs="Arial"/>
          <w:color w:val="auto"/>
          <w:sz w:val="20"/>
          <w:szCs w:val="20"/>
          <w:shd w:val="clear" w:color="auto" w:fill="FFFFFF"/>
          <w:lang w:val="fr-BE"/>
        </w:rPr>
        <w:t>, </w:t>
      </w:r>
      <w:r w:rsidRPr="00EB19CB">
        <w:rPr>
          <w:rFonts w:ascii="Arial" w:hAnsi="Arial" w:cs="Arial"/>
          <w:i/>
          <w:iCs/>
          <w:color w:val="auto"/>
          <w:sz w:val="20"/>
          <w:szCs w:val="20"/>
          <w:shd w:val="clear" w:color="auto" w:fill="FFFFFF"/>
          <w:lang w:val="fr-BE"/>
        </w:rPr>
        <w:t>17</w:t>
      </w:r>
      <w:r w:rsidRPr="00EB19CB">
        <w:rPr>
          <w:rFonts w:ascii="Arial" w:hAnsi="Arial" w:cs="Arial"/>
          <w:color w:val="auto"/>
          <w:sz w:val="20"/>
          <w:szCs w:val="20"/>
          <w:shd w:val="clear" w:color="auto" w:fill="FFFFFF"/>
          <w:lang w:val="fr-BE"/>
        </w:rPr>
        <w:t>(21), 5223-5242.</w:t>
      </w:r>
      <w:r w:rsidR="00ED14A1" w:rsidRPr="00EB19CB">
        <w:rPr>
          <w:rFonts w:ascii="Arial" w:hAnsi="Arial" w:cs="Arial"/>
          <w:color w:val="auto"/>
          <w:sz w:val="20"/>
          <w:szCs w:val="20"/>
          <w:shd w:val="clear" w:color="auto" w:fill="FFFFFF"/>
          <w:lang w:val="fr-BE"/>
        </w:rPr>
        <w:t xml:space="preserve"> </w:t>
      </w:r>
      <w:hyperlink r:id="rId19" w:history="1">
        <w:r w:rsidR="0005235D" w:rsidRPr="00EB19CB">
          <w:rPr>
            <w:rFonts w:ascii="Arial" w:hAnsi="Arial" w:cs="Arial"/>
            <w:color w:val="auto"/>
            <w:sz w:val="20"/>
            <w:szCs w:val="20"/>
            <w:lang w:val="fr-BE"/>
          </w:rPr>
          <w:t>https://doi.org/10.5194/bg-17-5223-2020</w:t>
        </w:r>
      </w:hyperlink>
    </w:p>
    <w:p w14:paraId="200FC1BF" w14:textId="60514795" w:rsidR="0005235D" w:rsidRPr="00EB19CB" w:rsidRDefault="0005235D" w:rsidP="00A80853">
      <w:pPr>
        <w:pStyle w:val="PubliManuscript"/>
        <w:spacing w:line="240" w:lineRule="auto"/>
        <w:ind w:firstLine="0"/>
        <w:rPr>
          <w:rFonts w:ascii="Arial" w:hAnsi="Arial" w:cs="Arial"/>
          <w:color w:val="auto"/>
          <w:sz w:val="20"/>
          <w:szCs w:val="20"/>
        </w:rPr>
      </w:pPr>
      <w:proofErr w:type="spellStart"/>
      <w:r w:rsidRPr="00EB19CB">
        <w:rPr>
          <w:rFonts w:ascii="Arial" w:hAnsi="Arial" w:cs="Arial"/>
          <w:color w:val="auto"/>
          <w:sz w:val="20"/>
          <w:szCs w:val="20"/>
          <w:shd w:val="clear" w:color="auto" w:fill="FFFFFF"/>
          <w:lang w:val="fr-BE"/>
        </w:rPr>
        <w:t>Basso</w:t>
      </w:r>
      <w:proofErr w:type="spellEnd"/>
      <w:r w:rsidRPr="00EB19CB">
        <w:rPr>
          <w:rFonts w:ascii="Arial" w:hAnsi="Arial" w:cs="Arial"/>
          <w:color w:val="auto"/>
          <w:sz w:val="20"/>
          <w:szCs w:val="20"/>
          <w:shd w:val="clear" w:color="auto" w:fill="FFFFFF"/>
          <w:lang w:val="fr-BE"/>
        </w:rPr>
        <w:t xml:space="preserve">, B., Ritchie, J. T., Grace, P. R., &amp; Sartori, L. (2006). </w:t>
      </w:r>
      <w:r w:rsidRPr="00EB19CB">
        <w:rPr>
          <w:rFonts w:ascii="Arial" w:hAnsi="Arial" w:cs="Arial"/>
          <w:color w:val="auto"/>
          <w:sz w:val="20"/>
          <w:szCs w:val="20"/>
          <w:shd w:val="clear" w:color="auto" w:fill="FFFFFF"/>
        </w:rPr>
        <w:t>Simulation of tillage systems impact on soil biophysical properties using the SALUS model. </w:t>
      </w:r>
      <w:r w:rsidRPr="00EB19CB">
        <w:rPr>
          <w:rFonts w:ascii="Arial" w:hAnsi="Arial" w:cs="Arial"/>
          <w:i/>
          <w:iCs/>
          <w:color w:val="auto"/>
          <w:sz w:val="20"/>
          <w:szCs w:val="20"/>
          <w:shd w:val="clear" w:color="auto" w:fill="FFFFFF"/>
        </w:rPr>
        <w:t>Italian Journal of Agronomy</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1</w:t>
      </w:r>
      <w:r w:rsidRPr="00EB19CB">
        <w:rPr>
          <w:rFonts w:ascii="Arial" w:hAnsi="Arial" w:cs="Arial"/>
          <w:color w:val="auto"/>
          <w:sz w:val="20"/>
          <w:szCs w:val="20"/>
          <w:shd w:val="clear" w:color="auto" w:fill="FFFFFF"/>
        </w:rPr>
        <w:t>(4), 677-688.</w:t>
      </w:r>
      <w:r w:rsidR="00217A35" w:rsidRPr="00EB19CB">
        <w:rPr>
          <w:rFonts w:ascii="Arial" w:hAnsi="Arial" w:cs="Arial"/>
          <w:color w:val="auto"/>
          <w:sz w:val="20"/>
          <w:szCs w:val="20"/>
          <w:shd w:val="clear" w:color="auto" w:fill="FFFFFF"/>
        </w:rPr>
        <w:t xml:space="preserve"> </w:t>
      </w:r>
      <w:hyperlink r:id="rId20" w:history="1">
        <w:r w:rsidR="00217A35" w:rsidRPr="00EB19CB">
          <w:rPr>
            <w:rFonts w:ascii="Arial" w:hAnsi="Arial" w:cs="Arial"/>
            <w:color w:val="auto"/>
            <w:sz w:val="20"/>
            <w:szCs w:val="20"/>
          </w:rPr>
          <w:t>https://doi.org/10.4081/ija.2006.677</w:t>
        </w:r>
      </w:hyperlink>
    </w:p>
    <w:p w14:paraId="088B4D44" w14:textId="0A652894" w:rsidR="00F9469B" w:rsidRPr="00EB19CB" w:rsidRDefault="00F9469B" w:rsidP="00F9469B">
      <w:pPr>
        <w:jc w:val="both"/>
        <w:rPr>
          <w:rFonts w:ascii="Times New Roman" w:eastAsia="Times New Roman" w:hAnsi="Times New Roman"/>
          <w:color w:val="auto"/>
        </w:rPr>
      </w:pPr>
      <w:r w:rsidRPr="00EB19CB">
        <w:rPr>
          <w:rFonts w:ascii="Arial" w:hAnsi="Arial" w:cs="Arial"/>
          <w:color w:val="auto"/>
          <w:sz w:val="20"/>
          <w:szCs w:val="20"/>
          <w:shd w:val="clear" w:color="auto" w:fill="FFFFFF"/>
        </w:rPr>
        <w:t xml:space="preserve">Basso, B., Dumont, B., </w:t>
      </w:r>
      <w:proofErr w:type="spellStart"/>
      <w:r w:rsidRPr="00EB19CB">
        <w:rPr>
          <w:rFonts w:ascii="Arial" w:hAnsi="Arial" w:cs="Arial"/>
          <w:color w:val="auto"/>
          <w:sz w:val="20"/>
          <w:szCs w:val="20"/>
          <w:shd w:val="clear" w:color="auto" w:fill="FFFFFF"/>
        </w:rPr>
        <w:t>Maestrini</w:t>
      </w:r>
      <w:proofErr w:type="spellEnd"/>
      <w:r w:rsidRPr="00EB19CB">
        <w:rPr>
          <w:rFonts w:ascii="Arial" w:hAnsi="Arial" w:cs="Arial"/>
          <w:color w:val="auto"/>
          <w:sz w:val="20"/>
          <w:szCs w:val="20"/>
          <w:shd w:val="clear" w:color="auto" w:fill="FFFFFF"/>
        </w:rPr>
        <w:t>, B., Shcherbak, I., Robertson, G. P., Porter, J. R., ... &amp; Rosenzweig, C. (2018). Soil organic carbon and nitrogen feedbacks on crop yields under climate change. </w:t>
      </w:r>
      <w:r w:rsidRPr="00EB19CB">
        <w:rPr>
          <w:rFonts w:ascii="Arial" w:hAnsi="Arial" w:cs="Arial"/>
          <w:i/>
          <w:iCs/>
          <w:color w:val="auto"/>
          <w:sz w:val="20"/>
          <w:szCs w:val="20"/>
          <w:shd w:val="clear" w:color="auto" w:fill="FFFFFF"/>
        </w:rPr>
        <w:t>Agricultural &amp; Environmental Letters</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3</w:t>
      </w:r>
      <w:r w:rsidRPr="00EB19CB">
        <w:rPr>
          <w:rFonts w:ascii="Arial" w:hAnsi="Arial" w:cs="Arial"/>
          <w:color w:val="auto"/>
          <w:sz w:val="20"/>
          <w:szCs w:val="20"/>
          <w:shd w:val="clear" w:color="auto" w:fill="FFFFFF"/>
        </w:rPr>
        <w:t xml:space="preserve">(1), 180026. </w:t>
      </w:r>
      <w:hyperlink r:id="rId21" w:history="1">
        <w:r w:rsidRPr="00EB19CB">
          <w:rPr>
            <w:rFonts w:ascii="Arial" w:hAnsi="Arial" w:cs="Arial"/>
            <w:color w:val="auto"/>
            <w:sz w:val="20"/>
            <w:szCs w:val="20"/>
          </w:rPr>
          <w:t>https://doi.org/10.2134/ael2018.05.0026</w:t>
        </w:r>
      </w:hyperlink>
    </w:p>
    <w:p w14:paraId="516267B0" w14:textId="1889DF80" w:rsidR="00F45DC3" w:rsidRPr="00EB19CB" w:rsidRDefault="00F45DC3" w:rsidP="00A80853">
      <w:pPr>
        <w:pStyle w:val="PubliManuscript"/>
        <w:spacing w:line="240" w:lineRule="auto"/>
        <w:ind w:firstLine="0"/>
        <w:rPr>
          <w:rFonts w:ascii="Arial" w:hAnsi="Arial" w:cs="Arial"/>
          <w:color w:val="auto"/>
          <w:sz w:val="20"/>
          <w:szCs w:val="20"/>
        </w:rPr>
      </w:pPr>
      <w:r w:rsidRPr="00EB19CB">
        <w:rPr>
          <w:rFonts w:ascii="Arial" w:hAnsi="Arial" w:cs="Arial"/>
          <w:color w:val="auto"/>
          <w:sz w:val="20"/>
          <w:szCs w:val="20"/>
          <w:shd w:val="clear" w:color="auto" w:fill="FFFFFF"/>
        </w:rPr>
        <w:t xml:space="preserve">Beaudoin, N., Launay, M., </w:t>
      </w:r>
      <w:proofErr w:type="spellStart"/>
      <w:r w:rsidRPr="00EB19CB">
        <w:rPr>
          <w:rFonts w:ascii="Arial" w:hAnsi="Arial" w:cs="Arial"/>
          <w:color w:val="auto"/>
          <w:sz w:val="20"/>
          <w:szCs w:val="20"/>
          <w:shd w:val="clear" w:color="auto" w:fill="FFFFFF"/>
        </w:rPr>
        <w:t>Sauboua</w:t>
      </w:r>
      <w:proofErr w:type="spellEnd"/>
      <w:r w:rsidRPr="00EB19CB">
        <w:rPr>
          <w:rFonts w:ascii="Arial" w:hAnsi="Arial" w:cs="Arial"/>
          <w:color w:val="auto"/>
          <w:sz w:val="20"/>
          <w:szCs w:val="20"/>
          <w:shd w:val="clear" w:color="auto" w:fill="FFFFFF"/>
        </w:rPr>
        <w:t xml:space="preserve">, E., </w:t>
      </w:r>
      <w:proofErr w:type="spellStart"/>
      <w:r w:rsidRPr="00EB19CB">
        <w:rPr>
          <w:rFonts w:ascii="Arial" w:hAnsi="Arial" w:cs="Arial"/>
          <w:color w:val="auto"/>
          <w:sz w:val="20"/>
          <w:szCs w:val="20"/>
          <w:shd w:val="clear" w:color="auto" w:fill="FFFFFF"/>
        </w:rPr>
        <w:t>Ponsardin</w:t>
      </w:r>
      <w:proofErr w:type="spellEnd"/>
      <w:r w:rsidRPr="00EB19CB">
        <w:rPr>
          <w:rFonts w:ascii="Arial" w:hAnsi="Arial" w:cs="Arial"/>
          <w:color w:val="auto"/>
          <w:sz w:val="20"/>
          <w:szCs w:val="20"/>
          <w:shd w:val="clear" w:color="auto" w:fill="FFFFFF"/>
        </w:rPr>
        <w:t xml:space="preserve">, G., &amp; Mary, B. (2008). Evaluation of the soil-crop model STICS over 8 years against the “on farm” database of </w:t>
      </w:r>
      <w:proofErr w:type="spellStart"/>
      <w:r w:rsidRPr="00EB19CB">
        <w:rPr>
          <w:rFonts w:ascii="Arial" w:hAnsi="Arial" w:cs="Arial"/>
          <w:color w:val="auto"/>
          <w:sz w:val="20"/>
          <w:szCs w:val="20"/>
          <w:shd w:val="clear" w:color="auto" w:fill="FFFFFF"/>
        </w:rPr>
        <w:t>Bruyères</w:t>
      </w:r>
      <w:proofErr w:type="spellEnd"/>
      <w:r w:rsidRPr="00EB19CB">
        <w:rPr>
          <w:rFonts w:ascii="Arial" w:hAnsi="Arial" w:cs="Arial"/>
          <w:color w:val="auto"/>
          <w:sz w:val="20"/>
          <w:szCs w:val="20"/>
          <w:shd w:val="clear" w:color="auto" w:fill="FFFFFF"/>
        </w:rPr>
        <w:t xml:space="preserve"> catchment. </w:t>
      </w:r>
      <w:r w:rsidRPr="00EB19CB">
        <w:rPr>
          <w:rFonts w:ascii="Arial" w:hAnsi="Arial" w:cs="Arial"/>
          <w:i/>
          <w:iCs/>
          <w:color w:val="auto"/>
          <w:sz w:val="20"/>
          <w:szCs w:val="20"/>
          <w:shd w:val="clear" w:color="auto" w:fill="FFFFFF"/>
        </w:rPr>
        <w:t>European Journal of Agronomy</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29</w:t>
      </w:r>
      <w:r w:rsidRPr="00EB19CB">
        <w:rPr>
          <w:rFonts w:ascii="Arial" w:hAnsi="Arial" w:cs="Arial"/>
          <w:color w:val="auto"/>
          <w:sz w:val="20"/>
          <w:szCs w:val="20"/>
          <w:shd w:val="clear" w:color="auto" w:fill="FFFFFF"/>
        </w:rPr>
        <w:t xml:space="preserve">(1), 46-57. </w:t>
      </w:r>
      <w:hyperlink r:id="rId22" w:tgtFrame="_blank" w:tooltip="Persistent link using digital object identifier" w:history="1">
        <w:r w:rsidRPr="00EB19CB">
          <w:rPr>
            <w:rFonts w:ascii="Arial" w:hAnsi="Arial" w:cs="Arial"/>
            <w:color w:val="auto"/>
            <w:sz w:val="20"/>
            <w:szCs w:val="20"/>
          </w:rPr>
          <w:t>https://doi.org/10.1016/j.eja.2008.03.001</w:t>
        </w:r>
      </w:hyperlink>
    </w:p>
    <w:p w14:paraId="7B2B5CC9" w14:textId="7BE00C80" w:rsidR="005A1784" w:rsidRPr="00EB19CB" w:rsidRDefault="005A1784" w:rsidP="00A80853">
      <w:pPr>
        <w:pStyle w:val="PubliManuscript"/>
        <w:spacing w:line="240" w:lineRule="auto"/>
        <w:ind w:firstLine="0"/>
        <w:rPr>
          <w:rFonts w:ascii="Arial" w:hAnsi="Arial" w:cs="Arial"/>
          <w:color w:val="auto"/>
          <w:sz w:val="20"/>
          <w:szCs w:val="20"/>
          <w:shd w:val="clear" w:color="auto" w:fill="FFFFFF"/>
        </w:rPr>
      </w:pPr>
      <w:r w:rsidRPr="00EB19CB">
        <w:rPr>
          <w:rFonts w:ascii="Arial" w:hAnsi="Arial" w:cs="Arial"/>
          <w:color w:val="auto"/>
          <w:sz w:val="20"/>
          <w:szCs w:val="20"/>
          <w:shd w:val="clear" w:color="auto" w:fill="FFFFFF"/>
        </w:rPr>
        <w:t xml:space="preserve">Beaudoin N., </w:t>
      </w:r>
      <w:proofErr w:type="spellStart"/>
      <w:r w:rsidRPr="00EB19CB">
        <w:rPr>
          <w:rFonts w:ascii="Arial" w:hAnsi="Arial" w:cs="Arial"/>
          <w:color w:val="auto"/>
          <w:sz w:val="20"/>
          <w:szCs w:val="20"/>
          <w:shd w:val="clear" w:color="auto" w:fill="FFFFFF"/>
        </w:rPr>
        <w:t>Lecharpentier</w:t>
      </w:r>
      <w:proofErr w:type="spellEnd"/>
      <w:r w:rsidRPr="00EB19CB">
        <w:rPr>
          <w:rFonts w:ascii="Arial" w:hAnsi="Arial" w:cs="Arial"/>
          <w:color w:val="auto"/>
          <w:sz w:val="20"/>
          <w:szCs w:val="20"/>
          <w:shd w:val="clear" w:color="auto" w:fill="FFFFFF"/>
        </w:rPr>
        <w:t xml:space="preserve"> P., </w:t>
      </w:r>
      <w:proofErr w:type="spellStart"/>
      <w:r w:rsidRPr="00EB19CB">
        <w:rPr>
          <w:rFonts w:ascii="Arial" w:hAnsi="Arial" w:cs="Arial"/>
          <w:color w:val="auto"/>
          <w:sz w:val="20"/>
          <w:szCs w:val="20"/>
          <w:shd w:val="clear" w:color="auto" w:fill="FFFFFF"/>
        </w:rPr>
        <w:t>Ripoche</w:t>
      </w:r>
      <w:proofErr w:type="spellEnd"/>
      <w:r w:rsidRPr="00EB19CB">
        <w:rPr>
          <w:rFonts w:ascii="Arial" w:hAnsi="Arial" w:cs="Arial"/>
          <w:color w:val="auto"/>
          <w:sz w:val="20"/>
          <w:szCs w:val="20"/>
          <w:shd w:val="clear" w:color="auto" w:fill="FFFFFF"/>
        </w:rPr>
        <w:t xml:space="preserve"> D., </w:t>
      </w:r>
      <w:proofErr w:type="spellStart"/>
      <w:r w:rsidRPr="00EB19CB">
        <w:rPr>
          <w:rFonts w:ascii="Arial" w:hAnsi="Arial" w:cs="Arial"/>
          <w:color w:val="auto"/>
          <w:sz w:val="20"/>
          <w:szCs w:val="20"/>
          <w:shd w:val="clear" w:color="auto" w:fill="FFFFFF"/>
        </w:rPr>
        <w:t>Strullu</w:t>
      </w:r>
      <w:proofErr w:type="spellEnd"/>
      <w:r w:rsidRPr="00EB19CB">
        <w:rPr>
          <w:rFonts w:ascii="Arial" w:hAnsi="Arial" w:cs="Arial"/>
          <w:color w:val="auto"/>
          <w:sz w:val="20"/>
          <w:szCs w:val="20"/>
          <w:shd w:val="clear" w:color="auto" w:fill="FFFFFF"/>
        </w:rPr>
        <w:t xml:space="preserve"> L., Mary B., Leonard J., Launay M., </w:t>
      </w:r>
      <w:proofErr w:type="spellStart"/>
      <w:r w:rsidRPr="00EB19CB">
        <w:rPr>
          <w:rFonts w:ascii="Arial" w:hAnsi="Arial" w:cs="Arial"/>
          <w:color w:val="auto"/>
          <w:sz w:val="20"/>
          <w:szCs w:val="20"/>
          <w:shd w:val="clear" w:color="auto" w:fill="FFFFFF"/>
        </w:rPr>
        <w:t>Justes</w:t>
      </w:r>
      <w:proofErr w:type="spellEnd"/>
      <w:r w:rsidRPr="00EB19CB">
        <w:rPr>
          <w:rFonts w:ascii="Arial" w:hAnsi="Arial" w:cs="Arial"/>
          <w:color w:val="auto"/>
          <w:sz w:val="20"/>
          <w:szCs w:val="20"/>
          <w:shd w:val="clear" w:color="auto" w:fill="FFFFFF"/>
        </w:rPr>
        <w:t xml:space="preserve"> E., eds. 2022. STICS soil-crop model. Conceptual framework, equations and uses, Versailles, Éditions </w:t>
      </w:r>
      <w:proofErr w:type="spellStart"/>
      <w:r w:rsidRPr="00EB19CB">
        <w:rPr>
          <w:rFonts w:ascii="Arial" w:hAnsi="Arial" w:cs="Arial"/>
          <w:color w:val="auto"/>
          <w:sz w:val="20"/>
          <w:szCs w:val="20"/>
          <w:shd w:val="clear" w:color="auto" w:fill="FFFFFF"/>
        </w:rPr>
        <w:t>Quæ</w:t>
      </w:r>
      <w:proofErr w:type="spellEnd"/>
      <w:r w:rsidRPr="00EB19CB">
        <w:rPr>
          <w:rFonts w:ascii="Arial" w:hAnsi="Arial" w:cs="Arial"/>
          <w:color w:val="auto"/>
          <w:sz w:val="20"/>
          <w:szCs w:val="20"/>
          <w:shd w:val="clear" w:color="auto" w:fill="FFFFFF"/>
        </w:rPr>
        <w:t>.</w:t>
      </w:r>
    </w:p>
    <w:p w14:paraId="7BE20232" w14:textId="19D57061" w:rsidR="004558B9" w:rsidRPr="00EB19CB" w:rsidRDefault="004558B9" w:rsidP="00A80853">
      <w:pPr>
        <w:pStyle w:val="PubliManuscript"/>
        <w:spacing w:line="240" w:lineRule="auto"/>
        <w:ind w:firstLine="0"/>
        <w:rPr>
          <w:rFonts w:ascii="Arial" w:hAnsi="Arial" w:cs="Arial"/>
          <w:color w:val="auto"/>
          <w:sz w:val="20"/>
          <w:szCs w:val="20"/>
          <w:shd w:val="clear" w:color="auto" w:fill="FFFFFF"/>
        </w:rPr>
      </w:pPr>
      <w:r w:rsidRPr="00EB19CB">
        <w:rPr>
          <w:rFonts w:ascii="Arial" w:hAnsi="Arial" w:cs="Arial"/>
          <w:color w:val="auto"/>
          <w:sz w:val="20"/>
          <w:szCs w:val="20"/>
          <w:shd w:val="clear" w:color="auto" w:fill="FFFFFF"/>
        </w:rPr>
        <w:t>Bellamy, P. H., Loveland, P. J., Bradley, R. I., Lark, R. M., &amp; Kirk, G. J. (2005). Carbon losses from all soils across England and Wales 1978–2003. </w:t>
      </w:r>
      <w:r w:rsidRPr="00EB19CB">
        <w:rPr>
          <w:rFonts w:ascii="Arial" w:hAnsi="Arial" w:cs="Arial"/>
          <w:i/>
          <w:iCs/>
          <w:color w:val="auto"/>
          <w:sz w:val="20"/>
          <w:szCs w:val="20"/>
          <w:shd w:val="clear" w:color="auto" w:fill="FFFFFF"/>
        </w:rPr>
        <w:t>Nature</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437</w:t>
      </w:r>
      <w:r w:rsidRPr="00EB19CB">
        <w:rPr>
          <w:rFonts w:ascii="Arial" w:hAnsi="Arial" w:cs="Arial"/>
          <w:color w:val="auto"/>
          <w:sz w:val="20"/>
          <w:szCs w:val="20"/>
          <w:shd w:val="clear" w:color="auto" w:fill="FFFFFF"/>
        </w:rPr>
        <w:t xml:space="preserve">(7056), 245-248. </w:t>
      </w:r>
      <w:hyperlink r:id="rId23" w:history="1">
        <w:r w:rsidR="00654135" w:rsidRPr="00EB19CB">
          <w:rPr>
            <w:rFonts w:ascii="Arial" w:hAnsi="Arial" w:cs="Arial"/>
            <w:color w:val="auto"/>
            <w:sz w:val="20"/>
            <w:szCs w:val="20"/>
            <w:shd w:val="clear" w:color="auto" w:fill="FFFFFF"/>
          </w:rPr>
          <w:t>https://doi.org/10.1038/nature04038</w:t>
        </w:r>
      </w:hyperlink>
    </w:p>
    <w:p w14:paraId="2577CF44" w14:textId="7F99DE1C" w:rsidR="00950FAE" w:rsidRPr="00EB19CB" w:rsidRDefault="00950FAE" w:rsidP="00A80853">
      <w:pPr>
        <w:pStyle w:val="PubliManuscript"/>
        <w:spacing w:line="240" w:lineRule="auto"/>
        <w:ind w:firstLine="0"/>
        <w:rPr>
          <w:rStyle w:val="anchor-text"/>
          <w:rFonts w:ascii="Arial" w:hAnsi="Arial" w:cs="Arial"/>
          <w:color w:val="auto"/>
          <w:sz w:val="20"/>
          <w:szCs w:val="20"/>
        </w:rPr>
      </w:pPr>
      <w:proofErr w:type="spellStart"/>
      <w:r w:rsidRPr="00EB19CB">
        <w:rPr>
          <w:rFonts w:ascii="Arial" w:hAnsi="Arial" w:cs="Arial"/>
          <w:color w:val="auto"/>
          <w:sz w:val="20"/>
          <w:szCs w:val="20"/>
          <w:shd w:val="clear" w:color="auto" w:fill="FFFFFF"/>
        </w:rPr>
        <w:t>Bescansa</w:t>
      </w:r>
      <w:proofErr w:type="spellEnd"/>
      <w:r w:rsidRPr="00EB19CB">
        <w:rPr>
          <w:rFonts w:ascii="Arial" w:hAnsi="Arial" w:cs="Arial"/>
          <w:color w:val="auto"/>
          <w:sz w:val="20"/>
          <w:szCs w:val="20"/>
          <w:shd w:val="clear" w:color="auto" w:fill="FFFFFF"/>
        </w:rPr>
        <w:t xml:space="preserve">, P., </w:t>
      </w:r>
      <w:proofErr w:type="spellStart"/>
      <w:r w:rsidRPr="00EB19CB">
        <w:rPr>
          <w:rFonts w:ascii="Arial" w:hAnsi="Arial" w:cs="Arial"/>
          <w:color w:val="auto"/>
          <w:sz w:val="20"/>
          <w:szCs w:val="20"/>
          <w:shd w:val="clear" w:color="auto" w:fill="FFFFFF"/>
        </w:rPr>
        <w:t>Imaz</w:t>
      </w:r>
      <w:proofErr w:type="spellEnd"/>
      <w:r w:rsidRPr="00EB19CB">
        <w:rPr>
          <w:rFonts w:ascii="Arial" w:hAnsi="Arial" w:cs="Arial"/>
          <w:color w:val="auto"/>
          <w:sz w:val="20"/>
          <w:szCs w:val="20"/>
          <w:shd w:val="clear" w:color="auto" w:fill="FFFFFF"/>
        </w:rPr>
        <w:t xml:space="preserve">, M. J., Virto, I., Enrique, A., &amp; </w:t>
      </w:r>
      <w:proofErr w:type="spellStart"/>
      <w:r w:rsidRPr="00EB19CB">
        <w:rPr>
          <w:rFonts w:ascii="Arial" w:hAnsi="Arial" w:cs="Arial"/>
          <w:color w:val="auto"/>
          <w:sz w:val="20"/>
          <w:szCs w:val="20"/>
          <w:shd w:val="clear" w:color="auto" w:fill="FFFFFF"/>
        </w:rPr>
        <w:t>Hoogmoed</w:t>
      </w:r>
      <w:proofErr w:type="spellEnd"/>
      <w:r w:rsidRPr="00EB19CB">
        <w:rPr>
          <w:rFonts w:ascii="Arial" w:hAnsi="Arial" w:cs="Arial"/>
          <w:color w:val="auto"/>
          <w:sz w:val="20"/>
          <w:szCs w:val="20"/>
          <w:shd w:val="clear" w:color="auto" w:fill="FFFFFF"/>
        </w:rPr>
        <w:t>, W. B. (2006). Soil water retention as affected by tillage and residue management in semiarid Spain. </w:t>
      </w:r>
      <w:r w:rsidRPr="00EB19CB">
        <w:rPr>
          <w:rFonts w:ascii="Arial" w:hAnsi="Arial" w:cs="Arial"/>
          <w:i/>
          <w:iCs/>
          <w:color w:val="auto"/>
          <w:sz w:val="20"/>
          <w:szCs w:val="20"/>
          <w:shd w:val="clear" w:color="auto" w:fill="FFFFFF"/>
        </w:rPr>
        <w:t>Soil and Tillage Research</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87</w:t>
      </w:r>
      <w:r w:rsidRPr="00EB19CB">
        <w:rPr>
          <w:rFonts w:ascii="Arial" w:hAnsi="Arial" w:cs="Arial"/>
          <w:color w:val="auto"/>
          <w:sz w:val="20"/>
          <w:szCs w:val="20"/>
          <w:shd w:val="clear" w:color="auto" w:fill="FFFFFF"/>
        </w:rPr>
        <w:t xml:space="preserve">(1), 19-27. </w:t>
      </w:r>
      <w:hyperlink r:id="rId24" w:tgtFrame="_blank" w:tooltip="Persistent link using digital object identifier" w:history="1">
        <w:r w:rsidRPr="00EB19CB">
          <w:rPr>
            <w:rStyle w:val="anchor-text"/>
            <w:rFonts w:ascii="Arial" w:hAnsi="Arial" w:cs="Arial"/>
            <w:color w:val="auto"/>
            <w:sz w:val="20"/>
            <w:szCs w:val="20"/>
          </w:rPr>
          <w:t>https://doi.org/10.1016/j.still.2005.02.028</w:t>
        </w:r>
      </w:hyperlink>
    </w:p>
    <w:p w14:paraId="65646090" w14:textId="6AA3A01C" w:rsidR="00CD6CE3" w:rsidRPr="00EB19CB" w:rsidRDefault="00CD6CE3" w:rsidP="00A80853">
      <w:pPr>
        <w:pStyle w:val="PubliManuscript"/>
        <w:spacing w:line="240" w:lineRule="auto"/>
        <w:ind w:firstLine="0"/>
        <w:rPr>
          <w:rFonts w:ascii="Arial" w:hAnsi="Arial" w:cs="Arial"/>
          <w:color w:val="auto"/>
          <w:sz w:val="20"/>
          <w:szCs w:val="20"/>
          <w:shd w:val="clear" w:color="auto" w:fill="FFFFFF"/>
        </w:rPr>
      </w:pPr>
      <w:r w:rsidRPr="00EB19CB">
        <w:rPr>
          <w:rFonts w:ascii="Arial" w:hAnsi="Arial" w:cs="Arial"/>
          <w:color w:val="auto"/>
          <w:sz w:val="20"/>
          <w:szCs w:val="20"/>
          <w:shd w:val="clear" w:color="auto" w:fill="FFFFFF"/>
        </w:rPr>
        <w:t>Blanco-Canqui, H., &amp; Lal, R. (2009). Crop residue removal impacts on soil productivity and environmental quality. </w:t>
      </w:r>
      <w:r w:rsidRPr="00EB19CB">
        <w:rPr>
          <w:rFonts w:ascii="Arial" w:hAnsi="Arial" w:cs="Arial"/>
          <w:i/>
          <w:iCs/>
          <w:color w:val="auto"/>
          <w:sz w:val="20"/>
          <w:szCs w:val="20"/>
          <w:shd w:val="clear" w:color="auto" w:fill="FFFFFF"/>
        </w:rPr>
        <w:t>Critical reviews in plant science</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28</w:t>
      </w:r>
      <w:r w:rsidRPr="00EB19CB">
        <w:rPr>
          <w:rFonts w:ascii="Arial" w:hAnsi="Arial" w:cs="Arial"/>
          <w:color w:val="auto"/>
          <w:sz w:val="20"/>
          <w:szCs w:val="20"/>
          <w:shd w:val="clear" w:color="auto" w:fill="FFFFFF"/>
        </w:rPr>
        <w:t>(3), 139-163.</w:t>
      </w:r>
    </w:p>
    <w:p w14:paraId="2C45060B" w14:textId="3071E8AC" w:rsidR="004207EC" w:rsidRPr="00EB19CB" w:rsidRDefault="004207EC" w:rsidP="00A80853">
      <w:pPr>
        <w:pStyle w:val="PubliManuscript"/>
        <w:spacing w:line="240" w:lineRule="auto"/>
        <w:ind w:firstLine="0"/>
        <w:rPr>
          <w:rFonts w:ascii="Arial" w:hAnsi="Arial" w:cs="Arial"/>
          <w:color w:val="auto"/>
          <w:sz w:val="20"/>
          <w:szCs w:val="20"/>
          <w:shd w:val="clear" w:color="auto" w:fill="FFFFFF"/>
        </w:rPr>
      </w:pPr>
      <w:r w:rsidRPr="00EB19CB">
        <w:rPr>
          <w:rFonts w:ascii="Arial" w:hAnsi="Arial" w:cs="Arial"/>
          <w:color w:val="auto"/>
          <w:sz w:val="20"/>
          <w:szCs w:val="20"/>
          <w:shd w:val="clear" w:color="auto" w:fill="FFFFFF"/>
        </w:rPr>
        <w:t>Blanco-Canqui, H., &amp; Ruis, S. J. (2018). No-tillage and soil physical environment. </w:t>
      </w:r>
      <w:proofErr w:type="spellStart"/>
      <w:r w:rsidRPr="00EB19CB">
        <w:rPr>
          <w:rFonts w:ascii="Arial" w:hAnsi="Arial" w:cs="Arial"/>
          <w:i/>
          <w:iCs/>
          <w:color w:val="auto"/>
          <w:sz w:val="20"/>
          <w:szCs w:val="20"/>
          <w:shd w:val="clear" w:color="auto" w:fill="FFFFFF"/>
        </w:rPr>
        <w:t>Geoderma</w:t>
      </w:r>
      <w:proofErr w:type="spellEnd"/>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326</w:t>
      </w:r>
      <w:r w:rsidRPr="00EB19CB">
        <w:rPr>
          <w:rFonts w:ascii="Arial" w:hAnsi="Arial" w:cs="Arial"/>
          <w:color w:val="auto"/>
          <w:sz w:val="20"/>
          <w:szCs w:val="20"/>
          <w:shd w:val="clear" w:color="auto" w:fill="FFFFFF"/>
        </w:rPr>
        <w:t>, 164-200.</w:t>
      </w:r>
      <w:r w:rsidR="00B054E9" w:rsidRPr="00EB19CB">
        <w:rPr>
          <w:rFonts w:ascii="Arial" w:hAnsi="Arial" w:cs="Arial"/>
          <w:color w:val="auto"/>
          <w:sz w:val="20"/>
          <w:szCs w:val="20"/>
          <w:shd w:val="clear" w:color="auto" w:fill="FFFFFF"/>
        </w:rPr>
        <w:t xml:space="preserve"> </w:t>
      </w:r>
      <w:hyperlink r:id="rId25" w:tgtFrame="_blank" w:tooltip="Persistent link using digital object identifier" w:history="1">
        <w:r w:rsidR="00B054E9" w:rsidRPr="00EB19CB">
          <w:rPr>
            <w:rFonts w:ascii="Arial" w:hAnsi="Arial" w:cs="Arial"/>
            <w:color w:val="auto"/>
            <w:sz w:val="20"/>
            <w:szCs w:val="20"/>
            <w:shd w:val="clear" w:color="auto" w:fill="FFFFFF"/>
          </w:rPr>
          <w:t>https://doi.org/10.1016/j.geoderma.2018.03.011</w:t>
        </w:r>
      </w:hyperlink>
    </w:p>
    <w:p w14:paraId="7F779BB1" w14:textId="62ACBFC6" w:rsidR="00654135" w:rsidRPr="00EB19CB" w:rsidRDefault="00654135" w:rsidP="00A80853">
      <w:pPr>
        <w:pStyle w:val="PubliManuscript"/>
        <w:spacing w:line="240" w:lineRule="auto"/>
        <w:ind w:firstLine="0"/>
        <w:rPr>
          <w:rFonts w:ascii="Arial" w:hAnsi="Arial" w:cs="Arial"/>
          <w:color w:val="auto"/>
          <w:sz w:val="20"/>
          <w:szCs w:val="20"/>
          <w:shd w:val="clear" w:color="auto" w:fill="FFFFFF"/>
        </w:rPr>
      </w:pPr>
      <w:r w:rsidRPr="00EB19CB">
        <w:rPr>
          <w:rFonts w:ascii="Arial" w:hAnsi="Arial" w:cs="Arial"/>
          <w:color w:val="auto"/>
          <w:sz w:val="20"/>
          <w:szCs w:val="20"/>
          <w:shd w:val="clear" w:color="auto" w:fill="FFFFFF"/>
        </w:rPr>
        <w:t>Bond-Lamberty, B., &amp; Thomson, A. (2010). Temperature-associated increases in the global soil respiration record. </w:t>
      </w:r>
      <w:r w:rsidRPr="00EB19CB">
        <w:rPr>
          <w:rFonts w:ascii="Arial" w:hAnsi="Arial" w:cs="Arial"/>
          <w:i/>
          <w:iCs/>
          <w:color w:val="auto"/>
          <w:sz w:val="20"/>
          <w:szCs w:val="20"/>
          <w:shd w:val="clear" w:color="auto" w:fill="FFFFFF"/>
        </w:rPr>
        <w:t>Nature</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464</w:t>
      </w:r>
      <w:r w:rsidRPr="00EB19CB">
        <w:rPr>
          <w:rFonts w:ascii="Arial" w:hAnsi="Arial" w:cs="Arial"/>
          <w:color w:val="auto"/>
          <w:sz w:val="20"/>
          <w:szCs w:val="20"/>
          <w:shd w:val="clear" w:color="auto" w:fill="FFFFFF"/>
        </w:rPr>
        <w:t>(7288), 579-582.</w:t>
      </w:r>
      <w:r w:rsidR="00DA4814" w:rsidRPr="00EB19CB">
        <w:rPr>
          <w:rFonts w:ascii="Arial" w:hAnsi="Arial" w:cs="Arial"/>
          <w:color w:val="auto"/>
          <w:sz w:val="20"/>
          <w:szCs w:val="20"/>
          <w:shd w:val="clear" w:color="auto" w:fill="FFFFFF"/>
        </w:rPr>
        <w:t xml:space="preserve"> </w:t>
      </w:r>
      <w:hyperlink r:id="rId26" w:history="1">
        <w:r w:rsidR="00157185" w:rsidRPr="00EB19CB">
          <w:rPr>
            <w:rFonts w:ascii="Arial" w:hAnsi="Arial" w:cs="Arial"/>
            <w:color w:val="auto"/>
            <w:sz w:val="20"/>
            <w:szCs w:val="20"/>
          </w:rPr>
          <w:t>https://doi.org/10.1038/nature08930</w:t>
        </w:r>
      </w:hyperlink>
    </w:p>
    <w:p w14:paraId="15C886BB" w14:textId="694D775D" w:rsidR="00157185" w:rsidRPr="00EB19CB" w:rsidRDefault="00157185" w:rsidP="00A80853">
      <w:pPr>
        <w:pStyle w:val="PubliManuscript"/>
        <w:spacing w:line="240" w:lineRule="auto"/>
        <w:ind w:firstLine="0"/>
        <w:rPr>
          <w:rFonts w:ascii="Arial" w:hAnsi="Arial" w:cs="Arial"/>
          <w:color w:val="auto"/>
          <w:sz w:val="20"/>
          <w:szCs w:val="20"/>
          <w:shd w:val="clear" w:color="auto" w:fill="FFFFFF"/>
        </w:rPr>
      </w:pPr>
      <w:r w:rsidRPr="00EB19CB">
        <w:rPr>
          <w:rFonts w:ascii="Arial" w:hAnsi="Arial" w:cs="Arial"/>
          <w:color w:val="auto"/>
          <w:sz w:val="20"/>
          <w:szCs w:val="20"/>
          <w:shd w:val="clear" w:color="auto" w:fill="FFFFFF"/>
        </w:rPr>
        <w:t>Brennan, J., Hackett, R., McCabe, T., Grant, J., Fortune, R. A., &amp; Forristal, P. D. (2014). The effect of tillage system and residue management on grain yield and nitrogen use efficiency in winter wheat in a cool Atlantic climate. </w:t>
      </w:r>
      <w:r w:rsidRPr="00EB19CB">
        <w:rPr>
          <w:rFonts w:ascii="Arial" w:hAnsi="Arial" w:cs="Arial"/>
          <w:i/>
          <w:iCs/>
          <w:color w:val="auto"/>
          <w:sz w:val="20"/>
          <w:szCs w:val="20"/>
          <w:shd w:val="clear" w:color="auto" w:fill="FFFFFF"/>
        </w:rPr>
        <w:t>European Journal of Agronomy</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54</w:t>
      </w:r>
      <w:r w:rsidRPr="00EB19CB">
        <w:rPr>
          <w:rFonts w:ascii="Arial" w:hAnsi="Arial" w:cs="Arial"/>
          <w:color w:val="auto"/>
          <w:sz w:val="20"/>
          <w:szCs w:val="20"/>
          <w:shd w:val="clear" w:color="auto" w:fill="FFFFFF"/>
        </w:rPr>
        <w:t>, 61-69.</w:t>
      </w:r>
      <w:r w:rsidR="00242551" w:rsidRPr="00EB19CB">
        <w:rPr>
          <w:rFonts w:ascii="Arial" w:hAnsi="Arial" w:cs="Arial"/>
          <w:color w:val="auto"/>
          <w:sz w:val="20"/>
          <w:szCs w:val="20"/>
          <w:shd w:val="clear" w:color="auto" w:fill="FFFFFF"/>
        </w:rPr>
        <w:t xml:space="preserve"> </w:t>
      </w:r>
      <w:hyperlink r:id="rId27" w:tgtFrame="_blank" w:tooltip="Persistent link using digital object identifier" w:history="1">
        <w:r w:rsidR="00242551" w:rsidRPr="00EB19CB">
          <w:rPr>
            <w:rFonts w:ascii="Arial" w:hAnsi="Arial" w:cs="Arial"/>
            <w:color w:val="auto"/>
            <w:sz w:val="20"/>
            <w:szCs w:val="20"/>
            <w:shd w:val="clear" w:color="auto" w:fill="FFFFFF"/>
          </w:rPr>
          <w:t>https://doi.org/10.1016/j.eja.2013.11.009</w:t>
        </w:r>
      </w:hyperlink>
    </w:p>
    <w:p w14:paraId="7107830B" w14:textId="23849850" w:rsidR="002A58CD" w:rsidRPr="00EB19CB" w:rsidRDefault="002A58CD" w:rsidP="002A58CD">
      <w:pPr>
        <w:pStyle w:val="PubliManuscript"/>
        <w:spacing w:line="240" w:lineRule="auto"/>
        <w:ind w:firstLine="0"/>
        <w:rPr>
          <w:rFonts w:ascii="Arial" w:hAnsi="Arial" w:cs="Arial"/>
          <w:color w:val="auto"/>
          <w:sz w:val="20"/>
          <w:szCs w:val="20"/>
          <w:shd w:val="clear" w:color="auto" w:fill="FFFFFF"/>
        </w:rPr>
      </w:pPr>
      <w:r w:rsidRPr="00EB19CB">
        <w:rPr>
          <w:rFonts w:ascii="Arial" w:hAnsi="Arial" w:cs="Arial"/>
          <w:color w:val="auto"/>
          <w:sz w:val="20"/>
          <w:szCs w:val="20"/>
          <w:shd w:val="clear" w:color="auto" w:fill="FFFFFF"/>
        </w:rPr>
        <w:t xml:space="preserve">Brisson, N., Launay, M., Mary, B., Beaudoin, N. (2009). </w:t>
      </w:r>
      <w:r w:rsidRPr="00EB19CB">
        <w:rPr>
          <w:rFonts w:ascii="Arial" w:hAnsi="Arial" w:cs="Arial"/>
          <w:i/>
          <w:iCs/>
          <w:color w:val="auto"/>
          <w:sz w:val="20"/>
          <w:szCs w:val="20"/>
          <w:shd w:val="clear" w:color="auto" w:fill="FFFFFF"/>
        </w:rPr>
        <w:t>Conceptual basis, formalizations and parameterization of the STICS crop model</w:t>
      </w:r>
      <w:r w:rsidRPr="00EB19CB">
        <w:rPr>
          <w:rFonts w:ascii="Arial" w:hAnsi="Arial" w:cs="Arial"/>
          <w:color w:val="auto"/>
          <w:sz w:val="20"/>
          <w:szCs w:val="20"/>
          <w:shd w:val="clear" w:color="auto" w:fill="FFFFFF"/>
        </w:rPr>
        <w:t xml:space="preserve">. Ed. </w:t>
      </w:r>
      <w:proofErr w:type="spellStart"/>
      <w:r w:rsidRPr="00EB19CB">
        <w:rPr>
          <w:rFonts w:ascii="Arial" w:hAnsi="Arial" w:cs="Arial"/>
          <w:color w:val="auto"/>
          <w:sz w:val="20"/>
          <w:szCs w:val="20"/>
          <w:shd w:val="clear" w:color="auto" w:fill="FFFFFF"/>
        </w:rPr>
        <w:t>Quae</w:t>
      </w:r>
      <w:proofErr w:type="spellEnd"/>
      <w:r w:rsidRPr="00EB19CB">
        <w:rPr>
          <w:rFonts w:ascii="Arial" w:hAnsi="Arial" w:cs="Arial"/>
          <w:color w:val="auto"/>
          <w:sz w:val="20"/>
          <w:szCs w:val="20"/>
          <w:shd w:val="clear" w:color="auto" w:fill="FFFFFF"/>
        </w:rPr>
        <w:t>. 297</w:t>
      </w:r>
    </w:p>
    <w:p w14:paraId="4516E707" w14:textId="1B68775A" w:rsidR="0021567D" w:rsidRPr="00EB19CB" w:rsidRDefault="0021567D" w:rsidP="002A58CD">
      <w:pPr>
        <w:pStyle w:val="PubliManuscript"/>
        <w:spacing w:line="240" w:lineRule="auto"/>
        <w:ind w:firstLine="0"/>
        <w:rPr>
          <w:rFonts w:ascii="Arial" w:hAnsi="Arial" w:cs="Arial"/>
          <w:color w:val="auto"/>
          <w:sz w:val="20"/>
          <w:szCs w:val="20"/>
          <w:shd w:val="clear" w:color="auto" w:fill="FFFFFF"/>
        </w:rPr>
      </w:pPr>
      <w:r w:rsidRPr="00EB19CB">
        <w:rPr>
          <w:rFonts w:ascii="Arial" w:hAnsi="Arial" w:cs="Arial"/>
          <w:color w:val="auto"/>
          <w:sz w:val="20"/>
          <w:szCs w:val="20"/>
          <w:shd w:val="clear" w:color="auto" w:fill="FFFFFF"/>
        </w:rPr>
        <w:t xml:space="preserve">Buysse, P., Schnepf-Kiss, A. C., Carnol, M., </w:t>
      </w:r>
      <w:proofErr w:type="spellStart"/>
      <w:r w:rsidRPr="00EB19CB">
        <w:rPr>
          <w:rFonts w:ascii="Arial" w:hAnsi="Arial" w:cs="Arial"/>
          <w:color w:val="auto"/>
          <w:sz w:val="20"/>
          <w:szCs w:val="20"/>
          <w:shd w:val="clear" w:color="auto" w:fill="FFFFFF"/>
        </w:rPr>
        <w:t>Malchair</w:t>
      </w:r>
      <w:proofErr w:type="spellEnd"/>
      <w:r w:rsidRPr="00EB19CB">
        <w:rPr>
          <w:rFonts w:ascii="Arial" w:hAnsi="Arial" w:cs="Arial"/>
          <w:color w:val="auto"/>
          <w:sz w:val="20"/>
          <w:szCs w:val="20"/>
          <w:shd w:val="clear" w:color="auto" w:fill="FFFFFF"/>
        </w:rPr>
        <w:t>, S., Roisin, C., &amp; Aubinet, M. (2013). Fifty years of crop residue management have a limited impact on soil heterotrophic respiration. </w:t>
      </w:r>
      <w:r w:rsidRPr="00EB19CB">
        <w:rPr>
          <w:rFonts w:ascii="Arial" w:hAnsi="Arial" w:cs="Arial"/>
          <w:i/>
          <w:iCs/>
          <w:color w:val="auto"/>
          <w:sz w:val="20"/>
          <w:szCs w:val="20"/>
          <w:shd w:val="clear" w:color="auto" w:fill="FFFFFF"/>
        </w:rPr>
        <w:t>Agricultural and forest meteorology</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180</w:t>
      </w:r>
      <w:r w:rsidRPr="00EB19CB">
        <w:rPr>
          <w:rFonts w:ascii="Arial" w:hAnsi="Arial" w:cs="Arial"/>
          <w:color w:val="auto"/>
          <w:sz w:val="20"/>
          <w:szCs w:val="20"/>
          <w:shd w:val="clear" w:color="auto" w:fill="FFFFFF"/>
        </w:rPr>
        <w:t xml:space="preserve">, 102-111. </w:t>
      </w:r>
      <w:hyperlink r:id="rId28" w:tgtFrame="_blank" w:tooltip="Persistent link using digital object identifier" w:history="1">
        <w:r w:rsidRPr="00EB19CB">
          <w:rPr>
            <w:rFonts w:ascii="Arial" w:hAnsi="Arial" w:cs="Arial"/>
            <w:color w:val="auto"/>
            <w:sz w:val="20"/>
            <w:szCs w:val="20"/>
            <w:shd w:val="clear" w:color="auto" w:fill="FFFFFF"/>
          </w:rPr>
          <w:t>https://doi.org/10.1016/j.agrformet.2013.05.004</w:t>
        </w:r>
      </w:hyperlink>
    </w:p>
    <w:p w14:paraId="20D26D96" w14:textId="02B4E63A" w:rsidR="00227CF7" w:rsidRPr="00EB19CB" w:rsidRDefault="00227CF7" w:rsidP="002A58CD">
      <w:pPr>
        <w:pStyle w:val="PubliManuscript"/>
        <w:spacing w:line="240" w:lineRule="auto"/>
        <w:ind w:firstLine="0"/>
        <w:rPr>
          <w:rFonts w:ascii="Arial" w:hAnsi="Arial" w:cs="Arial"/>
          <w:color w:val="auto"/>
          <w:sz w:val="20"/>
          <w:szCs w:val="20"/>
          <w:shd w:val="clear" w:color="auto" w:fill="FFFFFF"/>
        </w:rPr>
      </w:pPr>
      <w:r w:rsidRPr="00EB19CB">
        <w:rPr>
          <w:rFonts w:ascii="Arial" w:hAnsi="Arial" w:cs="Arial"/>
          <w:color w:val="auto"/>
          <w:sz w:val="20"/>
          <w:szCs w:val="20"/>
          <w:shd w:val="clear" w:color="auto" w:fill="FFFFFF"/>
        </w:rPr>
        <w:t>Campbell, E. E., &amp; Paustian, K. (2015). Current developments in soil organic matter modeling and the expansion of model applications: a review. </w:t>
      </w:r>
      <w:r w:rsidRPr="00EB19CB">
        <w:rPr>
          <w:rFonts w:ascii="Arial" w:hAnsi="Arial" w:cs="Arial"/>
          <w:i/>
          <w:iCs/>
          <w:color w:val="auto"/>
          <w:sz w:val="20"/>
          <w:szCs w:val="20"/>
          <w:shd w:val="clear" w:color="auto" w:fill="FFFFFF"/>
        </w:rPr>
        <w:t>Environmental Research Letters</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10</w:t>
      </w:r>
      <w:r w:rsidRPr="00EB19CB">
        <w:rPr>
          <w:rFonts w:ascii="Arial" w:hAnsi="Arial" w:cs="Arial"/>
          <w:color w:val="auto"/>
          <w:sz w:val="20"/>
          <w:szCs w:val="20"/>
          <w:shd w:val="clear" w:color="auto" w:fill="FFFFFF"/>
        </w:rPr>
        <w:t xml:space="preserve">(12), 123004. </w:t>
      </w:r>
      <w:r w:rsidR="00613A03" w:rsidRPr="00EB19CB">
        <w:rPr>
          <w:rFonts w:ascii="Arial" w:hAnsi="Arial" w:cs="Arial"/>
          <w:color w:val="auto"/>
          <w:sz w:val="20"/>
          <w:szCs w:val="20"/>
          <w:shd w:val="clear" w:color="auto" w:fill="FFFFFF"/>
        </w:rPr>
        <w:t>https://doi.org/10.1088/1748-9326/10/12/123004</w:t>
      </w:r>
    </w:p>
    <w:p w14:paraId="30D3FC9F" w14:textId="750375FD" w:rsidR="001D175B" w:rsidRPr="00EB19CB" w:rsidRDefault="001D175B" w:rsidP="002A58CD">
      <w:pPr>
        <w:pStyle w:val="PubliManuscript"/>
        <w:spacing w:line="240" w:lineRule="auto"/>
        <w:ind w:firstLine="0"/>
        <w:rPr>
          <w:rFonts w:ascii="Arial" w:hAnsi="Arial" w:cs="Arial"/>
          <w:color w:val="auto"/>
          <w:sz w:val="20"/>
          <w:szCs w:val="20"/>
          <w:shd w:val="clear" w:color="auto" w:fill="FFFFFF"/>
        </w:rPr>
      </w:pPr>
      <w:r w:rsidRPr="00EB19CB">
        <w:rPr>
          <w:rFonts w:ascii="Arial" w:hAnsi="Arial" w:cs="Arial"/>
          <w:color w:val="auto"/>
          <w:sz w:val="20"/>
          <w:szCs w:val="20"/>
          <w:shd w:val="clear" w:color="auto" w:fill="FFFFFF"/>
        </w:rPr>
        <w:t xml:space="preserve">Clapp, C. E., Allmaras, R. R., </w:t>
      </w:r>
      <w:proofErr w:type="spellStart"/>
      <w:r w:rsidRPr="00EB19CB">
        <w:rPr>
          <w:rFonts w:ascii="Arial" w:hAnsi="Arial" w:cs="Arial"/>
          <w:color w:val="auto"/>
          <w:sz w:val="20"/>
          <w:szCs w:val="20"/>
          <w:shd w:val="clear" w:color="auto" w:fill="FFFFFF"/>
        </w:rPr>
        <w:t>Layese</w:t>
      </w:r>
      <w:proofErr w:type="spellEnd"/>
      <w:r w:rsidRPr="00EB19CB">
        <w:rPr>
          <w:rFonts w:ascii="Arial" w:hAnsi="Arial" w:cs="Arial"/>
          <w:color w:val="auto"/>
          <w:sz w:val="20"/>
          <w:szCs w:val="20"/>
          <w:shd w:val="clear" w:color="auto" w:fill="FFFFFF"/>
        </w:rPr>
        <w:t xml:space="preserve">, M. F., Linden, D. R., &amp; Dowdy, R. H. (2000). Soil organic carbon </w:t>
      </w:r>
      <w:r w:rsidRPr="00EB19CB">
        <w:rPr>
          <w:rFonts w:ascii="Arial" w:hAnsi="Arial" w:cs="Arial"/>
          <w:color w:val="auto"/>
          <w:sz w:val="20"/>
          <w:szCs w:val="20"/>
          <w:shd w:val="clear" w:color="auto" w:fill="FFFFFF"/>
        </w:rPr>
        <w:lastRenderedPageBreak/>
        <w:t>and 13C abundance as related to tillage, crop residue, and nitrogen fertilization under continuous corn management in Minnesota. </w:t>
      </w:r>
      <w:r w:rsidRPr="00EB19CB">
        <w:rPr>
          <w:rFonts w:ascii="Arial" w:hAnsi="Arial" w:cs="Arial"/>
          <w:i/>
          <w:iCs/>
          <w:color w:val="auto"/>
          <w:sz w:val="20"/>
          <w:szCs w:val="20"/>
          <w:shd w:val="clear" w:color="auto" w:fill="FFFFFF"/>
        </w:rPr>
        <w:t>Soil and Tillage Research</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55</w:t>
      </w:r>
      <w:r w:rsidRPr="00EB19CB">
        <w:rPr>
          <w:rFonts w:ascii="Arial" w:hAnsi="Arial" w:cs="Arial"/>
          <w:color w:val="auto"/>
          <w:sz w:val="20"/>
          <w:szCs w:val="20"/>
          <w:shd w:val="clear" w:color="auto" w:fill="FFFFFF"/>
        </w:rPr>
        <w:t>(3-4), 127-142.</w:t>
      </w:r>
      <w:r w:rsidR="00DD25E5" w:rsidRPr="00EB19CB">
        <w:rPr>
          <w:rFonts w:ascii="Arial" w:hAnsi="Arial" w:cs="Arial"/>
          <w:color w:val="auto"/>
          <w:sz w:val="20"/>
          <w:szCs w:val="20"/>
          <w:shd w:val="clear" w:color="auto" w:fill="FFFFFF"/>
        </w:rPr>
        <w:t xml:space="preserve"> </w:t>
      </w:r>
      <w:hyperlink r:id="rId29" w:tgtFrame="_blank" w:tooltip="Persistent link using digital object identifier" w:history="1">
        <w:r w:rsidR="00DD25E5" w:rsidRPr="00EB19CB">
          <w:rPr>
            <w:rFonts w:ascii="Arial" w:hAnsi="Arial" w:cs="Arial"/>
            <w:color w:val="auto"/>
            <w:sz w:val="20"/>
            <w:szCs w:val="20"/>
            <w:shd w:val="clear" w:color="auto" w:fill="FFFFFF"/>
          </w:rPr>
          <w:t>https://doi.org/10.1016/S0167-1987(00)00110-0</w:t>
        </w:r>
      </w:hyperlink>
    </w:p>
    <w:p w14:paraId="3B82A6A3" w14:textId="3B85C823" w:rsidR="000C1976" w:rsidRPr="00EB19CB" w:rsidRDefault="000C1976" w:rsidP="002A58CD">
      <w:pPr>
        <w:pStyle w:val="PubliManuscript"/>
        <w:spacing w:line="240" w:lineRule="auto"/>
        <w:ind w:firstLine="0"/>
        <w:rPr>
          <w:rFonts w:ascii="Arial" w:hAnsi="Arial" w:cs="Arial"/>
          <w:color w:val="auto"/>
          <w:sz w:val="20"/>
          <w:szCs w:val="20"/>
          <w:shd w:val="clear" w:color="auto" w:fill="FFFFFF"/>
        </w:rPr>
      </w:pPr>
      <w:proofErr w:type="spellStart"/>
      <w:r w:rsidRPr="00EB19CB">
        <w:rPr>
          <w:rFonts w:ascii="Arial" w:hAnsi="Arial" w:cs="Arial"/>
          <w:color w:val="auto"/>
          <w:sz w:val="20"/>
          <w:szCs w:val="20"/>
          <w:shd w:val="clear" w:color="auto" w:fill="FFFFFF"/>
        </w:rPr>
        <w:t>Clivot</w:t>
      </w:r>
      <w:proofErr w:type="spellEnd"/>
      <w:r w:rsidRPr="00EB19CB">
        <w:rPr>
          <w:rFonts w:ascii="Arial" w:hAnsi="Arial" w:cs="Arial"/>
          <w:color w:val="auto"/>
          <w:sz w:val="20"/>
          <w:szCs w:val="20"/>
          <w:shd w:val="clear" w:color="auto" w:fill="FFFFFF"/>
        </w:rPr>
        <w:t xml:space="preserve">, H., </w:t>
      </w:r>
      <w:proofErr w:type="spellStart"/>
      <w:r w:rsidRPr="00EB19CB">
        <w:rPr>
          <w:rFonts w:ascii="Arial" w:hAnsi="Arial" w:cs="Arial"/>
          <w:color w:val="auto"/>
          <w:sz w:val="20"/>
          <w:szCs w:val="20"/>
          <w:shd w:val="clear" w:color="auto" w:fill="FFFFFF"/>
        </w:rPr>
        <w:t>Mouny</w:t>
      </w:r>
      <w:proofErr w:type="spellEnd"/>
      <w:r w:rsidRPr="00EB19CB">
        <w:rPr>
          <w:rFonts w:ascii="Arial" w:hAnsi="Arial" w:cs="Arial"/>
          <w:color w:val="auto"/>
          <w:sz w:val="20"/>
          <w:szCs w:val="20"/>
          <w:shd w:val="clear" w:color="auto" w:fill="FFFFFF"/>
        </w:rPr>
        <w:t xml:space="preserve">, J. C., </w:t>
      </w:r>
      <w:proofErr w:type="spellStart"/>
      <w:r w:rsidRPr="00EB19CB">
        <w:rPr>
          <w:rFonts w:ascii="Arial" w:hAnsi="Arial" w:cs="Arial"/>
          <w:color w:val="auto"/>
          <w:sz w:val="20"/>
          <w:szCs w:val="20"/>
          <w:shd w:val="clear" w:color="auto" w:fill="FFFFFF"/>
        </w:rPr>
        <w:t>Duparque</w:t>
      </w:r>
      <w:proofErr w:type="spellEnd"/>
      <w:r w:rsidRPr="00EB19CB">
        <w:rPr>
          <w:rFonts w:ascii="Arial" w:hAnsi="Arial" w:cs="Arial"/>
          <w:color w:val="auto"/>
          <w:sz w:val="20"/>
          <w:szCs w:val="20"/>
          <w:shd w:val="clear" w:color="auto" w:fill="FFFFFF"/>
        </w:rPr>
        <w:t xml:space="preserve">, A., Dinh, J. L., </w:t>
      </w:r>
      <w:proofErr w:type="spellStart"/>
      <w:r w:rsidRPr="00EB19CB">
        <w:rPr>
          <w:rFonts w:ascii="Arial" w:hAnsi="Arial" w:cs="Arial"/>
          <w:color w:val="auto"/>
          <w:sz w:val="20"/>
          <w:szCs w:val="20"/>
          <w:shd w:val="clear" w:color="auto" w:fill="FFFFFF"/>
        </w:rPr>
        <w:t>Denoroy</w:t>
      </w:r>
      <w:proofErr w:type="spellEnd"/>
      <w:r w:rsidRPr="00EB19CB">
        <w:rPr>
          <w:rFonts w:ascii="Arial" w:hAnsi="Arial" w:cs="Arial"/>
          <w:color w:val="auto"/>
          <w:sz w:val="20"/>
          <w:szCs w:val="20"/>
          <w:shd w:val="clear" w:color="auto" w:fill="FFFFFF"/>
        </w:rPr>
        <w:t xml:space="preserve">, P., </w:t>
      </w:r>
      <w:proofErr w:type="spellStart"/>
      <w:r w:rsidRPr="00EB19CB">
        <w:rPr>
          <w:rFonts w:ascii="Arial" w:hAnsi="Arial" w:cs="Arial"/>
          <w:color w:val="auto"/>
          <w:sz w:val="20"/>
          <w:szCs w:val="20"/>
          <w:shd w:val="clear" w:color="auto" w:fill="FFFFFF"/>
        </w:rPr>
        <w:t>Houot</w:t>
      </w:r>
      <w:proofErr w:type="spellEnd"/>
      <w:r w:rsidRPr="00EB19CB">
        <w:rPr>
          <w:rFonts w:ascii="Arial" w:hAnsi="Arial" w:cs="Arial"/>
          <w:color w:val="auto"/>
          <w:sz w:val="20"/>
          <w:szCs w:val="20"/>
          <w:shd w:val="clear" w:color="auto" w:fill="FFFFFF"/>
        </w:rPr>
        <w:t>, S., ... &amp; Mary, B. (2019). Modeling soil organic carbon evolution in long-term arable experiments with AMG model. </w:t>
      </w:r>
      <w:r w:rsidRPr="00EB19CB">
        <w:rPr>
          <w:rFonts w:ascii="Arial" w:hAnsi="Arial" w:cs="Arial"/>
          <w:i/>
          <w:iCs/>
          <w:color w:val="auto"/>
          <w:sz w:val="20"/>
          <w:szCs w:val="20"/>
          <w:shd w:val="clear" w:color="auto" w:fill="FFFFFF"/>
        </w:rPr>
        <w:t>Environmental modelling &amp; software</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118</w:t>
      </w:r>
      <w:r w:rsidRPr="00EB19CB">
        <w:rPr>
          <w:rFonts w:ascii="Arial" w:hAnsi="Arial" w:cs="Arial"/>
          <w:color w:val="auto"/>
          <w:sz w:val="20"/>
          <w:szCs w:val="20"/>
          <w:shd w:val="clear" w:color="auto" w:fill="FFFFFF"/>
        </w:rPr>
        <w:t xml:space="preserve">, 99-113. </w:t>
      </w:r>
      <w:hyperlink r:id="rId30" w:tgtFrame="_blank" w:tooltip="Persistent link using digital object identifier" w:history="1">
        <w:r w:rsidR="005148E6" w:rsidRPr="00EB19CB">
          <w:rPr>
            <w:rStyle w:val="anchor-text"/>
            <w:rFonts w:ascii="Arial" w:hAnsi="Arial" w:cs="Arial"/>
            <w:color w:val="auto"/>
            <w:sz w:val="21"/>
            <w:szCs w:val="21"/>
          </w:rPr>
          <w:t>https://doi.org/10.1016/j.envsoft.2019.04.004</w:t>
        </w:r>
      </w:hyperlink>
    </w:p>
    <w:p w14:paraId="088FF6BA" w14:textId="60AE66D0" w:rsidR="000A02B2" w:rsidRPr="00EB19CB" w:rsidRDefault="000A02B2" w:rsidP="000A02B2">
      <w:pPr>
        <w:pStyle w:val="PubliManuscript"/>
        <w:spacing w:line="240" w:lineRule="auto"/>
        <w:ind w:firstLine="0"/>
        <w:rPr>
          <w:rFonts w:ascii="Arial" w:hAnsi="Arial" w:cs="Arial"/>
          <w:color w:val="auto"/>
          <w:sz w:val="20"/>
          <w:szCs w:val="20"/>
        </w:rPr>
      </w:pPr>
      <w:proofErr w:type="spellStart"/>
      <w:r w:rsidRPr="00EB19CB">
        <w:rPr>
          <w:rFonts w:ascii="Arial" w:hAnsi="Arial" w:cs="Arial"/>
          <w:color w:val="auto"/>
          <w:sz w:val="20"/>
          <w:szCs w:val="20"/>
          <w:shd w:val="clear" w:color="auto" w:fill="FFFFFF"/>
        </w:rPr>
        <w:t>Coucheney</w:t>
      </w:r>
      <w:proofErr w:type="spellEnd"/>
      <w:r w:rsidRPr="00EB19CB">
        <w:rPr>
          <w:rFonts w:ascii="Arial" w:hAnsi="Arial" w:cs="Arial"/>
          <w:color w:val="auto"/>
          <w:sz w:val="20"/>
          <w:szCs w:val="20"/>
          <w:shd w:val="clear" w:color="auto" w:fill="FFFFFF"/>
        </w:rPr>
        <w:t>, E., Buis, S., Launay, M., Constantin, J., Mary, B., de Cortázar-</w:t>
      </w:r>
      <w:proofErr w:type="spellStart"/>
      <w:r w:rsidRPr="00EB19CB">
        <w:rPr>
          <w:rFonts w:ascii="Arial" w:hAnsi="Arial" w:cs="Arial"/>
          <w:color w:val="auto"/>
          <w:sz w:val="20"/>
          <w:szCs w:val="20"/>
          <w:shd w:val="clear" w:color="auto" w:fill="FFFFFF"/>
        </w:rPr>
        <w:t>Atauri</w:t>
      </w:r>
      <w:proofErr w:type="spellEnd"/>
      <w:r w:rsidRPr="00EB19CB">
        <w:rPr>
          <w:rFonts w:ascii="Arial" w:hAnsi="Arial" w:cs="Arial"/>
          <w:color w:val="auto"/>
          <w:sz w:val="20"/>
          <w:szCs w:val="20"/>
          <w:shd w:val="clear" w:color="auto" w:fill="FFFFFF"/>
        </w:rPr>
        <w:t xml:space="preserve">, I. G., ... &amp; Léonard, J. (2015). Accuracy, robustness and behavior of the STICS soil–crop model for plant, water and nitrogen outputs: evaluation over a wide range of </w:t>
      </w:r>
      <w:proofErr w:type="spellStart"/>
      <w:r w:rsidRPr="00EB19CB">
        <w:rPr>
          <w:rFonts w:ascii="Arial" w:hAnsi="Arial" w:cs="Arial"/>
          <w:color w:val="auto"/>
          <w:sz w:val="20"/>
          <w:szCs w:val="20"/>
          <w:shd w:val="clear" w:color="auto" w:fill="FFFFFF"/>
        </w:rPr>
        <w:t>agro</w:t>
      </w:r>
      <w:proofErr w:type="spellEnd"/>
      <w:r w:rsidRPr="00EB19CB">
        <w:rPr>
          <w:rFonts w:ascii="Arial" w:hAnsi="Arial" w:cs="Arial"/>
          <w:color w:val="auto"/>
          <w:sz w:val="20"/>
          <w:szCs w:val="20"/>
          <w:shd w:val="clear" w:color="auto" w:fill="FFFFFF"/>
        </w:rPr>
        <w:t>-environmental conditions in France. </w:t>
      </w:r>
      <w:r w:rsidRPr="00EB19CB">
        <w:rPr>
          <w:rFonts w:ascii="Arial" w:hAnsi="Arial" w:cs="Arial"/>
          <w:i/>
          <w:iCs/>
          <w:color w:val="auto"/>
          <w:sz w:val="20"/>
          <w:szCs w:val="20"/>
          <w:shd w:val="clear" w:color="auto" w:fill="FFFFFF"/>
        </w:rPr>
        <w:t>Environmental Modelling &amp; Software</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64</w:t>
      </w:r>
      <w:r w:rsidRPr="00EB19CB">
        <w:rPr>
          <w:rFonts w:ascii="Arial" w:hAnsi="Arial" w:cs="Arial"/>
          <w:color w:val="auto"/>
          <w:sz w:val="20"/>
          <w:szCs w:val="20"/>
          <w:shd w:val="clear" w:color="auto" w:fill="FFFFFF"/>
        </w:rPr>
        <w:t xml:space="preserve">, 177-190. </w:t>
      </w:r>
      <w:hyperlink r:id="rId31" w:tgtFrame="_blank" w:tooltip="Persistent link using digital object identifier" w:history="1">
        <w:r w:rsidRPr="00EB19CB">
          <w:rPr>
            <w:rFonts w:ascii="Arial" w:hAnsi="Arial" w:cs="Arial"/>
            <w:color w:val="auto"/>
            <w:sz w:val="20"/>
            <w:szCs w:val="20"/>
          </w:rPr>
          <w:t>https://doi.org/10.1016/j.envsoft.2014.11.024</w:t>
        </w:r>
      </w:hyperlink>
    </w:p>
    <w:p w14:paraId="0218553F" w14:textId="1F82B84C" w:rsidR="00D4703F" w:rsidRPr="00EB19CB" w:rsidRDefault="00D4703F" w:rsidP="000A02B2">
      <w:pPr>
        <w:pStyle w:val="PubliManuscript"/>
        <w:spacing w:line="240" w:lineRule="auto"/>
        <w:ind w:firstLine="0"/>
        <w:rPr>
          <w:rFonts w:ascii="Arial" w:hAnsi="Arial" w:cs="Arial"/>
          <w:color w:val="auto"/>
          <w:sz w:val="20"/>
          <w:szCs w:val="20"/>
        </w:rPr>
      </w:pPr>
      <w:r w:rsidRPr="00EB19CB">
        <w:rPr>
          <w:rFonts w:ascii="Arial" w:hAnsi="Arial" w:cs="Arial"/>
          <w:color w:val="auto"/>
          <w:sz w:val="20"/>
          <w:szCs w:val="20"/>
          <w:shd w:val="clear" w:color="auto" w:fill="FFFFFF"/>
        </w:rPr>
        <w:t>Davis, P. A., Brown, J. C., Saunders, M., Lanigan, G., Wright, E., Fortune, T., ... &amp; Osborne, B. (2010). Assessing the effects of agricultural management practices on carbon fluxes: Spatial variation and the need for replicated estimates of Net Ecosystem Exchange. </w:t>
      </w:r>
      <w:r w:rsidRPr="00EB19CB">
        <w:rPr>
          <w:rFonts w:ascii="Arial" w:hAnsi="Arial" w:cs="Arial"/>
          <w:i/>
          <w:iCs/>
          <w:color w:val="auto"/>
          <w:sz w:val="20"/>
          <w:szCs w:val="20"/>
          <w:shd w:val="clear" w:color="auto" w:fill="FFFFFF"/>
        </w:rPr>
        <w:t>Agricultural and Forest Meteorology</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150</w:t>
      </w:r>
      <w:r w:rsidRPr="00EB19CB">
        <w:rPr>
          <w:rFonts w:ascii="Arial" w:hAnsi="Arial" w:cs="Arial"/>
          <w:color w:val="auto"/>
          <w:sz w:val="20"/>
          <w:szCs w:val="20"/>
          <w:shd w:val="clear" w:color="auto" w:fill="FFFFFF"/>
        </w:rPr>
        <w:t xml:space="preserve">(4), 564-574. </w:t>
      </w:r>
      <w:hyperlink r:id="rId32" w:tgtFrame="_blank" w:tooltip="Persistent link using digital object identifier" w:history="1">
        <w:r w:rsidR="00B86E4A" w:rsidRPr="00EB19CB">
          <w:rPr>
            <w:rStyle w:val="anchor-text"/>
            <w:rFonts w:ascii="Arial" w:hAnsi="Arial" w:cs="Arial"/>
            <w:color w:val="auto"/>
            <w:sz w:val="20"/>
            <w:szCs w:val="20"/>
          </w:rPr>
          <w:t>https://doi.org/10.1016/j.agrformet.2010.01.021</w:t>
        </w:r>
      </w:hyperlink>
    </w:p>
    <w:p w14:paraId="18E5CC43" w14:textId="77777777" w:rsidR="004E4889" w:rsidRPr="00EB19CB" w:rsidRDefault="004E4889" w:rsidP="000A02B2">
      <w:pPr>
        <w:pStyle w:val="PubliManuscript"/>
        <w:spacing w:line="240" w:lineRule="auto"/>
        <w:ind w:firstLine="0"/>
        <w:rPr>
          <w:rFonts w:ascii="Arial" w:hAnsi="Arial" w:cs="Arial"/>
          <w:color w:val="auto"/>
          <w:sz w:val="20"/>
          <w:szCs w:val="20"/>
          <w:shd w:val="clear" w:color="auto" w:fill="FFFFFF"/>
        </w:rPr>
      </w:pPr>
      <w:r w:rsidRPr="00EB19CB">
        <w:rPr>
          <w:rFonts w:ascii="Arial" w:hAnsi="Arial" w:cs="Arial"/>
          <w:color w:val="auto"/>
          <w:sz w:val="20"/>
          <w:szCs w:val="20"/>
          <w:shd w:val="clear" w:color="auto" w:fill="FFFFFF"/>
        </w:rPr>
        <w:t xml:space="preserve">Delandmeter, M., Léonard, J., Ferchaud, F., </w:t>
      </w:r>
      <w:proofErr w:type="spellStart"/>
      <w:r w:rsidRPr="00EB19CB">
        <w:rPr>
          <w:rFonts w:ascii="Arial" w:hAnsi="Arial" w:cs="Arial"/>
          <w:color w:val="auto"/>
          <w:sz w:val="20"/>
          <w:szCs w:val="20"/>
          <w:shd w:val="clear" w:color="auto" w:fill="FFFFFF"/>
        </w:rPr>
        <w:t>Heinesch</w:t>
      </w:r>
      <w:proofErr w:type="spellEnd"/>
      <w:r w:rsidRPr="00EB19CB">
        <w:rPr>
          <w:rFonts w:ascii="Arial" w:hAnsi="Arial" w:cs="Arial"/>
          <w:color w:val="auto"/>
          <w:sz w:val="20"/>
          <w:szCs w:val="20"/>
          <w:shd w:val="clear" w:color="auto" w:fill="FFFFFF"/>
        </w:rPr>
        <w:t xml:space="preserve">, B., </w:t>
      </w:r>
      <w:proofErr w:type="spellStart"/>
      <w:r w:rsidRPr="00EB19CB">
        <w:rPr>
          <w:rFonts w:ascii="Arial" w:hAnsi="Arial" w:cs="Arial"/>
          <w:color w:val="auto"/>
          <w:sz w:val="20"/>
          <w:szCs w:val="20"/>
          <w:shd w:val="clear" w:color="auto" w:fill="FFFFFF"/>
        </w:rPr>
        <w:t>Manise</w:t>
      </w:r>
      <w:proofErr w:type="spellEnd"/>
      <w:r w:rsidRPr="00EB19CB">
        <w:rPr>
          <w:rFonts w:ascii="Arial" w:hAnsi="Arial" w:cs="Arial"/>
          <w:color w:val="auto"/>
          <w:sz w:val="20"/>
          <w:szCs w:val="20"/>
          <w:shd w:val="clear" w:color="auto" w:fill="FFFFFF"/>
        </w:rPr>
        <w:t xml:space="preserve">, T., </w:t>
      </w:r>
      <w:proofErr w:type="spellStart"/>
      <w:r w:rsidRPr="00EB19CB">
        <w:rPr>
          <w:rFonts w:ascii="Arial" w:hAnsi="Arial" w:cs="Arial"/>
          <w:color w:val="auto"/>
          <w:sz w:val="20"/>
          <w:szCs w:val="20"/>
          <w:shd w:val="clear" w:color="auto" w:fill="FFFFFF"/>
        </w:rPr>
        <w:t>Faurès</w:t>
      </w:r>
      <w:proofErr w:type="spellEnd"/>
      <w:r w:rsidRPr="00EB19CB">
        <w:rPr>
          <w:rFonts w:ascii="Arial" w:hAnsi="Arial" w:cs="Arial"/>
          <w:color w:val="auto"/>
          <w:sz w:val="20"/>
          <w:szCs w:val="20"/>
          <w:shd w:val="clear" w:color="auto" w:fill="FFFFFF"/>
        </w:rPr>
        <w:t xml:space="preserve">, A., ... &amp; Dumont, B. (2023). A comprehensive analysis of CO2 exchanges in </w:t>
      </w:r>
      <w:proofErr w:type="spellStart"/>
      <w:r w:rsidRPr="00EB19CB">
        <w:rPr>
          <w:rFonts w:ascii="Arial" w:hAnsi="Arial" w:cs="Arial"/>
          <w:color w:val="auto"/>
          <w:sz w:val="20"/>
          <w:szCs w:val="20"/>
          <w:shd w:val="clear" w:color="auto" w:fill="FFFFFF"/>
        </w:rPr>
        <w:t>agro</w:t>
      </w:r>
      <w:proofErr w:type="spellEnd"/>
      <w:r w:rsidRPr="00EB19CB">
        <w:rPr>
          <w:rFonts w:ascii="Arial" w:hAnsi="Arial" w:cs="Arial"/>
          <w:color w:val="auto"/>
          <w:sz w:val="20"/>
          <w:szCs w:val="20"/>
          <w:shd w:val="clear" w:color="auto" w:fill="FFFFFF"/>
        </w:rPr>
        <w:t>-ecosystems based on a generic soil-crop model-derived methodology. </w:t>
      </w:r>
      <w:r w:rsidRPr="00EB19CB">
        <w:rPr>
          <w:rFonts w:ascii="Arial" w:hAnsi="Arial" w:cs="Arial"/>
          <w:i/>
          <w:iCs/>
          <w:color w:val="auto"/>
          <w:sz w:val="20"/>
          <w:szCs w:val="20"/>
          <w:shd w:val="clear" w:color="auto" w:fill="FFFFFF"/>
        </w:rPr>
        <w:t>Agricultural and Forest Meteorology</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340</w:t>
      </w:r>
      <w:r w:rsidRPr="00EB19CB">
        <w:rPr>
          <w:rFonts w:ascii="Arial" w:hAnsi="Arial" w:cs="Arial"/>
          <w:color w:val="auto"/>
          <w:sz w:val="20"/>
          <w:szCs w:val="20"/>
          <w:shd w:val="clear" w:color="auto" w:fill="FFFFFF"/>
        </w:rPr>
        <w:t>, 109621.</w:t>
      </w:r>
    </w:p>
    <w:p w14:paraId="35DB5C8F" w14:textId="615BC6C8" w:rsidR="00771599" w:rsidRPr="00EB19CB" w:rsidRDefault="00771599" w:rsidP="000A02B2">
      <w:pPr>
        <w:pStyle w:val="PubliManuscript"/>
        <w:spacing w:line="240" w:lineRule="auto"/>
        <w:ind w:firstLine="0"/>
        <w:rPr>
          <w:rFonts w:ascii="Arial" w:hAnsi="Arial" w:cs="Arial"/>
          <w:color w:val="auto"/>
          <w:sz w:val="20"/>
          <w:szCs w:val="20"/>
        </w:rPr>
      </w:pPr>
      <w:r w:rsidRPr="00EB19CB">
        <w:rPr>
          <w:rFonts w:ascii="Arial" w:hAnsi="Arial" w:cs="Arial"/>
          <w:color w:val="auto"/>
          <w:sz w:val="20"/>
          <w:szCs w:val="20"/>
          <w:shd w:val="clear" w:color="auto" w:fill="FFFFFF"/>
        </w:rPr>
        <w:t>Du, K., Li, F., Leng, P., Li, Z., Tian, C., Qiao, Y., &amp; Li, Z. (2020). Differential influence of no-tillage and precipitation pulses on soil heterotrophic and autotrophic respiration of summer maize in the North China plain. </w:t>
      </w:r>
      <w:r w:rsidRPr="00EB19CB">
        <w:rPr>
          <w:rFonts w:ascii="Arial" w:hAnsi="Arial" w:cs="Arial"/>
          <w:i/>
          <w:iCs/>
          <w:color w:val="auto"/>
          <w:sz w:val="20"/>
          <w:szCs w:val="20"/>
          <w:shd w:val="clear" w:color="auto" w:fill="FFFFFF"/>
        </w:rPr>
        <w:t>Agronomy</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10</w:t>
      </w:r>
      <w:r w:rsidRPr="00EB19CB">
        <w:rPr>
          <w:rFonts w:ascii="Arial" w:hAnsi="Arial" w:cs="Arial"/>
          <w:color w:val="auto"/>
          <w:sz w:val="20"/>
          <w:szCs w:val="20"/>
          <w:shd w:val="clear" w:color="auto" w:fill="FFFFFF"/>
        </w:rPr>
        <w:t xml:space="preserve">(12), 2004. </w:t>
      </w:r>
      <w:r w:rsidR="00B02EAC" w:rsidRPr="00EB19CB">
        <w:rPr>
          <w:rFonts w:ascii="Arial" w:hAnsi="Arial" w:cs="Arial"/>
          <w:color w:val="auto"/>
          <w:sz w:val="20"/>
          <w:szCs w:val="20"/>
          <w:shd w:val="clear" w:color="auto" w:fill="FFFFFF"/>
        </w:rPr>
        <w:t> </w:t>
      </w:r>
      <w:hyperlink r:id="rId33" w:history="1">
        <w:r w:rsidR="00B02EAC" w:rsidRPr="00EB19CB">
          <w:rPr>
            <w:rFonts w:ascii="Arial" w:hAnsi="Arial" w:cs="Arial"/>
            <w:color w:val="auto"/>
            <w:sz w:val="20"/>
            <w:szCs w:val="20"/>
          </w:rPr>
          <w:t>https://doi.org/10.3390/agronomy10122004</w:t>
        </w:r>
      </w:hyperlink>
    </w:p>
    <w:p w14:paraId="2362E706" w14:textId="4B753A05" w:rsidR="00653ED3" w:rsidRPr="00EB19CB" w:rsidRDefault="00653ED3" w:rsidP="000A02B2">
      <w:pPr>
        <w:pStyle w:val="PubliManuscript"/>
        <w:spacing w:line="240" w:lineRule="auto"/>
        <w:ind w:firstLine="0"/>
        <w:rPr>
          <w:rFonts w:ascii="Arial" w:hAnsi="Arial" w:cs="Arial"/>
          <w:color w:val="auto"/>
          <w:sz w:val="20"/>
          <w:szCs w:val="20"/>
          <w:shd w:val="clear" w:color="auto" w:fill="FFFFFF"/>
        </w:rPr>
      </w:pPr>
      <w:r w:rsidRPr="00EB19CB">
        <w:rPr>
          <w:rFonts w:ascii="Arial" w:hAnsi="Arial" w:cs="Arial"/>
          <w:color w:val="auto"/>
          <w:sz w:val="20"/>
          <w:szCs w:val="20"/>
          <w:shd w:val="clear" w:color="auto" w:fill="FFFFFF"/>
        </w:rPr>
        <w:t xml:space="preserve">Dumont, B., Basso, B., Bodson, B., Destain, J. P., &amp; Destain, M. F. (2015). Climatic risk assessment to improve nitrogen </w:t>
      </w:r>
      <w:proofErr w:type="spellStart"/>
      <w:r w:rsidRPr="00EB19CB">
        <w:rPr>
          <w:rFonts w:ascii="Arial" w:hAnsi="Arial" w:cs="Arial"/>
          <w:color w:val="auto"/>
          <w:sz w:val="20"/>
          <w:szCs w:val="20"/>
          <w:shd w:val="clear" w:color="auto" w:fill="FFFFFF"/>
        </w:rPr>
        <w:t>fertilisation</w:t>
      </w:r>
      <w:proofErr w:type="spellEnd"/>
      <w:r w:rsidRPr="00EB19CB">
        <w:rPr>
          <w:rFonts w:ascii="Arial" w:hAnsi="Arial" w:cs="Arial"/>
          <w:color w:val="auto"/>
          <w:sz w:val="20"/>
          <w:szCs w:val="20"/>
          <w:shd w:val="clear" w:color="auto" w:fill="FFFFFF"/>
        </w:rPr>
        <w:t xml:space="preserve"> recommendations: A strategic crop model-based approach. European Journal of Agronomy, 65, 10-17. </w:t>
      </w:r>
      <w:hyperlink r:id="rId34" w:tgtFrame="_blank" w:tooltip="Persistent link using digital object identifier" w:history="1">
        <w:r w:rsidRPr="00EB19CB">
          <w:rPr>
            <w:rFonts w:ascii="Arial" w:hAnsi="Arial" w:cs="Arial"/>
            <w:color w:val="auto"/>
            <w:sz w:val="20"/>
            <w:szCs w:val="20"/>
            <w:shd w:val="clear" w:color="auto" w:fill="FFFFFF"/>
          </w:rPr>
          <w:t>https://doi.org/10.1016/j.eja.2015.01.003</w:t>
        </w:r>
      </w:hyperlink>
    </w:p>
    <w:p w14:paraId="12AEA7DB" w14:textId="0804E49A" w:rsidR="00F63EC2" w:rsidRPr="00EB19CB" w:rsidRDefault="00F63EC2" w:rsidP="000A02B2">
      <w:pPr>
        <w:pStyle w:val="PubliManuscript"/>
        <w:spacing w:line="240" w:lineRule="auto"/>
        <w:ind w:firstLine="0"/>
        <w:rPr>
          <w:rStyle w:val="Lienhypertexte"/>
          <w:rFonts w:ascii="Arial" w:hAnsi="Arial" w:cs="Arial"/>
          <w:b/>
          <w:bCs/>
          <w:color w:val="auto"/>
          <w:sz w:val="20"/>
          <w:szCs w:val="20"/>
          <w:shd w:val="clear" w:color="auto" w:fill="FFFFFF"/>
          <w:lang w:val="fr-BE"/>
        </w:rPr>
      </w:pPr>
      <w:r w:rsidRPr="00EB19CB">
        <w:rPr>
          <w:rFonts w:ascii="Arial" w:hAnsi="Arial" w:cs="Arial"/>
          <w:color w:val="auto"/>
          <w:sz w:val="20"/>
          <w:szCs w:val="20"/>
          <w:shd w:val="clear" w:color="auto" w:fill="FFFFFF"/>
        </w:rPr>
        <w:t>Fowler, A. F., Basso, B., Millar, N., &amp; Brinton, W. F. (2023). A simple soil mass correction for a more accurate determination of soil carbon stock changes. </w:t>
      </w:r>
      <w:r w:rsidRPr="00EB19CB">
        <w:rPr>
          <w:rFonts w:ascii="Arial" w:hAnsi="Arial" w:cs="Arial"/>
          <w:i/>
          <w:iCs/>
          <w:color w:val="auto"/>
          <w:sz w:val="20"/>
          <w:szCs w:val="20"/>
          <w:shd w:val="clear" w:color="auto" w:fill="FFFFFF"/>
          <w:lang w:val="fr-BE"/>
        </w:rPr>
        <w:t>Scientific Reports</w:t>
      </w:r>
      <w:r w:rsidRPr="00EB19CB">
        <w:rPr>
          <w:rFonts w:ascii="Arial" w:hAnsi="Arial" w:cs="Arial"/>
          <w:color w:val="auto"/>
          <w:sz w:val="20"/>
          <w:szCs w:val="20"/>
          <w:shd w:val="clear" w:color="auto" w:fill="FFFFFF"/>
          <w:lang w:val="fr-BE"/>
        </w:rPr>
        <w:t>, </w:t>
      </w:r>
      <w:r w:rsidRPr="00EB19CB">
        <w:rPr>
          <w:rFonts w:ascii="Arial" w:hAnsi="Arial" w:cs="Arial"/>
          <w:i/>
          <w:iCs/>
          <w:color w:val="auto"/>
          <w:sz w:val="20"/>
          <w:szCs w:val="20"/>
          <w:shd w:val="clear" w:color="auto" w:fill="FFFFFF"/>
          <w:lang w:val="fr-BE"/>
        </w:rPr>
        <w:t>13</w:t>
      </w:r>
      <w:r w:rsidRPr="00EB19CB">
        <w:rPr>
          <w:rFonts w:ascii="Arial" w:hAnsi="Arial" w:cs="Arial"/>
          <w:color w:val="auto"/>
          <w:sz w:val="20"/>
          <w:szCs w:val="20"/>
          <w:shd w:val="clear" w:color="auto" w:fill="FFFFFF"/>
          <w:lang w:val="fr-BE"/>
        </w:rPr>
        <w:t>(1), 2242.</w:t>
      </w:r>
      <w:r w:rsidR="00FE57FA" w:rsidRPr="00EB19CB">
        <w:rPr>
          <w:rFonts w:ascii="Arial" w:hAnsi="Arial" w:cs="Arial"/>
          <w:color w:val="auto"/>
          <w:sz w:val="20"/>
          <w:szCs w:val="20"/>
          <w:shd w:val="clear" w:color="auto" w:fill="FFFFFF"/>
          <w:lang w:val="fr-BE"/>
        </w:rPr>
        <w:t xml:space="preserve"> </w:t>
      </w:r>
      <w:r w:rsidR="00FE57FA" w:rsidRPr="00EB19CB">
        <w:rPr>
          <w:rFonts w:ascii="Arial" w:hAnsi="Arial" w:cs="Arial"/>
          <w:color w:val="auto"/>
          <w:sz w:val="20"/>
          <w:szCs w:val="20"/>
          <w:lang w:val="fr-BE"/>
        </w:rPr>
        <w:t>https://doi.org/10.1038/s41598-023-29289-2</w:t>
      </w:r>
    </w:p>
    <w:p w14:paraId="00DF993C" w14:textId="25643938" w:rsidR="008A609F" w:rsidRPr="00EB19CB" w:rsidRDefault="008A609F" w:rsidP="000A02B2">
      <w:pPr>
        <w:pStyle w:val="PubliManuscript"/>
        <w:spacing w:line="240" w:lineRule="auto"/>
        <w:ind w:firstLine="0"/>
        <w:rPr>
          <w:rFonts w:ascii="Arial" w:hAnsi="Arial" w:cs="Arial"/>
          <w:color w:val="auto"/>
          <w:sz w:val="20"/>
          <w:szCs w:val="20"/>
        </w:rPr>
      </w:pPr>
      <w:proofErr w:type="spellStart"/>
      <w:r w:rsidRPr="00EB19CB">
        <w:rPr>
          <w:rFonts w:ascii="Arial" w:hAnsi="Arial" w:cs="Arial"/>
          <w:color w:val="auto"/>
          <w:sz w:val="20"/>
          <w:szCs w:val="20"/>
          <w:shd w:val="clear" w:color="auto" w:fill="FFFFFF"/>
          <w:lang w:val="fr-BE"/>
        </w:rPr>
        <w:t>Fujisaki</w:t>
      </w:r>
      <w:proofErr w:type="spellEnd"/>
      <w:r w:rsidRPr="00EB19CB">
        <w:rPr>
          <w:rFonts w:ascii="Arial" w:hAnsi="Arial" w:cs="Arial"/>
          <w:color w:val="auto"/>
          <w:sz w:val="20"/>
          <w:szCs w:val="20"/>
          <w:shd w:val="clear" w:color="auto" w:fill="FFFFFF"/>
          <w:lang w:val="fr-BE"/>
        </w:rPr>
        <w:t xml:space="preserve">, K., Chapuis-Lardy, L., Albrecht, A., </w:t>
      </w:r>
      <w:proofErr w:type="spellStart"/>
      <w:r w:rsidRPr="00EB19CB">
        <w:rPr>
          <w:rFonts w:ascii="Arial" w:hAnsi="Arial" w:cs="Arial"/>
          <w:color w:val="auto"/>
          <w:sz w:val="20"/>
          <w:szCs w:val="20"/>
          <w:shd w:val="clear" w:color="auto" w:fill="FFFFFF"/>
          <w:lang w:val="fr-BE"/>
        </w:rPr>
        <w:t>Razafimbelo</w:t>
      </w:r>
      <w:proofErr w:type="spellEnd"/>
      <w:r w:rsidRPr="00EB19CB">
        <w:rPr>
          <w:rFonts w:ascii="Arial" w:hAnsi="Arial" w:cs="Arial"/>
          <w:color w:val="auto"/>
          <w:sz w:val="20"/>
          <w:szCs w:val="20"/>
          <w:shd w:val="clear" w:color="auto" w:fill="FFFFFF"/>
          <w:lang w:val="fr-BE"/>
        </w:rPr>
        <w:t xml:space="preserve">, T., Chotte, J. L., &amp; Chevallier, T. (2018). </w:t>
      </w:r>
      <w:r w:rsidRPr="00EB19CB">
        <w:rPr>
          <w:rFonts w:ascii="Arial" w:hAnsi="Arial" w:cs="Arial"/>
          <w:color w:val="auto"/>
          <w:sz w:val="20"/>
          <w:szCs w:val="20"/>
          <w:shd w:val="clear" w:color="auto" w:fill="FFFFFF"/>
        </w:rPr>
        <w:t>Data synthesis of carbon distribution in particle size fractions of tropical soils: Implications for soil carbon storage potential in croplands. </w:t>
      </w:r>
      <w:proofErr w:type="spellStart"/>
      <w:r w:rsidRPr="00EB19CB">
        <w:rPr>
          <w:rFonts w:ascii="Arial" w:hAnsi="Arial" w:cs="Arial"/>
          <w:i/>
          <w:iCs/>
          <w:color w:val="auto"/>
          <w:sz w:val="20"/>
          <w:szCs w:val="20"/>
          <w:shd w:val="clear" w:color="auto" w:fill="FFFFFF"/>
        </w:rPr>
        <w:t>Geoderma</w:t>
      </w:r>
      <w:proofErr w:type="spellEnd"/>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313</w:t>
      </w:r>
      <w:r w:rsidRPr="00EB19CB">
        <w:rPr>
          <w:rFonts w:ascii="Arial" w:hAnsi="Arial" w:cs="Arial"/>
          <w:color w:val="auto"/>
          <w:sz w:val="20"/>
          <w:szCs w:val="20"/>
          <w:shd w:val="clear" w:color="auto" w:fill="FFFFFF"/>
        </w:rPr>
        <w:t xml:space="preserve">, 41-51. </w:t>
      </w:r>
      <w:hyperlink r:id="rId35" w:tgtFrame="_blank" w:tooltip="Persistent link using digital object identifier" w:history="1">
        <w:r w:rsidR="00D34219" w:rsidRPr="00EB19CB">
          <w:rPr>
            <w:rFonts w:ascii="Arial" w:hAnsi="Arial" w:cs="Arial"/>
            <w:color w:val="auto"/>
            <w:sz w:val="20"/>
            <w:szCs w:val="20"/>
          </w:rPr>
          <w:t>https://doi.org/10.1016/j.geoderma.2017.10.010</w:t>
        </w:r>
      </w:hyperlink>
    </w:p>
    <w:p w14:paraId="24B1B952" w14:textId="692EFA17" w:rsidR="00492063" w:rsidRPr="00EB19CB" w:rsidRDefault="00492063" w:rsidP="000A02B2">
      <w:pPr>
        <w:pStyle w:val="PubliManuscript"/>
        <w:spacing w:line="240" w:lineRule="auto"/>
        <w:ind w:firstLine="0"/>
        <w:rPr>
          <w:rFonts w:ascii="Arial" w:hAnsi="Arial" w:cs="Arial"/>
          <w:color w:val="auto"/>
          <w:sz w:val="20"/>
          <w:szCs w:val="20"/>
          <w:shd w:val="clear" w:color="auto" w:fill="FFFFFF"/>
          <w:lang w:val="fr-BE"/>
        </w:rPr>
      </w:pPr>
      <w:proofErr w:type="spellStart"/>
      <w:r w:rsidRPr="00EB19CB">
        <w:rPr>
          <w:rFonts w:ascii="Arial" w:hAnsi="Arial" w:cs="Arial"/>
          <w:color w:val="auto"/>
          <w:sz w:val="20"/>
          <w:szCs w:val="20"/>
          <w:shd w:val="clear" w:color="auto" w:fill="FFFFFF"/>
        </w:rPr>
        <w:t>Hernanz</w:t>
      </w:r>
      <w:proofErr w:type="spellEnd"/>
      <w:r w:rsidRPr="00EB19CB">
        <w:rPr>
          <w:rFonts w:ascii="Arial" w:hAnsi="Arial" w:cs="Arial"/>
          <w:color w:val="auto"/>
          <w:sz w:val="20"/>
          <w:szCs w:val="20"/>
          <w:shd w:val="clear" w:color="auto" w:fill="FFFFFF"/>
        </w:rPr>
        <w:t>, J. L., Sánchez-Girón, V., &amp; Navarrete, L. (2009). Soil carbon sequestration and stratification in a cereal/leguminous crop rotation with three tillage systems in semiarid conditions. </w:t>
      </w:r>
      <w:r w:rsidRPr="00EB19CB">
        <w:rPr>
          <w:rFonts w:ascii="Arial" w:hAnsi="Arial" w:cs="Arial"/>
          <w:i/>
          <w:iCs/>
          <w:color w:val="auto"/>
          <w:sz w:val="20"/>
          <w:szCs w:val="20"/>
          <w:shd w:val="clear" w:color="auto" w:fill="FFFFFF"/>
          <w:lang w:val="fr-BE"/>
        </w:rPr>
        <w:t xml:space="preserve">Agriculture, </w:t>
      </w:r>
      <w:proofErr w:type="spellStart"/>
      <w:r w:rsidRPr="00EB19CB">
        <w:rPr>
          <w:rFonts w:ascii="Arial" w:hAnsi="Arial" w:cs="Arial"/>
          <w:i/>
          <w:iCs/>
          <w:color w:val="auto"/>
          <w:sz w:val="20"/>
          <w:szCs w:val="20"/>
          <w:shd w:val="clear" w:color="auto" w:fill="FFFFFF"/>
          <w:lang w:val="fr-BE"/>
        </w:rPr>
        <w:t>Ecosystems</w:t>
      </w:r>
      <w:proofErr w:type="spellEnd"/>
      <w:r w:rsidRPr="00EB19CB">
        <w:rPr>
          <w:rFonts w:ascii="Arial" w:hAnsi="Arial" w:cs="Arial"/>
          <w:i/>
          <w:iCs/>
          <w:color w:val="auto"/>
          <w:sz w:val="20"/>
          <w:szCs w:val="20"/>
          <w:shd w:val="clear" w:color="auto" w:fill="FFFFFF"/>
          <w:lang w:val="fr-BE"/>
        </w:rPr>
        <w:t xml:space="preserve"> &amp; </w:t>
      </w:r>
      <w:proofErr w:type="spellStart"/>
      <w:r w:rsidRPr="00EB19CB">
        <w:rPr>
          <w:rFonts w:ascii="Arial" w:hAnsi="Arial" w:cs="Arial"/>
          <w:i/>
          <w:iCs/>
          <w:color w:val="auto"/>
          <w:sz w:val="20"/>
          <w:szCs w:val="20"/>
          <w:shd w:val="clear" w:color="auto" w:fill="FFFFFF"/>
          <w:lang w:val="fr-BE"/>
        </w:rPr>
        <w:t>Environment</w:t>
      </w:r>
      <w:proofErr w:type="spellEnd"/>
      <w:r w:rsidRPr="00EB19CB">
        <w:rPr>
          <w:rFonts w:ascii="Arial" w:hAnsi="Arial" w:cs="Arial"/>
          <w:color w:val="auto"/>
          <w:sz w:val="20"/>
          <w:szCs w:val="20"/>
          <w:shd w:val="clear" w:color="auto" w:fill="FFFFFF"/>
          <w:lang w:val="fr-BE"/>
        </w:rPr>
        <w:t>, </w:t>
      </w:r>
      <w:r w:rsidRPr="00EB19CB">
        <w:rPr>
          <w:rFonts w:ascii="Arial" w:hAnsi="Arial" w:cs="Arial"/>
          <w:i/>
          <w:iCs/>
          <w:color w:val="auto"/>
          <w:sz w:val="20"/>
          <w:szCs w:val="20"/>
          <w:shd w:val="clear" w:color="auto" w:fill="FFFFFF"/>
          <w:lang w:val="fr-BE"/>
        </w:rPr>
        <w:t>133</w:t>
      </w:r>
      <w:r w:rsidRPr="00EB19CB">
        <w:rPr>
          <w:rFonts w:ascii="Arial" w:hAnsi="Arial" w:cs="Arial"/>
          <w:color w:val="auto"/>
          <w:sz w:val="20"/>
          <w:szCs w:val="20"/>
          <w:shd w:val="clear" w:color="auto" w:fill="FFFFFF"/>
          <w:lang w:val="fr-BE"/>
        </w:rPr>
        <w:t xml:space="preserve">(1-2), 114-122. </w:t>
      </w:r>
      <w:hyperlink r:id="rId36" w:tgtFrame="_blank" w:tooltip="Persistent link using digital object identifier" w:history="1">
        <w:r w:rsidRPr="00EB19CB">
          <w:rPr>
            <w:rFonts w:ascii="Arial" w:hAnsi="Arial" w:cs="Arial"/>
            <w:color w:val="auto"/>
            <w:sz w:val="20"/>
            <w:szCs w:val="20"/>
            <w:shd w:val="clear" w:color="auto" w:fill="FFFFFF"/>
            <w:lang w:val="fr-BE"/>
          </w:rPr>
          <w:t>https://doi.org/10.1016/j.agee.2009.05.009</w:t>
        </w:r>
      </w:hyperlink>
    </w:p>
    <w:p w14:paraId="734DBB4B" w14:textId="1CF62F33" w:rsidR="003F2869" w:rsidRPr="00EB19CB" w:rsidRDefault="003F2869" w:rsidP="00B869BD">
      <w:pPr>
        <w:jc w:val="both"/>
        <w:rPr>
          <w:rFonts w:ascii="Arial" w:hAnsi="Arial" w:cs="Arial"/>
          <w:color w:val="auto"/>
          <w:sz w:val="20"/>
          <w:szCs w:val="20"/>
          <w:shd w:val="clear" w:color="auto" w:fill="FFFFFF"/>
        </w:rPr>
      </w:pPr>
      <w:proofErr w:type="spellStart"/>
      <w:r w:rsidRPr="00EB19CB">
        <w:rPr>
          <w:rFonts w:ascii="Arial" w:hAnsi="Arial" w:cs="Arial"/>
          <w:color w:val="auto"/>
          <w:sz w:val="20"/>
          <w:szCs w:val="20"/>
          <w:shd w:val="clear" w:color="auto" w:fill="FFFFFF"/>
          <w:lang w:val="fr-BE"/>
        </w:rPr>
        <w:t>Hiel</w:t>
      </w:r>
      <w:proofErr w:type="spellEnd"/>
      <w:r w:rsidRPr="00EB19CB">
        <w:rPr>
          <w:rFonts w:ascii="Arial" w:hAnsi="Arial" w:cs="Arial"/>
          <w:color w:val="auto"/>
          <w:sz w:val="20"/>
          <w:szCs w:val="20"/>
          <w:shd w:val="clear" w:color="auto" w:fill="FFFFFF"/>
          <w:lang w:val="fr-BE"/>
        </w:rPr>
        <w:t xml:space="preserve">, M. P., Barbieux, S., Pierreux, J., Olivier, C., </w:t>
      </w:r>
      <w:proofErr w:type="spellStart"/>
      <w:r w:rsidRPr="00EB19CB">
        <w:rPr>
          <w:rFonts w:ascii="Arial" w:hAnsi="Arial" w:cs="Arial"/>
          <w:color w:val="auto"/>
          <w:sz w:val="20"/>
          <w:szCs w:val="20"/>
          <w:shd w:val="clear" w:color="auto" w:fill="FFFFFF"/>
          <w:lang w:val="fr-BE"/>
        </w:rPr>
        <w:t>Lobet</w:t>
      </w:r>
      <w:proofErr w:type="spellEnd"/>
      <w:r w:rsidRPr="00EB19CB">
        <w:rPr>
          <w:rFonts w:ascii="Arial" w:hAnsi="Arial" w:cs="Arial"/>
          <w:color w:val="auto"/>
          <w:sz w:val="20"/>
          <w:szCs w:val="20"/>
          <w:shd w:val="clear" w:color="auto" w:fill="FFFFFF"/>
          <w:lang w:val="fr-BE"/>
        </w:rPr>
        <w:t xml:space="preserve">, G., Roisin, C., ... </w:t>
      </w:r>
      <w:r w:rsidRPr="00EB19CB">
        <w:rPr>
          <w:rFonts w:ascii="Arial" w:hAnsi="Arial" w:cs="Arial"/>
          <w:color w:val="auto"/>
          <w:sz w:val="20"/>
          <w:szCs w:val="20"/>
          <w:shd w:val="clear" w:color="auto" w:fill="FFFFFF"/>
        </w:rPr>
        <w:t>&amp; Dumont, B. (2018). Impact of crop residue management on crop production and soil chemistry after seven years of crop rotation in temperate climate, loamy soils. </w:t>
      </w:r>
      <w:proofErr w:type="spellStart"/>
      <w:r w:rsidRPr="00EB19CB">
        <w:rPr>
          <w:rFonts w:ascii="Arial" w:hAnsi="Arial" w:cs="Arial"/>
          <w:i/>
          <w:iCs/>
          <w:color w:val="auto"/>
          <w:sz w:val="20"/>
          <w:szCs w:val="20"/>
          <w:shd w:val="clear" w:color="auto" w:fill="FFFFFF"/>
        </w:rPr>
        <w:t>PeerJ</w:t>
      </w:r>
      <w:proofErr w:type="spellEnd"/>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6</w:t>
      </w:r>
      <w:r w:rsidRPr="00EB19CB">
        <w:rPr>
          <w:rFonts w:ascii="Arial" w:hAnsi="Arial" w:cs="Arial"/>
          <w:color w:val="auto"/>
          <w:sz w:val="20"/>
          <w:szCs w:val="20"/>
          <w:shd w:val="clear" w:color="auto" w:fill="FFFFFF"/>
        </w:rPr>
        <w:t>, e4836.</w:t>
      </w:r>
    </w:p>
    <w:p w14:paraId="08B32B35" w14:textId="4FEDAAF5" w:rsidR="00B869BD" w:rsidRPr="00EB19CB" w:rsidRDefault="00B869BD" w:rsidP="00B869BD">
      <w:pPr>
        <w:jc w:val="both"/>
        <w:rPr>
          <w:rFonts w:ascii="Arial" w:hAnsi="Arial" w:cs="Arial"/>
          <w:color w:val="auto"/>
          <w:sz w:val="20"/>
          <w:szCs w:val="20"/>
          <w:shd w:val="clear" w:color="auto" w:fill="FFFFFF"/>
        </w:rPr>
      </w:pPr>
      <w:r w:rsidRPr="00EB19CB">
        <w:rPr>
          <w:rFonts w:ascii="Arial" w:hAnsi="Arial" w:cs="Arial"/>
          <w:color w:val="auto"/>
          <w:sz w:val="20"/>
          <w:szCs w:val="20"/>
          <w:shd w:val="clear" w:color="auto" w:fill="FFFFFF"/>
        </w:rPr>
        <w:t>IUSS Working Group WRB</w:t>
      </w:r>
      <w:r w:rsidR="00F74F05" w:rsidRPr="00EB19CB">
        <w:rPr>
          <w:rFonts w:ascii="Arial" w:hAnsi="Arial" w:cs="Arial"/>
          <w:color w:val="auto"/>
          <w:sz w:val="20"/>
          <w:szCs w:val="20"/>
          <w:shd w:val="clear" w:color="auto" w:fill="FFFFFF"/>
        </w:rPr>
        <w:t xml:space="preserve"> (</w:t>
      </w:r>
      <w:r w:rsidRPr="00EB19CB">
        <w:rPr>
          <w:rFonts w:ascii="Arial" w:hAnsi="Arial" w:cs="Arial"/>
          <w:color w:val="auto"/>
          <w:sz w:val="20"/>
          <w:szCs w:val="20"/>
          <w:shd w:val="clear" w:color="auto" w:fill="FFFFFF"/>
        </w:rPr>
        <w:t>2014</w:t>
      </w:r>
      <w:r w:rsidR="00F74F05" w:rsidRPr="00EB19CB">
        <w:rPr>
          <w:rFonts w:ascii="Arial" w:hAnsi="Arial" w:cs="Arial"/>
          <w:color w:val="auto"/>
          <w:sz w:val="20"/>
          <w:szCs w:val="20"/>
          <w:shd w:val="clear" w:color="auto" w:fill="FFFFFF"/>
        </w:rPr>
        <w:t>)</w:t>
      </w:r>
      <w:r w:rsidRPr="00EB19CB">
        <w:rPr>
          <w:rFonts w:ascii="Arial" w:hAnsi="Arial" w:cs="Arial"/>
          <w:color w:val="auto"/>
          <w:sz w:val="20"/>
          <w:szCs w:val="20"/>
          <w:shd w:val="clear" w:color="auto" w:fill="FFFFFF"/>
        </w:rPr>
        <w:t xml:space="preserve">. </w:t>
      </w:r>
      <w:r w:rsidRPr="00EB19CB">
        <w:rPr>
          <w:rFonts w:ascii="Arial" w:hAnsi="Arial" w:cs="Arial"/>
          <w:i/>
          <w:iCs/>
          <w:color w:val="auto"/>
          <w:sz w:val="20"/>
          <w:szCs w:val="20"/>
          <w:shd w:val="clear" w:color="auto" w:fill="FFFFFF"/>
        </w:rPr>
        <w:t>World reference base for soil resources 2014: inter-national soil classification system for naming soils and creating legends for soil maps</w:t>
      </w:r>
      <w:r w:rsidRPr="00EB19CB">
        <w:rPr>
          <w:rFonts w:ascii="Arial" w:hAnsi="Arial" w:cs="Arial"/>
          <w:color w:val="auto"/>
          <w:sz w:val="20"/>
          <w:szCs w:val="20"/>
          <w:shd w:val="clear" w:color="auto" w:fill="FFFFFF"/>
        </w:rPr>
        <w:t>. Rome: FAO.</w:t>
      </w:r>
    </w:p>
    <w:p w14:paraId="2B7D71C0" w14:textId="7D8502C0" w:rsidR="00584069" w:rsidRPr="00EB19CB" w:rsidRDefault="00584069" w:rsidP="00BF0073">
      <w:pPr>
        <w:jc w:val="both"/>
        <w:rPr>
          <w:rFonts w:ascii="Arial" w:hAnsi="Arial" w:cs="Arial"/>
          <w:color w:val="auto"/>
          <w:sz w:val="20"/>
          <w:szCs w:val="20"/>
          <w:shd w:val="clear" w:color="auto" w:fill="FFFFFF"/>
          <w:lang w:val="nl-NL"/>
        </w:rPr>
      </w:pPr>
      <w:r w:rsidRPr="00EB19CB">
        <w:rPr>
          <w:rFonts w:ascii="Arial" w:hAnsi="Arial" w:cs="Arial"/>
          <w:color w:val="auto"/>
          <w:sz w:val="20"/>
          <w:szCs w:val="20"/>
          <w:shd w:val="clear" w:color="auto" w:fill="FFFFFF"/>
        </w:rPr>
        <w:t xml:space="preserve">Jacinthe, P. A., Lal, R., &amp; Kimble, J. M. (2002). Carbon budget and seasonal carbon dioxide emission from a central Ohio </w:t>
      </w:r>
      <w:proofErr w:type="spellStart"/>
      <w:r w:rsidRPr="00EB19CB">
        <w:rPr>
          <w:rFonts w:ascii="Arial" w:hAnsi="Arial" w:cs="Arial"/>
          <w:color w:val="auto"/>
          <w:sz w:val="20"/>
          <w:szCs w:val="20"/>
          <w:shd w:val="clear" w:color="auto" w:fill="FFFFFF"/>
        </w:rPr>
        <w:t>Luvisol</w:t>
      </w:r>
      <w:proofErr w:type="spellEnd"/>
      <w:r w:rsidRPr="00EB19CB">
        <w:rPr>
          <w:rFonts w:ascii="Arial" w:hAnsi="Arial" w:cs="Arial"/>
          <w:color w:val="auto"/>
          <w:sz w:val="20"/>
          <w:szCs w:val="20"/>
          <w:shd w:val="clear" w:color="auto" w:fill="FFFFFF"/>
        </w:rPr>
        <w:t xml:space="preserve"> as influenced by wheat residue amendment. </w:t>
      </w:r>
      <w:proofErr w:type="spellStart"/>
      <w:r w:rsidRPr="00EB19CB">
        <w:rPr>
          <w:rFonts w:ascii="Arial" w:hAnsi="Arial" w:cs="Arial"/>
          <w:i/>
          <w:iCs/>
          <w:color w:val="auto"/>
          <w:sz w:val="20"/>
          <w:szCs w:val="20"/>
          <w:shd w:val="clear" w:color="auto" w:fill="FFFFFF"/>
          <w:lang w:val="nl-NL"/>
        </w:rPr>
        <w:t>Soil</w:t>
      </w:r>
      <w:proofErr w:type="spellEnd"/>
      <w:r w:rsidRPr="00EB19CB">
        <w:rPr>
          <w:rFonts w:ascii="Arial" w:hAnsi="Arial" w:cs="Arial"/>
          <w:i/>
          <w:iCs/>
          <w:color w:val="auto"/>
          <w:sz w:val="20"/>
          <w:szCs w:val="20"/>
          <w:shd w:val="clear" w:color="auto" w:fill="FFFFFF"/>
          <w:lang w:val="nl-NL"/>
        </w:rPr>
        <w:t xml:space="preserve"> </w:t>
      </w:r>
      <w:proofErr w:type="spellStart"/>
      <w:r w:rsidRPr="00EB19CB">
        <w:rPr>
          <w:rFonts w:ascii="Arial" w:hAnsi="Arial" w:cs="Arial"/>
          <w:i/>
          <w:iCs/>
          <w:color w:val="auto"/>
          <w:sz w:val="20"/>
          <w:szCs w:val="20"/>
          <w:shd w:val="clear" w:color="auto" w:fill="FFFFFF"/>
          <w:lang w:val="nl-NL"/>
        </w:rPr>
        <w:t>and</w:t>
      </w:r>
      <w:proofErr w:type="spellEnd"/>
      <w:r w:rsidRPr="00EB19CB">
        <w:rPr>
          <w:rFonts w:ascii="Arial" w:hAnsi="Arial" w:cs="Arial"/>
          <w:i/>
          <w:iCs/>
          <w:color w:val="auto"/>
          <w:sz w:val="20"/>
          <w:szCs w:val="20"/>
          <w:shd w:val="clear" w:color="auto" w:fill="FFFFFF"/>
          <w:lang w:val="nl-NL"/>
        </w:rPr>
        <w:t xml:space="preserve"> </w:t>
      </w:r>
      <w:proofErr w:type="spellStart"/>
      <w:r w:rsidRPr="00EB19CB">
        <w:rPr>
          <w:rFonts w:ascii="Arial" w:hAnsi="Arial" w:cs="Arial"/>
          <w:i/>
          <w:iCs/>
          <w:color w:val="auto"/>
          <w:sz w:val="20"/>
          <w:szCs w:val="20"/>
          <w:shd w:val="clear" w:color="auto" w:fill="FFFFFF"/>
          <w:lang w:val="nl-NL"/>
        </w:rPr>
        <w:t>Tillage</w:t>
      </w:r>
      <w:proofErr w:type="spellEnd"/>
      <w:r w:rsidRPr="00EB19CB">
        <w:rPr>
          <w:rFonts w:ascii="Arial" w:hAnsi="Arial" w:cs="Arial"/>
          <w:i/>
          <w:iCs/>
          <w:color w:val="auto"/>
          <w:sz w:val="20"/>
          <w:szCs w:val="20"/>
          <w:shd w:val="clear" w:color="auto" w:fill="FFFFFF"/>
          <w:lang w:val="nl-NL"/>
        </w:rPr>
        <w:t xml:space="preserve"> Research</w:t>
      </w:r>
      <w:r w:rsidRPr="00EB19CB">
        <w:rPr>
          <w:rFonts w:ascii="Arial" w:hAnsi="Arial" w:cs="Arial"/>
          <w:color w:val="auto"/>
          <w:sz w:val="20"/>
          <w:szCs w:val="20"/>
          <w:shd w:val="clear" w:color="auto" w:fill="FFFFFF"/>
          <w:lang w:val="nl-NL"/>
        </w:rPr>
        <w:t>, </w:t>
      </w:r>
      <w:r w:rsidRPr="00EB19CB">
        <w:rPr>
          <w:rFonts w:ascii="Arial" w:hAnsi="Arial" w:cs="Arial"/>
          <w:i/>
          <w:iCs/>
          <w:color w:val="auto"/>
          <w:sz w:val="20"/>
          <w:szCs w:val="20"/>
          <w:shd w:val="clear" w:color="auto" w:fill="FFFFFF"/>
          <w:lang w:val="nl-NL"/>
        </w:rPr>
        <w:t>67</w:t>
      </w:r>
      <w:r w:rsidRPr="00EB19CB">
        <w:rPr>
          <w:rFonts w:ascii="Arial" w:hAnsi="Arial" w:cs="Arial"/>
          <w:color w:val="auto"/>
          <w:sz w:val="20"/>
          <w:szCs w:val="20"/>
          <w:shd w:val="clear" w:color="auto" w:fill="FFFFFF"/>
          <w:lang w:val="nl-NL"/>
        </w:rPr>
        <w:t xml:space="preserve">(2), 147-157. </w:t>
      </w:r>
      <w:hyperlink r:id="rId37" w:tgtFrame="_blank" w:tooltip="Persistent link using digital object identifier" w:history="1">
        <w:r w:rsidR="00BF0073" w:rsidRPr="00EB19CB">
          <w:rPr>
            <w:rFonts w:ascii="Arial" w:hAnsi="Arial" w:cs="Arial"/>
            <w:color w:val="auto"/>
            <w:sz w:val="20"/>
            <w:szCs w:val="20"/>
            <w:lang w:val="nl-NL"/>
          </w:rPr>
          <w:t>https://doi.org/10.1016/S0167-1987(02)00058-2</w:t>
        </w:r>
      </w:hyperlink>
    </w:p>
    <w:p w14:paraId="526A19ED" w14:textId="7F67AD4E" w:rsidR="005E0CCE" w:rsidRPr="00EB19CB" w:rsidRDefault="005E0CCE" w:rsidP="00054E37">
      <w:pPr>
        <w:jc w:val="both"/>
        <w:rPr>
          <w:rFonts w:ascii="Arial" w:hAnsi="Arial" w:cs="Arial"/>
          <w:color w:val="auto"/>
          <w:sz w:val="20"/>
          <w:szCs w:val="20"/>
        </w:rPr>
      </w:pPr>
      <w:proofErr w:type="spellStart"/>
      <w:r w:rsidRPr="00EB19CB">
        <w:rPr>
          <w:rFonts w:ascii="Arial" w:hAnsi="Arial" w:cs="Arial"/>
          <w:color w:val="auto"/>
          <w:sz w:val="20"/>
          <w:szCs w:val="20"/>
          <w:shd w:val="clear" w:color="auto" w:fill="FFFFFF"/>
          <w:lang w:val="nl-NL"/>
        </w:rPr>
        <w:t>Knapp</w:t>
      </w:r>
      <w:proofErr w:type="spellEnd"/>
      <w:r w:rsidRPr="00EB19CB">
        <w:rPr>
          <w:rFonts w:ascii="Arial" w:hAnsi="Arial" w:cs="Arial"/>
          <w:color w:val="auto"/>
          <w:sz w:val="20"/>
          <w:szCs w:val="20"/>
          <w:shd w:val="clear" w:color="auto" w:fill="FFFFFF"/>
          <w:lang w:val="nl-NL"/>
        </w:rPr>
        <w:t xml:space="preserve">, S., &amp; van der Heijden, M. G. (2018). </w:t>
      </w:r>
      <w:r w:rsidRPr="00EB19CB">
        <w:rPr>
          <w:rFonts w:ascii="Arial" w:hAnsi="Arial" w:cs="Arial"/>
          <w:color w:val="auto"/>
          <w:sz w:val="20"/>
          <w:szCs w:val="20"/>
          <w:shd w:val="clear" w:color="auto" w:fill="FFFFFF"/>
        </w:rPr>
        <w:t>A global meta-analysis of yield stability in organic and conservation agriculture. </w:t>
      </w:r>
      <w:r w:rsidRPr="00EB19CB">
        <w:rPr>
          <w:rFonts w:ascii="Arial" w:hAnsi="Arial" w:cs="Arial"/>
          <w:i/>
          <w:iCs/>
          <w:color w:val="auto"/>
          <w:sz w:val="20"/>
          <w:szCs w:val="20"/>
          <w:shd w:val="clear" w:color="auto" w:fill="FFFFFF"/>
        </w:rPr>
        <w:t>Nature communications</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9</w:t>
      </w:r>
      <w:r w:rsidRPr="00EB19CB">
        <w:rPr>
          <w:rFonts w:ascii="Arial" w:hAnsi="Arial" w:cs="Arial"/>
          <w:color w:val="auto"/>
          <w:sz w:val="20"/>
          <w:szCs w:val="20"/>
          <w:shd w:val="clear" w:color="auto" w:fill="FFFFFF"/>
        </w:rPr>
        <w:t>(1), 3632.</w:t>
      </w:r>
      <w:r w:rsidR="00AF1B82" w:rsidRPr="00EB19CB">
        <w:rPr>
          <w:rFonts w:ascii="Arial" w:hAnsi="Arial" w:cs="Arial"/>
          <w:color w:val="auto"/>
          <w:sz w:val="20"/>
          <w:szCs w:val="20"/>
          <w:shd w:val="clear" w:color="auto" w:fill="FFFFFF"/>
        </w:rPr>
        <w:t xml:space="preserve"> </w:t>
      </w:r>
      <w:hyperlink r:id="rId38" w:history="1">
        <w:r w:rsidR="005D3141" w:rsidRPr="00EB19CB">
          <w:rPr>
            <w:rFonts w:ascii="Arial" w:hAnsi="Arial" w:cs="Arial"/>
            <w:color w:val="auto"/>
            <w:sz w:val="20"/>
            <w:szCs w:val="20"/>
          </w:rPr>
          <w:t>https://doi.org/10.1038/s41467-018-05956-1</w:t>
        </w:r>
      </w:hyperlink>
    </w:p>
    <w:p w14:paraId="1A3A2675" w14:textId="3EDBD6BD" w:rsidR="00DD698F" w:rsidRPr="00EB19CB" w:rsidRDefault="00DD698F" w:rsidP="00054E37">
      <w:pPr>
        <w:jc w:val="both"/>
        <w:rPr>
          <w:rFonts w:ascii="Arial" w:hAnsi="Arial" w:cs="Arial"/>
          <w:color w:val="auto"/>
          <w:sz w:val="20"/>
          <w:szCs w:val="20"/>
          <w:shd w:val="clear" w:color="auto" w:fill="FFFFFF"/>
        </w:rPr>
      </w:pPr>
      <w:r w:rsidRPr="00EB19CB">
        <w:rPr>
          <w:rFonts w:ascii="Arial" w:hAnsi="Arial" w:cs="Arial"/>
          <w:color w:val="auto"/>
          <w:sz w:val="20"/>
          <w:szCs w:val="20"/>
          <w:shd w:val="clear" w:color="auto" w:fill="FFFFFF"/>
        </w:rPr>
        <w:t xml:space="preserve">Krauss, M., </w:t>
      </w:r>
      <w:proofErr w:type="spellStart"/>
      <w:r w:rsidRPr="00EB19CB">
        <w:rPr>
          <w:rFonts w:ascii="Arial" w:hAnsi="Arial" w:cs="Arial"/>
          <w:color w:val="auto"/>
          <w:sz w:val="20"/>
          <w:szCs w:val="20"/>
          <w:shd w:val="clear" w:color="auto" w:fill="FFFFFF"/>
        </w:rPr>
        <w:t>Wiesmeier</w:t>
      </w:r>
      <w:proofErr w:type="spellEnd"/>
      <w:r w:rsidRPr="00EB19CB">
        <w:rPr>
          <w:rFonts w:ascii="Arial" w:hAnsi="Arial" w:cs="Arial"/>
          <w:color w:val="auto"/>
          <w:sz w:val="20"/>
          <w:szCs w:val="20"/>
          <w:shd w:val="clear" w:color="auto" w:fill="FFFFFF"/>
        </w:rPr>
        <w:t xml:space="preserve">, M., Don, A., Cuperus, F., </w:t>
      </w:r>
      <w:proofErr w:type="spellStart"/>
      <w:r w:rsidRPr="00EB19CB">
        <w:rPr>
          <w:rFonts w:ascii="Arial" w:hAnsi="Arial" w:cs="Arial"/>
          <w:color w:val="auto"/>
          <w:sz w:val="20"/>
          <w:szCs w:val="20"/>
          <w:shd w:val="clear" w:color="auto" w:fill="FFFFFF"/>
        </w:rPr>
        <w:t>Gattinger</w:t>
      </w:r>
      <w:proofErr w:type="spellEnd"/>
      <w:r w:rsidRPr="00EB19CB">
        <w:rPr>
          <w:rFonts w:ascii="Arial" w:hAnsi="Arial" w:cs="Arial"/>
          <w:color w:val="auto"/>
          <w:sz w:val="20"/>
          <w:szCs w:val="20"/>
          <w:shd w:val="clear" w:color="auto" w:fill="FFFFFF"/>
        </w:rPr>
        <w:t>, A., Gruber, S., ... &amp; Steffens, M. (2022). Reduced tillage in organic farming affects soil organic carbon stocks in temperate Europe. </w:t>
      </w:r>
      <w:r w:rsidRPr="00EB19CB">
        <w:rPr>
          <w:rFonts w:ascii="Arial" w:hAnsi="Arial" w:cs="Arial"/>
          <w:i/>
          <w:iCs/>
          <w:color w:val="auto"/>
          <w:sz w:val="20"/>
          <w:szCs w:val="20"/>
          <w:shd w:val="clear" w:color="auto" w:fill="FFFFFF"/>
        </w:rPr>
        <w:t>Soil and Tillage Research</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216</w:t>
      </w:r>
      <w:r w:rsidRPr="00EB19CB">
        <w:rPr>
          <w:rFonts w:ascii="Arial" w:hAnsi="Arial" w:cs="Arial"/>
          <w:color w:val="auto"/>
          <w:sz w:val="20"/>
          <w:szCs w:val="20"/>
          <w:shd w:val="clear" w:color="auto" w:fill="FFFFFF"/>
        </w:rPr>
        <w:t xml:space="preserve">, 105262. </w:t>
      </w:r>
      <w:hyperlink r:id="rId39" w:tgtFrame="_blank" w:tooltip="Persistent link using digital object identifier" w:history="1">
        <w:r w:rsidRPr="00EB19CB">
          <w:rPr>
            <w:rFonts w:ascii="Arial" w:hAnsi="Arial" w:cs="Arial"/>
            <w:color w:val="auto"/>
            <w:sz w:val="20"/>
            <w:szCs w:val="20"/>
            <w:shd w:val="clear" w:color="auto" w:fill="FFFFFF"/>
          </w:rPr>
          <w:t>https://doi.org/10.1016/j.still.2021.105262</w:t>
        </w:r>
      </w:hyperlink>
    </w:p>
    <w:p w14:paraId="7D3C6B7C" w14:textId="2F116BF8" w:rsidR="005D3141" w:rsidRPr="00EB19CB" w:rsidRDefault="005D3141" w:rsidP="00054E37">
      <w:pPr>
        <w:jc w:val="both"/>
        <w:rPr>
          <w:rFonts w:ascii="Arial" w:hAnsi="Arial" w:cs="Arial"/>
          <w:color w:val="auto"/>
          <w:sz w:val="20"/>
          <w:szCs w:val="20"/>
          <w:shd w:val="clear" w:color="auto" w:fill="FFFFFF"/>
        </w:rPr>
      </w:pPr>
      <w:r w:rsidRPr="00EB19CB">
        <w:rPr>
          <w:rFonts w:ascii="Arial" w:hAnsi="Arial" w:cs="Arial"/>
          <w:color w:val="auto"/>
          <w:sz w:val="20"/>
          <w:szCs w:val="20"/>
          <w:shd w:val="clear" w:color="auto" w:fill="FFFFFF"/>
        </w:rPr>
        <w:lastRenderedPageBreak/>
        <w:t xml:space="preserve">Krištof, K., </w:t>
      </w:r>
      <w:proofErr w:type="spellStart"/>
      <w:r w:rsidRPr="00EB19CB">
        <w:rPr>
          <w:rFonts w:ascii="Arial" w:hAnsi="Arial" w:cs="Arial"/>
          <w:color w:val="auto"/>
          <w:sz w:val="20"/>
          <w:szCs w:val="20"/>
          <w:shd w:val="clear" w:color="auto" w:fill="FFFFFF"/>
        </w:rPr>
        <w:t>Šima</w:t>
      </w:r>
      <w:proofErr w:type="spellEnd"/>
      <w:r w:rsidRPr="00EB19CB">
        <w:rPr>
          <w:rFonts w:ascii="Arial" w:hAnsi="Arial" w:cs="Arial"/>
          <w:color w:val="auto"/>
          <w:sz w:val="20"/>
          <w:szCs w:val="20"/>
          <w:shd w:val="clear" w:color="auto" w:fill="FFFFFF"/>
        </w:rPr>
        <w:t xml:space="preserve">, T., </w:t>
      </w:r>
      <w:proofErr w:type="spellStart"/>
      <w:r w:rsidRPr="00EB19CB">
        <w:rPr>
          <w:rFonts w:ascii="Arial" w:hAnsi="Arial" w:cs="Arial"/>
          <w:color w:val="auto"/>
          <w:sz w:val="20"/>
          <w:szCs w:val="20"/>
          <w:shd w:val="clear" w:color="auto" w:fill="FFFFFF"/>
        </w:rPr>
        <w:t>Nozdrovický</w:t>
      </w:r>
      <w:proofErr w:type="spellEnd"/>
      <w:r w:rsidRPr="00EB19CB">
        <w:rPr>
          <w:rFonts w:ascii="Arial" w:hAnsi="Arial" w:cs="Arial"/>
          <w:color w:val="auto"/>
          <w:sz w:val="20"/>
          <w:szCs w:val="20"/>
          <w:shd w:val="clear" w:color="auto" w:fill="FFFFFF"/>
        </w:rPr>
        <w:t>, L., &amp; Findura, P. (2014). The effect of soil tillage intensity on carbon dioxide emissions released from soil into the atmosphere. </w:t>
      </w:r>
      <w:r w:rsidRPr="00EB19CB">
        <w:rPr>
          <w:rFonts w:ascii="Arial" w:hAnsi="Arial" w:cs="Arial"/>
          <w:i/>
          <w:iCs/>
          <w:color w:val="auto"/>
          <w:sz w:val="20"/>
          <w:szCs w:val="20"/>
          <w:shd w:val="clear" w:color="auto" w:fill="FFFFFF"/>
        </w:rPr>
        <w:t>Agron. Res</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12</w:t>
      </w:r>
      <w:r w:rsidRPr="00EB19CB">
        <w:rPr>
          <w:rFonts w:ascii="Arial" w:hAnsi="Arial" w:cs="Arial"/>
          <w:color w:val="auto"/>
          <w:sz w:val="20"/>
          <w:szCs w:val="20"/>
          <w:shd w:val="clear" w:color="auto" w:fill="FFFFFF"/>
        </w:rPr>
        <w:t>(1), 115-120.</w:t>
      </w:r>
      <w:r w:rsidR="003955FB" w:rsidRPr="00EB19CB">
        <w:rPr>
          <w:rFonts w:ascii="Arial" w:hAnsi="Arial" w:cs="Arial"/>
          <w:color w:val="auto"/>
          <w:sz w:val="20"/>
          <w:szCs w:val="20"/>
          <w:shd w:val="clear" w:color="auto" w:fill="FFFFFF"/>
        </w:rPr>
        <w:t xml:space="preserve"> </w:t>
      </w:r>
    </w:p>
    <w:p w14:paraId="2FBE37BC" w14:textId="48B4C82D" w:rsidR="006D093E" w:rsidRPr="00EB19CB" w:rsidRDefault="006D093E" w:rsidP="004405CA">
      <w:pPr>
        <w:jc w:val="both"/>
        <w:rPr>
          <w:rFonts w:ascii="Arial" w:hAnsi="Arial" w:cs="Arial"/>
          <w:i/>
          <w:iCs/>
          <w:color w:val="auto"/>
          <w:sz w:val="20"/>
          <w:szCs w:val="20"/>
          <w:shd w:val="clear" w:color="auto" w:fill="FFFFFF"/>
        </w:rPr>
      </w:pPr>
      <w:r w:rsidRPr="00EB19CB">
        <w:rPr>
          <w:rFonts w:ascii="Arial" w:hAnsi="Arial" w:cs="Arial"/>
          <w:color w:val="auto"/>
          <w:sz w:val="20"/>
          <w:szCs w:val="20"/>
          <w:shd w:val="clear" w:color="auto" w:fill="FFFFFF"/>
        </w:rPr>
        <w:t>Lacroix, C.</w:t>
      </w:r>
      <w:r w:rsidR="00B61038" w:rsidRPr="00EB19CB">
        <w:rPr>
          <w:rFonts w:ascii="Arial" w:hAnsi="Arial" w:cs="Arial"/>
          <w:color w:val="auto"/>
          <w:sz w:val="20"/>
          <w:szCs w:val="20"/>
          <w:shd w:val="clear" w:color="auto" w:fill="FFFFFF"/>
        </w:rPr>
        <w:t>, Vandenberghe, C., Monty, A., &amp; Dumont, B.</w:t>
      </w:r>
      <w:r w:rsidRPr="00EB19CB">
        <w:rPr>
          <w:rFonts w:ascii="Arial" w:hAnsi="Arial" w:cs="Arial"/>
          <w:color w:val="auto"/>
          <w:sz w:val="20"/>
          <w:szCs w:val="20"/>
          <w:shd w:val="clear" w:color="auto" w:fill="FFFFFF"/>
        </w:rPr>
        <w:t xml:space="preserve"> (2024). Effect of long-term tillage and residue managements on weed flora and its impact on winter wheat development</w:t>
      </w:r>
      <w:r w:rsidR="00B61038" w:rsidRPr="00EB19CB">
        <w:rPr>
          <w:rFonts w:ascii="Arial" w:hAnsi="Arial" w:cs="Arial"/>
          <w:color w:val="auto"/>
          <w:sz w:val="20"/>
          <w:szCs w:val="20"/>
          <w:shd w:val="clear" w:color="auto" w:fill="FFFFFF"/>
        </w:rPr>
        <w:t>.</w:t>
      </w:r>
      <w:r w:rsidR="00D27D3F" w:rsidRPr="00EB19CB">
        <w:rPr>
          <w:rFonts w:ascii="Arial" w:hAnsi="Arial" w:cs="Arial"/>
          <w:color w:val="auto"/>
          <w:sz w:val="20"/>
          <w:szCs w:val="20"/>
          <w:shd w:val="clear" w:color="auto" w:fill="FFFFFF"/>
        </w:rPr>
        <w:t xml:space="preserve"> </w:t>
      </w:r>
      <w:r w:rsidR="00D27D3F" w:rsidRPr="00EB19CB">
        <w:rPr>
          <w:rFonts w:ascii="Arial" w:hAnsi="Arial" w:cs="Arial"/>
          <w:i/>
          <w:iCs/>
          <w:color w:val="auto"/>
          <w:sz w:val="20"/>
          <w:szCs w:val="20"/>
          <w:shd w:val="clear" w:color="auto" w:fill="FFFFFF"/>
        </w:rPr>
        <w:t>In preparation</w:t>
      </w:r>
    </w:p>
    <w:p w14:paraId="0B5A4287" w14:textId="7A627F65" w:rsidR="00DD6FF5" w:rsidRPr="00EB19CB" w:rsidRDefault="00DD6FF5" w:rsidP="004405CA">
      <w:pPr>
        <w:jc w:val="both"/>
        <w:rPr>
          <w:rFonts w:ascii="Arial" w:hAnsi="Arial" w:cs="Arial"/>
          <w:color w:val="auto"/>
          <w:sz w:val="20"/>
          <w:szCs w:val="20"/>
          <w:shd w:val="clear" w:color="auto" w:fill="FFFFFF"/>
        </w:rPr>
      </w:pPr>
      <w:r w:rsidRPr="00EB19CB">
        <w:rPr>
          <w:rFonts w:ascii="Arial" w:hAnsi="Arial" w:cs="Arial"/>
          <w:color w:val="auto"/>
          <w:sz w:val="20"/>
          <w:szCs w:val="20"/>
          <w:shd w:val="clear" w:color="auto" w:fill="FFFFFF"/>
        </w:rPr>
        <w:t>Lal, R. (1997). Residue management, conservation tillage and soil restoration for mitigating greenhouse effect by CO2-enrichment. </w:t>
      </w:r>
      <w:r w:rsidRPr="00EB19CB">
        <w:rPr>
          <w:rFonts w:ascii="Arial" w:hAnsi="Arial" w:cs="Arial"/>
          <w:i/>
          <w:iCs/>
          <w:color w:val="auto"/>
          <w:sz w:val="20"/>
          <w:szCs w:val="20"/>
          <w:shd w:val="clear" w:color="auto" w:fill="FFFFFF"/>
        </w:rPr>
        <w:t>Soil and tillage research</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43</w:t>
      </w:r>
      <w:r w:rsidRPr="00EB19CB">
        <w:rPr>
          <w:rFonts w:ascii="Arial" w:hAnsi="Arial" w:cs="Arial"/>
          <w:color w:val="auto"/>
          <w:sz w:val="20"/>
          <w:szCs w:val="20"/>
          <w:shd w:val="clear" w:color="auto" w:fill="FFFFFF"/>
        </w:rPr>
        <w:t>(1-2), 81-107.</w:t>
      </w:r>
      <w:r w:rsidR="001C60DA" w:rsidRPr="00EB19CB">
        <w:rPr>
          <w:rFonts w:ascii="Arial" w:hAnsi="Arial" w:cs="Arial"/>
          <w:color w:val="auto"/>
          <w:sz w:val="20"/>
          <w:szCs w:val="20"/>
          <w:shd w:val="clear" w:color="auto" w:fill="FFFFFF"/>
        </w:rPr>
        <w:t xml:space="preserve"> </w:t>
      </w:r>
      <w:hyperlink r:id="rId40" w:history="1">
        <w:r w:rsidR="0080214A" w:rsidRPr="00EB19CB">
          <w:rPr>
            <w:rFonts w:ascii="Arial" w:hAnsi="Arial" w:cs="Arial"/>
            <w:color w:val="auto"/>
            <w:sz w:val="20"/>
            <w:szCs w:val="20"/>
            <w:shd w:val="clear" w:color="auto" w:fill="FFFFFF"/>
          </w:rPr>
          <w:t>https://doi.org/10.1016/S0167-1987(97)00036-6</w:t>
        </w:r>
      </w:hyperlink>
    </w:p>
    <w:p w14:paraId="6B246B67" w14:textId="16311F47" w:rsidR="004405CA" w:rsidRPr="00EB19CB" w:rsidRDefault="004405CA" w:rsidP="004405CA">
      <w:pPr>
        <w:jc w:val="both"/>
        <w:rPr>
          <w:rFonts w:ascii="Arial" w:hAnsi="Arial" w:cs="Arial"/>
          <w:color w:val="auto"/>
          <w:sz w:val="20"/>
          <w:szCs w:val="20"/>
        </w:rPr>
      </w:pPr>
      <w:r w:rsidRPr="00EB19CB">
        <w:rPr>
          <w:rFonts w:ascii="Arial" w:hAnsi="Arial" w:cs="Arial"/>
          <w:color w:val="auto"/>
          <w:sz w:val="20"/>
          <w:szCs w:val="20"/>
          <w:shd w:val="clear" w:color="auto" w:fill="FFFFFF"/>
        </w:rPr>
        <w:t>Lal, R. (2004). Soil carbon sequestration impacts on global climate change and food security. </w:t>
      </w:r>
      <w:r w:rsidRPr="00EB19CB">
        <w:rPr>
          <w:rFonts w:ascii="Arial" w:hAnsi="Arial" w:cs="Arial"/>
          <w:i/>
          <w:iCs/>
          <w:color w:val="auto"/>
          <w:sz w:val="20"/>
          <w:szCs w:val="20"/>
          <w:shd w:val="clear" w:color="auto" w:fill="FFFFFF"/>
        </w:rPr>
        <w:t>science</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304</w:t>
      </w:r>
      <w:r w:rsidRPr="00EB19CB">
        <w:rPr>
          <w:rFonts w:ascii="Arial" w:hAnsi="Arial" w:cs="Arial"/>
          <w:color w:val="auto"/>
          <w:sz w:val="20"/>
          <w:szCs w:val="20"/>
          <w:shd w:val="clear" w:color="auto" w:fill="FFFFFF"/>
        </w:rPr>
        <w:t>(5677), 1623-1627.</w:t>
      </w:r>
      <w:r w:rsidR="00225C51" w:rsidRPr="00EB19CB">
        <w:rPr>
          <w:rFonts w:ascii="Arial" w:hAnsi="Arial" w:cs="Arial"/>
          <w:color w:val="auto"/>
          <w:sz w:val="20"/>
          <w:szCs w:val="20"/>
          <w:shd w:val="clear" w:color="auto" w:fill="FFFFFF"/>
        </w:rPr>
        <w:t xml:space="preserve"> https://</w:t>
      </w:r>
      <w:hyperlink r:id="rId41" w:history="1">
        <w:r w:rsidR="00E64933" w:rsidRPr="00EB19CB">
          <w:rPr>
            <w:rFonts w:ascii="Arial" w:hAnsi="Arial" w:cs="Arial"/>
            <w:color w:val="auto"/>
            <w:sz w:val="20"/>
            <w:szCs w:val="20"/>
          </w:rPr>
          <w:t>doi</w:t>
        </w:r>
        <w:r w:rsidR="00225C51" w:rsidRPr="00EB19CB">
          <w:rPr>
            <w:rFonts w:ascii="Arial" w:hAnsi="Arial" w:cs="Arial"/>
            <w:color w:val="auto"/>
            <w:sz w:val="20"/>
            <w:szCs w:val="20"/>
          </w:rPr>
          <w:t>.org/10.1126/science.1097396</w:t>
        </w:r>
      </w:hyperlink>
    </w:p>
    <w:p w14:paraId="2FBAAB70" w14:textId="7C0E77A4" w:rsidR="00D44A27" w:rsidRPr="00EB19CB" w:rsidRDefault="00D44A27" w:rsidP="001959E5">
      <w:pPr>
        <w:jc w:val="both"/>
        <w:rPr>
          <w:rFonts w:ascii="Arial" w:hAnsi="Arial" w:cs="Arial"/>
          <w:color w:val="auto"/>
          <w:sz w:val="20"/>
          <w:szCs w:val="20"/>
        </w:rPr>
      </w:pPr>
      <w:proofErr w:type="spellStart"/>
      <w:r w:rsidRPr="00EB19CB">
        <w:rPr>
          <w:rFonts w:ascii="Arial" w:hAnsi="Arial" w:cs="Arial"/>
          <w:color w:val="auto"/>
          <w:sz w:val="20"/>
          <w:szCs w:val="20"/>
          <w:shd w:val="clear" w:color="auto" w:fill="FFFFFF"/>
          <w:lang w:val="de-DE"/>
        </w:rPr>
        <w:t>Lehtinen</w:t>
      </w:r>
      <w:proofErr w:type="spellEnd"/>
      <w:r w:rsidRPr="00EB19CB">
        <w:rPr>
          <w:rFonts w:ascii="Arial" w:hAnsi="Arial" w:cs="Arial"/>
          <w:color w:val="auto"/>
          <w:sz w:val="20"/>
          <w:szCs w:val="20"/>
          <w:shd w:val="clear" w:color="auto" w:fill="FFFFFF"/>
          <w:lang w:val="de-DE"/>
        </w:rPr>
        <w:t xml:space="preserve">, T., Schlatter, N., Baumgarten, A., </w:t>
      </w:r>
      <w:proofErr w:type="spellStart"/>
      <w:r w:rsidRPr="00EB19CB">
        <w:rPr>
          <w:rFonts w:ascii="Arial" w:hAnsi="Arial" w:cs="Arial"/>
          <w:color w:val="auto"/>
          <w:sz w:val="20"/>
          <w:szCs w:val="20"/>
          <w:shd w:val="clear" w:color="auto" w:fill="FFFFFF"/>
          <w:lang w:val="de-DE"/>
        </w:rPr>
        <w:t>Bechini</w:t>
      </w:r>
      <w:proofErr w:type="spellEnd"/>
      <w:r w:rsidRPr="00EB19CB">
        <w:rPr>
          <w:rFonts w:ascii="Arial" w:hAnsi="Arial" w:cs="Arial"/>
          <w:color w:val="auto"/>
          <w:sz w:val="20"/>
          <w:szCs w:val="20"/>
          <w:shd w:val="clear" w:color="auto" w:fill="FFFFFF"/>
          <w:lang w:val="de-DE"/>
        </w:rPr>
        <w:t xml:space="preserve">, L., Krüger, J., </w:t>
      </w:r>
      <w:proofErr w:type="spellStart"/>
      <w:r w:rsidRPr="00EB19CB">
        <w:rPr>
          <w:rFonts w:ascii="Arial" w:hAnsi="Arial" w:cs="Arial"/>
          <w:color w:val="auto"/>
          <w:sz w:val="20"/>
          <w:szCs w:val="20"/>
          <w:shd w:val="clear" w:color="auto" w:fill="FFFFFF"/>
          <w:lang w:val="de-DE"/>
        </w:rPr>
        <w:t>Grignani</w:t>
      </w:r>
      <w:proofErr w:type="spellEnd"/>
      <w:r w:rsidRPr="00EB19CB">
        <w:rPr>
          <w:rFonts w:ascii="Arial" w:hAnsi="Arial" w:cs="Arial"/>
          <w:color w:val="auto"/>
          <w:sz w:val="20"/>
          <w:szCs w:val="20"/>
          <w:shd w:val="clear" w:color="auto" w:fill="FFFFFF"/>
          <w:lang w:val="de-DE"/>
        </w:rPr>
        <w:t xml:space="preserve">, C., ... </w:t>
      </w:r>
      <w:r w:rsidRPr="00EB19CB">
        <w:rPr>
          <w:rFonts w:ascii="Arial" w:hAnsi="Arial" w:cs="Arial"/>
          <w:color w:val="auto"/>
          <w:sz w:val="20"/>
          <w:szCs w:val="20"/>
          <w:shd w:val="clear" w:color="auto" w:fill="FFFFFF"/>
        </w:rPr>
        <w:t>&amp; Spiegel, H. (2014). Effect of crop residue incorporation on soil organic carbon and greenhouse gas emissions in European agricultural soils. </w:t>
      </w:r>
      <w:r w:rsidRPr="00EB19CB">
        <w:rPr>
          <w:rFonts w:ascii="Arial" w:hAnsi="Arial" w:cs="Arial"/>
          <w:i/>
          <w:iCs/>
          <w:color w:val="auto"/>
          <w:sz w:val="20"/>
          <w:szCs w:val="20"/>
          <w:shd w:val="clear" w:color="auto" w:fill="FFFFFF"/>
        </w:rPr>
        <w:t>Soil use and management</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30</w:t>
      </w:r>
      <w:r w:rsidRPr="00EB19CB">
        <w:rPr>
          <w:rFonts w:ascii="Arial" w:hAnsi="Arial" w:cs="Arial"/>
          <w:color w:val="auto"/>
          <w:sz w:val="20"/>
          <w:szCs w:val="20"/>
          <w:shd w:val="clear" w:color="auto" w:fill="FFFFFF"/>
        </w:rPr>
        <w:t>(4), 524-538</w:t>
      </w:r>
      <w:r w:rsidRPr="00EB19CB">
        <w:rPr>
          <w:rFonts w:ascii="Arial" w:hAnsi="Arial" w:cs="Arial"/>
          <w:color w:val="auto"/>
          <w:sz w:val="20"/>
          <w:szCs w:val="20"/>
        </w:rPr>
        <w:t xml:space="preserve">. </w:t>
      </w:r>
      <w:hyperlink r:id="rId42" w:history="1">
        <w:r w:rsidR="00D11456" w:rsidRPr="00EB19CB">
          <w:rPr>
            <w:rFonts w:ascii="Arial" w:hAnsi="Arial" w:cs="Arial"/>
            <w:color w:val="auto"/>
            <w:sz w:val="20"/>
            <w:szCs w:val="20"/>
          </w:rPr>
          <w:t>https://doi.org/10.1111/sum.12151</w:t>
        </w:r>
      </w:hyperlink>
    </w:p>
    <w:p w14:paraId="7589A1C2" w14:textId="4276F692" w:rsidR="00BD419A" w:rsidRPr="00EB19CB" w:rsidRDefault="00BD419A" w:rsidP="004405CA">
      <w:pPr>
        <w:jc w:val="both"/>
        <w:rPr>
          <w:rFonts w:ascii="Arial" w:hAnsi="Arial" w:cs="Arial"/>
          <w:color w:val="auto"/>
          <w:sz w:val="20"/>
          <w:szCs w:val="20"/>
          <w:shd w:val="clear" w:color="auto" w:fill="FFFFFF"/>
        </w:rPr>
      </w:pPr>
      <w:r w:rsidRPr="00EB19CB">
        <w:rPr>
          <w:rFonts w:ascii="Arial" w:hAnsi="Arial" w:cs="Arial"/>
          <w:color w:val="auto"/>
          <w:sz w:val="20"/>
          <w:szCs w:val="20"/>
          <w:shd w:val="clear" w:color="auto" w:fill="FFFFFF"/>
        </w:rPr>
        <w:t>Liu, H. S., Li, L. H., Han, X. G., Huang, J. H., Sun, J. X., &amp; Wang, H. Y. (2006). Respiratory substrate availability plays a crucial role in the response of soil respiration to environmental factors. </w:t>
      </w:r>
      <w:r w:rsidRPr="00EB19CB">
        <w:rPr>
          <w:rFonts w:ascii="Arial" w:hAnsi="Arial" w:cs="Arial"/>
          <w:i/>
          <w:iCs/>
          <w:color w:val="auto"/>
          <w:sz w:val="20"/>
          <w:szCs w:val="20"/>
          <w:shd w:val="clear" w:color="auto" w:fill="FFFFFF"/>
        </w:rPr>
        <w:t>Applied Soil Ecology</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32</w:t>
      </w:r>
      <w:r w:rsidRPr="00EB19CB">
        <w:rPr>
          <w:rFonts w:ascii="Arial" w:hAnsi="Arial" w:cs="Arial"/>
          <w:color w:val="auto"/>
          <w:sz w:val="20"/>
          <w:szCs w:val="20"/>
          <w:shd w:val="clear" w:color="auto" w:fill="FFFFFF"/>
        </w:rPr>
        <w:t xml:space="preserve">(3), 284-292. </w:t>
      </w:r>
      <w:hyperlink r:id="rId43" w:tgtFrame="_blank" w:tooltip="Persistent link using digital object identifier" w:history="1">
        <w:r w:rsidR="00A8610B" w:rsidRPr="00EB19CB">
          <w:rPr>
            <w:rFonts w:ascii="Arial" w:hAnsi="Arial" w:cs="Arial"/>
            <w:color w:val="auto"/>
            <w:sz w:val="20"/>
            <w:szCs w:val="20"/>
          </w:rPr>
          <w:t>https://doi.org/10.1016/j.apsoil.2005.08.001</w:t>
        </w:r>
      </w:hyperlink>
    </w:p>
    <w:p w14:paraId="0ADBF935" w14:textId="7DE4FE55" w:rsidR="00852D61" w:rsidRPr="00EB19CB" w:rsidRDefault="00852D61" w:rsidP="00EB087D">
      <w:pPr>
        <w:pStyle w:val="PubliManuscript"/>
        <w:spacing w:line="240" w:lineRule="auto"/>
        <w:ind w:firstLine="0"/>
        <w:rPr>
          <w:color w:val="auto"/>
        </w:rPr>
      </w:pPr>
      <w:r w:rsidRPr="00EB19CB">
        <w:rPr>
          <w:rFonts w:ascii="Arial" w:hAnsi="Arial" w:cs="Arial"/>
          <w:color w:val="auto"/>
          <w:sz w:val="20"/>
          <w:szCs w:val="20"/>
          <w:shd w:val="clear" w:color="auto" w:fill="FFFFFF"/>
        </w:rPr>
        <w:t>López-</w:t>
      </w:r>
      <w:proofErr w:type="spellStart"/>
      <w:r w:rsidRPr="00EB19CB">
        <w:rPr>
          <w:rFonts w:ascii="Arial" w:hAnsi="Arial" w:cs="Arial"/>
          <w:color w:val="auto"/>
          <w:sz w:val="20"/>
          <w:szCs w:val="20"/>
          <w:shd w:val="clear" w:color="auto" w:fill="FFFFFF"/>
        </w:rPr>
        <w:t>Fando</w:t>
      </w:r>
      <w:proofErr w:type="spellEnd"/>
      <w:r w:rsidRPr="00EB19CB">
        <w:rPr>
          <w:rFonts w:ascii="Arial" w:hAnsi="Arial" w:cs="Arial"/>
          <w:color w:val="auto"/>
          <w:sz w:val="20"/>
          <w:szCs w:val="20"/>
          <w:shd w:val="clear" w:color="auto" w:fill="FFFFFF"/>
        </w:rPr>
        <w:t>, C., &amp; Pardo, M. T. (2011). Soil carbon storage and stratification under different tillage systems in a semi-arid region. </w:t>
      </w:r>
      <w:r w:rsidRPr="00EB19CB">
        <w:rPr>
          <w:rFonts w:ascii="Arial" w:hAnsi="Arial" w:cs="Arial"/>
          <w:i/>
          <w:iCs/>
          <w:color w:val="auto"/>
          <w:sz w:val="20"/>
          <w:szCs w:val="20"/>
          <w:shd w:val="clear" w:color="auto" w:fill="FFFFFF"/>
        </w:rPr>
        <w:t>Soil and Tillage Research</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111</w:t>
      </w:r>
      <w:r w:rsidRPr="00EB19CB">
        <w:rPr>
          <w:rFonts w:ascii="Arial" w:hAnsi="Arial" w:cs="Arial"/>
          <w:color w:val="auto"/>
          <w:sz w:val="20"/>
          <w:szCs w:val="20"/>
          <w:shd w:val="clear" w:color="auto" w:fill="FFFFFF"/>
        </w:rPr>
        <w:t xml:space="preserve">(2), 224-230. </w:t>
      </w:r>
      <w:hyperlink r:id="rId44" w:tgtFrame="_blank" w:tooltip="Persistent link using digital object identifier" w:history="1">
        <w:r w:rsidR="00D47936" w:rsidRPr="00EB19CB">
          <w:rPr>
            <w:rFonts w:ascii="Arial" w:hAnsi="Arial" w:cs="Arial"/>
            <w:color w:val="auto"/>
            <w:sz w:val="20"/>
            <w:szCs w:val="20"/>
          </w:rPr>
          <w:t>https://doi.org/10.1016/j.still.2010.10.011</w:t>
        </w:r>
      </w:hyperlink>
    </w:p>
    <w:p w14:paraId="54FE0447" w14:textId="34A5E33C" w:rsidR="00327C24" w:rsidRPr="00EB19CB" w:rsidRDefault="00327C24" w:rsidP="00EB087D">
      <w:pPr>
        <w:pStyle w:val="PubliManuscript"/>
        <w:spacing w:line="240" w:lineRule="auto"/>
        <w:ind w:firstLine="0"/>
        <w:rPr>
          <w:rFonts w:ascii="Arial" w:hAnsi="Arial" w:cs="Arial"/>
          <w:color w:val="auto"/>
          <w:sz w:val="20"/>
          <w:szCs w:val="20"/>
          <w:shd w:val="clear" w:color="auto" w:fill="FFFFFF"/>
        </w:rPr>
      </w:pPr>
      <w:r w:rsidRPr="00EB19CB">
        <w:rPr>
          <w:rFonts w:ascii="Arial" w:hAnsi="Arial" w:cs="Arial"/>
          <w:color w:val="auto"/>
          <w:sz w:val="20"/>
          <w:szCs w:val="20"/>
          <w:shd w:val="clear" w:color="auto" w:fill="FFFFFF"/>
        </w:rPr>
        <w:t>Lu, X., Lu, X., Tanveer, S. K., Wen, X., &amp; Liao, Y. (2015). Effects of tillage management on soil CO2 emission and wheat yield under rain-fed conditions. </w:t>
      </w:r>
      <w:r w:rsidRPr="00EB19CB">
        <w:rPr>
          <w:rFonts w:ascii="Arial" w:hAnsi="Arial" w:cs="Arial"/>
          <w:i/>
          <w:iCs/>
          <w:color w:val="auto"/>
          <w:sz w:val="20"/>
          <w:szCs w:val="20"/>
          <w:shd w:val="clear" w:color="auto" w:fill="FFFFFF"/>
        </w:rPr>
        <w:t>Soil Research</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54</w:t>
      </w:r>
      <w:r w:rsidRPr="00EB19CB">
        <w:rPr>
          <w:rFonts w:ascii="Arial" w:hAnsi="Arial" w:cs="Arial"/>
          <w:color w:val="auto"/>
          <w:sz w:val="20"/>
          <w:szCs w:val="20"/>
          <w:shd w:val="clear" w:color="auto" w:fill="FFFFFF"/>
        </w:rPr>
        <w:t xml:space="preserve">(1), 38-48. </w:t>
      </w:r>
      <w:r w:rsidR="000903F4" w:rsidRPr="00EB19CB">
        <w:rPr>
          <w:rFonts w:ascii="Arial" w:hAnsi="Arial" w:cs="Arial"/>
          <w:color w:val="auto"/>
          <w:sz w:val="20"/>
          <w:szCs w:val="20"/>
          <w:shd w:val="clear" w:color="auto" w:fill="FFFFFF"/>
        </w:rPr>
        <w:t>https://doi.org/10.1071/SR14300</w:t>
      </w:r>
    </w:p>
    <w:p w14:paraId="5E14C3A9" w14:textId="33D3E3C0" w:rsidR="00982423" w:rsidRPr="00EB19CB" w:rsidRDefault="00982423" w:rsidP="00EB087D">
      <w:pPr>
        <w:pStyle w:val="PubliManuscript"/>
        <w:spacing w:line="240" w:lineRule="auto"/>
        <w:ind w:firstLine="0"/>
        <w:rPr>
          <w:rFonts w:ascii="Arial" w:hAnsi="Arial" w:cs="Arial"/>
          <w:color w:val="auto"/>
          <w:sz w:val="20"/>
          <w:szCs w:val="20"/>
          <w:shd w:val="clear" w:color="auto" w:fill="FFFFFF"/>
        </w:rPr>
      </w:pPr>
      <w:r w:rsidRPr="00EB19CB">
        <w:rPr>
          <w:rFonts w:ascii="Arial" w:hAnsi="Arial" w:cs="Arial"/>
          <w:color w:val="auto"/>
          <w:sz w:val="20"/>
          <w:szCs w:val="20"/>
          <w:shd w:val="clear" w:color="auto" w:fill="FFFFFF"/>
        </w:rPr>
        <w:t>Luo, Z., Wang, E., &amp; Sun, O. J. (2010). Can no-tillage stimulate carbon sequestration in agricultural soils? A meta-analysis of paired experiments. </w:t>
      </w:r>
      <w:r w:rsidRPr="00EB19CB">
        <w:rPr>
          <w:rFonts w:ascii="Arial" w:hAnsi="Arial" w:cs="Arial"/>
          <w:i/>
          <w:iCs/>
          <w:color w:val="auto"/>
          <w:sz w:val="20"/>
          <w:szCs w:val="20"/>
          <w:shd w:val="clear" w:color="auto" w:fill="FFFFFF"/>
        </w:rPr>
        <w:t>Agriculture, ecosystems &amp; environment</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139</w:t>
      </w:r>
      <w:r w:rsidRPr="00EB19CB">
        <w:rPr>
          <w:rFonts w:ascii="Arial" w:hAnsi="Arial" w:cs="Arial"/>
          <w:color w:val="auto"/>
          <w:sz w:val="20"/>
          <w:szCs w:val="20"/>
          <w:shd w:val="clear" w:color="auto" w:fill="FFFFFF"/>
        </w:rPr>
        <w:t>(1-2), 224-231.</w:t>
      </w:r>
      <w:r w:rsidR="00996DF2" w:rsidRPr="00EB19CB">
        <w:rPr>
          <w:rFonts w:ascii="Arial" w:hAnsi="Arial" w:cs="Arial"/>
          <w:color w:val="auto"/>
          <w:sz w:val="20"/>
          <w:szCs w:val="20"/>
          <w:shd w:val="clear" w:color="auto" w:fill="FFFFFF"/>
        </w:rPr>
        <w:t xml:space="preserve"> </w:t>
      </w:r>
      <w:hyperlink r:id="rId45" w:tgtFrame="_blank" w:tooltip="Persistent link using digital object identifier" w:history="1">
        <w:r w:rsidR="00996DF2" w:rsidRPr="00EB19CB">
          <w:rPr>
            <w:rFonts w:ascii="Arial" w:hAnsi="Arial" w:cs="Arial"/>
            <w:color w:val="auto"/>
            <w:sz w:val="20"/>
            <w:szCs w:val="20"/>
            <w:shd w:val="clear" w:color="auto" w:fill="FFFFFF"/>
          </w:rPr>
          <w:t>https://doi.org/10.1016/j.agee.2010.08.006</w:t>
        </w:r>
      </w:hyperlink>
    </w:p>
    <w:p w14:paraId="5C4FCBAE" w14:textId="53BAA10E" w:rsidR="001C0698" w:rsidRPr="00EB19CB" w:rsidRDefault="001C0698" w:rsidP="00B83A54">
      <w:pPr>
        <w:jc w:val="both"/>
        <w:rPr>
          <w:rFonts w:ascii="Arial" w:hAnsi="Arial" w:cs="Arial"/>
          <w:color w:val="auto"/>
          <w:sz w:val="20"/>
          <w:szCs w:val="20"/>
          <w:shd w:val="clear" w:color="auto" w:fill="FFFFFF"/>
        </w:rPr>
      </w:pPr>
      <w:r w:rsidRPr="00EB19CB">
        <w:rPr>
          <w:rFonts w:ascii="Arial" w:hAnsi="Arial" w:cs="Arial"/>
          <w:color w:val="auto"/>
          <w:sz w:val="20"/>
          <w:szCs w:val="20"/>
          <w:shd w:val="clear" w:color="auto" w:fill="FFFFFF"/>
        </w:rPr>
        <w:t xml:space="preserve">Martin, M. P., </w:t>
      </w:r>
      <w:proofErr w:type="spellStart"/>
      <w:r w:rsidRPr="00EB19CB">
        <w:rPr>
          <w:rFonts w:ascii="Arial" w:hAnsi="Arial" w:cs="Arial"/>
          <w:color w:val="auto"/>
          <w:sz w:val="20"/>
          <w:szCs w:val="20"/>
          <w:shd w:val="clear" w:color="auto" w:fill="FFFFFF"/>
        </w:rPr>
        <w:t>Dimassi</w:t>
      </w:r>
      <w:proofErr w:type="spellEnd"/>
      <w:r w:rsidRPr="00EB19CB">
        <w:rPr>
          <w:rFonts w:ascii="Arial" w:hAnsi="Arial" w:cs="Arial"/>
          <w:color w:val="auto"/>
          <w:sz w:val="20"/>
          <w:szCs w:val="20"/>
          <w:shd w:val="clear" w:color="auto" w:fill="FFFFFF"/>
        </w:rPr>
        <w:t xml:space="preserve">, B., Román </w:t>
      </w:r>
      <w:proofErr w:type="spellStart"/>
      <w:r w:rsidRPr="00EB19CB">
        <w:rPr>
          <w:rFonts w:ascii="Arial" w:hAnsi="Arial" w:cs="Arial"/>
          <w:color w:val="auto"/>
          <w:sz w:val="20"/>
          <w:szCs w:val="20"/>
          <w:shd w:val="clear" w:color="auto" w:fill="FFFFFF"/>
        </w:rPr>
        <w:t>Dobarco</w:t>
      </w:r>
      <w:proofErr w:type="spellEnd"/>
      <w:r w:rsidRPr="00EB19CB">
        <w:rPr>
          <w:rFonts w:ascii="Arial" w:hAnsi="Arial" w:cs="Arial"/>
          <w:color w:val="auto"/>
          <w:sz w:val="20"/>
          <w:szCs w:val="20"/>
          <w:shd w:val="clear" w:color="auto" w:fill="FFFFFF"/>
        </w:rPr>
        <w:t xml:space="preserve">, M., </w:t>
      </w:r>
      <w:proofErr w:type="spellStart"/>
      <w:r w:rsidRPr="00EB19CB">
        <w:rPr>
          <w:rFonts w:ascii="Arial" w:hAnsi="Arial" w:cs="Arial"/>
          <w:color w:val="auto"/>
          <w:sz w:val="20"/>
          <w:szCs w:val="20"/>
          <w:shd w:val="clear" w:color="auto" w:fill="FFFFFF"/>
        </w:rPr>
        <w:t>Guenet</w:t>
      </w:r>
      <w:proofErr w:type="spellEnd"/>
      <w:r w:rsidRPr="00EB19CB">
        <w:rPr>
          <w:rFonts w:ascii="Arial" w:hAnsi="Arial" w:cs="Arial"/>
          <w:color w:val="auto"/>
          <w:sz w:val="20"/>
          <w:szCs w:val="20"/>
          <w:shd w:val="clear" w:color="auto" w:fill="FFFFFF"/>
        </w:rPr>
        <w:t xml:space="preserve">, B., </w:t>
      </w:r>
      <w:proofErr w:type="spellStart"/>
      <w:r w:rsidRPr="00EB19CB">
        <w:rPr>
          <w:rFonts w:ascii="Arial" w:hAnsi="Arial" w:cs="Arial"/>
          <w:color w:val="auto"/>
          <w:sz w:val="20"/>
          <w:szCs w:val="20"/>
          <w:shd w:val="clear" w:color="auto" w:fill="FFFFFF"/>
        </w:rPr>
        <w:t>Arrouays</w:t>
      </w:r>
      <w:proofErr w:type="spellEnd"/>
      <w:r w:rsidRPr="00EB19CB">
        <w:rPr>
          <w:rFonts w:ascii="Arial" w:hAnsi="Arial" w:cs="Arial"/>
          <w:color w:val="auto"/>
          <w:sz w:val="20"/>
          <w:szCs w:val="20"/>
          <w:shd w:val="clear" w:color="auto" w:fill="FFFFFF"/>
        </w:rPr>
        <w:t>, D., Angers, D. A., ... &amp; Pellerin, S. (2021). Feasibility of the 4 per 1000 aspirational target for soil carbon: A case study for France. </w:t>
      </w:r>
      <w:r w:rsidRPr="00EB19CB">
        <w:rPr>
          <w:rFonts w:ascii="Arial" w:hAnsi="Arial" w:cs="Arial"/>
          <w:i/>
          <w:iCs/>
          <w:color w:val="auto"/>
          <w:sz w:val="20"/>
          <w:szCs w:val="20"/>
          <w:shd w:val="clear" w:color="auto" w:fill="FFFFFF"/>
        </w:rPr>
        <w:t>Global Change Biology</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27</w:t>
      </w:r>
      <w:r w:rsidRPr="00EB19CB">
        <w:rPr>
          <w:rFonts w:ascii="Arial" w:hAnsi="Arial" w:cs="Arial"/>
          <w:color w:val="auto"/>
          <w:sz w:val="20"/>
          <w:szCs w:val="20"/>
          <w:shd w:val="clear" w:color="auto" w:fill="FFFFFF"/>
        </w:rPr>
        <w:t xml:space="preserve">(11), 2458-2477. </w:t>
      </w:r>
      <w:r w:rsidR="00B83A54" w:rsidRPr="00EB19CB">
        <w:rPr>
          <w:rFonts w:ascii="Open Sans" w:hAnsi="Open Sans" w:cs="Open Sans"/>
          <w:color w:val="auto"/>
          <w:sz w:val="21"/>
          <w:szCs w:val="21"/>
          <w:shd w:val="clear" w:color="auto" w:fill="FFFFFF"/>
        </w:rPr>
        <w:t> </w:t>
      </w:r>
      <w:hyperlink r:id="rId46" w:history="1">
        <w:r w:rsidR="00B83A54" w:rsidRPr="00EB19CB">
          <w:rPr>
            <w:rFonts w:ascii="Arial" w:hAnsi="Arial" w:cs="Arial"/>
            <w:color w:val="auto"/>
            <w:sz w:val="20"/>
            <w:szCs w:val="20"/>
            <w:shd w:val="clear" w:color="auto" w:fill="FFFFFF"/>
          </w:rPr>
          <w:t>https://doi.org/10.1111/gcb.15547</w:t>
        </w:r>
      </w:hyperlink>
    </w:p>
    <w:p w14:paraId="7B338A7F" w14:textId="4E55DAC0" w:rsidR="00FE21D4" w:rsidRPr="00EB19CB" w:rsidRDefault="00FE21D4" w:rsidP="00FE21D4">
      <w:pPr>
        <w:rPr>
          <w:rFonts w:ascii="Arial" w:hAnsi="Arial" w:cs="Arial"/>
          <w:color w:val="auto"/>
          <w:sz w:val="20"/>
          <w:szCs w:val="20"/>
          <w:shd w:val="clear" w:color="auto" w:fill="FFFFFF"/>
        </w:rPr>
      </w:pPr>
      <w:r w:rsidRPr="00EB19CB">
        <w:rPr>
          <w:rFonts w:ascii="Arial" w:hAnsi="Arial" w:cs="Arial"/>
          <w:color w:val="auto"/>
          <w:sz w:val="20"/>
          <w:szCs w:val="20"/>
          <w:shd w:val="clear" w:color="auto" w:fill="FFFFFF"/>
        </w:rPr>
        <w:t xml:space="preserve">Mary, B., Beaudoin, N., </w:t>
      </w:r>
      <w:proofErr w:type="spellStart"/>
      <w:r w:rsidRPr="00EB19CB">
        <w:rPr>
          <w:rFonts w:ascii="Arial" w:hAnsi="Arial" w:cs="Arial"/>
          <w:color w:val="auto"/>
          <w:sz w:val="20"/>
          <w:szCs w:val="20"/>
          <w:shd w:val="clear" w:color="auto" w:fill="FFFFFF"/>
        </w:rPr>
        <w:t>Justes</w:t>
      </w:r>
      <w:proofErr w:type="spellEnd"/>
      <w:r w:rsidRPr="00EB19CB">
        <w:rPr>
          <w:rFonts w:ascii="Arial" w:hAnsi="Arial" w:cs="Arial"/>
          <w:color w:val="auto"/>
          <w:sz w:val="20"/>
          <w:szCs w:val="20"/>
          <w:shd w:val="clear" w:color="auto" w:fill="FFFFFF"/>
        </w:rPr>
        <w:t>, E., &amp; Machet, J. M. (1999). Calculation of nitrogen mineralization and leaching in fallow soil using a simple dynamic model. </w:t>
      </w:r>
      <w:r w:rsidRPr="00EB19CB">
        <w:rPr>
          <w:rFonts w:ascii="Arial" w:hAnsi="Arial" w:cs="Arial"/>
          <w:i/>
          <w:iCs/>
          <w:color w:val="auto"/>
          <w:sz w:val="20"/>
          <w:szCs w:val="20"/>
          <w:shd w:val="clear" w:color="auto" w:fill="FFFFFF"/>
        </w:rPr>
        <w:t>European journal of soil science</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50</w:t>
      </w:r>
      <w:r w:rsidRPr="00EB19CB">
        <w:rPr>
          <w:rFonts w:ascii="Arial" w:hAnsi="Arial" w:cs="Arial"/>
          <w:color w:val="auto"/>
          <w:sz w:val="20"/>
          <w:szCs w:val="20"/>
          <w:shd w:val="clear" w:color="auto" w:fill="FFFFFF"/>
        </w:rPr>
        <w:t xml:space="preserve">(4), 549-566. </w:t>
      </w:r>
      <w:hyperlink r:id="rId47" w:history="1">
        <w:r w:rsidRPr="00EB19CB">
          <w:rPr>
            <w:rFonts w:ascii="Arial" w:hAnsi="Arial" w:cs="Arial"/>
            <w:color w:val="auto"/>
            <w:sz w:val="20"/>
            <w:szCs w:val="20"/>
            <w:shd w:val="clear" w:color="auto" w:fill="FFFFFF"/>
          </w:rPr>
          <w:t>https://doi.org/10.1046/j.1365-2389.1999.00264.x</w:t>
        </w:r>
      </w:hyperlink>
    </w:p>
    <w:p w14:paraId="62D5171D" w14:textId="6A132306" w:rsidR="009E04ED" w:rsidRPr="00EB19CB" w:rsidRDefault="009E04ED" w:rsidP="00EB087D">
      <w:pPr>
        <w:pStyle w:val="PubliManuscript"/>
        <w:spacing w:line="240" w:lineRule="auto"/>
        <w:ind w:firstLine="0"/>
        <w:rPr>
          <w:color w:val="auto"/>
        </w:rPr>
      </w:pPr>
      <w:r w:rsidRPr="00EB19CB">
        <w:rPr>
          <w:rFonts w:ascii="Arial" w:hAnsi="Arial" w:cs="Arial"/>
          <w:color w:val="auto"/>
          <w:sz w:val="20"/>
          <w:szCs w:val="20"/>
          <w:shd w:val="clear" w:color="auto" w:fill="FFFFFF"/>
        </w:rPr>
        <w:t xml:space="preserve">Mary, B., </w:t>
      </w:r>
      <w:proofErr w:type="spellStart"/>
      <w:r w:rsidRPr="00EB19CB">
        <w:rPr>
          <w:rFonts w:ascii="Arial" w:hAnsi="Arial" w:cs="Arial"/>
          <w:color w:val="auto"/>
          <w:sz w:val="20"/>
          <w:szCs w:val="20"/>
          <w:shd w:val="clear" w:color="auto" w:fill="FFFFFF"/>
        </w:rPr>
        <w:t>Clivot</w:t>
      </w:r>
      <w:proofErr w:type="spellEnd"/>
      <w:r w:rsidRPr="00EB19CB">
        <w:rPr>
          <w:rFonts w:ascii="Arial" w:hAnsi="Arial" w:cs="Arial"/>
          <w:color w:val="auto"/>
          <w:sz w:val="20"/>
          <w:szCs w:val="20"/>
          <w:shd w:val="clear" w:color="auto" w:fill="FFFFFF"/>
        </w:rPr>
        <w:t xml:space="preserve">, H., Blaszczyk, N., </w:t>
      </w:r>
      <w:proofErr w:type="spellStart"/>
      <w:r w:rsidRPr="00EB19CB">
        <w:rPr>
          <w:rFonts w:ascii="Arial" w:hAnsi="Arial" w:cs="Arial"/>
          <w:color w:val="auto"/>
          <w:sz w:val="20"/>
          <w:szCs w:val="20"/>
          <w:shd w:val="clear" w:color="auto" w:fill="FFFFFF"/>
        </w:rPr>
        <w:t>Labreuche</w:t>
      </w:r>
      <w:proofErr w:type="spellEnd"/>
      <w:r w:rsidRPr="00EB19CB">
        <w:rPr>
          <w:rFonts w:ascii="Arial" w:hAnsi="Arial" w:cs="Arial"/>
          <w:color w:val="auto"/>
          <w:sz w:val="20"/>
          <w:szCs w:val="20"/>
          <w:shd w:val="clear" w:color="auto" w:fill="FFFFFF"/>
        </w:rPr>
        <w:t>, J., &amp; Ferchaud, F. (2020). Soil carbon storage and mineralization rates are affected by carbon inputs rather than physical disturbance: Evidence from a 47-year tillage experiment. </w:t>
      </w:r>
      <w:r w:rsidRPr="00EB19CB">
        <w:rPr>
          <w:rFonts w:ascii="Arial" w:hAnsi="Arial" w:cs="Arial"/>
          <w:i/>
          <w:iCs/>
          <w:color w:val="auto"/>
          <w:sz w:val="20"/>
          <w:szCs w:val="20"/>
          <w:shd w:val="clear" w:color="auto" w:fill="FFFFFF"/>
        </w:rPr>
        <w:t>Agriculture, Ecosystems &amp; Environment</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299</w:t>
      </w:r>
      <w:r w:rsidRPr="00EB19CB">
        <w:rPr>
          <w:rFonts w:ascii="Arial" w:hAnsi="Arial" w:cs="Arial"/>
          <w:color w:val="auto"/>
          <w:sz w:val="20"/>
          <w:szCs w:val="20"/>
          <w:shd w:val="clear" w:color="auto" w:fill="FFFFFF"/>
        </w:rPr>
        <w:t>, 106972.</w:t>
      </w:r>
      <w:r w:rsidR="008E642E" w:rsidRPr="00EB19CB">
        <w:rPr>
          <w:rFonts w:ascii="Arial" w:hAnsi="Arial" w:cs="Arial"/>
          <w:color w:val="auto"/>
          <w:sz w:val="20"/>
          <w:szCs w:val="20"/>
          <w:shd w:val="clear" w:color="auto" w:fill="FFFFFF"/>
        </w:rPr>
        <w:t xml:space="preserve"> </w:t>
      </w:r>
      <w:hyperlink r:id="rId48" w:tgtFrame="_blank" w:tooltip="Persistent link using digital object identifier" w:history="1">
        <w:r w:rsidR="008E642E" w:rsidRPr="00EB19CB">
          <w:rPr>
            <w:rFonts w:ascii="Arial" w:hAnsi="Arial" w:cs="Arial"/>
            <w:color w:val="auto"/>
            <w:sz w:val="20"/>
            <w:szCs w:val="20"/>
            <w:shd w:val="clear" w:color="auto" w:fill="FFFFFF"/>
          </w:rPr>
          <w:t>https://doi.org/10.1016/j.agee.2020.106972</w:t>
        </w:r>
      </w:hyperlink>
    </w:p>
    <w:p w14:paraId="139E72A3" w14:textId="7D1D4516" w:rsidR="003E09F6" w:rsidRPr="00EB19CB" w:rsidRDefault="003E09F6" w:rsidP="00EB087D">
      <w:pPr>
        <w:pStyle w:val="PubliManuscript"/>
        <w:spacing w:line="240" w:lineRule="auto"/>
        <w:ind w:firstLine="0"/>
        <w:rPr>
          <w:rFonts w:ascii="Arial" w:hAnsi="Arial" w:cs="Arial"/>
          <w:color w:val="auto"/>
          <w:sz w:val="20"/>
          <w:szCs w:val="20"/>
          <w:shd w:val="clear" w:color="auto" w:fill="FFFFFF"/>
        </w:rPr>
      </w:pPr>
      <w:r w:rsidRPr="00EB19CB">
        <w:rPr>
          <w:rFonts w:ascii="Arial" w:hAnsi="Arial" w:cs="Arial"/>
          <w:color w:val="auto"/>
          <w:sz w:val="20"/>
          <w:szCs w:val="20"/>
          <w:shd w:val="clear" w:color="auto" w:fill="FFFFFF"/>
        </w:rPr>
        <w:t xml:space="preserve">Meurer, K. H., Haddaway, N. R., Bolinder, M. A., &amp; </w:t>
      </w:r>
      <w:proofErr w:type="spellStart"/>
      <w:r w:rsidRPr="00EB19CB">
        <w:rPr>
          <w:rFonts w:ascii="Arial" w:hAnsi="Arial" w:cs="Arial"/>
          <w:color w:val="auto"/>
          <w:sz w:val="20"/>
          <w:szCs w:val="20"/>
          <w:shd w:val="clear" w:color="auto" w:fill="FFFFFF"/>
        </w:rPr>
        <w:t>Kätterer</w:t>
      </w:r>
      <w:proofErr w:type="spellEnd"/>
      <w:r w:rsidRPr="00EB19CB">
        <w:rPr>
          <w:rFonts w:ascii="Arial" w:hAnsi="Arial" w:cs="Arial"/>
          <w:color w:val="auto"/>
          <w:sz w:val="20"/>
          <w:szCs w:val="20"/>
          <w:shd w:val="clear" w:color="auto" w:fill="FFFFFF"/>
        </w:rPr>
        <w:t>, T. (2018). Tillage intensity affects total SOC stocks in boreo-temperate regions only in the topsoil—A systematic review using an ESM approach. </w:t>
      </w:r>
      <w:r w:rsidRPr="00EB19CB">
        <w:rPr>
          <w:rFonts w:ascii="Arial" w:hAnsi="Arial" w:cs="Arial"/>
          <w:i/>
          <w:iCs/>
          <w:color w:val="auto"/>
          <w:sz w:val="20"/>
          <w:szCs w:val="20"/>
          <w:shd w:val="clear" w:color="auto" w:fill="FFFFFF"/>
        </w:rPr>
        <w:t>Earth-Science Reviews</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177</w:t>
      </w:r>
      <w:r w:rsidRPr="00EB19CB">
        <w:rPr>
          <w:rFonts w:ascii="Arial" w:hAnsi="Arial" w:cs="Arial"/>
          <w:color w:val="auto"/>
          <w:sz w:val="20"/>
          <w:szCs w:val="20"/>
          <w:shd w:val="clear" w:color="auto" w:fill="FFFFFF"/>
        </w:rPr>
        <w:t>, 613-622.</w:t>
      </w:r>
      <w:r w:rsidR="006F2D8E" w:rsidRPr="00EB19CB">
        <w:rPr>
          <w:rFonts w:ascii="Arial" w:hAnsi="Arial" w:cs="Arial"/>
          <w:color w:val="auto"/>
          <w:sz w:val="20"/>
          <w:szCs w:val="20"/>
          <w:shd w:val="clear" w:color="auto" w:fill="FFFFFF"/>
        </w:rPr>
        <w:t xml:space="preserve"> </w:t>
      </w:r>
      <w:hyperlink r:id="rId49" w:tgtFrame="_blank" w:tooltip="Persistent link using digital object identifier" w:history="1">
        <w:r w:rsidR="006F2D8E" w:rsidRPr="00EB19CB">
          <w:rPr>
            <w:rFonts w:ascii="Arial" w:hAnsi="Arial" w:cs="Arial"/>
            <w:color w:val="auto"/>
            <w:sz w:val="20"/>
            <w:szCs w:val="20"/>
            <w:shd w:val="clear" w:color="auto" w:fill="FFFFFF"/>
          </w:rPr>
          <w:t>https://doi.org/10.1016/j.earscirev.2017.12.015</w:t>
        </w:r>
      </w:hyperlink>
    </w:p>
    <w:p w14:paraId="2E2051CA" w14:textId="35482418" w:rsidR="00477482" w:rsidRPr="00EB19CB" w:rsidRDefault="00477482" w:rsidP="00EB087D">
      <w:pPr>
        <w:pStyle w:val="PubliManuscript"/>
        <w:spacing w:line="240" w:lineRule="auto"/>
        <w:ind w:firstLine="0"/>
        <w:rPr>
          <w:rFonts w:ascii="Arial" w:hAnsi="Arial" w:cs="Arial"/>
          <w:color w:val="auto"/>
          <w:sz w:val="20"/>
          <w:szCs w:val="20"/>
          <w:shd w:val="clear" w:color="auto" w:fill="FFFFFF"/>
        </w:rPr>
      </w:pPr>
      <w:r w:rsidRPr="00EB19CB">
        <w:rPr>
          <w:rFonts w:ascii="Arial" w:hAnsi="Arial" w:cs="Arial"/>
          <w:color w:val="auto"/>
          <w:sz w:val="20"/>
          <w:szCs w:val="20"/>
          <w:shd w:val="clear" w:color="auto" w:fill="FFFFFF"/>
        </w:rPr>
        <w:t>Morais, T. G., Teixeira, R. F., &amp; Domingos, T. (2019). Detailed global modelling of soil organic carbon in cropland, grassland and forest soils. </w:t>
      </w:r>
      <w:proofErr w:type="spellStart"/>
      <w:r w:rsidRPr="00EB19CB">
        <w:rPr>
          <w:rFonts w:ascii="Arial" w:hAnsi="Arial" w:cs="Arial"/>
          <w:i/>
          <w:iCs/>
          <w:color w:val="auto"/>
          <w:sz w:val="20"/>
          <w:szCs w:val="20"/>
          <w:shd w:val="clear" w:color="auto" w:fill="FFFFFF"/>
        </w:rPr>
        <w:t>PloS</w:t>
      </w:r>
      <w:proofErr w:type="spellEnd"/>
      <w:r w:rsidRPr="00EB19CB">
        <w:rPr>
          <w:rFonts w:ascii="Arial" w:hAnsi="Arial" w:cs="Arial"/>
          <w:i/>
          <w:iCs/>
          <w:color w:val="auto"/>
          <w:sz w:val="20"/>
          <w:szCs w:val="20"/>
          <w:shd w:val="clear" w:color="auto" w:fill="FFFFFF"/>
        </w:rPr>
        <w:t xml:space="preserve"> one</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14</w:t>
      </w:r>
      <w:r w:rsidRPr="00EB19CB">
        <w:rPr>
          <w:rFonts w:ascii="Arial" w:hAnsi="Arial" w:cs="Arial"/>
          <w:color w:val="auto"/>
          <w:sz w:val="20"/>
          <w:szCs w:val="20"/>
          <w:shd w:val="clear" w:color="auto" w:fill="FFFFFF"/>
        </w:rPr>
        <w:t xml:space="preserve">(9), e0222604. </w:t>
      </w:r>
      <w:r w:rsidR="00A436A3" w:rsidRPr="00EB19CB">
        <w:rPr>
          <w:rFonts w:ascii="Arial" w:hAnsi="Arial" w:cs="Arial"/>
          <w:color w:val="auto"/>
          <w:sz w:val="20"/>
          <w:szCs w:val="20"/>
          <w:shd w:val="clear" w:color="auto" w:fill="FFFFFF"/>
        </w:rPr>
        <w:t>https://doi.org/10.1371/journal.pone.0222604</w:t>
      </w:r>
    </w:p>
    <w:p w14:paraId="45551EE1" w14:textId="259E91DD" w:rsidR="00990FF3" w:rsidRPr="00EB19CB" w:rsidRDefault="00990FF3" w:rsidP="002477A8">
      <w:pPr>
        <w:jc w:val="both"/>
        <w:rPr>
          <w:rFonts w:ascii="Arial" w:hAnsi="Arial" w:cs="Arial"/>
          <w:color w:val="auto"/>
          <w:sz w:val="20"/>
          <w:szCs w:val="20"/>
          <w:shd w:val="clear" w:color="auto" w:fill="FFFFFF"/>
        </w:rPr>
      </w:pPr>
      <w:r w:rsidRPr="00EB19CB">
        <w:rPr>
          <w:rFonts w:ascii="Arial" w:hAnsi="Arial" w:cs="Arial"/>
          <w:color w:val="auto"/>
          <w:sz w:val="20"/>
          <w:szCs w:val="20"/>
          <w:shd w:val="clear" w:color="auto" w:fill="FFFFFF"/>
        </w:rPr>
        <w:t xml:space="preserve">Ogle, S. M., </w:t>
      </w:r>
      <w:proofErr w:type="spellStart"/>
      <w:r w:rsidRPr="00EB19CB">
        <w:rPr>
          <w:rFonts w:ascii="Arial" w:hAnsi="Arial" w:cs="Arial"/>
          <w:color w:val="auto"/>
          <w:sz w:val="20"/>
          <w:szCs w:val="20"/>
          <w:shd w:val="clear" w:color="auto" w:fill="FFFFFF"/>
        </w:rPr>
        <w:t>Breidt</w:t>
      </w:r>
      <w:proofErr w:type="spellEnd"/>
      <w:r w:rsidRPr="00EB19CB">
        <w:rPr>
          <w:rFonts w:ascii="Arial" w:hAnsi="Arial" w:cs="Arial"/>
          <w:color w:val="auto"/>
          <w:sz w:val="20"/>
          <w:szCs w:val="20"/>
          <w:shd w:val="clear" w:color="auto" w:fill="FFFFFF"/>
        </w:rPr>
        <w:t>, F. J., Easter, M., Williams, S., Killian, K., &amp; Paustian, K. (2010). Scale and uncertainty in modeled soil organic carbon stock changes for US croplands using a process</w:t>
      </w:r>
      <w:r w:rsidRPr="00EB19CB">
        <w:rPr>
          <w:rFonts w:ascii="Cambria Math" w:hAnsi="Cambria Math" w:cs="Cambria Math"/>
          <w:color w:val="auto"/>
          <w:sz w:val="20"/>
          <w:szCs w:val="20"/>
          <w:shd w:val="clear" w:color="auto" w:fill="FFFFFF"/>
        </w:rPr>
        <w:t>‐</w:t>
      </w:r>
      <w:r w:rsidRPr="00EB19CB">
        <w:rPr>
          <w:rFonts w:ascii="Arial" w:hAnsi="Arial" w:cs="Arial"/>
          <w:color w:val="auto"/>
          <w:sz w:val="20"/>
          <w:szCs w:val="20"/>
          <w:shd w:val="clear" w:color="auto" w:fill="FFFFFF"/>
        </w:rPr>
        <w:t>based model. </w:t>
      </w:r>
      <w:r w:rsidRPr="00EB19CB">
        <w:rPr>
          <w:rFonts w:ascii="Arial" w:hAnsi="Arial" w:cs="Arial"/>
          <w:i/>
          <w:iCs/>
          <w:color w:val="auto"/>
          <w:sz w:val="20"/>
          <w:szCs w:val="20"/>
          <w:shd w:val="clear" w:color="auto" w:fill="FFFFFF"/>
        </w:rPr>
        <w:t>Global change biology</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16</w:t>
      </w:r>
      <w:r w:rsidRPr="00EB19CB">
        <w:rPr>
          <w:rFonts w:ascii="Arial" w:hAnsi="Arial" w:cs="Arial"/>
          <w:color w:val="auto"/>
          <w:sz w:val="20"/>
          <w:szCs w:val="20"/>
          <w:shd w:val="clear" w:color="auto" w:fill="FFFFFF"/>
        </w:rPr>
        <w:t xml:space="preserve">(2), 810-822. </w:t>
      </w:r>
      <w:hyperlink r:id="rId50" w:history="1">
        <w:r w:rsidR="002477A8" w:rsidRPr="00EB19CB">
          <w:rPr>
            <w:rFonts w:ascii="Arial" w:hAnsi="Arial" w:cs="Arial"/>
            <w:color w:val="auto"/>
            <w:sz w:val="20"/>
            <w:szCs w:val="20"/>
            <w:shd w:val="clear" w:color="auto" w:fill="FFFFFF"/>
          </w:rPr>
          <w:t>https://doi.org/10.1111/j.1365-2486.2009.01951.x</w:t>
        </w:r>
      </w:hyperlink>
    </w:p>
    <w:p w14:paraId="01C5565E" w14:textId="4EF5C360" w:rsidR="00E02302" w:rsidRPr="00EB19CB" w:rsidRDefault="00E02302" w:rsidP="00EB087D">
      <w:pPr>
        <w:pStyle w:val="PubliManuscript"/>
        <w:spacing w:line="240" w:lineRule="auto"/>
        <w:ind w:firstLine="0"/>
        <w:rPr>
          <w:rFonts w:ascii="Arial" w:hAnsi="Arial" w:cs="Arial"/>
          <w:color w:val="auto"/>
          <w:sz w:val="20"/>
          <w:szCs w:val="20"/>
        </w:rPr>
      </w:pPr>
      <w:r w:rsidRPr="00EB19CB">
        <w:rPr>
          <w:rFonts w:ascii="Arial" w:hAnsi="Arial" w:cs="Arial"/>
          <w:color w:val="auto"/>
          <w:sz w:val="20"/>
          <w:szCs w:val="20"/>
          <w:shd w:val="clear" w:color="auto" w:fill="FFFFFF"/>
        </w:rPr>
        <w:t xml:space="preserve">Ogle, S. M., Alsaker, C., </w:t>
      </w:r>
      <w:proofErr w:type="spellStart"/>
      <w:r w:rsidRPr="00EB19CB">
        <w:rPr>
          <w:rFonts w:ascii="Arial" w:hAnsi="Arial" w:cs="Arial"/>
          <w:color w:val="auto"/>
          <w:sz w:val="20"/>
          <w:szCs w:val="20"/>
          <w:shd w:val="clear" w:color="auto" w:fill="FFFFFF"/>
        </w:rPr>
        <w:t>Baldock</w:t>
      </w:r>
      <w:proofErr w:type="spellEnd"/>
      <w:r w:rsidRPr="00EB19CB">
        <w:rPr>
          <w:rFonts w:ascii="Arial" w:hAnsi="Arial" w:cs="Arial"/>
          <w:color w:val="auto"/>
          <w:sz w:val="20"/>
          <w:szCs w:val="20"/>
          <w:shd w:val="clear" w:color="auto" w:fill="FFFFFF"/>
        </w:rPr>
        <w:t xml:space="preserve">, J., </w:t>
      </w:r>
      <w:proofErr w:type="spellStart"/>
      <w:r w:rsidRPr="00EB19CB">
        <w:rPr>
          <w:rFonts w:ascii="Arial" w:hAnsi="Arial" w:cs="Arial"/>
          <w:color w:val="auto"/>
          <w:sz w:val="20"/>
          <w:szCs w:val="20"/>
          <w:shd w:val="clear" w:color="auto" w:fill="FFFFFF"/>
        </w:rPr>
        <w:t>Bernoux</w:t>
      </w:r>
      <w:proofErr w:type="spellEnd"/>
      <w:r w:rsidRPr="00EB19CB">
        <w:rPr>
          <w:rFonts w:ascii="Arial" w:hAnsi="Arial" w:cs="Arial"/>
          <w:color w:val="auto"/>
          <w:sz w:val="20"/>
          <w:szCs w:val="20"/>
          <w:shd w:val="clear" w:color="auto" w:fill="FFFFFF"/>
        </w:rPr>
        <w:t xml:space="preserve">, M., </w:t>
      </w:r>
      <w:proofErr w:type="spellStart"/>
      <w:r w:rsidRPr="00EB19CB">
        <w:rPr>
          <w:rFonts w:ascii="Arial" w:hAnsi="Arial" w:cs="Arial"/>
          <w:color w:val="auto"/>
          <w:sz w:val="20"/>
          <w:szCs w:val="20"/>
          <w:shd w:val="clear" w:color="auto" w:fill="FFFFFF"/>
        </w:rPr>
        <w:t>Breidt</w:t>
      </w:r>
      <w:proofErr w:type="spellEnd"/>
      <w:r w:rsidRPr="00EB19CB">
        <w:rPr>
          <w:rFonts w:ascii="Arial" w:hAnsi="Arial" w:cs="Arial"/>
          <w:color w:val="auto"/>
          <w:sz w:val="20"/>
          <w:szCs w:val="20"/>
          <w:shd w:val="clear" w:color="auto" w:fill="FFFFFF"/>
        </w:rPr>
        <w:t xml:space="preserve">, F. J., McConkey, B., ... &amp; Vazquez-Amabile, </w:t>
      </w:r>
      <w:r w:rsidRPr="00EB19CB">
        <w:rPr>
          <w:rFonts w:ascii="Arial" w:hAnsi="Arial" w:cs="Arial"/>
          <w:color w:val="auto"/>
          <w:sz w:val="20"/>
          <w:szCs w:val="20"/>
          <w:shd w:val="clear" w:color="auto" w:fill="FFFFFF"/>
        </w:rPr>
        <w:lastRenderedPageBreak/>
        <w:t>G. G. (2019). Climate and soil characteristics determine where no-till management can store carbon in soils and mitigate greenhouse gas emissions. </w:t>
      </w:r>
      <w:r w:rsidRPr="00EB19CB">
        <w:rPr>
          <w:rFonts w:ascii="Arial" w:hAnsi="Arial" w:cs="Arial"/>
          <w:i/>
          <w:iCs/>
          <w:color w:val="auto"/>
          <w:sz w:val="20"/>
          <w:szCs w:val="20"/>
          <w:shd w:val="clear" w:color="auto" w:fill="FFFFFF"/>
        </w:rPr>
        <w:t>Scientific reports</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9</w:t>
      </w:r>
      <w:r w:rsidRPr="00EB19CB">
        <w:rPr>
          <w:rFonts w:ascii="Arial" w:hAnsi="Arial" w:cs="Arial"/>
          <w:color w:val="auto"/>
          <w:sz w:val="20"/>
          <w:szCs w:val="20"/>
          <w:shd w:val="clear" w:color="auto" w:fill="FFFFFF"/>
        </w:rPr>
        <w:t>(1), 11665.</w:t>
      </w:r>
      <w:r w:rsidR="00A34E5F" w:rsidRPr="00EB19CB">
        <w:rPr>
          <w:rFonts w:ascii="Arial" w:hAnsi="Arial" w:cs="Arial"/>
          <w:color w:val="auto"/>
          <w:sz w:val="20"/>
          <w:szCs w:val="20"/>
          <w:shd w:val="clear" w:color="auto" w:fill="FFFFFF"/>
        </w:rPr>
        <w:t xml:space="preserve"> </w:t>
      </w:r>
      <w:hyperlink r:id="rId51" w:history="1">
        <w:r w:rsidR="00292958" w:rsidRPr="00EB19CB">
          <w:rPr>
            <w:rFonts w:ascii="Arial" w:hAnsi="Arial" w:cs="Arial"/>
            <w:color w:val="auto"/>
            <w:sz w:val="20"/>
            <w:szCs w:val="20"/>
          </w:rPr>
          <w:t>https://doi.org/10.1038/s41598-019-47861-7</w:t>
        </w:r>
      </w:hyperlink>
    </w:p>
    <w:p w14:paraId="2090D898" w14:textId="0A9A12FC" w:rsidR="00B41D46" w:rsidRPr="00EB19CB" w:rsidRDefault="00B41D46" w:rsidP="00EB087D">
      <w:pPr>
        <w:pStyle w:val="PubliManuscript"/>
        <w:spacing w:line="240" w:lineRule="auto"/>
        <w:ind w:firstLine="0"/>
        <w:rPr>
          <w:rFonts w:ascii="Arial" w:hAnsi="Arial" w:cs="Arial"/>
          <w:color w:val="auto"/>
          <w:sz w:val="20"/>
          <w:szCs w:val="20"/>
        </w:rPr>
      </w:pPr>
      <w:r w:rsidRPr="00EB19CB">
        <w:rPr>
          <w:rFonts w:ascii="Arial" w:hAnsi="Arial" w:cs="Arial"/>
          <w:color w:val="auto"/>
          <w:sz w:val="20"/>
          <w:szCs w:val="20"/>
          <w:shd w:val="clear" w:color="auto" w:fill="FFFFFF"/>
        </w:rPr>
        <w:t xml:space="preserve">Peel, M. C., Finlayson, B. L., &amp; McMahon, T. A. (2007). Updated world map of the </w:t>
      </w:r>
      <w:proofErr w:type="spellStart"/>
      <w:r w:rsidRPr="00EB19CB">
        <w:rPr>
          <w:rFonts w:ascii="Arial" w:hAnsi="Arial" w:cs="Arial"/>
          <w:color w:val="auto"/>
          <w:sz w:val="20"/>
          <w:szCs w:val="20"/>
          <w:shd w:val="clear" w:color="auto" w:fill="FFFFFF"/>
        </w:rPr>
        <w:t>Köppen</w:t>
      </w:r>
      <w:proofErr w:type="spellEnd"/>
      <w:r w:rsidRPr="00EB19CB">
        <w:rPr>
          <w:rFonts w:ascii="Arial" w:hAnsi="Arial" w:cs="Arial"/>
          <w:color w:val="auto"/>
          <w:sz w:val="20"/>
          <w:szCs w:val="20"/>
          <w:shd w:val="clear" w:color="auto" w:fill="FFFFFF"/>
        </w:rPr>
        <w:t>-Geiger climate classification. </w:t>
      </w:r>
      <w:r w:rsidRPr="00EB19CB">
        <w:rPr>
          <w:rFonts w:ascii="Arial" w:hAnsi="Arial" w:cs="Arial"/>
          <w:i/>
          <w:iCs/>
          <w:color w:val="auto"/>
          <w:sz w:val="20"/>
          <w:szCs w:val="20"/>
          <w:shd w:val="clear" w:color="auto" w:fill="FFFFFF"/>
        </w:rPr>
        <w:t>Hydrology and earth system sciences</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11</w:t>
      </w:r>
      <w:r w:rsidRPr="00EB19CB">
        <w:rPr>
          <w:rFonts w:ascii="Arial" w:hAnsi="Arial" w:cs="Arial"/>
          <w:color w:val="auto"/>
          <w:sz w:val="20"/>
          <w:szCs w:val="20"/>
          <w:shd w:val="clear" w:color="auto" w:fill="FFFFFF"/>
        </w:rPr>
        <w:t xml:space="preserve">(5), 1633-1644. </w:t>
      </w:r>
      <w:r w:rsidR="003B0AD2" w:rsidRPr="00EB19CB">
        <w:rPr>
          <w:rFonts w:ascii="Arial" w:hAnsi="Arial" w:cs="Arial"/>
          <w:color w:val="auto"/>
          <w:sz w:val="20"/>
          <w:szCs w:val="20"/>
        </w:rPr>
        <w:t>https://doi.org/10.5194/hess-11-1633-2007</w:t>
      </w:r>
    </w:p>
    <w:p w14:paraId="112B7E67" w14:textId="69B0F3FD" w:rsidR="00292958" w:rsidRPr="00EB19CB" w:rsidRDefault="00292958" w:rsidP="00EB087D">
      <w:pPr>
        <w:pStyle w:val="PubliManuscript"/>
        <w:spacing w:line="240" w:lineRule="auto"/>
        <w:ind w:firstLine="0"/>
        <w:rPr>
          <w:rFonts w:ascii="Arial" w:hAnsi="Arial" w:cs="Arial"/>
          <w:color w:val="auto"/>
          <w:sz w:val="20"/>
          <w:szCs w:val="20"/>
          <w:shd w:val="clear" w:color="auto" w:fill="FFFFFF"/>
        </w:rPr>
      </w:pPr>
      <w:r w:rsidRPr="00EB19CB">
        <w:rPr>
          <w:rFonts w:ascii="Arial" w:hAnsi="Arial" w:cs="Arial"/>
          <w:color w:val="auto"/>
          <w:sz w:val="20"/>
          <w:szCs w:val="20"/>
          <w:shd w:val="clear" w:color="auto" w:fill="FFFFFF"/>
        </w:rPr>
        <w:t xml:space="preserve">Pittelkow, C. M., Linquist, B. A., Lundy, M. E., Liang, X., Van </w:t>
      </w:r>
      <w:proofErr w:type="spellStart"/>
      <w:r w:rsidRPr="00EB19CB">
        <w:rPr>
          <w:rFonts w:ascii="Arial" w:hAnsi="Arial" w:cs="Arial"/>
          <w:color w:val="auto"/>
          <w:sz w:val="20"/>
          <w:szCs w:val="20"/>
          <w:shd w:val="clear" w:color="auto" w:fill="FFFFFF"/>
        </w:rPr>
        <w:t>Groenigen</w:t>
      </w:r>
      <w:proofErr w:type="spellEnd"/>
      <w:r w:rsidRPr="00EB19CB">
        <w:rPr>
          <w:rFonts w:ascii="Arial" w:hAnsi="Arial" w:cs="Arial"/>
          <w:color w:val="auto"/>
          <w:sz w:val="20"/>
          <w:szCs w:val="20"/>
          <w:shd w:val="clear" w:color="auto" w:fill="FFFFFF"/>
        </w:rPr>
        <w:t>, K. J., Lee, J., ... &amp; Van Kessel, C. (2015</w:t>
      </w:r>
      <w:r w:rsidR="00201345" w:rsidRPr="00EB19CB">
        <w:rPr>
          <w:rFonts w:ascii="Arial" w:hAnsi="Arial" w:cs="Arial"/>
          <w:color w:val="auto"/>
          <w:sz w:val="20"/>
          <w:szCs w:val="20"/>
          <w:shd w:val="clear" w:color="auto" w:fill="FFFFFF"/>
        </w:rPr>
        <w:t>a</w:t>
      </w:r>
      <w:r w:rsidRPr="00EB19CB">
        <w:rPr>
          <w:rFonts w:ascii="Arial" w:hAnsi="Arial" w:cs="Arial"/>
          <w:color w:val="auto"/>
          <w:sz w:val="20"/>
          <w:szCs w:val="20"/>
          <w:shd w:val="clear" w:color="auto" w:fill="FFFFFF"/>
        </w:rPr>
        <w:t>). When does no-till yield more? A global meta-analysis. </w:t>
      </w:r>
      <w:r w:rsidRPr="00EB19CB">
        <w:rPr>
          <w:rFonts w:ascii="Arial" w:hAnsi="Arial" w:cs="Arial"/>
          <w:i/>
          <w:iCs/>
          <w:color w:val="auto"/>
          <w:sz w:val="20"/>
          <w:szCs w:val="20"/>
          <w:shd w:val="clear" w:color="auto" w:fill="FFFFFF"/>
        </w:rPr>
        <w:t>Field crops research</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183</w:t>
      </w:r>
      <w:r w:rsidRPr="00EB19CB">
        <w:rPr>
          <w:rFonts w:ascii="Arial" w:hAnsi="Arial" w:cs="Arial"/>
          <w:color w:val="auto"/>
          <w:sz w:val="20"/>
          <w:szCs w:val="20"/>
          <w:shd w:val="clear" w:color="auto" w:fill="FFFFFF"/>
        </w:rPr>
        <w:t>, 156-168.</w:t>
      </w:r>
      <w:r w:rsidR="008F1E9D" w:rsidRPr="00EB19CB">
        <w:rPr>
          <w:rFonts w:ascii="Arial" w:hAnsi="Arial" w:cs="Arial"/>
          <w:color w:val="auto"/>
          <w:sz w:val="20"/>
          <w:szCs w:val="20"/>
          <w:shd w:val="clear" w:color="auto" w:fill="FFFFFF"/>
        </w:rPr>
        <w:t xml:space="preserve"> </w:t>
      </w:r>
      <w:hyperlink r:id="rId52" w:tgtFrame="_blank" w:tooltip="Persistent link using digital object identifier" w:history="1">
        <w:r w:rsidR="008F1E9D" w:rsidRPr="00EB19CB">
          <w:rPr>
            <w:rFonts w:ascii="Arial" w:hAnsi="Arial" w:cs="Arial"/>
            <w:color w:val="auto"/>
            <w:sz w:val="20"/>
            <w:szCs w:val="20"/>
            <w:shd w:val="clear" w:color="auto" w:fill="FFFFFF"/>
          </w:rPr>
          <w:t>https://doi.org/10.1016/j.fcr.2015.07.020</w:t>
        </w:r>
      </w:hyperlink>
    </w:p>
    <w:p w14:paraId="53C4F0C3" w14:textId="1734FE99" w:rsidR="0029264B" w:rsidRPr="00EB19CB" w:rsidRDefault="0029264B" w:rsidP="00EB087D">
      <w:pPr>
        <w:pStyle w:val="PubliManuscript"/>
        <w:spacing w:line="240" w:lineRule="auto"/>
        <w:ind w:firstLine="0"/>
        <w:rPr>
          <w:rFonts w:ascii="Arial" w:hAnsi="Arial" w:cs="Arial"/>
          <w:color w:val="auto"/>
          <w:sz w:val="20"/>
          <w:szCs w:val="20"/>
        </w:rPr>
      </w:pPr>
      <w:proofErr w:type="spellStart"/>
      <w:r w:rsidRPr="00EB19CB">
        <w:rPr>
          <w:rFonts w:ascii="Arial" w:hAnsi="Arial" w:cs="Arial"/>
          <w:color w:val="auto"/>
          <w:sz w:val="20"/>
          <w:szCs w:val="20"/>
          <w:shd w:val="clear" w:color="auto" w:fill="FFFFFF"/>
          <w:lang w:val="nl-NL"/>
        </w:rPr>
        <w:t>Pittelkow</w:t>
      </w:r>
      <w:proofErr w:type="spellEnd"/>
      <w:r w:rsidRPr="00EB19CB">
        <w:rPr>
          <w:rFonts w:ascii="Arial" w:hAnsi="Arial" w:cs="Arial"/>
          <w:color w:val="auto"/>
          <w:sz w:val="20"/>
          <w:szCs w:val="20"/>
          <w:shd w:val="clear" w:color="auto" w:fill="FFFFFF"/>
          <w:lang w:val="nl-NL"/>
        </w:rPr>
        <w:t xml:space="preserve">, C. M., Liang, X., </w:t>
      </w:r>
      <w:proofErr w:type="spellStart"/>
      <w:r w:rsidRPr="00EB19CB">
        <w:rPr>
          <w:rFonts w:ascii="Arial" w:hAnsi="Arial" w:cs="Arial"/>
          <w:color w:val="auto"/>
          <w:sz w:val="20"/>
          <w:szCs w:val="20"/>
          <w:shd w:val="clear" w:color="auto" w:fill="FFFFFF"/>
          <w:lang w:val="nl-NL"/>
        </w:rPr>
        <w:t>Linquist</w:t>
      </w:r>
      <w:proofErr w:type="spellEnd"/>
      <w:r w:rsidRPr="00EB19CB">
        <w:rPr>
          <w:rFonts w:ascii="Arial" w:hAnsi="Arial" w:cs="Arial"/>
          <w:color w:val="auto"/>
          <w:sz w:val="20"/>
          <w:szCs w:val="20"/>
          <w:shd w:val="clear" w:color="auto" w:fill="FFFFFF"/>
          <w:lang w:val="nl-NL"/>
        </w:rPr>
        <w:t xml:space="preserve">, B. A., Van Groenigen, K. J., Lee, J., </w:t>
      </w:r>
      <w:proofErr w:type="spellStart"/>
      <w:r w:rsidRPr="00EB19CB">
        <w:rPr>
          <w:rFonts w:ascii="Arial" w:hAnsi="Arial" w:cs="Arial"/>
          <w:color w:val="auto"/>
          <w:sz w:val="20"/>
          <w:szCs w:val="20"/>
          <w:shd w:val="clear" w:color="auto" w:fill="FFFFFF"/>
          <w:lang w:val="nl-NL"/>
        </w:rPr>
        <w:t>Lundy</w:t>
      </w:r>
      <w:proofErr w:type="spellEnd"/>
      <w:r w:rsidRPr="00EB19CB">
        <w:rPr>
          <w:rFonts w:ascii="Arial" w:hAnsi="Arial" w:cs="Arial"/>
          <w:color w:val="auto"/>
          <w:sz w:val="20"/>
          <w:szCs w:val="20"/>
          <w:shd w:val="clear" w:color="auto" w:fill="FFFFFF"/>
          <w:lang w:val="nl-NL"/>
        </w:rPr>
        <w:t xml:space="preserve">, M. E., ... </w:t>
      </w:r>
      <w:r w:rsidRPr="00EB19CB">
        <w:rPr>
          <w:rFonts w:ascii="Arial" w:hAnsi="Arial" w:cs="Arial"/>
          <w:color w:val="auto"/>
          <w:sz w:val="20"/>
          <w:szCs w:val="20"/>
          <w:shd w:val="clear" w:color="auto" w:fill="FFFFFF"/>
        </w:rPr>
        <w:t>&amp; Van Kessel, C. (2015</w:t>
      </w:r>
      <w:r w:rsidR="00201345" w:rsidRPr="00EB19CB">
        <w:rPr>
          <w:rFonts w:ascii="Arial" w:hAnsi="Arial" w:cs="Arial"/>
          <w:color w:val="auto"/>
          <w:sz w:val="20"/>
          <w:szCs w:val="20"/>
          <w:shd w:val="clear" w:color="auto" w:fill="FFFFFF"/>
        </w:rPr>
        <w:t>b</w:t>
      </w:r>
      <w:r w:rsidRPr="00EB19CB">
        <w:rPr>
          <w:rFonts w:ascii="Arial" w:hAnsi="Arial" w:cs="Arial"/>
          <w:color w:val="auto"/>
          <w:sz w:val="20"/>
          <w:szCs w:val="20"/>
          <w:shd w:val="clear" w:color="auto" w:fill="FFFFFF"/>
        </w:rPr>
        <w:t>). Productivity limits and potentials of the principles of conservation agriculture. </w:t>
      </w:r>
      <w:r w:rsidRPr="00EB19CB">
        <w:rPr>
          <w:rFonts w:ascii="Arial" w:hAnsi="Arial" w:cs="Arial"/>
          <w:i/>
          <w:iCs/>
          <w:color w:val="auto"/>
          <w:sz w:val="20"/>
          <w:szCs w:val="20"/>
          <w:shd w:val="clear" w:color="auto" w:fill="FFFFFF"/>
        </w:rPr>
        <w:t>Nature</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517</w:t>
      </w:r>
      <w:r w:rsidRPr="00EB19CB">
        <w:rPr>
          <w:rFonts w:ascii="Arial" w:hAnsi="Arial" w:cs="Arial"/>
          <w:color w:val="auto"/>
          <w:sz w:val="20"/>
          <w:szCs w:val="20"/>
          <w:shd w:val="clear" w:color="auto" w:fill="FFFFFF"/>
        </w:rPr>
        <w:t xml:space="preserve">(7534), 365-368. </w:t>
      </w:r>
      <w:hyperlink r:id="rId53" w:history="1">
        <w:r w:rsidR="00682C37" w:rsidRPr="00EB19CB">
          <w:rPr>
            <w:rFonts w:ascii="Arial" w:hAnsi="Arial" w:cs="Arial"/>
            <w:color w:val="auto"/>
            <w:sz w:val="20"/>
            <w:szCs w:val="20"/>
          </w:rPr>
          <w:t>https://doi.org/10.1038/nature13809</w:t>
        </w:r>
      </w:hyperlink>
    </w:p>
    <w:p w14:paraId="6B0AF87C" w14:textId="1CBCB8EB" w:rsidR="009B262F" w:rsidRPr="00EB19CB" w:rsidRDefault="009B262F" w:rsidP="00EB087D">
      <w:pPr>
        <w:pStyle w:val="PubliManuscript"/>
        <w:spacing w:line="240" w:lineRule="auto"/>
        <w:ind w:firstLine="0"/>
        <w:rPr>
          <w:rFonts w:ascii="Arial" w:hAnsi="Arial" w:cs="Arial"/>
          <w:color w:val="auto"/>
          <w:sz w:val="20"/>
          <w:szCs w:val="20"/>
        </w:rPr>
      </w:pPr>
      <w:proofErr w:type="spellStart"/>
      <w:r w:rsidRPr="00EB19CB">
        <w:rPr>
          <w:rFonts w:ascii="Arial" w:hAnsi="Arial" w:cs="Arial"/>
          <w:color w:val="auto"/>
          <w:sz w:val="20"/>
          <w:szCs w:val="20"/>
          <w:shd w:val="clear" w:color="auto" w:fill="FFFFFF"/>
        </w:rPr>
        <w:t>Powlson</w:t>
      </w:r>
      <w:proofErr w:type="spellEnd"/>
      <w:r w:rsidRPr="00EB19CB">
        <w:rPr>
          <w:rFonts w:ascii="Arial" w:hAnsi="Arial" w:cs="Arial"/>
          <w:color w:val="auto"/>
          <w:sz w:val="20"/>
          <w:szCs w:val="20"/>
          <w:shd w:val="clear" w:color="auto" w:fill="FFFFFF"/>
        </w:rPr>
        <w:t>, D. S., Stirling, C. M., Jat, M. L., Gerard, B. G., Palm, C. A., Sanchez, P. A., &amp; Cassman, K. G. (2014). Limited potential of no-till agriculture for climate change mitigation. </w:t>
      </w:r>
      <w:r w:rsidRPr="00EB19CB">
        <w:rPr>
          <w:rFonts w:ascii="Arial" w:hAnsi="Arial" w:cs="Arial"/>
          <w:i/>
          <w:iCs/>
          <w:color w:val="auto"/>
          <w:sz w:val="20"/>
          <w:szCs w:val="20"/>
          <w:shd w:val="clear" w:color="auto" w:fill="FFFFFF"/>
        </w:rPr>
        <w:t>Nature Climate Change</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4</w:t>
      </w:r>
      <w:r w:rsidRPr="00EB19CB">
        <w:rPr>
          <w:rFonts w:ascii="Arial" w:hAnsi="Arial" w:cs="Arial"/>
          <w:color w:val="auto"/>
          <w:sz w:val="20"/>
          <w:szCs w:val="20"/>
          <w:shd w:val="clear" w:color="auto" w:fill="FFFFFF"/>
        </w:rPr>
        <w:t xml:space="preserve">(8), 678-683. </w:t>
      </w:r>
      <w:r w:rsidRPr="00EB19CB">
        <w:rPr>
          <w:rFonts w:ascii="Arial" w:hAnsi="Arial" w:cs="Arial"/>
          <w:color w:val="auto"/>
          <w:sz w:val="20"/>
          <w:szCs w:val="20"/>
        </w:rPr>
        <w:t>https://doi.org/10.1038/nclimate2292</w:t>
      </w:r>
    </w:p>
    <w:p w14:paraId="0936C651" w14:textId="7E9FC481" w:rsidR="00B74BF4" w:rsidRPr="00EB19CB" w:rsidRDefault="00B74BF4" w:rsidP="00B74BF4">
      <w:pPr>
        <w:pStyle w:val="PubliManuscript"/>
        <w:spacing w:line="240" w:lineRule="auto"/>
        <w:ind w:firstLine="0"/>
        <w:rPr>
          <w:rFonts w:ascii="Arial" w:hAnsi="Arial" w:cs="Arial"/>
          <w:color w:val="auto"/>
          <w:sz w:val="20"/>
          <w:szCs w:val="20"/>
          <w:shd w:val="clear" w:color="auto" w:fill="FFFFFF"/>
        </w:rPr>
      </w:pPr>
      <w:r w:rsidRPr="00EB19CB">
        <w:rPr>
          <w:rFonts w:ascii="Arial" w:hAnsi="Arial" w:cs="Arial"/>
          <w:color w:val="auto"/>
          <w:sz w:val="20"/>
          <w:szCs w:val="20"/>
          <w:shd w:val="clear" w:color="auto" w:fill="FFFFFF"/>
        </w:rPr>
        <w:t>R Core Team (2021). R: A language and environment for statistical computing. R Foundation for Statistical Computing, Vienna, Austria. URL https://www.R-project.org/.</w:t>
      </w:r>
    </w:p>
    <w:p w14:paraId="6F730C96" w14:textId="2F0287C1" w:rsidR="00877647" w:rsidRPr="00EB19CB" w:rsidRDefault="00877647" w:rsidP="00EB087D">
      <w:pPr>
        <w:pStyle w:val="PubliManuscript"/>
        <w:spacing w:line="240" w:lineRule="auto"/>
        <w:ind w:firstLine="0"/>
        <w:rPr>
          <w:rFonts w:ascii="Arial" w:hAnsi="Arial" w:cs="Arial"/>
          <w:color w:val="auto"/>
          <w:sz w:val="20"/>
          <w:szCs w:val="20"/>
        </w:rPr>
      </w:pPr>
      <w:proofErr w:type="spellStart"/>
      <w:r w:rsidRPr="00EB19CB">
        <w:rPr>
          <w:rFonts w:ascii="Arial" w:hAnsi="Arial" w:cs="Arial"/>
          <w:color w:val="auto"/>
          <w:sz w:val="20"/>
          <w:szCs w:val="20"/>
          <w:shd w:val="clear" w:color="auto" w:fill="FFFFFF"/>
        </w:rPr>
        <w:t>Ravelojaona</w:t>
      </w:r>
      <w:proofErr w:type="spellEnd"/>
      <w:r w:rsidRPr="00EB19CB">
        <w:rPr>
          <w:rFonts w:ascii="Arial" w:hAnsi="Arial" w:cs="Arial"/>
          <w:color w:val="auto"/>
          <w:sz w:val="20"/>
          <w:szCs w:val="20"/>
          <w:shd w:val="clear" w:color="auto" w:fill="FFFFFF"/>
        </w:rPr>
        <w:t xml:space="preserve">, N., </w:t>
      </w:r>
      <w:proofErr w:type="spellStart"/>
      <w:r w:rsidRPr="00EB19CB">
        <w:rPr>
          <w:rFonts w:ascii="Arial" w:hAnsi="Arial" w:cs="Arial"/>
          <w:color w:val="auto"/>
          <w:sz w:val="20"/>
          <w:szCs w:val="20"/>
          <w:shd w:val="clear" w:color="auto" w:fill="FFFFFF"/>
        </w:rPr>
        <w:t>Jégo</w:t>
      </w:r>
      <w:proofErr w:type="spellEnd"/>
      <w:r w:rsidRPr="00EB19CB">
        <w:rPr>
          <w:rFonts w:ascii="Arial" w:hAnsi="Arial" w:cs="Arial"/>
          <w:color w:val="auto"/>
          <w:sz w:val="20"/>
          <w:szCs w:val="20"/>
          <w:shd w:val="clear" w:color="auto" w:fill="FFFFFF"/>
        </w:rPr>
        <w:t xml:space="preserve">, G., Ziadi, N., Mollier, A., Lafond, J., Karam, A., &amp; Morel, C. (2023). STICS Soil–Crop Model Performance for Predicting Biomass and Nitrogen Status of Spring Barley Cropped for 31 Years in a </w:t>
      </w:r>
      <w:proofErr w:type="spellStart"/>
      <w:r w:rsidRPr="00EB19CB">
        <w:rPr>
          <w:rFonts w:ascii="Arial" w:hAnsi="Arial" w:cs="Arial"/>
          <w:color w:val="auto"/>
          <w:sz w:val="20"/>
          <w:szCs w:val="20"/>
          <w:shd w:val="clear" w:color="auto" w:fill="FFFFFF"/>
        </w:rPr>
        <w:t>Gleysolic</w:t>
      </w:r>
      <w:proofErr w:type="spellEnd"/>
      <w:r w:rsidRPr="00EB19CB">
        <w:rPr>
          <w:rFonts w:ascii="Arial" w:hAnsi="Arial" w:cs="Arial"/>
          <w:color w:val="auto"/>
          <w:sz w:val="20"/>
          <w:szCs w:val="20"/>
          <w:shd w:val="clear" w:color="auto" w:fill="FFFFFF"/>
        </w:rPr>
        <w:t xml:space="preserve"> Soil from Northeastern Quebec (Canada). </w:t>
      </w:r>
      <w:r w:rsidRPr="00EB19CB">
        <w:rPr>
          <w:rFonts w:ascii="Arial" w:hAnsi="Arial" w:cs="Arial"/>
          <w:i/>
          <w:iCs/>
          <w:color w:val="auto"/>
          <w:sz w:val="20"/>
          <w:szCs w:val="20"/>
          <w:shd w:val="clear" w:color="auto" w:fill="FFFFFF"/>
        </w:rPr>
        <w:t>Agronomy</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13</w:t>
      </w:r>
      <w:r w:rsidRPr="00EB19CB">
        <w:rPr>
          <w:rFonts w:ascii="Arial" w:hAnsi="Arial" w:cs="Arial"/>
          <w:color w:val="auto"/>
          <w:sz w:val="20"/>
          <w:szCs w:val="20"/>
          <w:shd w:val="clear" w:color="auto" w:fill="FFFFFF"/>
        </w:rPr>
        <w:t xml:space="preserve">(10), 2540. </w:t>
      </w:r>
      <w:r w:rsidR="00753B61" w:rsidRPr="00EB19CB">
        <w:rPr>
          <w:rFonts w:ascii="Arial" w:hAnsi="Arial" w:cs="Arial"/>
          <w:color w:val="auto"/>
          <w:sz w:val="20"/>
          <w:szCs w:val="20"/>
          <w:shd w:val="clear" w:color="auto" w:fill="FFFFFF"/>
        </w:rPr>
        <w:t xml:space="preserve"> </w:t>
      </w:r>
      <w:hyperlink r:id="rId54" w:history="1">
        <w:r w:rsidR="00753B61" w:rsidRPr="00EB19CB">
          <w:rPr>
            <w:rFonts w:ascii="Arial" w:hAnsi="Arial" w:cs="Arial"/>
            <w:color w:val="auto"/>
            <w:sz w:val="20"/>
            <w:szCs w:val="20"/>
          </w:rPr>
          <w:t>https://doi.org/10.3390/agronomy13102540</w:t>
        </w:r>
      </w:hyperlink>
    </w:p>
    <w:p w14:paraId="46CAB1EB" w14:textId="4F28E8AD" w:rsidR="003955FB" w:rsidRPr="00EB19CB" w:rsidRDefault="003955FB" w:rsidP="00EB087D">
      <w:pPr>
        <w:pStyle w:val="PubliManuscript"/>
        <w:spacing w:line="240" w:lineRule="auto"/>
        <w:ind w:firstLine="0"/>
        <w:rPr>
          <w:rFonts w:ascii="Arial" w:hAnsi="Arial" w:cs="Arial"/>
          <w:color w:val="auto"/>
          <w:sz w:val="20"/>
          <w:szCs w:val="20"/>
          <w:lang w:val="de-DE"/>
        </w:rPr>
      </w:pPr>
      <w:r w:rsidRPr="00EB19CB">
        <w:rPr>
          <w:rFonts w:ascii="Arial" w:hAnsi="Arial" w:cs="Arial"/>
          <w:color w:val="auto"/>
          <w:sz w:val="20"/>
          <w:szCs w:val="20"/>
          <w:shd w:val="clear" w:color="auto" w:fill="FFFFFF"/>
        </w:rPr>
        <w:t xml:space="preserve">Rutkowska, B., Szulc, W., </w:t>
      </w:r>
      <w:proofErr w:type="spellStart"/>
      <w:r w:rsidRPr="00EB19CB">
        <w:rPr>
          <w:rFonts w:ascii="Arial" w:hAnsi="Arial" w:cs="Arial"/>
          <w:color w:val="auto"/>
          <w:sz w:val="20"/>
          <w:szCs w:val="20"/>
          <w:shd w:val="clear" w:color="auto" w:fill="FFFFFF"/>
        </w:rPr>
        <w:t>Sosulski</w:t>
      </w:r>
      <w:proofErr w:type="spellEnd"/>
      <w:r w:rsidRPr="00EB19CB">
        <w:rPr>
          <w:rFonts w:ascii="Arial" w:hAnsi="Arial" w:cs="Arial"/>
          <w:color w:val="auto"/>
          <w:sz w:val="20"/>
          <w:szCs w:val="20"/>
          <w:shd w:val="clear" w:color="auto" w:fill="FFFFFF"/>
        </w:rPr>
        <w:t>, T., Skowrońska, M., &amp; Szczepaniak, J. (2018). Impact of reduced tillage on CO2 emission from soil under maize cultivation. </w:t>
      </w:r>
      <w:proofErr w:type="spellStart"/>
      <w:r w:rsidRPr="00EB19CB">
        <w:rPr>
          <w:rFonts w:ascii="Arial" w:hAnsi="Arial" w:cs="Arial"/>
          <w:i/>
          <w:iCs/>
          <w:color w:val="auto"/>
          <w:sz w:val="20"/>
          <w:szCs w:val="20"/>
          <w:shd w:val="clear" w:color="auto" w:fill="FFFFFF"/>
          <w:lang w:val="de-DE"/>
        </w:rPr>
        <w:t>Soil</w:t>
      </w:r>
      <w:proofErr w:type="spellEnd"/>
      <w:r w:rsidRPr="00EB19CB">
        <w:rPr>
          <w:rFonts w:ascii="Arial" w:hAnsi="Arial" w:cs="Arial"/>
          <w:i/>
          <w:iCs/>
          <w:color w:val="auto"/>
          <w:sz w:val="20"/>
          <w:szCs w:val="20"/>
          <w:shd w:val="clear" w:color="auto" w:fill="FFFFFF"/>
          <w:lang w:val="de-DE"/>
        </w:rPr>
        <w:t xml:space="preserve"> and </w:t>
      </w:r>
      <w:proofErr w:type="spellStart"/>
      <w:r w:rsidRPr="00EB19CB">
        <w:rPr>
          <w:rFonts w:ascii="Arial" w:hAnsi="Arial" w:cs="Arial"/>
          <w:i/>
          <w:iCs/>
          <w:color w:val="auto"/>
          <w:sz w:val="20"/>
          <w:szCs w:val="20"/>
          <w:shd w:val="clear" w:color="auto" w:fill="FFFFFF"/>
          <w:lang w:val="de-DE"/>
        </w:rPr>
        <w:t>Tillage</w:t>
      </w:r>
      <w:proofErr w:type="spellEnd"/>
      <w:r w:rsidRPr="00EB19CB">
        <w:rPr>
          <w:rFonts w:ascii="Arial" w:hAnsi="Arial" w:cs="Arial"/>
          <w:i/>
          <w:iCs/>
          <w:color w:val="auto"/>
          <w:sz w:val="20"/>
          <w:szCs w:val="20"/>
          <w:shd w:val="clear" w:color="auto" w:fill="FFFFFF"/>
          <w:lang w:val="de-DE"/>
        </w:rPr>
        <w:t xml:space="preserve"> Research</w:t>
      </w:r>
      <w:r w:rsidRPr="00EB19CB">
        <w:rPr>
          <w:rFonts w:ascii="Arial" w:hAnsi="Arial" w:cs="Arial"/>
          <w:color w:val="auto"/>
          <w:sz w:val="20"/>
          <w:szCs w:val="20"/>
          <w:shd w:val="clear" w:color="auto" w:fill="FFFFFF"/>
          <w:lang w:val="de-DE"/>
        </w:rPr>
        <w:t>, </w:t>
      </w:r>
      <w:r w:rsidRPr="00EB19CB">
        <w:rPr>
          <w:rFonts w:ascii="Arial" w:hAnsi="Arial" w:cs="Arial"/>
          <w:i/>
          <w:iCs/>
          <w:color w:val="auto"/>
          <w:sz w:val="20"/>
          <w:szCs w:val="20"/>
          <w:shd w:val="clear" w:color="auto" w:fill="FFFFFF"/>
          <w:lang w:val="de-DE"/>
        </w:rPr>
        <w:t>180</w:t>
      </w:r>
      <w:r w:rsidRPr="00EB19CB">
        <w:rPr>
          <w:rFonts w:ascii="Arial" w:hAnsi="Arial" w:cs="Arial"/>
          <w:color w:val="auto"/>
          <w:sz w:val="20"/>
          <w:szCs w:val="20"/>
          <w:shd w:val="clear" w:color="auto" w:fill="FFFFFF"/>
          <w:lang w:val="de-DE"/>
        </w:rPr>
        <w:t xml:space="preserve">, 21-28. </w:t>
      </w:r>
      <w:hyperlink r:id="rId55" w:tgtFrame="_blank" w:tooltip="Persistent link using digital object identifier" w:history="1">
        <w:r w:rsidR="00A64F37" w:rsidRPr="00EB19CB">
          <w:rPr>
            <w:rFonts w:ascii="Arial" w:hAnsi="Arial" w:cs="Arial"/>
            <w:color w:val="auto"/>
            <w:sz w:val="20"/>
            <w:szCs w:val="20"/>
            <w:lang w:val="de-DE"/>
          </w:rPr>
          <w:t>https://doi.org/10.1016/j.still.2018.02.012</w:t>
        </w:r>
      </w:hyperlink>
    </w:p>
    <w:p w14:paraId="4390365E" w14:textId="2A5405BB" w:rsidR="00183B55" w:rsidRPr="00EB19CB" w:rsidRDefault="00183B55" w:rsidP="00EB087D">
      <w:pPr>
        <w:pStyle w:val="PubliManuscript"/>
        <w:spacing w:line="240" w:lineRule="auto"/>
        <w:ind w:firstLine="0"/>
        <w:rPr>
          <w:rFonts w:ascii="Arial" w:hAnsi="Arial" w:cs="Arial"/>
          <w:color w:val="auto"/>
          <w:sz w:val="20"/>
          <w:szCs w:val="20"/>
          <w:shd w:val="clear" w:color="auto" w:fill="FFFFFF"/>
        </w:rPr>
      </w:pPr>
      <w:r w:rsidRPr="00EB19CB">
        <w:rPr>
          <w:rFonts w:ascii="Arial" w:hAnsi="Arial" w:cs="Arial"/>
          <w:color w:val="auto"/>
          <w:sz w:val="20"/>
          <w:szCs w:val="20"/>
          <w:shd w:val="clear" w:color="auto" w:fill="FFFFFF"/>
          <w:lang w:val="de-DE"/>
        </w:rPr>
        <w:t xml:space="preserve">Schlüter, S., Großmann, C., Diel, J., Wu, G. M., Tischer, S., Deubel, A., &amp; Rücknagel, J. (2018). </w:t>
      </w:r>
      <w:r w:rsidRPr="00EB19CB">
        <w:rPr>
          <w:rFonts w:ascii="Arial" w:hAnsi="Arial" w:cs="Arial"/>
          <w:color w:val="auto"/>
          <w:sz w:val="20"/>
          <w:szCs w:val="20"/>
          <w:shd w:val="clear" w:color="auto" w:fill="FFFFFF"/>
        </w:rPr>
        <w:t>Long-term effects of conventional and reduced tillage on soil structure, soil ecological and soil hydraulic properties. </w:t>
      </w:r>
      <w:proofErr w:type="spellStart"/>
      <w:r w:rsidRPr="00EB19CB">
        <w:rPr>
          <w:rFonts w:ascii="Arial" w:hAnsi="Arial" w:cs="Arial"/>
          <w:i/>
          <w:iCs/>
          <w:color w:val="auto"/>
          <w:sz w:val="20"/>
          <w:szCs w:val="20"/>
          <w:shd w:val="clear" w:color="auto" w:fill="FFFFFF"/>
        </w:rPr>
        <w:t>Geoderma</w:t>
      </w:r>
      <w:proofErr w:type="spellEnd"/>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332</w:t>
      </w:r>
      <w:r w:rsidRPr="00EB19CB">
        <w:rPr>
          <w:rFonts w:ascii="Arial" w:hAnsi="Arial" w:cs="Arial"/>
          <w:color w:val="auto"/>
          <w:sz w:val="20"/>
          <w:szCs w:val="20"/>
          <w:shd w:val="clear" w:color="auto" w:fill="FFFFFF"/>
        </w:rPr>
        <w:t xml:space="preserve">, 10-19. </w:t>
      </w:r>
      <w:hyperlink r:id="rId56" w:tgtFrame="_blank" w:tooltip="Persistent link using digital object identifier" w:history="1">
        <w:r w:rsidRPr="00EB19CB">
          <w:rPr>
            <w:rFonts w:ascii="Arial" w:hAnsi="Arial" w:cs="Arial"/>
            <w:color w:val="auto"/>
            <w:sz w:val="20"/>
            <w:szCs w:val="20"/>
            <w:shd w:val="clear" w:color="auto" w:fill="FFFFFF"/>
          </w:rPr>
          <w:t>https://doi.org/10.1016/j.geoderma.2018.07.001</w:t>
        </w:r>
      </w:hyperlink>
    </w:p>
    <w:p w14:paraId="5B30F70A" w14:textId="08CC8147" w:rsidR="00483156" w:rsidRPr="00EB19CB" w:rsidRDefault="00483156" w:rsidP="00EB087D">
      <w:pPr>
        <w:pStyle w:val="PubliManuscript"/>
        <w:spacing w:line="240" w:lineRule="auto"/>
        <w:ind w:firstLine="0"/>
        <w:rPr>
          <w:rFonts w:ascii="Arial" w:hAnsi="Arial" w:cs="Arial"/>
          <w:color w:val="auto"/>
          <w:sz w:val="20"/>
          <w:szCs w:val="20"/>
        </w:rPr>
      </w:pPr>
      <w:r w:rsidRPr="00EB19CB">
        <w:rPr>
          <w:rFonts w:ascii="Arial" w:hAnsi="Arial" w:cs="Arial"/>
          <w:color w:val="auto"/>
          <w:sz w:val="20"/>
          <w:szCs w:val="20"/>
          <w:shd w:val="clear" w:color="auto" w:fill="FFFFFF"/>
        </w:rPr>
        <w:t xml:space="preserve">Smith, P., Martino, D., Cai, Z., </w:t>
      </w:r>
      <w:proofErr w:type="spellStart"/>
      <w:r w:rsidRPr="00EB19CB">
        <w:rPr>
          <w:rFonts w:ascii="Arial" w:hAnsi="Arial" w:cs="Arial"/>
          <w:color w:val="auto"/>
          <w:sz w:val="20"/>
          <w:szCs w:val="20"/>
          <w:shd w:val="clear" w:color="auto" w:fill="FFFFFF"/>
        </w:rPr>
        <w:t>Gwary</w:t>
      </w:r>
      <w:proofErr w:type="spellEnd"/>
      <w:r w:rsidRPr="00EB19CB">
        <w:rPr>
          <w:rFonts w:ascii="Arial" w:hAnsi="Arial" w:cs="Arial"/>
          <w:color w:val="auto"/>
          <w:sz w:val="20"/>
          <w:szCs w:val="20"/>
          <w:shd w:val="clear" w:color="auto" w:fill="FFFFFF"/>
        </w:rPr>
        <w:t>, D., Janzen, H., Kumar, P., ... &amp; Smith, J. (2008). Greenhouse gas mitigation in agriculture. </w:t>
      </w:r>
      <w:r w:rsidRPr="00EB19CB">
        <w:rPr>
          <w:rFonts w:ascii="Arial" w:hAnsi="Arial" w:cs="Arial"/>
          <w:i/>
          <w:iCs/>
          <w:color w:val="auto"/>
          <w:sz w:val="20"/>
          <w:szCs w:val="20"/>
          <w:shd w:val="clear" w:color="auto" w:fill="FFFFFF"/>
        </w:rPr>
        <w:t>Philosophical transactions of the royal Society B: Biological Sciences</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363</w:t>
      </w:r>
      <w:r w:rsidRPr="00EB19CB">
        <w:rPr>
          <w:rFonts w:ascii="Arial" w:hAnsi="Arial" w:cs="Arial"/>
          <w:color w:val="auto"/>
          <w:sz w:val="20"/>
          <w:szCs w:val="20"/>
          <w:shd w:val="clear" w:color="auto" w:fill="FFFFFF"/>
        </w:rPr>
        <w:t>(1492), 789-813.</w:t>
      </w:r>
      <w:r w:rsidR="00947C31" w:rsidRPr="00EB19CB">
        <w:rPr>
          <w:rFonts w:ascii="Arial" w:hAnsi="Arial" w:cs="Arial"/>
          <w:color w:val="auto"/>
          <w:sz w:val="20"/>
          <w:szCs w:val="20"/>
          <w:shd w:val="clear" w:color="auto" w:fill="FFFFFF"/>
        </w:rPr>
        <w:t xml:space="preserve"> </w:t>
      </w:r>
      <w:hyperlink r:id="rId57" w:history="1">
        <w:r w:rsidR="00947C31" w:rsidRPr="00EB19CB">
          <w:rPr>
            <w:rFonts w:ascii="Arial" w:hAnsi="Arial" w:cs="Arial"/>
            <w:color w:val="auto"/>
            <w:sz w:val="20"/>
            <w:szCs w:val="20"/>
          </w:rPr>
          <w:t>https://doi.org/10.1098/rstb.2007.2184</w:t>
        </w:r>
      </w:hyperlink>
    </w:p>
    <w:p w14:paraId="5F220A4F" w14:textId="4396EA6D" w:rsidR="000E62D2" w:rsidRPr="00EB19CB" w:rsidRDefault="000E62D2" w:rsidP="00EB087D">
      <w:pPr>
        <w:pStyle w:val="PubliManuscript"/>
        <w:spacing w:line="240" w:lineRule="auto"/>
        <w:ind w:firstLine="0"/>
        <w:rPr>
          <w:rFonts w:ascii="Arial" w:hAnsi="Arial" w:cs="Arial"/>
          <w:color w:val="auto"/>
          <w:sz w:val="20"/>
          <w:szCs w:val="20"/>
          <w:shd w:val="clear" w:color="auto" w:fill="FFFFFF"/>
        </w:rPr>
      </w:pPr>
      <w:r w:rsidRPr="00EB19CB">
        <w:rPr>
          <w:rFonts w:ascii="Arial" w:hAnsi="Arial" w:cs="Arial"/>
          <w:color w:val="auto"/>
          <w:sz w:val="20"/>
          <w:szCs w:val="20"/>
          <w:shd w:val="clear" w:color="auto" w:fill="FFFFFF"/>
        </w:rPr>
        <w:t xml:space="preserve">Stella, T., </w:t>
      </w:r>
      <w:proofErr w:type="spellStart"/>
      <w:r w:rsidRPr="00EB19CB">
        <w:rPr>
          <w:rFonts w:ascii="Arial" w:hAnsi="Arial" w:cs="Arial"/>
          <w:color w:val="auto"/>
          <w:sz w:val="20"/>
          <w:szCs w:val="20"/>
          <w:shd w:val="clear" w:color="auto" w:fill="FFFFFF"/>
        </w:rPr>
        <w:t>Mouratiadou</w:t>
      </w:r>
      <w:proofErr w:type="spellEnd"/>
      <w:r w:rsidRPr="00EB19CB">
        <w:rPr>
          <w:rFonts w:ascii="Arial" w:hAnsi="Arial" w:cs="Arial"/>
          <w:color w:val="auto"/>
          <w:sz w:val="20"/>
          <w:szCs w:val="20"/>
          <w:shd w:val="clear" w:color="auto" w:fill="FFFFFF"/>
        </w:rPr>
        <w:t>, I., Gaiser, T., Berg-</w:t>
      </w:r>
      <w:proofErr w:type="spellStart"/>
      <w:r w:rsidRPr="00EB19CB">
        <w:rPr>
          <w:rFonts w:ascii="Arial" w:hAnsi="Arial" w:cs="Arial"/>
          <w:color w:val="auto"/>
          <w:sz w:val="20"/>
          <w:szCs w:val="20"/>
          <w:shd w:val="clear" w:color="auto" w:fill="FFFFFF"/>
        </w:rPr>
        <w:t>Mohnicke</w:t>
      </w:r>
      <w:proofErr w:type="spellEnd"/>
      <w:r w:rsidRPr="00EB19CB">
        <w:rPr>
          <w:rFonts w:ascii="Arial" w:hAnsi="Arial" w:cs="Arial"/>
          <w:color w:val="auto"/>
          <w:sz w:val="20"/>
          <w:szCs w:val="20"/>
          <w:shd w:val="clear" w:color="auto" w:fill="FFFFFF"/>
        </w:rPr>
        <w:t>, M., Wallor, E., Ewert, F., &amp; Nendel, C. (2019). Estimating the contribution of crop residues to soil organic carbon conservation. </w:t>
      </w:r>
      <w:r w:rsidRPr="00EB19CB">
        <w:rPr>
          <w:rFonts w:ascii="Arial" w:hAnsi="Arial" w:cs="Arial"/>
          <w:i/>
          <w:iCs/>
          <w:color w:val="auto"/>
          <w:sz w:val="20"/>
          <w:szCs w:val="20"/>
          <w:shd w:val="clear" w:color="auto" w:fill="FFFFFF"/>
        </w:rPr>
        <w:t>Environmental Research Letters</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14</w:t>
      </w:r>
      <w:r w:rsidRPr="00EB19CB">
        <w:rPr>
          <w:rFonts w:ascii="Arial" w:hAnsi="Arial" w:cs="Arial"/>
          <w:color w:val="auto"/>
          <w:sz w:val="20"/>
          <w:szCs w:val="20"/>
          <w:shd w:val="clear" w:color="auto" w:fill="FFFFFF"/>
        </w:rPr>
        <w:t xml:space="preserve">(9), 094008. </w:t>
      </w:r>
      <w:r w:rsidR="00B055C5" w:rsidRPr="00EB19CB">
        <w:rPr>
          <w:rFonts w:ascii="Arial" w:hAnsi="Arial" w:cs="Arial"/>
          <w:color w:val="auto"/>
          <w:sz w:val="20"/>
          <w:szCs w:val="20"/>
          <w:shd w:val="clear" w:color="auto" w:fill="FFFFFF"/>
        </w:rPr>
        <w:t>https://doi.org/</w:t>
      </w:r>
      <w:r w:rsidR="00B055C5" w:rsidRPr="00EB19CB">
        <w:rPr>
          <w:rFonts w:ascii="Segoe UI" w:hAnsi="Segoe UI" w:cs="Segoe UI"/>
          <w:color w:val="auto"/>
          <w:sz w:val="21"/>
          <w:szCs w:val="21"/>
        </w:rPr>
        <w:t>10.1088/1748-9326/ab395c</w:t>
      </w:r>
    </w:p>
    <w:p w14:paraId="32589A4B" w14:textId="5C4506C8" w:rsidR="00BF2558" w:rsidRPr="00EB19CB" w:rsidRDefault="00BF2558" w:rsidP="00EB087D">
      <w:pPr>
        <w:pStyle w:val="PubliManuscript"/>
        <w:spacing w:line="240" w:lineRule="auto"/>
        <w:ind w:firstLine="0"/>
        <w:rPr>
          <w:rFonts w:ascii="Arial" w:hAnsi="Arial" w:cs="Arial"/>
          <w:color w:val="auto"/>
          <w:sz w:val="20"/>
          <w:szCs w:val="20"/>
        </w:rPr>
      </w:pPr>
      <w:proofErr w:type="spellStart"/>
      <w:r w:rsidRPr="00EB19CB">
        <w:rPr>
          <w:rFonts w:ascii="Arial" w:hAnsi="Arial" w:cs="Arial"/>
          <w:color w:val="auto"/>
          <w:sz w:val="20"/>
          <w:szCs w:val="20"/>
          <w:shd w:val="clear" w:color="auto" w:fill="FFFFFF"/>
        </w:rPr>
        <w:t>Strullu</w:t>
      </w:r>
      <w:proofErr w:type="spellEnd"/>
      <w:r w:rsidRPr="00EB19CB">
        <w:rPr>
          <w:rFonts w:ascii="Arial" w:hAnsi="Arial" w:cs="Arial"/>
          <w:color w:val="auto"/>
          <w:sz w:val="20"/>
          <w:szCs w:val="20"/>
          <w:shd w:val="clear" w:color="auto" w:fill="FFFFFF"/>
        </w:rPr>
        <w:t xml:space="preserve">, L., Beaudoin, N., </w:t>
      </w:r>
      <w:proofErr w:type="spellStart"/>
      <w:r w:rsidRPr="00EB19CB">
        <w:rPr>
          <w:rFonts w:ascii="Arial" w:hAnsi="Arial" w:cs="Arial"/>
          <w:color w:val="auto"/>
          <w:sz w:val="20"/>
          <w:szCs w:val="20"/>
          <w:shd w:val="clear" w:color="auto" w:fill="FFFFFF"/>
        </w:rPr>
        <w:t>Thiébeau</w:t>
      </w:r>
      <w:proofErr w:type="spellEnd"/>
      <w:r w:rsidRPr="00EB19CB">
        <w:rPr>
          <w:rFonts w:ascii="Arial" w:hAnsi="Arial" w:cs="Arial"/>
          <w:color w:val="auto"/>
          <w:sz w:val="20"/>
          <w:szCs w:val="20"/>
          <w:shd w:val="clear" w:color="auto" w:fill="FFFFFF"/>
        </w:rPr>
        <w:t xml:space="preserve">, P., Julier, B., Mary, B., </w:t>
      </w:r>
      <w:proofErr w:type="spellStart"/>
      <w:r w:rsidRPr="00EB19CB">
        <w:rPr>
          <w:rFonts w:ascii="Arial" w:hAnsi="Arial" w:cs="Arial"/>
          <w:color w:val="auto"/>
          <w:sz w:val="20"/>
          <w:szCs w:val="20"/>
          <w:shd w:val="clear" w:color="auto" w:fill="FFFFFF"/>
        </w:rPr>
        <w:t>Ruget</w:t>
      </w:r>
      <w:proofErr w:type="spellEnd"/>
      <w:r w:rsidRPr="00EB19CB">
        <w:rPr>
          <w:rFonts w:ascii="Arial" w:hAnsi="Arial" w:cs="Arial"/>
          <w:color w:val="auto"/>
          <w:sz w:val="20"/>
          <w:szCs w:val="20"/>
          <w:shd w:val="clear" w:color="auto" w:fill="FFFFFF"/>
        </w:rPr>
        <w:t xml:space="preserve">, F., ... &amp; </w:t>
      </w:r>
      <w:proofErr w:type="spellStart"/>
      <w:r w:rsidRPr="00EB19CB">
        <w:rPr>
          <w:rFonts w:ascii="Arial" w:hAnsi="Arial" w:cs="Arial"/>
          <w:color w:val="auto"/>
          <w:sz w:val="20"/>
          <w:szCs w:val="20"/>
          <w:shd w:val="clear" w:color="auto" w:fill="FFFFFF"/>
        </w:rPr>
        <w:t>Louarn</w:t>
      </w:r>
      <w:proofErr w:type="spellEnd"/>
      <w:r w:rsidRPr="00EB19CB">
        <w:rPr>
          <w:rFonts w:ascii="Arial" w:hAnsi="Arial" w:cs="Arial"/>
          <w:color w:val="auto"/>
          <w:sz w:val="20"/>
          <w:szCs w:val="20"/>
          <w:shd w:val="clear" w:color="auto" w:fill="FFFFFF"/>
        </w:rPr>
        <w:t>, G. (2020). Simulation using the STICS model of C&amp;N dynamics in alfalfa from sowing to crop destruction. </w:t>
      </w:r>
      <w:r w:rsidRPr="00EB19CB">
        <w:rPr>
          <w:rFonts w:ascii="Arial" w:hAnsi="Arial" w:cs="Arial"/>
          <w:i/>
          <w:iCs/>
          <w:color w:val="auto"/>
          <w:sz w:val="20"/>
          <w:szCs w:val="20"/>
          <w:shd w:val="clear" w:color="auto" w:fill="FFFFFF"/>
        </w:rPr>
        <w:t>European Journal of Agronomy</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112</w:t>
      </w:r>
      <w:r w:rsidRPr="00EB19CB">
        <w:rPr>
          <w:rFonts w:ascii="Arial" w:hAnsi="Arial" w:cs="Arial"/>
          <w:color w:val="auto"/>
          <w:sz w:val="20"/>
          <w:szCs w:val="20"/>
          <w:shd w:val="clear" w:color="auto" w:fill="FFFFFF"/>
        </w:rPr>
        <w:t>, 125948.</w:t>
      </w:r>
      <w:r w:rsidR="005274D7" w:rsidRPr="00EB19CB">
        <w:rPr>
          <w:rFonts w:ascii="Arial" w:hAnsi="Arial" w:cs="Arial"/>
          <w:color w:val="auto"/>
          <w:sz w:val="20"/>
          <w:szCs w:val="20"/>
          <w:shd w:val="clear" w:color="auto" w:fill="FFFFFF"/>
        </w:rPr>
        <w:t xml:space="preserve"> </w:t>
      </w:r>
      <w:hyperlink r:id="rId58" w:tgtFrame="_blank" w:tooltip="Persistent link using digital object identifier" w:history="1">
        <w:r w:rsidR="005274D7" w:rsidRPr="00EB19CB">
          <w:rPr>
            <w:rFonts w:ascii="Arial" w:hAnsi="Arial" w:cs="Arial"/>
            <w:color w:val="auto"/>
            <w:sz w:val="20"/>
            <w:szCs w:val="20"/>
          </w:rPr>
          <w:t>https://doi.org/10.1016/j.eja.2019.125948</w:t>
        </w:r>
      </w:hyperlink>
    </w:p>
    <w:p w14:paraId="78831425" w14:textId="6D8160CA" w:rsidR="006E3CFA" w:rsidRPr="00EB19CB" w:rsidRDefault="006E3CFA" w:rsidP="00EB087D">
      <w:pPr>
        <w:pStyle w:val="PubliManuscript"/>
        <w:spacing w:line="240" w:lineRule="auto"/>
        <w:ind w:firstLine="0"/>
        <w:rPr>
          <w:rFonts w:ascii="Arial" w:hAnsi="Arial" w:cs="Arial"/>
          <w:color w:val="auto"/>
          <w:sz w:val="20"/>
          <w:szCs w:val="20"/>
        </w:rPr>
      </w:pPr>
      <w:r w:rsidRPr="00EB19CB">
        <w:rPr>
          <w:rFonts w:ascii="Arial" w:hAnsi="Arial" w:cs="Arial"/>
          <w:color w:val="auto"/>
          <w:sz w:val="20"/>
          <w:szCs w:val="20"/>
          <w:shd w:val="clear" w:color="auto" w:fill="FFFFFF"/>
        </w:rPr>
        <w:t xml:space="preserve">Stockmann, U., Adams, M. A., Crawford, J. W., Field, D. J., </w:t>
      </w:r>
      <w:proofErr w:type="spellStart"/>
      <w:r w:rsidRPr="00EB19CB">
        <w:rPr>
          <w:rFonts w:ascii="Arial" w:hAnsi="Arial" w:cs="Arial"/>
          <w:color w:val="auto"/>
          <w:sz w:val="20"/>
          <w:szCs w:val="20"/>
          <w:shd w:val="clear" w:color="auto" w:fill="FFFFFF"/>
        </w:rPr>
        <w:t>Henakaarchchi</w:t>
      </w:r>
      <w:proofErr w:type="spellEnd"/>
      <w:r w:rsidRPr="00EB19CB">
        <w:rPr>
          <w:rFonts w:ascii="Arial" w:hAnsi="Arial" w:cs="Arial"/>
          <w:color w:val="auto"/>
          <w:sz w:val="20"/>
          <w:szCs w:val="20"/>
          <w:shd w:val="clear" w:color="auto" w:fill="FFFFFF"/>
        </w:rPr>
        <w:t>, N., Jenkins, M., ... &amp; Zimmermann, M. (2013). The knowns, known unknowns and unknowns of sequestration of soil organic carbon. </w:t>
      </w:r>
      <w:r w:rsidRPr="00EB19CB">
        <w:rPr>
          <w:rFonts w:ascii="Arial" w:hAnsi="Arial" w:cs="Arial"/>
          <w:i/>
          <w:iCs/>
          <w:color w:val="auto"/>
          <w:sz w:val="20"/>
          <w:szCs w:val="20"/>
          <w:shd w:val="clear" w:color="auto" w:fill="FFFFFF"/>
        </w:rPr>
        <w:t>Agriculture, Ecosystems &amp; Environment</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164</w:t>
      </w:r>
      <w:r w:rsidRPr="00EB19CB">
        <w:rPr>
          <w:rFonts w:ascii="Arial" w:hAnsi="Arial" w:cs="Arial"/>
          <w:color w:val="auto"/>
          <w:sz w:val="20"/>
          <w:szCs w:val="20"/>
          <w:shd w:val="clear" w:color="auto" w:fill="FFFFFF"/>
        </w:rPr>
        <w:t xml:space="preserve">, 80-99. </w:t>
      </w:r>
      <w:hyperlink r:id="rId59" w:tgtFrame="_blank" w:tooltip="Persistent link using digital object identifier" w:history="1">
        <w:r w:rsidR="00CB774B" w:rsidRPr="00EB19CB">
          <w:rPr>
            <w:rStyle w:val="anchor-text"/>
            <w:rFonts w:ascii="Arial" w:hAnsi="Arial" w:cs="Arial"/>
            <w:color w:val="auto"/>
            <w:sz w:val="21"/>
            <w:szCs w:val="21"/>
          </w:rPr>
          <w:t>https://doi.org/10.1016/j.agee.2012.10.001</w:t>
        </w:r>
      </w:hyperlink>
    </w:p>
    <w:p w14:paraId="055C16A5" w14:textId="717E194C" w:rsidR="00682C37" w:rsidRPr="00EB19CB" w:rsidRDefault="00682C37" w:rsidP="003E09F6">
      <w:pPr>
        <w:jc w:val="both"/>
        <w:rPr>
          <w:rFonts w:ascii="Arial" w:eastAsia="Times New Roman" w:hAnsi="Arial" w:cs="Arial"/>
          <w:color w:val="auto"/>
          <w:sz w:val="20"/>
          <w:szCs w:val="20"/>
        </w:rPr>
      </w:pPr>
      <w:r w:rsidRPr="00EB19CB">
        <w:rPr>
          <w:rFonts w:ascii="Arial" w:hAnsi="Arial" w:cs="Arial"/>
          <w:color w:val="auto"/>
          <w:sz w:val="20"/>
          <w:szCs w:val="20"/>
          <w:shd w:val="clear" w:color="auto" w:fill="FFFFFF"/>
        </w:rPr>
        <w:t xml:space="preserve">Sun, W., </w:t>
      </w:r>
      <w:proofErr w:type="spellStart"/>
      <w:r w:rsidRPr="00EB19CB">
        <w:rPr>
          <w:rFonts w:ascii="Arial" w:hAnsi="Arial" w:cs="Arial"/>
          <w:color w:val="auto"/>
          <w:sz w:val="20"/>
          <w:szCs w:val="20"/>
          <w:shd w:val="clear" w:color="auto" w:fill="FFFFFF"/>
        </w:rPr>
        <w:t>Canadell</w:t>
      </w:r>
      <w:proofErr w:type="spellEnd"/>
      <w:r w:rsidRPr="00EB19CB">
        <w:rPr>
          <w:rFonts w:ascii="Arial" w:hAnsi="Arial" w:cs="Arial"/>
          <w:color w:val="auto"/>
          <w:sz w:val="20"/>
          <w:szCs w:val="20"/>
          <w:shd w:val="clear" w:color="auto" w:fill="FFFFFF"/>
        </w:rPr>
        <w:t>, J. G., Yu, L., Yu, L., Zhang, W., Smith, P., ... &amp; Huang, Y. (2020). Climate drives global soil carbon sequestration and crop yield changes under conservation agriculture. </w:t>
      </w:r>
      <w:r w:rsidRPr="00EB19CB">
        <w:rPr>
          <w:rFonts w:ascii="Arial" w:hAnsi="Arial" w:cs="Arial"/>
          <w:i/>
          <w:iCs/>
          <w:color w:val="auto"/>
          <w:sz w:val="20"/>
          <w:szCs w:val="20"/>
          <w:shd w:val="clear" w:color="auto" w:fill="FFFFFF"/>
        </w:rPr>
        <w:t>Global Change Biology</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26</w:t>
      </w:r>
      <w:r w:rsidRPr="00EB19CB">
        <w:rPr>
          <w:rFonts w:ascii="Arial" w:hAnsi="Arial" w:cs="Arial"/>
          <w:color w:val="auto"/>
          <w:sz w:val="20"/>
          <w:szCs w:val="20"/>
          <w:shd w:val="clear" w:color="auto" w:fill="FFFFFF"/>
        </w:rPr>
        <w:t>(6), 3325-3335.</w:t>
      </w:r>
      <w:r w:rsidR="000B124E" w:rsidRPr="00EB19CB">
        <w:rPr>
          <w:rFonts w:ascii="Arial" w:hAnsi="Arial" w:cs="Arial"/>
          <w:color w:val="auto"/>
          <w:sz w:val="20"/>
          <w:szCs w:val="20"/>
          <w:shd w:val="clear" w:color="auto" w:fill="FFFFFF"/>
        </w:rPr>
        <w:t xml:space="preserve">  </w:t>
      </w:r>
      <w:hyperlink r:id="rId60" w:history="1">
        <w:r w:rsidR="00D67194" w:rsidRPr="00EB19CB">
          <w:rPr>
            <w:rStyle w:val="Lienhypertexte"/>
            <w:rFonts w:ascii="Arial" w:hAnsi="Arial" w:cs="Arial"/>
            <w:color w:val="auto"/>
            <w:sz w:val="20"/>
            <w:szCs w:val="20"/>
            <w:u w:val="none"/>
          </w:rPr>
          <w:t>https://doi.org/10.1111/gcb.15001</w:t>
        </w:r>
      </w:hyperlink>
    </w:p>
    <w:p w14:paraId="216E0465" w14:textId="48EEDCA3" w:rsidR="002263DF" w:rsidRPr="00EB19CB" w:rsidRDefault="002263DF" w:rsidP="002263DF">
      <w:pPr>
        <w:pStyle w:val="PubliManuscript"/>
        <w:spacing w:line="240" w:lineRule="auto"/>
        <w:ind w:firstLine="0"/>
        <w:rPr>
          <w:rFonts w:ascii="Arial" w:hAnsi="Arial" w:cs="Arial"/>
          <w:color w:val="auto"/>
          <w:sz w:val="20"/>
          <w:szCs w:val="20"/>
          <w:shd w:val="clear" w:color="auto" w:fill="FFFFFF"/>
        </w:rPr>
      </w:pPr>
      <w:r w:rsidRPr="00EB19CB">
        <w:rPr>
          <w:rFonts w:ascii="Arial" w:hAnsi="Arial" w:cs="Arial"/>
          <w:color w:val="auto"/>
          <w:sz w:val="20"/>
          <w:szCs w:val="20"/>
          <w:shd w:val="clear" w:color="auto" w:fill="FFFFFF"/>
        </w:rPr>
        <w:t>Taylor, K. E. (2001). Summarizing multiple aspects of model performance in a single diagram. </w:t>
      </w:r>
      <w:r w:rsidRPr="00EB19CB">
        <w:rPr>
          <w:rFonts w:ascii="Arial" w:hAnsi="Arial" w:cs="Arial"/>
          <w:i/>
          <w:iCs/>
          <w:color w:val="auto"/>
          <w:sz w:val="20"/>
          <w:szCs w:val="20"/>
          <w:shd w:val="clear" w:color="auto" w:fill="FFFFFF"/>
        </w:rPr>
        <w:t>Journal of Geophysical Research: Atmospheres</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106</w:t>
      </w:r>
      <w:r w:rsidRPr="00EB19CB">
        <w:rPr>
          <w:rFonts w:ascii="Arial" w:hAnsi="Arial" w:cs="Arial"/>
          <w:color w:val="auto"/>
          <w:sz w:val="20"/>
          <w:szCs w:val="20"/>
          <w:shd w:val="clear" w:color="auto" w:fill="FFFFFF"/>
        </w:rPr>
        <w:t>(D7), 7183-7192.</w:t>
      </w:r>
    </w:p>
    <w:p w14:paraId="2A23171A" w14:textId="3D41F18F" w:rsidR="002C788A" w:rsidRPr="00EB19CB" w:rsidRDefault="002C788A" w:rsidP="002263DF">
      <w:pPr>
        <w:pStyle w:val="PubliManuscript"/>
        <w:spacing w:line="240" w:lineRule="auto"/>
        <w:ind w:firstLine="0"/>
        <w:rPr>
          <w:rFonts w:ascii="Arial" w:hAnsi="Arial" w:cs="Arial"/>
          <w:color w:val="auto"/>
          <w:sz w:val="20"/>
          <w:szCs w:val="20"/>
          <w:shd w:val="clear" w:color="auto" w:fill="FFFFFF"/>
        </w:rPr>
      </w:pPr>
      <w:r w:rsidRPr="00EB19CB">
        <w:rPr>
          <w:rFonts w:ascii="Arial" w:hAnsi="Arial" w:cs="Arial"/>
          <w:color w:val="auto"/>
          <w:sz w:val="20"/>
          <w:szCs w:val="20"/>
          <w:shd w:val="clear" w:color="auto" w:fill="FFFFFF"/>
        </w:rPr>
        <w:t xml:space="preserve">Turmel, M. S., </w:t>
      </w:r>
      <w:proofErr w:type="spellStart"/>
      <w:r w:rsidRPr="00EB19CB">
        <w:rPr>
          <w:rFonts w:ascii="Arial" w:hAnsi="Arial" w:cs="Arial"/>
          <w:color w:val="auto"/>
          <w:sz w:val="20"/>
          <w:szCs w:val="20"/>
          <w:shd w:val="clear" w:color="auto" w:fill="FFFFFF"/>
        </w:rPr>
        <w:t>Speratti</w:t>
      </w:r>
      <w:proofErr w:type="spellEnd"/>
      <w:r w:rsidRPr="00EB19CB">
        <w:rPr>
          <w:rFonts w:ascii="Arial" w:hAnsi="Arial" w:cs="Arial"/>
          <w:color w:val="auto"/>
          <w:sz w:val="20"/>
          <w:szCs w:val="20"/>
          <w:shd w:val="clear" w:color="auto" w:fill="FFFFFF"/>
        </w:rPr>
        <w:t xml:space="preserve">, A., </w:t>
      </w:r>
      <w:proofErr w:type="spellStart"/>
      <w:r w:rsidRPr="00EB19CB">
        <w:rPr>
          <w:rFonts w:ascii="Arial" w:hAnsi="Arial" w:cs="Arial"/>
          <w:color w:val="auto"/>
          <w:sz w:val="20"/>
          <w:szCs w:val="20"/>
          <w:shd w:val="clear" w:color="auto" w:fill="FFFFFF"/>
        </w:rPr>
        <w:t>Baudron</w:t>
      </w:r>
      <w:proofErr w:type="spellEnd"/>
      <w:r w:rsidRPr="00EB19CB">
        <w:rPr>
          <w:rFonts w:ascii="Arial" w:hAnsi="Arial" w:cs="Arial"/>
          <w:color w:val="auto"/>
          <w:sz w:val="20"/>
          <w:szCs w:val="20"/>
          <w:shd w:val="clear" w:color="auto" w:fill="FFFFFF"/>
        </w:rPr>
        <w:t xml:space="preserve">, F., Verhulst, N., &amp; </w:t>
      </w:r>
      <w:proofErr w:type="spellStart"/>
      <w:r w:rsidRPr="00EB19CB">
        <w:rPr>
          <w:rFonts w:ascii="Arial" w:hAnsi="Arial" w:cs="Arial"/>
          <w:color w:val="auto"/>
          <w:sz w:val="20"/>
          <w:szCs w:val="20"/>
          <w:shd w:val="clear" w:color="auto" w:fill="FFFFFF"/>
        </w:rPr>
        <w:t>Govaerts</w:t>
      </w:r>
      <w:proofErr w:type="spellEnd"/>
      <w:r w:rsidRPr="00EB19CB">
        <w:rPr>
          <w:rFonts w:ascii="Arial" w:hAnsi="Arial" w:cs="Arial"/>
          <w:color w:val="auto"/>
          <w:sz w:val="20"/>
          <w:szCs w:val="20"/>
          <w:shd w:val="clear" w:color="auto" w:fill="FFFFFF"/>
        </w:rPr>
        <w:t>, B. (2015). Crop residue management and soil health: A systems analysis. </w:t>
      </w:r>
      <w:r w:rsidRPr="00EB19CB">
        <w:rPr>
          <w:rFonts w:ascii="Arial" w:hAnsi="Arial" w:cs="Arial"/>
          <w:i/>
          <w:iCs/>
          <w:color w:val="auto"/>
          <w:sz w:val="20"/>
          <w:szCs w:val="20"/>
          <w:shd w:val="clear" w:color="auto" w:fill="FFFFFF"/>
        </w:rPr>
        <w:t>Agricultural Systems</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134</w:t>
      </w:r>
      <w:r w:rsidRPr="00EB19CB">
        <w:rPr>
          <w:rFonts w:ascii="Arial" w:hAnsi="Arial" w:cs="Arial"/>
          <w:color w:val="auto"/>
          <w:sz w:val="20"/>
          <w:szCs w:val="20"/>
          <w:shd w:val="clear" w:color="auto" w:fill="FFFFFF"/>
        </w:rPr>
        <w:t xml:space="preserve">, 6-16. </w:t>
      </w:r>
      <w:hyperlink r:id="rId61" w:tgtFrame="_blank" w:tooltip="Persistent link using digital object identifier" w:history="1">
        <w:r w:rsidR="00594516" w:rsidRPr="00EB19CB">
          <w:rPr>
            <w:rFonts w:ascii="Arial" w:hAnsi="Arial" w:cs="Arial"/>
            <w:color w:val="auto"/>
            <w:sz w:val="20"/>
            <w:szCs w:val="20"/>
            <w:shd w:val="clear" w:color="auto" w:fill="FFFFFF"/>
          </w:rPr>
          <w:t>https://doi.org/10.1016/j.agsy.2014.05.009</w:t>
        </w:r>
      </w:hyperlink>
    </w:p>
    <w:p w14:paraId="0E93342E" w14:textId="255783AD" w:rsidR="00162134" w:rsidRPr="00EB19CB" w:rsidRDefault="007029E1" w:rsidP="002263DF">
      <w:pPr>
        <w:pStyle w:val="PubliManuscript"/>
        <w:spacing w:line="240" w:lineRule="auto"/>
        <w:ind w:firstLine="0"/>
        <w:rPr>
          <w:rFonts w:ascii="Arial" w:hAnsi="Arial" w:cs="Arial"/>
          <w:color w:val="auto"/>
          <w:sz w:val="20"/>
          <w:szCs w:val="20"/>
          <w:shd w:val="clear" w:color="auto" w:fill="FFFFFF"/>
        </w:rPr>
      </w:pPr>
      <w:proofErr w:type="spellStart"/>
      <w:r w:rsidRPr="00EB19CB">
        <w:rPr>
          <w:rFonts w:ascii="Arial" w:hAnsi="Arial" w:cs="Arial"/>
          <w:color w:val="auto"/>
          <w:sz w:val="20"/>
          <w:szCs w:val="20"/>
          <w:shd w:val="clear" w:color="auto" w:fill="FFFFFF"/>
        </w:rPr>
        <w:t>Ussiri</w:t>
      </w:r>
      <w:proofErr w:type="spellEnd"/>
      <w:r w:rsidRPr="00EB19CB">
        <w:rPr>
          <w:rFonts w:ascii="Arial" w:hAnsi="Arial" w:cs="Arial"/>
          <w:color w:val="auto"/>
          <w:sz w:val="20"/>
          <w:szCs w:val="20"/>
          <w:shd w:val="clear" w:color="auto" w:fill="FFFFFF"/>
        </w:rPr>
        <w:t xml:space="preserve">, D. A., &amp; Lal, R. (2009). Long-term tillage effects on soil carbon storage and carbon dioxide emissions in continuous corn cropping system from an </w:t>
      </w:r>
      <w:proofErr w:type="spellStart"/>
      <w:r w:rsidRPr="00EB19CB">
        <w:rPr>
          <w:rFonts w:ascii="Arial" w:hAnsi="Arial" w:cs="Arial"/>
          <w:color w:val="auto"/>
          <w:sz w:val="20"/>
          <w:szCs w:val="20"/>
          <w:shd w:val="clear" w:color="auto" w:fill="FFFFFF"/>
        </w:rPr>
        <w:t>alfisol</w:t>
      </w:r>
      <w:proofErr w:type="spellEnd"/>
      <w:r w:rsidRPr="00EB19CB">
        <w:rPr>
          <w:rFonts w:ascii="Arial" w:hAnsi="Arial" w:cs="Arial"/>
          <w:color w:val="auto"/>
          <w:sz w:val="20"/>
          <w:szCs w:val="20"/>
          <w:shd w:val="clear" w:color="auto" w:fill="FFFFFF"/>
        </w:rPr>
        <w:t xml:space="preserve"> in Ohio. </w:t>
      </w:r>
      <w:r w:rsidRPr="00EB19CB">
        <w:rPr>
          <w:rFonts w:ascii="Arial" w:hAnsi="Arial" w:cs="Arial"/>
          <w:i/>
          <w:iCs/>
          <w:color w:val="auto"/>
          <w:sz w:val="20"/>
          <w:szCs w:val="20"/>
          <w:shd w:val="clear" w:color="auto" w:fill="FFFFFF"/>
        </w:rPr>
        <w:t>Soil and Tillage Research</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104</w:t>
      </w:r>
      <w:r w:rsidRPr="00EB19CB">
        <w:rPr>
          <w:rFonts w:ascii="Arial" w:hAnsi="Arial" w:cs="Arial"/>
          <w:color w:val="auto"/>
          <w:sz w:val="20"/>
          <w:szCs w:val="20"/>
          <w:shd w:val="clear" w:color="auto" w:fill="FFFFFF"/>
        </w:rPr>
        <w:t>(1), 39-47.</w:t>
      </w:r>
      <w:r w:rsidR="008D58FE" w:rsidRPr="00EB19CB">
        <w:rPr>
          <w:rFonts w:ascii="Arial" w:hAnsi="Arial" w:cs="Arial"/>
          <w:color w:val="auto"/>
          <w:sz w:val="20"/>
          <w:szCs w:val="20"/>
          <w:shd w:val="clear" w:color="auto" w:fill="FFFFFF"/>
        </w:rPr>
        <w:t xml:space="preserve"> </w:t>
      </w:r>
      <w:hyperlink r:id="rId62" w:tgtFrame="_blank" w:tooltip="Persistent link using digital object identifier" w:history="1">
        <w:r w:rsidR="008D58FE" w:rsidRPr="00EB19CB">
          <w:rPr>
            <w:rStyle w:val="anchor-text"/>
            <w:rFonts w:ascii="Arial" w:hAnsi="Arial" w:cs="Arial"/>
            <w:color w:val="auto"/>
            <w:sz w:val="20"/>
            <w:szCs w:val="20"/>
          </w:rPr>
          <w:t>https://doi.org/10.1016/j.still.2008.11.008</w:t>
        </w:r>
      </w:hyperlink>
    </w:p>
    <w:p w14:paraId="55E883BC" w14:textId="7F5B8D86" w:rsidR="008357D8" w:rsidRPr="00EB19CB" w:rsidRDefault="008357D8" w:rsidP="002263DF">
      <w:pPr>
        <w:pStyle w:val="PubliManuscript"/>
        <w:spacing w:line="240" w:lineRule="auto"/>
        <w:ind w:firstLine="0"/>
        <w:rPr>
          <w:rStyle w:val="anchor-text"/>
          <w:rFonts w:ascii="Arial" w:hAnsi="Arial" w:cs="Arial"/>
          <w:color w:val="auto"/>
          <w:sz w:val="20"/>
          <w:szCs w:val="20"/>
        </w:rPr>
      </w:pPr>
      <w:r w:rsidRPr="00EB19CB">
        <w:rPr>
          <w:rFonts w:ascii="Arial" w:hAnsi="Arial" w:cs="Arial"/>
          <w:color w:val="auto"/>
          <w:sz w:val="20"/>
          <w:szCs w:val="20"/>
          <w:shd w:val="clear" w:color="auto" w:fill="FFFFFF"/>
        </w:rPr>
        <w:lastRenderedPageBreak/>
        <w:t xml:space="preserve">Van den Putte, A., </w:t>
      </w:r>
      <w:proofErr w:type="spellStart"/>
      <w:r w:rsidRPr="00EB19CB">
        <w:rPr>
          <w:rFonts w:ascii="Arial" w:hAnsi="Arial" w:cs="Arial"/>
          <w:color w:val="auto"/>
          <w:sz w:val="20"/>
          <w:szCs w:val="20"/>
          <w:shd w:val="clear" w:color="auto" w:fill="FFFFFF"/>
        </w:rPr>
        <w:t>Govers</w:t>
      </w:r>
      <w:proofErr w:type="spellEnd"/>
      <w:r w:rsidRPr="00EB19CB">
        <w:rPr>
          <w:rFonts w:ascii="Arial" w:hAnsi="Arial" w:cs="Arial"/>
          <w:color w:val="auto"/>
          <w:sz w:val="20"/>
          <w:szCs w:val="20"/>
          <w:shd w:val="clear" w:color="auto" w:fill="FFFFFF"/>
        </w:rPr>
        <w:t xml:space="preserve">, G., Diels, J., </w:t>
      </w:r>
      <w:proofErr w:type="spellStart"/>
      <w:r w:rsidRPr="00EB19CB">
        <w:rPr>
          <w:rFonts w:ascii="Arial" w:hAnsi="Arial" w:cs="Arial"/>
          <w:color w:val="auto"/>
          <w:sz w:val="20"/>
          <w:szCs w:val="20"/>
          <w:shd w:val="clear" w:color="auto" w:fill="FFFFFF"/>
        </w:rPr>
        <w:t>Gillijns</w:t>
      </w:r>
      <w:proofErr w:type="spellEnd"/>
      <w:r w:rsidRPr="00EB19CB">
        <w:rPr>
          <w:rFonts w:ascii="Arial" w:hAnsi="Arial" w:cs="Arial"/>
          <w:color w:val="auto"/>
          <w:sz w:val="20"/>
          <w:szCs w:val="20"/>
          <w:shd w:val="clear" w:color="auto" w:fill="FFFFFF"/>
        </w:rPr>
        <w:t xml:space="preserve">, K., &amp; </w:t>
      </w:r>
      <w:proofErr w:type="spellStart"/>
      <w:r w:rsidRPr="00EB19CB">
        <w:rPr>
          <w:rFonts w:ascii="Arial" w:hAnsi="Arial" w:cs="Arial"/>
          <w:color w:val="auto"/>
          <w:sz w:val="20"/>
          <w:szCs w:val="20"/>
          <w:shd w:val="clear" w:color="auto" w:fill="FFFFFF"/>
        </w:rPr>
        <w:t>Demuzere</w:t>
      </w:r>
      <w:proofErr w:type="spellEnd"/>
      <w:r w:rsidRPr="00EB19CB">
        <w:rPr>
          <w:rFonts w:ascii="Arial" w:hAnsi="Arial" w:cs="Arial"/>
          <w:color w:val="auto"/>
          <w:sz w:val="20"/>
          <w:szCs w:val="20"/>
          <w:shd w:val="clear" w:color="auto" w:fill="FFFFFF"/>
        </w:rPr>
        <w:t>, M. (2010). Assessing the effect of soil tillage on crop growth: A meta-regression analysis on European crop yields under conservation agriculture. </w:t>
      </w:r>
      <w:r w:rsidRPr="00EB19CB">
        <w:rPr>
          <w:rFonts w:ascii="Arial" w:hAnsi="Arial" w:cs="Arial"/>
          <w:i/>
          <w:iCs/>
          <w:color w:val="auto"/>
          <w:sz w:val="20"/>
          <w:szCs w:val="20"/>
          <w:shd w:val="clear" w:color="auto" w:fill="FFFFFF"/>
        </w:rPr>
        <w:t>European journal of agronomy</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33</w:t>
      </w:r>
      <w:r w:rsidRPr="00EB19CB">
        <w:rPr>
          <w:rFonts w:ascii="Arial" w:hAnsi="Arial" w:cs="Arial"/>
          <w:color w:val="auto"/>
          <w:sz w:val="20"/>
          <w:szCs w:val="20"/>
          <w:shd w:val="clear" w:color="auto" w:fill="FFFFFF"/>
        </w:rPr>
        <w:t>(3), 231-241.</w:t>
      </w:r>
      <w:r w:rsidR="00F618AF" w:rsidRPr="00EB19CB">
        <w:rPr>
          <w:rFonts w:ascii="Arial" w:hAnsi="Arial" w:cs="Arial"/>
          <w:color w:val="auto"/>
          <w:sz w:val="20"/>
          <w:szCs w:val="20"/>
          <w:shd w:val="clear" w:color="auto" w:fill="FFFFFF"/>
        </w:rPr>
        <w:t xml:space="preserve"> </w:t>
      </w:r>
      <w:hyperlink r:id="rId63" w:tgtFrame="_blank" w:tooltip="Persistent link using digital object identifier" w:history="1">
        <w:r w:rsidR="00F618AF" w:rsidRPr="00EB19CB">
          <w:rPr>
            <w:rStyle w:val="anchor-text"/>
            <w:rFonts w:ascii="Arial" w:hAnsi="Arial" w:cs="Arial"/>
            <w:color w:val="auto"/>
            <w:sz w:val="20"/>
            <w:szCs w:val="20"/>
          </w:rPr>
          <w:t>https://doi.org/10.1016/j.eja.2010.05.008</w:t>
        </w:r>
      </w:hyperlink>
    </w:p>
    <w:p w14:paraId="76515406" w14:textId="3EB002A3" w:rsidR="00406798" w:rsidRPr="00EB19CB" w:rsidRDefault="00406798" w:rsidP="002263DF">
      <w:pPr>
        <w:pStyle w:val="PubliManuscript"/>
        <w:spacing w:line="240" w:lineRule="auto"/>
        <w:ind w:firstLine="0"/>
        <w:rPr>
          <w:rFonts w:ascii="Arial" w:hAnsi="Arial" w:cs="Arial"/>
          <w:color w:val="auto"/>
          <w:sz w:val="20"/>
          <w:szCs w:val="20"/>
          <w:shd w:val="clear" w:color="auto" w:fill="FCFCFC"/>
        </w:rPr>
      </w:pPr>
      <w:r w:rsidRPr="00EB19CB">
        <w:rPr>
          <w:rFonts w:ascii="Arial" w:hAnsi="Arial" w:cs="Arial"/>
          <w:color w:val="auto"/>
          <w:sz w:val="20"/>
          <w:szCs w:val="20"/>
          <w:shd w:val="clear" w:color="auto" w:fill="FFFFFF"/>
        </w:rPr>
        <w:t xml:space="preserve">Vinther, F. P., Hansen, E. M., &amp; Olesen, J. E. (2004). Effects of plant residues on crop performance, N </w:t>
      </w:r>
      <w:proofErr w:type="spellStart"/>
      <w:r w:rsidRPr="00EB19CB">
        <w:rPr>
          <w:rFonts w:ascii="Arial" w:hAnsi="Arial" w:cs="Arial"/>
          <w:color w:val="auto"/>
          <w:sz w:val="20"/>
          <w:szCs w:val="20"/>
          <w:shd w:val="clear" w:color="auto" w:fill="FFFFFF"/>
        </w:rPr>
        <w:t>mineralisation</w:t>
      </w:r>
      <w:proofErr w:type="spellEnd"/>
      <w:r w:rsidRPr="00EB19CB">
        <w:rPr>
          <w:rFonts w:ascii="Arial" w:hAnsi="Arial" w:cs="Arial"/>
          <w:color w:val="auto"/>
          <w:sz w:val="20"/>
          <w:szCs w:val="20"/>
          <w:shd w:val="clear" w:color="auto" w:fill="FFFFFF"/>
        </w:rPr>
        <w:t xml:space="preserve"> and microbial activity including field CO 2 and N 2 O fluxes in </w:t>
      </w:r>
      <w:proofErr w:type="spellStart"/>
      <w:r w:rsidRPr="00EB19CB">
        <w:rPr>
          <w:rFonts w:ascii="Arial" w:hAnsi="Arial" w:cs="Arial"/>
          <w:color w:val="auto"/>
          <w:sz w:val="20"/>
          <w:szCs w:val="20"/>
          <w:shd w:val="clear" w:color="auto" w:fill="FFFFFF"/>
        </w:rPr>
        <w:t>unfertilised</w:t>
      </w:r>
      <w:proofErr w:type="spellEnd"/>
      <w:r w:rsidRPr="00EB19CB">
        <w:rPr>
          <w:rFonts w:ascii="Arial" w:hAnsi="Arial" w:cs="Arial"/>
          <w:color w:val="auto"/>
          <w:sz w:val="20"/>
          <w:szCs w:val="20"/>
          <w:shd w:val="clear" w:color="auto" w:fill="FFFFFF"/>
        </w:rPr>
        <w:t xml:space="preserve"> crop rotations. </w:t>
      </w:r>
      <w:r w:rsidRPr="00EB19CB">
        <w:rPr>
          <w:rFonts w:ascii="Arial" w:hAnsi="Arial" w:cs="Arial"/>
          <w:i/>
          <w:iCs/>
          <w:color w:val="auto"/>
          <w:sz w:val="20"/>
          <w:szCs w:val="20"/>
          <w:shd w:val="clear" w:color="auto" w:fill="FFFFFF"/>
        </w:rPr>
        <w:t>Nutrient cycling in Agroecosystems</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70</w:t>
      </w:r>
      <w:r w:rsidRPr="00EB19CB">
        <w:rPr>
          <w:rFonts w:ascii="Arial" w:hAnsi="Arial" w:cs="Arial"/>
          <w:color w:val="auto"/>
          <w:sz w:val="20"/>
          <w:szCs w:val="20"/>
          <w:shd w:val="clear" w:color="auto" w:fill="FFFFFF"/>
        </w:rPr>
        <w:t xml:space="preserve">, 189-199. </w:t>
      </w:r>
      <w:hyperlink r:id="rId64" w:history="1">
        <w:r w:rsidR="00112E04" w:rsidRPr="00EB19CB">
          <w:rPr>
            <w:rStyle w:val="Lienhypertexte"/>
            <w:rFonts w:ascii="Arial" w:hAnsi="Arial" w:cs="Arial"/>
            <w:color w:val="auto"/>
            <w:sz w:val="20"/>
            <w:szCs w:val="20"/>
            <w:u w:val="none"/>
            <w:shd w:val="clear" w:color="auto" w:fill="FCFCFC"/>
          </w:rPr>
          <w:t>https://doi.org/10.1023/B:FRES.0000048477.56417.46</w:t>
        </w:r>
      </w:hyperlink>
    </w:p>
    <w:p w14:paraId="2380E0F1" w14:textId="09CD1BBF" w:rsidR="00112E04" w:rsidRPr="00EB19CB" w:rsidRDefault="00112E04" w:rsidP="002263DF">
      <w:pPr>
        <w:pStyle w:val="PubliManuscript"/>
        <w:spacing w:line="240" w:lineRule="auto"/>
        <w:ind w:firstLine="0"/>
        <w:rPr>
          <w:rFonts w:ascii="Arial" w:hAnsi="Arial" w:cs="Arial"/>
          <w:color w:val="auto"/>
          <w:sz w:val="20"/>
          <w:szCs w:val="20"/>
          <w:shd w:val="clear" w:color="auto" w:fill="FFFFFF"/>
        </w:rPr>
      </w:pPr>
      <w:r w:rsidRPr="00EB19CB">
        <w:rPr>
          <w:rFonts w:ascii="Arial" w:hAnsi="Arial" w:cs="Arial"/>
          <w:color w:val="auto"/>
          <w:sz w:val="20"/>
          <w:szCs w:val="20"/>
          <w:shd w:val="clear" w:color="auto" w:fill="FFFFFF"/>
        </w:rPr>
        <w:t xml:space="preserve">Virto, I., Barré, P., </w:t>
      </w:r>
      <w:proofErr w:type="spellStart"/>
      <w:r w:rsidRPr="00EB19CB">
        <w:rPr>
          <w:rFonts w:ascii="Arial" w:hAnsi="Arial" w:cs="Arial"/>
          <w:color w:val="auto"/>
          <w:sz w:val="20"/>
          <w:szCs w:val="20"/>
          <w:shd w:val="clear" w:color="auto" w:fill="FFFFFF"/>
        </w:rPr>
        <w:t>Burlot</w:t>
      </w:r>
      <w:proofErr w:type="spellEnd"/>
      <w:r w:rsidRPr="00EB19CB">
        <w:rPr>
          <w:rFonts w:ascii="Arial" w:hAnsi="Arial" w:cs="Arial"/>
          <w:color w:val="auto"/>
          <w:sz w:val="20"/>
          <w:szCs w:val="20"/>
          <w:shd w:val="clear" w:color="auto" w:fill="FFFFFF"/>
        </w:rPr>
        <w:t xml:space="preserve">, A., &amp; </w:t>
      </w:r>
      <w:proofErr w:type="spellStart"/>
      <w:r w:rsidRPr="00EB19CB">
        <w:rPr>
          <w:rFonts w:ascii="Arial" w:hAnsi="Arial" w:cs="Arial"/>
          <w:color w:val="auto"/>
          <w:sz w:val="20"/>
          <w:szCs w:val="20"/>
          <w:shd w:val="clear" w:color="auto" w:fill="FFFFFF"/>
        </w:rPr>
        <w:t>Chenu</w:t>
      </w:r>
      <w:proofErr w:type="spellEnd"/>
      <w:r w:rsidRPr="00EB19CB">
        <w:rPr>
          <w:rFonts w:ascii="Arial" w:hAnsi="Arial" w:cs="Arial"/>
          <w:color w:val="auto"/>
          <w:sz w:val="20"/>
          <w:szCs w:val="20"/>
          <w:shd w:val="clear" w:color="auto" w:fill="FFFFFF"/>
        </w:rPr>
        <w:t xml:space="preserve">, C. (2012). Carbon input differences as the main factor explaining the variability in soil organic C storage in no-tilled compared to inversion tilled </w:t>
      </w:r>
      <w:proofErr w:type="spellStart"/>
      <w:r w:rsidRPr="00EB19CB">
        <w:rPr>
          <w:rFonts w:ascii="Arial" w:hAnsi="Arial" w:cs="Arial"/>
          <w:color w:val="auto"/>
          <w:sz w:val="20"/>
          <w:szCs w:val="20"/>
          <w:shd w:val="clear" w:color="auto" w:fill="FFFFFF"/>
        </w:rPr>
        <w:t>agrosystems</w:t>
      </w:r>
      <w:proofErr w:type="spellEnd"/>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Biogeochemistry</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108</w:t>
      </w:r>
      <w:r w:rsidRPr="00EB19CB">
        <w:rPr>
          <w:rFonts w:ascii="Arial" w:hAnsi="Arial" w:cs="Arial"/>
          <w:color w:val="auto"/>
          <w:sz w:val="20"/>
          <w:szCs w:val="20"/>
          <w:shd w:val="clear" w:color="auto" w:fill="FFFFFF"/>
        </w:rPr>
        <w:t xml:space="preserve">, 17-26. </w:t>
      </w:r>
      <w:r w:rsidR="00AB5101" w:rsidRPr="00EB19CB">
        <w:rPr>
          <w:rFonts w:ascii="Arial" w:hAnsi="Arial" w:cs="Arial"/>
          <w:color w:val="auto"/>
          <w:sz w:val="20"/>
          <w:szCs w:val="20"/>
          <w:shd w:val="clear" w:color="auto" w:fill="FCFCFC"/>
        </w:rPr>
        <w:t>https://doi.org/10.1007/s10533-011-9600-4</w:t>
      </w:r>
    </w:p>
    <w:p w14:paraId="659A998B" w14:textId="63A10811" w:rsidR="00653286" w:rsidRPr="00EB19CB" w:rsidRDefault="00653286" w:rsidP="00653286">
      <w:pPr>
        <w:pStyle w:val="dx-doi"/>
        <w:spacing w:before="0" w:after="0"/>
        <w:jc w:val="both"/>
        <w:rPr>
          <w:rFonts w:ascii="Arial" w:eastAsia="ヒラギノ角ゴ Pro W3" w:hAnsi="Arial" w:cs="Arial"/>
          <w:sz w:val="20"/>
          <w:szCs w:val="20"/>
          <w:lang w:val="en-US" w:eastAsia="en-US"/>
        </w:rPr>
      </w:pPr>
      <w:r w:rsidRPr="00EB19CB">
        <w:rPr>
          <w:rFonts w:ascii="Arial" w:hAnsi="Arial" w:cs="Arial"/>
          <w:sz w:val="20"/>
          <w:szCs w:val="20"/>
          <w:shd w:val="clear" w:color="auto" w:fill="FFFFFF"/>
          <w:lang w:val="en-US"/>
        </w:rPr>
        <w:t>Willmott, C. J. (1981). On the validation of models. </w:t>
      </w:r>
      <w:r w:rsidRPr="00EB19CB">
        <w:rPr>
          <w:rFonts w:ascii="Arial" w:hAnsi="Arial" w:cs="Arial"/>
          <w:i/>
          <w:iCs/>
          <w:sz w:val="20"/>
          <w:szCs w:val="20"/>
          <w:shd w:val="clear" w:color="auto" w:fill="FFFFFF"/>
          <w:lang w:val="en-US"/>
        </w:rPr>
        <w:t>Physical geography</w:t>
      </w:r>
      <w:r w:rsidRPr="00EB19CB">
        <w:rPr>
          <w:rFonts w:ascii="Arial" w:hAnsi="Arial" w:cs="Arial"/>
          <w:sz w:val="20"/>
          <w:szCs w:val="20"/>
          <w:shd w:val="clear" w:color="auto" w:fill="FFFFFF"/>
          <w:lang w:val="en-US"/>
        </w:rPr>
        <w:t>, </w:t>
      </w:r>
      <w:r w:rsidRPr="00EB19CB">
        <w:rPr>
          <w:rFonts w:ascii="Arial" w:hAnsi="Arial" w:cs="Arial"/>
          <w:i/>
          <w:iCs/>
          <w:sz w:val="20"/>
          <w:szCs w:val="20"/>
          <w:shd w:val="clear" w:color="auto" w:fill="FFFFFF"/>
          <w:lang w:val="en-US"/>
        </w:rPr>
        <w:t>2</w:t>
      </w:r>
      <w:r w:rsidRPr="00EB19CB">
        <w:rPr>
          <w:rFonts w:ascii="Arial" w:hAnsi="Arial" w:cs="Arial"/>
          <w:sz w:val="20"/>
          <w:szCs w:val="20"/>
          <w:shd w:val="clear" w:color="auto" w:fill="FFFFFF"/>
          <w:lang w:val="en-US"/>
        </w:rPr>
        <w:t xml:space="preserve">(2), 184-194. </w:t>
      </w:r>
      <w:hyperlink r:id="rId65" w:history="1">
        <w:r w:rsidRPr="00EB19CB">
          <w:rPr>
            <w:rFonts w:ascii="Arial" w:eastAsia="ヒラギノ角ゴ Pro W3" w:hAnsi="Arial" w:cs="Arial"/>
            <w:sz w:val="20"/>
            <w:szCs w:val="20"/>
            <w:lang w:val="en-US" w:eastAsia="en-US"/>
          </w:rPr>
          <w:t>https://doi.org/10.1080/02723646.1981.10642213</w:t>
        </w:r>
      </w:hyperlink>
    </w:p>
    <w:p w14:paraId="0EC74662" w14:textId="7549FB70" w:rsidR="007D14E5" w:rsidRPr="00EB19CB" w:rsidRDefault="007D14E5" w:rsidP="00653286">
      <w:pPr>
        <w:pStyle w:val="dx-doi"/>
        <w:spacing w:before="0" w:after="0"/>
        <w:jc w:val="both"/>
        <w:rPr>
          <w:rFonts w:ascii="Arial" w:eastAsia="ヒラギノ角ゴ Pro W3" w:hAnsi="Arial" w:cs="Arial"/>
          <w:sz w:val="20"/>
          <w:szCs w:val="20"/>
          <w:lang w:val="en-US" w:eastAsia="en-US"/>
        </w:rPr>
      </w:pPr>
      <w:r w:rsidRPr="00EB19CB">
        <w:rPr>
          <w:rFonts w:ascii="Arial" w:hAnsi="Arial" w:cs="Arial"/>
          <w:sz w:val="20"/>
          <w:szCs w:val="20"/>
          <w:shd w:val="clear" w:color="auto" w:fill="FFFFFF"/>
          <w:lang w:val="nl-NL"/>
        </w:rPr>
        <w:t xml:space="preserve">Young, M. D., Ros, G. H., &amp; de Vries, W. (2021). </w:t>
      </w:r>
      <w:r w:rsidRPr="00EB19CB">
        <w:rPr>
          <w:rFonts w:ascii="Arial" w:hAnsi="Arial" w:cs="Arial"/>
          <w:sz w:val="20"/>
          <w:szCs w:val="20"/>
          <w:shd w:val="clear" w:color="auto" w:fill="FFFFFF"/>
          <w:lang w:val="en-US"/>
        </w:rPr>
        <w:t>Impacts of agronomic measures on crop, soil, and environmental indicators: A review and synthesis of meta-analysis. </w:t>
      </w:r>
      <w:r w:rsidRPr="00EB19CB">
        <w:rPr>
          <w:rFonts w:ascii="Arial" w:hAnsi="Arial" w:cs="Arial"/>
          <w:i/>
          <w:iCs/>
          <w:sz w:val="20"/>
          <w:szCs w:val="20"/>
          <w:shd w:val="clear" w:color="auto" w:fill="FFFFFF"/>
          <w:lang w:val="en-US"/>
        </w:rPr>
        <w:t>Agriculture, Ecosystems &amp; Environment</w:t>
      </w:r>
      <w:r w:rsidRPr="00EB19CB">
        <w:rPr>
          <w:rFonts w:ascii="Arial" w:hAnsi="Arial" w:cs="Arial"/>
          <w:sz w:val="20"/>
          <w:szCs w:val="20"/>
          <w:shd w:val="clear" w:color="auto" w:fill="FFFFFF"/>
          <w:lang w:val="en-US"/>
        </w:rPr>
        <w:t>, </w:t>
      </w:r>
      <w:r w:rsidRPr="00EB19CB">
        <w:rPr>
          <w:rFonts w:ascii="Arial" w:hAnsi="Arial" w:cs="Arial"/>
          <w:i/>
          <w:iCs/>
          <w:sz w:val="20"/>
          <w:szCs w:val="20"/>
          <w:shd w:val="clear" w:color="auto" w:fill="FFFFFF"/>
          <w:lang w:val="en-US"/>
        </w:rPr>
        <w:t>319</w:t>
      </w:r>
      <w:r w:rsidRPr="00EB19CB">
        <w:rPr>
          <w:rFonts w:ascii="Arial" w:hAnsi="Arial" w:cs="Arial"/>
          <w:sz w:val="20"/>
          <w:szCs w:val="20"/>
          <w:shd w:val="clear" w:color="auto" w:fill="FFFFFF"/>
          <w:lang w:val="en-US"/>
        </w:rPr>
        <w:t xml:space="preserve">, 107551. </w:t>
      </w:r>
      <w:hyperlink r:id="rId66" w:tgtFrame="_blank" w:tooltip="Persistent link using digital object identifier" w:history="1">
        <w:r w:rsidR="00B83885" w:rsidRPr="00EB19CB">
          <w:rPr>
            <w:rFonts w:ascii="Arial" w:eastAsia="ヒラギノ角ゴ Pro W3" w:hAnsi="Arial" w:cs="Arial"/>
            <w:sz w:val="20"/>
            <w:szCs w:val="20"/>
            <w:lang w:val="en-US" w:eastAsia="en-US"/>
          </w:rPr>
          <w:t>https://doi.org/10.1016/j.agee.2021.107551</w:t>
        </w:r>
      </w:hyperlink>
    </w:p>
    <w:p w14:paraId="50E2FE90" w14:textId="6EE586FC" w:rsidR="00D20BA1" w:rsidRPr="00EB19CB" w:rsidRDefault="00D77CBE" w:rsidP="008C3BFD">
      <w:pPr>
        <w:jc w:val="both"/>
        <w:rPr>
          <w:rFonts w:ascii="Arial" w:hAnsi="Arial" w:cs="Arial"/>
          <w:color w:val="auto"/>
          <w:sz w:val="20"/>
          <w:szCs w:val="20"/>
          <w:shd w:val="clear" w:color="auto" w:fill="FFFFFF"/>
        </w:rPr>
      </w:pPr>
      <w:r w:rsidRPr="00EB19CB">
        <w:rPr>
          <w:rFonts w:ascii="Arial" w:hAnsi="Arial" w:cs="Arial"/>
          <w:color w:val="auto"/>
          <w:sz w:val="20"/>
          <w:szCs w:val="20"/>
          <w:shd w:val="clear" w:color="auto" w:fill="FFFFFF"/>
        </w:rPr>
        <w:t>Zhang, X., Xin, X., Yang, W., Ding, S., Ren, G., Li, M., &amp; Zhu, A. (2021). Soil respiration and net carbon flux response to long-term reduced/no-tillage with and without residues in a wheat-maize cropping system. </w:t>
      </w:r>
      <w:r w:rsidRPr="00EB19CB">
        <w:rPr>
          <w:rFonts w:ascii="Arial" w:hAnsi="Arial" w:cs="Arial"/>
          <w:i/>
          <w:iCs/>
          <w:color w:val="auto"/>
          <w:sz w:val="20"/>
          <w:szCs w:val="20"/>
          <w:shd w:val="clear" w:color="auto" w:fill="FFFFFF"/>
        </w:rPr>
        <w:t>Soil and Tillage Research</w:t>
      </w:r>
      <w:r w:rsidRPr="00EB19CB">
        <w:rPr>
          <w:rFonts w:ascii="Arial" w:hAnsi="Arial" w:cs="Arial"/>
          <w:color w:val="auto"/>
          <w:sz w:val="20"/>
          <w:szCs w:val="20"/>
          <w:shd w:val="clear" w:color="auto" w:fill="FFFFFF"/>
        </w:rPr>
        <w:t>, </w:t>
      </w:r>
      <w:r w:rsidRPr="00EB19CB">
        <w:rPr>
          <w:rFonts w:ascii="Arial" w:hAnsi="Arial" w:cs="Arial"/>
          <w:i/>
          <w:iCs/>
          <w:color w:val="auto"/>
          <w:sz w:val="20"/>
          <w:szCs w:val="20"/>
          <w:shd w:val="clear" w:color="auto" w:fill="FFFFFF"/>
        </w:rPr>
        <w:t>214</w:t>
      </w:r>
      <w:r w:rsidRPr="00EB19CB">
        <w:rPr>
          <w:rFonts w:ascii="Arial" w:hAnsi="Arial" w:cs="Arial"/>
          <w:color w:val="auto"/>
          <w:sz w:val="20"/>
          <w:szCs w:val="20"/>
          <w:shd w:val="clear" w:color="auto" w:fill="FFFFFF"/>
        </w:rPr>
        <w:t>, 105182.</w:t>
      </w:r>
      <w:r w:rsidR="00865964" w:rsidRPr="00EB19CB">
        <w:rPr>
          <w:rFonts w:ascii="Arial" w:hAnsi="Arial" w:cs="Arial"/>
          <w:color w:val="auto"/>
          <w:sz w:val="20"/>
          <w:szCs w:val="20"/>
          <w:shd w:val="clear" w:color="auto" w:fill="FFFFFF"/>
        </w:rPr>
        <w:t xml:space="preserve"> </w:t>
      </w:r>
      <w:hyperlink r:id="rId67" w:tgtFrame="_blank" w:tooltip="Persistent link using digital object identifier" w:history="1">
        <w:r w:rsidR="00865964" w:rsidRPr="00EB19CB">
          <w:rPr>
            <w:rStyle w:val="anchor-text"/>
            <w:rFonts w:ascii="Arial" w:hAnsi="Arial" w:cs="Arial"/>
            <w:color w:val="auto"/>
            <w:sz w:val="20"/>
            <w:szCs w:val="20"/>
          </w:rPr>
          <w:t>https://doi.org/10.1016/j.still.2021.105182</w:t>
        </w:r>
      </w:hyperlink>
    </w:p>
    <w:sectPr w:rsidR="00D20BA1" w:rsidRPr="00EB19CB" w:rsidSect="00AC5DEE">
      <w:footerReference w:type="default" r:id="rId68"/>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999801" w14:textId="77777777" w:rsidR="00141CE9" w:rsidRDefault="00141CE9" w:rsidP="0015319F">
      <w:pPr>
        <w:spacing w:after="0" w:line="240" w:lineRule="auto"/>
      </w:pPr>
      <w:r>
        <w:separator/>
      </w:r>
    </w:p>
  </w:endnote>
  <w:endnote w:type="continuationSeparator" w:id="0">
    <w:p w14:paraId="5FC04780" w14:textId="77777777" w:rsidR="00141CE9" w:rsidRDefault="00141CE9" w:rsidP="001531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ヒラギノ角ゴ Pro W3">
    <w:altName w:val="MS Gothic"/>
    <w:charset w:val="80"/>
    <w:family w:val="auto"/>
    <w:pitch w:val="variable"/>
    <w:sig w:usb0="00000000" w:usb1="7AC7FFFF" w:usb2="00000012" w:usb3="00000000" w:csb0="0002000D"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7442155"/>
      <w:docPartObj>
        <w:docPartGallery w:val="Page Numbers (Bottom of Page)"/>
        <w:docPartUnique/>
      </w:docPartObj>
    </w:sdtPr>
    <w:sdtContent>
      <w:p w14:paraId="0F9EFC62" w14:textId="6C1E522A" w:rsidR="00C612E2" w:rsidRDefault="00C612E2">
        <w:pPr>
          <w:pStyle w:val="Pieddepage"/>
          <w:jc w:val="right"/>
        </w:pPr>
        <w:r>
          <w:fldChar w:fldCharType="begin"/>
        </w:r>
        <w:r>
          <w:instrText>PAGE   \* MERGEFORMAT</w:instrText>
        </w:r>
        <w:r>
          <w:fldChar w:fldCharType="separate"/>
        </w:r>
        <w:r>
          <w:rPr>
            <w:lang w:val="fr-FR"/>
          </w:rPr>
          <w:t>2</w:t>
        </w:r>
        <w:r>
          <w:fldChar w:fldCharType="end"/>
        </w:r>
      </w:p>
    </w:sdtContent>
  </w:sdt>
  <w:p w14:paraId="015A9015" w14:textId="77777777" w:rsidR="00C612E2" w:rsidRDefault="00C612E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EF9048" w14:textId="77777777" w:rsidR="00141CE9" w:rsidRDefault="00141CE9" w:rsidP="0015319F">
      <w:pPr>
        <w:spacing w:after="0" w:line="240" w:lineRule="auto"/>
      </w:pPr>
      <w:r>
        <w:separator/>
      </w:r>
    </w:p>
  </w:footnote>
  <w:footnote w:type="continuationSeparator" w:id="0">
    <w:p w14:paraId="054C24D6" w14:textId="77777777" w:rsidR="00141CE9" w:rsidRDefault="00141CE9" w:rsidP="001531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157CC0"/>
    <w:multiLevelType w:val="hybridMultilevel"/>
    <w:tmpl w:val="2DF8C990"/>
    <w:lvl w:ilvl="0" w:tplc="AEB26C24">
      <w:start w:val="3"/>
      <w:numFmt w:val="bullet"/>
      <w:lvlText w:val=""/>
      <w:lvlJc w:val="left"/>
      <w:pPr>
        <w:ind w:left="1062" w:hanging="360"/>
      </w:pPr>
      <w:rPr>
        <w:rFonts w:ascii="Wingdings" w:eastAsia="ヒラギノ角ゴ Pro W3" w:hAnsi="Wingdings" w:cs="Times New Roman" w:hint="default"/>
      </w:rPr>
    </w:lvl>
    <w:lvl w:ilvl="1" w:tplc="080C0003" w:tentative="1">
      <w:start w:val="1"/>
      <w:numFmt w:val="bullet"/>
      <w:lvlText w:val="o"/>
      <w:lvlJc w:val="left"/>
      <w:pPr>
        <w:ind w:left="1782" w:hanging="360"/>
      </w:pPr>
      <w:rPr>
        <w:rFonts w:ascii="Courier New" w:hAnsi="Courier New" w:cs="Courier New" w:hint="default"/>
      </w:rPr>
    </w:lvl>
    <w:lvl w:ilvl="2" w:tplc="080C0005" w:tentative="1">
      <w:start w:val="1"/>
      <w:numFmt w:val="bullet"/>
      <w:lvlText w:val=""/>
      <w:lvlJc w:val="left"/>
      <w:pPr>
        <w:ind w:left="2502" w:hanging="360"/>
      </w:pPr>
      <w:rPr>
        <w:rFonts w:ascii="Wingdings" w:hAnsi="Wingdings" w:hint="default"/>
      </w:rPr>
    </w:lvl>
    <w:lvl w:ilvl="3" w:tplc="080C0001" w:tentative="1">
      <w:start w:val="1"/>
      <w:numFmt w:val="bullet"/>
      <w:lvlText w:val=""/>
      <w:lvlJc w:val="left"/>
      <w:pPr>
        <w:ind w:left="3222" w:hanging="360"/>
      </w:pPr>
      <w:rPr>
        <w:rFonts w:ascii="Symbol" w:hAnsi="Symbol" w:hint="default"/>
      </w:rPr>
    </w:lvl>
    <w:lvl w:ilvl="4" w:tplc="080C0003" w:tentative="1">
      <w:start w:val="1"/>
      <w:numFmt w:val="bullet"/>
      <w:lvlText w:val="o"/>
      <w:lvlJc w:val="left"/>
      <w:pPr>
        <w:ind w:left="3942" w:hanging="360"/>
      </w:pPr>
      <w:rPr>
        <w:rFonts w:ascii="Courier New" w:hAnsi="Courier New" w:cs="Courier New" w:hint="default"/>
      </w:rPr>
    </w:lvl>
    <w:lvl w:ilvl="5" w:tplc="080C0005" w:tentative="1">
      <w:start w:val="1"/>
      <w:numFmt w:val="bullet"/>
      <w:lvlText w:val=""/>
      <w:lvlJc w:val="left"/>
      <w:pPr>
        <w:ind w:left="4662" w:hanging="360"/>
      </w:pPr>
      <w:rPr>
        <w:rFonts w:ascii="Wingdings" w:hAnsi="Wingdings" w:hint="default"/>
      </w:rPr>
    </w:lvl>
    <w:lvl w:ilvl="6" w:tplc="080C0001" w:tentative="1">
      <w:start w:val="1"/>
      <w:numFmt w:val="bullet"/>
      <w:lvlText w:val=""/>
      <w:lvlJc w:val="left"/>
      <w:pPr>
        <w:ind w:left="5382" w:hanging="360"/>
      </w:pPr>
      <w:rPr>
        <w:rFonts w:ascii="Symbol" w:hAnsi="Symbol" w:hint="default"/>
      </w:rPr>
    </w:lvl>
    <w:lvl w:ilvl="7" w:tplc="080C0003" w:tentative="1">
      <w:start w:val="1"/>
      <w:numFmt w:val="bullet"/>
      <w:lvlText w:val="o"/>
      <w:lvlJc w:val="left"/>
      <w:pPr>
        <w:ind w:left="6102" w:hanging="360"/>
      </w:pPr>
      <w:rPr>
        <w:rFonts w:ascii="Courier New" w:hAnsi="Courier New" w:cs="Courier New" w:hint="default"/>
      </w:rPr>
    </w:lvl>
    <w:lvl w:ilvl="8" w:tplc="080C0005" w:tentative="1">
      <w:start w:val="1"/>
      <w:numFmt w:val="bullet"/>
      <w:lvlText w:val=""/>
      <w:lvlJc w:val="left"/>
      <w:pPr>
        <w:ind w:left="6822" w:hanging="360"/>
      </w:pPr>
      <w:rPr>
        <w:rFonts w:ascii="Wingdings" w:hAnsi="Wingdings" w:hint="default"/>
      </w:rPr>
    </w:lvl>
  </w:abstractNum>
  <w:abstractNum w:abstractNumId="1" w15:restartNumberingAfterBreak="0">
    <w:nsid w:val="3DAC2251"/>
    <w:multiLevelType w:val="multilevel"/>
    <w:tmpl w:val="02AE3C36"/>
    <w:lvl w:ilvl="0">
      <w:start w:val="1"/>
      <w:numFmt w:val="decimal"/>
      <w:pStyle w:val="Publi1"/>
      <w:lvlText w:val="%1."/>
      <w:lvlJc w:val="left"/>
      <w:pPr>
        <w:ind w:left="720" w:hanging="360"/>
      </w:pPr>
      <w:rPr>
        <w:rFonts w:hint="default"/>
      </w:rPr>
    </w:lvl>
    <w:lvl w:ilvl="1">
      <w:start w:val="1"/>
      <w:numFmt w:val="decimal"/>
      <w:pStyle w:val="Publi2"/>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42602EAC"/>
    <w:multiLevelType w:val="multilevel"/>
    <w:tmpl w:val="64B6FCD8"/>
    <w:lvl w:ilvl="0">
      <w:start w:val="2"/>
      <w:numFmt w:val="decimal"/>
      <w:lvlText w:val="%1"/>
      <w:lvlJc w:val="left"/>
      <w:pPr>
        <w:ind w:left="444" w:hanging="444"/>
      </w:pPr>
      <w:rPr>
        <w:rFonts w:hint="default"/>
      </w:rPr>
    </w:lvl>
    <w:lvl w:ilvl="1">
      <w:start w:val="2"/>
      <w:numFmt w:val="decimal"/>
      <w:lvlText w:val="%1.%2"/>
      <w:lvlJc w:val="left"/>
      <w:pPr>
        <w:ind w:left="978" w:hanging="444"/>
      </w:pPr>
      <w:rPr>
        <w:rFonts w:hint="default"/>
      </w:rPr>
    </w:lvl>
    <w:lvl w:ilvl="2">
      <w:start w:val="4"/>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5712" w:hanging="1440"/>
      </w:pPr>
      <w:rPr>
        <w:rFonts w:hint="default"/>
      </w:rPr>
    </w:lvl>
  </w:abstractNum>
  <w:abstractNum w:abstractNumId="3" w15:restartNumberingAfterBreak="0">
    <w:nsid w:val="45CB4ED7"/>
    <w:multiLevelType w:val="hybridMultilevel"/>
    <w:tmpl w:val="A6ACC232"/>
    <w:lvl w:ilvl="0" w:tplc="0EF421DE">
      <w:start w:val="1"/>
      <w:numFmt w:val="upperLetter"/>
      <w:pStyle w:val="Publi3"/>
      <w:lvlText w:val="%1."/>
      <w:lvlJc w:val="left"/>
      <w:pPr>
        <w:ind w:left="1428" w:hanging="360"/>
      </w:pPr>
    </w:lvl>
    <w:lvl w:ilvl="1" w:tplc="080C0019">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4" w15:restartNumberingAfterBreak="0">
    <w:nsid w:val="66E664D6"/>
    <w:multiLevelType w:val="multilevel"/>
    <w:tmpl w:val="7E504D4E"/>
    <w:lvl w:ilvl="0">
      <w:start w:val="3"/>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 w15:restartNumberingAfterBreak="0">
    <w:nsid w:val="7261559A"/>
    <w:multiLevelType w:val="hybridMultilevel"/>
    <w:tmpl w:val="8F02AD0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7C7D193C"/>
    <w:multiLevelType w:val="multilevel"/>
    <w:tmpl w:val="AB94E566"/>
    <w:lvl w:ilvl="0">
      <w:start w:val="2"/>
      <w:numFmt w:val="decimal"/>
      <w:lvlText w:val="%1"/>
      <w:lvlJc w:val="left"/>
      <w:pPr>
        <w:ind w:left="444" w:hanging="444"/>
      </w:pPr>
      <w:rPr>
        <w:rFonts w:hint="default"/>
      </w:rPr>
    </w:lvl>
    <w:lvl w:ilvl="1">
      <w:start w:val="2"/>
      <w:numFmt w:val="decimal"/>
      <w:lvlText w:val="%1.%2"/>
      <w:lvlJc w:val="left"/>
      <w:pPr>
        <w:ind w:left="1338" w:hanging="444"/>
      </w:pPr>
      <w:rPr>
        <w:rFonts w:hint="default"/>
      </w:rPr>
    </w:lvl>
    <w:lvl w:ilvl="2">
      <w:start w:val="4"/>
      <w:numFmt w:val="decimal"/>
      <w:lvlText w:val="%1.%2.%3"/>
      <w:lvlJc w:val="left"/>
      <w:pPr>
        <w:ind w:left="2508" w:hanging="720"/>
      </w:pPr>
      <w:rPr>
        <w:rFonts w:hint="default"/>
      </w:rPr>
    </w:lvl>
    <w:lvl w:ilvl="3">
      <w:start w:val="1"/>
      <w:numFmt w:val="decimal"/>
      <w:lvlText w:val="%1.%2.%3.%4"/>
      <w:lvlJc w:val="left"/>
      <w:pPr>
        <w:ind w:left="3402" w:hanging="720"/>
      </w:pPr>
      <w:rPr>
        <w:rFonts w:hint="default"/>
      </w:rPr>
    </w:lvl>
    <w:lvl w:ilvl="4">
      <w:start w:val="1"/>
      <w:numFmt w:val="decimal"/>
      <w:lvlText w:val="%1.%2.%3.%4.%5"/>
      <w:lvlJc w:val="left"/>
      <w:pPr>
        <w:ind w:left="4656" w:hanging="1080"/>
      </w:pPr>
      <w:rPr>
        <w:rFonts w:hint="default"/>
      </w:rPr>
    </w:lvl>
    <w:lvl w:ilvl="5">
      <w:start w:val="1"/>
      <w:numFmt w:val="decimal"/>
      <w:lvlText w:val="%1.%2.%3.%4.%5.%6"/>
      <w:lvlJc w:val="left"/>
      <w:pPr>
        <w:ind w:left="5550" w:hanging="1080"/>
      </w:pPr>
      <w:rPr>
        <w:rFonts w:hint="default"/>
      </w:rPr>
    </w:lvl>
    <w:lvl w:ilvl="6">
      <w:start w:val="1"/>
      <w:numFmt w:val="decimal"/>
      <w:lvlText w:val="%1.%2.%3.%4.%5.%6.%7"/>
      <w:lvlJc w:val="left"/>
      <w:pPr>
        <w:ind w:left="6804" w:hanging="1440"/>
      </w:pPr>
      <w:rPr>
        <w:rFonts w:hint="default"/>
      </w:rPr>
    </w:lvl>
    <w:lvl w:ilvl="7">
      <w:start w:val="1"/>
      <w:numFmt w:val="decimal"/>
      <w:lvlText w:val="%1.%2.%3.%4.%5.%6.%7.%8"/>
      <w:lvlJc w:val="left"/>
      <w:pPr>
        <w:ind w:left="7698" w:hanging="1440"/>
      </w:pPr>
      <w:rPr>
        <w:rFonts w:hint="default"/>
      </w:rPr>
    </w:lvl>
    <w:lvl w:ilvl="8">
      <w:start w:val="1"/>
      <w:numFmt w:val="decimal"/>
      <w:lvlText w:val="%1.%2.%3.%4.%5.%6.%7.%8.%9"/>
      <w:lvlJc w:val="left"/>
      <w:pPr>
        <w:ind w:left="8592" w:hanging="1440"/>
      </w:pPr>
      <w:rPr>
        <w:rFonts w:hint="default"/>
      </w:rPr>
    </w:lvl>
  </w:abstractNum>
  <w:num w:numId="1" w16cid:durableId="266667914">
    <w:abstractNumId w:val="1"/>
  </w:num>
  <w:num w:numId="2" w16cid:durableId="1532303274">
    <w:abstractNumId w:val="3"/>
  </w:num>
  <w:num w:numId="3" w16cid:durableId="2092506365">
    <w:abstractNumId w:val="0"/>
  </w:num>
  <w:num w:numId="4" w16cid:durableId="1391079536">
    <w:abstractNumId w:val="5"/>
  </w:num>
  <w:num w:numId="5" w16cid:durableId="14779154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21727406">
    <w:abstractNumId w:val="4"/>
  </w:num>
  <w:num w:numId="7" w16cid:durableId="1270772187">
    <w:abstractNumId w:val="2"/>
  </w:num>
  <w:num w:numId="8" w16cid:durableId="356124996">
    <w:abstractNumId w:val="6"/>
  </w:num>
  <w:num w:numId="9" w16cid:durableId="1682968600">
    <w:abstractNumId w:val="3"/>
  </w:num>
  <w:num w:numId="10" w16cid:durableId="611863756">
    <w:abstractNumId w:val="1"/>
  </w:num>
  <w:num w:numId="11" w16cid:durableId="1533687899">
    <w:abstractNumId w:val="3"/>
  </w:num>
  <w:num w:numId="12" w16cid:durableId="2639245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80891032">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679CC"/>
    <w:rsid w:val="000004E3"/>
    <w:rsid w:val="000007B5"/>
    <w:rsid w:val="00000A93"/>
    <w:rsid w:val="00000DB4"/>
    <w:rsid w:val="000010EA"/>
    <w:rsid w:val="000010FB"/>
    <w:rsid w:val="0000145B"/>
    <w:rsid w:val="000019D6"/>
    <w:rsid w:val="00001A38"/>
    <w:rsid w:val="00001A6F"/>
    <w:rsid w:val="00001ACD"/>
    <w:rsid w:val="00001C55"/>
    <w:rsid w:val="00001FF5"/>
    <w:rsid w:val="00002112"/>
    <w:rsid w:val="0000213C"/>
    <w:rsid w:val="000021CA"/>
    <w:rsid w:val="000026FA"/>
    <w:rsid w:val="000029AF"/>
    <w:rsid w:val="00002B52"/>
    <w:rsid w:val="00003AC8"/>
    <w:rsid w:val="00003D2F"/>
    <w:rsid w:val="000046C9"/>
    <w:rsid w:val="000047B3"/>
    <w:rsid w:val="000048DF"/>
    <w:rsid w:val="00004977"/>
    <w:rsid w:val="00004F51"/>
    <w:rsid w:val="0000534F"/>
    <w:rsid w:val="00005A42"/>
    <w:rsid w:val="00005A8D"/>
    <w:rsid w:val="000061E1"/>
    <w:rsid w:val="000073EA"/>
    <w:rsid w:val="0000798D"/>
    <w:rsid w:val="00007B9C"/>
    <w:rsid w:val="00007F4F"/>
    <w:rsid w:val="00010236"/>
    <w:rsid w:val="0001083B"/>
    <w:rsid w:val="000109F7"/>
    <w:rsid w:val="00011AB6"/>
    <w:rsid w:val="00011DAC"/>
    <w:rsid w:val="00011EAE"/>
    <w:rsid w:val="000123A2"/>
    <w:rsid w:val="000125DA"/>
    <w:rsid w:val="00012978"/>
    <w:rsid w:val="00013014"/>
    <w:rsid w:val="0001303C"/>
    <w:rsid w:val="00013470"/>
    <w:rsid w:val="0001349D"/>
    <w:rsid w:val="0001357B"/>
    <w:rsid w:val="00013AE4"/>
    <w:rsid w:val="00013BEA"/>
    <w:rsid w:val="000140C0"/>
    <w:rsid w:val="000150D1"/>
    <w:rsid w:val="000151BE"/>
    <w:rsid w:val="00015939"/>
    <w:rsid w:val="00015FD7"/>
    <w:rsid w:val="0001644D"/>
    <w:rsid w:val="00016996"/>
    <w:rsid w:val="00016ABA"/>
    <w:rsid w:val="00017164"/>
    <w:rsid w:val="00017227"/>
    <w:rsid w:val="0001728B"/>
    <w:rsid w:val="000175BF"/>
    <w:rsid w:val="0001768D"/>
    <w:rsid w:val="00017A9F"/>
    <w:rsid w:val="00017C5D"/>
    <w:rsid w:val="00017DF1"/>
    <w:rsid w:val="00020516"/>
    <w:rsid w:val="00020583"/>
    <w:rsid w:val="000208FF"/>
    <w:rsid w:val="00020D5D"/>
    <w:rsid w:val="00020E5C"/>
    <w:rsid w:val="00021210"/>
    <w:rsid w:val="00021AD1"/>
    <w:rsid w:val="00021B50"/>
    <w:rsid w:val="000220B5"/>
    <w:rsid w:val="00022DDC"/>
    <w:rsid w:val="00022FDE"/>
    <w:rsid w:val="00023666"/>
    <w:rsid w:val="000238B0"/>
    <w:rsid w:val="00023F0A"/>
    <w:rsid w:val="00024F1F"/>
    <w:rsid w:val="0002518D"/>
    <w:rsid w:val="000257EC"/>
    <w:rsid w:val="00025C74"/>
    <w:rsid w:val="0002689C"/>
    <w:rsid w:val="000268E2"/>
    <w:rsid w:val="00026E6A"/>
    <w:rsid w:val="00027CF2"/>
    <w:rsid w:val="00030605"/>
    <w:rsid w:val="00030749"/>
    <w:rsid w:val="00031123"/>
    <w:rsid w:val="000318C2"/>
    <w:rsid w:val="00031F92"/>
    <w:rsid w:val="00031FB0"/>
    <w:rsid w:val="0003208F"/>
    <w:rsid w:val="000320BB"/>
    <w:rsid w:val="0003255F"/>
    <w:rsid w:val="00032673"/>
    <w:rsid w:val="00032E0C"/>
    <w:rsid w:val="00032FB7"/>
    <w:rsid w:val="00032FBD"/>
    <w:rsid w:val="0003302B"/>
    <w:rsid w:val="000338C3"/>
    <w:rsid w:val="00033C26"/>
    <w:rsid w:val="00034ADB"/>
    <w:rsid w:val="0003548A"/>
    <w:rsid w:val="0003553A"/>
    <w:rsid w:val="0003555A"/>
    <w:rsid w:val="0003577E"/>
    <w:rsid w:val="00035CC8"/>
    <w:rsid w:val="00035FC5"/>
    <w:rsid w:val="00036005"/>
    <w:rsid w:val="0003626C"/>
    <w:rsid w:val="000364A8"/>
    <w:rsid w:val="00036975"/>
    <w:rsid w:val="00036A8F"/>
    <w:rsid w:val="00036EB8"/>
    <w:rsid w:val="000372F1"/>
    <w:rsid w:val="00037B0D"/>
    <w:rsid w:val="00040237"/>
    <w:rsid w:val="000402C4"/>
    <w:rsid w:val="000406FF"/>
    <w:rsid w:val="00040907"/>
    <w:rsid w:val="00040D22"/>
    <w:rsid w:val="000410D1"/>
    <w:rsid w:val="000413F5"/>
    <w:rsid w:val="00041D69"/>
    <w:rsid w:val="00041E7C"/>
    <w:rsid w:val="00041F6B"/>
    <w:rsid w:val="000422BE"/>
    <w:rsid w:val="00042337"/>
    <w:rsid w:val="0004312C"/>
    <w:rsid w:val="0004317B"/>
    <w:rsid w:val="00043629"/>
    <w:rsid w:val="000439A2"/>
    <w:rsid w:val="00043F02"/>
    <w:rsid w:val="0004422A"/>
    <w:rsid w:val="000445B1"/>
    <w:rsid w:val="0004564C"/>
    <w:rsid w:val="000456DC"/>
    <w:rsid w:val="000463AF"/>
    <w:rsid w:val="000470A8"/>
    <w:rsid w:val="0004723B"/>
    <w:rsid w:val="00047535"/>
    <w:rsid w:val="00047E67"/>
    <w:rsid w:val="000501D3"/>
    <w:rsid w:val="000509F4"/>
    <w:rsid w:val="00050AC0"/>
    <w:rsid w:val="000518BD"/>
    <w:rsid w:val="000520DB"/>
    <w:rsid w:val="0005231B"/>
    <w:rsid w:val="0005235D"/>
    <w:rsid w:val="00053770"/>
    <w:rsid w:val="00053973"/>
    <w:rsid w:val="00053E9D"/>
    <w:rsid w:val="00053F37"/>
    <w:rsid w:val="00054000"/>
    <w:rsid w:val="00054975"/>
    <w:rsid w:val="00054D8E"/>
    <w:rsid w:val="00054E37"/>
    <w:rsid w:val="000558D7"/>
    <w:rsid w:val="00055A50"/>
    <w:rsid w:val="00055F11"/>
    <w:rsid w:val="00055FC9"/>
    <w:rsid w:val="000560A9"/>
    <w:rsid w:val="000561CB"/>
    <w:rsid w:val="0005690D"/>
    <w:rsid w:val="00056995"/>
    <w:rsid w:val="00057295"/>
    <w:rsid w:val="000573B7"/>
    <w:rsid w:val="00057484"/>
    <w:rsid w:val="00057B5C"/>
    <w:rsid w:val="000604C6"/>
    <w:rsid w:val="00060BE1"/>
    <w:rsid w:val="00060C44"/>
    <w:rsid w:val="000613C4"/>
    <w:rsid w:val="00061909"/>
    <w:rsid w:val="00061DBA"/>
    <w:rsid w:val="0006225D"/>
    <w:rsid w:val="000626A6"/>
    <w:rsid w:val="000627BF"/>
    <w:rsid w:val="000627CB"/>
    <w:rsid w:val="00062FF1"/>
    <w:rsid w:val="000635C9"/>
    <w:rsid w:val="00063AB7"/>
    <w:rsid w:val="00063BA6"/>
    <w:rsid w:val="0006428D"/>
    <w:rsid w:val="00064557"/>
    <w:rsid w:val="000647AA"/>
    <w:rsid w:val="00064A03"/>
    <w:rsid w:val="00064B2E"/>
    <w:rsid w:val="00065634"/>
    <w:rsid w:val="0006622F"/>
    <w:rsid w:val="00066A41"/>
    <w:rsid w:val="00066B6B"/>
    <w:rsid w:val="00066C8E"/>
    <w:rsid w:val="00066D18"/>
    <w:rsid w:val="00067441"/>
    <w:rsid w:val="00067889"/>
    <w:rsid w:val="000679BD"/>
    <w:rsid w:val="0007154A"/>
    <w:rsid w:val="000719EB"/>
    <w:rsid w:val="000719F0"/>
    <w:rsid w:val="00071E2A"/>
    <w:rsid w:val="000724DD"/>
    <w:rsid w:val="0007284D"/>
    <w:rsid w:val="00072A75"/>
    <w:rsid w:val="00073100"/>
    <w:rsid w:val="000733E8"/>
    <w:rsid w:val="00073ACD"/>
    <w:rsid w:val="0007458A"/>
    <w:rsid w:val="0007459E"/>
    <w:rsid w:val="000745B3"/>
    <w:rsid w:val="000746E2"/>
    <w:rsid w:val="000749D0"/>
    <w:rsid w:val="00074ADD"/>
    <w:rsid w:val="00075A19"/>
    <w:rsid w:val="00075CC3"/>
    <w:rsid w:val="00075E69"/>
    <w:rsid w:val="00076165"/>
    <w:rsid w:val="00076199"/>
    <w:rsid w:val="000761AB"/>
    <w:rsid w:val="0007668B"/>
    <w:rsid w:val="000777BF"/>
    <w:rsid w:val="00077D5C"/>
    <w:rsid w:val="00077F66"/>
    <w:rsid w:val="0008013D"/>
    <w:rsid w:val="0008087F"/>
    <w:rsid w:val="00080F5E"/>
    <w:rsid w:val="000810A3"/>
    <w:rsid w:val="0008129F"/>
    <w:rsid w:val="000816AB"/>
    <w:rsid w:val="000816C0"/>
    <w:rsid w:val="00081B7A"/>
    <w:rsid w:val="0008240A"/>
    <w:rsid w:val="00082A8B"/>
    <w:rsid w:val="00083794"/>
    <w:rsid w:val="00083F92"/>
    <w:rsid w:val="00084094"/>
    <w:rsid w:val="0008423A"/>
    <w:rsid w:val="00084478"/>
    <w:rsid w:val="00084F4F"/>
    <w:rsid w:val="00085102"/>
    <w:rsid w:val="00085575"/>
    <w:rsid w:val="00085CEE"/>
    <w:rsid w:val="00085CF9"/>
    <w:rsid w:val="0008690E"/>
    <w:rsid w:val="00086B07"/>
    <w:rsid w:val="00086EEE"/>
    <w:rsid w:val="000873F2"/>
    <w:rsid w:val="000879C3"/>
    <w:rsid w:val="00090134"/>
    <w:rsid w:val="0009020E"/>
    <w:rsid w:val="000903F4"/>
    <w:rsid w:val="00090AF5"/>
    <w:rsid w:val="0009164C"/>
    <w:rsid w:val="000920A3"/>
    <w:rsid w:val="000922BB"/>
    <w:rsid w:val="000922C8"/>
    <w:rsid w:val="000924E5"/>
    <w:rsid w:val="000929C9"/>
    <w:rsid w:val="00092B47"/>
    <w:rsid w:val="00092BD8"/>
    <w:rsid w:val="000931C5"/>
    <w:rsid w:val="0009349C"/>
    <w:rsid w:val="00093718"/>
    <w:rsid w:val="00094146"/>
    <w:rsid w:val="00094D29"/>
    <w:rsid w:val="00095F51"/>
    <w:rsid w:val="00095FAF"/>
    <w:rsid w:val="000965E8"/>
    <w:rsid w:val="000967A1"/>
    <w:rsid w:val="00096AB1"/>
    <w:rsid w:val="00096FA2"/>
    <w:rsid w:val="000972D1"/>
    <w:rsid w:val="00097648"/>
    <w:rsid w:val="00097A04"/>
    <w:rsid w:val="00097C1D"/>
    <w:rsid w:val="000A02B2"/>
    <w:rsid w:val="000A0B78"/>
    <w:rsid w:val="000A0FBB"/>
    <w:rsid w:val="000A12CF"/>
    <w:rsid w:val="000A1C56"/>
    <w:rsid w:val="000A1FD7"/>
    <w:rsid w:val="000A2FD0"/>
    <w:rsid w:val="000A3003"/>
    <w:rsid w:val="000A33A9"/>
    <w:rsid w:val="000A35FD"/>
    <w:rsid w:val="000A361B"/>
    <w:rsid w:val="000A3BB9"/>
    <w:rsid w:val="000A3EA8"/>
    <w:rsid w:val="000A4025"/>
    <w:rsid w:val="000A4461"/>
    <w:rsid w:val="000A45EB"/>
    <w:rsid w:val="000A571B"/>
    <w:rsid w:val="000A615B"/>
    <w:rsid w:val="000A61FA"/>
    <w:rsid w:val="000A6225"/>
    <w:rsid w:val="000A67C4"/>
    <w:rsid w:val="000A6DC3"/>
    <w:rsid w:val="000A6E79"/>
    <w:rsid w:val="000A6EFD"/>
    <w:rsid w:val="000A71C3"/>
    <w:rsid w:val="000A7A5E"/>
    <w:rsid w:val="000A7DE1"/>
    <w:rsid w:val="000A7F96"/>
    <w:rsid w:val="000B01C1"/>
    <w:rsid w:val="000B0398"/>
    <w:rsid w:val="000B0528"/>
    <w:rsid w:val="000B08AB"/>
    <w:rsid w:val="000B0B3A"/>
    <w:rsid w:val="000B0C10"/>
    <w:rsid w:val="000B0E26"/>
    <w:rsid w:val="000B0F3C"/>
    <w:rsid w:val="000B0FBB"/>
    <w:rsid w:val="000B124E"/>
    <w:rsid w:val="000B20D6"/>
    <w:rsid w:val="000B222C"/>
    <w:rsid w:val="000B2787"/>
    <w:rsid w:val="000B2973"/>
    <w:rsid w:val="000B2A0B"/>
    <w:rsid w:val="000B2A5C"/>
    <w:rsid w:val="000B2EA9"/>
    <w:rsid w:val="000B2EBB"/>
    <w:rsid w:val="000B30E2"/>
    <w:rsid w:val="000B31FC"/>
    <w:rsid w:val="000B42F5"/>
    <w:rsid w:val="000B481B"/>
    <w:rsid w:val="000B4E08"/>
    <w:rsid w:val="000B4E1E"/>
    <w:rsid w:val="000B4F3B"/>
    <w:rsid w:val="000B514A"/>
    <w:rsid w:val="000B538B"/>
    <w:rsid w:val="000B5447"/>
    <w:rsid w:val="000B5538"/>
    <w:rsid w:val="000B566F"/>
    <w:rsid w:val="000B56B3"/>
    <w:rsid w:val="000B56EA"/>
    <w:rsid w:val="000B685D"/>
    <w:rsid w:val="000B6A48"/>
    <w:rsid w:val="000B72B7"/>
    <w:rsid w:val="000B784E"/>
    <w:rsid w:val="000B79EE"/>
    <w:rsid w:val="000C060B"/>
    <w:rsid w:val="000C0765"/>
    <w:rsid w:val="000C0EF1"/>
    <w:rsid w:val="000C1976"/>
    <w:rsid w:val="000C1B4C"/>
    <w:rsid w:val="000C1CF3"/>
    <w:rsid w:val="000C1F1D"/>
    <w:rsid w:val="000C27BC"/>
    <w:rsid w:val="000C28A8"/>
    <w:rsid w:val="000C363A"/>
    <w:rsid w:val="000C3D4F"/>
    <w:rsid w:val="000C4893"/>
    <w:rsid w:val="000C4FE4"/>
    <w:rsid w:val="000C5A78"/>
    <w:rsid w:val="000C5D53"/>
    <w:rsid w:val="000C6184"/>
    <w:rsid w:val="000C7370"/>
    <w:rsid w:val="000C7DDE"/>
    <w:rsid w:val="000D0119"/>
    <w:rsid w:val="000D0814"/>
    <w:rsid w:val="000D0D63"/>
    <w:rsid w:val="000D1D2B"/>
    <w:rsid w:val="000D21C4"/>
    <w:rsid w:val="000D2CDB"/>
    <w:rsid w:val="000D2F46"/>
    <w:rsid w:val="000D3071"/>
    <w:rsid w:val="000D3220"/>
    <w:rsid w:val="000D33B0"/>
    <w:rsid w:val="000D3500"/>
    <w:rsid w:val="000D3615"/>
    <w:rsid w:val="000D4B5A"/>
    <w:rsid w:val="000D517D"/>
    <w:rsid w:val="000D554E"/>
    <w:rsid w:val="000D5A3D"/>
    <w:rsid w:val="000D7A65"/>
    <w:rsid w:val="000D7C5D"/>
    <w:rsid w:val="000D7CC0"/>
    <w:rsid w:val="000E001E"/>
    <w:rsid w:val="000E0190"/>
    <w:rsid w:val="000E03B9"/>
    <w:rsid w:val="000E04FD"/>
    <w:rsid w:val="000E1CBD"/>
    <w:rsid w:val="000E2101"/>
    <w:rsid w:val="000E27FD"/>
    <w:rsid w:val="000E2872"/>
    <w:rsid w:val="000E395F"/>
    <w:rsid w:val="000E417A"/>
    <w:rsid w:val="000E450E"/>
    <w:rsid w:val="000E470A"/>
    <w:rsid w:val="000E5885"/>
    <w:rsid w:val="000E5E22"/>
    <w:rsid w:val="000E5E78"/>
    <w:rsid w:val="000E62D2"/>
    <w:rsid w:val="000E721C"/>
    <w:rsid w:val="000E7336"/>
    <w:rsid w:val="000E752C"/>
    <w:rsid w:val="000E75C1"/>
    <w:rsid w:val="000F0CBF"/>
    <w:rsid w:val="000F19B0"/>
    <w:rsid w:val="000F2180"/>
    <w:rsid w:val="000F347A"/>
    <w:rsid w:val="000F3A8A"/>
    <w:rsid w:val="000F3E8C"/>
    <w:rsid w:val="000F429F"/>
    <w:rsid w:val="000F44F1"/>
    <w:rsid w:val="000F4611"/>
    <w:rsid w:val="000F5639"/>
    <w:rsid w:val="000F5A2D"/>
    <w:rsid w:val="000F5C07"/>
    <w:rsid w:val="000F5D59"/>
    <w:rsid w:val="000F5DC5"/>
    <w:rsid w:val="000F6286"/>
    <w:rsid w:val="000F6711"/>
    <w:rsid w:val="000F6DC2"/>
    <w:rsid w:val="000F70F4"/>
    <w:rsid w:val="000F7BCB"/>
    <w:rsid w:val="001006CE"/>
    <w:rsid w:val="001015ED"/>
    <w:rsid w:val="0010185D"/>
    <w:rsid w:val="00101C66"/>
    <w:rsid w:val="00102526"/>
    <w:rsid w:val="00102638"/>
    <w:rsid w:val="00102803"/>
    <w:rsid w:val="00102F47"/>
    <w:rsid w:val="001036ED"/>
    <w:rsid w:val="001037C0"/>
    <w:rsid w:val="00104077"/>
    <w:rsid w:val="001043B9"/>
    <w:rsid w:val="0010578D"/>
    <w:rsid w:val="00105C51"/>
    <w:rsid w:val="001063E2"/>
    <w:rsid w:val="001068A3"/>
    <w:rsid w:val="001069F1"/>
    <w:rsid w:val="00106AB9"/>
    <w:rsid w:val="00106FEE"/>
    <w:rsid w:val="00107168"/>
    <w:rsid w:val="001075D9"/>
    <w:rsid w:val="00107600"/>
    <w:rsid w:val="00107629"/>
    <w:rsid w:val="00107D2F"/>
    <w:rsid w:val="001103B3"/>
    <w:rsid w:val="0011040A"/>
    <w:rsid w:val="00110557"/>
    <w:rsid w:val="0011057B"/>
    <w:rsid w:val="001107D5"/>
    <w:rsid w:val="001108D5"/>
    <w:rsid w:val="00110CBC"/>
    <w:rsid w:val="00110F1D"/>
    <w:rsid w:val="00110F37"/>
    <w:rsid w:val="00111AD3"/>
    <w:rsid w:val="00111C59"/>
    <w:rsid w:val="00111D5D"/>
    <w:rsid w:val="00111DBC"/>
    <w:rsid w:val="001120F5"/>
    <w:rsid w:val="0011234C"/>
    <w:rsid w:val="001126A2"/>
    <w:rsid w:val="00112BED"/>
    <w:rsid w:val="00112E04"/>
    <w:rsid w:val="00113DBB"/>
    <w:rsid w:val="0011444B"/>
    <w:rsid w:val="00114A9E"/>
    <w:rsid w:val="00115546"/>
    <w:rsid w:val="00115929"/>
    <w:rsid w:val="00115CEF"/>
    <w:rsid w:val="00116105"/>
    <w:rsid w:val="0011621F"/>
    <w:rsid w:val="0011660B"/>
    <w:rsid w:val="001168C4"/>
    <w:rsid w:val="00116FDB"/>
    <w:rsid w:val="00117249"/>
    <w:rsid w:val="00117482"/>
    <w:rsid w:val="00117A84"/>
    <w:rsid w:val="00117C3E"/>
    <w:rsid w:val="00117EEE"/>
    <w:rsid w:val="00117F0A"/>
    <w:rsid w:val="0012004E"/>
    <w:rsid w:val="001217FA"/>
    <w:rsid w:val="00121A7B"/>
    <w:rsid w:val="00121D70"/>
    <w:rsid w:val="00122FEB"/>
    <w:rsid w:val="0012302F"/>
    <w:rsid w:val="00123874"/>
    <w:rsid w:val="00123F91"/>
    <w:rsid w:val="001246A1"/>
    <w:rsid w:val="00124A0F"/>
    <w:rsid w:val="00124A1E"/>
    <w:rsid w:val="00124F7C"/>
    <w:rsid w:val="001253A3"/>
    <w:rsid w:val="0012540A"/>
    <w:rsid w:val="001259BA"/>
    <w:rsid w:val="001267B3"/>
    <w:rsid w:val="00126996"/>
    <w:rsid w:val="00126DB2"/>
    <w:rsid w:val="00127406"/>
    <w:rsid w:val="00127420"/>
    <w:rsid w:val="00127446"/>
    <w:rsid w:val="00127A99"/>
    <w:rsid w:val="00127BCF"/>
    <w:rsid w:val="001307B5"/>
    <w:rsid w:val="00130C9C"/>
    <w:rsid w:val="00130D6F"/>
    <w:rsid w:val="0013146D"/>
    <w:rsid w:val="00131A58"/>
    <w:rsid w:val="00131B78"/>
    <w:rsid w:val="00131C64"/>
    <w:rsid w:val="00131E2A"/>
    <w:rsid w:val="0013208E"/>
    <w:rsid w:val="001320F1"/>
    <w:rsid w:val="00132289"/>
    <w:rsid w:val="0013231C"/>
    <w:rsid w:val="001325AB"/>
    <w:rsid w:val="001325F2"/>
    <w:rsid w:val="001331C0"/>
    <w:rsid w:val="0013324B"/>
    <w:rsid w:val="00133DE0"/>
    <w:rsid w:val="00133EEC"/>
    <w:rsid w:val="0013446C"/>
    <w:rsid w:val="001359DB"/>
    <w:rsid w:val="00135AC4"/>
    <w:rsid w:val="0013732F"/>
    <w:rsid w:val="0013758C"/>
    <w:rsid w:val="00137816"/>
    <w:rsid w:val="0013797C"/>
    <w:rsid w:val="001403BF"/>
    <w:rsid w:val="00140B21"/>
    <w:rsid w:val="00140E11"/>
    <w:rsid w:val="00141430"/>
    <w:rsid w:val="00141684"/>
    <w:rsid w:val="001418C6"/>
    <w:rsid w:val="00141B2C"/>
    <w:rsid w:val="00141CE9"/>
    <w:rsid w:val="00141F52"/>
    <w:rsid w:val="001426EA"/>
    <w:rsid w:val="00142700"/>
    <w:rsid w:val="00142756"/>
    <w:rsid w:val="001436A5"/>
    <w:rsid w:val="00143A68"/>
    <w:rsid w:val="00143D1E"/>
    <w:rsid w:val="00143D65"/>
    <w:rsid w:val="00144C72"/>
    <w:rsid w:val="00145D5B"/>
    <w:rsid w:val="001468F7"/>
    <w:rsid w:val="00146A2C"/>
    <w:rsid w:val="00146EDE"/>
    <w:rsid w:val="00146FF8"/>
    <w:rsid w:val="00147265"/>
    <w:rsid w:val="001474D4"/>
    <w:rsid w:val="00150187"/>
    <w:rsid w:val="00150399"/>
    <w:rsid w:val="00150872"/>
    <w:rsid w:val="0015096E"/>
    <w:rsid w:val="00150B89"/>
    <w:rsid w:val="00150D30"/>
    <w:rsid w:val="00151C7B"/>
    <w:rsid w:val="00152234"/>
    <w:rsid w:val="00152B25"/>
    <w:rsid w:val="00152E5E"/>
    <w:rsid w:val="00152F62"/>
    <w:rsid w:val="0015319F"/>
    <w:rsid w:val="00153FF5"/>
    <w:rsid w:val="001542DC"/>
    <w:rsid w:val="0015491E"/>
    <w:rsid w:val="00154ACF"/>
    <w:rsid w:val="00154B8F"/>
    <w:rsid w:val="00154C7E"/>
    <w:rsid w:val="00155A5C"/>
    <w:rsid w:val="00155E53"/>
    <w:rsid w:val="00156103"/>
    <w:rsid w:val="0015620F"/>
    <w:rsid w:val="00156F60"/>
    <w:rsid w:val="00157185"/>
    <w:rsid w:val="00157273"/>
    <w:rsid w:val="001577BB"/>
    <w:rsid w:val="00157BE7"/>
    <w:rsid w:val="00160398"/>
    <w:rsid w:val="00160989"/>
    <w:rsid w:val="00160C4F"/>
    <w:rsid w:val="00161964"/>
    <w:rsid w:val="00161975"/>
    <w:rsid w:val="00161C15"/>
    <w:rsid w:val="00162134"/>
    <w:rsid w:val="00162707"/>
    <w:rsid w:val="001628AB"/>
    <w:rsid w:val="00162E61"/>
    <w:rsid w:val="0016304C"/>
    <w:rsid w:val="00163864"/>
    <w:rsid w:val="001643DD"/>
    <w:rsid w:val="0016467F"/>
    <w:rsid w:val="0016529A"/>
    <w:rsid w:val="0016531D"/>
    <w:rsid w:val="0016590B"/>
    <w:rsid w:val="00166256"/>
    <w:rsid w:val="001666E6"/>
    <w:rsid w:val="00166AF7"/>
    <w:rsid w:val="001675F3"/>
    <w:rsid w:val="001678CC"/>
    <w:rsid w:val="001702D8"/>
    <w:rsid w:val="00170625"/>
    <w:rsid w:val="001706A2"/>
    <w:rsid w:val="001706FD"/>
    <w:rsid w:val="0017095C"/>
    <w:rsid w:val="00170E61"/>
    <w:rsid w:val="0017147A"/>
    <w:rsid w:val="00171480"/>
    <w:rsid w:val="001715FF"/>
    <w:rsid w:val="00171D71"/>
    <w:rsid w:val="00172C49"/>
    <w:rsid w:val="00172C65"/>
    <w:rsid w:val="00173C70"/>
    <w:rsid w:val="00173CE8"/>
    <w:rsid w:val="0017417D"/>
    <w:rsid w:val="001742DF"/>
    <w:rsid w:val="001748B5"/>
    <w:rsid w:val="00174B33"/>
    <w:rsid w:val="00174E1B"/>
    <w:rsid w:val="0017508E"/>
    <w:rsid w:val="001751FB"/>
    <w:rsid w:val="001753DE"/>
    <w:rsid w:val="001757F5"/>
    <w:rsid w:val="00175C51"/>
    <w:rsid w:val="00176399"/>
    <w:rsid w:val="001766FC"/>
    <w:rsid w:val="00176746"/>
    <w:rsid w:val="001771E3"/>
    <w:rsid w:val="001777F0"/>
    <w:rsid w:val="00177853"/>
    <w:rsid w:val="00180378"/>
    <w:rsid w:val="00180702"/>
    <w:rsid w:val="001808C7"/>
    <w:rsid w:val="00180C46"/>
    <w:rsid w:val="001810E3"/>
    <w:rsid w:val="00181E3F"/>
    <w:rsid w:val="0018204C"/>
    <w:rsid w:val="001823CF"/>
    <w:rsid w:val="001824B3"/>
    <w:rsid w:val="00182F35"/>
    <w:rsid w:val="001834FF"/>
    <w:rsid w:val="00183B55"/>
    <w:rsid w:val="00183F3D"/>
    <w:rsid w:val="00183F75"/>
    <w:rsid w:val="00184626"/>
    <w:rsid w:val="001846C7"/>
    <w:rsid w:val="001847A8"/>
    <w:rsid w:val="00184DDF"/>
    <w:rsid w:val="00184FD5"/>
    <w:rsid w:val="00185029"/>
    <w:rsid w:val="00185BAA"/>
    <w:rsid w:val="00185E15"/>
    <w:rsid w:val="00186088"/>
    <w:rsid w:val="00186107"/>
    <w:rsid w:val="001874B2"/>
    <w:rsid w:val="00187A93"/>
    <w:rsid w:val="00190638"/>
    <w:rsid w:val="001909C2"/>
    <w:rsid w:val="001909F1"/>
    <w:rsid w:val="00191593"/>
    <w:rsid w:val="00191997"/>
    <w:rsid w:val="00191C09"/>
    <w:rsid w:val="001922D1"/>
    <w:rsid w:val="001924B5"/>
    <w:rsid w:val="00192D96"/>
    <w:rsid w:val="0019314B"/>
    <w:rsid w:val="00193835"/>
    <w:rsid w:val="00193C10"/>
    <w:rsid w:val="001940B6"/>
    <w:rsid w:val="00194287"/>
    <w:rsid w:val="00194416"/>
    <w:rsid w:val="00194A5F"/>
    <w:rsid w:val="00194B3E"/>
    <w:rsid w:val="00194C7A"/>
    <w:rsid w:val="00194D0B"/>
    <w:rsid w:val="001951FE"/>
    <w:rsid w:val="001959E5"/>
    <w:rsid w:val="00196336"/>
    <w:rsid w:val="00196A5E"/>
    <w:rsid w:val="00197291"/>
    <w:rsid w:val="001975B1"/>
    <w:rsid w:val="001976FC"/>
    <w:rsid w:val="00197709"/>
    <w:rsid w:val="001A02AB"/>
    <w:rsid w:val="001A0535"/>
    <w:rsid w:val="001A0965"/>
    <w:rsid w:val="001A09B5"/>
    <w:rsid w:val="001A0CA2"/>
    <w:rsid w:val="001A1C25"/>
    <w:rsid w:val="001A1CA9"/>
    <w:rsid w:val="001A27AC"/>
    <w:rsid w:val="001A2961"/>
    <w:rsid w:val="001A2A65"/>
    <w:rsid w:val="001A3569"/>
    <w:rsid w:val="001A3BCC"/>
    <w:rsid w:val="001A3BF9"/>
    <w:rsid w:val="001A4000"/>
    <w:rsid w:val="001A55B1"/>
    <w:rsid w:val="001A5C1E"/>
    <w:rsid w:val="001A5D84"/>
    <w:rsid w:val="001A62FC"/>
    <w:rsid w:val="001A634D"/>
    <w:rsid w:val="001A73EA"/>
    <w:rsid w:val="001A77D6"/>
    <w:rsid w:val="001A78F0"/>
    <w:rsid w:val="001A79F9"/>
    <w:rsid w:val="001A7F4E"/>
    <w:rsid w:val="001B0348"/>
    <w:rsid w:val="001B03AF"/>
    <w:rsid w:val="001B0548"/>
    <w:rsid w:val="001B071A"/>
    <w:rsid w:val="001B0764"/>
    <w:rsid w:val="001B088C"/>
    <w:rsid w:val="001B14A6"/>
    <w:rsid w:val="001B17BF"/>
    <w:rsid w:val="001B1FBB"/>
    <w:rsid w:val="001B21D2"/>
    <w:rsid w:val="001B253A"/>
    <w:rsid w:val="001B27F0"/>
    <w:rsid w:val="001B2F34"/>
    <w:rsid w:val="001B311A"/>
    <w:rsid w:val="001B34E2"/>
    <w:rsid w:val="001B3900"/>
    <w:rsid w:val="001B3BB9"/>
    <w:rsid w:val="001B3C86"/>
    <w:rsid w:val="001B3E3F"/>
    <w:rsid w:val="001B417A"/>
    <w:rsid w:val="001B4322"/>
    <w:rsid w:val="001B46E8"/>
    <w:rsid w:val="001B5C2D"/>
    <w:rsid w:val="001B688A"/>
    <w:rsid w:val="001B6E93"/>
    <w:rsid w:val="001B72C2"/>
    <w:rsid w:val="001B7C87"/>
    <w:rsid w:val="001C02D8"/>
    <w:rsid w:val="001C0401"/>
    <w:rsid w:val="001C044B"/>
    <w:rsid w:val="001C0698"/>
    <w:rsid w:val="001C0F74"/>
    <w:rsid w:val="001C0FC6"/>
    <w:rsid w:val="001C1244"/>
    <w:rsid w:val="001C19FB"/>
    <w:rsid w:val="001C23E6"/>
    <w:rsid w:val="001C262B"/>
    <w:rsid w:val="001C2760"/>
    <w:rsid w:val="001C2EA3"/>
    <w:rsid w:val="001C3238"/>
    <w:rsid w:val="001C327C"/>
    <w:rsid w:val="001C3A3E"/>
    <w:rsid w:val="001C4085"/>
    <w:rsid w:val="001C4AC4"/>
    <w:rsid w:val="001C5110"/>
    <w:rsid w:val="001C51EF"/>
    <w:rsid w:val="001C5405"/>
    <w:rsid w:val="001C5519"/>
    <w:rsid w:val="001C60DA"/>
    <w:rsid w:val="001C624F"/>
    <w:rsid w:val="001C6608"/>
    <w:rsid w:val="001C6629"/>
    <w:rsid w:val="001C665A"/>
    <w:rsid w:val="001C6E22"/>
    <w:rsid w:val="001C71DA"/>
    <w:rsid w:val="001C72BF"/>
    <w:rsid w:val="001C7418"/>
    <w:rsid w:val="001C7D35"/>
    <w:rsid w:val="001D05B6"/>
    <w:rsid w:val="001D09D4"/>
    <w:rsid w:val="001D0ACF"/>
    <w:rsid w:val="001D0C12"/>
    <w:rsid w:val="001D0D71"/>
    <w:rsid w:val="001D100A"/>
    <w:rsid w:val="001D175B"/>
    <w:rsid w:val="001D2008"/>
    <w:rsid w:val="001D2036"/>
    <w:rsid w:val="001D40C3"/>
    <w:rsid w:val="001D494B"/>
    <w:rsid w:val="001D52D0"/>
    <w:rsid w:val="001D54A0"/>
    <w:rsid w:val="001D55E6"/>
    <w:rsid w:val="001D568E"/>
    <w:rsid w:val="001D575E"/>
    <w:rsid w:val="001D629B"/>
    <w:rsid w:val="001D6435"/>
    <w:rsid w:val="001D6FB0"/>
    <w:rsid w:val="001D709A"/>
    <w:rsid w:val="001D71B5"/>
    <w:rsid w:val="001D7DEA"/>
    <w:rsid w:val="001D7EA4"/>
    <w:rsid w:val="001E053D"/>
    <w:rsid w:val="001E05DA"/>
    <w:rsid w:val="001E0EC8"/>
    <w:rsid w:val="001E1739"/>
    <w:rsid w:val="001E197F"/>
    <w:rsid w:val="001E1A16"/>
    <w:rsid w:val="001E2307"/>
    <w:rsid w:val="001E2BAD"/>
    <w:rsid w:val="001E2D52"/>
    <w:rsid w:val="001E3277"/>
    <w:rsid w:val="001E384B"/>
    <w:rsid w:val="001E3C42"/>
    <w:rsid w:val="001E3CA4"/>
    <w:rsid w:val="001E441B"/>
    <w:rsid w:val="001E452B"/>
    <w:rsid w:val="001E50D6"/>
    <w:rsid w:val="001E56C8"/>
    <w:rsid w:val="001E5900"/>
    <w:rsid w:val="001E6BF4"/>
    <w:rsid w:val="001E73A3"/>
    <w:rsid w:val="001E798B"/>
    <w:rsid w:val="001E7E37"/>
    <w:rsid w:val="001E7E51"/>
    <w:rsid w:val="001F0338"/>
    <w:rsid w:val="001F0E7F"/>
    <w:rsid w:val="001F1135"/>
    <w:rsid w:val="001F187C"/>
    <w:rsid w:val="001F20B7"/>
    <w:rsid w:val="001F2745"/>
    <w:rsid w:val="001F29AC"/>
    <w:rsid w:val="001F2C86"/>
    <w:rsid w:val="001F2DFD"/>
    <w:rsid w:val="001F3394"/>
    <w:rsid w:val="001F339A"/>
    <w:rsid w:val="001F3A9C"/>
    <w:rsid w:val="001F45F6"/>
    <w:rsid w:val="001F4E23"/>
    <w:rsid w:val="001F4FB7"/>
    <w:rsid w:val="001F57F7"/>
    <w:rsid w:val="001F5AB0"/>
    <w:rsid w:val="001F5CB1"/>
    <w:rsid w:val="001F63A2"/>
    <w:rsid w:val="001F66AA"/>
    <w:rsid w:val="001F6ED8"/>
    <w:rsid w:val="001F7003"/>
    <w:rsid w:val="001F7031"/>
    <w:rsid w:val="001F77AA"/>
    <w:rsid w:val="001F79DD"/>
    <w:rsid w:val="001F7DD9"/>
    <w:rsid w:val="00200BE2"/>
    <w:rsid w:val="00201345"/>
    <w:rsid w:val="002014DF"/>
    <w:rsid w:val="002015A4"/>
    <w:rsid w:val="002021D2"/>
    <w:rsid w:val="0020329C"/>
    <w:rsid w:val="002033DC"/>
    <w:rsid w:val="00204A5F"/>
    <w:rsid w:val="00204F28"/>
    <w:rsid w:val="00205081"/>
    <w:rsid w:val="002051D4"/>
    <w:rsid w:val="002052A4"/>
    <w:rsid w:val="0020541E"/>
    <w:rsid w:val="002058F8"/>
    <w:rsid w:val="00205B05"/>
    <w:rsid w:val="00206954"/>
    <w:rsid w:val="00206B48"/>
    <w:rsid w:val="00207015"/>
    <w:rsid w:val="0020725F"/>
    <w:rsid w:val="00207556"/>
    <w:rsid w:val="00207A0D"/>
    <w:rsid w:val="00207CE2"/>
    <w:rsid w:val="00207DA1"/>
    <w:rsid w:val="00210195"/>
    <w:rsid w:val="00210515"/>
    <w:rsid w:val="0021054F"/>
    <w:rsid w:val="00210A8A"/>
    <w:rsid w:val="00210A8B"/>
    <w:rsid w:val="00210CF5"/>
    <w:rsid w:val="00210DDD"/>
    <w:rsid w:val="00211799"/>
    <w:rsid w:val="0021186E"/>
    <w:rsid w:val="00211A60"/>
    <w:rsid w:val="002121CB"/>
    <w:rsid w:val="0021313C"/>
    <w:rsid w:val="00213448"/>
    <w:rsid w:val="00213925"/>
    <w:rsid w:val="00213C1D"/>
    <w:rsid w:val="00214921"/>
    <w:rsid w:val="0021567D"/>
    <w:rsid w:val="00215CC0"/>
    <w:rsid w:val="00215F5E"/>
    <w:rsid w:val="00215FEB"/>
    <w:rsid w:val="002167BC"/>
    <w:rsid w:val="002169EB"/>
    <w:rsid w:val="00217193"/>
    <w:rsid w:val="00217A35"/>
    <w:rsid w:val="00217C4E"/>
    <w:rsid w:val="00217D0B"/>
    <w:rsid w:val="00217F16"/>
    <w:rsid w:val="00220019"/>
    <w:rsid w:val="0022024C"/>
    <w:rsid w:val="002206B7"/>
    <w:rsid w:val="00221EB8"/>
    <w:rsid w:val="00222075"/>
    <w:rsid w:val="002225CF"/>
    <w:rsid w:val="00222820"/>
    <w:rsid w:val="002232F8"/>
    <w:rsid w:val="00223410"/>
    <w:rsid w:val="002237D9"/>
    <w:rsid w:val="0022415D"/>
    <w:rsid w:val="00224179"/>
    <w:rsid w:val="002247B7"/>
    <w:rsid w:val="002251BC"/>
    <w:rsid w:val="002253B8"/>
    <w:rsid w:val="00225C51"/>
    <w:rsid w:val="002263DF"/>
    <w:rsid w:val="0022681A"/>
    <w:rsid w:val="002268BF"/>
    <w:rsid w:val="00226DD3"/>
    <w:rsid w:val="00226F7B"/>
    <w:rsid w:val="00227019"/>
    <w:rsid w:val="00227326"/>
    <w:rsid w:val="0022783C"/>
    <w:rsid w:val="002279E3"/>
    <w:rsid w:val="00227B00"/>
    <w:rsid w:val="00227CF7"/>
    <w:rsid w:val="0023011B"/>
    <w:rsid w:val="002302D8"/>
    <w:rsid w:val="0023033E"/>
    <w:rsid w:val="002306DA"/>
    <w:rsid w:val="00230E11"/>
    <w:rsid w:val="00230F72"/>
    <w:rsid w:val="002311B5"/>
    <w:rsid w:val="00231413"/>
    <w:rsid w:val="00231A62"/>
    <w:rsid w:val="002325A3"/>
    <w:rsid w:val="0023261F"/>
    <w:rsid w:val="0023300E"/>
    <w:rsid w:val="002338DA"/>
    <w:rsid w:val="00233E7E"/>
    <w:rsid w:val="0023430F"/>
    <w:rsid w:val="00234EC7"/>
    <w:rsid w:val="00235174"/>
    <w:rsid w:val="002352B9"/>
    <w:rsid w:val="00235496"/>
    <w:rsid w:val="00235B5B"/>
    <w:rsid w:val="00235B9B"/>
    <w:rsid w:val="00236420"/>
    <w:rsid w:val="0023666B"/>
    <w:rsid w:val="0023765B"/>
    <w:rsid w:val="00237A6B"/>
    <w:rsid w:val="00237F7E"/>
    <w:rsid w:val="0024073D"/>
    <w:rsid w:val="0024098C"/>
    <w:rsid w:val="00240E5D"/>
    <w:rsid w:val="00240F9E"/>
    <w:rsid w:val="00241C10"/>
    <w:rsid w:val="00242223"/>
    <w:rsid w:val="00242551"/>
    <w:rsid w:val="002429A8"/>
    <w:rsid w:val="002429D1"/>
    <w:rsid w:val="002432EC"/>
    <w:rsid w:val="00243733"/>
    <w:rsid w:val="0024383F"/>
    <w:rsid w:val="0024384D"/>
    <w:rsid w:val="0024407E"/>
    <w:rsid w:val="002446E1"/>
    <w:rsid w:val="0024487B"/>
    <w:rsid w:val="00245319"/>
    <w:rsid w:val="0024581E"/>
    <w:rsid w:val="00245B33"/>
    <w:rsid w:val="00245C3B"/>
    <w:rsid w:val="00245F40"/>
    <w:rsid w:val="00246477"/>
    <w:rsid w:val="00246DE8"/>
    <w:rsid w:val="002470AA"/>
    <w:rsid w:val="002477A8"/>
    <w:rsid w:val="00247ACE"/>
    <w:rsid w:val="00250A23"/>
    <w:rsid w:val="00250B02"/>
    <w:rsid w:val="002515C3"/>
    <w:rsid w:val="00251B57"/>
    <w:rsid w:val="00251F86"/>
    <w:rsid w:val="00252E5B"/>
    <w:rsid w:val="002533A0"/>
    <w:rsid w:val="00253759"/>
    <w:rsid w:val="002539B7"/>
    <w:rsid w:val="00254896"/>
    <w:rsid w:val="00254C1F"/>
    <w:rsid w:val="00254E71"/>
    <w:rsid w:val="00255603"/>
    <w:rsid w:val="00256732"/>
    <w:rsid w:val="0025741E"/>
    <w:rsid w:val="00257539"/>
    <w:rsid w:val="00257D83"/>
    <w:rsid w:val="00257E2F"/>
    <w:rsid w:val="00257EDF"/>
    <w:rsid w:val="00260175"/>
    <w:rsid w:val="002603D0"/>
    <w:rsid w:val="0026044F"/>
    <w:rsid w:val="00261285"/>
    <w:rsid w:val="00261483"/>
    <w:rsid w:val="0026156F"/>
    <w:rsid w:val="00261C12"/>
    <w:rsid w:val="00261C9C"/>
    <w:rsid w:val="002624C0"/>
    <w:rsid w:val="00262A52"/>
    <w:rsid w:val="00262B00"/>
    <w:rsid w:val="00262EE8"/>
    <w:rsid w:val="002646D4"/>
    <w:rsid w:val="0026502B"/>
    <w:rsid w:val="00265D85"/>
    <w:rsid w:val="00265E32"/>
    <w:rsid w:val="00265E91"/>
    <w:rsid w:val="00266600"/>
    <w:rsid w:val="00266970"/>
    <w:rsid w:val="002669E0"/>
    <w:rsid w:val="00266ABB"/>
    <w:rsid w:val="00267315"/>
    <w:rsid w:val="00267725"/>
    <w:rsid w:val="00267A32"/>
    <w:rsid w:val="00267A78"/>
    <w:rsid w:val="002704C1"/>
    <w:rsid w:val="002706B1"/>
    <w:rsid w:val="002709E0"/>
    <w:rsid w:val="00271048"/>
    <w:rsid w:val="002712C2"/>
    <w:rsid w:val="00271584"/>
    <w:rsid w:val="00271683"/>
    <w:rsid w:val="00271770"/>
    <w:rsid w:val="002721B3"/>
    <w:rsid w:val="00272225"/>
    <w:rsid w:val="00272510"/>
    <w:rsid w:val="00272A9F"/>
    <w:rsid w:val="00272C3C"/>
    <w:rsid w:val="0027305B"/>
    <w:rsid w:val="002738A9"/>
    <w:rsid w:val="00273B42"/>
    <w:rsid w:val="00273DD0"/>
    <w:rsid w:val="0027483D"/>
    <w:rsid w:val="00274EE5"/>
    <w:rsid w:val="00275A05"/>
    <w:rsid w:val="00275A49"/>
    <w:rsid w:val="00276A2D"/>
    <w:rsid w:val="00276DA8"/>
    <w:rsid w:val="002774C6"/>
    <w:rsid w:val="00277A58"/>
    <w:rsid w:val="00277D00"/>
    <w:rsid w:val="00277DCB"/>
    <w:rsid w:val="00277F53"/>
    <w:rsid w:val="00280156"/>
    <w:rsid w:val="002804A5"/>
    <w:rsid w:val="002806DD"/>
    <w:rsid w:val="00280AAB"/>
    <w:rsid w:val="00280ABC"/>
    <w:rsid w:val="00280E56"/>
    <w:rsid w:val="00280F18"/>
    <w:rsid w:val="002813BE"/>
    <w:rsid w:val="002819FF"/>
    <w:rsid w:val="00281D26"/>
    <w:rsid w:val="00281E4C"/>
    <w:rsid w:val="00282412"/>
    <w:rsid w:val="0028265C"/>
    <w:rsid w:val="0028292E"/>
    <w:rsid w:val="002839B1"/>
    <w:rsid w:val="002839D0"/>
    <w:rsid w:val="002841D6"/>
    <w:rsid w:val="00284751"/>
    <w:rsid w:val="00284829"/>
    <w:rsid w:val="0028518F"/>
    <w:rsid w:val="0028529C"/>
    <w:rsid w:val="00285400"/>
    <w:rsid w:val="00285CAF"/>
    <w:rsid w:val="00285D68"/>
    <w:rsid w:val="00285E11"/>
    <w:rsid w:val="002869C5"/>
    <w:rsid w:val="00287141"/>
    <w:rsid w:val="0028741F"/>
    <w:rsid w:val="002907F4"/>
    <w:rsid w:val="00290A84"/>
    <w:rsid w:val="00290AC9"/>
    <w:rsid w:val="00290F5E"/>
    <w:rsid w:val="002912B5"/>
    <w:rsid w:val="00291608"/>
    <w:rsid w:val="00291F03"/>
    <w:rsid w:val="002922AE"/>
    <w:rsid w:val="0029264B"/>
    <w:rsid w:val="00292958"/>
    <w:rsid w:val="00292974"/>
    <w:rsid w:val="00293045"/>
    <w:rsid w:val="0029349A"/>
    <w:rsid w:val="002936F8"/>
    <w:rsid w:val="0029393F"/>
    <w:rsid w:val="002950C6"/>
    <w:rsid w:val="002960C6"/>
    <w:rsid w:val="00296810"/>
    <w:rsid w:val="00297355"/>
    <w:rsid w:val="00297BA0"/>
    <w:rsid w:val="002A000A"/>
    <w:rsid w:val="002A05B7"/>
    <w:rsid w:val="002A0784"/>
    <w:rsid w:val="002A08DB"/>
    <w:rsid w:val="002A14E5"/>
    <w:rsid w:val="002A16CA"/>
    <w:rsid w:val="002A18AA"/>
    <w:rsid w:val="002A1EF2"/>
    <w:rsid w:val="002A30A7"/>
    <w:rsid w:val="002A37BE"/>
    <w:rsid w:val="002A3BEE"/>
    <w:rsid w:val="002A43EB"/>
    <w:rsid w:val="002A43EC"/>
    <w:rsid w:val="002A4637"/>
    <w:rsid w:val="002A4C19"/>
    <w:rsid w:val="002A4F70"/>
    <w:rsid w:val="002A58CD"/>
    <w:rsid w:val="002A61BD"/>
    <w:rsid w:val="002A632E"/>
    <w:rsid w:val="002A739E"/>
    <w:rsid w:val="002A79C0"/>
    <w:rsid w:val="002A7A73"/>
    <w:rsid w:val="002B086A"/>
    <w:rsid w:val="002B09D8"/>
    <w:rsid w:val="002B0C42"/>
    <w:rsid w:val="002B0E3A"/>
    <w:rsid w:val="002B15DE"/>
    <w:rsid w:val="002B1717"/>
    <w:rsid w:val="002B21C8"/>
    <w:rsid w:val="002B22FC"/>
    <w:rsid w:val="002B32CD"/>
    <w:rsid w:val="002B37B3"/>
    <w:rsid w:val="002B3943"/>
    <w:rsid w:val="002B3A5D"/>
    <w:rsid w:val="002B3E55"/>
    <w:rsid w:val="002B487C"/>
    <w:rsid w:val="002B5466"/>
    <w:rsid w:val="002B667A"/>
    <w:rsid w:val="002B6A45"/>
    <w:rsid w:val="002B6C68"/>
    <w:rsid w:val="002B6E41"/>
    <w:rsid w:val="002B6E4C"/>
    <w:rsid w:val="002B6EF9"/>
    <w:rsid w:val="002B741D"/>
    <w:rsid w:val="002B7700"/>
    <w:rsid w:val="002B7CAC"/>
    <w:rsid w:val="002C0436"/>
    <w:rsid w:val="002C0611"/>
    <w:rsid w:val="002C1A1A"/>
    <w:rsid w:val="002C1F0E"/>
    <w:rsid w:val="002C21C7"/>
    <w:rsid w:val="002C22C5"/>
    <w:rsid w:val="002C2FDE"/>
    <w:rsid w:val="002C3476"/>
    <w:rsid w:val="002C40A7"/>
    <w:rsid w:val="002C41B1"/>
    <w:rsid w:val="002C42D2"/>
    <w:rsid w:val="002C4AD4"/>
    <w:rsid w:val="002C4C9D"/>
    <w:rsid w:val="002C4F8F"/>
    <w:rsid w:val="002C5296"/>
    <w:rsid w:val="002C581C"/>
    <w:rsid w:val="002C5EE4"/>
    <w:rsid w:val="002C5F71"/>
    <w:rsid w:val="002C692A"/>
    <w:rsid w:val="002C6AEB"/>
    <w:rsid w:val="002C7257"/>
    <w:rsid w:val="002C77F3"/>
    <w:rsid w:val="002C788A"/>
    <w:rsid w:val="002C7D15"/>
    <w:rsid w:val="002D0871"/>
    <w:rsid w:val="002D0A0B"/>
    <w:rsid w:val="002D12FF"/>
    <w:rsid w:val="002D1481"/>
    <w:rsid w:val="002D1977"/>
    <w:rsid w:val="002D260C"/>
    <w:rsid w:val="002D26BB"/>
    <w:rsid w:val="002D2928"/>
    <w:rsid w:val="002D2B3A"/>
    <w:rsid w:val="002D2E37"/>
    <w:rsid w:val="002D2F6E"/>
    <w:rsid w:val="002D3B2F"/>
    <w:rsid w:val="002D3D65"/>
    <w:rsid w:val="002D4F39"/>
    <w:rsid w:val="002D5C5A"/>
    <w:rsid w:val="002D5D2F"/>
    <w:rsid w:val="002D6586"/>
    <w:rsid w:val="002D6C34"/>
    <w:rsid w:val="002D6ED8"/>
    <w:rsid w:val="002D6FEF"/>
    <w:rsid w:val="002D7498"/>
    <w:rsid w:val="002D7A41"/>
    <w:rsid w:val="002D7C88"/>
    <w:rsid w:val="002E0024"/>
    <w:rsid w:val="002E015F"/>
    <w:rsid w:val="002E09D4"/>
    <w:rsid w:val="002E0A44"/>
    <w:rsid w:val="002E11B0"/>
    <w:rsid w:val="002E1240"/>
    <w:rsid w:val="002E2248"/>
    <w:rsid w:val="002E2743"/>
    <w:rsid w:val="002E2E93"/>
    <w:rsid w:val="002E2FF2"/>
    <w:rsid w:val="002E3498"/>
    <w:rsid w:val="002E3C9F"/>
    <w:rsid w:val="002E3E02"/>
    <w:rsid w:val="002E463F"/>
    <w:rsid w:val="002E4B83"/>
    <w:rsid w:val="002E4C69"/>
    <w:rsid w:val="002E4D7B"/>
    <w:rsid w:val="002E5684"/>
    <w:rsid w:val="002E573D"/>
    <w:rsid w:val="002E70C7"/>
    <w:rsid w:val="002E71B2"/>
    <w:rsid w:val="002E7858"/>
    <w:rsid w:val="002E78DE"/>
    <w:rsid w:val="002F00F1"/>
    <w:rsid w:val="002F010B"/>
    <w:rsid w:val="002F027E"/>
    <w:rsid w:val="002F05B7"/>
    <w:rsid w:val="002F06E5"/>
    <w:rsid w:val="002F0904"/>
    <w:rsid w:val="002F17EC"/>
    <w:rsid w:val="002F1ACB"/>
    <w:rsid w:val="002F1B04"/>
    <w:rsid w:val="002F1C9F"/>
    <w:rsid w:val="002F1CCF"/>
    <w:rsid w:val="002F1EB5"/>
    <w:rsid w:val="002F1F6B"/>
    <w:rsid w:val="002F22C0"/>
    <w:rsid w:val="002F22FB"/>
    <w:rsid w:val="002F2507"/>
    <w:rsid w:val="002F2A84"/>
    <w:rsid w:val="002F377D"/>
    <w:rsid w:val="002F41F3"/>
    <w:rsid w:val="002F46C1"/>
    <w:rsid w:val="002F4BE1"/>
    <w:rsid w:val="002F4DF3"/>
    <w:rsid w:val="002F53CC"/>
    <w:rsid w:val="002F588D"/>
    <w:rsid w:val="002F5E97"/>
    <w:rsid w:val="002F629F"/>
    <w:rsid w:val="002F64BE"/>
    <w:rsid w:val="002F6581"/>
    <w:rsid w:val="002F66C4"/>
    <w:rsid w:val="002F6878"/>
    <w:rsid w:val="002F6C8F"/>
    <w:rsid w:val="002F7F5B"/>
    <w:rsid w:val="00300667"/>
    <w:rsid w:val="003009E5"/>
    <w:rsid w:val="00300A5B"/>
    <w:rsid w:val="00301308"/>
    <w:rsid w:val="003014B3"/>
    <w:rsid w:val="00301BEE"/>
    <w:rsid w:val="003028DC"/>
    <w:rsid w:val="003034BA"/>
    <w:rsid w:val="003035FE"/>
    <w:rsid w:val="0030405B"/>
    <w:rsid w:val="003040F1"/>
    <w:rsid w:val="00304775"/>
    <w:rsid w:val="00304C92"/>
    <w:rsid w:val="00305493"/>
    <w:rsid w:val="00305600"/>
    <w:rsid w:val="003060C9"/>
    <w:rsid w:val="00307653"/>
    <w:rsid w:val="003078E0"/>
    <w:rsid w:val="003078EE"/>
    <w:rsid w:val="00307A39"/>
    <w:rsid w:val="00307A96"/>
    <w:rsid w:val="00307B35"/>
    <w:rsid w:val="00307FFB"/>
    <w:rsid w:val="00310A16"/>
    <w:rsid w:val="0031173E"/>
    <w:rsid w:val="00311DEC"/>
    <w:rsid w:val="00311E65"/>
    <w:rsid w:val="0031200D"/>
    <w:rsid w:val="00312882"/>
    <w:rsid w:val="00312B13"/>
    <w:rsid w:val="00313F2E"/>
    <w:rsid w:val="00314BA7"/>
    <w:rsid w:val="00314EEE"/>
    <w:rsid w:val="0031517D"/>
    <w:rsid w:val="00315986"/>
    <w:rsid w:val="00316799"/>
    <w:rsid w:val="00316AF5"/>
    <w:rsid w:val="00316DFF"/>
    <w:rsid w:val="003174D0"/>
    <w:rsid w:val="0031759C"/>
    <w:rsid w:val="00317A02"/>
    <w:rsid w:val="00320548"/>
    <w:rsid w:val="00320936"/>
    <w:rsid w:val="003209AD"/>
    <w:rsid w:val="00320ED8"/>
    <w:rsid w:val="003214AD"/>
    <w:rsid w:val="0032189D"/>
    <w:rsid w:val="00321995"/>
    <w:rsid w:val="00321FA9"/>
    <w:rsid w:val="003220B9"/>
    <w:rsid w:val="003222FD"/>
    <w:rsid w:val="0032301E"/>
    <w:rsid w:val="003235F8"/>
    <w:rsid w:val="00324899"/>
    <w:rsid w:val="00324BC5"/>
    <w:rsid w:val="00324F01"/>
    <w:rsid w:val="00325468"/>
    <w:rsid w:val="00325793"/>
    <w:rsid w:val="0032594A"/>
    <w:rsid w:val="00325968"/>
    <w:rsid w:val="00325C1E"/>
    <w:rsid w:val="0032696B"/>
    <w:rsid w:val="00326EA0"/>
    <w:rsid w:val="00327145"/>
    <w:rsid w:val="00327152"/>
    <w:rsid w:val="00327A08"/>
    <w:rsid w:val="00327C24"/>
    <w:rsid w:val="0033013D"/>
    <w:rsid w:val="003305BC"/>
    <w:rsid w:val="00331098"/>
    <w:rsid w:val="00331241"/>
    <w:rsid w:val="003314B4"/>
    <w:rsid w:val="0033172C"/>
    <w:rsid w:val="00331B3D"/>
    <w:rsid w:val="0033245A"/>
    <w:rsid w:val="00332B3F"/>
    <w:rsid w:val="0033348B"/>
    <w:rsid w:val="00333B29"/>
    <w:rsid w:val="003345B5"/>
    <w:rsid w:val="00334871"/>
    <w:rsid w:val="00334E19"/>
    <w:rsid w:val="003358F6"/>
    <w:rsid w:val="00336963"/>
    <w:rsid w:val="00336AD4"/>
    <w:rsid w:val="00336C9F"/>
    <w:rsid w:val="00336E3D"/>
    <w:rsid w:val="00337512"/>
    <w:rsid w:val="00337918"/>
    <w:rsid w:val="00337ACB"/>
    <w:rsid w:val="00337C1D"/>
    <w:rsid w:val="0034140B"/>
    <w:rsid w:val="00341612"/>
    <w:rsid w:val="0034202A"/>
    <w:rsid w:val="00342A1E"/>
    <w:rsid w:val="0034341A"/>
    <w:rsid w:val="00344A5C"/>
    <w:rsid w:val="003450C7"/>
    <w:rsid w:val="003452F5"/>
    <w:rsid w:val="003458EF"/>
    <w:rsid w:val="00345994"/>
    <w:rsid w:val="00345A28"/>
    <w:rsid w:val="003462A0"/>
    <w:rsid w:val="00346553"/>
    <w:rsid w:val="00346597"/>
    <w:rsid w:val="00346873"/>
    <w:rsid w:val="00346A5C"/>
    <w:rsid w:val="00347270"/>
    <w:rsid w:val="0034760C"/>
    <w:rsid w:val="00347709"/>
    <w:rsid w:val="00347A35"/>
    <w:rsid w:val="00347B82"/>
    <w:rsid w:val="00347E2D"/>
    <w:rsid w:val="00347F05"/>
    <w:rsid w:val="00347F4F"/>
    <w:rsid w:val="003504E4"/>
    <w:rsid w:val="00350719"/>
    <w:rsid w:val="003508B8"/>
    <w:rsid w:val="0035132B"/>
    <w:rsid w:val="00351889"/>
    <w:rsid w:val="00352860"/>
    <w:rsid w:val="00352BD5"/>
    <w:rsid w:val="0035318D"/>
    <w:rsid w:val="003535EB"/>
    <w:rsid w:val="00353790"/>
    <w:rsid w:val="00353A7A"/>
    <w:rsid w:val="00353DB5"/>
    <w:rsid w:val="00353ECA"/>
    <w:rsid w:val="00354C82"/>
    <w:rsid w:val="00354DE2"/>
    <w:rsid w:val="00354FA0"/>
    <w:rsid w:val="00355237"/>
    <w:rsid w:val="00355868"/>
    <w:rsid w:val="003558FC"/>
    <w:rsid w:val="00355CF2"/>
    <w:rsid w:val="00355E16"/>
    <w:rsid w:val="00355E44"/>
    <w:rsid w:val="003560C5"/>
    <w:rsid w:val="00357357"/>
    <w:rsid w:val="0036166F"/>
    <w:rsid w:val="0036185D"/>
    <w:rsid w:val="003619AA"/>
    <w:rsid w:val="0036240C"/>
    <w:rsid w:val="0036247E"/>
    <w:rsid w:val="003627BD"/>
    <w:rsid w:val="00362A6D"/>
    <w:rsid w:val="00362E05"/>
    <w:rsid w:val="0036327F"/>
    <w:rsid w:val="00363505"/>
    <w:rsid w:val="0036353D"/>
    <w:rsid w:val="00363942"/>
    <w:rsid w:val="00363BC0"/>
    <w:rsid w:val="003642E1"/>
    <w:rsid w:val="003648C5"/>
    <w:rsid w:val="00364CD2"/>
    <w:rsid w:val="00364D1C"/>
    <w:rsid w:val="00364F4E"/>
    <w:rsid w:val="00364F61"/>
    <w:rsid w:val="003656DA"/>
    <w:rsid w:val="00365BA4"/>
    <w:rsid w:val="00366B30"/>
    <w:rsid w:val="00366C53"/>
    <w:rsid w:val="003677C2"/>
    <w:rsid w:val="00367918"/>
    <w:rsid w:val="00370940"/>
    <w:rsid w:val="003711AD"/>
    <w:rsid w:val="00371225"/>
    <w:rsid w:val="003713F9"/>
    <w:rsid w:val="00371936"/>
    <w:rsid w:val="00371C41"/>
    <w:rsid w:val="00372C60"/>
    <w:rsid w:val="00372C81"/>
    <w:rsid w:val="00372D92"/>
    <w:rsid w:val="003733DD"/>
    <w:rsid w:val="00373730"/>
    <w:rsid w:val="00373EC7"/>
    <w:rsid w:val="00373EF3"/>
    <w:rsid w:val="0037415D"/>
    <w:rsid w:val="00374427"/>
    <w:rsid w:val="00374863"/>
    <w:rsid w:val="003751F0"/>
    <w:rsid w:val="00375581"/>
    <w:rsid w:val="0037644C"/>
    <w:rsid w:val="00376933"/>
    <w:rsid w:val="00376AE3"/>
    <w:rsid w:val="00376C65"/>
    <w:rsid w:val="00376D3A"/>
    <w:rsid w:val="00377AD9"/>
    <w:rsid w:val="00377DAF"/>
    <w:rsid w:val="00380E0B"/>
    <w:rsid w:val="00380EAF"/>
    <w:rsid w:val="003810B8"/>
    <w:rsid w:val="00381C16"/>
    <w:rsid w:val="003823DE"/>
    <w:rsid w:val="00382B31"/>
    <w:rsid w:val="0038302C"/>
    <w:rsid w:val="003832DD"/>
    <w:rsid w:val="003841F0"/>
    <w:rsid w:val="0038498B"/>
    <w:rsid w:val="0038540E"/>
    <w:rsid w:val="00385538"/>
    <w:rsid w:val="0038583F"/>
    <w:rsid w:val="00385E26"/>
    <w:rsid w:val="00386AD3"/>
    <w:rsid w:val="00386AF6"/>
    <w:rsid w:val="00386CB3"/>
    <w:rsid w:val="00387682"/>
    <w:rsid w:val="0038771D"/>
    <w:rsid w:val="003877A0"/>
    <w:rsid w:val="003879BC"/>
    <w:rsid w:val="003902AD"/>
    <w:rsid w:val="00390476"/>
    <w:rsid w:val="00390BF3"/>
    <w:rsid w:val="00390D72"/>
    <w:rsid w:val="00391041"/>
    <w:rsid w:val="00392079"/>
    <w:rsid w:val="003923E8"/>
    <w:rsid w:val="003924E8"/>
    <w:rsid w:val="0039263F"/>
    <w:rsid w:val="00392C6E"/>
    <w:rsid w:val="00392E82"/>
    <w:rsid w:val="00392FCC"/>
    <w:rsid w:val="00393004"/>
    <w:rsid w:val="00393A97"/>
    <w:rsid w:val="00394603"/>
    <w:rsid w:val="0039483E"/>
    <w:rsid w:val="00394B11"/>
    <w:rsid w:val="00394FB5"/>
    <w:rsid w:val="0039517D"/>
    <w:rsid w:val="003955FB"/>
    <w:rsid w:val="0039601C"/>
    <w:rsid w:val="0039632A"/>
    <w:rsid w:val="00396428"/>
    <w:rsid w:val="0039672C"/>
    <w:rsid w:val="0039713D"/>
    <w:rsid w:val="00397980"/>
    <w:rsid w:val="00397D53"/>
    <w:rsid w:val="00397EF1"/>
    <w:rsid w:val="003A0324"/>
    <w:rsid w:val="003A12CD"/>
    <w:rsid w:val="003A1695"/>
    <w:rsid w:val="003A2C14"/>
    <w:rsid w:val="003A2F0D"/>
    <w:rsid w:val="003A3070"/>
    <w:rsid w:val="003A3426"/>
    <w:rsid w:val="003A4BB7"/>
    <w:rsid w:val="003A4D23"/>
    <w:rsid w:val="003A5379"/>
    <w:rsid w:val="003A57B3"/>
    <w:rsid w:val="003A5987"/>
    <w:rsid w:val="003A5CF0"/>
    <w:rsid w:val="003A5E24"/>
    <w:rsid w:val="003A5F2C"/>
    <w:rsid w:val="003A6688"/>
    <w:rsid w:val="003A6762"/>
    <w:rsid w:val="003A6A94"/>
    <w:rsid w:val="003A6EC0"/>
    <w:rsid w:val="003A701F"/>
    <w:rsid w:val="003A76C7"/>
    <w:rsid w:val="003B07FF"/>
    <w:rsid w:val="003B0803"/>
    <w:rsid w:val="003B0824"/>
    <w:rsid w:val="003B0975"/>
    <w:rsid w:val="003B0AD2"/>
    <w:rsid w:val="003B13E3"/>
    <w:rsid w:val="003B1A5C"/>
    <w:rsid w:val="003B2150"/>
    <w:rsid w:val="003B28E4"/>
    <w:rsid w:val="003B2E47"/>
    <w:rsid w:val="003B2F3A"/>
    <w:rsid w:val="003B307F"/>
    <w:rsid w:val="003B3140"/>
    <w:rsid w:val="003B3736"/>
    <w:rsid w:val="003B3ABE"/>
    <w:rsid w:val="003B3B5D"/>
    <w:rsid w:val="003B3D06"/>
    <w:rsid w:val="003B4071"/>
    <w:rsid w:val="003B4FA2"/>
    <w:rsid w:val="003B4FA8"/>
    <w:rsid w:val="003B51A6"/>
    <w:rsid w:val="003B53EC"/>
    <w:rsid w:val="003B541E"/>
    <w:rsid w:val="003B5570"/>
    <w:rsid w:val="003B559F"/>
    <w:rsid w:val="003B55A1"/>
    <w:rsid w:val="003B561B"/>
    <w:rsid w:val="003B57DF"/>
    <w:rsid w:val="003B6075"/>
    <w:rsid w:val="003B67C5"/>
    <w:rsid w:val="003B7455"/>
    <w:rsid w:val="003B7918"/>
    <w:rsid w:val="003C002A"/>
    <w:rsid w:val="003C00F4"/>
    <w:rsid w:val="003C01AE"/>
    <w:rsid w:val="003C0582"/>
    <w:rsid w:val="003C0DFD"/>
    <w:rsid w:val="003C18AF"/>
    <w:rsid w:val="003C1995"/>
    <w:rsid w:val="003C1D27"/>
    <w:rsid w:val="003C20AC"/>
    <w:rsid w:val="003C2233"/>
    <w:rsid w:val="003C2262"/>
    <w:rsid w:val="003C26E1"/>
    <w:rsid w:val="003C2F62"/>
    <w:rsid w:val="003C33A8"/>
    <w:rsid w:val="003C33EA"/>
    <w:rsid w:val="003C392E"/>
    <w:rsid w:val="003C4444"/>
    <w:rsid w:val="003C4958"/>
    <w:rsid w:val="003C4DA8"/>
    <w:rsid w:val="003C51C9"/>
    <w:rsid w:val="003C5CEF"/>
    <w:rsid w:val="003C6587"/>
    <w:rsid w:val="003C6EE2"/>
    <w:rsid w:val="003C7227"/>
    <w:rsid w:val="003D0243"/>
    <w:rsid w:val="003D044A"/>
    <w:rsid w:val="003D0C67"/>
    <w:rsid w:val="003D0E0A"/>
    <w:rsid w:val="003D0FB3"/>
    <w:rsid w:val="003D139D"/>
    <w:rsid w:val="003D160E"/>
    <w:rsid w:val="003D1BEE"/>
    <w:rsid w:val="003D217E"/>
    <w:rsid w:val="003D2548"/>
    <w:rsid w:val="003D2578"/>
    <w:rsid w:val="003D2C43"/>
    <w:rsid w:val="003D3549"/>
    <w:rsid w:val="003D392F"/>
    <w:rsid w:val="003D3C76"/>
    <w:rsid w:val="003D46B0"/>
    <w:rsid w:val="003D48A0"/>
    <w:rsid w:val="003D4F08"/>
    <w:rsid w:val="003D5246"/>
    <w:rsid w:val="003D56DD"/>
    <w:rsid w:val="003D5B7F"/>
    <w:rsid w:val="003D5E5F"/>
    <w:rsid w:val="003D5F65"/>
    <w:rsid w:val="003D6683"/>
    <w:rsid w:val="003D6786"/>
    <w:rsid w:val="003D6B37"/>
    <w:rsid w:val="003D6DA0"/>
    <w:rsid w:val="003D7EA1"/>
    <w:rsid w:val="003E0186"/>
    <w:rsid w:val="003E0514"/>
    <w:rsid w:val="003E0914"/>
    <w:rsid w:val="003E09F6"/>
    <w:rsid w:val="003E15E6"/>
    <w:rsid w:val="003E1C2C"/>
    <w:rsid w:val="003E1D96"/>
    <w:rsid w:val="003E2600"/>
    <w:rsid w:val="003E288D"/>
    <w:rsid w:val="003E2C72"/>
    <w:rsid w:val="003E3736"/>
    <w:rsid w:val="003E37D4"/>
    <w:rsid w:val="003E39CB"/>
    <w:rsid w:val="003E3DD2"/>
    <w:rsid w:val="003E45B2"/>
    <w:rsid w:val="003E4B82"/>
    <w:rsid w:val="003E5178"/>
    <w:rsid w:val="003E563F"/>
    <w:rsid w:val="003E56C7"/>
    <w:rsid w:val="003E5F47"/>
    <w:rsid w:val="003E60B3"/>
    <w:rsid w:val="003E62E2"/>
    <w:rsid w:val="003E6B1E"/>
    <w:rsid w:val="003E6FE0"/>
    <w:rsid w:val="003E733A"/>
    <w:rsid w:val="003E7483"/>
    <w:rsid w:val="003E7645"/>
    <w:rsid w:val="003F06A5"/>
    <w:rsid w:val="003F0B70"/>
    <w:rsid w:val="003F0C39"/>
    <w:rsid w:val="003F1051"/>
    <w:rsid w:val="003F1950"/>
    <w:rsid w:val="003F1BE4"/>
    <w:rsid w:val="003F1D62"/>
    <w:rsid w:val="003F2869"/>
    <w:rsid w:val="003F310A"/>
    <w:rsid w:val="003F4C52"/>
    <w:rsid w:val="003F53A2"/>
    <w:rsid w:val="003F54AB"/>
    <w:rsid w:val="003F54B3"/>
    <w:rsid w:val="003F67C0"/>
    <w:rsid w:val="003F6E44"/>
    <w:rsid w:val="003F77CB"/>
    <w:rsid w:val="003F7E66"/>
    <w:rsid w:val="00400863"/>
    <w:rsid w:val="00400A6C"/>
    <w:rsid w:val="00401131"/>
    <w:rsid w:val="00401FCF"/>
    <w:rsid w:val="00402481"/>
    <w:rsid w:val="0040264D"/>
    <w:rsid w:val="00402825"/>
    <w:rsid w:val="00402FD0"/>
    <w:rsid w:val="004039E1"/>
    <w:rsid w:val="00403D80"/>
    <w:rsid w:val="00404455"/>
    <w:rsid w:val="004049B0"/>
    <w:rsid w:val="00404E74"/>
    <w:rsid w:val="00405638"/>
    <w:rsid w:val="00405745"/>
    <w:rsid w:val="004059A2"/>
    <w:rsid w:val="0040609E"/>
    <w:rsid w:val="004062F3"/>
    <w:rsid w:val="00406519"/>
    <w:rsid w:val="00406798"/>
    <w:rsid w:val="00406C44"/>
    <w:rsid w:val="00406DFD"/>
    <w:rsid w:val="004070AF"/>
    <w:rsid w:val="0041015C"/>
    <w:rsid w:val="0041022B"/>
    <w:rsid w:val="004108FD"/>
    <w:rsid w:val="00410CFB"/>
    <w:rsid w:val="00411152"/>
    <w:rsid w:val="00411471"/>
    <w:rsid w:val="0041153F"/>
    <w:rsid w:val="0041179C"/>
    <w:rsid w:val="00411A30"/>
    <w:rsid w:val="00412477"/>
    <w:rsid w:val="00413495"/>
    <w:rsid w:val="00413ABC"/>
    <w:rsid w:val="00413EE4"/>
    <w:rsid w:val="0041413E"/>
    <w:rsid w:val="004141D3"/>
    <w:rsid w:val="0041543E"/>
    <w:rsid w:val="00415D80"/>
    <w:rsid w:val="00415DF2"/>
    <w:rsid w:val="00415E42"/>
    <w:rsid w:val="0041797E"/>
    <w:rsid w:val="00417999"/>
    <w:rsid w:val="00420226"/>
    <w:rsid w:val="004202BA"/>
    <w:rsid w:val="00420598"/>
    <w:rsid w:val="004207EC"/>
    <w:rsid w:val="0042093D"/>
    <w:rsid w:val="004212E8"/>
    <w:rsid w:val="00421473"/>
    <w:rsid w:val="00421B23"/>
    <w:rsid w:val="00421E6C"/>
    <w:rsid w:val="00421F91"/>
    <w:rsid w:val="00422A02"/>
    <w:rsid w:val="00422B53"/>
    <w:rsid w:val="00422F33"/>
    <w:rsid w:val="0042346F"/>
    <w:rsid w:val="004234E1"/>
    <w:rsid w:val="00423DDE"/>
    <w:rsid w:val="004245C2"/>
    <w:rsid w:val="004250D9"/>
    <w:rsid w:val="00425102"/>
    <w:rsid w:val="00425A04"/>
    <w:rsid w:val="00425B01"/>
    <w:rsid w:val="00425B4C"/>
    <w:rsid w:val="00425B76"/>
    <w:rsid w:val="00425C57"/>
    <w:rsid w:val="00425DFB"/>
    <w:rsid w:val="00425F4E"/>
    <w:rsid w:val="004262C1"/>
    <w:rsid w:val="00426BD8"/>
    <w:rsid w:val="00426F90"/>
    <w:rsid w:val="00426FA7"/>
    <w:rsid w:val="004272F1"/>
    <w:rsid w:val="00427CA2"/>
    <w:rsid w:val="00427E3A"/>
    <w:rsid w:val="004306FA"/>
    <w:rsid w:val="00430765"/>
    <w:rsid w:val="0043084C"/>
    <w:rsid w:val="00431856"/>
    <w:rsid w:val="004322DF"/>
    <w:rsid w:val="00432F50"/>
    <w:rsid w:val="00433106"/>
    <w:rsid w:val="004334A5"/>
    <w:rsid w:val="00433ADF"/>
    <w:rsid w:val="00433D2B"/>
    <w:rsid w:val="004342EF"/>
    <w:rsid w:val="0043432C"/>
    <w:rsid w:val="00434700"/>
    <w:rsid w:val="00434B56"/>
    <w:rsid w:val="004353B1"/>
    <w:rsid w:val="004355E8"/>
    <w:rsid w:val="004359FB"/>
    <w:rsid w:val="00436203"/>
    <w:rsid w:val="00436306"/>
    <w:rsid w:val="00436651"/>
    <w:rsid w:val="0043695B"/>
    <w:rsid w:val="00437E65"/>
    <w:rsid w:val="00440117"/>
    <w:rsid w:val="004401F4"/>
    <w:rsid w:val="0044029C"/>
    <w:rsid w:val="004405CA"/>
    <w:rsid w:val="004406C9"/>
    <w:rsid w:val="004409C4"/>
    <w:rsid w:val="00440CCF"/>
    <w:rsid w:val="0044125B"/>
    <w:rsid w:val="00441864"/>
    <w:rsid w:val="00441EBE"/>
    <w:rsid w:val="00442591"/>
    <w:rsid w:val="004427F9"/>
    <w:rsid w:val="00442B9A"/>
    <w:rsid w:val="00442BCD"/>
    <w:rsid w:val="00442F6D"/>
    <w:rsid w:val="00443C21"/>
    <w:rsid w:val="00443C23"/>
    <w:rsid w:val="00444046"/>
    <w:rsid w:val="00444919"/>
    <w:rsid w:val="00444A21"/>
    <w:rsid w:val="0044545E"/>
    <w:rsid w:val="00445821"/>
    <w:rsid w:val="00445DCA"/>
    <w:rsid w:val="00445EEC"/>
    <w:rsid w:val="00446236"/>
    <w:rsid w:val="00446646"/>
    <w:rsid w:val="00446854"/>
    <w:rsid w:val="00446981"/>
    <w:rsid w:val="00447557"/>
    <w:rsid w:val="004475FA"/>
    <w:rsid w:val="0045000F"/>
    <w:rsid w:val="004504FC"/>
    <w:rsid w:val="00450529"/>
    <w:rsid w:val="00450670"/>
    <w:rsid w:val="00450F1A"/>
    <w:rsid w:val="00451E1B"/>
    <w:rsid w:val="00452102"/>
    <w:rsid w:val="0045255B"/>
    <w:rsid w:val="00452A8B"/>
    <w:rsid w:val="00453111"/>
    <w:rsid w:val="004536CB"/>
    <w:rsid w:val="0045390F"/>
    <w:rsid w:val="0045398A"/>
    <w:rsid w:val="00454067"/>
    <w:rsid w:val="004549FC"/>
    <w:rsid w:val="00454AE5"/>
    <w:rsid w:val="00454D8B"/>
    <w:rsid w:val="00455576"/>
    <w:rsid w:val="004558B9"/>
    <w:rsid w:val="004565A1"/>
    <w:rsid w:val="004566AE"/>
    <w:rsid w:val="004567FB"/>
    <w:rsid w:val="00456B17"/>
    <w:rsid w:val="0045733E"/>
    <w:rsid w:val="00457875"/>
    <w:rsid w:val="00457BBA"/>
    <w:rsid w:val="00457C87"/>
    <w:rsid w:val="00460FEB"/>
    <w:rsid w:val="00461220"/>
    <w:rsid w:val="004613DC"/>
    <w:rsid w:val="00461452"/>
    <w:rsid w:val="0046201F"/>
    <w:rsid w:val="00462305"/>
    <w:rsid w:val="0046241A"/>
    <w:rsid w:val="00462519"/>
    <w:rsid w:val="00462883"/>
    <w:rsid w:val="00462BBA"/>
    <w:rsid w:val="00462BDF"/>
    <w:rsid w:val="0046469F"/>
    <w:rsid w:val="00464797"/>
    <w:rsid w:val="004647EC"/>
    <w:rsid w:val="00464EFC"/>
    <w:rsid w:val="00465198"/>
    <w:rsid w:val="004657A8"/>
    <w:rsid w:val="004659C6"/>
    <w:rsid w:val="00465E52"/>
    <w:rsid w:val="00466639"/>
    <w:rsid w:val="0046676A"/>
    <w:rsid w:val="00466F28"/>
    <w:rsid w:val="004670A6"/>
    <w:rsid w:val="00467B58"/>
    <w:rsid w:val="00470E2C"/>
    <w:rsid w:val="004712E6"/>
    <w:rsid w:val="0047143A"/>
    <w:rsid w:val="004716B1"/>
    <w:rsid w:val="004718A2"/>
    <w:rsid w:val="00472141"/>
    <w:rsid w:val="004730D1"/>
    <w:rsid w:val="004732E0"/>
    <w:rsid w:val="0047359D"/>
    <w:rsid w:val="00473AE9"/>
    <w:rsid w:val="004741FF"/>
    <w:rsid w:val="00474222"/>
    <w:rsid w:val="00474232"/>
    <w:rsid w:val="00474D00"/>
    <w:rsid w:val="00474E94"/>
    <w:rsid w:val="004750F8"/>
    <w:rsid w:val="004762F3"/>
    <w:rsid w:val="00477482"/>
    <w:rsid w:val="0048030D"/>
    <w:rsid w:val="00480868"/>
    <w:rsid w:val="00480D20"/>
    <w:rsid w:val="0048120D"/>
    <w:rsid w:val="004812FF"/>
    <w:rsid w:val="00481B67"/>
    <w:rsid w:val="0048300F"/>
    <w:rsid w:val="0048305E"/>
    <w:rsid w:val="00483156"/>
    <w:rsid w:val="00483719"/>
    <w:rsid w:val="0048377F"/>
    <w:rsid w:val="00483ADF"/>
    <w:rsid w:val="00484337"/>
    <w:rsid w:val="004843C5"/>
    <w:rsid w:val="00484854"/>
    <w:rsid w:val="00485489"/>
    <w:rsid w:val="00485870"/>
    <w:rsid w:val="00485B2B"/>
    <w:rsid w:val="00485C7C"/>
    <w:rsid w:val="00485CE4"/>
    <w:rsid w:val="00486487"/>
    <w:rsid w:val="00486954"/>
    <w:rsid w:val="00486A27"/>
    <w:rsid w:val="0048713B"/>
    <w:rsid w:val="00490047"/>
    <w:rsid w:val="00490637"/>
    <w:rsid w:val="00491204"/>
    <w:rsid w:val="00491FF5"/>
    <w:rsid w:val="00492063"/>
    <w:rsid w:val="004925B6"/>
    <w:rsid w:val="0049260E"/>
    <w:rsid w:val="004936FB"/>
    <w:rsid w:val="00493736"/>
    <w:rsid w:val="004938F4"/>
    <w:rsid w:val="00494004"/>
    <w:rsid w:val="00494482"/>
    <w:rsid w:val="0049490E"/>
    <w:rsid w:val="004954F8"/>
    <w:rsid w:val="00495CEA"/>
    <w:rsid w:val="004960E5"/>
    <w:rsid w:val="004968AE"/>
    <w:rsid w:val="00496B23"/>
    <w:rsid w:val="00496EF1"/>
    <w:rsid w:val="00497129"/>
    <w:rsid w:val="00497D13"/>
    <w:rsid w:val="004A0359"/>
    <w:rsid w:val="004A058D"/>
    <w:rsid w:val="004A0860"/>
    <w:rsid w:val="004A0B25"/>
    <w:rsid w:val="004A10C9"/>
    <w:rsid w:val="004A1255"/>
    <w:rsid w:val="004A1A27"/>
    <w:rsid w:val="004A1E54"/>
    <w:rsid w:val="004A1FBE"/>
    <w:rsid w:val="004A2000"/>
    <w:rsid w:val="004A2099"/>
    <w:rsid w:val="004A2157"/>
    <w:rsid w:val="004A25A3"/>
    <w:rsid w:val="004A2BEC"/>
    <w:rsid w:val="004A2E84"/>
    <w:rsid w:val="004A2F4B"/>
    <w:rsid w:val="004A3039"/>
    <w:rsid w:val="004A36C8"/>
    <w:rsid w:val="004A377F"/>
    <w:rsid w:val="004A3D91"/>
    <w:rsid w:val="004A4028"/>
    <w:rsid w:val="004A4F42"/>
    <w:rsid w:val="004A5474"/>
    <w:rsid w:val="004A5624"/>
    <w:rsid w:val="004A5959"/>
    <w:rsid w:val="004A646B"/>
    <w:rsid w:val="004A6FFB"/>
    <w:rsid w:val="004A7013"/>
    <w:rsid w:val="004A7986"/>
    <w:rsid w:val="004A7B04"/>
    <w:rsid w:val="004B010A"/>
    <w:rsid w:val="004B194A"/>
    <w:rsid w:val="004B1BA7"/>
    <w:rsid w:val="004B1DCA"/>
    <w:rsid w:val="004B1ED6"/>
    <w:rsid w:val="004B207C"/>
    <w:rsid w:val="004B2627"/>
    <w:rsid w:val="004B264F"/>
    <w:rsid w:val="004B274E"/>
    <w:rsid w:val="004B28A5"/>
    <w:rsid w:val="004B2ADC"/>
    <w:rsid w:val="004B2DAB"/>
    <w:rsid w:val="004B35AE"/>
    <w:rsid w:val="004B3D97"/>
    <w:rsid w:val="004B4AAB"/>
    <w:rsid w:val="004B4E93"/>
    <w:rsid w:val="004B4F92"/>
    <w:rsid w:val="004B503D"/>
    <w:rsid w:val="004B5180"/>
    <w:rsid w:val="004B52E8"/>
    <w:rsid w:val="004B53C9"/>
    <w:rsid w:val="004B5424"/>
    <w:rsid w:val="004B549D"/>
    <w:rsid w:val="004B5AA7"/>
    <w:rsid w:val="004B5FC7"/>
    <w:rsid w:val="004B6210"/>
    <w:rsid w:val="004B64F5"/>
    <w:rsid w:val="004B650F"/>
    <w:rsid w:val="004B7051"/>
    <w:rsid w:val="004B7729"/>
    <w:rsid w:val="004C0021"/>
    <w:rsid w:val="004C08C6"/>
    <w:rsid w:val="004C15AA"/>
    <w:rsid w:val="004C1677"/>
    <w:rsid w:val="004C17DE"/>
    <w:rsid w:val="004C1D2C"/>
    <w:rsid w:val="004C1E29"/>
    <w:rsid w:val="004C1E3D"/>
    <w:rsid w:val="004C1F8B"/>
    <w:rsid w:val="004C2455"/>
    <w:rsid w:val="004C25E0"/>
    <w:rsid w:val="004C25EB"/>
    <w:rsid w:val="004C2A4E"/>
    <w:rsid w:val="004C2C41"/>
    <w:rsid w:val="004C2F52"/>
    <w:rsid w:val="004C2FD3"/>
    <w:rsid w:val="004C33B1"/>
    <w:rsid w:val="004C3F03"/>
    <w:rsid w:val="004C4674"/>
    <w:rsid w:val="004C4C10"/>
    <w:rsid w:val="004C4CA8"/>
    <w:rsid w:val="004C57F8"/>
    <w:rsid w:val="004C5924"/>
    <w:rsid w:val="004C6181"/>
    <w:rsid w:val="004C6425"/>
    <w:rsid w:val="004C6508"/>
    <w:rsid w:val="004C6635"/>
    <w:rsid w:val="004C6657"/>
    <w:rsid w:val="004C7397"/>
    <w:rsid w:val="004D00E5"/>
    <w:rsid w:val="004D02D5"/>
    <w:rsid w:val="004D0305"/>
    <w:rsid w:val="004D0413"/>
    <w:rsid w:val="004D09A3"/>
    <w:rsid w:val="004D18C4"/>
    <w:rsid w:val="004D1F85"/>
    <w:rsid w:val="004D22DE"/>
    <w:rsid w:val="004D2DE5"/>
    <w:rsid w:val="004D3C4C"/>
    <w:rsid w:val="004D4749"/>
    <w:rsid w:val="004D4993"/>
    <w:rsid w:val="004D52D1"/>
    <w:rsid w:val="004D5A8E"/>
    <w:rsid w:val="004D5F0F"/>
    <w:rsid w:val="004D7B13"/>
    <w:rsid w:val="004E071B"/>
    <w:rsid w:val="004E0EA3"/>
    <w:rsid w:val="004E0FF5"/>
    <w:rsid w:val="004E1147"/>
    <w:rsid w:val="004E1F13"/>
    <w:rsid w:val="004E3146"/>
    <w:rsid w:val="004E39FF"/>
    <w:rsid w:val="004E4889"/>
    <w:rsid w:val="004E53CE"/>
    <w:rsid w:val="004E6A11"/>
    <w:rsid w:val="004E70EB"/>
    <w:rsid w:val="004E71F8"/>
    <w:rsid w:val="004E755F"/>
    <w:rsid w:val="004E78AB"/>
    <w:rsid w:val="004F013C"/>
    <w:rsid w:val="004F0C37"/>
    <w:rsid w:val="004F0FB1"/>
    <w:rsid w:val="004F19AB"/>
    <w:rsid w:val="004F1A6B"/>
    <w:rsid w:val="004F1D79"/>
    <w:rsid w:val="004F20F5"/>
    <w:rsid w:val="004F3299"/>
    <w:rsid w:val="004F3E26"/>
    <w:rsid w:val="004F4308"/>
    <w:rsid w:val="004F4676"/>
    <w:rsid w:val="004F47EA"/>
    <w:rsid w:val="004F52F8"/>
    <w:rsid w:val="004F5530"/>
    <w:rsid w:val="004F5AA9"/>
    <w:rsid w:val="004F5E3B"/>
    <w:rsid w:val="004F5FBF"/>
    <w:rsid w:val="004F63F6"/>
    <w:rsid w:val="004F66A6"/>
    <w:rsid w:val="004F6DF6"/>
    <w:rsid w:val="004F78B0"/>
    <w:rsid w:val="004F78D6"/>
    <w:rsid w:val="0050016F"/>
    <w:rsid w:val="005002D8"/>
    <w:rsid w:val="00500519"/>
    <w:rsid w:val="005010A7"/>
    <w:rsid w:val="0050121C"/>
    <w:rsid w:val="0050152D"/>
    <w:rsid w:val="005020C0"/>
    <w:rsid w:val="00503666"/>
    <w:rsid w:val="00504392"/>
    <w:rsid w:val="005044C1"/>
    <w:rsid w:val="0050553C"/>
    <w:rsid w:val="00505728"/>
    <w:rsid w:val="00506101"/>
    <w:rsid w:val="00506351"/>
    <w:rsid w:val="00506FB0"/>
    <w:rsid w:val="005072D9"/>
    <w:rsid w:val="00507492"/>
    <w:rsid w:val="00507A02"/>
    <w:rsid w:val="0051009E"/>
    <w:rsid w:val="00510146"/>
    <w:rsid w:val="00510BCF"/>
    <w:rsid w:val="00510E0B"/>
    <w:rsid w:val="00511159"/>
    <w:rsid w:val="005117F0"/>
    <w:rsid w:val="00511C67"/>
    <w:rsid w:val="00512391"/>
    <w:rsid w:val="00512611"/>
    <w:rsid w:val="0051273E"/>
    <w:rsid w:val="00512AFB"/>
    <w:rsid w:val="00512B6B"/>
    <w:rsid w:val="005132B4"/>
    <w:rsid w:val="005133D8"/>
    <w:rsid w:val="005148E6"/>
    <w:rsid w:val="005151C4"/>
    <w:rsid w:val="00515E3A"/>
    <w:rsid w:val="00516287"/>
    <w:rsid w:val="00516916"/>
    <w:rsid w:val="0051692D"/>
    <w:rsid w:val="00516AD9"/>
    <w:rsid w:val="005175BE"/>
    <w:rsid w:val="00517A91"/>
    <w:rsid w:val="00517FE5"/>
    <w:rsid w:val="00520163"/>
    <w:rsid w:val="00520F65"/>
    <w:rsid w:val="00521BD2"/>
    <w:rsid w:val="00521CEA"/>
    <w:rsid w:val="00522CDB"/>
    <w:rsid w:val="00522EC2"/>
    <w:rsid w:val="005232F8"/>
    <w:rsid w:val="005233B1"/>
    <w:rsid w:val="0052390D"/>
    <w:rsid w:val="0052391F"/>
    <w:rsid w:val="00523D06"/>
    <w:rsid w:val="0052437C"/>
    <w:rsid w:val="0052455E"/>
    <w:rsid w:val="00524674"/>
    <w:rsid w:val="00524E2F"/>
    <w:rsid w:val="005253FC"/>
    <w:rsid w:val="0052549E"/>
    <w:rsid w:val="00525B27"/>
    <w:rsid w:val="00526173"/>
    <w:rsid w:val="005274D7"/>
    <w:rsid w:val="005279E0"/>
    <w:rsid w:val="00527DB7"/>
    <w:rsid w:val="0053016E"/>
    <w:rsid w:val="005305B8"/>
    <w:rsid w:val="00530C6A"/>
    <w:rsid w:val="005311C6"/>
    <w:rsid w:val="00531322"/>
    <w:rsid w:val="00531378"/>
    <w:rsid w:val="0053213B"/>
    <w:rsid w:val="00532B01"/>
    <w:rsid w:val="00533807"/>
    <w:rsid w:val="00533E81"/>
    <w:rsid w:val="0053455E"/>
    <w:rsid w:val="00534675"/>
    <w:rsid w:val="005349A9"/>
    <w:rsid w:val="00534C71"/>
    <w:rsid w:val="00534F0C"/>
    <w:rsid w:val="0053517D"/>
    <w:rsid w:val="0053676A"/>
    <w:rsid w:val="00536B69"/>
    <w:rsid w:val="00536E58"/>
    <w:rsid w:val="0053727F"/>
    <w:rsid w:val="0053735E"/>
    <w:rsid w:val="00537886"/>
    <w:rsid w:val="00537894"/>
    <w:rsid w:val="00537994"/>
    <w:rsid w:val="00537C3C"/>
    <w:rsid w:val="00540730"/>
    <w:rsid w:val="005412D1"/>
    <w:rsid w:val="005415F4"/>
    <w:rsid w:val="005416A7"/>
    <w:rsid w:val="005416B1"/>
    <w:rsid w:val="005416DB"/>
    <w:rsid w:val="00541969"/>
    <w:rsid w:val="00541E48"/>
    <w:rsid w:val="0054209D"/>
    <w:rsid w:val="0054286B"/>
    <w:rsid w:val="005430A2"/>
    <w:rsid w:val="0054372A"/>
    <w:rsid w:val="005447B6"/>
    <w:rsid w:val="00544C4A"/>
    <w:rsid w:val="00544C8D"/>
    <w:rsid w:val="005458D3"/>
    <w:rsid w:val="00545B8D"/>
    <w:rsid w:val="00546EFA"/>
    <w:rsid w:val="005478F9"/>
    <w:rsid w:val="00547B52"/>
    <w:rsid w:val="005506AB"/>
    <w:rsid w:val="00550951"/>
    <w:rsid w:val="00550AF8"/>
    <w:rsid w:val="00550CAA"/>
    <w:rsid w:val="00551882"/>
    <w:rsid w:val="005522AB"/>
    <w:rsid w:val="00552404"/>
    <w:rsid w:val="00552C79"/>
    <w:rsid w:val="0055313B"/>
    <w:rsid w:val="00553382"/>
    <w:rsid w:val="00553500"/>
    <w:rsid w:val="0055361D"/>
    <w:rsid w:val="00554153"/>
    <w:rsid w:val="00555E60"/>
    <w:rsid w:val="0055673D"/>
    <w:rsid w:val="005577FF"/>
    <w:rsid w:val="00557951"/>
    <w:rsid w:val="005603DB"/>
    <w:rsid w:val="00560976"/>
    <w:rsid w:val="005611A0"/>
    <w:rsid w:val="005621A7"/>
    <w:rsid w:val="0056228F"/>
    <w:rsid w:val="0056298C"/>
    <w:rsid w:val="00563C51"/>
    <w:rsid w:val="005648D4"/>
    <w:rsid w:val="00565730"/>
    <w:rsid w:val="00565B44"/>
    <w:rsid w:val="00565CD0"/>
    <w:rsid w:val="00565D81"/>
    <w:rsid w:val="00565F1C"/>
    <w:rsid w:val="005661EE"/>
    <w:rsid w:val="00566296"/>
    <w:rsid w:val="00566A81"/>
    <w:rsid w:val="00567395"/>
    <w:rsid w:val="00567E9D"/>
    <w:rsid w:val="00570464"/>
    <w:rsid w:val="005713D6"/>
    <w:rsid w:val="00571EB0"/>
    <w:rsid w:val="00572E54"/>
    <w:rsid w:val="00573970"/>
    <w:rsid w:val="00573AE2"/>
    <w:rsid w:val="00573E68"/>
    <w:rsid w:val="00574E29"/>
    <w:rsid w:val="00574E67"/>
    <w:rsid w:val="00575200"/>
    <w:rsid w:val="0057544C"/>
    <w:rsid w:val="005758B9"/>
    <w:rsid w:val="0057664F"/>
    <w:rsid w:val="00576D23"/>
    <w:rsid w:val="00576F4C"/>
    <w:rsid w:val="0057784D"/>
    <w:rsid w:val="00577AAB"/>
    <w:rsid w:val="00577B23"/>
    <w:rsid w:val="005805E1"/>
    <w:rsid w:val="0058062A"/>
    <w:rsid w:val="00580DD6"/>
    <w:rsid w:val="005810DD"/>
    <w:rsid w:val="00581B6B"/>
    <w:rsid w:val="00581FC5"/>
    <w:rsid w:val="00582915"/>
    <w:rsid w:val="00583982"/>
    <w:rsid w:val="00584069"/>
    <w:rsid w:val="00584595"/>
    <w:rsid w:val="00584817"/>
    <w:rsid w:val="00584B81"/>
    <w:rsid w:val="00584F1F"/>
    <w:rsid w:val="005851F2"/>
    <w:rsid w:val="00586478"/>
    <w:rsid w:val="005867DC"/>
    <w:rsid w:val="00586DBF"/>
    <w:rsid w:val="00587085"/>
    <w:rsid w:val="005876EA"/>
    <w:rsid w:val="00587ADF"/>
    <w:rsid w:val="00587B1F"/>
    <w:rsid w:val="00587CC5"/>
    <w:rsid w:val="00587F5F"/>
    <w:rsid w:val="00590290"/>
    <w:rsid w:val="00590F6C"/>
    <w:rsid w:val="00591050"/>
    <w:rsid w:val="00591731"/>
    <w:rsid w:val="00591992"/>
    <w:rsid w:val="005919F0"/>
    <w:rsid w:val="005922C8"/>
    <w:rsid w:val="00592CD5"/>
    <w:rsid w:val="00592F02"/>
    <w:rsid w:val="00593F60"/>
    <w:rsid w:val="005943AF"/>
    <w:rsid w:val="00594516"/>
    <w:rsid w:val="00594B0C"/>
    <w:rsid w:val="0059508C"/>
    <w:rsid w:val="0059615E"/>
    <w:rsid w:val="0059671E"/>
    <w:rsid w:val="00596D11"/>
    <w:rsid w:val="00596FED"/>
    <w:rsid w:val="0059758B"/>
    <w:rsid w:val="00597D54"/>
    <w:rsid w:val="00597D90"/>
    <w:rsid w:val="005A0AAC"/>
    <w:rsid w:val="005A0E28"/>
    <w:rsid w:val="005A1221"/>
    <w:rsid w:val="005A1784"/>
    <w:rsid w:val="005A2070"/>
    <w:rsid w:val="005A2A74"/>
    <w:rsid w:val="005A2AB8"/>
    <w:rsid w:val="005A47A6"/>
    <w:rsid w:val="005A48E8"/>
    <w:rsid w:val="005A4A10"/>
    <w:rsid w:val="005A5086"/>
    <w:rsid w:val="005A52FE"/>
    <w:rsid w:val="005A5528"/>
    <w:rsid w:val="005A5559"/>
    <w:rsid w:val="005A601B"/>
    <w:rsid w:val="005A70D2"/>
    <w:rsid w:val="005A7389"/>
    <w:rsid w:val="005A771E"/>
    <w:rsid w:val="005A7F41"/>
    <w:rsid w:val="005B05CD"/>
    <w:rsid w:val="005B0B31"/>
    <w:rsid w:val="005B0F43"/>
    <w:rsid w:val="005B15B5"/>
    <w:rsid w:val="005B28CF"/>
    <w:rsid w:val="005B2FBC"/>
    <w:rsid w:val="005B32C8"/>
    <w:rsid w:val="005B3813"/>
    <w:rsid w:val="005B3868"/>
    <w:rsid w:val="005B3964"/>
    <w:rsid w:val="005B3BE7"/>
    <w:rsid w:val="005B3DE5"/>
    <w:rsid w:val="005B4566"/>
    <w:rsid w:val="005B576F"/>
    <w:rsid w:val="005B6374"/>
    <w:rsid w:val="005B692D"/>
    <w:rsid w:val="005B6B3B"/>
    <w:rsid w:val="005B6D57"/>
    <w:rsid w:val="005B7083"/>
    <w:rsid w:val="005B70AA"/>
    <w:rsid w:val="005B7420"/>
    <w:rsid w:val="005B77E6"/>
    <w:rsid w:val="005B7B20"/>
    <w:rsid w:val="005B7BF9"/>
    <w:rsid w:val="005C04B5"/>
    <w:rsid w:val="005C05C4"/>
    <w:rsid w:val="005C0704"/>
    <w:rsid w:val="005C0BBE"/>
    <w:rsid w:val="005C0F76"/>
    <w:rsid w:val="005C1521"/>
    <w:rsid w:val="005C16B7"/>
    <w:rsid w:val="005C16D6"/>
    <w:rsid w:val="005C183E"/>
    <w:rsid w:val="005C1AB9"/>
    <w:rsid w:val="005C1F40"/>
    <w:rsid w:val="005C1FEB"/>
    <w:rsid w:val="005C223F"/>
    <w:rsid w:val="005C226E"/>
    <w:rsid w:val="005C23A2"/>
    <w:rsid w:val="005C2944"/>
    <w:rsid w:val="005C3030"/>
    <w:rsid w:val="005C30D1"/>
    <w:rsid w:val="005C3C23"/>
    <w:rsid w:val="005C3F2E"/>
    <w:rsid w:val="005C4A86"/>
    <w:rsid w:val="005C4BED"/>
    <w:rsid w:val="005C4F7D"/>
    <w:rsid w:val="005C4FE1"/>
    <w:rsid w:val="005C5BA4"/>
    <w:rsid w:val="005C5C4A"/>
    <w:rsid w:val="005C5C51"/>
    <w:rsid w:val="005C5F04"/>
    <w:rsid w:val="005C6550"/>
    <w:rsid w:val="005C66CE"/>
    <w:rsid w:val="005C6CE6"/>
    <w:rsid w:val="005C6F63"/>
    <w:rsid w:val="005C6FF6"/>
    <w:rsid w:val="005C77E0"/>
    <w:rsid w:val="005D0638"/>
    <w:rsid w:val="005D0C17"/>
    <w:rsid w:val="005D10B2"/>
    <w:rsid w:val="005D139E"/>
    <w:rsid w:val="005D17B9"/>
    <w:rsid w:val="005D1899"/>
    <w:rsid w:val="005D2177"/>
    <w:rsid w:val="005D2346"/>
    <w:rsid w:val="005D23B6"/>
    <w:rsid w:val="005D2471"/>
    <w:rsid w:val="005D3141"/>
    <w:rsid w:val="005D36F2"/>
    <w:rsid w:val="005D38E9"/>
    <w:rsid w:val="005D3C8C"/>
    <w:rsid w:val="005D3D2D"/>
    <w:rsid w:val="005D3DE5"/>
    <w:rsid w:val="005D4207"/>
    <w:rsid w:val="005D44DF"/>
    <w:rsid w:val="005D49A6"/>
    <w:rsid w:val="005D4DBD"/>
    <w:rsid w:val="005D4F9C"/>
    <w:rsid w:val="005D53CE"/>
    <w:rsid w:val="005D5738"/>
    <w:rsid w:val="005D65B1"/>
    <w:rsid w:val="005D774B"/>
    <w:rsid w:val="005E03EA"/>
    <w:rsid w:val="005E0490"/>
    <w:rsid w:val="005E0637"/>
    <w:rsid w:val="005E0736"/>
    <w:rsid w:val="005E09F0"/>
    <w:rsid w:val="005E0C9C"/>
    <w:rsid w:val="005E0CCE"/>
    <w:rsid w:val="005E0E94"/>
    <w:rsid w:val="005E10A3"/>
    <w:rsid w:val="005E1BD5"/>
    <w:rsid w:val="005E20A1"/>
    <w:rsid w:val="005E2265"/>
    <w:rsid w:val="005E2424"/>
    <w:rsid w:val="005E27D1"/>
    <w:rsid w:val="005E2F40"/>
    <w:rsid w:val="005E3002"/>
    <w:rsid w:val="005E3A05"/>
    <w:rsid w:val="005E3FC3"/>
    <w:rsid w:val="005E40D4"/>
    <w:rsid w:val="005E4414"/>
    <w:rsid w:val="005E4A55"/>
    <w:rsid w:val="005E4E55"/>
    <w:rsid w:val="005E4EB3"/>
    <w:rsid w:val="005E527F"/>
    <w:rsid w:val="005E58FD"/>
    <w:rsid w:val="005E591A"/>
    <w:rsid w:val="005E5A06"/>
    <w:rsid w:val="005E5D57"/>
    <w:rsid w:val="005E5EF9"/>
    <w:rsid w:val="005E6070"/>
    <w:rsid w:val="005E6378"/>
    <w:rsid w:val="005E6E56"/>
    <w:rsid w:val="005E723E"/>
    <w:rsid w:val="005E725C"/>
    <w:rsid w:val="005E77A2"/>
    <w:rsid w:val="005F01DA"/>
    <w:rsid w:val="005F101A"/>
    <w:rsid w:val="005F1315"/>
    <w:rsid w:val="005F136D"/>
    <w:rsid w:val="005F14FC"/>
    <w:rsid w:val="005F17D2"/>
    <w:rsid w:val="005F1883"/>
    <w:rsid w:val="005F188C"/>
    <w:rsid w:val="005F18B9"/>
    <w:rsid w:val="005F1B76"/>
    <w:rsid w:val="005F1BB1"/>
    <w:rsid w:val="005F1BE5"/>
    <w:rsid w:val="005F28F0"/>
    <w:rsid w:val="005F2A0A"/>
    <w:rsid w:val="005F2AC0"/>
    <w:rsid w:val="005F2CA9"/>
    <w:rsid w:val="005F38D2"/>
    <w:rsid w:val="005F3F24"/>
    <w:rsid w:val="005F4C45"/>
    <w:rsid w:val="005F4C64"/>
    <w:rsid w:val="005F5EA9"/>
    <w:rsid w:val="005F60C4"/>
    <w:rsid w:val="005F70E2"/>
    <w:rsid w:val="005F745D"/>
    <w:rsid w:val="005F7F7B"/>
    <w:rsid w:val="006000C3"/>
    <w:rsid w:val="00600F02"/>
    <w:rsid w:val="00601134"/>
    <w:rsid w:val="00601A30"/>
    <w:rsid w:val="00602BA0"/>
    <w:rsid w:val="00602DC3"/>
    <w:rsid w:val="00602E83"/>
    <w:rsid w:val="00603F0E"/>
    <w:rsid w:val="006041BC"/>
    <w:rsid w:val="006046D1"/>
    <w:rsid w:val="006048B7"/>
    <w:rsid w:val="00604A52"/>
    <w:rsid w:val="00604E8E"/>
    <w:rsid w:val="00605202"/>
    <w:rsid w:val="00605217"/>
    <w:rsid w:val="0060568F"/>
    <w:rsid w:val="00605C7B"/>
    <w:rsid w:val="00605D4F"/>
    <w:rsid w:val="0060651F"/>
    <w:rsid w:val="00606603"/>
    <w:rsid w:val="006068DD"/>
    <w:rsid w:val="00606E25"/>
    <w:rsid w:val="0060722C"/>
    <w:rsid w:val="006077D9"/>
    <w:rsid w:val="00607DFE"/>
    <w:rsid w:val="00607E97"/>
    <w:rsid w:val="00607F7E"/>
    <w:rsid w:val="006100AC"/>
    <w:rsid w:val="006100D6"/>
    <w:rsid w:val="00610C36"/>
    <w:rsid w:val="006110B4"/>
    <w:rsid w:val="0061175F"/>
    <w:rsid w:val="00611824"/>
    <w:rsid w:val="006120F6"/>
    <w:rsid w:val="006121F5"/>
    <w:rsid w:val="0061283C"/>
    <w:rsid w:val="00612849"/>
    <w:rsid w:val="00612957"/>
    <w:rsid w:val="00612C74"/>
    <w:rsid w:val="00612F7A"/>
    <w:rsid w:val="00613549"/>
    <w:rsid w:val="0061366F"/>
    <w:rsid w:val="00613865"/>
    <w:rsid w:val="006138E5"/>
    <w:rsid w:val="00613A03"/>
    <w:rsid w:val="00613DF5"/>
    <w:rsid w:val="00614389"/>
    <w:rsid w:val="006144C7"/>
    <w:rsid w:val="00614501"/>
    <w:rsid w:val="006145AE"/>
    <w:rsid w:val="006147B6"/>
    <w:rsid w:val="0061491D"/>
    <w:rsid w:val="00615042"/>
    <w:rsid w:val="00615BBA"/>
    <w:rsid w:val="006168CD"/>
    <w:rsid w:val="00616BDD"/>
    <w:rsid w:val="00616FF0"/>
    <w:rsid w:val="006172D1"/>
    <w:rsid w:val="00617BF8"/>
    <w:rsid w:val="00617E76"/>
    <w:rsid w:val="00620407"/>
    <w:rsid w:val="006206A4"/>
    <w:rsid w:val="00620C0F"/>
    <w:rsid w:val="00620E86"/>
    <w:rsid w:val="00620FEB"/>
    <w:rsid w:val="00621279"/>
    <w:rsid w:val="00621822"/>
    <w:rsid w:val="00624186"/>
    <w:rsid w:val="00624939"/>
    <w:rsid w:val="00625340"/>
    <w:rsid w:val="006254AD"/>
    <w:rsid w:val="00625AD5"/>
    <w:rsid w:val="00625E90"/>
    <w:rsid w:val="00625FE2"/>
    <w:rsid w:val="00626551"/>
    <w:rsid w:val="006266CA"/>
    <w:rsid w:val="0062697B"/>
    <w:rsid w:val="00626CE1"/>
    <w:rsid w:val="00627BD6"/>
    <w:rsid w:val="0063072A"/>
    <w:rsid w:val="00630B52"/>
    <w:rsid w:val="00630E59"/>
    <w:rsid w:val="006321C6"/>
    <w:rsid w:val="00632256"/>
    <w:rsid w:val="006324E2"/>
    <w:rsid w:val="006324EC"/>
    <w:rsid w:val="00632713"/>
    <w:rsid w:val="0063343E"/>
    <w:rsid w:val="006334D4"/>
    <w:rsid w:val="0063386C"/>
    <w:rsid w:val="00633D21"/>
    <w:rsid w:val="00633D6C"/>
    <w:rsid w:val="00633FB7"/>
    <w:rsid w:val="006340D2"/>
    <w:rsid w:val="00634351"/>
    <w:rsid w:val="006347AD"/>
    <w:rsid w:val="006348C8"/>
    <w:rsid w:val="006349A1"/>
    <w:rsid w:val="006352E5"/>
    <w:rsid w:val="0063535D"/>
    <w:rsid w:val="00637662"/>
    <w:rsid w:val="00637A64"/>
    <w:rsid w:val="00637F5C"/>
    <w:rsid w:val="00640164"/>
    <w:rsid w:val="00640292"/>
    <w:rsid w:val="00640723"/>
    <w:rsid w:val="00641358"/>
    <w:rsid w:val="00641447"/>
    <w:rsid w:val="0064161A"/>
    <w:rsid w:val="00642043"/>
    <w:rsid w:val="0064215B"/>
    <w:rsid w:val="00642784"/>
    <w:rsid w:val="00642A02"/>
    <w:rsid w:val="00642FDB"/>
    <w:rsid w:val="006432FB"/>
    <w:rsid w:val="00643585"/>
    <w:rsid w:val="0064382A"/>
    <w:rsid w:val="006442D9"/>
    <w:rsid w:val="006447BF"/>
    <w:rsid w:val="006450E3"/>
    <w:rsid w:val="00645156"/>
    <w:rsid w:val="00645782"/>
    <w:rsid w:val="00646108"/>
    <w:rsid w:val="00646641"/>
    <w:rsid w:val="00647415"/>
    <w:rsid w:val="006479D4"/>
    <w:rsid w:val="00647B4E"/>
    <w:rsid w:val="00647C71"/>
    <w:rsid w:val="00650017"/>
    <w:rsid w:val="00650F1F"/>
    <w:rsid w:val="0065166D"/>
    <w:rsid w:val="006516C1"/>
    <w:rsid w:val="00651910"/>
    <w:rsid w:val="00651A00"/>
    <w:rsid w:val="0065217B"/>
    <w:rsid w:val="00653286"/>
    <w:rsid w:val="00653A3F"/>
    <w:rsid w:val="00653B76"/>
    <w:rsid w:val="00653ED3"/>
    <w:rsid w:val="00654135"/>
    <w:rsid w:val="0065489C"/>
    <w:rsid w:val="006549A9"/>
    <w:rsid w:val="00654FDB"/>
    <w:rsid w:val="00654FF8"/>
    <w:rsid w:val="0065517E"/>
    <w:rsid w:val="00655DC5"/>
    <w:rsid w:val="00655E96"/>
    <w:rsid w:val="006560CE"/>
    <w:rsid w:val="0065636B"/>
    <w:rsid w:val="00656E8E"/>
    <w:rsid w:val="006574B6"/>
    <w:rsid w:val="006575DE"/>
    <w:rsid w:val="00660F84"/>
    <w:rsid w:val="006613E5"/>
    <w:rsid w:val="006615B8"/>
    <w:rsid w:val="00662008"/>
    <w:rsid w:val="0066211C"/>
    <w:rsid w:val="00662B5E"/>
    <w:rsid w:val="00662CB5"/>
    <w:rsid w:val="00663749"/>
    <w:rsid w:val="00663815"/>
    <w:rsid w:val="00663C99"/>
    <w:rsid w:val="00664E37"/>
    <w:rsid w:val="00665205"/>
    <w:rsid w:val="00665846"/>
    <w:rsid w:val="00666519"/>
    <w:rsid w:val="00666733"/>
    <w:rsid w:val="006670E4"/>
    <w:rsid w:val="006670EE"/>
    <w:rsid w:val="00667134"/>
    <w:rsid w:val="00667348"/>
    <w:rsid w:val="0066734D"/>
    <w:rsid w:val="006674CD"/>
    <w:rsid w:val="00667709"/>
    <w:rsid w:val="006678E4"/>
    <w:rsid w:val="006678F6"/>
    <w:rsid w:val="006702E3"/>
    <w:rsid w:val="006707BF"/>
    <w:rsid w:val="00671008"/>
    <w:rsid w:val="006710B4"/>
    <w:rsid w:val="00671255"/>
    <w:rsid w:val="006712C2"/>
    <w:rsid w:val="0067137A"/>
    <w:rsid w:val="0067179C"/>
    <w:rsid w:val="00671845"/>
    <w:rsid w:val="00671A39"/>
    <w:rsid w:val="006729F6"/>
    <w:rsid w:val="00672D20"/>
    <w:rsid w:val="00672F0D"/>
    <w:rsid w:val="0067356C"/>
    <w:rsid w:val="006737CA"/>
    <w:rsid w:val="006740DB"/>
    <w:rsid w:val="00675048"/>
    <w:rsid w:val="006751EF"/>
    <w:rsid w:val="00676205"/>
    <w:rsid w:val="006765C7"/>
    <w:rsid w:val="006765E5"/>
    <w:rsid w:val="0067662F"/>
    <w:rsid w:val="00676735"/>
    <w:rsid w:val="00677232"/>
    <w:rsid w:val="006778C9"/>
    <w:rsid w:val="00677934"/>
    <w:rsid w:val="00677AB4"/>
    <w:rsid w:val="00677C87"/>
    <w:rsid w:val="00680217"/>
    <w:rsid w:val="00680ADD"/>
    <w:rsid w:val="00680C1D"/>
    <w:rsid w:val="00680D12"/>
    <w:rsid w:val="00680EA1"/>
    <w:rsid w:val="00681748"/>
    <w:rsid w:val="00681AA6"/>
    <w:rsid w:val="00681E79"/>
    <w:rsid w:val="00681FD6"/>
    <w:rsid w:val="006823C1"/>
    <w:rsid w:val="00682BCF"/>
    <w:rsid w:val="00682C37"/>
    <w:rsid w:val="00683161"/>
    <w:rsid w:val="00683B18"/>
    <w:rsid w:val="00683D18"/>
    <w:rsid w:val="00684060"/>
    <w:rsid w:val="00684504"/>
    <w:rsid w:val="0068541C"/>
    <w:rsid w:val="006856F7"/>
    <w:rsid w:val="00685C0F"/>
    <w:rsid w:val="00685CD5"/>
    <w:rsid w:val="00685DBC"/>
    <w:rsid w:val="00685E41"/>
    <w:rsid w:val="006860CA"/>
    <w:rsid w:val="0068634F"/>
    <w:rsid w:val="00687CCC"/>
    <w:rsid w:val="00687E6A"/>
    <w:rsid w:val="006905DA"/>
    <w:rsid w:val="006906A9"/>
    <w:rsid w:val="0069070D"/>
    <w:rsid w:val="00690A39"/>
    <w:rsid w:val="00691362"/>
    <w:rsid w:val="0069137F"/>
    <w:rsid w:val="00691AB2"/>
    <w:rsid w:val="006927E0"/>
    <w:rsid w:val="00692C60"/>
    <w:rsid w:val="00692C62"/>
    <w:rsid w:val="00693B7E"/>
    <w:rsid w:val="0069440E"/>
    <w:rsid w:val="006944D8"/>
    <w:rsid w:val="0069465D"/>
    <w:rsid w:val="00694CC9"/>
    <w:rsid w:val="006955D5"/>
    <w:rsid w:val="00696105"/>
    <w:rsid w:val="006961AC"/>
    <w:rsid w:val="006961B9"/>
    <w:rsid w:val="006965EC"/>
    <w:rsid w:val="00696713"/>
    <w:rsid w:val="006967C6"/>
    <w:rsid w:val="00696CFD"/>
    <w:rsid w:val="00697BA5"/>
    <w:rsid w:val="006A00B4"/>
    <w:rsid w:val="006A165A"/>
    <w:rsid w:val="006A1C54"/>
    <w:rsid w:val="006A1E22"/>
    <w:rsid w:val="006A1FA6"/>
    <w:rsid w:val="006A25DB"/>
    <w:rsid w:val="006A2773"/>
    <w:rsid w:val="006A278E"/>
    <w:rsid w:val="006A363F"/>
    <w:rsid w:val="006A3645"/>
    <w:rsid w:val="006A3734"/>
    <w:rsid w:val="006A3D04"/>
    <w:rsid w:val="006A3ECC"/>
    <w:rsid w:val="006A43E3"/>
    <w:rsid w:val="006A454B"/>
    <w:rsid w:val="006A4B59"/>
    <w:rsid w:val="006A4EFD"/>
    <w:rsid w:val="006A56C2"/>
    <w:rsid w:val="006A58E0"/>
    <w:rsid w:val="006A65B2"/>
    <w:rsid w:val="006A6C40"/>
    <w:rsid w:val="006A6ED3"/>
    <w:rsid w:val="006A6EEB"/>
    <w:rsid w:val="006A70E2"/>
    <w:rsid w:val="006A77C4"/>
    <w:rsid w:val="006A7F7B"/>
    <w:rsid w:val="006B011D"/>
    <w:rsid w:val="006B0241"/>
    <w:rsid w:val="006B02FC"/>
    <w:rsid w:val="006B0D74"/>
    <w:rsid w:val="006B0E0E"/>
    <w:rsid w:val="006B1F13"/>
    <w:rsid w:val="006B20C2"/>
    <w:rsid w:val="006B215C"/>
    <w:rsid w:val="006B2214"/>
    <w:rsid w:val="006B254A"/>
    <w:rsid w:val="006B27EF"/>
    <w:rsid w:val="006B2C9B"/>
    <w:rsid w:val="006B2D33"/>
    <w:rsid w:val="006B3848"/>
    <w:rsid w:val="006B385B"/>
    <w:rsid w:val="006B3E0D"/>
    <w:rsid w:val="006B4A8E"/>
    <w:rsid w:val="006B4AB4"/>
    <w:rsid w:val="006B4CA6"/>
    <w:rsid w:val="006B51D7"/>
    <w:rsid w:val="006B698A"/>
    <w:rsid w:val="006B6EA3"/>
    <w:rsid w:val="006B6FEE"/>
    <w:rsid w:val="006B714E"/>
    <w:rsid w:val="006B721E"/>
    <w:rsid w:val="006B7940"/>
    <w:rsid w:val="006B7A7F"/>
    <w:rsid w:val="006C040C"/>
    <w:rsid w:val="006C0759"/>
    <w:rsid w:val="006C1013"/>
    <w:rsid w:val="006C1115"/>
    <w:rsid w:val="006C11EA"/>
    <w:rsid w:val="006C1415"/>
    <w:rsid w:val="006C1482"/>
    <w:rsid w:val="006C188E"/>
    <w:rsid w:val="006C1C84"/>
    <w:rsid w:val="006C252A"/>
    <w:rsid w:val="006C25C9"/>
    <w:rsid w:val="006C2813"/>
    <w:rsid w:val="006C2960"/>
    <w:rsid w:val="006C2C20"/>
    <w:rsid w:val="006C2FDE"/>
    <w:rsid w:val="006C35D9"/>
    <w:rsid w:val="006C4093"/>
    <w:rsid w:val="006C4612"/>
    <w:rsid w:val="006C4B2F"/>
    <w:rsid w:val="006C4B7F"/>
    <w:rsid w:val="006C58FD"/>
    <w:rsid w:val="006C5915"/>
    <w:rsid w:val="006C5E88"/>
    <w:rsid w:val="006C6715"/>
    <w:rsid w:val="006C7173"/>
    <w:rsid w:val="006C7860"/>
    <w:rsid w:val="006C7DEA"/>
    <w:rsid w:val="006D0528"/>
    <w:rsid w:val="006D0755"/>
    <w:rsid w:val="006D093E"/>
    <w:rsid w:val="006D1133"/>
    <w:rsid w:val="006D1A00"/>
    <w:rsid w:val="006D1AC9"/>
    <w:rsid w:val="006D304D"/>
    <w:rsid w:val="006D35E9"/>
    <w:rsid w:val="006D377F"/>
    <w:rsid w:val="006D3860"/>
    <w:rsid w:val="006D38EB"/>
    <w:rsid w:val="006D4121"/>
    <w:rsid w:val="006D468A"/>
    <w:rsid w:val="006D4763"/>
    <w:rsid w:val="006D4B52"/>
    <w:rsid w:val="006D53FA"/>
    <w:rsid w:val="006D5EE5"/>
    <w:rsid w:val="006D5FC5"/>
    <w:rsid w:val="006D645F"/>
    <w:rsid w:val="006D6765"/>
    <w:rsid w:val="006D67E3"/>
    <w:rsid w:val="006D70BF"/>
    <w:rsid w:val="006D70D8"/>
    <w:rsid w:val="006D7724"/>
    <w:rsid w:val="006D7A31"/>
    <w:rsid w:val="006E0C71"/>
    <w:rsid w:val="006E14B7"/>
    <w:rsid w:val="006E1668"/>
    <w:rsid w:val="006E20B2"/>
    <w:rsid w:val="006E32BA"/>
    <w:rsid w:val="006E33CC"/>
    <w:rsid w:val="006E3CFA"/>
    <w:rsid w:val="006E3D6A"/>
    <w:rsid w:val="006E4116"/>
    <w:rsid w:val="006E49C9"/>
    <w:rsid w:val="006E4B97"/>
    <w:rsid w:val="006E57A9"/>
    <w:rsid w:val="006E5E5E"/>
    <w:rsid w:val="006E62A3"/>
    <w:rsid w:val="006E62E0"/>
    <w:rsid w:val="006E719B"/>
    <w:rsid w:val="006E7369"/>
    <w:rsid w:val="006E7608"/>
    <w:rsid w:val="006E7967"/>
    <w:rsid w:val="006F0324"/>
    <w:rsid w:val="006F0C30"/>
    <w:rsid w:val="006F15D2"/>
    <w:rsid w:val="006F18F0"/>
    <w:rsid w:val="006F1BB0"/>
    <w:rsid w:val="006F23A4"/>
    <w:rsid w:val="006F2C31"/>
    <w:rsid w:val="006F2D8E"/>
    <w:rsid w:val="006F32C7"/>
    <w:rsid w:val="006F36AA"/>
    <w:rsid w:val="006F403A"/>
    <w:rsid w:val="006F4042"/>
    <w:rsid w:val="006F411B"/>
    <w:rsid w:val="006F47F5"/>
    <w:rsid w:val="006F54CB"/>
    <w:rsid w:val="006F5924"/>
    <w:rsid w:val="006F5C5F"/>
    <w:rsid w:val="006F7494"/>
    <w:rsid w:val="006F77B8"/>
    <w:rsid w:val="006F7AA0"/>
    <w:rsid w:val="006F7C5F"/>
    <w:rsid w:val="006F7FDE"/>
    <w:rsid w:val="007008F9"/>
    <w:rsid w:val="00700A8F"/>
    <w:rsid w:val="00700F6D"/>
    <w:rsid w:val="0070116C"/>
    <w:rsid w:val="00701937"/>
    <w:rsid w:val="00701D22"/>
    <w:rsid w:val="00701EBC"/>
    <w:rsid w:val="00702304"/>
    <w:rsid w:val="007029E1"/>
    <w:rsid w:val="00702C46"/>
    <w:rsid w:val="007032ED"/>
    <w:rsid w:val="00703B22"/>
    <w:rsid w:val="0070402F"/>
    <w:rsid w:val="00704072"/>
    <w:rsid w:val="0070426B"/>
    <w:rsid w:val="007056E9"/>
    <w:rsid w:val="007065FE"/>
    <w:rsid w:val="00706E24"/>
    <w:rsid w:val="007070CD"/>
    <w:rsid w:val="007071AE"/>
    <w:rsid w:val="00707486"/>
    <w:rsid w:val="00710307"/>
    <w:rsid w:val="007104C0"/>
    <w:rsid w:val="00710856"/>
    <w:rsid w:val="00711080"/>
    <w:rsid w:val="00711F3E"/>
    <w:rsid w:val="00712305"/>
    <w:rsid w:val="0071299C"/>
    <w:rsid w:val="00712F78"/>
    <w:rsid w:val="007130E7"/>
    <w:rsid w:val="007130F4"/>
    <w:rsid w:val="00713709"/>
    <w:rsid w:val="0071389C"/>
    <w:rsid w:val="00713CD9"/>
    <w:rsid w:val="00714787"/>
    <w:rsid w:val="007151B0"/>
    <w:rsid w:val="007153A8"/>
    <w:rsid w:val="007154E1"/>
    <w:rsid w:val="00715582"/>
    <w:rsid w:val="007157A7"/>
    <w:rsid w:val="00715BB3"/>
    <w:rsid w:val="00715BDA"/>
    <w:rsid w:val="00715ECA"/>
    <w:rsid w:val="00716152"/>
    <w:rsid w:val="00716517"/>
    <w:rsid w:val="007167C9"/>
    <w:rsid w:val="00716A03"/>
    <w:rsid w:val="00716D57"/>
    <w:rsid w:val="0071777C"/>
    <w:rsid w:val="0072062A"/>
    <w:rsid w:val="0072063F"/>
    <w:rsid w:val="00720984"/>
    <w:rsid w:val="00720C78"/>
    <w:rsid w:val="00720EDD"/>
    <w:rsid w:val="007216C8"/>
    <w:rsid w:val="007219B1"/>
    <w:rsid w:val="00721C08"/>
    <w:rsid w:val="007223FC"/>
    <w:rsid w:val="00722DC3"/>
    <w:rsid w:val="0072346C"/>
    <w:rsid w:val="00723DD3"/>
    <w:rsid w:val="00724A1C"/>
    <w:rsid w:val="00724F14"/>
    <w:rsid w:val="007250E8"/>
    <w:rsid w:val="007250EE"/>
    <w:rsid w:val="00725474"/>
    <w:rsid w:val="00725B41"/>
    <w:rsid w:val="00725B59"/>
    <w:rsid w:val="00725E28"/>
    <w:rsid w:val="00725E37"/>
    <w:rsid w:val="00726148"/>
    <w:rsid w:val="00726B36"/>
    <w:rsid w:val="00726B77"/>
    <w:rsid w:val="00726D47"/>
    <w:rsid w:val="0072709B"/>
    <w:rsid w:val="0073026C"/>
    <w:rsid w:val="0073076E"/>
    <w:rsid w:val="00730912"/>
    <w:rsid w:val="007312F4"/>
    <w:rsid w:val="00731B0D"/>
    <w:rsid w:val="00731C17"/>
    <w:rsid w:val="00731D72"/>
    <w:rsid w:val="007320E4"/>
    <w:rsid w:val="007327F2"/>
    <w:rsid w:val="00732F8B"/>
    <w:rsid w:val="00733246"/>
    <w:rsid w:val="007336FB"/>
    <w:rsid w:val="00733727"/>
    <w:rsid w:val="00733A1E"/>
    <w:rsid w:val="00733D27"/>
    <w:rsid w:val="007340FF"/>
    <w:rsid w:val="007341F0"/>
    <w:rsid w:val="00734318"/>
    <w:rsid w:val="007343A0"/>
    <w:rsid w:val="00734896"/>
    <w:rsid w:val="00734D12"/>
    <w:rsid w:val="00734F8D"/>
    <w:rsid w:val="007361A9"/>
    <w:rsid w:val="0073678E"/>
    <w:rsid w:val="00736829"/>
    <w:rsid w:val="00736861"/>
    <w:rsid w:val="00736968"/>
    <w:rsid w:val="00736F19"/>
    <w:rsid w:val="007404D9"/>
    <w:rsid w:val="007406D1"/>
    <w:rsid w:val="00740C4F"/>
    <w:rsid w:val="0074127D"/>
    <w:rsid w:val="007414FC"/>
    <w:rsid w:val="007416B2"/>
    <w:rsid w:val="007418FD"/>
    <w:rsid w:val="00742690"/>
    <w:rsid w:val="00742B13"/>
    <w:rsid w:val="007433D7"/>
    <w:rsid w:val="007433F4"/>
    <w:rsid w:val="00743C06"/>
    <w:rsid w:val="00744136"/>
    <w:rsid w:val="00744D5A"/>
    <w:rsid w:val="0074565A"/>
    <w:rsid w:val="007463AB"/>
    <w:rsid w:val="007466EF"/>
    <w:rsid w:val="007477CF"/>
    <w:rsid w:val="00750BE3"/>
    <w:rsid w:val="00751694"/>
    <w:rsid w:val="00751C81"/>
    <w:rsid w:val="0075236F"/>
    <w:rsid w:val="007538A7"/>
    <w:rsid w:val="0075396F"/>
    <w:rsid w:val="00753B61"/>
    <w:rsid w:val="00753CC6"/>
    <w:rsid w:val="00753FB4"/>
    <w:rsid w:val="0075583F"/>
    <w:rsid w:val="00756C45"/>
    <w:rsid w:val="007574B2"/>
    <w:rsid w:val="00757A28"/>
    <w:rsid w:val="00757AC6"/>
    <w:rsid w:val="00760112"/>
    <w:rsid w:val="007604EC"/>
    <w:rsid w:val="007607F3"/>
    <w:rsid w:val="00760A85"/>
    <w:rsid w:val="00761ADF"/>
    <w:rsid w:val="007622B2"/>
    <w:rsid w:val="00762CC3"/>
    <w:rsid w:val="0076312E"/>
    <w:rsid w:val="007633A5"/>
    <w:rsid w:val="0076373A"/>
    <w:rsid w:val="007637B7"/>
    <w:rsid w:val="007646D5"/>
    <w:rsid w:val="007653BD"/>
    <w:rsid w:val="00765891"/>
    <w:rsid w:val="00766296"/>
    <w:rsid w:val="007665C9"/>
    <w:rsid w:val="00766A23"/>
    <w:rsid w:val="007672B4"/>
    <w:rsid w:val="00770279"/>
    <w:rsid w:val="007705BD"/>
    <w:rsid w:val="00770B36"/>
    <w:rsid w:val="00771599"/>
    <w:rsid w:val="00771DB8"/>
    <w:rsid w:val="007727F8"/>
    <w:rsid w:val="0077282C"/>
    <w:rsid w:val="00772852"/>
    <w:rsid w:val="00772E01"/>
    <w:rsid w:val="007730A8"/>
    <w:rsid w:val="00773B81"/>
    <w:rsid w:val="0077426C"/>
    <w:rsid w:val="0077555A"/>
    <w:rsid w:val="007758C1"/>
    <w:rsid w:val="0077590A"/>
    <w:rsid w:val="0077645B"/>
    <w:rsid w:val="00776957"/>
    <w:rsid w:val="007769BD"/>
    <w:rsid w:val="00776F7C"/>
    <w:rsid w:val="007770D5"/>
    <w:rsid w:val="00777148"/>
    <w:rsid w:val="007771DA"/>
    <w:rsid w:val="00777955"/>
    <w:rsid w:val="00780160"/>
    <w:rsid w:val="00780312"/>
    <w:rsid w:val="00780937"/>
    <w:rsid w:val="00781296"/>
    <w:rsid w:val="007823B8"/>
    <w:rsid w:val="00782B97"/>
    <w:rsid w:val="00782CA9"/>
    <w:rsid w:val="00783FC9"/>
    <w:rsid w:val="00785B2E"/>
    <w:rsid w:val="007862BD"/>
    <w:rsid w:val="00786663"/>
    <w:rsid w:val="00786A54"/>
    <w:rsid w:val="00786BB9"/>
    <w:rsid w:val="00786F40"/>
    <w:rsid w:val="0079072D"/>
    <w:rsid w:val="0079113A"/>
    <w:rsid w:val="00791A27"/>
    <w:rsid w:val="00792143"/>
    <w:rsid w:val="00792171"/>
    <w:rsid w:val="007921B8"/>
    <w:rsid w:val="00792AD5"/>
    <w:rsid w:val="00793D2B"/>
    <w:rsid w:val="00793F1F"/>
    <w:rsid w:val="007940D1"/>
    <w:rsid w:val="0079421E"/>
    <w:rsid w:val="0079512A"/>
    <w:rsid w:val="00795878"/>
    <w:rsid w:val="00795924"/>
    <w:rsid w:val="00795A84"/>
    <w:rsid w:val="00795C73"/>
    <w:rsid w:val="00796104"/>
    <w:rsid w:val="00796442"/>
    <w:rsid w:val="00796496"/>
    <w:rsid w:val="007970D5"/>
    <w:rsid w:val="00797255"/>
    <w:rsid w:val="007977B7"/>
    <w:rsid w:val="007977E1"/>
    <w:rsid w:val="00797EF8"/>
    <w:rsid w:val="007A01DE"/>
    <w:rsid w:val="007A0D94"/>
    <w:rsid w:val="007A0FBB"/>
    <w:rsid w:val="007A287F"/>
    <w:rsid w:val="007A29CE"/>
    <w:rsid w:val="007A2A8A"/>
    <w:rsid w:val="007A2FEF"/>
    <w:rsid w:val="007A323A"/>
    <w:rsid w:val="007A3483"/>
    <w:rsid w:val="007A3725"/>
    <w:rsid w:val="007A3E20"/>
    <w:rsid w:val="007A5EF5"/>
    <w:rsid w:val="007A60EE"/>
    <w:rsid w:val="007A65A1"/>
    <w:rsid w:val="007A6928"/>
    <w:rsid w:val="007A7278"/>
    <w:rsid w:val="007A72CD"/>
    <w:rsid w:val="007B0396"/>
    <w:rsid w:val="007B0795"/>
    <w:rsid w:val="007B0BA0"/>
    <w:rsid w:val="007B14E9"/>
    <w:rsid w:val="007B1781"/>
    <w:rsid w:val="007B193E"/>
    <w:rsid w:val="007B20E0"/>
    <w:rsid w:val="007B2A5C"/>
    <w:rsid w:val="007B2AA4"/>
    <w:rsid w:val="007B2D81"/>
    <w:rsid w:val="007B3155"/>
    <w:rsid w:val="007B3539"/>
    <w:rsid w:val="007B38B6"/>
    <w:rsid w:val="007B3A2B"/>
    <w:rsid w:val="007B4420"/>
    <w:rsid w:val="007B4965"/>
    <w:rsid w:val="007B4A34"/>
    <w:rsid w:val="007B56D3"/>
    <w:rsid w:val="007B5E5A"/>
    <w:rsid w:val="007B6680"/>
    <w:rsid w:val="007B6747"/>
    <w:rsid w:val="007B6C6A"/>
    <w:rsid w:val="007B7391"/>
    <w:rsid w:val="007B78A1"/>
    <w:rsid w:val="007B7948"/>
    <w:rsid w:val="007B7968"/>
    <w:rsid w:val="007C02A8"/>
    <w:rsid w:val="007C0A66"/>
    <w:rsid w:val="007C0FE0"/>
    <w:rsid w:val="007C1AA2"/>
    <w:rsid w:val="007C1CBF"/>
    <w:rsid w:val="007C2274"/>
    <w:rsid w:val="007C3042"/>
    <w:rsid w:val="007C38BD"/>
    <w:rsid w:val="007C420E"/>
    <w:rsid w:val="007C5296"/>
    <w:rsid w:val="007C5590"/>
    <w:rsid w:val="007C5D2D"/>
    <w:rsid w:val="007C5DC6"/>
    <w:rsid w:val="007C6E1F"/>
    <w:rsid w:val="007C71E9"/>
    <w:rsid w:val="007C7746"/>
    <w:rsid w:val="007C77D3"/>
    <w:rsid w:val="007C7BD6"/>
    <w:rsid w:val="007D01FF"/>
    <w:rsid w:val="007D060F"/>
    <w:rsid w:val="007D0739"/>
    <w:rsid w:val="007D0878"/>
    <w:rsid w:val="007D14E5"/>
    <w:rsid w:val="007D1FA7"/>
    <w:rsid w:val="007D231A"/>
    <w:rsid w:val="007D242C"/>
    <w:rsid w:val="007D2553"/>
    <w:rsid w:val="007D28DE"/>
    <w:rsid w:val="007D322E"/>
    <w:rsid w:val="007D39D9"/>
    <w:rsid w:val="007D3AB4"/>
    <w:rsid w:val="007D3F2A"/>
    <w:rsid w:val="007D4029"/>
    <w:rsid w:val="007D47F4"/>
    <w:rsid w:val="007D51AD"/>
    <w:rsid w:val="007D5646"/>
    <w:rsid w:val="007D5BE7"/>
    <w:rsid w:val="007D6726"/>
    <w:rsid w:val="007D7270"/>
    <w:rsid w:val="007D7AE8"/>
    <w:rsid w:val="007E05EC"/>
    <w:rsid w:val="007E09C5"/>
    <w:rsid w:val="007E16B8"/>
    <w:rsid w:val="007E210A"/>
    <w:rsid w:val="007E25E6"/>
    <w:rsid w:val="007E28CF"/>
    <w:rsid w:val="007E318B"/>
    <w:rsid w:val="007E32B8"/>
    <w:rsid w:val="007E32F5"/>
    <w:rsid w:val="007E3664"/>
    <w:rsid w:val="007E3C04"/>
    <w:rsid w:val="007E3D24"/>
    <w:rsid w:val="007E3DAA"/>
    <w:rsid w:val="007E3EAC"/>
    <w:rsid w:val="007E3F06"/>
    <w:rsid w:val="007E4089"/>
    <w:rsid w:val="007E413B"/>
    <w:rsid w:val="007E4470"/>
    <w:rsid w:val="007E48EE"/>
    <w:rsid w:val="007E4F45"/>
    <w:rsid w:val="007E515F"/>
    <w:rsid w:val="007E54DD"/>
    <w:rsid w:val="007E5FF9"/>
    <w:rsid w:val="007E6A62"/>
    <w:rsid w:val="007E7055"/>
    <w:rsid w:val="007E72FC"/>
    <w:rsid w:val="007E7499"/>
    <w:rsid w:val="007F03F2"/>
    <w:rsid w:val="007F0C90"/>
    <w:rsid w:val="007F0D17"/>
    <w:rsid w:val="007F1493"/>
    <w:rsid w:val="007F1580"/>
    <w:rsid w:val="007F17C4"/>
    <w:rsid w:val="007F26FD"/>
    <w:rsid w:val="007F29C6"/>
    <w:rsid w:val="007F327B"/>
    <w:rsid w:val="007F38D6"/>
    <w:rsid w:val="007F3CD6"/>
    <w:rsid w:val="007F3F75"/>
    <w:rsid w:val="007F4F46"/>
    <w:rsid w:val="007F5055"/>
    <w:rsid w:val="007F686E"/>
    <w:rsid w:val="007F6BEA"/>
    <w:rsid w:val="007F6E1C"/>
    <w:rsid w:val="007F7259"/>
    <w:rsid w:val="007F7315"/>
    <w:rsid w:val="00800848"/>
    <w:rsid w:val="0080214A"/>
    <w:rsid w:val="0080290F"/>
    <w:rsid w:val="00802D43"/>
    <w:rsid w:val="00803038"/>
    <w:rsid w:val="008033BC"/>
    <w:rsid w:val="0080351B"/>
    <w:rsid w:val="008037E2"/>
    <w:rsid w:val="00803824"/>
    <w:rsid w:val="00803C47"/>
    <w:rsid w:val="0080437C"/>
    <w:rsid w:val="0080448E"/>
    <w:rsid w:val="0080541B"/>
    <w:rsid w:val="008054CF"/>
    <w:rsid w:val="008055DD"/>
    <w:rsid w:val="0080594B"/>
    <w:rsid w:val="00805A54"/>
    <w:rsid w:val="00805C4D"/>
    <w:rsid w:val="008061AD"/>
    <w:rsid w:val="00806963"/>
    <w:rsid w:val="00807266"/>
    <w:rsid w:val="008105E5"/>
    <w:rsid w:val="00810638"/>
    <w:rsid w:val="00811223"/>
    <w:rsid w:val="00811283"/>
    <w:rsid w:val="0081135B"/>
    <w:rsid w:val="00811E4D"/>
    <w:rsid w:val="00811E6A"/>
    <w:rsid w:val="00812784"/>
    <w:rsid w:val="00812E1C"/>
    <w:rsid w:val="00812E79"/>
    <w:rsid w:val="00812F14"/>
    <w:rsid w:val="00813F3C"/>
    <w:rsid w:val="008146D5"/>
    <w:rsid w:val="00814A36"/>
    <w:rsid w:val="00814FEC"/>
    <w:rsid w:val="0081564D"/>
    <w:rsid w:val="00815960"/>
    <w:rsid w:val="00815BDF"/>
    <w:rsid w:val="00815DA4"/>
    <w:rsid w:val="008178CC"/>
    <w:rsid w:val="0082067F"/>
    <w:rsid w:val="00820A06"/>
    <w:rsid w:val="008210AC"/>
    <w:rsid w:val="00822B38"/>
    <w:rsid w:val="00822D0E"/>
    <w:rsid w:val="008232E7"/>
    <w:rsid w:val="00823475"/>
    <w:rsid w:val="0082384D"/>
    <w:rsid w:val="00823D0D"/>
    <w:rsid w:val="00823DB7"/>
    <w:rsid w:val="008247E7"/>
    <w:rsid w:val="00824A9E"/>
    <w:rsid w:val="00824BFE"/>
    <w:rsid w:val="00825757"/>
    <w:rsid w:val="008259F8"/>
    <w:rsid w:val="00825B4F"/>
    <w:rsid w:val="00825C3D"/>
    <w:rsid w:val="00825D2E"/>
    <w:rsid w:val="00826075"/>
    <w:rsid w:val="00826FC8"/>
    <w:rsid w:val="0082711B"/>
    <w:rsid w:val="0082799E"/>
    <w:rsid w:val="00827D0B"/>
    <w:rsid w:val="008303CE"/>
    <w:rsid w:val="00830BA5"/>
    <w:rsid w:val="00830F23"/>
    <w:rsid w:val="00830F67"/>
    <w:rsid w:val="008313BF"/>
    <w:rsid w:val="00831904"/>
    <w:rsid w:val="008325AD"/>
    <w:rsid w:val="00832B0D"/>
    <w:rsid w:val="00832BB0"/>
    <w:rsid w:val="00832E6B"/>
    <w:rsid w:val="008330F4"/>
    <w:rsid w:val="0083337C"/>
    <w:rsid w:val="008334BB"/>
    <w:rsid w:val="00833DBC"/>
    <w:rsid w:val="008340A3"/>
    <w:rsid w:val="008341F6"/>
    <w:rsid w:val="00834700"/>
    <w:rsid w:val="008347AD"/>
    <w:rsid w:val="00834BF0"/>
    <w:rsid w:val="0083508E"/>
    <w:rsid w:val="008352F0"/>
    <w:rsid w:val="008357D8"/>
    <w:rsid w:val="0083616C"/>
    <w:rsid w:val="0083647A"/>
    <w:rsid w:val="00836669"/>
    <w:rsid w:val="00836E44"/>
    <w:rsid w:val="00836FC5"/>
    <w:rsid w:val="0083739E"/>
    <w:rsid w:val="00837738"/>
    <w:rsid w:val="00841544"/>
    <w:rsid w:val="00841571"/>
    <w:rsid w:val="008418AA"/>
    <w:rsid w:val="00842224"/>
    <w:rsid w:val="008427C3"/>
    <w:rsid w:val="00842BBC"/>
    <w:rsid w:val="00843405"/>
    <w:rsid w:val="008437F6"/>
    <w:rsid w:val="00843C60"/>
    <w:rsid w:val="00843F39"/>
    <w:rsid w:val="0084450F"/>
    <w:rsid w:val="00844515"/>
    <w:rsid w:val="00844C1C"/>
    <w:rsid w:val="00844D1A"/>
    <w:rsid w:val="0084546B"/>
    <w:rsid w:val="00845C56"/>
    <w:rsid w:val="00845DF1"/>
    <w:rsid w:val="0084626E"/>
    <w:rsid w:val="00846CA5"/>
    <w:rsid w:val="00846E82"/>
    <w:rsid w:val="00847354"/>
    <w:rsid w:val="00847574"/>
    <w:rsid w:val="00847CC1"/>
    <w:rsid w:val="00847D30"/>
    <w:rsid w:val="00850089"/>
    <w:rsid w:val="008502E5"/>
    <w:rsid w:val="00850301"/>
    <w:rsid w:val="008508B1"/>
    <w:rsid w:val="00850BE8"/>
    <w:rsid w:val="00850C07"/>
    <w:rsid w:val="00850C24"/>
    <w:rsid w:val="00850D87"/>
    <w:rsid w:val="00850FC0"/>
    <w:rsid w:val="00851FA4"/>
    <w:rsid w:val="008521D7"/>
    <w:rsid w:val="008527F0"/>
    <w:rsid w:val="008528F6"/>
    <w:rsid w:val="008529E4"/>
    <w:rsid w:val="00852B0B"/>
    <w:rsid w:val="00852D61"/>
    <w:rsid w:val="00853B64"/>
    <w:rsid w:val="00853BF3"/>
    <w:rsid w:val="00854047"/>
    <w:rsid w:val="0085414B"/>
    <w:rsid w:val="00854273"/>
    <w:rsid w:val="00854293"/>
    <w:rsid w:val="008544BA"/>
    <w:rsid w:val="00855915"/>
    <w:rsid w:val="00856113"/>
    <w:rsid w:val="008569B4"/>
    <w:rsid w:val="00856E9D"/>
    <w:rsid w:val="00856EDE"/>
    <w:rsid w:val="0085703F"/>
    <w:rsid w:val="00857126"/>
    <w:rsid w:val="00857736"/>
    <w:rsid w:val="00857CBA"/>
    <w:rsid w:val="00857D07"/>
    <w:rsid w:val="00860524"/>
    <w:rsid w:val="0086094A"/>
    <w:rsid w:val="008613DA"/>
    <w:rsid w:val="008617A6"/>
    <w:rsid w:val="00861837"/>
    <w:rsid w:val="008619E9"/>
    <w:rsid w:val="00861C4F"/>
    <w:rsid w:val="00861D71"/>
    <w:rsid w:val="00861E01"/>
    <w:rsid w:val="00862360"/>
    <w:rsid w:val="0086245E"/>
    <w:rsid w:val="0086248F"/>
    <w:rsid w:val="00862558"/>
    <w:rsid w:val="00862BA9"/>
    <w:rsid w:val="00863D95"/>
    <w:rsid w:val="00863E7C"/>
    <w:rsid w:val="00864233"/>
    <w:rsid w:val="00864D09"/>
    <w:rsid w:val="00865964"/>
    <w:rsid w:val="0086631C"/>
    <w:rsid w:val="00866902"/>
    <w:rsid w:val="00866E09"/>
    <w:rsid w:val="00867253"/>
    <w:rsid w:val="008672C5"/>
    <w:rsid w:val="008673CA"/>
    <w:rsid w:val="00867B60"/>
    <w:rsid w:val="00870050"/>
    <w:rsid w:val="0087020B"/>
    <w:rsid w:val="00870784"/>
    <w:rsid w:val="00871451"/>
    <w:rsid w:val="00871DF3"/>
    <w:rsid w:val="00872595"/>
    <w:rsid w:val="008726F5"/>
    <w:rsid w:val="00872C96"/>
    <w:rsid w:val="008734D4"/>
    <w:rsid w:val="00873505"/>
    <w:rsid w:val="008738C0"/>
    <w:rsid w:val="0087435B"/>
    <w:rsid w:val="00874AAD"/>
    <w:rsid w:val="00874BE6"/>
    <w:rsid w:val="00875156"/>
    <w:rsid w:val="00875519"/>
    <w:rsid w:val="0087572D"/>
    <w:rsid w:val="00875931"/>
    <w:rsid w:val="00875AA4"/>
    <w:rsid w:val="0087604B"/>
    <w:rsid w:val="00876066"/>
    <w:rsid w:val="00876DD7"/>
    <w:rsid w:val="00877647"/>
    <w:rsid w:val="00877AFD"/>
    <w:rsid w:val="00877BA0"/>
    <w:rsid w:val="00880001"/>
    <w:rsid w:val="00880A1D"/>
    <w:rsid w:val="00880E9E"/>
    <w:rsid w:val="008810C3"/>
    <w:rsid w:val="008811FA"/>
    <w:rsid w:val="008814C6"/>
    <w:rsid w:val="00881516"/>
    <w:rsid w:val="00881EE3"/>
    <w:rsid w:val="008822B7"/>
    <w:rsid w:val="008827EE"/>
    <w:rsid w:val="008828B8"/>
    <w:rsid w:val="008837F1"/>
    <w:rsid w:val="00883917"/>
    <w:rsid w:val="00883B56"/>
    <w:rsid w:val="0088435F"/>
    <w:rsid w:val="00884B7A"/>
    <w:rsid w:val="00885454"/>
    <w:rsid w:val="008854B3"/>
    <w:rsid w:val="008856FD"/>
    <w:rsid w:val="008857C5"/>
    <w:rsid w:val="00885ACC"/>
    <w:rsid w:val="00885B4E"/>
    <w:rsid w:val="008863CD"/>
    <w:rsid w:val="00886593"/>
    <w:rsid w:val="00886619"/>
    <w:rsid w:val="008872ED"/>
    <w:rsid w:val="0088761C"/>
    <w:rsid w:val="00887651"/>
    <w:rsid w:val="00887B32"/>
    <w:rsid w:val="008905CE"/>
    <w:rsid w:val="00891088"/>
    <w:rsid w:val="00891633"/>
    <w:rsid w:val="00891686"/>
    <w:rsid w:val="00891B3D"/>
    <w:rsid w:val="008931DD"/>
    <w:rsid w:val="00893883"/>
    <w:rsid w:val="00893E0F"/>
    <w:rsid w:val="00894369"/>
    <w:rsid w:val="0089462E"/>
    <w:rsid w:val="008947D8"/>
    <w:rsid w:val="00894FAC"/>
    <w:rsid w:val="00895246"/>
    <w:rsid w:val="008959B2"/>
    <w:rsid w:val="00895B91"/>
    <w:rsid w:val="00896227"/>
    <w:rsid w:val="0089627F"/>
    <w:rsid w:val="008A09E6"/>
    <w:rsid w:val="008A0B65"/>
    <w:rsid w:val="008A17E8"/>
    <w:rsid w:val="008A219A"/>
    <w:rsid w:val="008A249C"/>
    <w:rsid w:val="008A27DA"/>
    <w:rsid w:val="008A29EC"/>
    <w:rsid w:val="008A2B04"/>
    <w:rsid w:val="008A2B84"/>
    <w:rsid w:val="008A2CD7"/>
    <w:rsid w:val="008A2D88"/>
    <w:rsid w:val="008A30EC"/>
    <w:rsid w:val="008A344C"/>
    <w:rsid w:val="008A36E9"/>
    <w:rsid w:val="008A3AEB"/>
    <w:rsid w:val="008A43E3"/>
    <w:rsid w:val="008A4660"/>
    <w:rsid w:val="008A4879"/>
    <w:rsid w:val="008A48FB"/>
    <w:rsid w:val="008A4912"/>
    <w:rsid w:val="008A4A04"/>
    <w:rsid w:val="008A4AF9"/>
    <w:rsid w:val="008A4E5D"/>
    <w:rsid w:val="008A5192"/>
    <w:rsid w:val="008A574E"/>
    <w:rsid w:val="008A5816"/>
    <w:rsid w:val="008A5A23"/>
    <w:rsid w:val="008A5B07"/>
    <w:rsid w:val="008A5EC0"/>
    <w:rsid w:val="008A5F85"/>
    <w:rsid w:val="008A609F"/>
    <w:rsid w:val="008A621E"/>
    <w:rsid w:val="008A6443"/>
    <w:rsid w:val="008A7416"/>
    <w:rsid w:val="008A7A78"/>
    <w:rsid w:val="008A7EDF"/>
    <w:rsid w:val="008B037B"/>
    <w:rsid w:val="008B09F7"/>
    <w:rsid w:val="008B0B0E"/>
    <w:rsid w:val="008B12B1"/>
    <w:rsid w:val="008B150D"/>
    <w:rsid w:val="008B2E51"/>
    <w:rsid w:val="008B3580"/>
    <w:rsid w:val="008B38AB"/>
    <w:rsid w:val="008B3D4A"/>
    <w:rsid w:val="008B4149"/>
    <w:rsid w:val="008B43C5"/>
    <w:rsid w:val="008B49A6"/>
    <w:rsid w:val="008B56FC"/>
    <w:rsid w:val="008B5903"/>
    <w:rsid w:val="008B69F6"/>
    <w:rsid w:val="008B6AB1"/>
    <w:rsid w:val="008B6BBC"/>
    <w:rsid w:val="008B7396"/>
    <w:rsid w:val="008B7D44"/>
    <w:rsid w:val="008B7EDF"/>
    <w:rsid w:val="008B7EEB"/>
    <w:rsid w:val="008B7F41"/>
    <w:rsid w:val="008B7FC5"/>
    <w:rsid w:val="008C04B1"/>
    <w:rsid w:val="008C0857"/>
    <w:rsid w:val="008C0B23"/>
    <w:rsid w:val="008C0B8E"/>
    <w:rsid w:val="008C0D64"/>
    <w:rsid w:val="008C1D29"/>
    <w:rsid w:val="008C20C8"/>
    <w:rsid w:val="008C25D2"/>
    <w:rsid w:val="008C25F2"/>
    <w:rsid w:val="008C2BBF"/>
    <w:rsid w:val="008C3281"/>
    <w:rsid w:val="008C36CC"/>
    <w:rsid w:val="008C3BFD"/>
    <w:rsid w:val="008C3C79"/>
    <w:rsid w:val="008C4085"/>
    <w:rsid w:val="008C4335"/>
    <w:rsid w:val="008C4552"/>
    <w:rsid w:val="008C4834"/>
    <w:rsid w:val="008C4A22"/>
    <w:rsid w:val="008C57D5"/>
    <w:rsid w:val="008C57EF"/>
    <w:rsid w:val="008C644B"/>
    <w:rsid w:val="008C6739"/>
    <w:rsid w:val="008C73C5"/>
    <w:rsid w:val="008C7511"/>
    <w:rsid w:val="008C7DF3"/>
    <w:rsid w:val="008D03C4"/>
    <w:rsid w:val="008D044A"/>
    <w:rsid w:val="008D075A"/>
    <w:rsid w:val="008D09E1"/>
    <w:rsid w:val="008D0A45"/>
    <w:rsid w:val="008D0DAF"/>
    <w:rsid w:val="008D163B"/>
    <w:rsid w:val="008D1B43"/>
    <w:rsid w:val="008D1B99"/>
    <w:rsid w:val="008D1FCF"/>
    <w:rsid w:val="008D368F"/>
    <w:rsid w:val="008D36A8"/>
    <w:rsid w:val="008D4204"/>
    <w:rsid w:val="008D491A"/>
    <w:rsid w:val="008D4D65"/>
    <w:rsid w:val="008D4FA7"/>
    <w:rsid w:val="008D564B"/>
    <w:rsid w:val="008D58FE"/>
    <w:rsid w:val="008D596F"/>
    <w:rsid w:val="008D59F1"/>
    <w:rsid w:val="008D5A7F"/>
    <w:rsid w:val="008D6DD7"/>
    <w:rsid w:val="008D6E03"/>
    <w:rsid w:val="008D6E60"/>
    <w:rsid w:val="008D7B5D"/>
    <w:rsid w:val="008D7BCE"/>
    <w:rsid w:val="008E041F"/>
    <w:rsid w:val="008E0695"/>
    <w:rsid w:val="008E098E"/>
    <w:rsid w:val="008E0BA7"/>
    <w:rsid w:val="008E12F0"/>
    <w:rsid w:val="008E19C3"/>
    <w:rsid w:val="008E2118"/>
    <w:rsid w:val="008E2200"/>
    <w:rsid w:val="008E2244"/>
    <w:rsid w:val="008E2398"/>
    <w:rsid w:val="008E2B98"/>
    <w:rsid w:val="008E3229"/>
    <w:rsid w:val="008E33C9"/>
    <w:rsid w:val="008E49B1"/>
    <w:rsid w:val="008E4BB4"/>
    <w:rsid w:val="008E4FB2"/>
    <w:rsid w:val="008E5110"/>
    <w:rsid w:val="008E56A7"/>
    <w:rsid w:val="008E6119"/>
    <w:rsid w:val="008E642E"/>
    <w:rsid w:val="008E6861"/>
    <w:rsid w:val="008E7082"/>
    <w:rsid w:val="008F024A"/>
    <w:rsid w:val="008F0267"/>
    <w:rsid w:val="008F0516"/>
    <w:rsid w:val="008F056F"/>
    <w:rsid w:val="008F0D9C"/>
    <w:rsid w:val="008F1E9D"/>
    <w:rsid w:val="008F1FF9"/>
    <w:rsid w:val="008F2115"/>
    <w:rsid w:val="008F2262"/>
    <w:rsid w:val="008F24FF"/>
    <w:rsid w:val="008F2CB6"/>
    <w:rsid w:val="008F3949"/>
    <w:rsid w:val="008F3D90"/>
    <w:rsid w:val="008F3F27"/>
    <w:rsid w:val="008F3F84"/>
    <w:rsid w:val="008F40C0"/>
    <w:rsid w:val="008F44EA"/>
    <w:rsid w:val="008F4849"/>
    <w:rsid w:val="008F48C0"/>
    <w:rsid w:val="008F49C1"/>
    <w:rsid w:val="008F4AF4"/>
    <w:rsid w:val="008F4C8C"/>
    <w:rsid w:val="008F545F"/>
    <w:rsid w:val="008F5553"/>
    <w:rsid w:val="008F58CA"/>
    <w:rsid w:val="008F5A23"/>
    <w:rsid w:val="008F6A41"/>
    <w:rsid w:val="008F6AE3"/>
    <w:rsid w:val="008F6DC9"/>
    <w:rsid w:val="008F6EEB"/>
    <w:rsid w:val="008F735F"/>
    <w:rsid w:val="008F7E4B"/>
    <w:rsid w:val="0090108B"/>
    <w:rsid w:val="0090142B"/>
    <w:rsid w:val="009015F0"/>
    <w:rsid w:val="00902088"/>
    <w:rsid w:val="009022F9"/>
    <w:rsid w:val="00903ACB"/>
    <w:rsid w:val="00903DB1"/>
    <w:rsid w:val="00903DEE"/>
    <w:rsid w:val="009048A0"/>
    <w:rsid w:val="00904A4C"/>
    <w:rsid w:val="009050CF"/>
    <w:rsid w:val="00905457"/>
    <w:rsid w:val="00905EF0"/>
    <w:rsid w:val="009060A9"/>
    <w:rsid w:val="009062C7"/>
    <w:rsid w:val="009066CF"/>
    <w:rsid w:val="00906BEC"/>
    <w:rsid w:val="00906CFD"/>
    <w:rsid w:val="0090769F"/>
    <w:rsid w:val="009078F5"/>
    <w:rsid w:val="00907C3C"/>
    <w:rsid w:val="00907CC0"/>
    <w:rsid w:val="009108BE"/>
    <w:rsid w:val="00910C2F"/>
    <w:rsid w:val="0091127B"/>
    <w:rsid w:val="009118B5"/>
    <w:rsid w:val="00911B15"/>
    <w:rsid w:val="00911DAC"/>
    <w:rsid w:val="00912036"/>
    <w:rsid w:val="009120F9"/>
    <w:rsid w:val="00912D64"/>
    <w:rsid w:val="00913130"/>
    <w:rsid w:val="0091374F"/>
    <w:rsid w:val="009137B2"/>
    <w:rsid w:val="009138BB"/>
    <w:rsid w:val="0091393D"/>
    <w:rsid w:val="009139C6"/>
    <w:rsid w:val="00913BAD"/>
    <w:rsid w:val="00913D8A"/>
    <w:rsid w:val="00913EC6"/>
    <w:rsid w:val="0091403B"/>
    <w:rsid w:val="0091471C"/>
    <w:rsid w:val="00914AB5"/>
    <w:rsid w:val="00914EAE"/>
    <w:rsid w:val="009154D0"/>
    <w:rsid w:val="00915719"/>
    <w:rsid w:val="00916690"/>
    <w:rsid w:val="00916BBB"/>
    <w:rsid w:val="00917184"/>
    <w:rsid w:val="00917B5F"/>
    <w:rsid w:val="009203AB"/>
    <w:rsid w:val="00920B61"/>
    <w:rsid w:val="00921242"/>
    <w:rsid w:val="00921D3A"/>
    <w:rsid w:val="00921F1C"/>
    <w:rsid w:val="00922480"/>
    <w:rsid w:val="009227DA"/>
    <w:rsid w:val="00922969"/>
    <w:rsid w:val="00922A95"/>
    <w:rsid w:val="00923570"/>
    <w:rsid w:val="00923FF7"/>
    <w:rsid w:val="00924185"/>
    <w:rsid w:val="00924521"/>
    <w:rsid w:val="0092459F"/>
    <w:rsid w:val="0092491F"/>
    <w:rsid w:val="00925BD8"/>
    <w:rsid w:val="00925F3F"/>
    <w:rsid w:val="00925FB4"/>
    <w:rsid w:val="00926A5D"/>
    <w:rsid w:val="00927170"/>
    <w:rsid w:val="0092752C"/>
    <w:rsid w:val="0092758C"/>
    <w:rsid w:val="009275A6"/>
    <w:rsid w:val="00930080"/>
    <w:rsid w:val="00930181"/>
    <w:rsid w:val="009306C5"/>
    <w:rsid w:val="00930F16"/>
    <w:rsid w:val="0093200C"/>
    <w:rsid w:val="00932755"/>
    <w:rsid w:val="00932CD6"/>
    <w:rsid w:val="009334AB"/>
    <w:rsid w:val="00933CBA"/>
    <w:rsid w:val="00934A93"/>
    <w:rsid w:val="00934F1B"/>
    <w:rsid w:val="00935355"/>
    <w:rsid w:val="00935D34"/>
    <w:rsid w:val="00935F38"/>
    <w:rsid w:val="00935FA7"/>
    <w:rsid w:val="0093656E"/>
    <w:rsid w:val="009369B0"/>
    <w:rsid w:val="00936A44"/>
    <w:rsid w:val="00936F12"/>
    <w:rsid w:val="00937115"/>
    <w:rsid w:val="0093742E"/>
    <w:rsid w:val="00937A81"/>
    <w:rsid w:val="0094004F"/>
    <w:rsid w:val="00940536"/>
    <w:rsid w:val="0094076F"/>
    <w:rsid w:val="0094108F"/>
    <w:rsid w:val="00941552"/>
    <w:rsid w:val="0094202E"/>
    <w:rsid w:val="00942572"/>
    <w:rsid w:val="009425FB"/>
    <w:rsid w:val="00942F1F"/>
    <w:rsid w:val="00943119"/>
    <w:rsid w:val="00943CCB"/>
    <w:rsid w:val="00943D7C"/>
    <w:rsid w:val="0094468C"/>
    <w:rsid w:val="00944CFD"/>
    <w:rsid w:val="009451AF"/>
    <w:rsid w:val="00945A50"/>
    <w:rsid w:val="0094614B"/>
    <w:rsid w:val="00946279"/>
    <w:rsid w:val="0094644D"/>
    <w:rsid w:val="00946D8A"/>
    <w:rsid w:val="009471A6"/>
    <w:rsid w:val="00947C31"/>
    <w:rsid w:val="00947F05"/>
    <w:rsid w:val="00950A1A"/>
    <w:rsid w:val="00950FAE"/>
    <w:rsid w:val="009512D7"/>
    <w:rsid w:val="0095161E"/>
    <w:rsid w:val="00951C6A"/>
    <w:rsid w:val="00951D2A"/>
    <w:rsid w:val="00952A5E"/>
    <w:rsid w:val="00952C55"/>
    <w:rsid w:val="00952F5D"/>
    <w:rsid w:val="00952FDC"/>
    <w:rsid w:val="009534AE"/>
    <w:rsid w:val="009537EB"/>
    <w:rsid w:val="0095436E"/>
    <w:rsid w:val="0095480E"/>
    <w:rsid w:val="009548AA"/>
    <w:rsid w:val="00954B4E"/>
    <w:rsid w:val="009553C8"/>
    <w:rsid w:val="00955824"/>
    <w:rsid w:val="00955906"/>
    <w:rsid w:val="00955E3F"/>
    <w:rsid w:val="00955FCC"/>
    <w:rsid w:val="00956450"/>
    <w:rsid w:val="0095660E"/>
    <w:rsid w:val="009566D9"/>
    <w:rsid w:val="0095694D"/>
    <w:rsid w:val="009569C9"/>
    <w:rsid w:val="00956F42"/>
    <w:rsid w:val="00957632"/>
    <w:rsid w:val="009577EF"/>
    <w:rsid w:val="00957A9C"/>
    <w:rsid w:val="009603DF"/>
    <w:rsid w:val="0096062C"/>
    <w:rsid w:val="009606D0"/>
    <w:rsid w:val="00960B14"/>
    <w:rsid w:val="00960C91"/>
    <w:rsid w:val="00960E1B"/>
    <w:rsid w:val="009617BA"/>
    <w:rsid w:val="00961C05"/>
    <w:rsid w:val="009623D5"/>
    <w:rsid w:val="00962D28"/>
    <w:rsid w:val="00962D5A"/>
    <w:rsid w:val="0096338C"/>
    <w:rsid w:val="009635D2"/>
    <w:rsid w:val="0096368B"/>
    <w:rsid w:val="00963964"/>
    <w:rsid w:val="0096402E"/>
    <w:rsid w:val="009640FF"/>
    <w:rsid w:val="009644C0"/>
    <w:rsid w:val="00965D3A"/>
    <w:rsid w:val="009660F1"/>
    <w:rsid w:val="00966181"/>
    <w:rsid w:val="00966C51"/>
    <w:rsid w:val="0096709B"/>
    <w:rsid w:val="009677F0"/>
    <w:rsid w:val="00967C09"/>
    <w:rsid w:val="00967FCD"/>
    <w:rsid w:val="00970091"/>
    <w:rsid w:val="00970372"/>
    <w:rsid w:val="0097040D"/>
    <w:rsid w:val="009707B3"/>
    <w:rsid w:val="00970B11"/>
    <w:rsid w:val="00970F33"/>
    <w:rsid w:val="0097110D"/>
    <w:rsid w:val="0097144D"/>
    <w:rsid w:val="009719DB"/>
    <w:rsid w:val="00971C59"/>
    <w:rsid w:val="00971D9F"/>
    <w:rsid w:val="00971EE5"/>
    <w:rsid w:val="00972A79"/>
    <w:rsid w:val="0097308F"/>
    <w:rsid w:val="0097377F"/>
    <w:rsid w:val="00973AB1"/>
    <w:rsid w:val="00973CAA"/>
    <w:rsid w:val="00973FE9"/>
    <w:rsid w:val="0097403C"/>
    <w:rsid w:val="00974544"/>
    <w:rsid w:val="00974A72"/>
    <w:rsid w:val="00975EA3"/>
    <w:rsid w:val="0097602C"/>
    <w:rsid w:val="0097617D"/>
    <w:rsid w:val="00976829"/>
    <w:rsid w:val="00976AB6"/>
    <w:rsid w:val="0097712A"/>
    <w:rsid w:val="00977739"/>
    <w:rsid w:val="0098073F"/>
    <w:rsid w:val="0098081D"/>
    <w:rsid w:val="00980F9E"/>
    <w:rsid w:val="00981261"/>
    <w:rsid w:val="00982423"/>
    <w:rsid w:val="009824F7"/>
    <w:rsid w:val="009825E0"/>
    <w:rsid w:val="00982C4E"/>
    <w:rsid w:val="00982D84"/>
    <w:rsid w:val="00982E0F"/>
    <w:rsid w:val="00983AC9"/>
    <w:rsid w:val="00983D43"/>
    <w:rsid w:val="0098413E"/>
    <w:rsid w:val="00984DF4"/>
    <w:rsid w:val="0098502E"/>
    <w:rsid w:val="009856D1"/>
    <w:rsid w:val="00985F92"/>
    <w:rsid w:val="00986008"/>
    <w:rsid w:val="00986084"/>
    <w:rsid w:val="0098612F"/>
    <w:rsid w:val="00986408"/>
    <w:rsid w:val="00986B95"/>
    <w:rsid w:val="0098715F"/>
    <w:rsid w:val="00987985"/>
    <w:rsid w:val="0099034D"/>
    <w:rsid w:val="009905D1"/>
    <w:rsid w:val="00990C90"/>
    <w:rsid w:val="00990EEE"/>
    <w:rsid w:val="00990FF3"/>
    <w:rsid w:val="009910D1"/>
    <w:rsid w:val="00991243"/>
    <w:rsid w:val="00991836"/>
    <w:rsid w:val="009918F5"/>
    <w:rsid w:val="00991D67"/>
    <w:rsid w:val="009921AC"/>
    <w:rsid w:val="00992372"/>
    <w:rsid w:val="009924B1"/>
    <w:rsid w:val="0099282D"/>
    <w:rsid w:val="00992A70"/>
    <w:rsid w:val="0099308D"/>
    <w:rsid w:val="009931F4"/>
    <w:rsid w:val="0099343E"/>
    <w:rsid w:val="00993889"/>
    <w:rsid w:val="00993A55"/>
    <w:rsid w:val="00993EC1"/>
    <w:rsid w:val="00993EFD"/>
    <w:rsid w:val="0099482E"/>
    <w:rsid w:val="009949F4"/>
    <w:rsid w:val="00994B33"/>
    <w:rsid w:val="00994CE6"/>
    <w:rsid w:val="00994FF3"/>
    <w:rsid w:val="00995455"/>
    <w:rsid w:val="0099557F"/>
    <w:rsid w:val="00995C37"/>
    <w:rsid w:val="00995E5C"/>
    <w:rsid w:val="00995EB7"/>
    <w:rsid w:val="00996064"/>
    <w:rsid w:val="009965DA"/>
    <w:rsid w:val="00996705"/>
    <w:rsid w:val="00996DF2"/>
    <w:rsid w:val="0099739D"/>
    <w:rsid w:val="00997F60"/>
    <w:rsid w:val="009A097F"/>
    <w:rsid w:val="009A099E"/>
    <w:rsid w:val="009A112E"/>
    <w:rsid w:val="009A127E"/>
    <w:rsid w:val="009A1520"/>
    <w:rsid w:val="009A1E3F"/>
    <w:rsid w:val="009A22A7"/>
    <w:rsid w:val="009A24B3"/>
    <w:rsid w:val="009A33EB"/>
    <w:rsid w:val="009A373A"/>
    <w:rsid w:val="009A3A3F"/>
    <w:rsid w:val="009A3D41"/>
    <w:rsid w:val="009A4CE2"/>
    <w:rsid w:val="009A4D20"/>
    <w:rsid w:val="009A5EC1"/>
    <w:rsid w:val="009A6411"/>
    <w:rsid w:val="009A6694"/>
    <w:rsid w:val="009A6900"/>
    <w:rsid w:val="009A6F26"/>
    <w:rsid w:val="009A6F29"/>
    <w:rsid w:val="009A6FFF"/>
    <w:rsid w:val="009A7309"/>
    <w:rsid w:val="009B0329"/>
    <w:rsid w:val="009B04CE"/>
    <w:rsid w:val="009B17B0"/>
    <w:rsid w:val="009B19E0"/>
    <w:rsid w:val="009B1DDD"/>
    <w:rsid w:val="009B20A7"/>
    <w:rsid w:val="009B22A2"/>
    <w:rsid w:val="009B262F"/>
    <w:rsid w:val="009B27B4"/>
    <w:rsid w:val="009B3194"/>
    <w:rsid w:val="009B3811"/>
    <w:rsid w:val="009B4527"/>
    <w:rsid w:val="009B4536"/>
    <w:rsid w:val="009B4A22"/>
    <w:rsid w:val="009B4A52"/>
    <w:rsid w:val="009B4B1C"/>
    <w:rsid w:val="009B4EAE"/>
    <w:rsid w:val="009B5A66"/>
    <w:rsid w:val="009B5F1F"/>
    <w:rsid w:val="009B5FFB"/>
    <w:rsid w:val="009B62BD"/>
    <w:rsid w:val="009B6670"/>
    <w:rsid w:val="009B68CC"/>
    <w:rsid w:val="009B6FA8"/>
    <w:rsid w:val="009B78C9"/>
    <w:rsid w:val="009B7AFB"/>
    <w:rsid w:val="009C011F"/>
    <w:rsid w:val="009C09CA"/>
    <w:rsid w:val="009C10B2"/>
    <w:rsid w:val="009C1197"/>
    <w:rsid w:val="009C1D1B"/>
    <w:rsid w:val="009C20CE"/>
    <w:rsid w:val="009C26D6"/>
    <w:rsid w:val="009C2754"/>
    <w:rsid w:val="009C2BC5"/>
    <w:rsid w:val="009C2BE5"/>
    <w:rsid w:val="009C37D7"/>
    <w:rsid w:val="009C3CCF"/>
    <w:rsid w:val="009C44EB"/>
    <w:rsid w:val="009C4732"/>
    <w:rsid w:val="009C4831"/>
    <w:rsid w:val="009C4A06"/>
    <w:rsid w:val="009C595C"/>
    <w:rsid w:val="009C5D59"/>
    <w:rsid w:val="009C5F64"/>
    <w:rsid w:val="009C6518"/>
    <w:rsid w:val="009C6DF8"/>
    <w:rsid w:val="009C70AD"/>
    <w:rsid w:val="009C71DD"/>
    <w:rsid w:val="009C72D5"/>
    <w:rsid w:val="009C7553"/>
    <w:rsid w:val="009D00F0"/>
    <w:rsid w:val="009D014C"/>
    <w:rsid w:val="009D0642"/>
    <w:rsid w:val="009D09F3"/>
    <w:rsid w:val="009D0D80"/>
    <w:rsid w:val="009D0E43"/>
    <w:rsid w:val="009D1791"/>
    <w:rsid w:val="009D1960"/>
    <w:rsid w:val="009D19BD"/>
    <w:rsid w:val="009D1E44"/>
    <w:rsid w:val="009D2726"/>
    <w:rsid w:val="009D2A23"/>
    <w:rsid w:val="009D2B95"/>
    <w:rsid w:val="009D2E73"/>
    <w:rsid w:val="009D3094"/>
    <w:rsid w:val="009D322A"/>
    <w:rsid w:val="009D3685"/>
    <w:rsid w:val="009D377C"/>
    <w:rsid w:val="009D3C0F"/>
    <w:rsid w:val="009D3DB1"/>
    <w:rsid w:val="009D4137"/>
    <w:rsid w:val="009D4435"/>
    <w:rsid w:val="009D4904"/>
    <w:rsid w:val="009D4C92"/>
    <w:rsid w:val="009D4D05"/>
    <w:rsid w:val="009D4ED1"/>
    <w:rsid w:val="009D4FF5"/>
    <w:rsid w:val="009D50A0"/>
    <w:rsid w:val="009D551D"/>
    <w:rsid w:val="009D55E6"/>
    <w:rsid w:val="009D5A7A"/>
    <w:rsid w:val="009D5B35"/>
    <w:rsid w:val="009D6979"/>
    <w:rsid w:val="009D6A7B"/>
    <w:rsid w:val="009D781B"/>
    <w:rsid w:val="009D7B7B"/>
    <w:rsid w:val="009D7C8A"/>
    <w:rsid w:val="009D7D96"/>
    <w:rsid w:val="009D7D9F"/>
    <w:rsid w:val="009E0412"/>
    <w:rsid w:val="009E04ED"/>
    <w:rsid w:val="009E0EFB"/>
    <w:rsid w:val="009E1065"/>
    <w:rsid w:val="009E10CB"/>
    <w:rsid w:val="009E13AD"/>
    <w:rsid w:val="009E13BB"/>
    <w:rsid w:val="009E14DF"/>
    <w:rsid w:val="009E16AA"/>
    <w:rsid w:val="009E187D"/>
    <w:rsid w:val="009E23D1"/>
    <w:rsid w:val="009E23F1"/>
    <w:rsid w:val="009E2552"/>
    <w:rsid w:val="009E26A4"/>
    <w:rsid w:val="009E2AF0"/>
    <w:rsid w:val="009E2B72"/>
    <w:rsid w:val="009E3A2F"/>
    <w:rsid w:val="009E4AA6"/>
    <w:rsid w:val="009E4B61"/>
    <w:rsid w:val="009E5688"/>
    <w:rsid w:val="009E58B1"/>
    <w:rsid w:val="009E5BDD"/>
    <w:rsid w:val="009E6342"/>
    <w:rsid w:val="009E6430"/>
    <w:rsid w:val="009E6A2E"/>
    <w:rsid w:val="009E7430"/>
    <w:rsid w:val="009E749E"/>
    <w:rsid w:val="009E7DD8"/>
    <w:rsid w:val="009F1674"/>
    <w:rsid w:val="009F1978"/>
    <w:rsid w:val="009F1FBE"/>
    <w:rsid w:val="009F2B31"/>
    <w:rsid w:val="009F2FD8"/>
    <w:rsid w:val="009F3360"/>
    <w:rsid w:val="009F3630"/>
    <w:rsid w:val="009F3A91"/>
    <w:rsid w:val="009F3C7B"/>
    <w:rsid w:val="009F48CA"/>
    <w:rsid w:val="009F4C95"/>
    <w:rsid w:val="009F4D62"/>
    <w:rsid w:val="009F570A"/>
    <w:rsid w:val="009F57A2"/>
    <w:rsid w:val="009F58D3"/>
    <w:rsid w:val="009F5D89"/>
    <w:rsid w:val="009F63D4"/>
    <w:rsid w:val="009F7028"/>
    <w:rsid w:val="009F7940"/>
    <w:rsid w:val="00A00320"/>
    <w:rsid w:val="00A009E0"/>
    <w:rsid w:val="00A00A16"/>
    <w:rsid w:val="00A00BB7"/>
    <w:rsid w:val="00A00C6E"/>
    <w:rsid w:val="00A00CBA"/>
    <w:rsid w:val="00A00D7B"/>
    <w:rsid w:val="00A013B5"/>
    <w:rsid w:val="00A01FAB"/>
    <w:rsid w:val="00A01FC4"/>
    <w:rsid w:val="00A02138"/>
    <w:rsid w:val="00A0227B"/>
    <w:rsid w:val="00A0238C"/>
    <w:rsid w:val="00A0294A"/>
    <w:rsid w:val="00A03051"/>
    <w:rsid w:val="00A03240"/>
    <w:rsid w:val="00A03416"/>
    <w:rsid w:val="00A034BA"/>
    <w:rsid w:val="00A03A32"/>
    <w:rsid w:val="00A03A9A"/>
    <w:rsid w:val="00A03C04"/>
    <w:rsid w:val="00A03F30"/>
    <w:rsid w:val="00A03F88"/>
    <w:rsid w:val="00A04544"/>
    <w:rsid w:val="00A04895"/>
    <w:rsid w:val="00A04F56"/>
    <w:rsid w:val="00A05268"/>
    <w:rsid w:val="00A053B7"/>
    <w:rsid w:val="00A055DE"/>
    <w:rsid w:val="00A05912"/>
    <w:rsid w:val="00A05AE0"/>
    <w:rsid w:val="00A05E66"/>
    <w:rsid w:val="00A065C2"/>
    <w:rsid w:val="00A07910"/>
    <w:rsid w:val="00A07DD7"/>
    <w:rsid w:val="00A10E9F"/>
    <w:rsid w:val="00A10EAB"/>
    <w:rsid w:val="00A1172C"/>
    <w:rsid w:val="00A11B68"/>
    <w:rsid w:val="00A11F27"/>
    <w:rsid w:val="00A12419"/>
    <w:rsid w:val="00A13044"/>
    <w:rsid w:val="00A13082"/>
    <w:rsid w:val="00A13274"/>
    <w:rsid w:val="00A1370B"/>
    <w:rsid w:val="00A139B7"/>
    <w:rsid w:val="00A13E30"/>
    <w:rsid w:val="00A13E74"/>
    <w:rsid w:val="00A141FD"/>
    <w:rsid w:val="00A144AC"/>
    <w:rsid w:val="00A14794"/>
    <w:rsid w:val="00A14872"/>
    <w:rsid w:val="00A14984"/>
    <w:rsid w:val="00A14E44"/>
    <w:rsid w:val="00A14F7B"/>
    <w:rsid w:val="00A153B0"/>
    <w:rsid w:val="00A157B1"/>
    <w:rsid w:val="00A15CAE"/>
    <w:rsid w:val="00A16477"/>
    <w:rsid w:val="00A1686E"/>
    <w:rsid w:val="00A1786E"/>
    <w:rsid w:val="00A20455"/>
    <w:rsid w:val="00A22C7D"/>
    <w:rsid w:val="00A23246"/>
    <w:rsid w:val="00A2329F"/>
    <w:rsid w:val="00A236F8"/>
    <w:rsid w:val="00A23B9A"/>
    <w:rsid w:val="00A24148"/>
    <w:rsid w:val="00A24386"/>
    <w:rsid w:val="00A25414"/>
    <w:rsid w:val="00A258F4"/>
    <w:rsid w:val="00A259FE"/>
    <w:rsid w:val="00A25C63"/>
    <w:rsid w:val="00A260D3"/>
    <w:rsid w:val="00A2618A"/>
    <w:rsid w:val="00A26659"/>
    <w:rsid w:val="00A26D73"/>
    <w:rsid w:val="00A271FB"/>
    <w:rsid w:val="00A27863"/>
    <w:rsid w:val="00A278BF"/>
    <w:rsid w:val="00A27EE4"/>
    <w:rsid w:val="00A27EFD"/>
    <w:rsid w:val="00A30117"/>
    <w:rsid w:val="00A3080B"/>
    <w:rsid w:val="00A308AE"/>
    <w:rsid w:val="00A30DAF"/>
    <w:rsid w:val="00A31439"/>
    <w:rsid w:val="00A319E6"/>
    <w:rsid w:val="00A31AD4"/>
    <w:rsid w:val="00A31AD8"/>
    <w:rsid w:val="00A31B34"/>
    <w:rsid w:val="00A31B7B"/>
    <w:rsid w:val="00A32062"/>
    <w:rsid w:val="00A322B4"/>
    <w:rsid w:val="00A3233B"/>
    <w:rsid w:val="00A326B6"/>
    <w:rsid w:val="00A32ACF"/>
    <w:rsid w:val="00A331D8"/>
    <w:rsid w:val="00A33C68"/>
    <w:rsid w:val="00A340B1"/>
    <w:rsid w:val="00A34347"/>
    <w:rsid w:val="00A34CAD"/>
    <w:rsid w:val="00A34E57"/>
    <w:rsid w:val="00A34E5F"/>
    <w:rsid w:val="00A35081"/>
    <w:rsid w:val="00A35696"/>
    <w:rsid w:val="00A356DD"/>
    <w:rsid w:val="00A3593B"/>
    <w:rsid w:val="00A364FE"/>
    <w:rsid w:val="00A370CF"/>
    <w:rsid w:val="00A37651"/>
    <w:rsid w:val="00A37D90"/>
    <w:rsid w:val="00A400B9"/>
    <w:rsid w:val="00A402BA"/>
    <w:rsid w:val="00A40B20"/>
    <w:rsid w:val="00A4184E"/>
    <w:rsid w:val="00A418BA"/>
    <w:rsid w:val="00A419D9"/>
    <w:rsid w:val="00A41EAB"/>
    <w:rsid w:val="00A42976"/>
    <w:rsid w:val="00A436A3"/>
    <w:rsid w:val="00A43D8F"/>
    <w:rsid w:val="00A4424D"/>
    <w:rsid w:val="00A45957"/>
    <w:rsid w:val="00A45A14"/>
    <w:rsid w:val="00A46427"/>
    <w:rsid w:val="00A46AA3"/>
    <w:rsid w:val="00A46D63"/>
    <w:rsid w:val="00A476B9"/>
    <w:rsid w:val="00A47B5D"/>
    <w:rsid w:val="00A47C29"/>
    <w:rsid w:val="00A5043C"/>
    <w:rsid w:val="00A508D0"/>
    <w:rsid w:val="00A509F4"/>
    <w:rsid w:val="00A51302"/>
    <w:rsid w:val="00A513F3"/>
    <w:rsid w:val="00A514C2"/>
    <w:rsid w:val="00A5207C"/>
    <w:rsid w:val="00A52372"/>
    <w:rsid w:val="00A52585"/>
    <w:rsid w:val="00A52704"/>
    <w:rsid w:val="00A52B3E"/>
    <w:rsid w:val="00A5342C"/>
    <w:rsid w:val="00A5395F"/>
    <w:rsid w:val="00A539D8"/>
    <w:rsid w:val="00A545B6"/>
    <w:rsid w:val="00A5464F"/>
    <w:rsid w:val="00A54CDB"/>
    <w:rsid w:val="00A55033"/>
    <w:rsid w:val="00A556A3"/>
    <w:rsid w:val="00A55BF2"/>
    <w:rsid w:val="00A55C17"/>
    <w:rsid w:val="00A56474"/>
    <w:rsid w:val="00A56551"/>
    <w:rsid w:val="00A56A27"/>
    <w:rsid w:val="00A56CCA"/>
    <w:rsid w:val="00A571F7"/>
    <w:rsid w:val="00A602BD"/>
    <w:rsid w:val="00A604F5"/>
    <w:rsid w:val="00A607FF"/>
    <w:rsid w:val="00A60853"/>
    <w:rsid w:val="00A60899"/>
    <w:rsid w:val="00A608BB"/>
    <w:rsid w:val="00A609C1"/>
    <w:rsid w:val="00A60E46"/>
    <w:rsid w:val="00A611AD"/>
    <w:rsid w:val="00A61567"/>
    <w:rsid w:val="00A615C9"/>
    <w:rsid w:val="00A6185B"/>
    <w:rsid w:val="00A61995"/>
    <w:rsid w:val="00A62E94"/>
    <w:rsid w:val="00A6323B"/>
    <w:rsid w:val="00A63E90"/>
    <w:rsid w:val="00A64224"/>
    <w:rsid w:val="00A6495E"/>
    <w:rsid w:val="00A64AF7"/>
    <w:rsid w:val="00A64D67"/>
    <w:rsid w:val="00A64F37"/>
    <w:rsid w:val="00A65498"/>
    <w:rsid w:val="00A6594E"/>
    <w:rsid w:val="00A65F56"/>
    <w:rsid w:val="00A66800"/>
    <w:rsid w:val="00A67434"/>
    <w:rsid w:val="00A679E3"/>
    <w:rsid w:val="00A7008B"/>
    <w:rsid w:val="00A703D2"/>
    <w:rsid w:val="00A703F4"/>
    <w:rsid w:val="00A70557"/>
    <w:rsid w:val="00A70A2E"/>
    <w:rsid w:val="00A71200"/>
    <w:rsid w:val="00A71476"/>
    <w:rsid w:val="00A714BB"/>
    <w:rsid w:val="00A718AC"/>
    <w:rsid w:val="00A72B2F"/>
    <w:rsid w:val="00A7359A"/>
    <w:rsid w:val="00A73654"/>
    <w:rsid w:val="00A73BC9"/>
    <w:rsid w:val="00A73D98"/>
    <w:rsid w:val="00A7416E"/>
    <w:rsid w:val="00A74E78"/>
    <w:rsid w:val="00A75E8E"/>
    <w:rsid w:val="00A76376"/>
    <w:rsid w:val="00A7713C"/>
    <w:rsid w:val="00A771C4"/>
    <w:rsid w:val="00A773C3"/>
    <w:rsid w:val="00A80853"/>
    <w:rsid w:val="00A80A81"/>
    <w:rsid w:val="00A82129"/>
    <w:rsid w:val="00A827DD"/>
    <w:rsid w:val="00A830ED"/>
    <w:rsid w:val="00A837BA"/>
    <w:rsid w:val="00A83BAC"/>
    <w:rsid w:val="00A83CB4"/>
    <w:rsid w:val="00A841DD"/>
    <w:rsid w:val="00A845B9"/>
    <w:rsid w:val="00A848AE"/>
    <w:rsid w:val="00A84BF8"/>
    <w:rsid w:val="00A85B7A"/>
    <w:rsid w:val="00A8610B"/>
    <w:rsid w:val="00A8637F"/>
    <w:rsid w:val="00A863E0"/>
    <w:rsid w:val="00A8650F"/>
    <w:rsid w:val="00A8663B"/>
    <w:rsid w:val="00A8692A"/>
    <w:rsid w:val="00A86AC5"/>
    <w:rsid w:val="00A86CF6"/>
    <w:rsid w:val="00A871C5"/>
    <w:rsid w:val="00A871D6"/>
    <w:rsid w:val="00A8724F"/>
    <w:rsid w:val="00A8750D"/>
    <w:rsid w:val="00A87B12"/>
    <w:rsid w:val="00A87CDF"/>
    <w:rsid w:val="00A906E6"/>
    <w:rsid w:val="00A908EA"/>
    <w:rsid w:val="00A90C05"/>
    <w:rsid w:val="00A90C36"/>
    <w:rsid w:val="00A90D07"/>
    <w:rsid w:val="00A9158A"/>
    <w:rsid w:val="00A91ACD"/>
    <w:rsid w:val="00A91BFA"/>
    <w:rsid w:val="00A92D0F"/>
    <w:rsid w:val="00A92E4B"/>
    <w:rsid w:val="00A9326D"/>
    <w:rsid w:val="00A93A05"/>
    <w:rsid w:val="00A9426E"/>
    <w:rsid w:val="00A94CA7"/>
    <w:rsid w:val="00A96671"/>
    <w:rsid w:val="00A966B3"/>
    <w:rsid w:val="00A97906"/>
    <w:rsid w:val="00A97B19"/>
    <w:rsid w:val="00A97B3C"/>
    <w:rsid w:val="00A97C81"/>
    <w:rsid w:val="00A97E37"/>
    <w:rsid w:val="00AA13CC"/>
    <w:rsid w:val="00AA1998"/>
    <w:rsid w:val="00AA29F3"/>
    <w:rsid w:val="00AA2F39"/>
    <w:rsid w:val="00AA3089"/>
    <w:rsid w:val="00AA3995"/>
    <w:rsid w:val="00AA39B7"/>
    <w:rsid w:val="00AA39E6"/>
    <w:rsid w:val="00AA43FB"/>
    <w:rsid w:val="00AA484C"/>
    <w:rsid w:val="00AA49E6"/>
    <w:rsid w:val="00AA4BC3"/>
    <w:rsid w:val="00AA5144"/>
    <w:rsid w:val="00AA58F9"/>
    <w:rsid w:val="00AA59F4"/>
    <w:rsid w:val="00AA5D22"/>
    <w:rsid w:val="00AA613C"/>
    <w:rsid w:val="00AA6245"/>
    <w:rsid w:val="00AA62EA"/>
    <w:rsid w:val="00AB0BE2"/>
    <w:rsid w:val="00AB0C29"/>
    <w:rsid w:val="00AB0C61"/>
    <w:rsid w:val="00AB0D93"/>
    <w:rsid w:val="00AB100E"/>
    <w:rsid w:val="00AB12D8"/>
    <w:rsid w:val="00AB2021"/>
    <w:rsid w:val="00AB239C"/>
    <w:rsid w:val="00AB256C"/>
    <w:rsid w:val="00AB25B5"/>
    <w:rsid w:val="00AB26CA"/>
    <w:rsid w:val="00AB39C3"/>
    <w:rsid w:val="00AB4C81"/>
    <w:rsid w:val="00AB5101"/>
    <w:rsid w:val="00AB56B0"/>
    <w:rsid w:val="00AB5ADB"/>
    <w:rsid w:val="00AB5D8F"/>
    <w:rsid w:val="00AB67BA"/>
    <w:rsid w:val="00AB6DCC"/>
    <w:rsid w:val="00AB7041"/>
    <w:rsid w:val="00AB7436"/>
    <w:rsid w:val="00AB7994"/>
    <w:rsid w:val="00AB7A46"/>
    <w:rsid w:val="00AB7A48"/>
    <w:rsid w:val="00AC079D"/>
    <w:rsid w:val="00AC1361"/>
    <w:rsid w:val="00AC1629"/>
    <w:rsid w:val="00AC1705"/>
    <w:rsid w:val="00AC1A7D"/>
    <w:rsid w:val="00AC1D89"/>
    <w:rsid w:val="00AC3343"/>
    <w:rsid w:val="00AC3861"/>
    <w:rsid w:val="00AC3F04"/>
    <w:rsid w:val="00AC4727"/>
    <w:rsid w:val="00AC491A"/>
    <w:rsid w:val="00AC4A50"/>
    <w:rsid w:val="00AC4E15"/>
    <w:rsid w:val="00AC4EDD"/>
    <w:rsid w:val="00AC4EF9"/>
    <w:rsid w:val="00AC5DEE"/>
    <w:rsid w:val="00AC6465"/>
    <w:rsid w:val="00AC68D2"/>
    <w:rsid w:val="00AC7562"/>
    <w:rsid w:val="00AC7725"/>
    <w:rsid w:val="00AC792F"/>
    <w:rsid w:val="00AC7E36"/>
    <w:rsid w:val="00AD07EC"/>
    <w:rsid w:val="00AD0EE9"/>
    <w:rsid w:val="00AD0FEE"/>
    <w:rsid w:val="00AD178D"/>
    <w:rsid w:val="00AD1922"/>
    <w:rsid w:val="00AD1DF2"/>
    <w:rsid w:val="00AD241E"/>
    <w:rsid w:val="00AD2876"/>
    <w:rsid w:val="00AD2993"/>
    <w:rsid w:val="00AD2CA6"/>
    <w:rsid w:val="00AD30C7"/>
    <w:rsid w:val="00AD38EA"/>
    <w:rsid w:val="00AD4E48"/>
    <w:rsid w:val="00AD517A"/>
    <w:rsid w:val="00AD54EC"/>
    <w:rsid w:val="00AD5A15"/>
    <w:rsid w:val="00AD5BAB"/>
    <w:rsid w:val="00AD5CFE"/>
    <w:rsid w:val="00AD5F6D"/>
    <w:rsid w:val="00AD6795"/>
    <w:rsid w:val="00AD687B"/>
    <w:rsid w:val="00AD6F2A"/>
    <w:rsid w:val="00AD7593"/>
    <w:rsid w:val="00AD7CE6"/>
    <w:rsid w:val="00AE02FC"/>
    <w:rsid w:val="00AE1081"/>
    <w:rsid w:val="00AE12F6"/>
    <w:rsid w:val="00AE1577"/>
    <w:rsid w:val="00AE1734"/>
    <w:rsid w:val="00AE3002"/>
    <w:rsid w:val="00AE30F8"/>
    <w:rsid w:val="00AE359C"/>
    <w:rsid w:val="00AE37DB"/>
    <w:rsid w:val="00AE3BE6"/>
    <w:rsid w:val="00AE407F"/>
    <w:rsid w:val="00AE4457"/>
    <w:rsid w:val="00AE4B57"/>
    <w:rsid w:val="00AE4BA4"/>
    <w:rsid w:val="00AE503C"/>
    <w:rsid w:val="00AE52DC"/>
    <w:rsid w:val="00AE5402"/>
    <w:rsid w:val="00AE5547"/>
    <w:rsid w:val="00AE559E"/>
    <w:rsid w:val="00AE5749"/>
    <w:rsid w:val="00AE5789"/>
    <w:rsid w:val="00AE63C4"/>
    <w:rsid w:val="00AE6E4A"/>
    <w:rsid w:val="00AE711B"/>
    <w:rsid w:val="00AE72F1"/>
    <w:rsid w:val="00AE781A"/>
    <w:rsid w:val="00AE7A49"/>
    <w:rsid w:val="00AE7C4F"/>
    <w:rsid w:val="00AF02F5"/>
    <w:rsid w:val="00AF035C"/>
    <w:rsid w:val="00AF09F7"/>
    <w:rsid w:val="00AF0C92"/>
    <w:rsid w:val="00AF0F9A"/>
    <w:rsid w:val="00AF123A"/>
    <w:rsid w:val="00AF15DC"/>
    <w:rsid w:val="00AF1B82"/>
    <w:rsid w:val="00AF1E5E"/>
    <w:rsid w:val="00AF2390"/>
    <w:rsid w:val="00AF30E9"/>
    <w:rsid w:val="00AF32E4"/>
    <w:rsid w:val="00AF32F7"/>
    <w:rsid w:val="00AF38F3"/>
    <w:rsid w:val="00AF3B09"/>
    <w:rsid w:val="00AF46AD"/>
    <w:rsid w:val="00AF46B5"/>
    <w:rsid w:val="00AF4711"/>
    <w:rsid w:val="00AF4EAF"/>
    <w:rsid w:val="00AF5049"/>
    <w:rsid w:val="00AF5D11"/>
    <w:rsid w:val="00AF61A6"/>
    <w:rsid w:val="00AF66A2"/>
    <w:rsid w:val="00AF6A61"/>
    <w:rsid w:val="00AF717A"/>
    <w:rsid w:val="00AF72D6"/>
    <w:rsid w:val="00AF7407"/>
    <w:rsid w:val="00AF768A"/>
    <w:rsid w:val="00AF76D2"/>
    <w:rsid w:val="00AF7E04"/>
    <w:rsid w:val="00B000CF"/>
    <w:rsid w:val="00B0123F"/>
    <w:rsid w:val="00B01B80"/>
    <w:rsid w:val="00B02530"/>
    <w:rsid w:val="00B025EB"/>
    <w:rsid w:val="00B02AC2"/>
    <w:rsid w:val="00B02EAC"/>
    <w:rsid w:val="00B04131"/>
    <w:rsid w:val="00B048F2"/>
    <w:rsid w:val="00B04AB7"/>
    <w:rsid w:val="00B04AD2"/>
    <w:rsid w:val="00B04C6D"/>
    <w:rsid w:val="00B04C71"/>
    <w:rsid w:val="00B05233"/>
    <w:rsid w:val="00B054E9"/>
    <w:rsid w:val="00B055C5"/>
    <w:rsid w:val="00B06BB8"/>
    <w:rsid w:val="00B06E42"/>
    <w:rsid w:val="00B070CB"/>
    <w:rsid w:val="00B07754"/>
    <w:rsid w:val="00B07FD0"/>
    <w:rsid w:val="00B10423"/>
    <w:rsid w:val="00B10453"/>
    <w:rsid w:val="00B10A39"/>
    <w:rsid w:val="00B10B09"/>
    <w:rsid w:val="00B10E95"/>
    <w:rsid w:val="00B110E8"/>
    <w:rsid w:val="00B11113"/>
    <w:rsid w:val="00B11588"/>
    <w:rsid w:val="00B1183C"/>
    <w:rsid w:val="00B11B41"/>
    <w:rsid w:val="00B122FF"/>
    <w:rsid w:val="00B13071"/>
    <w:rsid w:val="00B13AE1"/>
    <w:rsid w:val="00B13BED"/>
    <w:rsid w:val="00B145A2"/>
    <w:rsid w:val="00B15042"/>
    <w:rsid w:val="00B151E2"/>
    <w:rsid w:val="00B15452"/>
    <w:rsid w:val="00B1584A"/>
    <w:rsid w:val="00B15944"/>
    <w:rsid w:val="00B15947"/>
    <w:rsid w:val="00B15E64"/>
    <w:rsid w:val="00B1628C"/>
    <w:rsid w:val="00B16802"/>
    <w:rsid w:val="00B17727"/>
    <w:rsid w:val="00B1791A"/>
    <w:rsid w:val="00B17998"/>
    <w:rsid w:val="00B17A10"/>
    <w:rsid w:val="00B2047E"/>
    <w:rsid w:val="00B20CE7"/>
    <w:rsid w:val="00B21C94"/>
    <w:rsid w:val="00B21D12"/>
    <w:rsid w:val="00B21F44"/>
    <w:rsid w:val="00B22317"/>
    <w:rsid w:val="00B2262B"/>
    <w:rsid w:val="00B22DFE"/>
    <w:rsid w:val="00B23137"/>
    <w:rsid w:val="00B23D3D"/>
    <w:rsid w:val="00B24480"/>
    <w:rsid w:val="00B2462B"/>
    <w:rsid w:val="00B24BBF"/>
    <w:rsid w:val="00B24DB8"/>
    <w:rsid w:val="00B2505F"/>
    <w:rsid w:val="00B2575B"/>
    <w:rsid w:val="00B25843"/>
    <w:rsid w:val="00B259E2"/>
    <w:rsid w:val="00B26137"/>
    <w:rsid w:val="00B26511"/>
    <w:rsid w:val="00B26630"/>
    <w:rsid w:val="00B26A92"/>
    <w:rsid w:val="00B302F7"/>
    <w:rsid w:val="00B3043C"/>
    <w:rsid w:val="00B304AB"/>
    <w:rsid w:val="00B306C8"/>
    <w:rsid w:val="00B30A3E"/>
    <w:rsid w:val="00B3174D"/>
    <w:rsid w:val="00B31D73"/>
    <w:rsid w:val="00B32CAE"/>
    <w:rsid w:val="00B32CC0"/>
    <w:rsid w:val="00B32D66"/>
    <w:rsid w:val="00B33EC6"/>
    <w:rsid w:val="00B34800"/>
    <w:rsid w:val="00B34A0B"/>
    <w:rsid w:val="00B357D3"/>
    <w:rsid w:val="00B35932"/>
    <w:rsid w:val="00B35AB0"/>
    <w:rsid w:val="00B35AED"/>
    <w:rsid w:val="00B361E5"/>
    <w:rsid w:val="00B36AD6"/>
    <w:rsid w:val="00B36F0B"/>
    <w:rsid w:val="00B37276"/>
    <w:rsid w:val="00B379DB"/>
    <w:rsid w:val="00B37BB0"/>
    <w:rsid w:val="00B40116"/>
    <w:rsid w:val="00B401DF"/>
    <w:rsid w:val="00B40375"/>
    <w:rsid w:val="00B4062B"/>
    <w:rsid w:val="00B40CE3"/>
    <w:rsid w:val="00B40FC0"/>
    <w:rsid w:val="00B417BE"/>
    <w:rsid w:val="00B41851"/>
    <w:rsid w:val="00B418BF"/>
    <w:rsid w:val="00B41D46"/>
    <w:rsid w:val="00B41D6B"/>
    <w:rsid w:val="00B41D78"/>
    <w:rsid w:val="00B430A9"/>
    <w:rsid w:val="00B4323B"/>
    <w:rsid w:val="00B438E6"/>
    <w:rsid w:val="00B43BCB"/>
    <w:rsid w:val="00B43EA1"/>
    <w:rsid w:val="00B44BE5"/>
    <w:rsid w:val="00B44BF2"/>
    <w:rsid w:val="00B44F27"/>
    <w:rsid w:val="00B45095"/>
    <w:rsid w:val="00B45BB5"/>
    <w:rsid w:val="00B45DB4"/>
    <w:rsid w:val="00B45E68"/>
    <w:rsid w:val="00B45F13"/>
    <w:rsid w:val="00B45F43"/>
    <w:rsid w:val="00B46490"/>
    <w:rsid w:val="00B47676"/>
    <w:rsid w:val="00B47C26"/>
    <w:rsid w:val="00B50091"/>
    <w:rsid w:val="00B50CA8"/>
    <w:rsid w:val="00B50FDE"/>
    <w:rsid w:val="00B51A92"/>
    <w:rsid w:val="00B52517"/>
    <w:rsid w:val="00B52686"/>
    <w:rsid w:val="00B5296A"/>
    <w:rsid w:val="00B5364F"/>
    <w:rsid w:val="00B53758"/>
    <w:rsid w:val="00B53F79"/>
    <w:rsid w:val="00B541CC"/>
    <w:rsid w:val="00B54C72"/>
    <w:rsid w:val="00B551B9"/>
    <w:rsid w:val="00B55348"/>
    <w:rsid w:val="00B556A7"/>
    <w:rsid w:val="00B55724"/>
    <w:rsid w:val="00B55B2C"/>
    <w:rsid w:val="00B56D0C"/>
    <w:rsid w:val="00B57654"/>
    <w:rsid w:val="00B603CC"/>
    <w:rsid w:val="00B608F9"/>
    <w:rsid w:val="00B60B5B"/>
    <w:rsid w:val="00B60D0F"/>
    <w:rsid w:val="00B60F34"/>
    <w:rsid w:val="00B61038"/>
    <w:rsid w:val="00B621C3"/>
    <w:rsid w:val="00B62633"/>
    <w:rsid w:val="00B62911"/>
    <w:rsid w:val="00B62B9A"/>
    <w:rsid w:val="00B62CA9"/>
    <w:rsid w:val="00B62FE7"/>
    <w:rsid w:val="00B63393"/>
    <w:rsid w:val="00B63C9D"/>
    <w:rsid w:val="00B63CEA"/>
    <w:rsid w:val="00B63EA1"/>
    <w:rsid w:val="00B642C5"/>
    <w:rsid w:val="00B64333"/>
    <w:rsid w:val="00B64AEB"/>
    <w:rsid w:val="00B65428"/>
    <w:rsid w:val="00B6543E"/>
    <w:rsid w:val="00B65DED"/>
    <w:rsid w:val="00B662A8"/>
    <w:rsid w:val="00B66498"/>
    <w:rsid w:val="00B67187"/>
    <w:rsid w:val="00B671F7"/>
    <w:rsid w:val="00B67684"/>
    <w:rsid w:val="00B6795C"/>
    <w:rsid w:val="00B67A7D"/>
    <w:rsid w:val="00B7031C"/>
    <w:rsid w:val="00B70391"/>
    <w:rsid w:val="00B704BA"/>
    <w:rsid w:val="00B70767"/>
    <w:rsid w:val="00B7109A"/>
    <w:rsid w:val="00B71585"/>
    <w:rsid w:val="00B717A7"/>
    <w:rsid w:val="00B71B3B"/>
    <w:rsid w:val="00B722C5"/>
    <w:rsid w:val="00B72614"/>
    <w:rsid w:val="00B72941"/>
    <w:rsid w:val="00B72C49"/>
    <w:rsid w:val="00B730A8"/>
    <w:rsid w:val="00B73496"/>
    <w:rsid w:val="00B74BF4"/>
    <w:rsid w:val="00B74D83"/>
    <w:rsid w:val="00B74E8D"/>
    <w:rsid w:val="00B75B0C"/>
    <w:rsid w:val="00B75BEC"/>
    <w:rsid w:val="00B7612F"/>
    <w:rsid w:val="00B7629F"/>
    <w:rsid w:val="00B7660B"/>
    <w:rsid w:val="00B775EE"/>
    <w:rsid w:val="00B77AA3"/>
    <w:rsid w:val="00B77BC4"/>
    <w:rsid w:val="00B77BE9"/>
    <w:rsid w:val="00B8043D"/>
    <w:rsid w:val="00B805F5"/>
    <w:rsid w:val="00B806D2"/>
    <w:rsid w:val="00B809EE"/>
    <w:rsid w:val="00B81128"/>
    <w:rsid w:val="00B816BE"/>
    <w:rsid w:val="00B817AF"/>
    <w:rsid w:val="00B81828"/>
    <w:rsid w:val="00B81882"/>
    <w:rsid w:val="00B827DF"/>
    <w:rsid w:val="00B82A65"/>
    <w:rsid w:val="00B83885"/>
    <w:rsid w:val="00B83A54"/>
    <w:rsid w:val="00B841FE"/>
    <w:rsid w:val="00B84390"/>
    <w:rsid w:val="00B846A1"/>
    <w:rsid w:val="00B84DA8"/>
    <w:rsid w:val="00B85059"/>
    <w:rsid w:val="00B8579B"/>
    <w:rsid w:val="00B859DD"/>
    <w:rsid w:val="00B85B39"/>
    <w:rsid w:val="00B85DD3"/>
    <w:rsid w:val="00B85F2D"/>
    <w:rsid w:val="00B8605C"/>
    <w:rsid w:val="00B861B9"/>
    <w:rsid w:val="00B86262"/>
    <w:rsid w:val="00B863E1"/>
    <w:rsid w:val="00B864DD"/>
    <w:rsid w:val="00B865AD"/>
    <w:rsid w:val="00B869BD"/>
    <w:rsid w:val="00B86E4A"/>
    <w:rsid w:val="00B86F2A"/>
    <w:rsid w:val="00B8721B"/>
    <w:rsid w:val="00B878F7"/>
    <w:rsid w:val="00B8798B"/>
    <w:rsid w:val="00B87D6D"/>
    <w:rsid w:val="00B87F84"/>
    <w:rsid w:val="00B90036"/>
    <w:rsid w:val="00B900D7"/>
    <w:rsid w:val="00B9029E"/>
    <w:rsid w:val="00B90750"/>
    <w:rsid w:val="00B90C7C"/>
    <w:rsid w:val="00B90E29"/>
    <w:rsid w:val="00B91061"/>
    <w:rsid w:val="00B911A1"/>
    <w:rsid w:val="00B9179E"/>
    <w:rsid w:val="00B91C87"/>
    <w:rsid w:val="00B920A2"/>
    <w:rsid w:val="00B922A3"/>
    <w:rsid w:val="00B931E6"/>
    <w:rsid w:val="00B934B2"/>
    <w:rsid w:val="00B93502"/>
    <w:rsid w:val="00B94574"/>
    <w:rsid w:val="00B94BE9"/>
    <w:rsid w:val="00B95450"/>
    <w:rsid w:val="00B95670"/>
    <w:rsid w:val="00B957B4"/>
    <w:rsid w:val="00B95AEC"/>
    <w:rsid w:val="00B95B0D"/>
    <w:rsid w:val="00B9653F"/>
    <w:rsid w:val="00B96864"/>
    <w:rsid w:val="00B96D3F"/>
    <w:rsid w:val="00B97111"/>
    <w:rsid w:val="00B97A95"/>
    <w:rsid w:val="00B97ED4"/>
    <w:rsid w:val="00BA00BB"/>
    <w:rsid w:val="00BA0463"/>
    <w:rsid w:val="00BA1A09"/>
    <w:rsid w:val="00BA218C"/>
    <w:rsid w:val="00BA38D5"/>
    <w:rsid w:val="00BA412B"/>
    <w:rsid w:val="00BA4775"/>
    <w:rsid w:val="00BA4916"/>
    <w:rsid w:val="00BA4A9E"/>
    <w:rsid w:val="00BA4BCE"/>
    <w:rsid w:val="00BA4CAA"/>
    <w:rsid w:val="00BA50E4"/>
    <w:rsid w:val="00BA536D"/>
    <w:rsid w:val="00BA61EA"/>
    <w:rsid w:val="00BA65F4"/>
    <w:rsid w:val="00BA69CC"/>
    <w:rsid w:val="00BA6A02"/>
    <w:rsid w:val="00BA721F"/>
    <w:rsid w:val="00BA73FB"/>
    <w:rsid w:val="00BA782B"/>
    <w:rsid w:val="00BA79AE"/>
    <w:rsid w:val="00BA7E04"/>
    <w:rsid w:val="00BA7F62"/>
    <w:rsid w:val="00BB01A8"/>
    <w:rsid w:val="00BB0A2A"/>
    <w:rsid w:val="00BB0A9F"/>
    <w:rsid w:val="00BB0DF3"/>
    <w:rsid w:val="00BB0FE5"/>
    <w:rsid w:val="00BB166F"/>
    <w:rsid w:val="00BB1701"/>
    <w:rsid w:val="00BB25EE"/>
    <w:rsid w:val="00BB2690"/>
    <w:rsid w:val="00BB271C"/>
    <w:rsid w:val="00BB2C1D"/>
    <w:rsid w:val="00BB31B5"/>
    <w:rsid w:val="00BB3A4E"/>
    <w:rsid w:val="00BB4D22"/>
    <w:rsid w:val="00BB577A"/>
    <w:rsid w:val="00BB57AA"/>
    <w:rsid w:val="00BB5914"/>
    <w:rsid w:val="00BB611F"/>
    <w:rsid w:val="00BB62C4"/>
    <w:rsid w:val="00BB6D53"/>
    <w:rsid w:val="00BB6D94"/>
    <w:rsid w:val="00BB6F19"/>
    <w:rsid w:val="00BB7377"/>
    <w:rsid w:val="00BB7DBB"/>
    <w:rsid w:val="00BC0864"/>
    <w:rsid w:val="00BC0A98"/>
    <w:rsid w:val="00BC0B89"/>
    <w:rsid w:val="00BC0C85"/>
    <w:rsid w:val="00BC0F4B"/>
    <w:rsid w:val="00BC1050"/>
    <w:rsid w:val="00BC1BB1"/>
    <w:rsid w:val="00BC1C2A"/>
    <w:rsid w:val="00BC1EE4"/>
    <w:rsid w:val="00BC21F9"/>
    <w:rsid w:val="00BC239E"/>
    <w:rsid w:val="00BC2B55"/>
    <w:rsid w:val="00BC2F21"/>
    <w:rsid w:val="00BC338F"/>
    <w:rsid w:val="00BC3B34"/>
    <w:rsid w:val="00BC4181"/>
    <w:rsid w:val="00BC41CD"/>
    <w:rsid w:val="00BC459A"/>
    <w:rsid w:val="00BC463D"/>
    <w:rsid w:val="00BC4703"/>
    <w:rsid w:val="00BC5168"/>
    <w:rsid w:val="00BC5347"/>
    <w:rsid w:val="00BC56F5"/>
    <w:rsid w:val="00BC5949"/>
    <w:rsid w:val="00BC5ADA"/>
    <w:rsid w:val="00BC5B3B"/>
    <w:rsid w:val="00BC6063"/>
    <w:rsid w:val="00BC6D1C"/>
    <w:rsid w:val="00BD0222"/>
    <w:rsid w:val="00BD0739"/>
    <w:rsid w:val="00BD0999"/>
    <w:rsid w:val="00BD0C37"/>
    <w:rsid w:val="00BD0EA8"/>
    <w:rsid w:val="00BD15C0"/>
    <w:rsid w:val="00BD1747"/>
    <w:rsid w:val="00BD17AE"/>
    <w:rsid w:val="00BD2156"/>
    <w:rsid w:val="00BD21D3"/>
    <w:rsid w:val="00BD2325"/>
    <w:rsid w:val="00BD25D0"/>
    <w:rsid w:val="00BD264E"/>
    <w:rsid w:val="00BD33BE"/>
    <w:rsid w:val="00BD419A"/>
    <w:rsid w:val="00BD4279"/>
    <w:rsid w:val="00BD4E57"/>
    <w:rsid w:val="00BD4FFB"/>
    <w:rsid w:val="00BD5228"/>
    <w:rsid w:val="00BD5CF3"/>
    <w:rsid w:val="00BD62DB"/>
    <w:rsid w:val="00BD6D2A"/>
    <w:rsid w:val="00BD75DB"/>
    <w:rsid w:val="00BD77E6"/>
    <w:rsid w:val="00BD7A13"/>
    <w:rsid w:val="00BD7E48"/>
    <w:rsid w:val="00BD7EED"/>
    <w:rsid w:val="00BE03D4"/>
    <w:rsid w:val="00BE04D0"/>
    <w:rsid w:val="00BE09B7"/>
    <w:rsid w:val="00BE09F1"/>
    <w:rsid w:val="00BE09F7"/>
    <w:rsid w:val="00BE0A43"/>
    <w:rsid w:val="00BE0D34"/>
    <w:rsid w:val="00BE197E"/>
    <w:rsid w:val="00BE1CCB"/>
    <w:rsid w:val="00BE234D"/>
    <w:rsid w:val="00BE3064"/>
    <w:rsid w:val="00BE3127"/>
    <w:rsid w:val="00BE34D0"/>
    <w:rsid w:val="00BE3618"/>
    <w:rsid w:val="00BE388C"/>
    <w:rsid w:val="00BE4D04"/>
    <w:rsid w:val="00BE4FB6"/>
    <w:rsid w:val="00BE5174"/>
    <w:rsid w:val="00BE56F6"/>
    <w:rsid w:val="00BE5DE7"/>
    <w:rsid w:val="00BE5EF9"/>
    <w:rsid w:val="00BE623A"/>
    <w:rsid w:val="00BE7014"/>
    <w:rsid w:val="00BE72D5"/>
    <w:rsid w:val="00BE73F3"/>
    <w:rsid w:val="00BE76CA"/>
    <w:rsid w:val="00BE7A18"/>
    <w:rsid w:val="00BE7EA0"/>
    <w:rsid w:val="00BE7FA5"/>
    <w:rsid w:val="00BF0073"/>
    <w:rsid w:val="00BF0E93"/>
    <w:rsid w:val="00BF0FC0"/>
    <w:rsid w:val="00BF1053"/>
    <w:rsid w:val="00BF1071"/>
    <w:rsid w:val="00BF15BE"/>
    <w:rsid w:val="00BF1638"/>
    <w:rsid w:val="00BF1D87"/>
    <w:rsid w:val="00BF1D8C"/>
    <w:rsid w:val="00BF2164"/>
    <w:rsid w:val="00BF2374"/>
    <w:rsid w:val="00BF239E"/>
    <w:rsid w:val="00BF2558"/>
    <w:rsid w:val="00BF2808"/>
    <w:rsid w:val="00BF293D"/>
    <w:rsid w:val="00BF2E99"/>
    <w:rsid w:val="00BF2EDD"/>
    <w:rsid w:val="00BF3133"/>
    <w:rsid w:val="00BF36F4"/>
    <w:rsid w:val="00BF4454"/>
    <w:rsid w:val="00BF4AE0"/>
    <w:rsid w:val="00BF4BB9"/>
    <w:rsid w:val="00BF4CED"/>
    <w:rsid w:val="00BF5618"/>
    <w:rsid w:val="00BF5901"/>
    <w:rsid w:val="00BF5F4C"/>
    <w:rsid w:val="00BF5F99"/>
    <w:rsid w:val="00BF68C9"/>
    <w:rsid w:val="00BF72BE"/>
    <w:rsid w:val="00C0028E"/>
    <w:rsid w:val="00C01B36"/>
    <w:rsid w:val="00C0241D"/>
    <w:rsid w:val="00C0249B"/>
    <w:rsid w:val="00C0299F"/>
    <w:rsid w:val="00C0301B"/>
    <w:rsid w:val="00C0302E"/>
    <w:rsid w:val="00C0327A"/>
    <w:rsid w:val="00C03677"/>
    <w:rsid w:val="00C03972"/>
    <w:rsid w:val="00C04140"/>
    <w:rsid w:val="00C0467A"/>
    <w:rsid w:val="00C04BB9"/>
    <w:rsid w:val="00C04DE4"/>
    <w:rsid w:val="00C057F4"/>
    <w:rsid w:val="00C0583E"/>
    <w:rsid w:val="00C05942"/>
    <w:rsid w:val="00C05B3B"/>
    <w:rsid w:val="00C06E69"/>
    <w:rsid w:val="00C0727C"/>
    <w:rsid w:val="00C10951"/>
    <w:rsid w:val="00C10A9A"/>
    <w:rsid w:val="00C11280"/>
    <w:rsid w:val="00C1244D"/>
    <w:rsid w:val="00C13AFF"/>
    <w:rsid w:val="00C14D9A"/>
    <w:rsid w:val="00C15D84"/>
    <w:rsid w:val="00C16B8D"/>
    <w:rsid w:val="00C16F5E"/>
    <w:rsid w:val="00C17465"/>
    <w:rsid w:val="00C20222"/>
    <w:rsid w:val="00C20348"/>
    <w:rsid w:val="00C2067B"/>
    <w:rsid w:val="00C20793"/>
    <w:rsid w:val="00C207AA"/>
    <w:rsid w:val="00C216FE"/>
    <w:rsid w:val="00C21925"/>
    <w:rsid w:val="00C21F1C"/>
    <w:rsid w:val="00C2246E"/>
    <w:rsid w:val="00C22CF7"/>
    <w:rsid w:val="00C24288"/>
    <w:rsid w:val="00C24291"/>
    <w:rsid w:val="00C24BAB"/>
    <w:rsid w:val="00C250B5"/>
    <w:rsid w:val="00C253C6"/>
    <w:rsid w:val="00C2593A"/>
    <w:rsid w:val="00C259A3"/>
    <w:rsid w:val="00C2601C"/>
    <w:rsid w:val="00C26D5E"/>
    <w:rsid w:val="00C26FDB"/>
    <w:rsid w:val="00C2761C"/>
    <w:rsid w:val="00C27920"/>
    <w:rsid w:val="00C3083C"/>
    <w:rsid w:val="00C309D2"/>
    <w:rsid w:val="00C31218"/>
    <w:rsid w:val="00C315A4"/>
    <w:rsid w:val="00C31CA6"/>
    <w:rsid w:val="00C31FB4"/>
    <w:rsid w:val="00C32966"/>
    <w:rsid w:val="00C32F2A"/>
    <w:rsid w:val="00C3368F"/>
    <w:rsid w:val="00C3388F"/>
    <w:rsid w:val="00C339F8"/>
    <w:rsid w:val="00C33C66"/>
    <w:rsid w:val="00C33CCC"/>
    <w:rsid w:val="00C34013"/>
    <w:rsid w:val="00C34244"/>
    <w:rsid w:val="00C34402"/>
    <w:rsid w:val="00C34558"/>
    <w:rsid w:val="00C3537D"/>
    <w:rsid w:val="00C3544A"/>
    <w:rsid w:val="00C35928"/>
    <w:rsid w:val="00C36A51"/>
    <w:rsid w:val="00C36B5C"/>
    <w:rsid w:val="00C36CEF"/>
    <w:rsid w:val="00C36DE1"/>
    <w:rsid w:val="00C3725B"/>
    <w:rsid w:val="00C376AE"/>
    <w:rsid w:val="00C3779E"/>
    <w:rsid w:val="00C405A4"/>
    <w:rsid w:val="00C40988"/>
    <w:rsid w:val="00C40C7C"/>
    <w:rsid w:val="00C4148A"/>
    <w:rsid w:val="00C416AA"/>
    <w:rsid w:val="00C424A7"/>
    <w:rsid w:val="00C42D9C"/>
    <w:rsid w:val="00C42FA0"/>
    <w:rsid w:val="00C43EE4"/>
    <w:rsid w:val="00C43FE4"/>
    <w:rsid w:val="00C44139"/>
    <w:rsid w:val="00C44622"/>
    <w:rsid w:val="00C44C3B"/>
    <w:rsid w:val="00C45039"/>
    <w:rsid w:val="00C46404"/>
    <w:rsid w:val="00C46A1E"/>
    <w:rsid w:val="00C46C78"/>
    <w:rsid w:val="00C508AC"/>
    <w:rsid w:val="00C50C52"/>
    <w:rsid w:val="00C5135D"/>
    <w:rsid w:val="00C52664"/>
    <w:rsid w:val="00C52880"/>
    <w:rsid w:val="00C52B18"/>
    <w:rsid w:val="00C52C4F"/>
    <w:rsid w:val="00C52CF9"/>
    <w:rsid w:val="00C53995"/>
    <w:rsid w:val="00C53ABA"/>
    <w:rsid w:val="00C53EAD"/>
    <w:rsid w:val="00C54232"/>
    <w:rsid w:val="00C546E6"/>
    <w:rsid w:val="00C549C1"/>
    <w:rsid w:val="00C54A4B"/>
    <w:rsid w:val="00C550E5"/>
    <w:rsid w:val="00C55668"/>
    <w:rsid w:val="00C56A43"/>
    <w:rsid w:val="00C56AB6"/>
    <w:rsid w:val="00C6024E"/>
    <w:rsid w:val="00C607BD"/>
    <w:rsid w:val="00C60F7C"/>
    <w:rsid w:val="00C612E2"/>
    <w:rsid w:val="00C61D28"/>
    <w:rsid w:val="00C6267D"/>
    <w:rsid w:val="00C62900"/>
    <w:rsid w:val="00C62AEB"/>
    <w:rsid w:val="00C62BEF"/>
    <w:rsid w:val="00C63531"/>
    <w:rsid w:val="00C63AAB"/>
    <w:rsid w:val="00C63ADA"/>
    <w:rsid w:val="00C6489F"/>
    <w:rsid w:val="00C65D89"/>
    <w:rsid w:val="00C65E46"/>
    <w:rsid w:val="00C6679B"/>
    <w:rsid w:val="00C67234"/>
    <w:rsid w:val="00C67249"/>
    <w:rsid w:val="00C67ADA"/>
    <w:rsid w:val="00C67D31"/>
    <w:rsid w:val="00C70728"/>
    <w:rsid w:val="00C709E1"/>
    <w:rsid w:val="00C70ACC"/>
    <w:rsid w:val="00C71865"/>
    <w:rsid w:val="00C71B44"/>
    <w:rsid w:val="00C7255D"/>
    <w:rsid w:val="00C72DCF"/>
    <w:rsid w:val="00C72F47"/>
    <w:rsid w:val="00C73D9D"/>
    <w:rsid w:val="00C7463C"/>
    <w:rsid w:val="00C74814"/>
    <w:rsid w:val="00C74E25"/>
    <w:rsid w:val="00C75720"/>
    <w:rsid w:val="00C758F4"/>
    <w:rsid w:val="00C75A45"/>
    <w:rsid w:val="00C75C23"/>
    <w:rsid w:val="00C75FD1"/>
    <w:rsid w:val="00C76492"/>
    <w:rsid w:val="00C76545"/>
    <w:rsid w:val="00C76946"/>
    <w:rsid w:val="00C76BA7"/>
    <w:rsid w:val="00C76C21"/>
    <w:rsid w:val="00C76E7F"/>
    <w:rsid w:val="00C77107"/>
    <w:rsid w:val="00C7758F"/>
    <w:rsid w:val="00C77816"/>
    <w:rsid w:val="00C77A56"/>
    <w:rsid w:val="00C77CCA"/>
    <w:rsid w:val="00C80158"/>
    <w:rsid w:val="00C8051B"/>
    <w:rsid w:val="00C807FA"/>
    <w:rsid w:val="00C80A4A"/>
    <w:rsid w:val="00C80C84"/>
    <w:rsid w:val="00C81218"/>
    <w:rsid w:val="00C81632"/>
    <w:rsid w:val="00C81BD7"/>
    <w:rsid w:val="00C8232A"/>
    <w:rsid w:val="00C82513"/>
    <w:rsid w:val="00C82CE7"/>
    <w:rsid w:val="00C831A4"/>
    <w:rsid w:val="00C833E7"/>
    <w:rsid w:val="00C8361C"/>
    <w:rsid w:val="00C8380B"/>
    <w:rsid w:val="00C83D7C"/>
    <w:rsid w:val="00C84116"/>
    <w:rsid w:val="00C84E57"/>
    <w:rsid w:val="00C85F01"/>
    <w:rsid w:val="00C864E0"/>
    <w:rsid w:val="00C86A7D"/>
    <w:rsid w:val="00C86C8E"/>
    <w:rsid w:val="00C86E1A"/>
    <w:rsid w:val="00C8706C"/>
    <w:rsid w:val="00C873AC"/>
    <w:rsid w:val="00C875D0"/>
    <w:rsid w:val="00C87675"/>
    <w:rsid w:val="00C9005D"/>
    <w:rsid w:val="00C901E5"/>
    <w:rsid w:val="00C902F3"/>
    <w:rsid w:val="00C90976"/>
    <w:rsid w:val="00C90BE2"/>
    <w:rsid w:val="00C90E5B"/>
    <w:rsid w:val="00C91224"/>
    <w:rsid w:val="00C91515"/>
    <w:rsid w:val="00C924DC"/>
    <w:rsid w:val="00C92620"/>
    <w:rsid w:val="00C92BD6"/>
    <w:rsid w:val="00C92E25"/>
    <w:rsid w:val="00C9331B"/>
    <w:rsid w:val="00C93892"/>
    <w:rsid w:val="00C939AD"/>
    <w:rsid w:val="00C9462E"/>
    <w:rsid w:val="00C94BE5"/>
    <w:rsid w:val="00C94D14"/>
    <w:rsid w:val="00C94F7D"/>
    <w:rsid w:val="00C950D0"/>
    <w:rsid w:val="00C95598"/>
    <w:rsid w:val="00C964F7"/>
    <w:rsid w:val="00C9695D"/>
    <w:rsid w:val="00C96CF9"/>
    <w:rsid w:val="00C96D72"/>
    <w:rsid w:val="00C96E86"/>
    <w:rsid w:val="00C96ECF"/>
    <w:rsid w:val="00C973CB"/>
    <w:rsid w:val="00C974B5"/>
    <w:rsid w:val="00C977BD"/>
    <w:rsid w:val="00CA0374"/>
    <w:rsid w:val="00CA0C72"/>
    <w:rsid w:val="00CA0D5F"/>
    <w:rsid w:val="00CA16A1"/>
    <w:rsid w:val="00CA247A"/>
    <w:rsid w:val="00CA2C1B"/>
    <w:rsid w:val="00CA2C7E"/>
    <w:rsid w:val="00CA45F9"/>
    <w:rsid w:val="00CA4DE8"/>
    <w:rsid w:val="00CA4F71"/>
    <w:rsid w:val="00CA5201"/>
    <w:rsid w:val="00CA53BD"/>
    <w:rsid w:val="00CA5CB4"/>
    <w:rsid w:val="00CA6339"/>
    <w:rsid w:val="00CA6E31"/>
    <w:rsid w:val="00CA74CD"/>
    <w:rsid w:val="00CA75E4"/>
    <w:rsid w:val="00CA7834"/>
    <w:rsid w:val="00CA78C6"/>
    <w:rsid w:val="00CA7D62"/>
    <w:rsid w:val="00CB0145"/>
    <w:rsid w:val="00CB019A"/>
    <w:rsid w:val="00CB0203"/>
    <w:rsid w:val="00CB0BE2"/>
    <w:rsid w:val="00CB104B"/>
    <w:rsid w:val="00CB1210"/>
    <w:rsid w:val="00CB12C4"/>
    <w:rsid w:val="00CB1DE9"/>
    <w:rsid w:val="00CB2408"/>
    <w:rsid w:val="00CB30B4"/>
    <w:rsid w:val="00CB4274"/>
    <w:rsid w:val="00CB49F8"/>
    <w:rsid w:val="00CB4A23"/>
    <w:rsid w:val="00CB4BBB"/>
    <w:rsid w:val="00CB5597"/>
    <w:rsid w:val="00CB57D5"/>
    <w:rsid w:val="00CB5EBB"/>
    <w:rsid w:val="00CB6719"/>
    <w:rsid w:val="00CB6C03"/>
    <w:rsid w:val="00CB7176"/>
    <w:rsid w:val="00CB7464"/>
    <w:rsid w:val="00CB75AA"/>
    <w:rsid w:val="00CB774B"/>
    <w:rsid w:val="00CB7EBB"/>
    <w:rsid w:val="00CC03F0"/>
    <w:rsid w:val="00CC041B"/>
    <w:rsid w:val="00CC0525"/>
    <w:rsid w:val="00CC13CF"/>
    <w:rsid w:val="00CC1E32"/>
    <w:rsid w:val="00CC25DF"/>
    <w:rsid w:val="00CC27A3"/>
    <w:rsid w:val="00CC3678"/>
    <w:rsid w:val="00CC3CFE"/>
    <w:rsid w:val="00CC49DD"/>
    <w:rsid w:val="00CC4DD0"/>
    <w:rsid w:val="00CC5184"/>
    <w:rsid w:val="00CC5E90"/>
    <w:rsid w:val="00CC65E2"/>
    <w:rsid w:val="00CC6A1F"/>
    <w:rsid w:val="00CC6D94"/>
    <w:rsid w:val="00CC7129"/>
    <w:rsid w:val="00CD00B9"/>
    <w:rsid w:val="00CD04A1"/>
    <w:rsid w:val="00CD0EB0"/>
    <w:rsid w:val="00CD0F26"/>
    <w:rsid w:val="00CD10FB"/>
    <w:rsid w:val="00CD17BA"/>
    <w:rsid w:val="00CD1A59"/>
    <w:rsid w:val="00CD1E30"/>
    <w:rsid w:val="00CD2CB5"/>
    <w:rsid w:val="00CD2CD5"/>
    <w:rsid w:val="00CD2FE4"/>
    <w:rsid w:val="00CD37E2"/>
    <w:rsid w:val="00CD3A5D"/>
    <w:rsid w:val="00CD3EE2"/>
    <w:rsid w:val="00CD4AFA"/>
    <w:rsid w:val="00CD50C3"/>
    <w:rsid w:val="00CD51E1"/>
    <w:rsid w:val="00CD58A0"/>
    <w:rsid w:val="00CD64B2"/>
    <w:rsid w:val="00CD6B87"/>
    <w:rsid w:val="00CD6CE3"/>
    <w:rsid w:val="00CE0349"/>
    <w:rsid w:val="00CE03B9"/>
    <w:rsid w:val="00CE0D46"/>
    <w:rsid w:val="00CE153D"/>
    <w:rsid w:val="00CE1B18"/>
    <w:rsid w:val="00CE1F79"/>
    <w:rsid w:val="00CE25D8"/>
    <w:rsid w:val="00CE2CC2"/>
    <w:rsid w:val="00CE2F4F"/>
    <w:rsid w:val="00CE30F5"/>
    <w:rsid w:val="00CE3336"/>
    <w:rsid w:val="00CE3A74"/>
    <w:rsid w:val="00CE3BD4"/>
    <w:rsid w:val="00CE3FB7"/>
    <w:rsid w:val="00CE40A4"/>
    <w:rsid w:val="00CE423D"/>
    <w:rsid w:val="00CE4ABD"/>
    <w:rsid w:val="00CE4C61"/>
    <w:rsid w:val="00CE4F7F"/>
    <w:rsid w:val="00CE517D"/>
    <w:rsid w:val="00CE56D6"/>
    <w:rsid w:val="00CE686F"/>
    <w:rsid w:val="00CE68F0"/>
    <w:rsid w:val="00CE761D"/>
    <w:rsid w:val="00CF0B95"/>
    <w:rsid w:val="00CF0D21"/>
    <w:rsid w:val="00CF102D"/>
    <w:rsid w:val="00CF187B"/>
    <w:rsid w:val="00CF1B36"/>
    <w:rsid w:val="00CF1B66"/>
    <w:rsid w:val="00CF1B9B"/>
    <w:rsid w:val="00CF205C"/>
    <w:rsid w:val="00CF263F"/>
    <w:rsid w:val="00CF278D"/>
    <w:rsid w:val="00CF2ABB"/>
    <w:rsid w:val="00CF3366"/>
    <w:rsid w:val="00CF3EF8"/>
    <w:rsid w:val="00CF4097"/>
    <w:rsid w:val="00CF4353"/>
    <w:rsid w:val="00CF47E5"/>
    <w:rsid w:val="00CF5697"/>
    <w:rsid w:val="00CF5C74"/>
    <w:rsid w:val="00CF60A4"/>
    <w:rsid w:val="00CF6A9A"/>
    <w:rsid w:val="00CF7246"/>
    <w:rsid w:val="00CF7E50"/>
    <w:rsid w:val="00D00FBD"/>
    <w:rsid w:val="00D01396"/>
    <w:rsid w:val="00D01674"/>
    <w:rsid w:val="00D0167D"/>
    <w:rsid w:val="00D01F46"/>
    <w:rsid w:val="00D0291D"/>
    <w:rsid w:val="00D02AC8"/>
    <w:rsid w:val="00D02EB2"/>
    <w:rsid w:val="00D031EA"/>
    <w:rsid w:val="00D043E4"/>
    <w:rsid w:val="00D047CE"/>
    <w:rsid w:val="00D04894"/>
    <w:rsid w:val="00D05192"/>
    <w:rsid w:val="00D054CF"/>
    <w:rsid w:val="00D05DB1"/>
    <w:rsid w:val="00D062B7"/>
    <w:rsid w:val="00D0671A"/>
    <w:rsid w:val="00D071F5"/>
    <w:rsid w:val="00D07329"/>
    <w:rsid w:val="00D076A5"/>
    <w:rsid w:val="00D07A01"/>
    <w:rsid w:val="00D07A40"/>
    <w:rsid w:val="00D1025C"/>
    <w:rsid w:val="00D10848"/>
    <w:rsid w:val="00D1115C"/>
    <w:rsid w:val="00D1123A"/>
    <w:rsid w:val="00D11456"/>
    <w:rsid w:val="00D12824"/>
    <w:rsid w:val="00D12882"/>
    <w:rsid w:val="00D129F6"/>
    <w:rsid w:val="00D12FF9"/>
    <w:rsid w:val="00D131D1"/>
    <w:rsid w:val="00D13292"/>
    <w:rsid w:val="00D134A6"/>
    <w:rsid w:val="00D13EEF"/>
    <w:rsid w:val="00D142C7"/>
    <w:rsid w:val="00D14A86"/>
    <w:rsid w:val="00D1532F"/>
    <w:rsid w:val="00D15EEA"/>
    <w:rsid w:val="00D17187"/>
    <w:rsid w:val="00D174EB"/>
    <w:rsid w:val="00D1754C"/>
    <w:rsid w:val="00D17C06"/>
    <w:rsid w:val="00D20829"/>
    <w:rsid w:val="00D20BA1"/>
    <w:rsid w:val="00D20FAB"/>
    <w:rsid w:val="00D2164F"/>
    <w:rsid w:val="00D21908"/>
    <w:rsid w:val="00D228F5"/>
    <w:rsid w:val="00D2324B"/>
    <w:rsid w:val="00D238AD"/>
    <w:rsid w:val="00D23CB7"/>
    <w:rsid w:val="00D24249"/>
    <w:rsid w:val="00D24622"/>
    <w:rsid w:val="00D2501F"/>
    <w:rsid w:val="00D25237"/>
    <w:rsid w:val="00D25571"/>
    <w:rsid w:val="00D25AFC"/>
    <w:rsid w:val="00D2661C"/>
    <w:rsid w:val="00D269BB"/>
    <w:rsid w:val="00D2705E"/>
    <w:rsid w:val="00D274AD"/>
    <w:rsid w:val="00D27C0F"/>
    <w:rsid w:val="00D27D3F"/>
    <w:rsid w:val="00D27E39"/>
    <w:rsid w:val="00D27E41"/>
    <w:rsid w:val="00D30528"/>
    <w:rsid w:val="00D308EA"/>
    <w:rsid w:val="00D31067"/>
    <w:rsid w:val="00D31788"/>
    <w:rsid w:val="00D31827"/>
    <w:rsid w:val="00D31AF8"/>
    <w:rsid w:val="00D32B57"/>
    <w:rsid w:val="00D32DEF"/>
    <w:rsid w:val="00D331C2"/>
    <w:rsid w:val="00D33235"/>
    <w:rsid w:val="00D332A9"/>
    <w:rsid w:val="00D3339A"/>
    <w:rsid w:val="00D33AC6"/>
    <w:rsid w:val="00D33D48"/>
    <w:rsid w:val="00D34219"/>
    <w:rsid w:val="00D35277"/>
    <w:rsid w:val="00D35364"/>
    <w:rsid w:val="00D360F0"/>
    <w:rsid w:val="00D362BD"/>
    <w:rsid w:val="00D36485"/>
    <w:rsid w:val="00D36B2D"/>
    <w:rsid w:val="00D36C5C"/>
    <w:rsid w:val="00D36F13"/>
    <w:rsid w:val="00D37C47"/>
    <w:rsid w:val="00D405D6"/>
    <w:rsid w:val="00D407A3"/>
    <w:rsid w:val="00D408AD"/>
    <w:rsid w:val="00D40DB2"/>
    <w:rsid w:val="00D40EAD"/>
    <w:rsid w:val="00D415AB"/>
    <w:rsid w:val="00D41ADF"/>
    <w:rsid w:val="00D42825"/>
    <w:rsid w:val="00D42864"/>
    <w:rsid w:val="00D42990"/>
    <w:rsid w:val="00D42C44"/>
    <w:rsid w:val="00D42EF2"/>
    <w:rsid w:val="00D43CAB"/>
    <w:rsid w:val="00D43D51"/>
    <w:rsid w:val="00D44375"/>
    <w:rsid w:val="00D443EF"/>
    <w:rsid w:val="00D4470A"/>
    <w:rsid w:val="00D44A27"/>
    <w:rsid w:val="00D44AC9"/>
    <w:rsid w:val="00D44E4C"/>
    <w:rsid w:val="00D453B9"/>
    <w:rsid w:val="00D45CE2"/>
    <w:rsid w:val="00D46BE4"/>
    <w:rsid w:val="00D4703F"/>
    <w:rsid w:val="00D47936"/>
    <w:rsid w:val="00D512D3"/>
    <w:rsid w:val="00D51489"/>
    <w:rsid w:val="00D51AED"/>
    <w:rsid w:val="00D5250F"/>
    <w:rsid w:val="00D52D5E"/>
    <w:rsid w:val="00D52F01"/>
    <w:rsid w:val="00D5300B"/>
    <w:rsid w:val="00D531CA"/>
    <w:rsid w:val="00D534B5"/>
    <w:rsid w:val="00D537BC"/>
    <w:rsid w:val="00D53DD8"/>
    <w:rsid w:val="00D541D4"/>
    <w:rsid w:val="00D54A1A"/>
    <w:rsid w:val="00D54F99"/>
    <w:rsid w:val="00D55881"/>
    <w:rsid w:val="00D558C0"/>
    <w:rsid w:val="00D55B83"/>
    <w:rsid w:val="00D55B99"/>
    <w:rsid w:val="00D563C2"/>
    <w:rsid w:val="00D56C3D"/>
    <w:rsid w:val="00D56ED0"/>
    <w:rsid w:val="00D571B5"/>
    <w:rsid w:val="00D57543"/>
    <w:rsid w:val="00D60666"/>
    <w:rsid w:val="00D607E1"/>
    <w:rsid w:val="00D609D7"/>
    <w:rsid w:val="00D610EF"/>
    <w:rsid w:val="00D61305"/>
    <w:rsid w:val="00D61552"/>
    <w:rsid w:val="00D61D92"/>
    <w:rsid w:val="00D61E5E"/>
    <w:rsid w:val="00D61EFC"/>
    <w:rsid w:val="00D62924"/>
    <w:rsid w:val="00D62FCF"/>
    <w:rsid w:val="00D63309"/>
    <w:rsid w:val="00D635FB"/>
    <w:rsid w:val="00D63BB5"/>
    <w:rsid w:val="00D649B0"/>
    <w:rsid w:val="00D65EB4"/>
    <w:rsid w:val="00D66107"/>
    <w:rsid w:val="00D67194"/>
    <w:rsid w:val="00D6743B"/>
    <w:rsid w:val="00D67648"/>
    <w:rsid w:val="00D70C60"/>
    <w:rsid w:val="00D71058"/>
    <w:rsid w:val="00D717F4"/>
    <w:rsid w:val="00D73071"/>
    <w:rsid w:val="00D734A9"/>
    <w:rsid w:val="00D74605"/>
    <w:rsid w:val="00D74E13"/>
    <w:rsid w:val="00D75330"/>
    <w:rsid w:val="00D7560B"/>
    <w:rsid w:val="00D75AD5"/>
    <w:rsid w:val="00D763E2"/>
    <w:rsid w:val="00D7645E"/>
    <w:rsid w:val="00D764B5"/>
    <w:rsid w:val="00D765C5"/>
    <w:rsid w:val="00D76945"/>
    <w:rsid w:val="00D77667"/>
    <w:rsid w:val="00D77CBE"/>
    <w:rsid w:val="00D803B8"/>
    <w:rsid w:val="00D80B18"/>
    <w:rsid w:val="00D80FE3"/>
    <w:rsid w:val="00D81447"/>
    <w:rsid w:val="00D81F04"/>
    <w:rsid w:val="00D81FF2"/>
    <w:rsid w:val="00D82023"/>
    <w:rsid w:val="00D82516"/>
    <w:rsid w:val="00D83046"/>
    <w:rsid w:val="00D83425"/>
    <w:rsid w:val="00D836FE"/>
    <w:rsid w:val="00D83D83"/>
    <w:rsid w:val="00D83FB1"/>
    <w:rsid w:val="00D845F3"/>
    <w:rsid w:val="00D84873"/>
    <w:rsid w:val="00D8494C"/>
    <w:rsid w:val="00D84BCA"/>
    <w:rsid w:val="00D85235"/>
    <w:rsid w:val="00D85266"/>
    <w:rsid w:val="00D85AB4"/>
    <w:rsid w:val="00D867BD"/>
    <w:rsid w:val="00D87161"/>
    <w:rsid w:val="00D8721D"/>
    <w:rsid w:val="00D87EA2"/>
    <w:rsid w:val="00D87F70"/>
    <w:rsid w:val="00D90896"/>
    <w:rsid w:val="00D90EAC"/>
    <w:rsid w:val="00D91532"/>
    <w:rsid w:val="00D920BA"/>
    <w:rsid w:val="00D930B8"/>
    <w:rsid w:val="00D9359D"/>
    <w:rsid w:val="00D9390B"/>
    <w:rsid w:val="00D945BE"/>
    <w:rsid w:val="00D95312"/>
    <w:rsid w:val="00D95426"/>
    <w:rsid w:val="00D95621"/>
    <w:rsid w:val="00D9581B"/>
    <w:rsid w:val="00D966B7"/>
    <w:rsid w:val="00D96D3C"/>
    <w:rsid w:val="00D97AE9"/>
    <w:rsid w:val="00D97C26"/>
    <w:rsid w:val="00DA0385"/>
    <w:rsid w:val="00DA09B4"/>
    <w:rsid w:val="00DA0A47"/>
    <w:rsid w:val="00DA17D1"/>
    <w:rsid w:val="00DA1958"/>
    <w:rsid w:val="00DA198E"/>
    <w:rsid w:val="00DA1EDA"/>
    <w:rsid w:val="00DA2152"/>
    <w:rsid w:val="00DA25B9"/>
    <w:rsid w:val="00DA27DA"/>
    <w:rsid w:val="00DA2A01"/>
    <w:rsid w:val="00DA3354"/>
    <w:rsid w:val="00DA3804"/>
    <w:rsid w:val="00DA3F6E"/>
    <w:rsid w:val="00DA42BD"/>
    <w:rsid w:val="00DA4655"/>
    <w:rsid w:val="00DA4814"/>
    <w:rsid w:val="00DA4A03"/>
    <w:rsid w:val="00DA4C88"/>
    <w:rsid w:val="00DA4F57"/>
    <w:rsid w:val="00DA5129"/>
    <w:rsid w:val="00DA563F"/>
    <w:rsid w:val="00DA5BE7"/>
    <w:rsid w:val="00DA5E7D"/>
    <w:rsid w:val="00DA6518"/>
    <w:rsid w:val="00DA6F95"/>
    <w:rsid w:val="00DB004E"/>
    <w:rsid w:val="00DB0190"/>
    <w:rsid w:val="00DB02E7"/>
    <w:rsid w:val="00DB03CB"/>
    <w:rsid w:val="00DB08BC"/>
    <w:rsid w:val="00DB0CF3"/>
    <w:rsid w:val="00DB1828"/>
    <w:rsid w:val="00DB1BBA"/>
    <w:rsid w:val="00DB2285"/>
    <w:rsid w:val="00DB2418"/>
    <w:rsid w:val="00DB277E"/>
    <w:rsid w:val="00DB2CC1"/>
    <w:rsid w:val="00DB2D18"/>
    <w:rsid w:val="00DB2D43"/>
    <w:rsid w:val="00DB3080"/>
    <w:rsid w:val="00DB3CC5"/>
    <w:rsid w:val="00DB3F18"/>
    <w:rsid w:val="00DB4D1C"/>
    <w:rsid w:val="00DB55C2"/>
    <w:rsid w:val="00DB63EC"/>
    <w:rsid w:val="00DB6D13"/>
    <w:rsid w:val="00DB70D6"/>
    <w:rsid w:val="00DB7856"/>
    <w:rsid w:val="00DB7B09"/>
    <w:rsid w:val="00DB7D88"/>
    <w:rsid w:val="00DB7F5E"/>
    <w:rsid w:val="00DC0433"/>
    <w:rsid w:val="00DC0677"/>
    <w:rsid w:val="00DC0989"/>
    <w:rsid w:val="00DC0DB0"/>
    <w:rsid w:val="00DC1030"/>
    <w:rsid w:val="00DC1AF1"/>
    <w:rsid w:val="00DC283F"/>
    <w:rsid w:val="00DC3070"/>
    <w:rsid w:val="00DC38E4"/>
    <w:rsid w:val="00DC43E8"/>
    <w:rsid w:val="00DC4502"/>
    <w:rsid w:val="00DC459C"/>
    <w:rsid w:val="00DC4EC8"/>
    <w:rsid w:val="00DC56CA"/>
    <w:rsid w:val="00DC6261"/>
    <w:rsid w:val="00DC67ED"/>
    <w:rsid w:val="00DC6E4C"/>
    <w:rsid w:val="00DC6F90"/>
    <w:rsid w:val="00DC734F"/>
    <w:rsid w:val="00DC7661"/>
    <w:rsid w:val="00DC7A20"/>
    <w:rsid w:val="00DC7E81"/>
    <w:rsid w:val="00DD000C"/>
    <w:rsid w:val="00DD085C"/>
    <w:rsid w:val="00DD0926"/>
    <w:rsid w:val="00DD1EDA"/>
    <w:rsid w:val="00DD1F09"/>
    <w:rsid w:val="00DD25E5"/>
    <w:rsid w:val="00DD277F"/>
    <w:rsid w:val="00DD28C4"/>
    <w:rsid w:val="00DD2B89"/>
    <w:rsid w:val="00DD2E00"/>
    <w:rsid w:val="00DD3058"/>
    <w:rsid w:val="00DD3668"/>
    <w:rsid w:val="00DD36E9"/>
    <w:rsid w:val="00DD3741"/>
    <w:rsid w:val="00DD39FD"/>
    <w:rsid w:val="00DD424F"/>
    <w:rsid w:val="00DD43D9"/>
    <w:rsid w:val="00DD4561"/>
    <w:rsid w:val="00DD483D"/>
    <w:rsid w:val="00DD49F6"/>
    <w:rsid w:val="00DD4F0C"/>
    <w:rsid w:val="00DD5783"/>
    <w:rsid w:val="00DD59DA"/>
    <w:rsid w:val="00DD6449"/>
    <w:rsid w:val="00DD698F"/>
    <w:rsid w:val="00DD6DF5"/>
    <w:rsid w:val="00DD6FF5"/>
    <w:rsid w:val="00DD74B9"/>
    <w:rsid w:val="00DD78E5"/>
    <w:rsid w:val="00DE0815"/>
    <w:rsid w:val="00DE1EDB"/>
    <w:rsid w:val="00DE28BC"/>
    <w:rsid w:val="00DE31FE"/>
    <w:rsid w:val="00DE37BF"/>
    <w:rsid w:val="00DE39E6"/>
    <w:rsid w:val="00DE417D"/>
    <w:rsid w:val="00DE4655"/>
    <w:rsid w:val="00DE47FC"/>
    <w:rsid w:val="00DE4B58"/>
    <w:rsid w:val="00DE4B83"/>
    <w:rsid w:val="00DE5410"/>
    <w:rsid w:val="00DE5657"/>
    <w:rsid w:val="00DE56C7"/>
    <w:rsid w:val="00DE5795"/>
    <w:rsid w:val="00DE62F8"/>
    <w:rsid w:val="00DE650A"/>
    <w:rsid w:val="00DE6CE2"/>
    <w:rsid w:val="00DE741E"/>
    <w:rsid w:val="00DE76F5"/>
    <w:rsid w:val="00DF014E"/>
    <w:rsid w:val="00DF04EC"/>
    <w:rsid w:val="00DF0546"/>
    <w:rsid w:val="00DF09AF"/>
    <w:rsid w:val="00DF1116"/>
    <w:rsid w:val="00DF1266"/>
    <w:rsid w:val="00DF1616"/>
    <w:rsid w:val="00DF1B50"/>
    <w:rsid w:val="00DF1F9D"/>
    <w:rsid w:val="00DF1FA1"/>
    <w:rsid w:val="00DF24F6"/>
    <w:rsid w:val="00DF285B"/>
    <w:rsid w:val="00DF30AC"/>
    <w:rsid w:val="00DF3510"/>
    <w:rsid w:val="00DF3990"/>
    <w:rsid w:val="00DF3A4F"/>
    <w:rsid w:val="00DF3D14"/>
    <w:rsid w:val="00DF3EA3"/>
    <w:rsid w:val="00DF409B"/>
    <w:rsid w:val="00DF443F"/>
    <w:rsid w:val="00DF46E4"/>
    <w:rsid w:val="00DF4826"/>
    <w:rsid w:val="00DF4DFF"/>
    <w:rsid w:val="00DF4EB0"/>
    <w:rsid w:val="00DF52D0"/>
    <w:rsid w:val="00DF5638"/>
    <w:rsid w:val="00DF62C5"/>
    <w:rsid w:val="00DF62CE"/>
    <w:rsid w:val="00DF63D7"/>
    <w:rsid w:val="00DF66F0"/>
    <w:rsid w:val="00DF6F1C"/>
    <w:rsid w:val="00DF7352"/>
    <w:rsid w:val="00DF75B0"/>
    <w:rsid w:val="00DF7CE9"/>
    <w:rsid w:val="00DF7FA2"/>
    <w:rsid w:val="00E00B34"/>
    <w:rsid w:val="00E01B31"/>
    <w:rsid w:val="00E02040"/>
    <w:rsid w:val="00E02298"/>
    <w:rsid w:val="00E02302"/>
    <w:rsid w:val="00E02412"/>
    <w:rsid w:val="00E03A04"/>
    <w:rsid w:val="00E04491"/>
    <w:rsid w:val="00E046F8"/>
    <w:rsid w:val="00E047EC"/>
    <w:rsid w:val="00E048B1"/>
    <w:rsid w:val="00E05321"/>
    <w:rsid w:val="00E05F87"/>
    <w:rsid w:val="00E0602A"/>
    <w:rsid w:val="00E069A1"/>
    <w:rsid w:val="00E06A18"/>
    <w:rsid w:val="00E06FCC"/>
    <w:rsid w:val="00E075A2"/>
    <w:rsid w:val="00E07DCB"/>
    <w:rsid w:val="00E10215"/>
    <w:rsid w:val="00E102C3"/>
    <w:rsid w:val="00E10317"/>
    <w:rsid w:val="00E1091D"/>
    <w:rsid w:val="00E11CD8"/>
    <w:rsid w:val="00E134C9"/>
    <w:rsid w:val="00E13B2E"/>
    <w:rsid w:val="00E13F4B"/>
    <w:rsid w:val="00E14237"/>
    <w:rsid w:val="00E1476F"/>
    <w:rsid w:val="00E1491D"/>
    <w:rsid w:val="00E14A0F"/>
    <w:rsid w:val="00E14D40"/>
    <w:rsid w:val="00E155F0"/>
    <w:rsid w:val="00E1565B"/>
    <w:rsid w:val="00E1591B"/>
    <w:rsid w:val="00E15CA9"/>
    <w:rsid w:val="00E15FE5"/>
    <w:rsid w:val="00E16606"/>
    <w:rsid w:val="00E167D8"/>
    <w:rsid w:val="00E16B9A"/>
    <w:rsid w:val="00E171F2"/>
    <w:rsid w:val="00E1730F"/>
    <w:rsid w:val="00E177A1"/>
    <w:rsid w:val="00E17EB6"/>
    <w:rsid w:val="00E17FDD"/>
    <w:rsid w:val="00E2033A"/>
    <w:rsid w:val="00E20D5A"/>
    <w:rsid w:val="00E21901"/>
    <w:rsid w:val="00E21D2D"/>
    <w:rsid w:val="00E21FA0"/>
    <w:rsid w:val="00E22744"/>
    <w:rsid w:val="00E22DAA"/>
    <w:rsid w:val="00E23051"/>
    <w:rsid w:val="00E2480A"/>
    <w:rsid w:val="00E24BB2"/>
    <w:rsid w:val="00E24D67"/>
    <w:rsid w:val="00E24E36"/>
    <w:rsid w:val="00E251EC"/>
    <w:rsid w:val="00E25261"/>
    <w:rsid w:val="00E2548E"/>
    <w:rsid w:val="00E25C5F"/>
    <w:rsid w:val="00E25F1B"/>
    <w:rsid w:val="00E2617A"/>
    <w:rsid w:val="00E26733"/>
    <w:rsid w:val="00E26E52"/>
    <w:rsid w:val="00E2718C"/>
    <w:rsid w:val="00E273CB"/>
    <w:rsid w:val="00E302C8"/>
    <w:rsid w:val="00E30358"/>
    <w:rsid w:val="00E305DD"/>
    <w:rsid w:val="00E30C58"/>
    <w:rsid w:val="00E311A1"/>
    <w:rsid w:val="00E31A2F"/>
    <w:rsid w:val="00E31EB4"/>
    <w:rsid w:val="00E31FB2"/>
    <w:rsid w:val="00E3209A"/>
    <w:rsid w:val="00E32205"/>
    <w:rsid w:val="00E32571"/>
    <w:rsid w:val="00E325D4"/>
    <w:rsid w:val="00E32957"/>
    <w:rsid w:val="00E33050"/>
    <w:rsid w:val="00E33349"/>
    <w:rsid w:val="00E33658"/>
    <w:rsid w:val="00E33E7B"/>
    <w:rsid w:val="00E3401A"/>
    <w:rsid w:val="00E34228"/>
    <w:rsid w:val="00E34247"/>
    <w:rsid w:val="00E3425D"/>
    <w:rsid w:val="00E3498B"/>
    <w:rsid w:val="00E35C68"/>
    <w:rsid w:val="00E36305"/>
    <w:rsid w:val="00E37ED6"/>
    <w:rsid w:val="00E4068F"/>
    <w:rsid w:val="00E408B1"/>
    <w:rsid w:val="00E41B7E"/>
    <w:rsid w:val="00E42BE2"/>
    <w:rsid w:val="00E42E71"/>
    <w:rsid w:val="00E43A9E"/>
    <w:rsid w:val="00E43C0A"/>
    <w:rsid w:val="00E43E25"/>
    <w:rsid w:val="00E442FF"/>
    <w:rsid w:val="00E445F3"/>
    <w:rsid w:val="00E45091"/>
    <w:rsid w:val="00E4561C"/>
    <w:rsid w:val="00E464BA"/>
    <w:rsid w:val="00E464D3"/>
    <w:rsid w:val="00E46920"/>
    <w:rsid w:val="00E46A8A"/>
    <w:rsid w:val="00E47C23"/>
    <w:rsid w:val="00E47FFE"/>
    <w:rsid w:val="00E504EA"/>
    <w:rsid w:val="00E50F1E"/>
    <w:rsid w:val="00E519D2"/>
    <w:rsid w:val="00E51D9F"/>
    <w:rsid w:val="00E5205C"/>
    <w:rsid w:val="00E52B60"/>
    <w:rsid w:val="00E52BC9"/>
    <w:rsid w:val="00E52E99"/>
    <w:rsid w:val="00E5319F"/>
    <w:rsid w:val="00E536E7"/>
    <w:rsid w:val="00E5389D"/>
    <w:rsid w:val="00E53B51"/>
    <w:rsid w:val="00E53F86"/>
    <w:rsid w:val="00E54EB3"/>
    <w:rsid w:val="00E54F59"/>
    <w:rsid w:val="00E557F5"/>
    <w:rsid w:val="00E55FFB"/>
    <w:rsid w:val="00E56ABD"/>
    <w:rsid w:val="00E57060"/>
    <w:rsid w:val="00E5731A"/>
    <w:rsid w:val="00E57ABE"/>
    <w:rsid w:val="00E601AC"/>
    <w:rsid w:val="00E6032C"/>
    <w:rsid w:val="00E60732"/>
    <w:rsid w:val="00E6086E"/>
    <w:rsid w:val="00E60E61"/>
    <w:rsid w:val="00E619E4"/>
    <w:rsid w:val="00E61D54"/>
    <w:rsid w:val="00E62413"/>
    <w:rsid w:val="00E6293D"/>
    <w:rsid w:val="00E62BAD"/>
    <w:rsid w:val="00E631B0"/>
    <w:rsid w:val="00E6414E"/>
    <w:rsid w:val="00E64167"/>
    <w:rsid w:val="00E64933"/>
    <w:rsid w:val="00E64D8A"/>
    <w:rsid w:val="00E65239"/>
    <w:rsid w:val="00E652A2"/>
    <w:rsid w:val="00E654DD"/>
    <w:rsid w:val="00E655F5"/>
    <w:rsid w:val="00E659DF"/>
    <w:rsid w:val="00E679CC"/>
    <w:rsid w:val="00E70096"/>
    <w:rsid w:val="00E7043B"/>
    <w:rsid w:val="00E7072A"/>
    <w:rsid w:val="00E70C51"/>
    <w:rsid w:val="00E70D33"/>
    <w:rsid w:val="00E70E80"/>
    <w:rsid w:val="00E7146B"/>
    <w:rsid w:val="00E717A1"/>
    <w:rsid w:val="00E7217C"/>
    <w:rsid w:val="00E72595"/>
    <w:rsid w:val="00E73202"/>
    <w:rsid w:val="00E7494B"/>
    <w:rsid w:val="00E751F8"/>
    <w:rsid w:val="00E7579F"/>
    <w:rsid w:val="00E758ED"/>
    <w:rsid w:val="00E75B39"/>
    <w:rsid w:val="00E7607F"/>
    <w:rsid w:val="00E7649D"/>
    <w:rsid w:val="00E766FA"/>
    <w:rsid w:val="00E77393"/>
    <w:rsid w:val="00E77555"/>
    <w:rsid w:val="00E77567"/>
    <w:rsid w:val="00E778BD"/>
    <w:rsid w:val="00E77A9E"/>
    <w:rsid w:val="00E77C3A"/>
    <w:rsid w:val="00E80849"/>
    <w:rsid w:val="00E81117"/>
    <w:rsid w:val="00E815C9"/>
    <w:rsid w:val="00E81664"/>
    <w:rsid w:val="00E8211D"/>
    <w:rsid w:val="00E834AD"/>
    <w:rsid w:val="00E83CEA"/>
    <w:rsid w:val="00E83D4B"/>
    <w:rsid w:val="00E8410D"/>
    <w:rsid w:val="00E842BC"/>
    <w:rsid w:val="00E84F2C"/>
    <w:rsid w:val="00E85102"/>
    <w:rsid w:val="00E85479"/>
    <w:rsid w:val="00E85B52"/>
    <w:rsid w:val="00E867D7"/>
    <w:rsid w:val="00E868BA"/>
    <w:rsid w:val="00E86DE6"/>
    <w:rsid w:val="00E87F67"/>
    <w:rsid w:val="00E87FC7"/>
    <w:rsid w:val="00E906CE"/>
    <w:rsid w:val="00E90820"/>
    <w:rsid w:val="00E90DE1"/>
    <w:rsid w:val="00E91891"/>
    <w:rsid w:val="00E92451"/>
    <w:rsid w:val="00E92E30"/>
    <w:rsid w:val="00E92ECD"/>
    <w:rsid w:val="00E93191"/>
    <w:rsid w:val="00E93A40"/>
    <w:rsid w:val="00E9405B"/>
    <w:rsid w:val="00E94827"/>
    <w:rsid w:val="00E95502"/>
    <w:rsid w:val="00E95C1F"/>
    <w:rsid w:val="00E96A1C"/>
    <w:rsid w:val="00E96C7C"/>
    <w:rsid w:val="00E976B2"/>
    <w:rsid w:val="00E97F41"/>
    <w:rsid w:val="00EA0160"/>
    <w:rsid w:val="00EA0648"/>
    <w:rsid w:val="00EA0AE8"/>
    <w:rsid w:val="00EA0F78"/>
    <w:rsid w:val="00EA11A4"/>
    <w:rsid w:val="00EA1ECE"/>
    <w:rsid w:val="00EA1FEB"/>
    <w:rsid w:val="00EA2442"/>
    <w:rsid w:val="00EA2572"/>
    <w:rsid w:val="00EA2FFD"/>
    <w:rsid w:val="00EA30BF"/>
    <w:rsid w:val="00EA32F4"/>
    <w:rsid w:val="00EA335C"/>
    <w:rsid w:val="00EA36D4"/>
    <w:rsid w:val="00EA3D98"/>
    <w:rsid w:val="00EA4128"/>
    <w:rsid w:val="00EA42AA"/>
    <w:rsid w:val="00EA4671"/>
    <w:rsid w:val="00EA4C87"/>
    <w:rsid w:val="00EA5024"/>
    <w:rsid w:val="00EA5493"/>
    <w:rsid w:val="00EA5A6F"/>
    <w:rsid w:val="00EA6469"/>
    <w:rsid w:val="00EA69FE"/>
    <w:rsid w:val="00EA6B18"/>
    <w:rsid w:val="00EA721C"/>
    <w:rsid w:val="00EA766A"/>
    <w:rsid w:val="00EA7B4B"/>
    <w:rsid w:val="00EA7C25"/>
    <w:rsid w:val="00EB011B"/>
    <w:rsid w:val="00EB035A"/>
    <w:rsid w:val="00EB0399"/>
    <w:rsid w:val="00EB087D"/>
    <w:rsid w:val="00EB0CBC"/>
    <w:rsid w:val="00EB0E46"/>
    <w:rsid w:val="00EB118D"/>
    <w:rsid w:val="00EB19CB"/>
    <w:rsid w:val="00EB2811"/>
    <w:rsid w:val="00EB299A"/>
    <w:rsid w:val="00EB2BC7"/>
    <w:rsid w:val="00EB52AB"/>
    <w:rsid w:val="00EB54FF"/>
    <w:rsid w:val="00EB5EBE"/>
    <w:rsid w:val="00EB6C71"/>
    <w:rsid w:val="00EB6E99"/>
    <w:rsid w:val="00EB7793"/>
    <w:rsid w:val="00EB7A7F"/>
    <w:rsid w:val="00EB7D8E"/>
    <w:rsid w:val="00EB7EC6"/>
    <w:rsid w:val="00EC0A3C"/>
    <w:rsid w:val="00EC15BD"/>
    <w:rsid w:val="00EC1CED"/>
    <w:rsid w:val="00EC26BC"/>
    <w:rsid w:val="00EC270F"/>
    <w:rsid w:val="00EC2879"/>
    <w:rsid w:val="00EC287B"/>
    <w:rsid w:val="00EC33DB"/>
    <w:rsid w:val="00EC3A6E"/>
    <w:rsid w:val="00EC408D"/>
    <w:rsid w:val="00EC42F5"/>
    <w:rsid w:val="00EC453C"/>
    <w:rsid w:val="00EC476C"/>
    <w:rsid w:val="00EC50C4"/>
    <w:rsid w:val="00EC5396"/>
    <w:rsid w:val="00EC5496"/>
    <w:rsid w:val="00EC5BAF"/>
    <w:rsid w:val="00EC6188"/>
    <w:rsid w:val="00EC6535"/>
    <w:rsid w:val="00EC6810"/>
    <w:rsid w:val="00EC7018"/>
    <w:rsid w:val="00EC7240"/>
    <w:rsid w:val="00EC7A85"/>
    <w:rsid w:val="00EC7BDF"/>
    <w:rsid w:val="00ED0381"/>
    <w:rsid w:val="00ED04F9"/>
    <w:rsid w:val="00ED0A58"/>
    <w:rsid w:val="00ED0FFD"/>
    <w:rsid w:val="00ED12D4"/>
    <w:rsid w:val="00ED14A1"/>
    <w:rsid w:val="00ED1987"/>
    <w:rsid w:val="00ED1EED"/>
    <w:rsid w:val="00ED2375"/>
    <w:rsid w:val="00ED256E"/>
    <w:rsid w:val="00ED31FB"/>
    <w:rsid w:val="00ED34E3"/>
    <w:rsid w:val="00ED3699"/>
    <w:rsid w:val="00ED3A12"/>
    <w:rsid w:val="00ED41AF"/>
    <w:rsid w:val="00ED41B5"/>
    <w:rsid w:val="00ED4BE1"/>
    <w:rsid w:val="00ED4C71"/>
    <w:rsid w:val="00ED4EBD"/>
    <w:rsid w:val="00ED5127"/>
    <w:rsid w:val="00ED54C1"/>
    <w:rsid w:val="00ED58B9"/>
    <w:rsid w:val="00ED58BF"/>
    <w:rsid w:val="00ED5A18"/>
    <w:rsid w:val="00ED6444"/>
    <w:rsid w:val="00ED66C5"/>
    <w:rsid w:val="00ED69FC"/>
    <w:rsid w:val="00ED731B"/>
    <w:rsid w:val="00ED7A26"/>
    <w:rsid w:val="00ED7B64"/>
    <w:rsid w:val="00ED7D9C"/>
    <w:rsid w:val="00ED7E46"/>
    <w:rsid w:val="00EE02D4"/>
    <w:rsid w:val="00EE07FC"/>
    <w:rsid w:val="00EE1D94"/>
    <w:rsid w:val="00EE22BE"/>
    <w:rsid w:val="00EE2773"/>
    <w:rsid w:val="00EE27ED"/>
    <w:rsid w:val="00EE3653"/>
    <w:rsid w:val="00EE3772"/>
    <w:rsid w:val="00EE3CBA"/>
    <w:rsid w:val="00EE3E8F"/>
    <w:rsid w:val="00EE449F"/>
    <w:rsid w:val="00EE489C"/>
    <w:rsid w:val="00EE599E"/>
    <w:rsid w:val="00EE5CD5"/>
    <w:rsid w:val="00EE5E82"/>
    <w:rsid w:val="00EE5EA1"/>
    <w:rsid w:val="00EE5F16"/>
    <w:rsid w:val="00EE6168"/>
    <w:rsid w:val="00EE628A"/>
    <w:rsid w:val="00EE6BFC"/>
    <w:rsid w:val="00EE7A29"/>
    <w:rsid w:val="00EE7AC4"/>
    <w:rsid w:val="00EF12B6"/>
    <w:rsid w:val="00EF1497"/>
    <w:rsid w:val="00EF1592"/>
    <w:rsid w:val="00EF1C0A"/>
    <w:rsid w:val="00EF1FB8"/>
    <w:rsid w:val="00EF26AC"/>
    <w:rsid w:val="00EF2C87"/>
    <w:rsid w:val="00EF34B4"/>
    <w:rsid w:val="00EF410B"/>
    <w:rsid w:val="00EF4894"/>
    <w:rsid w:val="00EF4AD0"/>
    <w:rsid w:val="00EF4DC1"/>
    <w:rsid w:val="00EF54E9"/>
    <w:rsid w:val="00EF5668"/>
    <w:rsid w:val="00EF5B91"/>
    <w:rsid w:val="00EF5D14"/>
    <w:rsid w:val="00EF5D1A"/>
    <w:rsid w:val="00EF6675"/>
    <w:rsid w:val="00EF6F17"/>
    <w:rsid w:val="00EF78E1"/>
    <w:rsid w:val="00EF7D55"/>
    <w:rsid w:val="00F008F6"/>
    <w:rsid w:val="00F00A78"/>
    <w:rsid w:val="00F01CAA"/>
    <w:rsid w:val="00F01E38"/>
    <w:rsid w:val="00F01F6D"/>
    <w:rsid w:val="00F02008"/>
    <w:rsid w:val="00F0241D"/>
    <w:rsid w:val="00F02548"/>
    <w:rsid w:val="00F02773"/>
    <w:rsid w:val="00F0278B"/>
    <w:rsid w:val="00F03873"/>
    <w:rsid w:val="00F038F9"/>
    <w:rsid w:val="00F0423E"/>
    <w:rsid w:val="00F04351"/>
    <w:rsid w:val="00F0448F"/>
    <w:rsid w:val="00F04776"/>
    <w:rsid w:val="00F04C70"/>
    <w:rsid w:val="00F04C8D"/>
    <w:rsid w:val="00F05AA1"/>
    <w:rsid w:val="00F06568"/>
    <w:rsid w:val="00F070F6"/>
    <w:rsid w:val="00F07D0D"/>
    <w:rsid w:val="00F10307"/>
    <w:rsid w:val="00F106FD"/>
    <w:rsid w:val="00F10AE6"/>
    <w:rsid w:val="00F10FEA"/>
    <w:rsid w:val="00F111DC"/>
    <w:rsid w:val="00F11D3B"/>
    <w:rsid w:val="00F128E3"/>
    <w:rsid w:val="00F12B61"/>
    <w:rsid w:val="00F145BD"/>
    <w:rsid w:val="00F1479B"/>
    <w:rsid w:val="00F14FB7"/>
    <w:rsid w:val="00F14FB8"/>
    <w:rsid w:val="00F14FC1"/>
    <w:rsid w:val="00F15ABC"/>
    <w:rsid w:val="00F15D15"/>
    <w:rsid w:val="00F15D27"/>
    <w:rsid w:val="00F16599"/>
    <w:rsid w:val="00F16EBF"/>
    <w:rsid w:val="00F17437"/>
    <w:rsid w:val="00F175AD"/>
    <w:rsid w:val="00F20192"/>
    <w:rsid w:val="00F205A4"/>
    <w:rsid w:val="00F20AA9"/>
    <w:rsid w:val="00F21309"/>
    <w:rsid w:val="00F22BF6"/>
    <w:rsid w:val="00F22C1E"/>
    <w:rsid w:val="00F22DE4"/>
    <w:rsid w:val="00F230BB"/>
    <w:rsid w:val="00F236C5"/>
    <w:rsid w:val="00F2394A"/>
    <w:rsid w:val="00F23AA6"/>
    <w:rsid w:val="00F2494C"/>
    <w:rsid w:val="00F24B29"/>
    <w:rsid w:val="00F24B2D"/>
    <w:rsid w:val="00F254AE"/>
    <w:rsid w:val="00F25E01"/>
    <w:rsid w:val="00F25FC8"/>
    <w:rsid w:val="00F26356"/>
    <w:rsid w:val="00F2640F"/>
    <w:rsid w:val="00F268B5"/>
    <w:rsid w:val="00F26E0E"/>
    <w:rsid w:val="00F275BF"/>
    <w:rsid w:val="00F30493"/>
    <w:rsid w:val="00F306E1"/>
    <w:rsid w:val="00F30834"/>
    <w:rsid w:val="00F30A93"/>
    <w:rsid w:val="00F30B71"/>
    <w:rsid w:val="00F30D8E"/>
    <w:rsid w:val="00F30F1B"/>
    <w:rsid w:val="00F31C35"/>
    <w:rsid w:val="00F31D7F"/>
    <w:rsid w:val="00F3247C"/>
    <w:rsid w:val="00F327A0"/>
    <w:rsid w:val="00F3319F"/>
    <w:rsid w:val="00F33D46"/>
    <w:rsid w:val="00F34F45"/>
    <w:rsid w:val="00F35240"/>
    <w:rsid w:val="00F35458"/>
    <w:rsid w:val="00F35B32"/>
    <w:rsid w:val="00F35F61"/>
    <w:rsid w:val="00F364B2"/>
    <w:rsid w:val="00F36A0E"/>
    <w:rsid w:val="00F3718A"/>
    <w:rsid w:val="00F37293"/>
    <w:rsid w:val="00F406B9"/>
    <w:rsid w:val="00F4093F"/>
    <w:rsid w:val="00F40AEE"/>
    <w:rsid w:val="00F40B5A"/>
    <w:rsid w:val="00F40B70"/>
    <w:rsid w:val="00F40CA3"/>
    <w:rsid w:val="00F40CE1"/>
    <w:rsid w:val="00F40E1A"/>
    <w:rsid w:val="00F40ECF"/>
    <w:rsid w:val="00F4147B"/>
    <w:rsid w:val="00F41E8C"/>
    <w:rsid w:val="00F435F8"/>
    <w:rsid w:val="00F43712"/>
    <w:rsid w:val="00F43FED"/>
    <w:rsid w:val="00F444F0"/>
    <w:rsid w:val="00F449DC"/>
    <w:rsid w:val="00F44A64"/>
    <w:rsid w:val="00F44ACA"/>
    <w:rsid w:val="00F4508E"/>
    <w:rsid w:val="00F45725"/>
    <w:rsid w:val="00F45824"/>
    <w:rsid w:val="00F459FA"/>
    <w:rsid w:val="00F45DC3"/>
    <w:rsid w:val="00F45E38"/>
    <w:rsid w:val="00F4650A"/>
    <w:rsid w:val="00F469BD"/>
    <w:rsid w:val="00F46C90"/>
    <w:rsid w:val="00F46D6B"/>
    <w:rsid w:val="00F46E3F"/>
    <w:rsid w:val="00F4728D"/>
    <w:rsid w:val="00F47F4A"/>
    <w:rsid w:val="00F5006B"/>
    <w:rsid w:val="00F50323"/>
    <w:rsid w:val="00F508F4"/>
    <w:rsid w:val="00F50BAA"/>
    <w:rsid w:val="00F50BB4"/>
    <w:rsid w:val="00F50BBD"/>
    <w:rsid w:val="00F50F4D"/>
    <w:rsid w:val="00F51CFF"/>
    <w:rsid w:val="00F51E57"/>
    <w:rsid w:val="00F51F44"/>
    <w:rsid w:val="00F51FE6"/>
    <w:rsid w:val="00F524C7"/>
    <w:rsid w:val="00F52817"/>
    <w:rsid w:val="00F52C76"/>
    <w:rsid w:val="00F52CC5"/>
    <w:rsid w:val="00F5323F"/>
    <w:rsid w:val="00F5418C"/>
    <w:rsid w:val="00F5440D"/>
    <w:rsid w:val="00F5448F"/>
    <w:rsid w:val="00F5456D"/>
    <w:rsid w:val="00F54724"/>
    <w:rsid w:val="00F54C32"/>
    <w:rsid w:val="00F55409"/>
    <w:rsid w:val="00F55668"/>
    <w:rsid w:val="00F55867"/>
    <w:rsid w:val="00F558ED"/>
    <w:rsid w:val="00F55DBA"/>
    <w:rsid w:val="00F567DB"/>
    <w:rsid w:val="00F57268"/>
    <w:rsid w:val="00F57A6F"/>
    <w:rsid w:val="00F57C17"/>
    <w:rsid w:val="00F57D9F"/>
    <w:rsid w:val="00F60751"/>
    <w:rsid w:val="00F60CDB"/>
    <w:rsid w:val="00F61818"/>
    <w:rsid w:val="00F618AF"/>
    <w:rsid w:val="00F61E6F"/>
    <w:rsid w:val="00F62171"/>
    <w:rsid w:val="00F62C7E"/>
    <w:rsid w:val="00F62D22"/>
    <w:rsid w:val="00F62E2F"/>
    <w:rsid w:val="00F62E72"/>
    <w:rsid w:val="00F63EC2"/>
    <w:rsid w:val="00F64838"/>
    <w:rsid w:val="00F64A2E"/>
    <w:rsid w:val="00F64ADC"/>
    <w:rsid w:val="00F65D1E"/>
    <w:rsid w:val="00F65DB2"/>
    <w:rsid w:val="00F66A8D"/>
    <w:rsid w:val="00F66D16"/>
    <w:rsid w:val="00F67018"/>
    <w:rsid w:val="00F67324"/>
    <w:rsid w:val="00F67505"/>
    <w:rsid w:val="00F67897"/>
    <w:rsid w:val="00F7006B"/>
    <w:rsid w:val="00F713A2"/>
    <w:rsid w:val="00F71A66"/>
    <w:rsid w:val="00F720CB"/>
    <w:rsid w:val="00F72141"/>
    <w:rsid w:val="00F72B0A"/>
    <w:rsid w:val="00F72B6F"/>
    <w:rsid w:val="00F72E6B"/>
    <w:rsid w:val="00F7314F"/>
    <w:rsid w:val="00F73413"/>
    <w:rsid w:val="00F73453"/>
    <w:rsid w:val="00F7377B"/>
    <w:rsid w:val="00F738C9"/>
    <w:rsid w:val="00F74101"/>
    <w:rsid w:val="00F748F4"/>
    <w:rsid w:val="00F74A7F"/>
    <w:rsid w:val="00F74CF0"/>
    <w:rsid w:val="00F74D16"/>
    <w:rsid w:val="00F74F05"/>
    <w:rsid w:val="00F7539F"/>
    <w:rsid w:val="00F75850"/>
    <w:rsid w:val="00F75D20"/>
    <w:rsid w:val="00F76A8A"/>
    <w:rsid w:val="00F77740"/>
    <w:rsid w:val="00F80181"/>
    <w:rsid w:val="00F80719"/>
    <w:rsid w:val="00F807B3"/>
    <w:rsid w:val="00F80A5D"/>
    <w:rsid w:val="00F81306"/>
    <w:rsid w:val="00F818C0"/>
    <w:rsid w:val="00F81B34"/>
    <w:rsid w:val="00F81E4E"/>
    <w:rsid w:val="00F81EE5"/>
    <w:rsid w:val="00F82519"/>
    <w:rsid w:val="00F82607"/>
    <w:rsid w:val="00F826DF"/>
    <w:rsid w:val="00F82B80"/>
    <w:rsid w:val="00F82D77"/>
    <w:rsid w:val="00F82E95"/>
    <w:rsid w:val="00F82F2E"/>
    <w:rsid w:val="00F83592"/>
    <w:rsid w:val="00F8367A"/>
    <w:rsid w:val="00F83F26"/>
    <w:rsid w:val="00F843E1"/>
    <w:rsid w:val="00F84466"/>
    <w:rsid w:val="00F846A4"/>
    <w:rsid w:val="00F847FB"/>
    <w:rsid w:val="00F84D6A"/>
    <w:rsid w:val="00F85765"/>
    <w:rsid w:val="00F85D6C"/>
    <w:rsid w:val="00F86906"/>
    <w:rsid w:val="00F86A2A"/>
    <w:rsid w:val="00F86AAB"/>
    <w:rsid w:val="00F877E7"/>
    <w:rsid w:val="00F879B2"/>
    <w:rsid w:val="00F87DE8"/>
    <w:rsid w:val="00F87F6B"/>
    <w:rsid w:val="00F901E0"/>
    <w:rsid w:val="00F90276"/>
    <w:rsid w:val="00F90480"/>
    <w:rsid w:val="00F9077A"/>
    <w:rsid w:val="00F90C1D"/>
    <w:rsid w:val="00F91294"/>
    <w:rsid w:val="00F91BEB"/>
    <w:rsid w:val="00F9374A"/>
    <w:rsid w:val="00F93E9F"/>
    <w:rsid w:val="00F93F5D"/>
    <w:rsid w:val="00F9469B"/>
    <w:rsid w:val="00F946D3"/>
    <w:rsid w:val="00F955C4"/>
    <w:rsid w:val="00F959B1"/>
    <w:rsid w:val="00F95A7E"/>
    <w:rsid w:val="00F95CDE"/>
    <w:rsid w:val="00F95F10"/>
    <w:rsid w:val="00F96918"/>
    <w:rsid w:val="00F96CD8"/>
    <w:rsid w:val="00F97542"/>
    <w:rsid w:val="00F979DF"/>
    <w:rsid w:val="00F97AAE"/>
    <w:rsid w:val="00F97D2F"/>
    <w:rsid w:val="00FA00C4"/>
    <w:rsid w:val="00FA0639"/>
    <w:rsid w:val="00FA0786"/>
    <w:rsid w:val="00FA0AD7"/>
    <w:rsid w:val="00FA0C1B"/>
    <w:rsid w:val="00FA15A6"/>
    <w:rsid w:val="00FA2497"/>
    <w:rsid w:val="00FA2886"/>
    <w:rsid w:val="00FA36B0"/>
    <w:rsid w:val="00FA38BC"/>
    <w:rsid w:val="00FA404F"/>
    <w:rsid w:val="00FA4C22"/>
    <w:rsid w:val="00FA4D4B"/>
    <w:rsid w:val="00FA4F74"/>
    <w:rsid w:val="00FA5A76"/>
    <w:rsid w:val="00FA69DB"/>
    <w:rsid w:val="00FA6C8B"/>
    <w:rsid w:val="00FA6F83"/>
    <w:rsid w:val="00FA6F99"/>
    <w:rsid w:val="00FA7193"/>
    <w:rsid w:val="00FA76C6"/>
    <w:rsid w:val="00FA7FF3"/>
    <w:rsid w:val="00FB0487"/>
    <w:rsid w:val="00FB0EAC"/>
    <w:rsid w:val="00FB11E3"/>
    <w:rsid w:val="00FB13A6"/>
    <w:rsid w:val="00FB16A0"/>
    <w:rsid w:val="00FB18BF"/>
    <w:rsid w:val="00FB2382"/>
    <w:rsid w:val="00FB2B56"/>
    <w:rsid w:val="00FB339C"/>
    <w:rsid w:val="00FB3F0C"/>
    <w:rsid w:val="00FB4678"/>
    <w:rsid w:val="00FB4E16"/>
    <w:rsid w:val="00FB55C7"/>
    <w:rsid w:val="00FB5BB2"/>
    <w:rsid w:val="00FB652F"/>
    <w:rsid w:val="00FB6B3B"/>
    <w:rsid w:val="00FC02BA"/>
    <w:rsid w:val="00FC0328"/>
    <w:rsid w:val="00FC058F"/>
    <w:rsid w:val="00FC07B2"/>
    <w:rsid w:val="00FC09D0"/>
    <w:rsid w:val="00FC0B53"/>
    <w:rsid w:val="00FC0E36"/>
    <w:rsid w:val="00FC1C45"/>
    <w:rsid w:val="00FC2166"/>
    <w:rsid w:val="00FC21CC"/>
    <w:rsid w:val="00FC277D"/>
    <w:rsid w:val="00FC304F"/>
    <w:rsid w:val="00FC322C"/>
    <w:rsid w:val="00FC36F5"/>
    <w:rsid w:val="00FC3972"/>
    <w:rsid w:val="00FC3B24"/>
    <w:rsid w:val="00FC3C64"/>
    <w:rsid w:val="00FC4C33"/>
    <w:rsid w:val="00FC50CD"/>
    <w:rsid w:val="00FC534B"/>
    <w:rsid w:val="00FC5471"/>
    <w:rsid w:val="00FC563D"/>
    <w:rsid w:val="00FC5E37"/>
    <w:rsid w:val="00FC61DB"/>
    <w:rsid w:val="00FC6258"/>
    <w:rsid w:val="00FC64C1"/>
    <w:rsid w:val="00FC65A7"/>
    <w:rsid w:val="00FC6CC2"/>
    <w:rsid w:val="00FC7032"/>
    <w:rsid w:val="00FD051B"/>
    <w:rsid w:val="00FD0718"/>
    <w:rsid w:val="00FD10BD"/>
    <w:rsid w:val="00FD10C8"/>
    <w:rsid w:val="00FD1416"/>
    <w:rsid w:val="00FD1668"/>
    <w:rsid w:val="00FD1E54"/>
    <w:rsid w:val="00FD217D"/>
    <w:rsid w:val="00FD25DF"/>
    <w:rsid w:val="00FD2B75"/>
    <w:rsid w:val="00FD31A4"/>
    <w:rsid w:val="00FD33A5"/>
    <w:rsid w:val="00FD343D"/>
    <w:rsid w:val="00FD3BCA"/>
    <w:rsid w:val="00FD44E7"/>
    <w:rsid w:val="00FD4871"/>
    <w:rsid w:val="00FD4B31"/>
    <w:rsid w:val="00FD56CA"/>
    <w:rsid w:val="00FD57AC"/>
    <w:rsid w:val="00FD5871"/>
    <w:rsid w:val="00FD5C66"/>
    <w:rsid w:val="00FD5E21"/>
    <w:rsid w:val="00FD679D"/>
    <w:rsid w:val="00FD6826"/>
    <w:rsid w:val="00FD6874"/>
    <w:rsid w:val="00FD6C00"/>
    <w:rsid w:val="00FD7940"/>
    <w:rsid w:val="00FD7CE9"/>
    <w:rsid w:val="00FD7CFD"/>
    <w:rsid w:val="00FE080E"/>
    <w:rsid w:val="00FE0FD3"/>
    <w:rsid w:val="00FE10C2"/>
    <w:rsid w:val="00FE1253"/>
    <w:rsid w:val="00FE1390"/>
    <w:rsid w:val="00FE214F"/>
    <w:rsid w:val="00FE21D4"/>
    <w:rsid w:val="00FE2CED"/>
    <w:rsid w:val="00FE2D82"/>
    <w:rsid w:val="00FE3392"/>
    <w:rsid w:val="00FE33AB"/>
    <w:rsid w:val="00FE33D8"/>
    <w:rsid w:val="00FE3561"/>
    <w:rsid w:val="00FE39EA"/>
    <w:rsid w:val="00FE42BC"/>
    <w:rsid w:val="00FE45B7"/>
    <w:rsid w:val="00FE4721"/>
    <w:rsid w:val="00FE48FB"/>
    <w:rsid w:val="00FE4E41"/>
    <w:rsid w:val="00FE57FA"/>
    <w:rsid w:val="00FE5C22"/>
    <w:rsid w:val="00FE68EB"/>
    <w:rsid w:val="00FE694D"/>
    <w:rsid w:val="00FE6B4E"/>
    <w:rsid w:val="00FE73A3"/>
    <w:rsid w:val="00FE7AAF"/>
    <w:rsid w:val="00FE7B35"/>
    <w:rsid w:val="00FF01D7"/>
    <w:rsid w:val="00FF0A38"/>
    <w:rsid w:val="00FF0B4A"/>
    <w:rsid w:val="00FF0B6D"/>
    <w:rsid w:val="00FF0C07"/>
    <w:rsid w:val="00FF0DA9"/>
    <w:rsid w:val="00FF0FA6"/>
    <w:rsid w:val="00FF1556"/>
    <w:rsid w:val="00FF1FBB"/>
    <w:rsid w:val="00FF252C"/>
    <w:rsid w:val="00FF2AA4"/>
    <w:rsid w:val="00FF2E17"/>
    <w:rsid w:val="00FF3F31"/>
    <w:rsid w:val="00FF47EF"/>
    <w:rsid w:val="00FF5033"/>
    <w:rsid w:val="00FF50B6"/>
    <w:rsid w:val="00FF547E"/>
    <w:rsid w:val="00FF610A"/>
    <w:rsid w:val="00FF66EA"/>
    <w:rsid w:val="00FF7815"/>
    <w:rsid w:val="00FF7C0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30FCF"/>
  <w15:docId w15:val="{38B6B3C7-F909-43A9-A09A-9F2314B32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E11"/>
    <w:rPr>
      <w:rFonts w:ascii="Calibri" w:eastAsia="ヒラギノ角ゴ Pro W3" w:hAnsi="Calibri" w:cs="Times New Roman"/>
      <w:color w:val="000000"/>
      <w:szCs w:val="24"/>
      <w:lang w:val="en-US"/>
    </w:rPr>
  </w:style>
  <w:style w:type="paragraph" w:styleId="Titre1">
    <w:name w:val="heading 1"/>
    <w:basedOn w:val="Normal"/>
    <w:next w:val="Normal"/>
    <w:link w:val="Titre1Car"/>
    <w:uiPriority w:val="9"/>
    <w:qFormat/>
    <w:rsid w:val="00936F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01F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PubliManuscript"/>
    <w:link w:val="Titre3Car"/>
    <w:uiPriority w:val="9"/>
    <w:unhideWhenUsed/>
    <w:qFormat/>
    <w:rsid w:val="00510E0B"/>
    <w:pPr>
      <w:keepNext/>
      <w:keepLines/>
      <w:spacing w:before="200" w:after="0"/>
      <w:ind w:left="708"/>
      <w:outlineLvl w:val="2"/>
    </w:pPr>
    <w:rPr>
      <w:rFonts w:ascii="Times New Roman" w:eastAsiaTheme="majorEastAsia" w:hAnsi="Times New Roman" w:cstheme="majorBidi"/>
      <w:b/>
      <w:bCs/>
      <w:color w:val="auto"/>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73D9D"/>
    <w:pPr>
      <w:ind w:left="720"/>
      <w:contextualSpacing/>
    </w:pPr>
  </w:style>
  <w:style w:type="character" w:customStyle="1" w:styleId="Titre2Car">
    <w:name w:val="Titre 2 Car"/>
    <w:basedOn w:val="Policepardfaut"/>
    <w:link w:val="Titre2"/>
    <w:uiPriority w:val="9"/>
    <w:rsid w:val="00F01F6D"/>
    <w:rPr>
      <w:rFonts w:asciiTheme="majorHAnsi" w:eastAsiaTheme="majorEastAsia" w:hAnsiTheme="majorHAnsi" w:cstheme="majorBidi"/>
      <w:b/>
      <w:bCs/>
      <w:color w:val="4F81BD" w:themeColor="accent1"/>
      <w:sz w:val="26"/>
      <w:szCs w:val="26"/>
      <w:lang w:val="en-US"/>
    </w:rPr>
  </w:style>
  <w:style w:type="character" w:customStyle="1" w:styleId="Titre1Car">
    <w:name w:val="Titre 1 Car"/>
    <w:basedOn w:val="Policepardfaut"/>
    <w:link w:val="Titre1"/>
    <w:uiPriority w:val="9"/>
    <w:rsid w:val="00936F12"/>
    <w:rPr>
      <w:rFonts w:asciiTheme="majorHAnsi" w:eastAsiaTheme="majorEastAsia" w:hAnsiTheme="majorHAnsi" w:cstheme="majorBidi"/>
      <w:b/>
      <w:bCs/>
      <w:color w:val="365F91" w:themeColor="accent1" w:themeShade="BF"/>
      <w:sz w:val="28"/>
      <w:szCs w:val="28"/>
      <w:lang w:val="en-US"/>
    </w:rPr>
  </w:style>
  <w:style w:type="paragraph" w:customStyle="1" w:styleId="Publi1">
    <w:name w:val="Publi1"/>
    <w:basedOn w:val="Titre1"/>
    <w:next w:val="Publi2"/>
    <w:qFormat/>
    <w:rsid w:val="0045733E"/>
    <w:pPr>
      <w:numPr>
        <w:numId w:val="1"/>
      </w:numPr>
    </w:pPr>
    <w:rPr>
      <w:rFonts w:ascii="Times New Roman" w:hAnsi="Times New Roman"/>
      <w:color w:val="auto"/>
    </w:rPr>
  </w:style>
  <w:style w:type="paragraph" w:customStyle="1" w:styleId="Publi2">
    <w:name w:val="Publi2"/>
    <w:basedOn w:val="Titre2"/>
    <w:next w:val="PubliManuscript"/>
    <w:qFormat/>
    <w:rsid w:val="0045733E"/>
    <w:pPr>
      <w:numPr>
        <w:ilvl w:val="1"/>
        <w:numId w:val="1"/>
      </w:numPr>
      <w:spacing w:before="120"/>
    </w:pPr>
    <w:rPr>
      <w:rFonts w:ascii="Times New Roman" w:hAnsi="Times New Roman"/>
      <w:i/>
      <w:color w:val="000000" w:themeColor="text1"/>
      <w:sz w:val="24"/>
    </w:rPr>
  </w:style>
  <w:style w:type="paragraph" w:customStyle="1" w:styleId="PubliManuscript">
    <w:name w:val="PubliManuscript"/>
    <w:basedOn w:val="Normal"/>
    <w:qFormat/>
    <w:rsid w:val="00BE56F6"/>
    <w:pPr>
      <w:widowControl w:val="0"/>
      <w:spacing w:before="120" w:after="120" w:line="480" w:lineRule="auto"/>
      <w:ind w:firstLine="567"/>
      <w:jc w:val="both"/>
    </w:pPr>
    <w:rPr>
      <w:rFonts w:ascii="Times New Roman" w:hAnsi="Times New Roman"/>
    </w:rPr>
  </w:style>
  <w:style w:type="character" w:styleId="Lienhypertexte">
    <w:name w:val="Hyperlink"/>
    <w:basedOn w:val="Policepardfaut"/>
    <w:uiPriority w:val="99"/>
    <w:unhideWhenUsed/>
    <w:rsid w:val="00951C6A"/>
    <w:rPr>
      <w:color w:val="0000FF" w:themeColor="hyperlink"/>
      <w:u w:val="single"/>
    </w:rPr>
  </w:style>
  <w:style w:type="paragraph" w:styleId="Lgende">
    <w:name w:val="caption"/>
    <w:basedOn w:val="Normal"/>
    <w:next w:val="Normal"/>
    <w:qFormat/>
    <w:rsid w:val="00BE56F6"/>
    <w:pPr>
      <w:spacing w:before="120" w:after="120" w:line="240" w:lineRule="auto"/>
    </w:pPr>
    <w:rPr>
      <w:rFonts w:ascii="Times New Roman" w:eastAsia="Times New Roman" w:hAnsi="Times New Roman"/>
      <w:b/>
      <w:bCs/>
      <w:color w:val="auto"/>
      <w:sz w:val="20"/>
      <w:szCs w:val="20"/>
      <w:lang w:val="en-GB"/>
    </w:rPr>
  </w:style>
  <w:style w:type="character" w:styleId="Marquedecommentaire">
    <w:name w:val="annotation reference"/>
    <w:basedOn w:val="Policepardfaut"/>
    <w:uiPriority w:val="99"/>
    <w:semiHidden/>
    <w:unhideWhenUsed/>
    <w:rsid w:val="00BE56F6"/>
    <w:rPr>
      <w:sz w:val="16"/>
      <w:szCs w:val="16"/>
    </w:rPr>
  </w:style>
  <w:style w:type="paragraph" w:styleId="Commentaire">
    <w:name w:val="annotation text"/>
    <w:basedOn w:val="Normal"/>
    <w:link w:val="CommentaireCar"/>
    <w:uiPriority w:val="99"/>
    <w:unhideWhenUsed/>
    <w:rsid w:val="00BE56F6"/>
    <w:pPr>
      <w:spacing w:line="240" w:lineRule="auto"/>
    </w:pPr>
    <w:rPr>
      <w:rFonts w:asciiTheme="minorHAnsi" w:eastAsiaTheme="minorHAnsi" w:hAnsiTheme="minorHAnsi" w:cstheme="minorBidi"/>
      <w:color w:val="auto"/>
      <w:sz w:val="20"/>
      <w:szCs w:val="20"/>
    </w:rPr>
  </w:style>
  <w:style w:type="character" w:customStyle="1" w:styleId="CommentaireCar">
    <w:name w:val="Commentaire Car"/>
    <w:basedOn w:val="Policepardfaut"/>
    <w:link w:val="Commentaire"/>
    <w:uiPriority w:val="99"/>
    <w:rsid w:val="00BE56F6"/>
    <w:rPr>
      <w:sz w:val="20"/>
      <w:szCs w:val="20"/>
      <w:lang w:val="en-US"/>
    </w:rPr>
  </w:style>
  <w:style w:type="paragraph" w:styleId="Textedebulles">
    <w:name w:val="Balloon Text"/>
    <w:basedOn w:val="Normal"/>
    <w:link w:val="TextedebullesCar"/>
    <w:uiPriority w:val="99"/>
    <w:semiHidden/>
    <w:unhideWhenUsed/>
    <w:rsid w:val="00BE56F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E56F6"/>
    <w:rPr>
      <w:rFonts w:ascii="Tahoma" w:eastAsia="ヒラギノ角ゴ Pro W3" w:hAnsi="Tahoma" w:cs="Tahoma"/>
      <w:color w:val="000000"/>
      <w:sz w:val="16"/>
      <w:szCs w:val="16"/>
      <w:lang w:val="en-US"/>
    </w:rPr>
  </w:style>
  <w:style w:type="character" w:styleId="Textedelespacerserv">
    <w:name w:val="Placeholder Text"/>
    <w:basedOn w:val="Policepardfaut"/>
    <w:uiPriority w:val="99"/>
    <w:semiHidden/>
    <w:rsid w:val="00CF7E50"/>
    <w:rPr>
      <w:color w:val="808080"/>
    </w:rPr>
  </w:style>
  <w:style w:type="character" w:customStyle="1" w:styleId="Titre3Car">
    <w:name w:val="Titre 3 Car"/>
    <w:basedOn w:val="Policepardfaut"/>
    <w:link w:val="Titre3"/>
    <w:uiPriority w:val="9"/>
    <w:rsid w:val="00510E0B"/>
    <w:rPr>
      <w:rFonts w:ascii="Times New Roman" w:eastAsiaTheme="majorEastAsia" w:hAnsi="Times New Roman" w:cstheme="majorBidi"/>
      <w:b/>
      <w:bCs/>
      <w:szCs w:val="24"/>
      <w:lang w:val="en-US"/>
    </w:rPr>
  </w:style>
  <w:style w:type="paragraph" w:customStyle="1" w:styleId="Publi3">
    <w:name w:val="Publi3"/>
    <w:basedOn w:val="Titre3"/>
    <w:next w:val="PubliManuscript"/>
    <w:qFormat/>
    <w:rsid w:val="00510E0B"/>
    <w:pPr>
      <w:numPr>
        <w:numId w:val="2"/>
      </w:numPr>
    </w:pPr>
  </w:style>
  <w:style w:type="paragraph" w:styleId="NormalWeb">
    <w:name w:val="Normal (Web)"/>
    <w:basedOn w:val="Normal"/>
    <w:uiPriority w:val="99"/>
    <w:semiHidden/>
    <w:unhideWhenUsed/>
    <w:rsid w:val="00185029"/>
    <w:pPr>
      <w:spacing w:before="100" w:beforeAutospacing="1" w:after="100" w:afterAutospacing="1" w:line="240" w:lineRule="auto"/>
    </w:pPr>
    <w:rPr>
      <w:rFonts w:ascii="Times New Roman" w:eastAsia="Times New Roman" w:hAnsi="Times New Roman"/>
      <w:color w:val="auto"/>
      <w:sz w:val="24"/>
      <w:lang w:val="fr-BE" w:eastAsia="fr-BE"/>
    </w:rPr>
  </w:style>
  <w:style w:type="table" w:styleId="Grilledutableau">
    <w:name w:val="Table Grid"/>
    <w:basedOn w:val="TableauNormal"/>
    <w:uiPriority w:val="39"/>
    <w:rsid w:val="00E42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6B698A"/>
    <w:rPr>
      <w:color w:val="605E5C"/>
      <w:shd w:val="clear" w:color="auto" w:fill="E1DFDD"/>
    </w:rPr>
  </w:style>
  <w:style w:type="character" w:styleId="Numrodeligne">
    <w:name w:val="line number"/>
    <w:basedOn w:val="Policepardfaut"/>
    <w:uiPriority w:val="99"/>
    <w:semiHidden/>
    <w:unhideWhenUsed/>
    <w:rsid w:val="0044545E"/>
  </w:style>
  <w:style w:type="paragraph" w:styleId="Objetducommentaire">
    <w:name w:val="annotation subject"/>
    <w:basedOn w:val="Commentaire"/>
    <w:next w:val="Commentaire"/>
    <w:link w:val="ObjetducommentaireCar"/>
    <w:uiPriority w:val="99"/>
    <w:semiHidden/>
    <w:unhideWhenUsed/>
    <w:rsid w:val="002C5F71"/>
    <w:rPr>
      <w:rFonts w:ascii="Calibri" w:eastAsia="ヒラギノ角ゴ Pro W3" w:hAnsi="Calibri" w:cs="Times New Roman"/>
      <w:b/>
      <w:bCs/>
      <w:color w:val="000000"/>
    </w:rPr>
  </w:style>
  <w:style w:type="character" w:customStyle="1" w:styleId="ObjetducommentaireCar">
    <w:name w:val="Objet du commentaire Car"/>
    <w:basedOn w:val="CommentaireCar"/>
    <w:link w:val="Objetducommentaire"/>
    <w:uiPriority w:val="99"/>
    <w:semiHidden/>
    <w:rsid w:val="002C5F71"/>
    <w:rPr>
      <w:rFonts w:ascii="Calibri" w:eastAsia="ヒラギノ角ゴ Pro W3" w:hAnsi="Calibri" w:cs="Times New Roman"/>
      <w:b/>
      <w:bCs/>
      <w:color w:val="000000"/>
      <w:sz w:val="20"/>
      <w:szCs w:val="20"/>
      <w:lang w:val="en-US"/>
    </w:rPr>
  </w:style>
  <w:style w:type="paragraph" w:styleId="Sansinterligne">
    <w:name w:val="No Spacing"/>
    <w:uiPriority w:val="1"/>
    <w:qFormat/>
    <w:rsid w:val="002D260C"/>
    <w:pPr>
      <w:spacing w:after="0" w:line="240" w:lineRule="auto"/>
    </w:pPr>
    <w:rPr>
      <w:rFonts w:ascii="Calibri" w:eastAsia="ヒラギノ角ゴ Pro W3" w:hAnsi="Calibri" w:cs="Times New Roman"/>
      <w:color w:val="000000"/>
      <w:szCs w:val="24"/>
      <w:lang w:val="en-US"/>
    </w:rPr>
  </w:style>
  <w:style w:type="paragraph" w:styleId="En-tte">
    <w:name w:val="header"/>
    <w:basedOn w:val="Normal"/>
    <w:link w:val="En-tteCar"/>
    <w:uiPriority w:val="99"/>
    <w:unhideWhenUsed/>
    <w:rsid w:val="0015319F"/>
    <w:pPr>
      <w:tabs>
        <w:tab w:val="center" w:pos="4536"/>
        <w:tab w:val="right" w:pos="9072"/>
      </w:tabs>
      <w:spacing w:after="0" w:line="240" w:lineRule="auto"/>
    </w:pPr>
  </w:style>
  <w:style w:type="character" w:customStyle="1" w:styleId="En-tteCar">
    <w:name w:val="En-tête Car"/>
    <w:basedOn w:val="Policepardfaut"/>
    <w:link w:val="En-tte"/>
    <w:uiPriority w:val="99"/>
    <w:rsid w:val="0015319F"/>
    <w:rPr>
      <w:rFonts w:ascii="Calibri" w:eastAsia="ヒラギノ角ゴ Pro W3" w:hAnsi="Calibri" w:cs="Times New Roman"/>
      <w:color w:val="000000"/>
      <w:szCs w:val="24"/>
      <w:lang w:val="en-US"/>
    </w:rPr>
  </w:style>
  <w:style w:type="paragraph" w:styleId="Pieddepage">
    <w:name w:val="footer"/>
    <w:basedOn w:val="Normal"/>
    <w:link w:val="PieddepageCar"/>
    <w:uiPriority w:val="99"/>
    <w:unhideWhenUsed/>
    <w:rsid w:val="0015319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5319F"/>
    <w:rPr>
      <w:rFonts w:ascii="Calibri" w:eastAsia="ヒラギノ角ゴ Pro W3" w:hAnsi="Calibri" w:cs="Times New Roman"/>
      <w:color w:val="000000"/>
      <w:szCs w:val="24"/>
      <w:lang w:val="en-US"/>
    </w:rPr>
  </w:style>
  <w:style w:type="character" w:customStyle="1" w:styleId="citation">
    <w:name w:val="citation"/>
    <w:basedOn w:val="Policepardfaut"/>
    <w:rsid w:val="000E75C1"/>
  </w:style>
  <w:style w:type="character" w:styleId="Accentuation">
    <w:name w:val="Emphasis"/>
    <w:basedOn w:val="Policepardfaut"/>
    <w:uiPriority w:val="20"/>
    <w:qFormat/>
    <w:rsid w:val="000E75C1"/>
    <w:rPr>
      <w:i/>
      <w:iCs/>
    </w:rPr>
  </w:style>
  <w:style w:type="character" w:customStyle="1" w:styleId="anchor-text">
    <w:name w:val="anchor-text"/>
    <w:basedOn w:val="Policepardfaut"/>
    <w:rsid w:val="00492063"/>
  </w:style>
  <w:style w:type="paragraph" w:customStyle="1" w:styleId="dx-doi">
    <w:name w:val="dx-doi"/>
    <w:basedOn w:val="Normal"/>
    <w:rsid w:val="00653286"/>
    <w:pPr>
      <w:spacing w:before="100" w:beforeAutospacing="1" w:after="100" w:afterAutospacing="1" w:line="240" w:lineRule="auto"/>
    </w:pPr>
    <w:rPr>
      <w:rFonts w:ascii="Times New Roman" w:eastAsia="Times New Roman" w:hAnsi="Times New Roman"/>
      <w:color w:val="auto"/>
      <w:sz w:val="24"/>
      <w:lang w:val="fr-BE" w:eastAsia="fr-BE"/>
    </w:rPr>
  </w:style>
  <w:style w:type="character" w:styleId="Lienhypertextesuivivisit">
    <w:name w:val="FollowedHyperlink"/>
    <w:basedOn w:val="Policepardfaut"/>
    <w:uiPriority w:val="99"/>
    <w:semiHidden/>
    <w:unhideWhenUsed/>
    <w:rsid w:val="00D75AD5"/>
    <w:rPr>
      <w:color w:val="800080" w:themeColor="followedHyperlink"/>
      <w:u w:val="single"/>
    </w:rPr>
  </w:style>
  <w:style w:type="paragraph" w:styleId="PrformatHTML">
    <w:name w:val="HTML Preformatted"/>
    <w:basedOn w:val="Normal"/>
    <w:link w:val="PrformatHTMLCar"/>
    <w:uiPriority w:val="99"/>
    <w:semiHidden/>
    <w:unhideWhenUsed/>
    <w:rsid w:val="00B74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val="fr-BE" w:eastAsia="fr-BE"/>
    </w:rPr>
  </w:style>
  <w:style w:type="character" w:customStyle="1" w:styleId="PrformatHTMLCar">
    <w:name w:val="Préformaté HTML Car"/>
    <w:basedOn w:val="Policepardfaut"/>
    <w:link w:val="PrformatHTML"/>
    <w:uiPriority w:val="99"/>
    <w:semiHidden/>
    <w:rsid w:val="00B74BF4"/>
    <w:rPr>
      <w:rFonts w:ascii="Courier New" w:eastAsia="Times New Roman" w:hAnsi="Courier New" w:cs="Courier New"/>
      <w:sz w:val="20"/>
      <w:szCs w:val="20"/>
      <w:lang w:eastAsia="fr-BE"/>
    </w:rPr>
  </w:style>
  <w:style w:type="character" w:styleId="CodeHTML">
    <w:name w:val="HTML Code"/>
    <w:basedOn w:val="Policepardfaut"/>
    <w:uiPriority w:val="99"/>
    <w:semiHidden/>
    <w:unhideWhenUsed/>
    <w:rsid w:val="00B74BF4"/>
    <w:rPr>
      <w:rFonts w:ascii="Courier New" w:eastAsia="Times New Roman" w:hAnsi="Courier New" w:cs="Courier New"/>
      <w:sz w:val="20"/>
      <w:szCs w:val="20"/>
    </w:rPr>
  </w:style>
  <w:style w:type="paragraph" w:styleId="Rvision">
    <w:name w:val="Revision"/>
    <w:hidden/>
    <w:uiPriority w:val="99"/>
    <w:semiHidden/>
    <w:rsid w:val="00C24BAB"/>
    <w:pPr>
      <w:spacing w:after="0" w:line="240" w:lineRule="auto"/>
    </w:pPr>
    <w:rPr>
      <w:rFonts w:ascii="Calibri" w:eastAsia="ヒラギノ角ゴ Pro W3" w:hAnsi="Calibri" w:cs="Times New Roman"/>
      <w:color w:val="00000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103887">
      <w:bodyDiv w:val="1"/>
      <w:marLeft w:val="0"/>
      <w:marRight w:val="0"/>
      <w:marTop w:val="0"/>
      <w:marBottom w:val="0"/>
      <w:divBdr>
        <w:top w:val="none" w:sz="0" w:space="0" w:color="auto"/>
        <w:left w:val="none" w:sz="0" w:space="0" w:color="auto"/>
        <w:bottom w:val="none" w:sz="0" w:space="0" w:color="auto"/>
        <w:right w:val="none" w:sz="0" w:space="0" w:color="auto"/>
      </w:divBdr>
    </w:div>
    <w:div w:id="94448640">
      <w:bodyDiv w:val="1"/>
      <w:marLeft w:val="0"/>
      <w:marRight w:val="0"/>
      <w:marTop w:val="0"/>
      <w:marBottom w:val="0"/>
      <w:divBdr>
        <w:top w:val="none" w:sz="0" w:space="0" w:color="auto"/>
        <w:left w:val="none" w:sz="0" w:space="0" w:color="auto"/>
        <w:bottom w:val="none" w:sz="0" w:space="0" w:color="auto"/>
        <w:right w:val="none" w:sz="0" w:space="0" w:color="auto"/>
      </w:divBdr>
      <w:divsChild>
        <w:div w:id="1374428309">
          <w:marLeft w:val="0"/>
          <w:marRight w:val="0"/>
          <w:marTop w:val="0"/>
          <w:marBottom w:val="0"/>
          <w:divBdr>
            <w:top w:val="none" w:sz="0" w:space="0" w:color="auto"/>
            <w:left w:val="none" w:sz="0" w:space="0" w:color="auto"/>
            <w:bottom w:val="none" w:sz="0" w:space="0" w:color="auto"/>
            <w:right w:val="none" w:sz="0" w:space="0" w:color="auto"/>
          </w:divBdr>
        </w:div>
      </w:divsChild>
    </w:div>
    <w:div w:id="362291533">
      <w:bodyDiv w:val="1"/>
      <w:marLeft w:val="0"/>
      <w:marRight w:val="0"/>
      <w:marTop w:val="0"/>
      <w:marBottom w:val="0"/>
      <w:divBdr>
        <w:top w:val="none" w:sz="0" w:space="0" w:color="auto"/>
        <w:left w:val="none" w:sz="0" w:space="0" w:color="auto"/>
        <w:bottom w:val="none" w:sz="0" w:space="0" w:color="auto"/>
        <w:right w:val="none" w:sz="0" w:space="0" w:color="auto"/>
      </w:divBdr>
      <w:divsChild>
        <w:div w:id="1640306023">
          <w:marLeft w:val="0"/>
          <w:marRight w:val="0"/>
          <w:marTop w:val="0"/>
          <w:marBottom w:val="0"/>
          <w:divBdr>
            <w:top w:val="none" w:sz="0" w:space="0" w:color="auto"/>
            <w:left w:val="none" w:sz="0" w:space="0" w:color="auto"/>
            <w:bottom w:val="none" w:sz="0" w:space="0" w:color="auto"/>
            <w:right w:val="none" w:sz="0" w:space="0" w:color="auto"/>
          </w:divBdr>
        </w:div>
      </w:divsChild>
    </w:div>
    <w:div w:id="420302831">
      <w:bodyDiv w:val="1"/>
      <w:marLeft w:val="0"/>
      <w:marRight w:val="0"/>
      <w:marTop w:val="0"/>
      <w:marBottom w:val="0"/>
      <w:divBdr>
        <w:top w:val="none" w:sz="0" w:space="0" w:color="auto"/>
        <w:left w:val="none" w:sz="0" w:space="0" w:color="auto"/>
        <w:bottom w:val="none" w:sz="0" w:space="0" w:color="auto"/>
        <w:right w:val="none" w:sz="0" w:space="0" w:color="auto"/>
      </w:divBdr>
    </w:div>
    <w:div w:id="514805971">
      <w:bodyDiv w:val="1"/>
      <w:marLeft w:val="0"/>
      <w:marRight w:val="0"/>
      <w:marTop w:val="0"/>
      <w:marBottom w:val="0"/>
      <w:divBdr>
        <w:top w:val="none" w:sz="0" w:space="0" w:color="auto"/>
        <w:left w:val="none" w:sz="0" w:space="0" w:color="auto"/>
        <w:bottom w:val="none" w:sz="0" w:space="0" w:color="auto"/>
        <w:right w:val="none" w:sz="0" w:space="0" w:color="auto"/>
      </w:divBdr>
    </w:div>
    <w:div w:id="524056816">
      <w:bodyDiv w:val="1"/>
      <w:marLeft w:val="0"/>
      <w:marRight w:val="0"/>
      <w:marTop w:val="0"/>
      <w:marBottom w:val="0"/>
      <w:divBdr>
        <w:top w:val="none" w:sz="0" w:space="0" w:color="auto"/>
        <w:left w:val="none" w:sz="0" w:space="0" w:color="auto"/>
        <w:bottom w:val="none" w:sz="0" w:space="0" w:color="auto"/>
        <w:right w:val="none" w:sz="0" w:space="0" w:color="auto"/>
      </w:divBdr>
      <w:divsChild>
        <w:div w:id="990062954">
          <w:marLeft w:val="0"/>
          <w:marRight w:val="0"/>
          <w:marTop w:val="0"/>
          <w:marBottom w:val="0"/>
          <w:divBdr>
            <w:top w:val="none" w:sz="0" w:space="0" w:color="auto"/>
            <w:left w:val="none" w:sz="0" w:space="0" w:color="auto"/>
            <w:bottom w:val="none" w:sz="0" w:space="0" w:color="auto"/>
            <w:right w:val="none" w:sz="0" w:space="0" w:color="auto"/>
          </w:divBdr>
        </w:div>
      </w:divsChild>
    </w:div>
    <w:div w:id="597561091">
      <w:bodyDiv w:val="1"/>
      <w:marLeft w:val="0"/>
      <w:marRight w:val="0"/>
      <w:marTop w:val="0"/>
      <w:marBottom w:val="0"/>
      <w:divBdr>
        <w:top w:val="none" w:sz="0" w:space="0" w:color="auto"/>
        <w:left w:val="none" w:sz="0" w:space="0" w:color="auto"/>
        <w:bottom w:val="none" w:sz="0" w:space="0" w:color="auto"/>
        <w:right w:val="none" w:sz="0" w:space="0" w:color="auto"/>
      </w:divBdr>
      <w:divsChild>
        <w:div w:id="312560653">
          <w:marLeft w:val="0"/>
          <w:marRight w:val="0"/>
          <w:marTop w:val="0"/>
          <w:marBottom w:val="0"/>
          <w:divBdr>
            <w:top w:val="none" w:sz="0" w:space="0" w:color="auto"/>
            <w:left w:val="none" w:sz="0" w:space="0" w:color="auto"/>
            <w:bottom w:val="none" w:sz="0" w:space="0" w:color="auto"/>
            <w:right w:val="none" w:sz="0" w:space="0" w:color="auto"/>
          </w:divBdr>
        </w:div>
      </w:divsChild>
    </w:div>
    <w:div w:id="1116604078">
      <w:bodyDiv w:val="1"/>
      <w:marLeft w:val="0"/>
      <w:marRight w:val="0"/>
      <w:marTop w:val="0"/>
      <w:marBottom w:val="0"/>
      <w:divBdr>
        <w:top w:val="none" w:sz="0" w:space="0" w:color="auto"/>
        <w:left w:val="none" w:sz="0" w:space="0" w:color="auto"/>
        <w:bottom w:val="none" w:sz="0" w:space="0" w:color="auto"/>
        <w:right w:val="none" w:sz="0" w:space="0" w:color="auto"/>
      </w:divBdr>
      <w:divsChild>
        <w:div w:id="976648576">
          <w:marLeft w:val="0"/>
          <w:marRight w:val="0"/>
          <w:marTop w:val="0"/>
          <w:marBottom w:val="0"/>
          <w:divBdr>
            <w:top w:val="none" w:sz="0" w:space="0" w:color="auto"/>
            <w:left w:val="none" w:sz="0" w:space="0" w:color="auto"/>
            <w:bottom w:val="none" w:sz="0" w:space="0" w:color="auto"/>
            <w:right w:val="none" w:sz="0" w:space="0" w:color="auto"/>
          </w:divBdr>
        </w:div>
      </w:divsChild>
    </w:div>
    <w:div w:id="1124351400">
      <w:bodyDiv w:val="1"/>
      <w:marLeft w:val="0"/>
      <w:marRight w:val="0"/>
      <w:marTop w:val="0"/>
      <w:marBottom w:val="0"/>
      <w:divBdr>
        <w:top w:val="none" w:sz="0" w:space="0" w:color="auto"/>
        <w:left w:val="none" w:sz="0" w:space="0" w:color="auto"/>
        <w:bottom w:val="none" w:sz="0" w:space="0" w:color="auto"/>
        <w:right w:val="none" w:sz="0" w:space="0" w:color="auto"/>
      </w:divBdr>
    </w:div>
    <w:div w:id="1174343845">
      <w:bodyDiv w:val="1"/>
      <w:marLeft w:val="0"/>
      <w:marRight w:val="0"/>
      <w:marTop w:val="0"/>
      <w:marBottom w:val="0"/>
      <w:divBdr>
        <w:top w:val="none" w:sz="0" w:space="0" w:color="auto"/>
        <w:left w:val="none" w:sz="0" w:space="0" w:color="auto"/>
        <w:bottom w:val="none" w:sz="0" w:space="0" w:color="auto"/>
        <w:right w:val="none" w:sz="0" w:space="0" w:color="auto"/>
      </w:divBdr>
      <w:divsChild>
        <w:div w:id="827864390">
          <w:marLeft w:val="0"/>
          <w:marRight w:val="0"/>
          <w:marTop w:val="0"/>
          <w:marBottom w:val="0"/>
          <w:divBdr>
            <w:top w:val="none" w:sz="0" w:space="0" w:color="auto"/>
            <w:left w:val="none" w:sz="0" w:space="0" w:color="auto"/>
            <w:bottom w:val="none" w:sz="0" w:space="0" w:color="auto"/>
            <w:right w:val="none" w:sz="0" w:space="0" w:color="auto"/>
          </w:divBdr>
        </w:div>
      </w:divsChild>
    </w:div>
    <w:div w:id="1471482770">
      <w:bodyDiv w:val="1"/>
      <w:marLeft w:val="0"/>
      <w:marRight w:val="0"/>
      <w:marTop w:val="0"/>
      <w:marBottom w:val="0"/>
      <w:divBdr>
        <w:top w:val="none" w:sz="0" w:space="0" w:color="auto"/>
        <w:left w:val="none" w:sz="0" w:space="0" w:color="auto"/>
        <w:bottom w:val="none" w:sz="0" w:space="0" w:color="auto"/>
        <w:right w:val="none" w:sz="0" w:space="0" w:color="auto"/>
      </w:divBdr>
      <w:divsChild>
        <w:div w:id="15449150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038/nature08930" TargetMode="External"/><Relationship Id="rId21" Type="http://schemas.openxmlformats.org/officeDocument/2006/relationships/hyperlink" Target="https://doi.org/10.2134/ael2018.05.0026" TargetMode="External"/><Relationship Id="rId42" Type="http://schemas.openxmlformats.org/officeDocument/2006/relationships/hyperlink" Target="https://doi.org/10.1111/sum.12151" TargetMode="External"/><Relationship Id="rId47" Type="http://schemas.openxmlformats.org/officeDocument/2006/relationships/hyperlink" Target="https://doi.org/10.1046/j.1365-2389.1999.00264.x" TargetMode="External"/><Relationship Id="rId63" Type="http://schemas.openxmlformats.org/officeDocument/2006/relationships/hyperlink" Target="https://doi.org/10.1016/j.eja.2010.05.008"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j.jenvman.2020.110319" TargetMode="External"/><Relationship Id="rId29" Type="http://schemas.openxmlformats.org/officeDocument/2006/relationships/hyperlink" Target="https://doi.org/10.1016/S0167-1987(00)00110-0" TargetMode="External"/><Relationship Id="rId11" Type="http://schemas.openxmlformats.org/officeDocument/2006/relationships/image" Target="media/image3.tiff"/><Relationship Id="rId24" Type="http://schemas.openxmlformats.org/officeDocument/2006/relationships/hyperlink" Target="https://doi.org/10.1016/j.still.2005.02.028" TargetMode="External"/><Relationship Id="rId32" Type="http://schemas.openxmlformats.org/officeDocument/2006/relationships/hyperlink" Target="https://doi.org/10.1016/j.agrformet.2010.01.021" TargetMode="External"/><Relationship Id="rId37" Type="http://schemas.openxmlformats.org/officeDocument/2006/relationships/hyperlink" Target="https://doi.org/10.1016/S0167-1987(02)00058-2" TargetMode="External"/><Relationship Id="rId40" Type="http://schemas.openxmlformats.org/officeDocument/2006/relationships/hyperlink" Target="https://doi.org/10.1016/S0167-1987(97)00036-6" TargetMode="External"/><Relationship Id="rId45" Type="http://schemas.openxmlformats.org/officeDocument/2006/relationships/hyperlink" Target="https://doi.org/10.1016/j.agee.2010.08.006" TargetMode="External"/><Relationship Id="rId53" Type="http://schemas.openxmlformats.org/officeDocument/2006/relationships/hyperlink" Target="https://doi.org/10.1038/nature13809" TargetMode="External"/><Relationship Id="rId58" Type="http://schemas.openxmlformats.org/officeDocument/2006/relationships/hyperlink" Target="https://doi.org/10.1016/j.eja.2019.125948" TargetMode="External"/><Relationship Id="rId66" Type="http://schemas.openxmlformats.org/officeDocument/2006/relationships/hyperlink" Target="https://doi.org/10.1016/j.agee.2021.107551" TargetMode="External"/><Relationship Id="rId5" Type="http://schemas.openxmlformats.org/officeDocument/2006/relationships/webSettings" Target="webSettings.xml"/><Relationship Id="rId61" Type="http://schemas.openxmlformats.org/officeDocument/2006/relationships/hyperlink" Target="https://doi.org/10.1016/j.agsy.2014.05.009" TargetMode="External"/><Relationship Id="rId19" Type="http://schemas.openxmlformats.org/officeDocument/2006/relationships/hyperlink" Target="https://doi.org/10.5194/bg-17-5223-2020" TargetMode="External"/><Relationship Id="rId14" Type="http://schemas.openxmlformats.org/officeDocument/2006/relationships/image" Target="media/image6.tiff"/><Relationship Id="rId22" Type="http://schemas.openxmlformats.org/officeDocument/2006/relationships/hyperlink" Target="https://doi.org/10.1016/j.eja.2008.03.001" TargetMode="External"/><Relationship Id="rId27" Type="http://schemas.openxmlformats.org/officeDocument/2006/relationships/hyperlink" Target="https://doi.org/10.1016/j.eja.2013.11.009" TargetMode="External"/><Relationship Id="rId30" Type="http://schemas.openxmlformats.org/officeDocument/2006/relationships/hyperlink" Target="https://doi.org/10.1016/j.envsoft.2019.04.004" TargetMode="External"/><Relationship Id="rId35" Type="http://schemas.openxmlformats.org/officeDocument/2006/relationships/hyperlink" Target="https://doi.org/10.1016/j.geoderma.2017.10.010" TargetMode="External"/><Relationship Id="rId43" Type="http://schemas.openxmlformats.org/officeDocument/2006/relationships/hyperlink" Target="https://doi.org/10.1016/j.apsoil.2005.08.001" TargetMode="External"/><Relationship Id="rId48" Type="http://schemas.openxmlformats.org/officeDocument/2006/relationships/hyperlink" Target="https://doi.org/10.1016/j.agee.2020.106972" TargetMode="External"/><Relationship Id="rId56" Type="http://schemas.openxmlformats.org/officeDocument/2006/relationships/hyperlink" Target="https://doi.org/10.1016/j.geoderma.2018.07.001" TargetMode="External"/><Relationship Id="rId64" Type="http://schemas.openxmlformats.org/officeDocument/2006/relationships/hyperlink" Target="https://doi.org/10.1023/B:FRES.0000048477.56417.46" TargetMode="External"/><Relationship Id="rId69" Type="http://schemas.openxmlformats.org/officeDocument/2006/relationships/fontTable" Target="fontTable.xml"/><Relationship Id="rId8" Type="http://schemas.openxmlformats.org/officeDocument/2006/relationships/hyperlink" Target="mailto:mathieu.delandmeter@uliege.be" TargetMode="External"/><Relationship Id="rId51" Type="http://schemas.openxmlformats.org/officeDocument/2006/relationships/hyperlink" Target="https://doi.org/10.1038/s41598-019-47861-7" TargetMode="External"/><Relationship Id="rId3" Type="http://schemas.openxmlformats.org/officeDocument/2006/relationships/styles" Target="styles.xml"/><Relationship Id="rId12" Type="http://schemas.openxmlformats.org/officeDocument/2006/relationships/image" Target="media/image4.tiff"/><Relationship Id="rId17" Type="http://schemas.openxmlformats.org/officeDocument/2006/relationships/hyperlink" Target="https://doi.org/10.1016/j.still.2009.02.005" TargetMode="External"/><Relationship Id="rId25" Type="http://schemas.openxmlformats.org/officeDocument/2006/relationships/hyperlink" Target="https://doi.org/10.1016/j.geoderma.2018.03.011" TargetMode="External"/><Relationship Id="rId33" Type="http://schemas.openxmlformats.org/officeDocument/2006/relationships/hyperlink" Target="https://doi.org/10.3390/agronomy10122004" TargetMode="External"/><Relationship Id="rId38" Type="http://schemas.openxmlformats.org/officeDocument/2006/relationships/hyperlink" Target="https://doi.org/10.1038/s41467-018-05956-1" TargetMode="External"/><Relationship Id="rId46" Type="http://schemas.openxmlformats.org/officeDocument/2006/relationships/hyperlink" Target="https://doi.org/10.1111/gcb.15547" TargetMode="External"/><Relationship Id="rId59" Type="http://schemas.openxmlformats.org/officeDocument/2006/relationships/hyperlink" Target="https://doi.org/10.1016/j.agee.2012.10.001" TargetMode="External"/><Relationship Id="rId67" Type="http://schemas.openxmlformats.org/officeDocument/2006/relationships/hyperlink" Target="https://doi.org/10.1016/j.still.2021.105182" TargetMode="External"/><Relationship Id="rId20" Type="http://schemas.openxmlformats.org/officeDocument/2006/relationships/hyperlink" Target="https://doi.org/10.4081/ija.2006.677" TargetMode="External"/><Relationship Id="rId41" Type="http://schemas.openxmlformats.org/officeDocument/2006/relationships/hyperlink" Target="https://doi.org/10.1126/science.1097396" TargetMode="External"/><Relationship Id="rId54" Type="http://schemas.openxmlformats.org/officeDocument/2006/relationships/hyperlink" Target="https://doi.org/10.3390/agronomy13102540" TargetMode="External"/><Relationship Id="rId62" Type="http://schemas.openxmlformats.org/officeDocument/2006/relationships/hyperlink" Target="https://doi.org/10.1016/j.still.2008.11.008"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tiff"/><Relationship Id="rId23" Type="http://schemas.openxmlformats.org/officeDocument/2006/relationships/hyperlink" Target="https://doi.org/10.1038/nature04038" TargetMode="External"/><Relationship Id="rId28" Type="http://schemas.openxmlformats.org/officeDocument/2006/relationships/hyperlink" Target="https://doi.org/10.1016/j.agrformet.2013.05.004" TargetMode="External"/><Relationship Id="rId36" Type="http://schemas.openxmlformats.org/officeDocument/2006/relationships/hyperlink" Target="https://doi.org/10.1016/j.agee.2009.05.009" TargetMode="External"/><Relationship Id="rId49" Type="http://schemas.openxmlformats.org/officeDocument/2006/relationships/hyperlink" Target="https://doi.org/10.1016/j.earscirev.2017.12.015" TargetMode="External"/><Relationship Id="rId57" Type="http://schemas.openxmlformats.org/officeDocument/2006/relationships/hyperlink" Target="https://doi.org/10.1098/rstb.2007.2184" TargetMode="External"/><Relationship Id="rId10" Type="http://schemas.openxmlformats.org/officeDocument/2006/relationships/image" Target="media/image2.tiff"/><Relationship Id="rId31" Type="http://schemas.openxmlformats.org/officeDocument/2006/relationships/hyperlink" Target="https://doi.org/10.1016/j.envsoft.2014.11.024" TargetMode="External"/><Relationship Id="rId44" Type="http://schemas.openxmlformats.org/officeDocument/2006/relationships/hyperlink" Target="https://doi.org/10.1016/j.still.2010.10.011" TargetMode="External"/><Relationship Id="rId52" Type="http://schemas.openxmlformats.org/officeDocument/2006/relationships/hyperlink" Target="https://doi.org/10.1016/j.fcr.2015.07.020" TargetMode="External"/><Relationship Id="rId60" Type="http://schemas.openxmlformats.org/officeDocument/2006/relationships/hyperlink" Target="https://doi.org/10.1111/gcb.15001" TargetMode="External"/><Relationship Id="rId65" Type="http://schemas.openxmlformats.org/officeDocument/2006/relationships/hyperlink" Target="https://doi.org/10.1080/02723646.1981.10642213" TargetMode="External"/><Relationship Id="rId4" Type="http://schemas.openxmlformats.org/officeDocument/2006/relationships/settings" Target="settings.xml"/><Relationship Id="rId9" Type="http://schemas.openxmlformats.org/officeDocument/2006/relationships/image" Target="media/image1.tiff"/><Relationship Id="rId13" Type="http://schemas.openxmlformats.org/officeDocument/2006/relationships/image" Target="media/image5.tiff"/><Relationship Id="rId18" Type="http://schemas.openxmlformats.org/officeDocument/2006/relationships/hyperlink" Target="https://doi.org/10.1016/j.fcr.2017.10.005" TargetMode="External"/><Relationship Id="rId39" Type="http://schemas.openxmlformats.org/officeDocument/2006/relationships/hyperlink" Target="https://doi.org/10.1016/j.still.2021.105262" TargetMode="External"/><Relationship Id="rId34" Type="http://schemas.openxmlformats.org/officeDocument/2006/relationships/hyperlink" Target="https://doi.org/10.1016/j.eja.2015.01.003" TargetMode="External"/><Relationship Id="rId50" Type="http://schemas.openxmlformats.org/officeDocument/2006/relationships/hyperlink" Target="https://doi.org/10.1111/j.1365-2486.2009.01951.x" TargetMode="External"/><Relationship Id="rId55" Type="http://schemas.openxmlformats.org/officeDocument/2006/relationships/hyperlink" Target="https://doi.org/10.1016/j.still.2018.02.012"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466BB1-E125-4E50-A134-5CAADE566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10369</Words>
  <Characters>57030</Characters>
  <Application>Microsoft Office Word</Application>
  <DocSecurity>0</DocSecurity>
  <Lines>475</Lines>
  <Paragraphs>134</Paragraphs>
  <ScaleCrop>false</ScaleCrop>
  <HeadingPairs>
    <vt:vector size="2" baseType="variant">
      <vt:variant>
        <vt:lpstr>Titre</vt:lpstr>
      </vt:variant>
      <vt:variant>
        <vt:i4>1</vt:i4>
      </vt:variant>
    </vt:vector>
  </HeadingPairs>
  <TitlesOfParts>
    <vt:vector size="1" baseType="lpstr">
      <vt:lpstr/>
    </vt:vector>
  </TitlesOfParts>
  <Company>PRIMINFO</Company>
  <LinksUpToDate>false</LinksUpToDate>
  <CharactersWithSpaces>67265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BenDum</dc:creator>
  <cp:keywords/>
  <dc:description/>
  <cp:lastModifiedBy>Mathieu Delandmeter</cp:lastModifiedBy>
  <cp:revision>116</cp:revision>
  <cp:lastPrinted>2022-09-21T13:24:00Z</cp:lastPrinted>
  <dcterms:created xsi:type="dcterms:W3CDTF">2019-07-02T18:05:00Z</dcterms:created>
  <dcterms:modified xsi:type="dcterms:W3CDTF">2024-07-08T12:41:00Z</dcterms:modified>
</cp:coreProperties>
</file>