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79C" w:rsidRDefault="0062379C" w:rsidP="00EE1391">
      <w:pPr>
        <w:widowControl w:val="0"/>
        <w:tabs>
          <w:tab w:val="left" w:pos="-284"/>
        </w:tabs>
        <w:ind w:right="-142"/>
        <w:jc w:val="center"/>
        <w:rPr>
          <w:rFonts w:ascii="Palatino Linotype" w:hAnsi="Palatino Linotype"/>
          <w:color w:val="000000"/>
          <w:sz w:val="22"/>
          <w:szCs w:val="22"/>
        </w:rPr>
      </w:pPr>
    </w:p>
    <w:p w:rsidR="0062379C" w:rsidRDefault="0018283F" w:rsidP="00EE1391">
      <w:pPr>
        <w:widowControl w:val="0"/>
        <w:spacing w:before="14"/>
        <w:ind w:right="-20"/>
        <w:jc w:val="center"/>
        <w:rPr>
          <w:rFonts w:ascii="Palatino Linotype" w:hAnsi="Palatino Linotype"/>
          <w:sz w:val="22"/>
          <w:szCs w:val="22"/>
        </w:rPr>
      </w:pPr>
      <w:r w:rsidRPr="0018283F">
        <w:rPr>
          <w:rFonts w:ascii="Palatino Linotype" w:hAnsi="Palatino Linotype"/>
          <w:b/>
          <w:bCs/>
          <w:spacing w:val="-1"/>
          <w:szCs w:val="22"/>
        </w:rPr>
        <w:t xml:space="preserve">Liaison chimique 'incomplète' dans les </w:t>
      </w:r>
      <w:proofErr w:type="spellStart"/>
      <w:r w:rsidRPr="0018283F">
        <w:rPr>
          <w:rFonts w:ascii="Palatino Linotype" w:hAnsi="Palatino Linotype"/>
          <w:b/>
          <w:bCs/>
          <w:spacing w:val="-1"/>
          <w:szCs w:val="22"/>
        </w:rPr>
        <w:t>chalcogénures</w:t>
      </w:r>
      <w:proofErr w:type="spellEnd"/>
      <w:r w:rsidRPr="0018283F">
        <w:rPr>
          <w:rFonts w:ascii="Palatino Linotype" w:hAnsi="Palatino Linotype"/>
          <w:b/>
          <w:bCs/>
          <w:spacing w:val="-1"/>
          <w:szCs w:val="22"/>
        </w:rPr>
        <w:t xml:space="preserve"> : implications pour les matériaux à changement de phase, thermoélectriques et photovolta</w:t>
      </w:r>
      <w:r>
        <w:rPr>
          <w:rFonts w:ascii="Palatino Linotype" w:hAnsi="Palatino Linotype"/>
          <w:b/>
          <w:bCs/>
          <w:spacing w:val="-1"/>
          <w:szCs w:val="22"/>
        </w:rPr>
        <w:t>ï</w:t>
      </w:r>
      <w:r w:rsidRPr="0018283F">
        <w:rPr>
          <w:rFonts w:ascii="Palatino Linotype" w:hAnsi="Palatino Linotype"/>
          <w:b/>
          <w:bCs/>
          <w:spacing w:val="-1"/>
          <w:szCs w:val="22"/>
        </w:rPr>
        <w:t>ques</w:t>
      </w:r>
    </w:p>
    <w:p w:rsidR="0062379C" w:rsidRDefault="0018283F" w:rsidP="00EE1391">
      <w:pPr>
        <w:widowControl w:val="0"/>
        <w:tabs>
          <w:tab w:val="left" w:pos="9214"/>
        </w:tabs>
        <w:ind w:left="567" w:right="362"/>
        <w:jc w:val="center"/>
        <w:rPr>
          <w:rFonts w:ascii="Palatino Linotype" w:hAnsi="Palatino Linotype"/>
          <w:spacing w:val="1"/>
          <w:sz w:val="22"/>
          <w:szCs w:val="22"/>
        </w:rPr>
      </w:pPr>
      <w:r>
        <w:rPr>
          <w:rFonts w:ascii="Palatino Linotype" w:hAnsi="Palatino Linotype"/>
          <w:spacing w:val="1"/>
          <w:sz w:val="22"/>
          <w:szCs w:val="22"/>
        </w:rPr>
        <w:t>J.Y. Raty</w:t>
      </w:r>
    </w:p>
    <w:p w:rsidR="0018283F" w:rsidRDefault="0018283F" w:rsidP="00EE1391">
      <w:pPr>
        <w:widowControl w:val="0"/>
        <w:tabs>
          <w:tab w:val="left" w:pos="9214"/>
        </w:tabs>
        <w:ind w:left="567" w:right="362"/>
        <w:jc w:val="center"/>
        <w:rPr>
          <w:rFonts w:ascii="Palatino Linotype" w:hAnsi="Palatino Linotype"/>
          <w:sz w:val="22"/>
          <w:szCs w:val="22"/>
        </w:rPr>
      </w:pPr>
    </w:p>
    <w:p w:rsidR="00154751" w:rsidRDefault="0018283F" w:rsidP="0018283F">
      <w:pPr>
        <w:widowControl w:val="0"/>
        <w:ind w:left="678" w:right="606"/>
        <w:jc w:val="center"/>
        <w:rPr>
          <w:rFonts w:ascii="Palatino Linotype" w:hAnsi="Palatino Linotype"/>
          <w:i/>
          <w:iCs/>
          <w:spacing w:val="1"/>
          <w:sz w:val="22"/>
          <w:szCs w:val="22"/>
        </w:rPr>
      </w:pPr>
      <w:r>
        <w:rPr>
          <w:rFonts w:ascii="Palatino Linotype" w:hAnsi="Palatino Linotype"/>
          <w:i/>
          <w:iCs/>
          <w:spacing w:val="1"/>
          <w:sz w:val="22"/>
          <w:szCs w:val="22"/>
        </w:rPr>
        <w:t>Simulation de la Matière Condensée, FNRS</w:t>
      </w:r>
      <w:r w:rsidR="00611D71">
        <w:rPr>
          <w:rFonts w:ascii="Palatino Linotype" w:hAnsi="Palatino Linotype"/>
          <w:i/>
          <w:iCs/>
          <w:spacing w:val="1"/>
          <w:sz w:val="22"/>
          <w:szCs w:val="22"/>
        </w:rPr>
        <w:t>-</w:t>
      </w:r>
      <w:r>
        <w:rPr>
          <w:rFonts w:ascii="Palatino Linotype" w:hAnsi="Palatino Linotype"/>
          <w:i/>
          <w:iCs/>
          <w:spacing w:val="1"/>
          <w:sz w:val="22"/>
          <w:szCs w:val="22"/>
        </w:rPr>
        <w:t>Université de Liège, Sart-</w:t>
      </w:r>
      <w:proofErr w:type="spellStart"/>
      <w:r>
        <w:rPr>
          <w:rFonts w:ascii="Palatino Linotype" w:hAnsi="Palatino Linotype"/>
          <w:i/>
          <w:iCs/>
          <w:spacing w:val="1"/>
          <w:sz w:val="22"/>
          <w:szCs w:val="22"/>
        </w:rPr>
        <w:t>Tilman</w:t>
      </w:r>
      <w:proofErr w:type="spellEnd"/>
      <w:r>
        <w:rPr>
          <w:rFonts w:ascii="Palatino Linotype" w:hAnsi="Palatino Linotype"/>
          <w:i/>
          <w:iCs/>
          <w:spacing w:val="1"/>
          <w:sz w:val="22"/>
          <w:szCs w:val="22"/>
        </w:rPr>
        <w:t xml:space="preserve"> </w:t>
      </w:r>
      <w:r w:rsidR="00611D71">
        <w:rPr>
          <w:rFonts w:ascii="Palatino Linotype" w:hAnsi="Palatino Linotype"/>
          <w:i/>
          <w:iCs/>
          <w:spacing w:val="1"/>
          <w:sz w:val="22"/>
          <w:szCs w:val="22"/>
        </w:rPr>
        <w:t>B</w:t>
      </w:r>
      <w:r>
        <w:rPr>
          <w:rFonts w:ascii="Palatino Linotype" w:hAnsi="Palatino Linotype"/>
          <w:i/>
          <w:iCs/>
          <w:spacing w:val="1"/>
          <w:sz w:val="22"/>
          <w:szCs w:val="22"/>
        </w:rPr>
        <w:t>elgique</w:t>
      </w:r>
    </w:p>
    <w:p w:rsidR="0062379C" w:rsidRDefault="0062379C" w:rsidP="000D4E5E">
      <w:pPr>
        <w:widowControl w:val="0"/>
        <w:ind w:right="3727"/>
        <w:rPr>
          <w:rFonts w:ascii="Palatino Linotype" w:hAnsi="Palatino Linotype"/>
          <w:sz w:val="22"/>
          <w:szCs w:val="22"/>
        </w:rPr>
      </w:pPr>
    </w:p>
    <w:p w:rsidR="0062379C" w:rsidRPr="000D4E5E" w:rsidRDefault="0018283F" w:rsidP="000D4E5E">
      <w:pPr>
        <w:widowControl w:val="0"/>
        <w:ind w:right="-67" w:firstLine="284"/>
        <w:jc w:val="both"/>
        <w:rPr>
          <w:rFonts w:ascii="Palatino Linotype" w:hAnsi="Palatino Linotype"/>
          <w:i/>
          <w:iCs/>
          <w:sz w:val="22"/>
          <w:szCs w:val="22"/>
        </w:rPr>
      </w:pPr>
      <w:r w:rsidRPr="0018283F">
        <w:rPr>
          <w:rFonts w:ascii="Palatino Linotype" w:hAnsi="Palatino Linotype"/>
          <w:i/>
          <w:iCs/>
          <w:sz w:val="22"/>
          <w:szCs w:val="22"/>
        </w:rPr>
        <w:t>La méthode</w:t>
      </w:r>
      <w:r>
        <w:rPr>
          <w:rFonts w:ascii="Palatino Linotype" w:hAnsi="Palatino Linotype"/>
          <w:i/>
          <w:iCs/>
          <w:sz w:val="22"/>
          <w:szCs w:val="22"/>
        </w:rPr>
        <w:t xml:space="preserve"> ‘QTAIM’ (théorie quantique des atomes dans </w:t>
      </w:r>
      <w:r w:rsidR="000D4E5E">
        <w:rPr>
          <w:rFonts w:ascii="Palatino Linotype" w:hAnsi="Palatino Linotype"/>
          <w:i/>
          <w:iCs/>
          <w:sz w:val="22"/>
          <w:szCs w:val="22"/>
        </w:rPr>
        <w:t>l</w:t>
      </w:r>
      <w:r>
        <w:rPr>
          <w:rFonts w:ascii="Palatino Linotype" w:hAnsi="Palatino Linotype"/>
          <w:i/>
          <w:iCs/>
          <w:sz w:val="22"/>
          <w:szCs w:val="22"/>
        </w:rPr>
        <w:t xml:space="preserve">es molécules) est appliquée à l’étude des liaison chimiques de </w:t>
      </w:r>
      <w:r w:rsidR="000D4E5E">
        <w:rPr>
          <w:rFonts w:ascii="Palatino Linotype" w:hAnsi="Palatino Linotype"/>
          <w:i/>
          <w:iCs/>
          <w:sz w:val="22"/>
          <w:szCs w:val="22"/>
        </w:rPr>
        <w:t>composés</w:t>
      </w:r>
      <w:r>
        <w:rPr>
          <w:rFonts w:ascii="Palatino Linotype" w:hAnsi="Palatino Linotype"/>
          <w:i/>
          <w:iCs/>
          <w:sz w:val="22"/>
          <w:szCs w:val="22"/>
        </w:rPr>
        <w:t xml:space="preserve"> </w:t>
      </w:r>
      <w:proofErr w:type="spellStart"/>
      <w:r>
        <w:rPr>
          <w:rFonts w:ascii="Palatino Linotype" w:hAnsi="Palatino Linotype"/>
          <w:i/>
          <w:iCs/>
          <w:sz w:val="22"/>
          <w:szCs w:val="22"/>
        </w:rPr>
        <w:t>chalcogénures</w:t>
      </w:r>
      <w:proofErr w:type="spellEnd"/>
      <w:r>
        <w:rPr>
          <w:rFonts w:ascii="Palatino Linotype" w:hAnsi="Palatino Linotype"/>
          <w:i/>
          <w:iCs/>
          <w:sz w:val="22"/>
          <w:szCs w:val="22"/>
        </w:rPr>
        <w:t>, mettant en évidence pour certains d’entre eux la nature ‘incomplète’ des liaisons. En conséquence, de nombreuses propriétés sont exaltées et un contraste important est cré</w:t>
      </w:r>
      <w:r w:rsidR="000D4E5E">
        <w:rPr>
          <w:rFonts w:ascii="Palatino Linotype" w:hAnsi="Palatino Linotype"/>
          <w:i/>
          <w:iCs/>
          <w:sz w:val="22"/>
          <w:szCs w:val="22"/>
        </w:rPr>
        <w:t>é</w:t>
      </w:r>
      <w:r>
        <w:rPr>
          <w:rFonts w:ascii="Palatino Linotype" w:hAnsi="Palatino Linotype"/>
          <w:i/>
          <w:iCs/>
          <w:sz w:val="22"/>
          <w:szCs w:val="22"/>
        </w:rPr>
        <w:t xml:space="preserve"> entre les phases amorphe et cristalline.</w:t>
      </w:r>
    </w:p>
    <w:p w:rsidR="000D4E5E" w:rsidRDefault="000D4E5E" w:rsidP="000D4E5E">
      <w:pPr>
        <w:ind w:firstLine="284"/>
        <w:jc w:val="both"/>
        <w:rPr>
          <w:rFonts w:ascii="Palatino Linotype" w:hAnsi="Palatino Linotype"/>
          <w:sz w:val="22"/>
          <w:szCs w:val="22"/>
        </w:rPr>
      </w:pPr>
    </w:p>
    <w:p w:rsidR="0062379C" w:rsidRDefault="0018283F" w:rsidP="000D4E5E">
      <w:pPr>
        <w:ind w:firstLine="284"/>
        <w:jc w:val="both"/>
        <w:rPr>
          <w:rFonts w:ascii="Palatino Linotype" w:hAnsi="Palatino Linotype"/>
          <w:sz w:val="22"/>
          <w:szCs w:val="22"/>
        </w:rPr>
      </w:pPr>
      <w:r>
        <w:rPr>
          <w:rFonts w:ascii="Palatino Linotype" w:hAnsi="Palatino Linotype"/>
          <w:sz w:val="22"/>
          <w:szCs w:val="22"/>
        </w:rPr>
        <w:t xml:space="preserve">Paires libres, van der Waals, </w:t>
      </w:r>
      <w:r w:rsidR="00F27169">
        <w:rPr>
          <w:rFonts w:ascii="Palatino Linotype" w:hAnsi="Palatino Linotype"/>
          <w:sz w:val="22"/>
          <w:szCs w:val="22"/>
        </w:rPr>
        <w:t xml:space="preserve">composé </w:t>
      </w:r>
      <w:r>
        <w:rPr>
          <w:rFonts w:ascii="Palatino Linotype" w:hAnsi="Palatino Linotype"/>
          <w:sz w:val="22"/>
          <w:szCs w:val="22"/>
        </w:rPr>
        <w:t xml:space="preserve">ionique, covalent, distorsion de </w:t>
      </w:r>
      <w:proofErr w:type="spellStart"/>
      <w:r>
        <w:rPr>
          <w:rFonts w:ascii="Palatino Linotype" w:hAnsi="Palatino Linotype"/>
          <w:sz w:val="22"/>
          <w:szCs w:val="22"/>
        </w:rPr>
        <w:t>Peierls</w:t>
      </w:r>
      <w:proofErr w:type="spellEnd"/>
      <w:r>
        <w:rPr>
          <w:rFonts w:ascii="Palatino Linotype" w:hAnsi="Palatino Linotype"/>
          <w:sz w:val="22"/>
          <w:szCs w:val="22"/>
        </w:rPr>
        <w:t>, ‘</w:t>
      </w:r>
      <w:proofErr w:type="spellStart"/>
      <w:r>
        <w:rPr>
          <w:rFonts w:ascii="Palatino Linotype" w:hAnsi="Palatino Linotype"/>
          <w:sz w:val="22"/>
          <w:szCs w:val="22"/>
        </w:rPr>
        <w:t>resonant</w:t>
      </w:r>
      <w:proofErr w:type="spellEnd"/>
      <w:r>
        <w:rPr>
          <w:rFonts w:ascii="Palatino Linotype" w:hAnsi="Palatino Linotype"/>
          <w:sz w:val="22"/>
          <w:szCs w:val="22"/>
        </w:rPr>
        <w:t xml:space="preserve"> bonding’, ‘metavalent bonding</w:t>
      </w:r>
      <w:r w:rsidR="00F27169">
        <w:rPr>
          <w:rFonts w:ascii="Palatino Linotype" w:hAnsi="Palatino Linotype"/>
          <w:sz w:val="22"/>
          <w:szCs w:val="22"/>
        </w:rPr>
        <w:t>’,</w:t>
      </w:r>
      <w:r>
        <w:rPr>
          <w:rFonts w:ascii="Palatino Linotype" w:hAnsi="Palatino Linotype"/>
          <w:sz w:val="22"/>
          <w:szCs w:val="22"/>
        </w:rPr>
        <w:t>’</w:t>
      </w:r>
      <w:proofErr w:type="spellStart"/>
      <w:r>
        <w:rPr>
          <w:rFonts w:ascii="Palatino Linotype" w:hAnsi="Palatino Linotype"/>
          <w:sz w:val="22"/>
          <w:szCs w:val="22"/>
        </w:rPr>
        <w:t>hypervalent</w:t>
      </w:r>
      <w:proofErr w:type="spellEnd"/>
      <w:r>
        <w:rPr>
          <w:rFonts w:ascii="Palatino Linotype" w:hAnsi="Palatino Linotype"/>
          <w:sz w:val="22"/>
          <w:szCs w:val="22"/>
        </w:rPr>
        <w:t xml:space="preserve"> bonding’ ! Tous ces termes sont, ou ont été, utilisés pour décrire de nombreux matériaux </w:t>
      </w:r>
      <w:proofErr w:type="spellStart"/>
      <w:r>
        <w:rPr>
          <w:rFonts w:ascii="Palatino Linotype" w:hAnsi="Palatino Linotype"/>
          <w:sz w:val="22"/>
          <w:szCs w:val="22"/>
        </w:rPr>
        <w:t>chalcogénures</w:t>
      </w:r>
      <w:proofErr w:type="spellEnd"/>
      <w:r>
        <w:rPr>
          <w:rFonts w:ascii="Palatino Linotype" w:hAnsi="Palatino Linotype"/>
          <w:sz w:val="22"/>
          <w:szCs w:val="22"/>
        </w:rPr>
        <w:t>. Certains termes sont cependant contradictoires, d’autres sont nébuleux ou basés sur des modèles et des interprétations. Com</w:t>
      </w:r>
      <w:r w:rsidR="0086080B">
        <w:rPr>
          <w:rFonts w:ascii="Palatino Linotype" w:hAnsi="Palatino Linotype"/>
          <w:sz w:val="22"/>
          <w:szCs w:val="22"/>
        </w:rPr>
        <w:t>m</w:t>
      </w:r>
      <w:r>
        <w:rPr>
          <w:rFonts w:ascii="Palatino Linotype" w:hAnsi="Palatino Linotype"/>
          <w:sz w:val="22"/>
          <w:szCs w:val="22"/>
        </w:rPr>
        <w:t>ent s’y retrouver, et qu’est ce qui est vraiment important pour la compréhension de ses systèmes et la mise au point de leurs applications ?</w:t>
      </w:r>
    </w:p>
    <w:p w:rsidR="000D4E5E" w:rsidRDefault="0086080B" w:rsidP="000D4E5E">
      <w:pPr>
        <w:ind w:firstLine="284"/>
        <w:jc w:val="both"/>
        <w:rPr>
          <w:rFonts w:ascii="Palatino Linotype" w:hAnsi="Palatino Linotype"/>
          <w:sz w:val="22"/>
          <w:szCs w:val="22"/>
        </w:rPr>
      </w:pPr>
      <w:r>
        <w:rPr>
          <w:rFonts w:ascii="Palatino Linotype" w:hAnsi="Palatino Linotype"/>
          <w:sz w:val="22"/>
          <w:szCs w:val="22"/>
        </w:rPr>
        <w:t>En nous basant uniquement sur des calculs DFT (1 électron) et leur extension à la densité de paires (2 électrons), nous avons revisité la liaison chi</w:t>
      </w:r>
      <w:r w:rsidR="00F27169">
        <w:rPr>
          <w:rFonts w:ascii="Palatino Linotype" w:hAnsi="Palatino Linotype"/>
          <w:sz w:val="22"/>
          <w:szCs w:val="22"/>
        </w:rPr>
        <w:t>m</w:t>
      </w:r>
      <w:r>
        <w:rPr>
          <w:rFonts w:ascii="Palatino Linotype" w:hAnsi="Palatino Linotype"/>
          <w:sz w:val="22"/>
          <w:szCs w:val="22"/>
        </w:rPr>
        <w:t>ique dans un grand nombre</w:t>
      </w:r>
      <w:r w:rsidR="00F27169">
        <w:rPr>
          <w:rFonts w:ascii="Palatino Linotype" w:hAnsi="Palatino Linotype"/>
          <w:sz w:val="22"/>
          <w:szCs w:val="22"/>
        </w:rPr>
        <w:t xml:space="preserve"> de </w:t>
      </w:r>
      <w:proofErr w:type="spellStart"/>
      <w:r w:rsidR="00F27169">
        <w:rPr>
          <w:rFonts w:ascii="Palatino Linotype" w:hAnsi="Palatino Linotype"/>
          <w:sz w:val="22"/>
          <w:szCs w:val="22"/>
        </w:rPr>
        <w:t>chalcogénures</w:t>
      </w:r>
      <w:proofErr w:type="spellEnd"/>
      <w:r w:rsidR="00F27169">
        <w:rPr>
          <w:rFonts w:ascii="Palatino Linotype" w:hAnsi="Palatino Linotype"/>
          <w:sz w:val="22"/>
          <w:szCs w:val="22"/>
        </w:rPr>
        <w:t xml:space="preserve"> et confirmé que les liaisons dans les phases cristallines sont de type </w:t>
      </w:r>
      <w:r w:rsidR="00F27169" w:rsidRPr="000D4E5E">
        <w:rPr>
          <w:rFonts w:ascii="Palatino Linotype" w:hAnsi="Palatino Linotype"/>
          <w:i/>
          <w:sz w:val="22"/>
          <w:szCs w:val="22"/>
        </w:rPr>
        <w:t>p</w:t>
      </w:r>
      <w:r w:rsidR="00F27169">
        <w:rPr>
          <w:rFonts w:ascii="Palatino Linotype" w:hAnsi="Palatino Linotype"/>
          <w:sz w:val="22"/>
          <w:szCs w:val="22"/>
        </w:rPr>
        <w:t xml:space="preserve"> (rôle mineur des électrons </w:t>
      </w:r>
      <w:r w:rsidR="00F27169" w:rsidRPr="000D4E5E">
        <w:rPr>
          <w:rFonts w:ascii="Palatino Linotype" w:hAnsi="Palatino Linotype"/>
          <w:i/>
          <w:sz w:val="22"/>
          <w:szCs w:val="22"/>
        </w:rPr>
        <w:t>s</w:t>
      </w:r>
      <w:r w:rsidR="00F27169">
        <w:rPr>
          <w:rFonts w:ascii="Palatino Linotype" w:hAnsi="Palatino Linotype"/>
          <w:sz w:val="22"/>
          <w:szCs w:val="22"/>
        </w:rPr>
        <w:t xml:space="preserve">), mais surtout que les liaisons étaient déficitaires en électrons, 2 électrons se répartissant de manière plus ou moins égale sur deux liaisons </w:t>
      </w:r>
      <w:r w:rsidR="00F27169" w:rsidRPr="000D4E5E">
        <w:rPr>
          <w:rFonts w:ascii="Palatino Linotype" w:hAnsi="Palatino Linotype"/>
          <w:i/>
          <w:sz w:val="22"/>
          <w:szCs w:val="22"/>
        </w:rPr>
        <w:t>p</w:t>
      </w:r>
      <w:r w:rsidR="00F27169">
        <w:rPr>
          <w:rFonts w:ascii="Palatino Linotype" w:hAnsi="Palatino Linotype"/>
          <w:sz w:val="22"/>
          <w:szCs w:val="22"/>
        </w:rPr>
        <w:t xml:space="preserve"> se faisant face.</w:t>
      </w:r>
      <w:r w:rsidR="003D4B6D">
        <w:rPr>
          <w:rFonts w:ascii="Palatino Linotype" w:hAnsi="Palatino Linotype"/>
          <w:sz w:val="22"/>
          <w:szCs w:val="22"/>
        </w:rPr>
        <w:t xml:space="preserve"> [1,2]</w:t>
      </w:r>
      <w:r w:rsidR="00F27169">
        <w:rPr>
          <w:rFonts w:ascii="Palatino Linotype" w:hAnsi="Palatino Linotype"/>
          <w:sz w:val="22"/>
          <w:szCs w:val="22"/>
        </w:rPr>
        <w:t xml:space="preserve"> Ceci </w:t>
      </w:r>
      <w:r w:rsidR="00F27169" w:rsidRPr="00F27169">
        <w:rPr>
          <w:rFonts w:ascii="Palatino Linotype" w:hAnsi="Palatino Linotype"/>
          <w:i/>
          <w:sz w:val="22"/>
          <w:szCs w:val="22"/>
        </w:rPr>
        <w:t>n’est pas</w:t>
      </w:r>
      <w:r w:rsidR="00F27169">
        <w:rPr>
          <w:rFonts w:ascii="Palatino Linotype" w:hAnsi="Palatino Linotype"/>
          <w:sz w:val="22"/>
          <w:szCs w:val="22"/>
        </w:rPr>
        <w:t xml:space="preserve"> une surprise puisque la bande </w:t>
      </w:r>
      <w:r w:rsidR="00F27169" w:rsidRPr="000D4E5E">
        <w:rPr>
          <w:rFonts w:ascii="Palatino Linotype" w:hAnsi="Palatino Linotype"/>
          <w:i/>
          <w:sz w:val="22"/>
          <w:szCs w:val="22"/>
        </w:rPr>
        <w:t>p</w:t>
      </w:r>
      <w:r w:rsidR="00F27169">
        <w:rPr>
          <w:rFonts w:ascii="Palatino Linotype" w:hAnsi="Palatino Linotype"/>
          <w:sz w:val="22"/>
          <w:szCs w:val="22"/>
        </w:rPr>
        <w:t xml:space="preserve"> est globalement demi-remplie (exactement dans le cas des IV-VI), alors qu’il y a 6 liaisons quasi orthogonales (ou 3+3 en cas de distorsion).</w:t>
      </w:r>
    </w:p>
    <w:p w:rsidR="00F27169" w:rsidRDefault="003D4B6D" w:rsidP="000D4E5E">
      <w:pPr>
        <w:ind w:firstLine="284"/>
        <w:jc w:val="both"/>
        <w:rPr>
          <w:rFonts w:ascii="Palatino Linotype" w:hAnsi="Palatino Linotype"/>
          <w:sz w:val="22"/>
          <w:szCs w:val="22"/>
        </w:rPr>
      </w:pPr>
      <w:r>
        <w:rPr>
          <w:rFonts w:ascii="Palatino Linotype" w:hAnsi="Palatino Linotype"/>
          <w:sz w:val="22"/>
          <w:szCs w:val="22"/>
        </w:rPr>
        <w:t>Par contre, ces liaisons déficitaires en électrons peuvent être reliées à de nombreuses propriétés</w:t>
      </w:r>
      <w:r w:rsidR="00295BFD">
        <w:rPr>
          <w:rFonts w:ascii="Palatino Linotype" w:hAnsi="Palatino Linotype"/>
          <w:sz w:val="22"/>
          <w:szCs w:val="22"/>
        </w:rPr>
        <w:t> :</w:t>
      </w:r>
      <w:r>
        <w:rPr>
          <w:rFonts w:ascii="Palatino Linotype" w:hAnsi="Palatino Linotype"/>
          <w:sz w:val="22"/>
          <w:szCs w:val="22"/>
        </w:rPr>
        <w:t xml:space="preserve"> Anharmonicité du potentiel (thermoélectricité</w:t>
      </w:r>
      <w:proofErr w:type="gramStart"/>
      <w:r>
        <w:rPr>
          <w:rFonts w:ascii="Palatino Linotype" w:hAnsi="Palatino Linotype"/>
          <w:sz w:val="22"/>
          <w:szCs w:val="22"/>
        </w:rPr>
        <w:t>)[</w:t>
      </w:r>
      <w:proofErr w:type="gramEnd"/>
      <w:r w:rsidR="000D4E5E">
        <w:rPr>
          <w:rFonts w:ascii="Palatino Linotype" w:hAnsi="Palatino Linotype"/>
          <w:sz w:val="22"/>
          <w:szCs w:val="22"/>
        </w:rPr>
        <w:t>3</w:t>
      </w:r>
      <w:r>
        <w:rPr>
          <w:rFonts w:ascii="Palatino Linotype" w:hAnsi="Palatino Linotype"/>
          <w:sz w:val="22"/>
          <w:szCs w:val="22"/>
        </w:rPr>
        <w:t>] , polarisabilité anomale (réponse diélectrique)[</w:t>
      </w:r>
      <w:r w:rsidR="000D4E5E">
        <w:rPr>
          <w:rFonts w:ascii="Palatino Linotype" w:hAnsi="Palatino Linotype"/>
          <w:sz w:val="22"/>
          <w:szCs w:val="22"/>
        </w:rPr>
        <w:t>4</w:t>
      </w:r>
      <w:r>
        <w:rPr>
          <w:rFonts w:ascii="Palatino Linotype" w:hAnsi="Palatino Linotype"/>
          <w:sz w:val="22"/>
          <w:szCs w:val="22"/>
        </w:rPr>
        <w:t>], faibles masses effectives et éléments de matrice de transitions importants (photovoltaïques). Ces liaisons sont également sensibles au désordre, ce qui crée le contraste électrique et optique important avec la phase amorphe qui elle est ‘simplement’ iono-covalente</w:t>
      </w:r>
      <w:bookmarkStart w:id="0" w:name="_GoBack"/>
      <w:bookmarkEnd w:id="0"/>
      <w:r>
        <w:rPr>
          <w:rFonts w:ascii="Palatino Linotype" w:hAnsi="Palatino Linotype"/>
          <w:sz w:val="22"/>
          <w:szCs w:val="22"/>
        </w:rPr>
        <w:t xml:space="preserve"> [5]. </w:t>
      </w:r>
    </w:p>
    <w:p w:rsidR="0062379C" w:rsidRDefault="0062379C" w:rsidP="00EE1391">
      <w:pPr>
        <w:widowControl w:val="0"/>
        <w:ind w:right="54"/>
        <w:rPr>
          <w:rFonts w:ascii="Palatino Linotype" w:hAnsi="Palatino Linotype"/>
          <w:spacing w:val="13"/>
          <w:sz w:val="22"/>
          <w:szCs w:val="22"/>
        </w:rPr>
      </w:pPr>
    </w:p>
    <w:p w:rsidR="006F5808" w:rsidRDefault="002027B2" w:rsidP="00EE1391">
      <w:pPr>
        <w:widowControl w:val="0"/>
        <w:ind w:right="2970"/>
        <w:rPr>
          <w:rFonts w:ascii="Palatino Linotype" w:hAnsi="Palatino Linotype"/>
          <w:b/>
          <w:bCs/>
          <w:spacing w:val="1"/>
          <w:sz w:val="22"/>
          <w:szCs w:val="22"/>
          <w:lang w:val="en-US"/>
        </w:rPr>
      </w:pPr>
      <w:proofErr w:type="spellStart"/>
      <w:r>
        <w:rPr>
          <w:rFonts w:ascii="Palatino Linotype" w:hAnsi="Palatino Linotype"/>
          <w:b/>
          <w:bCs/>
          <w:spacing w:val="1"/>
          <w:sz w:val="22"/>
          <w:szCs w:val="22"/>
          <w:lang w:val="en-US"/>
        </w:rPr>
        <w:t>Référence</w:t>
      </w:r>
      <w:r w:rsidR="003D4B6D">
        <w:rPr>
          <w:rFonts w:ascii="Palatino Linotype" w:hAnsi="Palatino Linotype"/>
          <w:b/>
          <w:bCs/>
          <w:spacing w:val="1"/>
          <w:sz w:val="22"/>
          <w:szCs w:val="22"/>
          <w:lang w:val="en-US"/>
        </w:rPr>
        <w:t>s</w:t>
      </w:r>
      <w:proofErr w:type="spellEnd"/>
    </w:p>
    <w:p w:rsidR="003D4B6D" w:rsidRPr="000D4E5E" w:rsidRDefault="003D4B6D" w:rsidP="003D4B6D">
      <w:pPr>
        <w:rPr>
          <w:rFonts w:ascii="Palatino Linotype" w:hAnsi="Palatino Linotype"/>
          <w:sz w:val="22"/>
          <w:szCs w:val="22"/>
          <w:lang w:val="en-US"/>
        </w:rPr>
      </w:pPr>
      <w:r w:rsidRPr="000D4E5E">
        <w:rPr>
          <w:rFonts w:ascii="Palatino Linotype" w:hAnsi="Palatino Linotype"/>
          <w:sz w:val="22"/>
          <w:szCs w:val="22"/>
          <w:lang w:val="en-US"/>
        </w:rPr>
        <w:t xml:space="preserve">[1] J.Y. Raty, M. Schumacher, P. Golub, V. Deringer, C. </w:t>
      </w:r>
      <w:proofErr w:type="spellStart"/>
      <w:r w:rsidRPr="000D4E5E">
        <w:rPr>
          <w:rFonts w:ascii="Palatino Linotype" w:hAnsi="Palatino Linotype"/>
          <w:sz w:val="22"/>
          <w:szCs w:val="22"/>
          <w:lang w:val="en-US"/>
        </w:rPr>
        <w:t>Gatti</w:t>
      </w:r>
      <w:proofErr w:type="spellEnd"/>
      <w:r w:rsidRPr="000D4E5E">
        <w:rPr>
          <w:rFonts w:ascii="Palatino Linotype" w:hAnsi="Palatino Linotype"/>
          <w:sz w:val="22"/>
          <w:szCs w:val="22"/>
          <w:lang w:val="en-US"/>
        </w:rPr>
        <w:t xml:space="preserve"> and M. </w:t>
      </w:r>
      <w:proofErr w:type="spellStart"/>
      <w:r w:rsidRPr="000D4E5E">
        <w:rPr>
          <w:rFonts w:ascii="Palatino Linotype" w:hAnsi="Palatino Linotype"/>
          <w:sz w:val="22"/>
          <w:szCs w:val="22"/>
          <w:lang w:val="en-US"/>
        </w:rPr>
        <w:t>Wuttig</w:t>
      </w:r>
      <w:proofErr w:type="spellEnd"/>
      <w:r w:rsidRPr="000D4E5E">
        <w:rPr>
          <w:rFonts w:ascii="Palatino Linotype" w:hAnsi="Palatino Linotype"/>
          <w:sz w:val="22"/>
          <w:szCs w:val="22"/>
          <w:lang w:val="en-US"/>
        </w:rPr>
        <w:t xml:space="preserve">, “A Quantum‐Mechanical Map for Bonding and Properties in Solids” </w:t>
      </w:r>
      <w:r w:rsidRPr="000D4E5E">
        <w:rPr>
          <w:rFonts w:ascii="Palatino Linotype" w:hAnsi="Palatino Linotype"/>
          <w:i/>
          <w:sz w:val="22"/>
          <w:szCs w:val="22"/>
          <w:lang w:val="en-US"/>
        </w:rPr>
        <w:t>Advanced Mater</w:t>
      </w:r>
      <w:r w:rsidRPr="000D4E5E">
        <w:rPr>
          <w:rFonts w:ascii="Palatino Linotype" w:hAnsi="Palatino Linotype"/>
          <w:sz w:val="22"/>
          <w:szCs w:val="22"/>
          <w:lang w:val="en-US"/>
        </w:rPr>
        <w:t xml:space="preserve"> 31 (2018) 1806280</w:t>
      </w:r>
    </w:p>
    <w:p w:rsidR="003D4B6D" w:rsidRPr="000D4E5E" w:rsidRDefault="003D4B6D" w:rsidP="000D4E5E">
      <w:pPr>
        <w:rPr>
          <w:rFonts w:ascii="Palatino Linotype" w:hAnsi="Palatino Linotype"/>
          <w:sz w:val="22"/>
          <w:szCs w:val="22"/>
          <w:lang w:val="en-US"/>
        </w:rPr>
      </w:pPr>
      <w:r w:rsidRPr="000D4E5E">
        <w:rPr>
          <w:rFonts w:ascii="Palatino Linotype" w:hAnsi="Palatino Linotype"/>
          <w:sz w:val="22"/>
          <w:szCs w:val="22"/>
          <w:lang w:val="en-US"/>
        </w:rPr>
        <w:t xml:space="preserve">[2] </w:t>
      </w:r>
      <w:r w:rsidR="000D4E5E" w:rsidRPr="000D4E5E">
        <w:rPr>
          <w:rFonts w:ascii="Palatino Linotype" w:hAnsi="Palatino Linotype"/>
          <w:sz w:val="22"/>
          <w:szCs w:val="22"/>
          <w:lang w:val="en-US"/>
        </w:rPr>
        <w:t xml:space="preserve">J.Y. Raty, C. </w:t>
      </w:r>
      <w:proofErr w:type="spellStart"/>
      <w:r w:rsidR="000D4E5E" w:rsidRPr="000D4E5E">
        <w:rPr>
          <w:rFonts w:ascii="Palatino Linotype" w:hAnsi="Palatino Linotype"/>
          <w:sz w:val="22"/>
          <w:szCs w:val="22"/>
          <w:lang w:val="en-US"/>
        </w:rPr>
        <w:t>Gatti</w:t>
      </w:r>
      <w:proofErr w:type="spellEnd"/>
      <w:r w:rsidR="000D4E5E" w:rsidRPr="000D4E5E">
        <w:rPr>
          <w:rFonts w:ascii="Palatino Linotype" w:hAnsi="Palatino Linotype"/>
          <w:sz w:val="22"/>
          <w:szCs w:val="22"/>
          <w:lang w:val="en-US"/>
        </w:rPr>
        <w:t xml:space="preserve">, C.F. Schön, M. </w:t>
      </w:r>
      <w:proofErr w:type="spellStart"/>
      <w:r w:rsidR="000D4E5E" w:rsidRPr="000D4E5E">
        <w:rPr>
          <w:rFonts w:ascii="Palatino Linotype" w:hAnsi="Palatino Linotype"/>
          <w:sz w:val="22"/>
          <w:szCs w:val="22"/>
          <w:lang w:val="en-US"/>
        </w:rPr>
        <w:t>Wuttig</w:t>
      </w:r>
      <w:proofErr w:type="spellEnd"/>
      <w:r w:rsidR="000D4E5E" w:rsidRPr="000D4E5E">
        <w:rPr>
          <w:rFonts w:ascii="Palatino Linotype" w:hAnsi="Palatino Linotype"/>
          <w:sz w:val="22"/>
          <w:szCs w:val="22"/>
          <w:lang w:val="en-US"/>
        </w:rPr>
        <w:t xml:space="preserve">, </w:t>
      </w:r>
      <w:r w:rsidRPr="000D4E5E">
        <w:rPr>
          <w:rFonts w:ascii="Palatino Linotype" w:hAnsi="Palatino Linotype"/>
          <w:sz w:val="22"/>
          <w:szCs w:val="22"/>
          <w:lang w:val="en-US"/>
        </w:rPr>
        <w:t>“How to Identify Lone Pairs, Van der Waals Gaps, and Metavalent Bonding Using Charge and Pair Density Methods: From Elemental Chalcogens to Lead Chalcogenides and Phase-Change Materials”</w:t>
      </w:r>
    </w:p>
    <w:p w:rsidR="000D4E5E" w:rsidRPr="000D4E5E" w:rsidRDefault="003D4B6D" w:rsidP="000D4E5E">
      <w:pPr>
        <w:rPr>
          <w:rFonts w:ascii="Palatino Linotype" w:hAnsi="Palatino Linotype"/>
          <w:sz w:val="22"/>
          <w:szCs w:val="22"/>
          <w:lang w:val="en-US"/>
        </w:rPr>
      </w:pPr>
      <w:proofErr w:type="spellStart"/>
      <w:r w:rsidRPr="000D4E5E">
        <w:rPr>
          <w:rFonts w:ascii="Palatino Linotype" w:hAnsi="Palatino Linotype"/>
          <w:i/>
          <w:sz w:val="22"/>
          <w:szCs w:val="22"/>
          <w:lang w:val="en-US"/>
        </w:rPr>
        <w:t>Physica</w:t>
      </w:r>
      <w:proofErr w:type="spellEnd"/>
      <w:r w:rsidRPr="000D4E5E">
        <w:rPr>
          <w:rFonts w:ascii="Palatino Linotype" w:hAnsi="Palatino Linotype"/>
          <w:i/>
          <w:sz w:val="22"/>
          <w:szCs w:val="22"/>
          <w:lang w:val="en-US"/>
        </w:rPr>
        <w:t xml:space="preserve"> Status </w:t>
      </w:r>
      <w:proofErr w:type="gramStart"/>
      <w:r w:rsidRPr="000D4E5E">
        <w:rPr>
          <w:rFonts w:ascii="Palatino Linotype" w:hAnsi="Palatino Linotype"/>
          <w:i/>
          <w:sz w:val="22"/>
          <w:szCs w:val="22"/>
          <w:lang w:val="en-US"/>
        </w:rPr>
        <w:t>Solidi  R</w:t>
      </w:r>
      <w:r w:rsidR="000D4E5E" w:rsidRPr="000D4E5E">
        <w:rPr>
          <w:rFonts w:ascii="Palatino Linotype" w:hAnsi="Palatino Linotype"/>
          <w:i/>
          <w:sz w:val="22"/>
          <w:szCs w:val="22"/>
          <w:lang w:val="en-US"/>
        </w:rPr>
        <w:t>RL</w:t>
      </w:r>
      <w:proofErr w:type="gramEnd"/>
      <w:r w:rsidRPr="000D4E5E">
        <w:rPr>
          <w:rFonts w:ascii="Palatino Linotype" w:hAnsi="Palatino Linotype"/>
          <w:sz w:val="22"/>
          <w:szCs w:val="22"/>
          <w:lang w:val="en-US"/>
        </w:rPr>
        <w:t xml:space="preserve"> 15 (2021) 200053</w:t>
      </w:r>
      <w:r w:rsidR="000D4E5E" w:rsidRPr="000D4E5E">
        <w:rPr>
          <w:rFonts w:ascii="Palatino Linotype" w:hAnsi="Palatino Linotype"/>
          <w:sz w:val="22"/>
          <w:szCs w:val="22"/>
          <w:lang w:val="en-US"/>
        </w:rPr>
        <w:t>4</w:t>
      </w:r>
    </w:p>
    <w:p w:rsidR="000D4E5E" w:rsidRPr="000D4E5E" w:rsidRDefault="000D4E5E" w:rsidP="000D4E5E">
      <w:pPr>
        <w:rPr>
          <w:rFonts w:ascii="Palatino Linotype" w:hAnsi="Palatino Linotype"/>
          <w:sz w:val="22"/>
          <w:szCs w:val="22"/>
          <w:lang w:val="en-US"/>
        </w:rPr>
      </w:pPr>
      <w:r w:rsidRPr="000D4E5E">
        <w:rPr>
          <w:rFonts w:ascii="Palatino Linotype" w:hAnsi="Palatino Linotype"/>
          <w:sz w:val="22"/>
          <w:szCs w:val="22"/>
          <w:lang w:val="en-US"/>
        </w:rPr>
        <w:t xml:space="preserve">[3] Y. Cheng et al. “Understanding the Structure and Properties of </w:t>
      </w:r>
      <w:proofErr w:type="spellStart"/>
      <w:r w:rsidRPr="000D4E5E">
        <w:rPr>
          <w:rFonts w:ascii="Palatino Linotype" w:hAnsi="Palatino Linotype"/>
          <w:sz w:val="22"/>
          <w:szCs w:val="22"/>
          <w:lang w:val="en-US"/>
        </w:rPr>
        <w:t>Sesqui</w:t>
      </w:r>
      <w:proofErr w:type="spellEnd"/>
      <w:r w:rsidRPr="000D4E5E">
        <w:rPr>
          <w:rFonts w:ascii="Palatino Linotype" w:hAnsi="Palatino Linotype"/>
          <w:sz w:val="22"/>
          <w:szCs w:val="22"/>
          <w:lang w:val="en-US"/>
        </w:rPr>
        <w:t xml:space="preserve">‐Chalcogenides…  from a Bonding perspective” </w:t>
      </w:r>
      <w:r w:rsidRPr="000D4E5E">
        <w:rPr>
          <w:rFonts w:ascii="Palatino Linotype" w:hAnsi="Palatino Linotype"/>
          <w:i/>
          <w:sz w:val="22"/>
          <w:szCs w:val="22"/>
          <w:lang w:val="en-US"/>
        </w:rPr>
        <w:t>Advanced Mater</w:t>
      </w:r>
      <w:r w:rsidRPr="000D4E5E">
        <w:rPr>
          <w:rFonts w:ascii="Palatino Linotype" w:hAnsi="Palatino Linotype"/>
          <w:sz w:val="22"/>
          <w:szCs w:val="22"/>
          <w:lang w:val="en-US"/>
        </w:rPr>
        <w:t xml:space="preserve"> (2019) 31, 1904316</w:t>
      </w:r>
    </w:p>
    <w:p w:rsidR="003D4B6D" w:rsidRPr="000D4E5E" w:rsidRDefault="000D4E5E" w:rsidP="000D4E5E">
      <w:pPr>
        <w:rPr>
          <w:lang w:val="en-US"/>
        </w:rPr>
      </w:pPr>
      <w:r w:rsidRPr="000D4E5E">
        <w:rPr>
          <w:rFonts w:ascii="Palatino Linotype" w:hAnsi="Palatino Linotype"/>
          <w:sz w:val="22"/>
          <w:szCs w:val="22"/>
          <w:lang w:val="en-US"/>
        </w:rPr>
        <w:t xml:space="preserve">[4] S. Maier et al.” Discovering Electron-Transfer-Driven Changes in Chemical Bonding in Lead Chalcogenides” </w:t>
      </w:r>
      <w:r w:rsidRPr="000D4E5E">
        <w:rPr>
          <w:rFonts w:ascii="Palatino Linotype" w:hAnsi="Palatino Linotype"/>
          <w:i/>
          <w:sz w:val="22"/>
          <w:szCs w:val="22"/>
          <w:lang w:val="en-US"/>
        </w:rPr>
        <w:t>Advanced Mater</w:t>
      </w:r>
      <w:r w:rsidRPr="000D4E5E">
        <w:rPr>
          <w:rFonts w:ascii="Palatino Linotype" w:hAnsi="Palatino Linotype"/>
          <w:sz w:val="22"/>
          <w:szCs w:val="22"/>
          <w:lang w:val="en-US"/>
        </w:rPr>
        <w:t xml:space="preserve"> 32 (2020) 20055336</w:t>
      </w:r>
    </w:p>
    <w:p w:rsidR="0062379C" w:rsidRPr="003D4B6D" w:rsidRDefault="002027B2" w:rsidP="007576BB">
      <w:pPr>
        <w:rPr>
          <w:lang w:val="en-US"/>
        </w:rPr>
      </w:pPr>
      <w:r w:rsidRPr="000D4E5E">
        <w:rPr>
          <w:rFonts w:ascii="Palatino Linotype" w:hAnsi="Palatino Linotype"/>
          <w:sz w:val="22"/>
          <w:szCs w:val="22"/>
          <w:lang w:val="en-US"/>
        </w:rPr>
        <w:t>[</w:t>
      </w:r>
      <w:r w:rsidR="003D4B6D" w:rsidRPr="000D4E5E">
        <w:rPr>
          <w:rFonts w:ascii="Palatino Linotype" w:hAnsi="Palatino Linotype"/>
          <w:sz w:val="22"/>
          <w:szCs w:val="22"/>
          <w:lang w:val="en-US"/>
        </w:rPr>
        <w:t>5</w:t>
      </w:r>
      <w:r w:rsidRPr="000D4E5E">
        <w:rPr>
          <w:rFonts w:ascii="Palatino Linotype" w:hAnsi="Palatino Linotype"/>
          <w:sz w:val="22"/>
          <w:szCs w:val="22"/>
          <w:lang w:val="en-US"/>
        </w:rPr>
        <w:t xml:space="preserve">] </w:t>
      </w:r>
      <w:r w:rsidR="003D4B6D" w:rsidRPr="000D4E5E">
        <w:rPr>
          <w:rFonts w:ascii="Palatino Linotype" w:hAnsi="Palatino Linotype"/>
          <w:sz w:val="22"/>
          <w:szCs w:val="22"/>
          <w:lang w:val="en-US"/>
        </w:rPr>
        <w:t xml:space="preserve">J.-Y. Raty, C. </w:t>
      </w:r>
      <w:proofErr w:type="spellStart"/>
      <w:r w:rsidR="003D4B6D" w:rsidRPr="000D4E5E">
        <w:rPr>
          <w:rFonts w:ascii="Palatino Linotype" w:hAnsi="Palatino Linotype"/>
          <w:sz w:val="22"/>
          <w:szCs w:val="22"/>
          <w:lang w:val="en-US"/>
        </w:rPr>
        <w:t>Bichara</w:t>
      </w:r>
      <w:proofErr w:type="spellEnd"/>
      <w:r w:rsidR="003D4B6D" w:rsidRPr="000D4E5E">
        <w:rPr>
          <w:rFonts w:ascii="Palatino Linotype" w:hAnsi="Palatino Linotype"/>
          <w:sz w:val="22"/>
          <w:szCs w:val="22"/>
          <w:lang w:val="en-US"/>
        </w:rPr>
        <w:t xml:space="preserve">, C.-F. Schön, C. </w:t>
      </w:r>
      <w:proofErr w:type="spellStart"/>
      <w:r w:rsidR="003D4B6D" w:rsidRPr="000D4E5E">
        <w:rPr>
          <w:rFonts w:ascii="Palatino Linotype" w:hAnsi="Palatino Linotype"/>
          <w:sz w:val="22"/>
          <w:szCs w:val="22"/>
          <w:lang w:val="en-US"/>
        </w:rPr>
        <w:t>Gatti</w:t>
      </w:r>
      <w:proofErr w:type="spellEnd"/>
      <w:r w:rsidR="003D4B6D" w:rsidRPr="000D4E5E">
        <w:rPr>
          <w:rFonts w:ascii="Palatino Linotype" w:hAnsi="Palatino Linotype"/>
          <w:sz w:val="22"/>
          <w:szCs w:val="22"/>
          <w:lang w:val="en-US"/>
        </w:rPr>
        <w:t xml:space="preserve">, and M. </w:t>
      </w:r>
      <w:proofErr w:type="spellStart"/>
      <w:r w:rsidR="003D4B6D" w:rsidRPr="000D4E5E">
        <w:rPr>
          <w:rFonts w:ascii="Palatino Linotype" w:hAnsi="Palatino Linotype"/>
          <w:sz w:val="22"/>
          <w:szCs w:val="22"/>
          <w:lang w:val="en-US"/>
        </w:rPr>
        <w:t>Wuttig</w:t>
      </w:r>
      <w:proofErr w:type="spellEnd"/>
      <w:r w:rsidR="003D4B6D" w:rsidRPr="000D4E5E">
        <w:rPr>
          <w:rFonts w:ascii="Palatino Linotype" w:hAnsi="Palatino Linotype"/>
          <w:sz w:val="22"/>
          <w:szCs w:val="22"/>
          <w:lang w:val="en-US"/>
        </w:rPr>
        <w:t xml:space="preserve">. "Tailoring chemical bonds to design unconventional glasses."   </w:t>
      </w:r>
      <w:r w:rsidR="003D4B6D" w:rsidRPr="000D4E5E">
        <w:rPr>
          <w:rFonts w:ascii="Palatino Linotype" w:hAnsi="Palatino Linotype"/>
          <w:i/>
          <w:sz w:val="22"/>
          <w:szCs w:val="22"/>
          <w:lang w:val="en-US"/>
        </w:rPr>
        <w:t>PNAS</w:t>
      </w:r>
      <w:r w:rsidR="003D4B6D" w:rsidRPr="000D4E5E">
        <w:rPr>
          <w:rFonts w:ascii="Palatino Linotype" w:hAnsi="Palatino Linotype"/>
          <w:sz w:val="22"/>
          <w:szCs w:val="22"/>
          <w:lang w:val="en-US"/>
        </w:rPr>
        <w:t xml:space="preserve"> 121 (2024) 2316498121.</w:t>
      </w:r>
      <w:r w:rsidR="003D4B6D" w:rsidRPr="000D4E5E">
        <w:rPr>
          <w:lang w:val="en-US"/>
        </w:rPr>
        <w:t xml:space="preserve"> </w:t>
      </w:r>
    </w:p>
    <w:sectPr w:rsidR="0062379C" w:rsidRPr="003D4B6D">
      <w:headerReference w:type="default" r:id="rId7"/>
      <w:footerReference w:type="default" r:id="rId8"/>
      <w:pgSz w:w="11906" w:h="16838"/>
      <w:pgMar w:top="851" w:right="1418" w:bottom="851"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8E6" w:rsidRDefault="007038E6">
      <w:r>
        <w:separator/>
      </w:r>
    </w:p>
  </w:endnote>
  <w:endnote w:type="continuationSeparator" w:id="0">
    <w:p w:rsidR="007038E6" w:rsidRDefault="0070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1"/>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79C" w:rsidRDefault="002027B2">
    <w:pPr>
      <w:widowControl w:val="0"/>
      <w:spacing w:line="200" w:lineRule="exact"/>
      <w:ind w:right="-20"/>
      <w:rPr>
        <w:sz w:val="20"/>
      </w:rPr>
    </w:pPr>
    <w:r>
      <w:rPr>
        <w:noProof/>
        <w:sz w:val="20"/>
      </w:rPr>
      <mc:AlternateContent>
        <mc:Choice Requires="wps">
          <w:drawing>
            <wp:anchor distT="0" distB="0" distL="0" distR="0" simplePos="0" relativeHeight="3" behindDoc="1" locked="0" layoutInCell="1" allowOverlap="1" wp14:anchorId="5E4B61CB">
              <wp:simplePos x="0" y="0"/>
              <wp:positionH relativeFrom="page">
                <wp:posOffset>1959610</wp:posOffset>
              </wp:positionH>
              <wp:positionV relativeFrom="page">
                <wp:posOffset>10074275</wp:posOffset>
              </wp:positionV>
              <wp:extent cx="3640455" cy="174625"/>
              <wp:effectExtent l="3810" t="3175" r="1270" b="635"/>
              <wp:wrapNone/>
              <wp:docPr id="1" name="Text Box 1"/>
              <wp:cNvGraphicFramePr/>
              <a:graphic xmlns:a="http://schemas.openxmlformats.org/drawingml/2006/main">
                <a:graphicData uri="http://schemas.microsoft.com/office/word/2010/wordprocessingShape">
                  <wps:wsp>
                    <wps:cNvSpPr/>
                    <wps:spPr>
                      <a:xfrm>
                        <a:off x="0" y="0"/>
                        <a:ext cx="3639960" cy="173880"/>
                      </a:xfrm>
                      <a:prstGeom prst="rect">
                        <a:avLst/>
                      </a:prstGeom>
                      <a:noFill/>
                      <a:ln>
                        <a:noFill/>
                      </a:ln>
                    </wps:spPr>
                    <wps:style>
                      <a:lnRef idx="0">
                        <a:scrgbClr r="0" g="0" b="0"/>
                      </a:lnRef>
                      <a:fillRef idx="0">
                        <a:scrgbClr r="0" g="0" b="0"/>
                      </a:fillRef>
                      <a:effectRef idx="0">
                        <a:scrgbClr r="0" g="0" b="0"/>
                      </a:effectRef>
                      <a:fontRef idx="minor"/>
                    </wps:style>
                    <wps:txbx>
                      <w:txbxContent>
                        <w:p w:rsidR="0062379C" w:rsidRDefault="0062379C">
                          <w:pPr>
                            <w:pStyle w:val="Contenudecadre"/>
                          </w:pPr>
                        </w:p>
                      </w:txbxContent>
                    </wps:txbx>
                    <wps:bodyPr lIns="0" tIns="0" rIns="0" bIns="0">
                      <a:noAutofit/>
                    </wps:bodyPr>
                  </wps:wsp>
                </a:graphicData>
              </a:graphic>
            </wp:anchor>
          </w:drawing>
        </mc:Choice>
        <mc:Fallback>
          <w:pict>
            <v:rect w14:anchorId="5E4B61CB" id="Text Box 1" o:spid="_x0000_s1026" style="position:absolute;margin-left:154.3pt;margin-top:793.25pt;width:286.65pt;height:13.75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fn2QEAABAEAAAOAAAAZHJzL2Uyb0RvYy54bWysU9tu2zAMfR+wfxD0vjhpgCw14hTbig4D&#10;hq1ouw+QZSkWIIkCpSbO34+SHXeXpw57kSmK55CHpHc3g7PsqDAa8A1fLZacKS+hM/7Q8B9Pd++2&#10;nMUkfCcseNXws4r8Zv/2ze4UanUFPdhOISMSH+tTaHifUqirKspeOREXEJSnRw3oRKIrHqoOxYnY&#10;na2ulstNdQLsAoJUMZL3dnzk+8KvtZLpu9ZRJWYbTrWlcmI523xW+52oDyhCb+RUhviHKpwwnpLO&#10;VLciCfaM5i8qZyRCBJ0WElwFWhupigZSs1r+oeaxF0EVLdScGOY2xf9HK78d75GZjmbHmReORvSk&#10;hsQ+wsBWuTunEGsKegz3ON0imVnqoNHlL4lgQ+noee5oppDkXG/W19cbarykt9X79XZbWl69oAPG&#10;9FmBY9loONLESiPF8WtMlJFCLyE5mYc7Y22ZmvW/OSgwe6pc8FhisdLZqhxn/YPSJLRUmh1R4qH9&#10;ZJGN20DrSmVedqKQESAHakr4SuwEyWhVlvCV+BlU8oNPM94ZD5jnMuoc1WWhaWiHaUAtdGcaqv3i&#10;aVHy0l8MvBjtZGR6Dx+eE2hTmp2ZRviUgdauzGD6RfJe/3ovUS8/8v4nAAAA//8DAFBLAwQUAAYA&#10;CAAAACEAqu1TKuMAAAANAQAADwAAAGRycy9kb3ducmV2LnhtbEyPy07DMBBF90j8gzVI7KgdoJET&#10;4lQVD5VlaZHa7tzEJBH2OIrdJvD1DCtYztyjO2eKxeQsO5shdB4VJDMBzGDl6w4bBe/blxsJLESN&#10;tbYejYIvE2BRXl4UOq/9iG/mvIkNoxIMuVbQxtjnnIeqNU6Hme8NUvbhB6cjjUPD60GPVO4svxUi&#10;5U53SBda3ZvH1lSfm5NTsJL9cv/qv8fGPh9Wu/Uue9pmUanrq2n5ACyaKf7B8KtP6lCS09GfsA7M&#10;KrgTMiWUgrlM58AIkTLJgB1plSb3AnhZ8P9flD8AAAD//wMAUEsBAi0AFAAGAAgAAAAhALaDOJL+&#10;AAAA4QEAABMAAAAAAAAAAAAAAAAAAAAAAFtDb250ZW50X1R5cGVzXS54bWxQSwECLQAUAAYACAAA&#10;ACEAOP0h/9YAAACUAQAACwAAAAAAAAAAAAAAAAAvAQAAX3JlbHMvLnJlbHNQSwECLQAUAAYACAAA&#10;ACEAkA1359kBAAAQBAAADgAAAAAAAAAAAAAAAAAuAgAAZHJzL2Uyb0RvYy54bWxQSwECLQAUAAYA&#10;CAAAACEAqu1TKuMAAAANAQAADwAAAAAAAAAAAAAAAAAzBAAAZHJzL2Rvd25yZXYueG1sUEsFBgAA&#10;AAAEAAQA8wAAAEMFAAAAAA==&#10;" filled="f" stroked="f">
              <v:textbox inset="0,0,0,0">
                <w:txbxContent>
                  <w:p w:rsidR="0062379C" w:rsidRDefault="0062379C">
                    <w:pPr>
                      <w:pStyle w:val="Contenudecadre"/>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8E6" w:rsidRDefault="007038E6">
      <w:r>
        <w:separator/>
      </w:r>
    </w:p>
  </w:footnote>
  <w:footnote w:type="continuationSeparator" w:id="0">
    <w:p w:rsidR="007038E6" w:rsidRDefault="0070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79C" w:rsidRDefault="0062379C">
    <w:pPr>
      <w:pStyle w:val="Header"/>
      <w:tabs>
        <w:tab w:val="right" w:pos="9781"/>
      </w:tabs>
      <w:jc w:val="center"/>
      <w:rPr>
        <w:rFonts w:ascii="Arial" w:hAnsi="Arial" w:cs="Arial"/>
        <w:b/>
      </w:rPr>
    </w:pPr>
  </w:p>
  <w:p w:rsidR="0062379C" w:rsidRDefault="00154751" w:rsidP="004B1796">
    <w:pPr>
      <w:pStyle w:val="Header"/>
      <w:tabs>
        <w:tab w:val="clear" w:pos="9072"/>
        <w:tab w:val="right" w:pos="9781"/>
      </w:tabs>
      <w:jc w:val="center"/>
      <w:rPr>
        <w:rFonts w:ascii="Arial" w:hAnsi="Arial" w:cs="Arial"/>
        <w:b/>
        <w:sz w:val="20"/>
      </w:rPr>
    </w:pPr>
    <w:r>
      <w:rPr>
        <w:rFonts w:ascii="Arial" w:hAnsi="Arial" w:cs="Arial"/>
        <w:b/>
        <w:sz w:val="20"/>
      </w:rPr>
      <w:t>3èm</w:t>
    </w:r>
    <w:r w:rsidR="002027B2">
      <w:rPr>
        <w:rFonts w:ascii="Arial" w:hAnsi="Arial" w:cs="Arial"/>
        <w:b/>
        <w:sz w:val="20"/>
      </w:rPr>
      <w:t>e</w:t>
    </w:r>
    <w:r w:rsidR="004B1796">
      <w:rPr>
        <w:rFonts w:ascii="Arial" w:hAnsi="Arial" w:cs="Arial"/>
        <w:b/>
        <w:sz w:val="20"/>
      </w:rPr>
      <w:t>s</w:t>
    </w:r>
    <w:r w:rsidR="002027B2">
      <w:rPr>
        <w:rFonts w:ascii="Arial" w:hAnsi="Arial" w:cs="Arial"/>
        <w:b/>
        <w:sz w:val="20"/>
      </w:rPr>
      <w:t xml:space="preserve"> Journées Scientifiques du GDR </w:t>
    </w:r>
    <w:r w:rsidR="004B1796">
      <w:rPr>
        <w:rFonts w:ascii="Arial" w:hAnsi="Arial" w:cs="Arial"/>
        <w:b/>
        <w:sz w:val="20"/>
      </w:rPr>
      <w:t>CHALCO</w:t>
    </w:r>
    <w:r w:rsidR="004B1796">
      <w:rPr>
        <w:rFonts w:ascii="Arial" w:hAnsi="Arial" w:cs="Arial"/>
        <w:b/>
        <w:sz w:val="20"/>
      </w:rPr>
      <w:br/>
      <w:t>s</w:t>
    </w:r>
    <w:r w:rsidR="002027B2">
      <w:rPr>
        <w:rFonts w:ascii="Arial" w:hAnsi="Arial" w:cs="Arial"/>
        <w:b/>
        <w:sz w:val="20"/>
      </w:rPr>
      <w:t xml:space="preserve">ur les </w:t>
    </w:r>
    <w:r w:rsidR="004B1796">
      <w:rPr>
        <w:rFonts w:ascii="Arial" w:hAnsi="Arial" w:cs="Arial"/>
        <w:b/>
        <w:sz w:val="20"/>
      </w:rPr>
      <w:t>m</w:t>
    </w:r>
    <w:r w:rsidR="002027B2">
      <w:rPr>
        <w:rFonts w:ascii="Arial" w:hAnsi="Arial" w:cs="Arial"/>
        <w:b/>
        <w:sz w:val="20"/>
      </w:rPr>
      <w:t xml:space="preserve">atériaux </w:t>
    </w:r>
    <w:proofErr w:type="spellStart"/>
    <w:r w:rsidR="004B1796">
      <w:rPr>
        <w:rFonts w:ascii="Arial" w:hAnsi="Arial" w:cs="Arial"/>
        <w:b/>
        <w:sz w:val="20"/>
      </w:rPr>
      <w:t>c</w:t>
    </w:r>
    <w:r w:rsidR="002027B2">
      <w:rPr>
        <w:rFonts w:ascii="Arial" w:hAnsi="Arial" w:cs="Arial"/>
        <w:b/>
        <w:sz w:val="20"/>
      </w:rPr>
      <w:t>halcogénures</w:t>
    </w:r>
    <w:proofErr w:type="spellEnd"/>
    <w:r w:rsidR="002027B2">
      <w:rPr>
        <w:rFonts w:ascii="Arial" w:hAnsi="Arial" w:cs="Arial"/>
        <w:b/>
        <w:sz w:val="20"/>
      </w:rPr>
      <w:t xml:space="preserve"> et leurs </w:t>
    </w:r>
    <w:r w:rsidR="004B1796">
      <w:rPr>
        <w:rFonts w:ascii="Arial" w:hAnsi="Arial" w:cs="Arial"/>
        <w:b/>
        <w:sz w:val="20"/>
      </w:rPr>
      <w:t>a</w:t>
    </w:r>
    <w:r w:rsidR="002027B2">
      <w:rPr>
        <w:rFonts w:ascii="Arial" w:hAnsi="Arial" w:cs="Arial"/>
        <w:b/>
        <w:sz w:val="20"/>
      </w:rPr>
      <w:t>pplications</w:t>
    </w:r>
  </w:p>
  <w:p w:rsidR="0062379C" w:rsidRPr="004B1796" w:rsidRDefault="00154751" w:rsidP="004B1796">
    <w:pPr>
      <w:pStyle w:val="Header"/>
      <w:tabs>
        <w:tab w:val="clear" w:pos="9072"/>
        <w:tab w:val="right" w:pos="9781"/>
      </w:tabs>
      <w:jc w:val="center"/>
      <w:rPr>
        <w:rFonts w:ascii="Arial" w:hAnsi="Arial" w:cs="Arial"/>
        <w:b/>
        <w:sz w:val="20"/>
      </w:rPr>
    </w:pPr>
    <w:r>
      <w:rPr>
        <w:rFonts w:ascii="Arial" w:hAnsi="Arial" w:cs="Arial"/>
        <w:b/>
        <w:sz w:val="20"/>
      </w:rPr>
      <w:t>Rennes</w:t>
    </w:r>
    <w:r w:rsidR="002027B2">
      <w:rPr>
        <w:rFonts w:ascii="Arial" w:hAnsi="Arial" w:cs="Arial"/>
        <w:b/>
        <w:sz w:val="20"/>
      </w:rPr>
      <w:t xml:space="preserve">, </w:t>
    </w:r>
    <w:r>
      <w:rPr>
        <w:rFonts w:ascii="Arial" w:hAnsi="Arial" w:cs="Arial"/>
        <w:b/>
        <w:sz w:val="20"/>
      </w:rPr>
      <w:t>30-31</w:t>
    </w:r>
    <w:r w:rsidR="002027B2">
      <w:rPr>
        <w:rFonts w:ascii="Arial" w:hAnsi="Arial" w:cs="Arial"/>
        <w:b/>
        <w:sz w:val="20"/>
      </w:rPr>
      <w:t xml:space="preserve"> </w:t>
    </w:r>
    <w:r>
      <w:rPr>
        <w:rFonts w:ascii="Arial" w:hAnsi="Arial" w:cs="Arial"/>
        <w:b/>
        <w:sz w:val="20"/>
      </w:rPr>
      <w:t>Mai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9C"/>
    <w:rsid w:val="000D4E5E"/>
    <w:rsid w:val="00154751"/>
    <w:rsid w:val="0018283F"/>
    <w:rsid w:val="001C358C"/>
    <w:rsid w:val="002027B2"/>
    <w:rsid w:val="00295BFD"/>
    <w:rsid w:val="003D4B6D"/>
    <w:rsid w:val="004538C4"/>
    <w:rsid w:val="004B1796"/>
    <w:rsid w:val="00530A16"/>
    <w:rsid w:val="00611D71"/>
    <w:rsid w:val="0062379C"/>
    <w:rsid w:val="00676B1B"/>
    <w:rsid w:val="006F5808"/>
    <w:rsid w:val="007038E6"/>
    <w:rsid w:val="007576BB"/>
    <w:rsid w:val="0086080B"/>
    <w:rsid w:val="00AF577B"/>
    <w:rsid w:val="00CD5A96"/>
    <w:rsid w:val="00DD38A1"/>
    <w:rsid w:val="00EE1391"/>
    <w:rsid w:val="00F27169"/>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894A"/>
  <w15:docId w15:val="{0EC46110-CACF-4BF0-9630-3C92A4D6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3450"/>
    <w:rPr>
      <w:sz w:val="24"/>
    </w:rPr>
  </w:style>
  <w:style w:type="paragraph" w:styleId="Heading1">
    <w:name w:val="heading 1"/>
    <w:basedOn w:val="Normal"/>
    <w:next w:val="Normal"/>
    <w:link w:val="Heading1Char"/>
    <w:qFormat/>
    <w:rsid w:val="005C5F5A"/>
    <w:pPr>
      <w:keepNext/>
      <w:spacing w:before="240" w:after="60"/>
      <w:outlineLvl w:val="0"/>
    </w:pPr>
    <w:rPr>
      <w:rFonts w:ascii="Cambria" w:hAnsi="Cambria"/>
      <w:b/>
      <w:bCs/>
      <w:kern w:val="2"/>
      <w:sz w:val="32"/>
      <w:szCs w:val="32"/>
    </w:rPr>
  </w:style>
  <w:style w:type="paragraph" w:styleId="Heading3">
    <w:name w:val="heading 3"/>
    <w:basedOn w:val="Normal"/>
    <w:qFormat/>
    <w:rsid w:val="00512D97"/>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rsid w:val="00DD1203"/>
    <w:rPr>
      <w:color w:val="0000FF"/>
      <w:u w:val="single"/>
    </w:rPr>
  </w:style>
  <w:style w:type="character" w:customStyle="1" w:styleId="En-tteCar">
    <w:name w:val="En-tête Car"/>
    <w:uiPriority w:val="99"/>
    <w:qFormat/>
    <w:rsid w:val="00C245E4"/>
    <w:rPr>
      <w:sz w:val="24"/>
    </w:rPr>
  </w:style>
  <w:style w:type="character" w:customStyle="1" w:styleId="FooterChar">
    <w:name w:val="Footer Char"/>
    <w:link w:val="Footer"/>
    <w:uiPriority w:val="99"/>
    <w:qFormat/>
    <w:rsid w:val="00C245E4"/>
    <w:rPr>
      <w:sz w:val="24"/>
    </w:rPr>
  </w:style>
  <w:style w:type="character" w:customStyle="1" w:styleId="HTMLPreformattedChar">
    <w:name w:val="HTML Preformatted Char"/>
    <w:basedOn w:val="DefaultParagraphFont"/>
    <w:link w:val="HTMLPreformatted"/>
    <w:uiPriority w:val="99"/>
    <w:qFormat/>
    <w:rsid w:val="00620ED3"/>
    <w:rPr>
      <w:rFonts w:ascii="Courier New" w:hAnsi="Courier New" w:cs="Courier New"/>
    </w:rPr>
  </w:style>
  <w:style w:type="character" w:customStyle="1" w:styleId="Heading1Char">
    <w:name w:val="Heading 1 Char"/>
    <w:basedOn w:val="DefaultParagraphFont"/>
    <w:link w:val="Heading1"/>
    <w:qFormat/>
    <w:rsid w:val="005C5F5A"/>
    <w:rPr>
      <w:rFonts w:ascii="Cambria" w:eastAsia="Times New Roman" w:hAnsi="Cambria" w:cs="Times New Roman"/>
      <w:b/>
      <w:bCs/>
      <w:kern w:val="2"/>
      <w:sz w:val="32"/>
      <w:szCs w:val="32"/>
    </w:rPr>
  </w:style>
  <w:style w:type="character" w:customStyle="1" w:styleId="BalloonTextChar">
    <w:name w:val="Balloon Text Char"/>
    <w:basedOn w:val="DefaultParagraphFont"/>
    <w:link w:val="BalloonText"/>
    <w:qFormat/>
    <w:rsid w:val="00023567"/>
    <w:rPr>
      <w:rFonts w:ascii="Lucida Grande" w:hAnsi="Lucida Grande" w:cs="Lucida Grande"/>
      <w:sz w:val="18"/>
      <w:szCs w:val="18"/>
    </w:rPr>
  </w:style>
  <w:style w:type="character" w:styleId="FollowedHyperlink">
    <w:name w:val="FollowedHyperlink"/>
    <w:basedOn w:val="DefaultParagraphFont"/>
    <w:qFormat/>
    <w:rsid w:val="00023567"/>
    <w:rPr>
      <w:color w:val="800080" w:themeColor="followedHyperlink"/>
      <w:u w:val="single"/>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eastAsia="Arial" w:cs="Arial"/>
    </w:rPr>
  </w:style>
  <w:style w:type="character" w:customStyle="1" w:styleId="ListLabel4">
    <w:name w:val="ListLabel 4"/>
    <w:qFormat/>
    <w:rPr>
      <w:rFonts w:eastAsia="Courier New" w:cs="Courier New"/>
    </w:rPr>
  </w:style>
  <w:style w:type="character" w:customStyle="1" w:styleId="ListLabel5">
    <w:name w:val="ListLabel 5"/>
    <w:qFormat/>
    <w:rPr>
      <w:rFonts w:eastAsia="Wingdings" w:cs="Wingdings"/>
    </w:rPr>
  </w:style>
  <w:style w:type="character" w:customStyle="1" w:styleId="ListLabel6">
    <w:name w:val="ListLabel 6"/>
    <w:qFormat/>
    <w:rPr>
      <w:rFonts w:eastAsia="Symbol" w:cs="Symbol"/>
    </w:rPr>
  </w:style>
  <w:style w:type="character" w:customStyle="1" w:styleId="ListLabel7">
    <w:name w:val="ListLabel 7"/>
    <w:qFormat/>
    <w:rPr>
      <w:rFonts w:eastAsia="Courier New" w:cs="Courier New"/>
    </w:rPr>
  </w:style>
  <w:style w:type="character" w:customStyle="1" w:styleId="ListLabel8">
    <w:name w:val="ListLabel 8"/>
    <w:qFormat/>
    <w:rPr>
      <w:rFonts w:eastAsia="Wingdings" w:cs="Wingdings"/>
    </w:rPr>
  </w:style>
  <w:style w:type="character" w:customStyle="1" w:styleId="ListLabel9">
    <w:name w:val="ListLabel 9"/>
    <w:qFormat/>
    <w:rPr>
      <w:rFonts w:eastAsia="Symbol" w:cs="Symbol"/>
    </w:rPr>
  </w:style>
  <w:style w:type="character" w:customStyle="1" w:styleId="ListLabel10">
    <w:name w:val="ListLabel 10"/>
    <w:qFormat/>
    <w:rPr>
      <w:rFonts w:eastAsia="Courier New" w:cs="Courier New"/>
    </w:rPr>
  </w:style>
  <w:style w:type="character" w:customStyle="1" w:styleId="ListLabel11">
    <w:name w:val="ListLabel 11"/>
    <w:qFormat/>
    <w:rPr>
      <w:rFonts w:eastAsia="Wingdings" w:cs="Wingdings"/>
    </w:rPr>
  </w:style>
  <w:style w:type="paragraph" w:styleId="Title">
    <w:name w:val="Title"/>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Header">
    <w:name w:val="header"/>
    <w:basedOn w:val="Normal"/>
    <w:uiPriority w:val="99"/>
    <w:rsid w:val="001E2DA0"/>
    <w:pPr>
      <w:tabs>
        <w:tab w:val="center" w:pos="4536"/>
        <w:tab w:val="right" w:pos="9072"/>
      </w:tabs>
    </w:pPr>
  </w:style>
  <w:style w:type="paragraph" w:styleId="Footer">
    <w:name w:val="footer"/>
    <w:basedOn w:val="Normal"/>
    <w:link w:val="FooterChar"/>
    <w:uiPriority w:val="99"/>
    <w:rsid w:val="001E2DA0"/>
    <w:pPr>
      <w:tabs>
        <w:tab w:val="center" w:pos="4536"/>
        <w:tab w:val="right" w:pos="9072"/>
      </w:tabs>
    </w:pPr>
  </w:style>
  <w:style w:type="paragraph" w:styleId="HTMLPreformatted">
    <w:name w:val="HTML Preformatted"/>
    <w:basedOn w:val="Normal"/>
    <w:link w:val="HTMLPreformattedChar"/>
    <w:uiPriority w:val="99"/>
    <w:qFormat/>
    <w:rsid w:val="00A6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link w:val="BalloonTextChar"/>
    <w:qFormat/>
    <w:rsid w:val="00023567"/>
    <w:rPr>
      <w:rFonts w:ascii="Lucida Grande" w:hAnsi="Lucida Grande" w:cs="Lucida Grande"/>
      <w:sz w:val="18"/>
      <w:szCs w:val="18"/>
    </w:rPr>
  </w:style>
  <w:style w:type="paragraph" w:styleId="ListParagraph">
    <w:name w:val="List Paragraph"/>
    <w:basedOn w:val="Normal"/>
    <w:uiPriority w:val="34"/>
    <w:qFormat/>
    <w:rsid w:val="003C2457"/>
    <w:pPr>
      <w:spacing w:after="200" w:line="276" w:lineRule="auto"/>
      <w:ind w:left="720"/>
      <w:contextualSpacing/>
    </w:pPr>
    <w:rPr>
      <w:rFonts w:ascii="Arial" w:eastAsia="Arial" w:hAnsi="Arial" w:cs="Arial"/>
      <w:sz w:val="22"/>
      <w:szCs w:val="22"/>
      <w:lang w:eastAsia="en-US"/>
    </w:rPr>
  </w:style>
  <w:style w:type="paragraph" w:customStyle="1" w:styleId="Contenudecadre">
    <w:name w:val="Contenu de cadre"/>
    <w:basedOn w:val="Normal"/>
    <w:qFormat/>
  </w:style>
  <w:style w:type="table" w:styleId="TableGrid">
    <w:name w:val="Table Grid"/>
    <w:basedOn w:val="TableNormal"/>
    <w:rsid w:val="00D4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4E6343B-6C16-41DB-ABAF-90D1CADC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2665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Journée thématique</vt:lpstr>
      <vt:lpstr>Journée thématique</vt:lpstr>
    </vt:vector>
  </TitlesOfParts>
  <Company>Labo EM2C</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Journée thématique</dc:title>
  <dc:subject/>
  <dc:creator>Rémi CARMINATI</dc:creator>
  <dc:description/>
  <cp:lastModifiedBy>Jean-Yves Raty</cp:lastModifiedBy>
  <cp:revision>2</cp:revision>
  <cp:lastPrinted>2014-09-12T11:21:00Z</cp:lastPrinted>
  <dcterms:created xsi:type="dcterms:W3CDTF">2024-04-05T06:36:00Z</dcterms:created>
  <dcterms:modified xsi:type="dcterms:W3CDTF">2024-04-05T06:36:00Z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Labo EM2C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