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EEDD" w14:textId="5261C36E" w:rsidR="00CE454B" w:rsidRPr="000C1DA6" w:rsidRDefault="00CE454B" w:rsidP="000C1DA6">
      <w:r>
        <w:rPr>
          <w:b/>
          <w:bCs/>
          <w:sz w:val="32"/>
          <w:szCs w:val="32"/>
        </w:rPr>
        <w:t xml:space="preserve">Tackling the analytical challenges to establish a routine workflow for </w:t>
      </w:r>
      <w:proofErr w:type="spellStart"/>
      <w:r>
        <w:rPr>
          <w:b/>
          <w:bCs/>
          <w:sz w:val="32"/>
          <w:szCs w:val="32"/>
        </w:rPr>
        <w:t>breathomics</w:t>
      </w:r>
      <w:proofErr w:type="spellEnd"/>
      <w:r>
        <w:rPr>
          <w:b/>
          <w:bCs/>
          <w:sz w:val="32"/>
          <w:szCs w:val="32"/>
        </w:rPr>
        <w:t xml:space="preserve"> </w:t>
      </w:r>
      <w:proofErr w:type="gramStart"/>
      <w:r>
        <w:rPr>
          <w:b/>
          <w:bCs/>
          <w:sz w:val="32"/>
          <w:szCs w:val="32"/>
        </w:rPr>
        <w:t>research</w:t>
      </w:r>
      <w:proofErr w:type="gramEnd"/>
      <w:r>
        <w:rPr>
          <w:b/>
          <w:bCs/>
          <w:sz w:val="32"/>
          <w:szCs w:val="32"/>
        </w:rPr>
        <w:t xml:space="preserve"> </w:t>
      </w:r>
    </w:p>
    <w:p w14:paraId="62BC59AF" w14:textId="77777777" w:rsidR="004E3C3F" w:rsidRDefault="004E3C3F" w:rsidP="00094802">
      <w:pPr>
        <w:pStyle w:val="Titre"/>
        <w:jc w:val="both"/>
        <w:rPr>
          <w:rFonts w:asciiTheme="minorHAnsi" w:eastAsiaTheme="minorHAnsi" w:hAnsiTheme="minorHAnsi" w:cstheme="minorBidi"/>
          <w:spacing w:val="0"/>
          <w:kern w:val="2"/>
          <w:sz w:val="22"/>
          <w:szCs w:val="22"/>
          <w:lang w:val="en-US"/>
          <w14:ligatures w14:val="standardContextual"/>
        </w:rPr>
      </w:pPr>
    </w:p>
    <w:p w14:paraId="713EC884" w14:textId="03C1459B" w:rsidR="004E3C3F" w:rsidRPr="004E3C3F" w:rsidRDefault="004E3C3F" w:rsidP="004E3C3F">
      <w:r w:rsidRPr="004E3C3F">
        <w:t>Thibault Massenet</w:t>
      </w:r>
      <w:r w:rsidRPr="004E3C3F">
        <w:rPr>
          <w:vertAlign w:val="superscript"/>
        </w:rPr>
        <w:t>1</w:t>
      </w:r>
      <w:r w:rsidRPr="004E3C3F">
        <w:t>, Judith Potjewijd</w:t>
      </w:r>
      <w:r w:rsidRPr="004E3C3F">
        <w:rPr>
          <w:vertAlign w:val="superscript"/>
        </w:rPr>
        <w:t>2</w:t>
      </w:r>
      <w:r w:rsidRPr="004E3C3F">
        <w:t>, Rachid Tobal</w:t>
      </w:r>
      <w:r w:rsidRPr="004E3C3F">
        <w:rPr>
          <w:vertAlign w:val="superscript"/>
        </w:rPr>
        <w:t>2</w:t>
      </w:r>
      <w:r w:rsidRPr="004E3C3F">
        <w:t>, Fanny Gester</w:t>
      </w:r>
      <w:r w:rsidRPr="004E3C3F">
        <w:rPr>
          <w:vertAlign w:val="superscript"/>
        </w:rPr>
        <w:t>3</w:t>
      </w:r>
      <w:r w:rsidRPr="004E3C3F">
        <w:t>, Delphine Zanella</w:t>
      </w:r>
      <w:r w:rsidRPr="004E3C3F">
        <w:rPr>
          <w:vertAlign w:val="superscript"/>
        </w:rPr>
        <w:t>1</w:t>
      </w:r>
      <w:r w:rsidRPr="004E3C3F">
        <w:t>, Monique Henket</w:t>
      </w:r>
      <w:r w:rsidRPr="004E3C3F">
        <w:rPr>
          <w:vertAlign w:val="superscript"/>
        </w:rPr>
        <w:t>3</w:t>
      </w:r>
      <w:r w:rsidRPr="004E3C3F">
        <w:t>, Makon-Sébastien Njock</w:t>
      </w:r>
      <w:r w:rsidRPr="004E3C3F">
        <w:rPr>
          <w:vertAlign w:val="superscript"/>
        </w:rPr>
        <w:t>3</w:t>
      </w:r>
      <w:r w:rsidRPr="004E3C3F">
        <w:t>, Thibaut Dejong</w:t>
      </w:r>
      <w:r w:rsidRPr="004E3C3F">
        <w:rPr>
          <w:vertAlign w:val="superscript"/>
        </w:rPr>
        <w:t>1</w:t>
      </w:r>
      <w:r w:rsidRPr="004E3C3F">
        <w:t>, Gregory Gridelet</w:t>
      </w:r>
      <w:r w:rsidRPr="004E3C3F">
        <w:rPr>
          <w:vertAlign w:val="superscript"/>
        </w:rPr>
        <w:t>1</w:t>
      </w:r>
      <w:r w:rsidRPr="004E3C3F">
        <w:t>, Laurie Giltay</w:t>
      </w:r>
      <w:r w:rsidRPr="004E3C3F">
        <w:rPr>
          <w:vertAlign w:val="superscript"/>
        </w:rPr>
        <w:t>3</w:t>
      </w:r>
      <w:r w:rsidRPr="004E3C3F">
        <w:t>, Françoise Guissard</w:t>
      </w:r>
      <w:r w:rsidRPr="004E3C3F">
        <w:rPr>
          <w:vertAlign w:val="superscript"/>
        </w:rPr>
        <w:t>3</w:t>
      </w:r>
      <w:r w:rsidRPr="004E3C3F">
        <w:t>, Béatrice André</w:t>
      </w:r>
      <w:r w:rsidRPr="004E3C3F">
        <w:rPr>
          <w:vertAlign w:val="superscript"/>
        </w:rPr>
        <w:t>4</w:t>
      </w:r>
      <w:r w:rsidRPr="004E3C3F">
        <w:t>, Clio Ribbens</w:t>
      </w:r>
      <w:r w:rsidRPr="004E3C3F">
        <w:rPr>
          <w:vertAlign w:val="superscript"/>
        </w:rPr>
        <w:t>4</w:t>
      </w:r>
      <w:r w:rsidRPr="004E3C3F">
        <w:t>, Renaud Louis</w:t>
      </w:r>
      <w:r w:rsidRPr="004E3C3F">
        <w:rPr>
          <w:vertAlign w:val="superscript"/>
        </w:rPr>
        <w:t>3</w:t>
      </w:r>
      <w:r w:rsidRPr="004E3C3F">
        <w:t>, Pieter Van Paassen</w:t>
      </w:r>
      <w:r w:rsidRPr="004E3C3F">
        <w:rPr>
          <w:vertAlign w:val="superscript"/>
        </w:rPr>
        <w:t>2</w:t>
      </w:r>
      <w:r w:rsidRPr="004E3C3F">
        <w:t>, Jean-François Focant</w:t>
      </w:r>
      <w:r w:rsidRPr="004E3C3F">
        <w:rPr>
          <w:vertAlign w:val="superscript"/>
        </w:rPr>
        <w:t>1</w:t>
      </w:r>
      <w:r w:rsidRPr="004E3C3F">
        <w:t>, Julien Guiot</w:t>
      </w:r>
      <w:r w:rsidRPr="004E3C3F">
        <w:rPr>
          <w:vertAlign w:val="superscript"/>
        </w:rPr>
        <w:t>3</w:t>
      </w:r>
      <w:r w:rsidRPr="004E3C3F">
        <w:t>*, Pierre-Hugues Stefanuto</w:t>
      </w:r>
      <w:r w:rsidRPr="004E3C3F">
        <w:rPr>
          <w:vertAlign w:val="superscript"/>
        </w:rPr>
        <w:t>1</w:t>
      </w:r>
      <w:r w:rsidRPr="004E3C3F">
        <w:t xml:space="preserve">* </w:t>
      </w:r>
    </w:p>
    <w:p w14:paraId="109F63DF" w14:textId="77777777" w:rsidR="004E3C3F" w:rsidRPr="004E3C3F" w:rsidRDefault="004E3C3F" w:rsidP="000C1DA6">
      <w:pPr>
        <w:spacing w:line="240" w:lineRule="auto"/>
        <w:rPr>
          <w:lang w:val="en-GB"/>
        </w:rPr>
      </w:pPr>
      <w:r w:rsidRPr="004E3C3F">
        <w:t>1 Molecular System, Organic &amp; Biological Analytical Chemistry Group, University of Liege, Belgium.</w:t>
      </w:r>
    </w:p>
    <w:p w14:paraId="4DC7157D" w14:textId="77777777" w:rsidR="004E3C3F" w:rsidRPr="004E3C3F" w:rsidRDefault="004E3C3F" w:rsidP="000C1DA6">
      <w:pPr>
        <w:spacing w:line="240" w:lineRule="auto"/>
      </w:pPr>
      <w:r w:rsidRPr="004E3C3F">
        <w:t>2 Department of Internal Medicine, Division of Clinical and Experimental Immunology, Maastricht University Medical Center, Maastricht, The Netherlands.</w:t>
      </w:r>
    </w:p>
    <w:p w14:paraId="69902E14" w14:textId="77777777" w:rsidR="004E3C3F" w:rsidRPr="004E3C3F" w:rsidRDefault="004E3C3F" w:rsidP="000C1DA6">
      <w:pPr>
        <w:spacing w:line="240" w:lineRule="auto"/>
      </w:pPr>
      <w:r w:rsidRPr="004E3C3F">
        <w:t>3 Respiratory Medicine, CHU Liege, Belgium.</w:t>
      </w:r>
    </w:p>
    <w:p w14:paraId="75E14F0A" w14:textId="5A6DFCB8" w:rsidR="004E3C3F" w:rsidRDefault="004E3C3F" w:rsidP="004E3C3F">
      <w:pPr>
        <w:spacing w:line="240" w:lineRule="auto"/>
      </w:pPr>
      <w:r w:rsidRPr="004E3C3F">
        <w:t>4 Rheumatology department, CHU Liège, Belgium.</w:t>
      </w:r>
    </w:p>
    <w:p w14:paraId="7C7EF6F2" w14:textId="77777777" w:rsidR="004E3C3F" w:rsidRPr="000C1DA6" w:rsidRDefault="004E3C3F" w:rsidP="000C1DA6">
      <w:pPr>
        <w:spacing w:line="240" w:lineRule="auto"/>
      </w:pPr>
    </w:p>
    <w:p w14:paraId="5CB84F11" w14:textId="2A3E4E39" w:rsidR="004E3C3F" w:rsidRPr="00094802" w:rsidRDefault="004E3C3F" w:rsidP="004E3C3F">
      <w:r w:rsidRPr="004E3C3F">
        <w:t xml:space="preserve">*co-last authors </w:t>
      </w:r>
    </w:p>
    <w:p w14:paraId="09840F1F" w14:textId="77777777" w:rsidR="00094802" w:rsidRDefault="00094802" w:rsidP="002817C6">
      <w:pPr>
        <w:jc w:val="both"/>
      </w:pPr>
    </w:p>
    <w:p w14:paraId="09C2D638" w14:textId="4E5C54D3" w:rsidR="004E4A94" w:rsidRDefault="002817C6" w:rsidP="004E4A94">
      <w:pPr>
        <w:jc w:val="both"/>
      </w:pPr>
      <w:proofErr w:type="spellStart"/>
      <w:r>
        <w:t>Breathomics</w:t>
      </w:r>
      <w:proofErr w:type="spellEnd"/>
      <w:r>
        <w:t>, a</w:t>
      </w:r>
      <w:r w:rsidR="000C1DA6">
        <w:t xml:space="preserve">n emerging </w:t>
      </w:r>
      <w:r>
        <w:t xml:space="preserve">field, </w:t>
      </w:r>
      <w:r w:rsidR="000C1DA6">
        <w:t>investigates</w:t>
      </w:r>
      <w:r>
        <w:t xml:space="preserve"> the intricate relationship between volatile organic compounds (VOCs) contained in exhaled breath and human health</w:t>
      </w:r>
      <w:r w:rsidR="000C1DA6">
        <w:t>, offering a non-invasive approach to disease monitoring and detection</w:t>
      </w:r>
      <w:r>
        <w:t>. Analytical chemistry</w:t>
      </w:r>
      <w:r w:rsidR="00CE454B">
        <w:t xml:space="preserve"> </w:t>
      </w:r>
      <w:r>
        <w:t xml:space="preserve">stands as a crucial component in the comprehensive characterization of the complex molecular composition of exhaled breath. However, challenges </w:t>
      </w:r>
      <w:r w:rsidR="004E4A94">
        <w:t>related</w:t>
      </w:r>
      <w:r>
        <w:t xml:space="preserve"> to sampling or </w:t>
      </w:r>
      <w:r w:rsidR="005520BB">
        <w:t>quality control</w:t>
      </w:r>
      <w:r>
        <w:t xml:space="preserve"> still need to be addressed </w:t>
      </w:r>
      <w:r w:rsidR="00CE454B">
        <w:t xml:space="preserve">to establish routine </w:t>
      </w:r>
      <w:r w:rsidR="004E4A94">
        <w:t xml:space="preserve">clinical </w:t>
      </w:r>
      <w:r w:rsidR="00CE454B">
        <w:t>protocols. In this context, several</w:t>
      </w:r>
      <w:r w:rsidR="004E4A94">
        <w:t xml:space="preserve"> community</w:t>
      </w:r>
      <w:r w:rsidR="00CE454B">
        <w:t xml:space="preserve"> initiatives </w:t>
      </w:r>
      <w:r w:rsidR="004E4A94">
        <w:t>aim</w:t>
      </w:r>
      <w:r w:rsidR="00CE454B">
        <w:t xml:space="preserve"> to establish guidelines for exhaled breath analysis</w:t>
      </w:r>
      <w:r w:rsidR="000C1DA6">
        <w:fldChar w:fldCharType="begin" w:fldLock="1"/>
      </w:r>
      <w:r w:rsidR="000C1DA6">
        <w:instrText>ADDIN CSL_CITATION {"citationItems":[{"id":"ITEM-1","itemData":{"DOI":"10.1088/1752-7163/ABA130","ISSN":"1752-7163","PMID":"32604084","abstract":"Sampling of volatile organic compounds (VOCs) has shown promise for detection of a range of diseases but results have proved hard to replicate due to a lack of standardization. In this work we introduce the 'Peppermint Initiative'. The initiative seeks to disseminate a standardized experiment that allows comparison of breath sampling and data analysis methods. Further, it seeks to share a set of benchmark values for the measurement of VOCs in breath. Pilot data are presented to illustrate the standardized approach to the interpretation of results obtained from the Peppermint experiment. This pilot study was conducted to determine the washout profile of peppermint compounds in breath, identify appropriate sampling time points, and formalise the data analysis. Five and ten participants were recruited to undertake a standardized intervention by ingesting a peppermint oil capsule that engenders a predictable and controlled change in the VOC profile in exhaled breath. After collecting a pre-ingestion breath sample, five further samples are taken at 2, 4, 6, 8, and 10 h after ingestion. Samples were analysed using ion mobility spectrometry coupled to multi-capillary column and thermal desorption gas chromatography mass spectrometry. A regression analysis of the washout data was used to determine sampling times for the final peppermint protocol, and the time for the compound measurement to return to baseline levels was selected as a benchmark value. A measure of the quality of the data generated from a given technique is proposed by comparing data fidelity. This study protocol has been used for all subsequent measurements by the Peppermint Consortium (16 partners from seven countries). So far 1200 breath samples from 200 participants using a range of sampling and analytical techniques have been collected. The data from the consortium will be disseminated in subsequent technical notes focussing on results from individual platforms.","author":[{"dropping-particle":"","family":"Henderson","given":"Ben","non-dropping-particle":"","parse-names":false,"suffix":""},{"dropping-particle":"","family":"Ruszkiewicz","given":"Dorota M.","non-dropping-particle":"","parse-names":false,"suffix":""},{"dropping-particle":"","family":"Wilkinson","given":"Max","non-dropping-particle":"","parse-names":false,"suffix":""},{"dropping-particle":"","family":"Beauchamp","given":"Jonathan D.","non-dropping-particle":"","parse-names":false,"suffix":""},{"dropping-particle":"","family":"Cristescu","given":"Simona M.","non-dropping-particle":"","parse-names":false,"suffix":""},{"dropping-particle":"","family":"Fowler","given":"Stephen J.","non-dropping-particle":"","parse-names":false,"suffix":""},{"dropping-particle":"","family":"Salman","given":"Dahlia","non-dropping-particle":"","parse-names":false,"suffix":""},{"dropping-particle":"","family":"Francesco","given":"Fabio","non-dropping-particle":"Di","parse-names":false,"suffix":""},{"dropping-particle":"","family":"Koppen","given":"Gudrun","non-dropping-particle":"","parse-names":false,"suffix":""},{"dropping-particle":"","family":"Langejürgen","given":"Jens","non-dropping-particle":"","parse-names":false,"suffix":""},{"dropping-particle":"","family":"Holz","given":"Olaf","non-dropping-particle":"","parse-names":false,"suffix":""},{"dropping-particle":"","family":"Hadjithekli","given":"Andria","non-dropping-particle":"","parse-names":false,"suffix":""},{"dropping-particle":"","family":"Moreno","given":"Sergi","non-dropping-particle":"","parse-names":false,"suffix":""},{"dropping-particle":"","family":"Pedrotti","given":"Michele","non-dropping-particle":"","parse-names":false,"suffix":""},{"dropping-particle":"","family":"Sinues","given":"Pablo","non-dropping-particle":"","parse-names":false,"suffix":""},{"dropping-particle":"","family":"Slingers","given":"Gitte","non-dropping-particle":"","parse-names":false,"suffix":""},{"dropping-particle":"","family":"Wilde","given":"Michael","non-dropping-particle":"","parse-names":false,"suffix":""},{"dropping-particle":"","family":"Lomonaco","given":"Tommaso","non-dropping-particle":"","parse-names":false,"suffix":""},{"dropping-particle":"","family":"Zanella","given":"Delphine","non-dropping-particle":"","parse-names":false,"suffix":""},{"dropping-particle":"","family":"Zenobi","given":"Renato","non-dropping-particle":"","parse-names":false,"suffix":""},{"dropping-particle":"","family":"Focant","given":"Jean François","non-dropping-particle":"","parse-names":false,"suffix":""},{"dropping-particle":"","family":"Grassin-Delyle","given":"Stanislas","non-dropping-particle":"","parse-names":false,"suffix":""},{"dropping-particle":"","family":"Franchina","given":"Flavio Antonio","non-dropping-particle":"","parse-names":false,"suffix":""},{"dropping-particle":"","family":"Malásková","given":"Michaela","non-dropping-particle":"","parse-names":false,"suffix":""},{"dropping-particle":"","family":"Stefanuto","given":"Pierre Hugues","non-dropping-particle":"","parse-names":false,"suffix":""},{"dropping-particle":"","family":"Pugliese","given":"Giovanni","non-dropping-particle":"","parse-names":false,"suffix":""},{"dropping-particle":"","family":"Mayhew","given":"Christopher","non-dropping-particle":"","parse-names":false,"suffix":""},{"dropping-particle":"","family":"Thomas","given":"C. L.Paul","non-dropping-particle":"","parse-names":false,"suffix":""}],"container-title":"Journal of Breath Research","id":"ITEM-1","issue":"4","issued":{"date-parts":[["2020","7","31"]]},"page":"046008","publisher":"IOP Publishing","title":"A benchmarking protocol for breath analysis: the peppermint experiment","type":"article-journal","volume":"14"},"uris":["http://www.mendeley.com/documents/?uuid=f90bd75f-5c82-3ca5-90bf-0d1f74d64591"]}],"mendeley":{"formattedCitation":"[1]","plainTextFormattedCitation":"[1]","previouslyFormattedCitation":"(1)"},"properties":{"noteIndex":0},"schema":"https://github.com/citation-style-language/schema/raw/master/csl-citation.json"}</w:instrText>
      </w:r>
      <w:r w:rsidR="000C1DA6">
        <w:fldChar w:fldCharType="separate"/>
      </w:r>
      <w:r w:rsidR="000C1DA6" w:rsidRPr="000C1DA6">
        <w:rPr>
          <w:noProof/>
        </w:rPr>
        <w:t>[1]</w:t>
      </w:r>
      <w:r w:rsidR="000C1DA6">
        <w:fldChar w:fldCharType="end"/>
      </w:r>
      <w:r w:rsidR="00CE454B" w:rsidRPr="000C1DA6">
        <w:rPr>
          <w:color w:val="000000" w:themeColor="text1"/>
        </w:rPr>
        <w:t xml:space="preserve">. </w:t>
      </w:r>
      <w:r w:rsidR="00CE454B">
        <w:t xml:space="preserve">A </w:t>
      </w:r>
      <w:r w:rsidR="004E4A94">
        <w:t>typical</w:t>
      </w:r>
      <w:r w:rsidR="00CE454B">
        <w:t xml:space="preserve"> </w:t>
      </w:r>
      <w:proofErr w:type="spellStart"/>
      <w:r w:rsidR="00CE454B">
        <w:t>breathomics</w:t>
      </w:r>
      <w:proofErr w:type="spellEnd"/>
      <w:r w:rsidR="00CE454B">
        <w:t xml:space="preserve"> workflow </w:t>
      </w:r>
      <w:r w:rsidR="004E4A94">
        <w:t>includes</w:t>
      </w:r>
      <w:r w:rsidR="00CE454B">
        <w:t xml:space="preserve"> </w:t>
      </w:r>
      <w:r w:rsidR="004E4A94">
        <w:t>critical</w:t>
      </w:r>
      <w:r w:rsidR="00CE454B">
        <w:t xml:space="preserve"> steps</w:t>
      </w:r>
      <w:r w:rsidR="004E4A94">
        <w:t xml:space="preserve"> such as </w:t>
      </w:r>
      <w:r w:rsidR="00CE454B">
        <w:t xml:space="preserve">sampling protocols, characterization methods, and data processing. </w:t>
      </w:r>
    </w:p>
    <w:p w14:paraId="3FF604EF" w14:textId="4BE9586C" w:rsidR="004E4A94" w:rsidRDefault="004E4A94" w:rsidP="002817C6">
      <w:pPr>
        <w:jc w:val="both"/>
      </w:pPr>
      <w:r>
        <w:t>In this study, we present a comprehensive analytical workflow utilizing bag-based sampling combined with thermal desorption, coupled with comprehensive two-dimensional gas chromatography and high-resolution mass spectrometry (TD-</w:t>
      </w:r>
      <w:proofErr w:type="spellStart"/>
      <w:r>
        <w:t>GCxGC</w:t>
      </w:r>
      <w:proofErr w:type="spellEnd"/>
      <w:r>
        <w:t xml:space="preserve">-HRTOFMS). We developed sampling kits and standard operating procedures (SOPs) to reduce sampling variability. Additionally, we established common </w:t>
      </w:r>
      <w:proofErr w:type="spellStart"/>
      <w:r>
        <w:t>GCxGC</w:t>
      </w:r>
      <w:proofErr w:type="spellEnd"/>
      <w:r>
        <w:t xml:space="preserve">-HRMS conditions compatible with all </w:t>
      </w:r>
      <w:proofErr w:type="spellStart"/>
      <w:r>
        <w:t>breathomics</w:t>
      </w:r>
      <w:proofErr w:type="spellEnd"/>
      <w:r>
        <w:t xml:space="preserve"> studies and worked on SOPs for data processing for this type of dataset. </w:t>
      </w:r>
    </w:p>
    <w:p w14:paraId="23BAC33E" w14:textId="48E98792" w:rsidR="00CE454B" w:rsidRDefault="00F46DB1" w:rsidP="002817C6">
      <w:pPr>
        <w:jc w:val="both"/>
        <w:rPr>
          <w:lang w:val="en-GB"/>
        </w:rPr>
      </w:pPr>
      <w:r>
        <w:t>Once the workflow fully developed, w</w:t>
      </w:r>
      <w:r w:rsidRPr="00F46DB1">
        <w:t xml:space="preserve">e conducted a multicentric clinical study to </w:t>
      </w:r>
      <w:r>
        <w:t>test</w:t>
      </w:r>
      <w:r w:rsidRPr="00F46DB1">
        <w:t xml:space="preserve"> the robustness of our approach, focusing on patients with systemic sclerosis (</w:t>
      </w:r>
      <w:proofErr w:type="spellStart"/>
      <w:r w:rsidRPr="00F46DB1">
        <w:t>SSc</w:t>
      </w:r>
      <w:proofErr w:type="spellEnd"/>
      <w:r w:rsidRPr="00F46DB1">
        <w:t xml:space="preserve">) and investigating the potential of exhaled breath to monitor the development of interstitial lung disease (ILD), a major clinical complication in </w:t>
      </w:r>
      <w:proofErr w:type="spellStart"/>
      <w:r w:rsidRPr="00F46DB1">
        <w:t>SSc</w:t>
      </w:r>
      <w:proofErr w:type="spellEnd"/>
      <w:r w:rsidRPr="00F46DB1">
        <w:t xml:space="preserve">. Forty-two patients (21 </w:t>
      </w:r>
      <w:proofErr w:type="spellStart"/>
      <w:r w:rsidRPr="00F46DB1">
        <w:t>SSc</w:t>
      </w:r>
      <w:proofErr w:type="spellEnd"/>
      <w:r w:rsidRPr="00F46DB1">
        <w:t xml:space="preserve">, 21 </w:t>
      </w:r>
      <w:proofErr w:type="spellStart"/>
      <w:r w:rsidRPr="00F46DB1">
        <w:t>SSc</w:t>
      </w:r>
      <w:proofErr w:type="spellEnd"/>
      <w:r w:rsidRPr="00F46DB1">
        <w:t>-ILD) were prospectively recruited from University Hospital of Liège (CHU), Belgium, and Maastricht University Medical Center (MUMC+), the Netherlands. Sampling kits were sent to both centers, and analyses were performed using a single instrumentation.</w:t>
      </w:r>
    </w:p>
    <w:p w14:paraId="02FCF869" w14:textId="7CDFCE16" w:rsidR="004E4A94" w:rsidRDefault="001E707A" w:rsidP="002817C6">
      <w:pPr>
        <w:jc w:val="both"/>
      </w:pPr>
      <w:r>
        <w:t>This study demonstrated that r</w:t>
      </w:r>
      <w:r w:rsidR="00503283" w:rsidRPr="00224DA5">
        <w:t>eady-to-use kits has helped to reduce cross-contamination, while reducing the workload of care staff and thus potential errors</w:t>
      </w:r>
      <w:r w:rsidR="00503283">
        <w:t xml:space="preserve">. This process also increased the number of patients </w:t>
      </w:r>
      <w:r w:rsidR="00503283">
        <w:lastRenderedPageBreak/>
        <w:t xml:space="preserve">sampled in a defined </w:t>
      </w:r>
      <w:r w:rsidR="0050408A">
        <w:t>period</w:t>
      </w:r>
      <w:r w:rsidR="00503283">
        <w:t xml:space="preserve"> reducing variability caused by longitudinal study.</w:t>
      </w:r>
      <w:r>
        <w:rPr>
          <w:lang w:val="en-GB"/>
        </w:rPr>
        <w:t xml:space="preserve"> </w:t>
      </w:r>
      <w:r w:rsidR="006420BB">
        <w:t>TD-</w:t>
      </w:r>
      <w:proofErr w:type="spellStart"/>
      <w:r w:rsidR="006420BB">
        <w:t>GCxGC</w:t>
      </w:r>
      <w:proofErr w:type="spellEnd"/>
      <w:r w:rsidR="006420BB">
        <w:t xml:space="preserve">-HRTOFMS </w:t>
      </w:r>
      <w:r w:rsidR="00A13EC2">
        <w:t>enabled the</w:t>
      </w:r>
      <w:r w:rsidR="006420BB">
        <w:t xml:space="preserve"> detect</w:t>
      </w:r>
      <w:r w:rsidR="00A13EC2">
        <w:t>ion of</w:t>
      </w:r>
      <w:r w:rsidR="00503283">
        <w:t xml:space="preserve"> around 700 features</w:t>
      </w:r>
      <w:r w:rsidR="00A13EC2">
        <w:t>, with high inter-day repeatability confirmed using</w:t>
      </w:r>
      <w:r w:rsidR="00A8221C" w:rsidRPr="008D4AF9">
        <w:t xml:space="preserve"> a mixture containing </w:t>
      </w:r>
      <w:r w:rsidR="00A8221C">
        <w:t>21</w:t>
      </w:r>
      <w:r w:rsidR="00A8221C" w:rsidRPr="008D4AF9">
        <w:t xml:space="preserve"> standards </w:t>
      </w:r>
      <w:r w:rsidR="00A8221C">
        <w:t>covering a wide range of the chromatograph</w:t>
      </w:r>
      <w:r w:rsidR="00A8221C" w:rsidRPr="008D4AF9">
        <w:t>.</w:t>
      </w:r>
      <w:r w:rsidR="00A8221C">
        <w:t xml:space="preserve"> Each of these standards was carefully selected to mimic exhaled breath composition based on previous studies</w:t>
      </w:r>
      <w:r w:rsidR="000C1DA6">
        <w:fldChar w:fldCharType="begin" w:fldLock="1"/>
      </w:r>
      <w:r w:rsidR="000C1DA6">
        <w:instrText>ADDIN CSL_CITATION {"citationItems":[{"id":"ITEM-1","itemData":{"DOI":"10.1164/RCCM.201811-2210OC/SUPPL_FILE/DISCLOSURES.PDF","ISSN":"15354970","PMID":"30973757","abstract":"Rationale: Analysis of exhaled breath for asthma phenotyping using endogenously generated volatile organic compounds (VOCs) offers the possibility of noninvasive diagnosis and therapeutic monitoring. Induced sputum is indeed not widely available and markers of neutrophilic asthma are still lacking. Objectives: To determine whether analysis of exhaled breath using endogenously generated VOCs can be a surrogate marker for recognition of sputum inflammatory phenotypes. Methods: We conducted a prospective study on 521 patients with asthma recruited from the University Asthma Clinic of Liege. Patients underwent VOC measurement, fraction of exhaled nitric oxide (FENO) spirometry, sputum induction, and gave a blood sample. Subjects with asthma were classified in three inflammatory phenotypes according to their sputum granulocytic cell count. Measurements and Main Results: In the discovery study, seven potential biomarkers were highlighted by gas chromatography-mass spectrometry in a training cohort of 276 patients with asthma. In the replication study (n = 245), we confirmed four VOCs of interest to discriminate among asthma inflammatory phenotypes using comprehensive two-dimensional gas chromatography coupled to high-resolution time-of-flight mass spectrometry. Hexane and 2-hexanone were identified as compounds with the highest classification performance in eosinophilic asthma with accuracy comparable to that of blood eosinophils and FENO. Moreover, the combination of FENO, blood eosinophils, and VOCs gave a very good prediction of eosinophilic asthma (area under the receiver operating characteristic curve, 0.9). For neutrophilic asthma, the combination of nonanal, 1-propanol, and hexane had a classification performance similar to FENO or blood eosinophils in eosinophilic asthma. Those compounds were found in higher levels in neutrophilic asthma. Conclusions: Our study is the first attempt to characterize VOCs according to sputum granulocytic profile in a large population of patients with asthma and provide surrogate markers for neutrophilic asthma.","author":[{"dropping-particle":"","family":"Schleich","given":"Florence N.","non-dropping-particle":"","parse-names":false,"suffix":""},{"dropping-particle":"","family":"Zanella","given":"Delphine","non-dropping-particle":"","parse-names":false,"suffix":""},{"dropping-particle":"","family":"Stefanuto","given":"Pierre Hugues","non-dropping-particle":"","parse-names":false,"suffix":""},{"dropping-particle":"","family":"Bessonov","given":"Kirill","non-dropping-particle":"","parse-names":false,"suffix":""},{"dropping-particle":"","family":"Smolinska","given":"Agnieska","non-dropping-particle":"","parse-names":false,"suffix":""},{"dropping-particle":"","family":"Dallinga","given":"Jan W.","non-dropping-particle":"","parse-names":false,"suffix":""},{"dropping-particle":"","family":"Henket","given":"Monique","non-dropping-particle":"","parse-names":false,"suffix":""},{"dropping-particle":"","family":"Paulus","given":"Virginie","non-dropping-particle":"","parse-names":false,"suffix":""},{"dropping-particle":"","family":"Guissard","given":"Françoise","non-dropping-particle":"","parse-names":false,"suffix":""},{"dropping-particle":"","family":"Graff","given":"Sophie","non-dropping-particle":"","parse-names":false,"suffix":""},{"dropping-particle":"","family":"Moermans","given":"Catherine","non-dropping-particle":"","parse-names":false,"suffix":""},{"dropping-particle":"","family":"Wouters","given":"Emiel F.M.","non-dropping-particle":"","parse-names":false,"suffix":""},{"dropping-particle":"","family":"Steen","given":"Kristel","non-dropping-particle":"Van","parse-names":false,"suffix":""},{"dropping-particle":"","family":"Schooten","given":"Frederik Jan","non-dropping-particle":"Van","parse-names":false,"suffix":""},{"dropping-particle":"","family":"Focant","given":"Jean François","non-dropping-particle":"","parse-names":false,"suffix":""},{"dropping-particle":"","family":"Louis","given":"Renaud","non-dropping-particle":"","parse-names":false,"suffix":""}],"container-title":"American Journal of Respiratory and Critical Care Medicine","id":"ITEM-1","issue":"4","issued":{"date-parts":[["2019","8","15"]]},"page":"444-453","publisher":"American Thoracic Society","title":"Exhaled volatile organic compounds are able to discriminate between neutrophilic and eosinophilic asthma","type":"article-journal","volume":"200"},"uris":["http://www.mendeley.com/documents/?uuid=6e9a9e6f-c2f7-3a98-9e9f-767bf3676a91"]}],"mendeley":{"formattedCitation":"[2]","plainTextFormattedCitation":"[2]","previouslyFormattedCitation":"(2)"},"properties":{"noteIndex":0},"schema":"https://github.com/citation-style-language/schema/raw/master/csl-citation.json"}</w:instrText>
      </w:r>
      <w:r w:rsidR="000C1DA6">
        <w:fldChar w:fldCharType="separate"/>
      </w:r>
      <w:r w:rsidR="000C1DA6" w:rsidRPr="000C1DA6">
        <w:rPr>
          <w:noProof/>
        </w:rPr>
        <w:t>[2]</w:t>
      </w:r>
      <w:r w:rsidR="000C1DA6">
        <w:fldChar w:fldCharType="end"/>
      </w:r>
      <w:r w:rsidR="00A8221C">
        <w:t xml:space="preserve">. This </w:t>
      </w:r>
      <w:r w:rsidR="004350D8">
        <w:t>confirmed</w:t>
      </w:r>
      <w:r w:rsidR="00A8221C">
        <w:t xml:space="preserve"> the identification of features but also </w:t>
      </w:r>
      <w:r w:rsidR="004350D8">
        <w:t xml:space="preserve">allowed us to proceed to instrumental maintenance or intensities correction when needed. </w:t>
      </w:r>
      <w:r w:rsidR="00503283">
        <w:t>Finally, a</w:t>
      </w:r>
      <w:r w:rsidR="002817C6">
        <w:t xml:space="preserve"> breath-based model</w:t>
      </w:r>
      <w:r w:rsidR="00307806">
        <w:t xml:space="preserve">, based on nine markers, </w:t>
      </w:r>
      <w:r w:rsidR="002817C6">
        <w:t xml:space="preserve">was developed. </w:t>
      </w:r>
      <w:r w:rsidR="00307806">
        <w:t>T</w:t>
      </w:r>
      <w:r w:rsidR="002817C6" w:rsidRPr="00AC2FEB">
        <w:rPr>
          <w:lang w:val="en-GB"/>
        </w:rPr>
        <w:t>h</w:t>
      </w:r>
      <w:r w:rsidR="002817C6">
        <w:rPr>
          <w:lang w:val="en-GB"/>
        </w:rPr>
        <w:t xml:space="preserve">is model </w:t>
      </w:r>
      <w:r w:rsidR="002817C6" w:rsidRPr="00AC2FEB">
        <w:rPr>
          <w:lang w:val="en-GB"/>
        </w:rPr>
        <w:t>achieved an AUC</w:t>
      </w:r>
      <w:r w:rsidR="002817C6">
        <w:rPr>
          <w:lang w:val="en-GB"/>
        </w:rPr>
        <w:t xml:space="preserve"> (Area Under the Curve)</w:t>
      </w:r>
      <w:r w:rsidR="002817C6" w:rsidRPr="00AC2FEB">
        <w:rPr>
          <w:lang w:val="en-GB"/>
        </w:rPr>
        <w:t xml:space="preserve"> of 0.82, accuracy of 85%, sensitivity of 77%</w:t>
      </w:r>
      <w:r w:rsidR="002817C6">
        <w:rPr>
          <w:lang w:val="en-GB"/>
        </w:rPr>
        <w:t xml:space="preserve"> and</w:t>
      </w:r>
      <w:r w:rsidR="002817C6" w:rsidRPr="00AC2FEB">
        <w:rPr>
          <w:lang w:val="en-GB"/>
        </w:rPr>
        <w:t xml:space="preserve"> a specificity of 100</w:t>
      </w:r>
      <w:r w:rsidR="002817C6">
        <w:rPr>
          <w:lang w:val="en-GB"/>
        </w:rPr>
        <w:t>% for</w:t>
      </w:r>
      <w:r w:rsidR="002817C6" w:rsidRPr="00AC2FEB">
        <w:rPr>
          <w:lang w:val="en-GB"/>
        </w:rPr>
        <w:t xml:space="preserve"> </w:t>
      </w:r>
      <w:r w:rsidR="002817C6">
        <w:rPr>
          <w:lang w:val="en-GB"/>
        </w:rPr>
        <w:t>identifying ILD phenotype</w:t>
      </w:r>
      <w:r w:rsidR="002817C6" w:rsidRPr="00AC2FEB">
        <w:rPr>
          <w:lang w:val="en-GB"/>
        </w:rPr>
        <w:t>.</w:t>
      </w:r>
      <w:r w:rsidR="002817C6">
        <w:rPr>
          <w:lang w:val="en-GB"/>
        </w:rPr>
        <w:t xml:space="preserve"> Among them, four markers were also previously highlighted in our previous study</w:t>
      </w:r>
      <w:r w:rsidR="000C1DA6">
        <w:rPr>
          <w:lang w:val="en-GB"/>
        </w:rPr>
        <w:fldChar w:fldCharType="begin" w:fldLock="1"/>
      </w:r>
      <w:r w:rsidR="000C1DA6">
        <w:rPr>
          <w:lang w:val="en-GB"/>
        </w:rPr>
        <w:instrText>ADDIN CSL_CITATION {"citationItems":[{"id":"ITEM-1","itemData":{"DOI":"10.1007/S00216-021-03333-4/FIGURES/3","ISSN":"16182650","PMID":"33903944","abstract":"Systemic sclerosis is a rare autoimmune disease associated with rapidly evolving interstitial lung disease, responsible for the disease severity and mortality. Specific biomarkers enabling the early diagnosis and prognosis associated with the disease progression are highly needed. Volatile organic compounds in exhaled breath are widely available and non-invasive and have the potential to reflect metabolic processes occurring within the body. Comprehensive two-dimensional gas chromatography coupled to high-resolution mass spectrometry was used to investigate the potential of exhaled breath to diagnose systemic sclerosis. The exhaled breath of 32 patients and 30 healthy subjects was analyzed. The high resolving power of this approach enabled the detection of 356 compounds in the breath of systemic sclerosis patients, which was characterized by an increase of mainly terpenoids and hydrocarbons. In addition, the use of 4 complementary statistical approaches (two-tailed equal variance t-test, fold change, partial least squares discriminant analysis, and random forest) resulted in the identification of 16 compounds that can be used to discriminate systemic sclerosis patients from healthy subjects. Receiver operating curves were generated that provided an accuracy of 90%, a sensitivity of 92%, and a specificity of 89%. The chemical identification of eight compounds predictive of systemic sclerosis was validated using commercially available standards. The analytical variations together with the volatile composition of room air were carefully monitored during the timeframe of the study to ensure the robustness of the technique. This study represents the first reported evaluation of exhaled breath analysis for systemic sclerosis diagnosis and provides surrogate markers for such disease. Graphical abstract: [Figure not available: see fulltext.]","author":[{"dropping-particle":"","family":"Zanella","given":"Delphine","non-dropping-particle":"","parse-names":false,"suffix":""},{"dropping-particle":"","family":"Guiot","given":"Julien","non-dropping-particle":"","parse-names":false,"suffix":""},{"dropping-particle":"","family":"Stefanuto","given":"Pierre Hugues","non-dropping-particle":"","parse-names":false,"suffix":""},{"dropping-particle":"","family":"Giltay","given":"Laurie","non-dropping-particle":"","parse-names":false,"suffix":""},{"dropping-particle":"","family":"Henket","given":"Monique","non-dropping-particle":"","parse-names":false,"suffix":""},{"dropping-particle":"","family":"Guissard","given":"Françoise","non-dropping-particle":"","parse-names":false,"suffix":""},{"dropping-particle":"","family":"André","given":"Béatrice","non-dropping-particle":"","parse-names":false,"suffix":""},{"dropping-particle":"","family":"Malaise","given":"Michel","non-dropping-particle":"","parse-names":false,"suffix":""},{"dropping-particle":"","family":"Potjewijd","given":"Judith","non-dropping-particle":"","parse-names":false,"suffix":""},{"dropping-particle":"","family":"Schleich","given":"Florence","non-dropping-particle":"","parse-names":false,"suffix":""},{"dropping-particle":"","family":"Louis","given":"Renaud","non-dropping-particle":"","parse-names":false,"suffix":""},{"dropping-particle":"","family":"Focant","given":"Jean François","non-dropping-particle":"","parse-names":false,"suffix":""}],"container-title":"Analytical and Bioanalytical Chemistry","id":"ITEM-1","issue":"14","issued":{"date-parts":[["2021","6","1"]]},"page":"3813-3822","publisher":"Springer Science and Business Media Deutschland GmbH","title":"Breathomics to diagnose systemic sclerosis using thermal desorption and comprehensive two-dimensional gas chromatography high-resolution time-of-flight mass spectrometry","type":"article-journal","volume":"413"},"uris":["http://www.mendeley.com/documents/?uuid=dff2e224-cde7-3a33-b55e-5d6719dbbeba"]}],"mendeley":{"formattedCitation":"[3]","plainTextFormattedCitation":"[3]","previouslyFormattedCitation":"(3)"},"properties":{"noteIndex":0},"schema":"https://github.com/citation-style-language/schema/raw/master/csl-citation.json"}</w:instrText>
      </w:r>
      <w:r w:rsidR="000C1DA6">
        <w:rPr>
          <w:lang w:val="en-GB"/>
        </w:rPr>
        <w:fldChar w:fldCharType="separate"/>
      </w:r>
      <w:r w:rsidR="000C1DA6" w:rsidRPr="000C1DA6">
        <w:rPr>
          <w:noProof/>
          <w:lang w:val="en-GB"/>
        </w:rPr>
        <w:t>[3]</w:t>
      </w:r>
      <w:r w:rsidR="000C1DA6">
        <w:rPr>
          <w:lang w:val="en-GB"/>
        </w:rPr>
        <w:fldChar w:fldCharType="end"/>
      </w:r>
      <w:r w:rsidR="002817C6">
        <w:rPr>
          <w:lang w:val="en-GB"/>
        </w:rPr>
        <w:t>.</w:t>
      </w:r>
      <w:r w:rsidR="002817C6" w:rsidRPr="00A56FB1">
        <w:t xml:space="preserve"> </w:t>
      </w:r>
      <w:r w:rsidR="006420BB">
        <w:t xml:space="preserve">In addition, </w:t>
      </w:r>
      <w:r w:rsidR="00307806">
        <w:t>correlation between</w:t>
      </w:r>
      <w:r w:rsidR="006420BB">
        <w:t xml:space="preserve"> functional respiratory parameters and the VOCs confirm</w:t>
      </w:r>
      <w:r w:rsidR="00307806">
        <w:t>ed</w:t>
      </w:r>
      <w:r w:rsidR="006420BB">
        <w:t xml:space="preserve"> the </w:t>
      </w:r>
      <w:r w:rsidR="00307806">
        <w:t xml:space="preserve">model’s </w:t>
      </w:r>
      <w:r w:rsidR="006420BB">
        <w:t>ability</w:t>
      </w:r>
      <w:r w:rsidR="00307806">
        <w:t xml:space="preserve"> to</w:t>
      </w:r>
      <w:r w:rsidR="006420BB">
        <w:t xml:space="preserve"> classify patients</w:t>
      </w:r>
      <w:r w:rsidR="00307806">
        <w:t xml:space="preserve"> accurately</w:t>
      </w:r>
      <w:r w:rsidR="006420BB">
        <w:t>. QC and cross-validation</w:t>
      </w:r>
      <w:r w:rsidR="00F34F9E">
        <w:t xml:space="preserve"> </w:t>
      </w:r>
      <w:r w:rsidR="006420BB">
        <w:t xml:space="preserve">were </w:t>
      </w:r>
      <w:r w:rsidR="00F34F9E">
        <w:t>also conducted to exclude overfitting problems or data structure modification</w:t>
      </w:r>
      <w:r w:rsidR="0050408A" w:rsidRPr="003E76B1">
        <w:t>.</w:t>
      </w:r>
      <w:r w:rsidR="0050408A">
        <w:t xml:space="preserve"> Random feature selection and class assignment permutations were performed to rule out overfitting. </w:t>
      </w:r>
    </w:p>
    <w:p w14:paraId="56E4764A" w14:textId="4C52E33A" w:rsidR="002817C6" w:rsidRDefault="006420BB" w:rsidP="002817C6">
      <w:pPr>
        <w:jc w:val="both"/>
        <w:rPr>
          <w:lang w:val="en-GB"/>
        </w:rPr>
      </w:pPr>
      <w:r>
        <w:t>In conclusion, t</w:t>
      </w:r>
      <w:r w:rsidR="002817C6">
        <w:t xml:space="preserve">his work represents a major step </w:t>
      </w:r>
      <w:r w:rsidR="00307806">
        <w:t>in demonstrating</w:t>
      </w:r>
      <w:r w:rsidR="002817C6">
        <w:t xml:space="preserve"> the potential of </w:t>
      </w:r>
      <w:proofErr w:type="spellStart"/>
      <w:r w:rsidR="00AF119D">
        <w:t>breathomics</w:t>
      </w:r>
      <w:proofErr w:type="spellEnd"/>
      <w:r w:rsidR="00AF119D">
        <w:t xml:space="preserve"> in a clinical setting. The implementation of </w:t>
      </w:r>
      <w:r w:rsidR="00A13E52">
        <w:t xml:space="preserve">SOPs in medical centers located in two different countries </w:t>
      </w:r>
      <w:r w:rsidR="00307806">
        <w:t>facilitated a comparative analysis of breath</w:t>
      </w:r>
      <w:r w:rsidR="00A13E52">
        <w:t xml:space="preserve"> from</w:t>
      </w:r>
      <w:r w:rsidR="00307806">
        <w:t xml:space="preserve"> patients with</w:t>
      </w:r>
      <w:r w:rsidR="00A13E52">
        <w:t xml:space="preserve"> </w:t>
      </w:r>
      <w:proofErr w:type="spellStart"/>
      <w:r w:rsidR="00A13E52">
        <w:t>SSc</w:t>
      </w:r>
      <w:proofErr w:type="spellEnd"/>
      <w:r w:rsidR="00A13E52">
        <w:t xml:space="preserve"> and </w:t>
      </w:r>
      <w:proofErr w:type="spellStart"/>
      <w:r w:rsidR="00A13E52">
        <w:t>SSc</w:t>
      </w:r>
      <w:proofErr w:type="spellEnd"/>
      <w:r w:rsidR="00A13E52">
        <w:t xml:space="preserve">-ILD. </w:t>
      </w:r>
      <w:r w:rsidR="00B000C7">
        <w:t>T</w:t>
      </w:r>
      <w:r w:rsidR="00B000C7">
        <w:rPr>
          <w:lang w:val="en-GB"/>
        </w:rPr>
        <w:t>he discovery of potential markers contributes to a better understanding of the disease and metabolic pathways involved</w:t>
      </w:r>
      <w:r w:rsidR="003D1F50">
        <w:rPr>
          <w:lang w:val="en-GB"/>
        </w:rPr>
        <w:t>,</w:t>
      </w:r>
      <w:r w:rsidR="00307806">
        <w:rPr>
          <w:lang w:val="en-GB"/>
        </w:rPr>
        <w:t xml:space="preserve"> offering the prospect of </w:t>
      </w:r>
      <w:r w:rsidR="003D1F50">
        <w:rPr>
          <w:lang w:val="en-GB"/>
        </w:rPr>
        <w:t xml:space="preserve">rapid </w:t>
      </w:r>
      <w:r w:rsidR="00307806">
        <w:rPr>
          <w:lang w:val="en-GB"/>
        </w:rPr>
        <w:t>targeted treatments for ILD patients</w:t>
      </w:r>
      <w:r w:rsidR="00B000C7">
        <w:rPr>
          <w:lang w:val="en-GB"/>
        </w:rPr>
        <w:t xml:space="preserve">. </w:t>
      </w:r>
      <w:r w:rsidR="003D1F50">
        <w:t xml:space="preserve">The multicentric design provided valuable insights into the robustness of our analytical methods, contributing to the development of guidelines and SOPs for larger exhaled breath studies. This marks a significant stride towards integrating </w:t>
      </w:r>
      <w:proofErr w:type="spellStart"/>
      <w:r w:rsidR="003D1F50">
        <w:t>breathomics</w:t>
      </w:r>
      <w:proofErr w:type="spellEnd"/>
      <w:r w:rsidR="003D1F50">
        <w:t xml:space="preserve"> into clinical settings</w:t>
      </w:r>
      <w:r w:rsidR="00B000C7">
        <w:rPr>
          <w:lang w:val="en-GB"/>
        </w:rPr>
        <w:t>.</w:t>
      </w:r>
    </w:p>
    <w:p w14:paraId="226BDF53" w14:textId="77777777" w:rsidR="003D1F50" w:rsidRDefault="003D1F50" w:rsidP="002817C6">
      <w:pPr>
        <w:jc w:val="both"/>
        <w:rPr>
          <w:lang w:val="en-GB"/>
        </w:rPr>
      </w:pPr>
    </w:p>
    <w:p w14:paraId="7249332E" w14:textId="46D9D9D2" w:rsidR="00B000C7" w:rsidRPr="000C1DA6" w:rsidRDefault="00B000C7" w:rsidP="002817C6">
      <w:pPr>
        <w:jc w:val="both"/>
        <w:rPr>
          <w:b/>
          <w:bCs/>
          <w:highlight w:val="magenta"/>
        </w:rPr>
      </w:pPr>
      <w:r w:rsidRPr="000C1DA6">
        <w:rPr>
          <w:b/>
          <w:bCs/>
        </w:rPr>
        <w:t>Bibliography</w:t>
      </w:r>
    </w:p>
    <w:p w14:paraId="6BEA2A01" w14:textId="543E8D25" w:rsidR="000C1DA6" w:rsidRPr="000C1DA6" w:rsidRDefault="000C1DA6" w:rsidP="000C1DA6">
      <w:pPr>
        <w:widowControl w:val="0"/>
        <w:autoSpaceDE w:val="0"/>
        <w:autoSpaceDN w:val="0"/>
        <w:adjustRightInd w:val="0"/>
        <w:spacing w:line="240" w:lineRule="auto"/>
        <w:ind w:left="640" w:hanging="640"/>
        <w:rPr>
          <w:rFonts w:ascii="Calibri" w:hAnsi="Calibri" w:cs="Calibri"/>
          <w:noProof/>
          <w:kern w:val="0"/>
          <w:sz w:val="20"/>
          <w:szCs w:val="24"/>
        </w:rPr>
      </w:pPr>
      <w:r>
        <w:rPr>
          <w:rFonts w:ascii="Calibri" w:hAnsi="Calibri" w:cs="Calibri"/>
          <w:noProof/>
          <w:sz w:val="20"/>
          <w:highlight w:val="magenta"/>
        </w:rPr>
        <w:fldChar w:fldCharType="begin" w:fldLock="1"/>
      </w:r>
      <w:r>
        <w:rPr>
          <w:rFonts w:ascii="Calibri" w:hAnsi="Calibri" w:cs="Calibri"/>
          <w:noProof/>
          <w:sz w:val="20"/>
          <w:highlight w:val="magenta"/>
        </w:rPr>
        <w:instrText xml:space="preserve">ADDIN Mendeley Bibliography CSL_BIBLIOGRAPHY </w:instrText>
      </w:r>
      <w:r>
        <w:rPr>
          <w:rFonts w:ascii="Calibri" w:hAnsi="Calibri" w:cs="Calibri"/>
          <w:noProof/>
          <w:sz w:val="20"/>
          <w:highlight w:val="magenta"/>
        </w:rPr>
        <w:fldChar w:fldCharType="separate"/>
      </w:r>
      <w:r w:rsidRPr="000C1DA6">
        <w:rPr>
          <w:rFonts w:ascii="Calibri" w:hAnsi="Calibri" w:cs="Calibri"/>
          <w:noProof/>
          <w:kern w:val="0"/>
          <w:sz w:val="20"/>
          <w:szCs w:val="24"/>
        </w:rPr>
        <w:t>[1]</w:t>
      </w:r>
      <w:r w:rsidRPr="000C1DA6">
        <w:rPr>
          <w:rFonts w:ascii="Calibri" w:hAnsi="Calibri" w:cs="Calibri"/>
          <w:noProof/>
          <w:kern w:val="0"/>
          <w:sz w:val="20"/>
          <w:szCs w:val="24"/>
        </w:rPr>
        <w:tab/>
        <w:t xml:space="preserve">B. Henderson </w:t>
      </w:r>
      <w:r w:rsidRPr="000C1DA6">
        <w:rPr>
          <w:rFonts w:ascii="Calibri" w:hAnsi="Calibri" w:cs="Calibri"/>
          <w:i/>
          <w:iCs/>
          <w:noProof/>
          <w:kern w:val="0"/>
          <w:sz w:val="20"/>
          <w:szCs w:val="24"/>
        </w:rPr>
        <w:t>et al.</w:t>
      </w:r>
      <w:r w:rsidRPr="000C1DA6">
        <w:rPr>
          <w:rFonts w:ascii="Calibri" w:hAnsi="Calibri" w:cs="Calibri"/>
          <w:noProof/>
          <w:kern w:val="0"/>
          <w:sz w:val="20"/>
          <w:szCs w:val="24"/>
        </w:rPr>
        <w:t xml:space="preserve">, “A benchmarking protocol for breath analysis: the peppermint experiment,” </w:t>
      </w:r>
      <w:r w:rsidRPr="000C1DA6">
        <w:rPr>
          <w:rFonts w:ascii="Calibri" w:hAnsi="Calibri" w:cs="Calibri"/>
          <w:i/>
          <w:iCs/>
          <w:noProof/>
          <w:kern w:val="0"/>
          <w:sz w:val="20"/>
          <w:szCs w:val="24"/>
        </w:rPr>
        <w:t>J. Breath Res.</w:t>
      </w:r>
      <w:r w:rsidRPr="000C1DA6">
        <w:rPr>
          <w:rFonts w:ascii="Calibri" w:hAnsi="Calibri" w:cs="Calibri"/>
          <w:noProof/>
          <w:kern w:val="0"/>
          <w:sz w:val="20"/>
          <w:szCs w:val="24"/>
        </w:rPr>
        <w:t>, vol. 14, no. 4, p. 046008, Jul. 2020, doi: 10.1088/1752-7163/ABA130.</w:t>
      </w:r>
    </w:p>
    <w:p w14:paraId="115A66B2" w14:textId="77777777" w:rsidR="000C1DA6" w:rsidRPr="000C1DA6" w:rsidRDefault="000C1DA6" w:rsidP="000C1DA6">
      <w:pPr>
        <w:widowControl w:val="0"/>
        <w:autoSpaceDE w:val="0"/>
        <w:autoSpaceDN w:val="0"/>
        <w:adjustRightInd w:val="0"/>
        <w:spacing w:line="240" w:lineRule="auto"/>
        <w:ind w:left="640" w:hanging="640"/>
        <w:rPr>
          <w:rFonts w:ascii="Calibri" w:hAnsi="Calibri" w:cs="Calibri"/>
          <w:noProof/>
          <w:kern w:val="0"/>
          <w:sz w:val="20"/>
          <w:szCs w:val="24"/>
        </w:rPr>
      </w:pPr>
      <w:r w:rsidRPr="000C1DA6">
        <w:rPr>
          <w:rFonts w:ascii="Calibri" w:hAnsi="Calibri" w:cs="Calibri"/>
          <w:noProof/>
          <w:kern w:val="0"/>
          <w:sz w:val="20"/>
          <w:szCs w:val="24"/>
        </w:rPr>
        <w:t>[2]</w:t>
      </w:r>
      <w:r w:rsidRPr="000C1DA6">
        <w:rPr>
          <w:rFonts w:ascii="Calibri" w:hAnsi="Calibri" w:cs="Calibri"/>
          <w:noProof/>
          <w:kern w:val="0"/>
          <w:sz w:val="20"/>
          <w:szCs w:val="24"/>
        </w:rPr>
        <w:tab/>
        <w:t xml:space="preserve">F. N. Schleich </w:t>
      </w:r>
      <w:r w:rsidRPr="000C1DA6">
        <w:rPr>
          <w:rFonts w:ascii="Calibri" w:hAnsi="Calibri" w:cs="Calibri"/>
          <w:i/>
          <w:iCs/>
          <w:noProof/>
          <w:kern w:val="0"/>
          <w:sz w:val="20"/>
          <w:szCs w:val="24"/>
        </w:rPr>
        <w:t>et al.</w:t>
      </w:r>
      <w:r w:rsidRPr="000C1DA6">
        <w:rPr>
          <w:rFonts w:ascii="Calibri" w:hAnsi="Calibri" w:cs="Calibri"/>
          <w:noProof/>
          <w:kern w:val="0"/>
          <w:sz w:val="20"/>
          <w:szCs w:val="24"/>
        </w:rPr>
        <w:t xml:space="preserve">, “Exhaled volatile organic compounds are able to discriminate between neutrophilic and eosinophilic asthma,” </w:t>
      </w:r>
      <w:r w:rsidRPr="000C1DA6">
        <w:rPr>
          <w:rFonts w:ascii="Calibri" w:hAnsi="Calibri" w:cs="Calibri"/>
          <w:i/>
          <w:iCs/>
          <w:noProof/>
          <w:kern w:val="0"/>
          <w:sz w:val="20"/>
          <w:szCs w:val="24"/>
        </w:rPr>
        <w:t>Am. J. Respir. Crit. Care Med.</w:t>
      </w:r>
      <w:r w:rsidRPr="000C1DA6">
        <w:rPr>
          <w:rFonts w:ascii="Calibri" w:hAnsi="Calibri" w:cs="Calibri"/>
          <w:noProof/>
          <w:kern w:val="0"/>
          <w:sz w:val="20"/>
          <w:szCs w:val="24"/>
        </w:rPr>
        <w:t>, vol. 200, no. 4, pp. 444–453, Aug. 2019, doi: 10.1164/RCCM.201811-2210OC/SUPPL_FILE/DISCLOSURES.PDF.</w:t>
      </w:r>
    </w:p>
    <w:p w14:paraId="542277BB" w14:textId="77777777" w:rsidR="000C1DA6" w:rsidRPr="000C1DA6" w:rsidRDefault="000C1DA6" w:rsidP="000C1DA6">
      <w:pPr>
        <w:widowControl w:val="0"/>
        <w:autoSpaceDE w:val="0"/>
        <w:autoSpaceDN w:val="0"/>
        <w:adjustRightInd w:val="0"/>
        <w:spacing w:line="240" w:lineRule="auto"/>
        <w:ind w:left="640" w:hanging="640"/>
        <w:rPr>
          <w:rFonts w:ascii="Calibri" w:hAnsi="Calibri" w:cs="Calibri"/>
          <w:noProof/>
          <w:sz w:val="20"/>
        </w:rPr>
      </w:pPr>
      <w:r w:rsidRPr="000C1DA6">
        <w:rPr>
          <w:rFonts w:ascii="Calibri" w:hAnsi="Calibri" w:cs="Calibri"/>
          <w:noProof/>
          <w:kern w:val="0"/>
          <w:sz w:val="20"/>
          <w:szCs w:val="24"/>
        </w:rPr>
        <w:t>[3]</w:t>
      </w:r>
      <w:r w:rsidRPr="000C1DA6">
        <w:rPr>
          <w:rFonts w:ascii="Calibri" w:hAnsi="Calibri" w:cs="Calibri"/>
          <w:noProof/>
          <w:kern w:val="0"/>
          <w:sz w:val="20"/>
          <w:szCs w:val="24"/>
        </w:rPr>
        <w:tab/>
        <w:t xml:space="preserve">D. Zanella </w:t>
      </w:r>
      <w:r w:rsidRPr="000C1DA6">
        <w:rPr>
          <w:rFonts w:ascii="Calibri" w:hAnsi="Calibri" w:cs="Calibri"/>
          <w:i/>
          <w:iCs/>
          <w:noProof/>
          <w:kern w:val="0"/>
          <w:sz w:val="20"/>
          <w:szCs w:val="24"/>
        </w:rPr>
        <w:t>et al.</w:t>
      </w:r>
      <w:r w:rsidRPr="000C1DA6">
        <w:rPr>
          <w:rFonts w:ascii="Calibri" w:hAnsi="Calibri" w:cs="Calibri"/>
          <w:noProof/>
          <w:kern w:val="0"/>
          <w:sz w:val="20"/>
          <w:szCs w:val="24"/>
        </w:rPr>
        <w:t xml:space="preserve">, “Breathomics to diagnose systemic sclerosis using thermal desorption and comprehensive two-dimensional gas chromatography high-resolution time-of-flight mass spectrometry,” </w:t>
      </w:r>
      <w:r w:rsidRPr="000C1DA6">
        <w:rPr>
          <w:rFonts w:ascii="Calibri" w:hAnsi="Calibri" w:cs="Calibri"/>
          <w:i/>
          <w:iCs/>
          <w:noProof/>
          <w:kern w:val="0"/>
          <w:sz w:val="20"/>
          <w:szCs w:val="24"/>
        </w:rPr>
        <w:t>Anal. Bioanal. Chem.</w:t>
      </w:r>
      <w:r w:rsidRPr="000C1DA6">
        <w:rPr>
          <w:rFonts w:ascii="Calibri" w:hAnsi="Calibri" w:cs="Calibri"/>
          <w:noProof/>
          <w:kern w:val="0"/>
          <w:sz w:val="20"/>
          <w:szCs w:val="24"/>
        </w:rPr>
        <w:t>, vol. 413, no. 14, pp. 3813–3822, Jun. 2021, doi: 10.1007/S00216-021-03333-4/FIGURES/3.</w:t>
      </w:r>
    </w:p>
    <w:p w14:paraId="3487AEBA" w14:textId="1DAC0C2C" w:rsidR="00676E2F" w:rsidRDefault="000C1DA6" w:rsidP="004E4A94">
      <w:r>
        <w:rPr>
          <w:rFonts w:ascii="Calibri" w:hAnsi="Calibri" w:cs="Calibri"/>
          <w:noProof/>
          <w:sz w:val="20"/>
          <w:highlight w:val="magenta"/>
        </w:rPr>
        <w:fldChar w:fldCharType="end"/>
      </w:r>
    </w:p>
    <w:sectPr w:rsidR="00676E2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41D68"/>
    <w:multiLevelType w:val="hybridMultilevel"/>
    <w:tmpl w:val="018C9EF0"/>
    <w:lvl w:ilvl="0" w:tplc="9434076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96F84"/>
    <w:multiLevelType w:val="hybridMultilevel"/>
    <w:tmpl w:val="46E08986"/>
    <w:lvl w:ilvl="0" w:tplc="4D843352">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03700"/>
    <w:multiLevelType w:val="hybridMultilevel"/>
    <w:tmpl w:val="85FCBA14"/>
    <w:lvl w:ilvl="0" w:tplc="65DC3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C356F"/>
    <w:multiLevelType w:val="hybridMultilevel"/>
    <w:tmpl w:val="018C9EF0"/>
    <w:lvl w:ilvl="0" w:tplc="FFFFFFFF">
      <w:start w:val="1"/>
      <w:numFmt w:val="decimal"/>
      <w:lvlText w:val="%1."/>
      <w:lvlJc w:val="left"/>
      <w:pPr>
        <w:ind w:left="1005" w:hanging="64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8357139">
    <w:abstractNumId w:val="0"/>
  </w:num>
  <w:num w:numId="2" w16cid:durableId="608195657">
    <w:abstractNumId w:val="3"/>
  </w:num>
  <w:num w:numId="3" w16cid:durableId="1102796823">
    <w:abstractNumId w:val="1"/>
  </w:num>
  <w:num w:numId="4" w16cid:durableId="16725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C6"/>
    <w:rsid w:val="00003CBD"/>
    <w:rsid w:val="00084C4C"/>
    <w:rsid w:val="00086883"/>
    <w:rsid w:val="00094802"/>
    <w:rsid w:val="000949D2"/>
    <w:rsid w:val="00096E31"/>
    <w:rsid w:val="000B5A2E"/>
    <w:rsid w:val="000C1DA6"/>
    <w:rsid w:val="000C7513"/>
    <w:rsid w:val="000F12BF"/>
    <w:rsid w:val="00111120"/>
    <w:rsid w:val="00120BE5"/>
    <w:rsid w:val="0018745B"/>
    <w:rsid w:val="0019775B"/>
    <w:rsid w:val="001E707A"/>
    <w:rsid w:val="002210A5"/>
    <w:rsid w:val="00224DA5"/>
    <w:rsid w:val="002348B9"/>
    <w:rsid w:val="00244900"/>
    <w:rsid w:val="00274077"/>
    <w:rsid w:val="0027756A"/>
    <w:rsid w:val="002817C6"/>
    <w:rsid w:val="002C73FF"/>
    <w:rsid w:val="00307806"/>
    <w:rsid w:val="00323EF3"/>
    <w:rsid w:val="00373D9A"/>
    <w:rsid w:val="003B051C"/>
    <w:rsid w:val="003D1F50"/>
    <w:rsid w:val="00407BF7"/>
    <w:rsid w:val="0042705D"/>
    <w:rsid w:val="004350D8"/>
    <w:rsid w:val="004E3C3F"/>
    <w:rsid w:val="004E4A94"/>
    <w:rsid w:val="00503283"/>
    <w:rsid w:val="0050408A"/>
    <w:rsid w:val="00523AAE"/>
    <w:rsid w:val="005326DF"/>
    <w:rsid w:val="005520BB"/>
    <w:rsid w:val="00577530"/>
    <w:rsid w:val="005833B7"/>
    <w:rsid w:val="00592A5E"/>
    <w:rsid w:val="00596ABC"/>
    <w:rsid w:val="005A0212"/>
    <w:rsid w:val="005D218E"/>
    <w:rsid w:val="005F1507"/>
    <w:rsid w:val="005F1F69"/>
    <w:rsid w:val="00621B33"/>
    <w:rsid w:val="006420BB"/>
    <w:rsid w:val="00676E2F"/>
    <w:rsid w:val="006A19A8"/>
    <w:rsid w:val="006E615C"/>
    <w:rsid w:val="006F4122"/>
    <w:rsid w:val="00716260"/>
    <w:rsid w:val="00764CC2"/>
    <w:rsid w:val="0079281B"/>
    <w:rsid w:val="007B6AE1"/>
    <w:rsid w:val="007F68D8"/>
    <w:rsid w:val="0080147A"/>
    <w:rsid w:val="0081396F"/>
    <w:rsid w:val="0081648E"/>
    <w:rsid w:val="008B7270"/>
    <w:rsid w:val="008E1EE6"/>
    <w:rsid w:val="008F1A94"/>
    <w:rsid w:val="00915A19"/>
    <w:rsid w:val="00953EE5"/>
    <w:rsid w:val="009912F7"/>
    <w:rsid w:val="009B1D5E"/>
    <w:rsid w:val="009E009A"/>
    <w:rsid w:val="009E3206"/>
    <w:rsid w:val="009E5A86"/>
    <w:rsid w:val="009E74C3"/>
    <w:rsid w:val="009F7539"/>
    <w:rsid w:val="00A13E52"/>
    <w:rsid w:val="00A13EC2"/>
    <w:rsid w:val="00A40BBB"/>
    <w:rsid w:val="00A60733"/>
    <w:rsid w:val="00A80B7B"/>
    <w:rsid w:val="00A8221C"/>
    <w:rsid w:val="00AA77D7"/>
    <w:rsid w:val="00AD4A8D"/>
    <w:rsid w:val="00AF119D"/>
    <w:rsid w:val="00B000C7"/>
    <w:rsid w:val="00B70C62"/>
    <w:rsid w:val="00BA6270"/>
    <w:rsid w:val="00C03941"/>
    <w:rsid w:val="00C36920"/>
    <w:rsid w:val="00CA489E"/>
    <w:rsid w:val="00CD1073"/>
    <w:rsid w:val="00CD4FD4"/>
    <w:rsid w:val="00CE454B"/>
    <w:rsid w:val="00D02A6E"/>
    <w:rsid w:val="00D13340"/>
    <w:rsid w:val="00D618F8"/>
    <w:rsid w:val="00D92739"/>
    <w:rsid w:val="00D97741"/>
    <w:rsid w:val="00DB17BA"/>
    <w:rsid w:val="00DB2853"/>
    <w:rsid w:val="00E17177"/>
    <w:rsid w:val="00E37A67"/>
    <w:rsid w:val="00E544A7"/>
    <w:rsid w:val="00EE72CE"/>
    <w:rsid w:val="00EF5A67"/>
    <w:rsid w:val="00F1197E"/>
    <w:rsid w:val="00F170D6"/>
    <w:rsid w:val="00F34F9E"/>
    <w:rsid w:val="00F46DB1"/>
    <w:rsid w:val="00F602EC"/>
    <w:rsid w:val="00FA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A42E"/>
  <w15:chartTrackingRefBased/>
  <w15:docId w15:val="{5133674C-F3CE-4254-8A6E-7EF192E3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17C6"/>
    <w:pPr>
      <w:spacing w:after="0" w:line="240" w:lineRule="auto"/>
      <w:contextualSpacing/>
    </w:pPr>
    <w:rPr>
      <w:rFonts w:asciiTheme="majorHAnsi" w:eastAsiaTheme="majorEastAsia" w:hAnsiTheme="majorHAnsi" w:cstheme="majorBidi"/>
      <w:spacing w:val="-10"/>
      <w:kern w:val="28"/>
      <w:sz w:val="56"/>
      <w:szCs w:val="56"/>
      <w:lang w:val="fr-BE"/>
      <w14:ligatures w14:val="none"/>
    </w:rPr>
  </w:style>
  <w:style w:type="character" w:customStyle="1" w:styleId="TitreCar">
    <w:name w:val="Titre Car"/>
    <w:basedOn w:val="Policepardfaut"/>
    <w:link w:val="Titre"/>
    <w:uiPriority w:val="10"/>
    <w:rsid w:val="002817C6"/>
    <w:rPr>
      <w:rFonts w:asciiTheme="majorHAnsi" w:eastAsiaTheme="majorEastAsia" w:hAnsiTheme="majorHAnsi" w:cstheme="majorBidi"/>
      <w:spacing w:val="-10"/>
      <w:kern w:val="28"/>
      <w:sz w:val="56"/>
      <w:szCs w:val="56"/>
      <w:lang w:val="fr-BE"/>
      <w14:ligatures w14:val="none"/>
    </w:rPr>
  </w:style>
  <w:style w:type="paragraph" w:styleId="Paragraphedeliste">
    <w:name w:val="List Paragraph"/>
    <w:basedOn w:val="Normal"/>
    <w:uiPriority w:val="34"/>
    <w:qFormat/>
    <w:rsid w:val="005A0212"/>
    <w:pPr>
      <w:ind w:left="720"/>
      <w:contextualSpacing/>
    </w:pPr>
  </w:style>
  <w:style w:type="paragraph" w:styleId="Rvision">
    <w:name w:val="Revision"/>
    <w:hidden/>
    <w:uiPriority w:val="99"/>
    <w:semiHidden/>
    <w:rsid w:val="00CE454B"/>
    <w:pPr>
      <w:spacing w:after="0" w:line="240" w:lineRule="auto"/>
    </w:pPr>
  </w:style>
  <w:style w:type="character" w:styleId="Marquedecommentaire">
    <w:name w:val="annotation reference"/>
    <w:basedOn w:val="Policepardfaut"/>
    <w:uiPriority w:val="99"/>
    <w:semiHidden/>
    <w:unhideWhenUsed/>
    <w:rsid w:val="00CE454B"/>
    <w:rPr>
      <w:sz w:val="16"/>
      <w:szCs w:val="16"/>
    </w:rPr>
  </w:style>
  <w:style w:type="paragraph" w:styleId="Commentaire">
    <w:name w:val="annotation text"/>
    <w:basedOn w:val="Normal"/>
    <w:link w:val="CommentaireCar"/>
    <w:uiPriority w:val="99"/>
    <w:semiHidden/>
    <w:unhideWhenUsed/>
    <w:rsid w:val="00CE454B"/>
    <w:pPr>
      <w:spacing w:line="240" w:lineRule="auto"/>
    </w:pPr>
    <w:rPr>
      <w:sz w:val="20"/>
      <w:szCs w:val="20"/>
    </w:rPr>
  </w:style>
  <w:style w:type="character" w:customStyle="1" w:styleId="CommentaireCar">
    <w:name w:val="Commentaire Car"/>
    <w:basedOn w:val="Policepardfaut"/>
    <w:link w:val="Commentaire"/>
    <w:uiPriority w:val="99"/>
    <w:semiHidden/>
    <w:rsid w:val="00CE454B"/>
    <w:rPr>
      <w:sz w:val="20"/>
      <w:szCs w:val="20"/>
    </w:rPr>
  </w:style>
  <w:style w:type="paragraph" w:styleId="Objetducommentaire">
    <w:name w:val="annotation subject"/>
    <w:basedOn w:val="Commentaire"/>
    <w:next w:val="Commentaire"/>
    <w:link w:val="ObjetducommentaireCar"/>
    <w:uiPriority w:val="99"/>
    <w:semiHidden/>
    <w:unhideWhenUsed/>
    <w:rsid w:val="00CE454B"/>
    <w:rPr>
      <w:b/>
      <w:bCs/>
    </w:rPr>
  </w:style>
  <w:style w:type="character" w:customStyle="1" w:styleId="ObjetducommentaireCar">
    <w:name w:val="Objet du commentaire Car"/>
    <w:basedOn w:val="CommentaireCar"/>
    <w:link w:val="Objetducommentaire"/>
    <w:uiPriority w:val="99"/>
    <w:semiHidden/>
    <w:rsid w:val="00CE4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56531">
      <w:bodyDiv w:val="1"/>
      <w:marLeft w:val="0"/>
      <w:marRight w:val="0"/>
      <w:marTop w:val="0"/>
      <w:marBottom w:val="0"/>
      <w:divBdr>
        <w:top w:val="none" w:sz="0" w:space="0" w:color="auto"/>
        <w:left w:val="none" w:sz="0" w:space="0" w:color="auto"/>
        <w:bottom w:val="none" w:sz="0" w:space="0" w:color="auto"/>
        <w:right w:val="none" w:sz="0" w:space="0" w:color="auto"/>
      </w:divBdr>
      <w:divsChild>
        <w:div w:id="54132742">
          <w:marLeft w:val="0"/>
          <w:marRight w:val="0"/>
          <w:marTop w:val="0"/>
          <w:marBottom w:val="0"/>
          <w:divBdr>
            <w:top w:val="none" w:sz="0" w:space="0" w:color="auto"/>
            <w:left w:val="none" w:sz="0" w:space="0" w:color="auto"/>
            <w:bottom w:val="none" w:sz="0" w:space="0" w:color="auto"/>
            <w:right w:val="none" w:sz="0" w:space="0" w:color="auto"/>
          </w:divBdr>
        </w:div>
        <w:div w:id="1731659747">
          <w:marLeft w:val="0"/>
          <w:marRight w:val="0"/>
          <w:marTop w:val="0"/>
          <w:marBottom w:val="0"/>
          <w:divBdr>
            <w:top w:val="none" w:sz="0" w:space="0" w:color="auto"/>
            <w:left w:val="none" w:sz="0" w:space="0" w:color="auto"/>
            <w:bottom w:val="none" w:sz="0" w:space="0" w:color="auto"/>
            <w:right w:val="none" w:sz="0" w:space="0" w:color="auto"/>
          </w:divBdr>
        </w:div>
        <w:div w:id="409934253">
          <w:marLeft w:val="0"/>
          <w:marRight w:val="0"/>
          <w:marTop w:val="0"/>
          <w:marBottom w:val="0"/>
          <w:divBdr>
            <w:top w:val="none" w:sz="0" w:space="0" w:color="auto"/>
            <w:left w:val="none" w:sz="0" w:space="0" w:color="auto"/>
            <w:bottom w:val="none" w:sz="0" w:space="0" w:color="auto"/>
            <w:right w:val="none" w:sz="0" w:space="0" w:color="auto"/>
          </w:divBdr>
        </w:div>
        <w:div w:id="2141259034">
          <w:marLeft w:val="0"/>
          <w:marRight w:val="0"/>
          <w:marTop w:val="0"/>
          <w:marBottom w:val="0"/>
          <w:divBdr>
            <w:top w:val="none" w:sz="0" w:space="0" w:color="auto"/>
            <w:left w:val="none" w:sz="0" w:space="0" w:color="auto"/>
            <w:bottom w:val="none" w:sz="0" w:space="0" w:color="auto"/>
            <w:right w:val="none" w:sz="0" w:space="0" w:color="auto"/>
          </w:divBdr>
        </w:div>
        <w:div w:id="811169685">
          <w:marLeft w:val="0"/>
          <w:marRight w:val="0"/>
          <w:marTop w:val="0"/>
          <w:marBottom w:val="0"/>
          <w:divBdr>
            <w:top w:val="none" w:sz="0" w:space="0" w:color="auto"/>
            <w:left w:val="none" w:sz="0" w:space="0" w:color="auto"/>
            <w:bottom w:val="none" w:sz="0" w:space="0" w:color="auto"/>
            <w:right w:val="none" w:sz="0" w:space="0" w:color="auto"/>
          </w:divBdr>
        </w:div>
        <w:div w:id="971711030">
          <w:marLeft w:val="0"/>
          <w:marRight w:val="0"/>
          <w:marTop w:val="0"/>
          <w:marBottom w:val="0"/>
          <w:divBdr>
            <w:top w:val="none" w:sz="0" w:space="0" w:color="auto"/>
            <w:left w:val="none" w:sz="0" w:space="0" w:color="auto"/>
            <w:bottom w:val="none" w:sz="0" w:space="0" w:color="auto"/>
            <w:right w:val="none" w:sz="0" w:space="0" w:color="auto"/>
          </w:divBdr>
        </w:div>
        <w:div w:id="291522729">
          <w:marLeft w:val="0"/>
          <w:marRight w:val="0"/>
          <w:marTop w:val="0"/>
          <w:marBottom w:val="0"/>
          <w:divBdr>
            <w:top w:val="none" w:sz="0" w:space="0" w:color="auto"/>
            <w:left w:val="none" w:sz="0" w:space="0" w:color="auto"/>
            <w:bottom w:val="none" w:sz="0" w:space="0" w:color="auto"/>
            <w:right w:val="none" w:sz="0" w:space="0" w:color="auto"/>
          </w:divBdr>
        </w:div>
      </w:divsChild>
    </w:div>
    <w:div w:id="1373965459">
      <w:bodyDiv w:val="1"/>
      <w:marLeft w:val="0"/>
      <w:marRight w:val="0"/>
      <w:marTop w:val="0"/>
      <w:marBottom w:val="0"/>
      <w:divBdr>
        <w:top w:val="none" w:sz="0" w:space="0" w:color="auto"/>
        <w:left w:val="none" w:sz="0" w:space="0" w:color="auto"/>
        <w:bottom w:val="none" w:sz="0" w:space="0" w:color="auto"/>
        <w:right w:val="none" w:sz="0" w:space="0" w:color="auto"/>
      </w:divBdr>
    </w:div>
    <w:div w:id="20339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8782-8EA0-41DF-88B3-825FF66A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7211</TotalTime>
  <Pages>2</Pages>
  <Words>3124</Words>
  <Characters>17807</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ULg - Faculté des Sciences</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Massenet Thibault</dc:creator>
  <cp:keywords/>
  <dc:description/>
  <cp:lastModifiedBy>Massenet Thibault</cp:lastModifiedBy>
  <cp:revision>4</cp:revision>
  <cp:lastPrinted>2024-01-12T15:13:00Z</cp:lastPrinted>
  <dcterms:created xsi:type="dcterms:W3CDTF">2024-01-12T10:28:00Z</dcterms:created>
  <dcterms:modified xsi:type="dcterms:W3CDTF">2024-01-17T10:30:00Z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9a807524-c83b-34cc-9700-7d3d43cb6e71</vt:lpwstr>
  </property>
  <property fmtid="{D5CDD505-2E9C-101B-9397-08002B2CF9AE}" pid="24" name="Mendeley Citation Style_1">
    <vt:lpwstr>http://www.zotero.org/styles/ieee</vt:lpwstr>
  </property>
</Properties>
</file>