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16D40" w14:textId="63652324" w:rsidR="005E6910" w:rsidRPr="00104A93" w:rsidRDefault="005E6910" w:rsidP="009E61C9">
      <w:pPr>
        <w:jc w:val="center"/>
        <w:rPr>
          <w:rFonts w:ascii="Garamond" w:hAnsi="Garamond"/>
          <w:b/>
          <w:bCs/>
          <w:sz w:val="26"/>
          <w:szCs w:val="26"/>
        </w:rPr>
      </w:pPr>
      <w:bookmarkStart w:id="0" w:name="_Hlk152739295"/>
      <w:r w:rsidRPr="00104A93">
        <w:rPr>
          <w:rFonts w:ascii="Garamond" w:hAnsi="Garamond"/>
          <w:b/>
          <w:bCs/>
          <w:sz w:val="26"/>
          <w:szCs w:val="26"/>
        </w:rPr>
        <w:t xml:space="preserve">Indicateurs de dépendance sur base de l’enquête SHARE : réflexions sur l’espérance de vie </w:t>
      </w:r>
      <w:r w:rsidR="00EE364A" w:rsidRPr="00104A93">
        <w:rPr>
          <w:rFonts w:ascii="Garamond" w:hAnsi="Garamond"/>
          <w:b/>
          <w:bCs/>
          <w:sz w:val="26"/>
          <w:szCs w:val="26"/>
        </w:rPr>
        <w:t>en bonne santé</w:t>
      </w:r>
    </w:p>
    <w:p w14:paraId="41F54BC2" w14:textId="77777777" w:rsidR="005E6910" w:rsidRPr="009E61C9" w:rsidRDefault="005E6910" w:rsidP="009E61C9">
      <w:pPr>
        <w:jc w:val="center"/>
        <w:rPr>
          <w:rFonts w:ascii="Garamond" w:hAnsi="Garamond"/>
          <w:sz w:val="22"/>
          <w:szCs w:val="22"/>
        </w:rPr>
      </w:pPr>
    </w:p>
    <w:p w14:paraId="1CF5207A" w14:textId="329D9B8E" w:rsidR="009E61C9" w:rsidRPr="003604FF" w:rsidRDefault="007478D1" w:rsidP="009E61C9">
      <w:pPr>
        <w:jc w:val="center"/>
        <w:rPr>
          <w:rFonts w:ascii="Garamond" w:hAnsi="Garamond"/>
          <w:sz w:val="22"/>
          <w:szCs w:val="22"/>
          <w:lang w:val="en-GB"/>
        </w:rPr>
      </w:pPr>
      <w:r w:rsidRPr="003604FF">
        <w:rPr>
          <w:rFonts w:ascii="Garamond" w:hAnsi="Garamond"/>
          <w:smallCaps/>
          <w:sz w:val="22"/>
          <w:szCs w:val="22"/>
          <w:lang w:val="en-GB"/>
        </w:rPr>
        <w:t xml:space="preserve">Xavier </w:t>
      </w:r>
      <w:r w:rsidR="00676046" w:rsidRPr="003604FF">
        <w:rPr>
          <w:rFonts w:ascii="Garamond" w:hAnsi="Garamond"/>
          <w:sz w:val="22"/>
          <w:szCs w:val="22"/>
          <w:lang w:val="en-GB"/>
        </w:rPr>
        <w:t>FLAWINNE</w:t>
      </w:r>
      <w:r w:rsidR="009E61C9" w:rsidRPr="003604FF">
        <w:rPr>
          <w:rStyle w:val="Appelnotedebasdep"/>
          <w:rFonts w:ascii="Garamond" w:hAnsi="Garamond"/>
          <w:sz w:val="22"/>
          <w:szCs w:val="22"/>
          <w:lang w:val="en-GB"/>
        </w:rPr>
        <w:footnoteReference w:customMarkFollows="1" w:id="1"/>
        <w:t>*</w:t>
      </w:r>
    </w:p>
    <w:p w14:paraId="156B6D9B" w14:textId="681FDEDC" w:rsidR="007478D1" w:rsidRPr="003604FF" w:rsidRDefault="007478D1" w:rsidP="009E61C9">
      <w:pPr>
        <w:jc w:val="center"/>
        <w:rPr>
          <w:rFonts w:ascii="Garamond" w:hAnsi="Garamond"/>
          <w:sz w:val="22"/>
          <w:szCs w:val="22"/>
          <w:lang w:val="en-GB"/>
        </w:rPr>
      </w:pPr>
      <w:r w:rsidRPr="003604FF">
        <w:rPr>
          <w:rFonts w:ascii="Garamond" w:hAnsi="Garamond"/>
          <w:smallCaps/>
          <w:sz w:val="22"/>
          <w:szCs w:val="22"/>
          <w:lang w:val="en-GB"/>
        </w:rPr>
        <w:t>Sergio</w:t>
      </w:r>
      <w:r w:rsidRPr="003604FF">
        <w:rPr>
          <w:rFonts w:ascii="Garamond" w:hAnsi="Garamond"/>
          <w:sz w:val="22"/>
          <w:szCs w:val="22"/>
          <w:lang w:val="en-GB"/>
        </w:rPr>
        <w:t xml:space="preserve"> </w:t>
      </w:r>
      <w:r w:rsidR="00676046" w:rsidRPr="003604FF">
        <w:rPr>
          <w:rFonts w:ascii="Garamond" w:hAnsi="Garamond"/>
          <w:sz w:val="22"/>
          <w:szCs w:val="22"/>
          <w:lang w:val="en-GB"/>
        </w:rPr>
        <w:t>PERELMAN</w:t>
      </w:r>
      <w:r w:rsidR="00707CFA" w:rsidRPr="003604FF">
        <w:rPr>
          <w:rStyle w:val="Appelnotedebasdep"/>
          <w:rFonts w:ascii="Garamond" w:hAnsi="Garamond"/>
          <w:sz w:val="22"/>
          <w:szCs w:val="22"/>
          <w:lang w:val="en-GB"/>
        </w:rPr>
        <w:footnoteReference w:customMarkFollows="1" w:id="2"/>
        <w:t>**</w:t>
      </w:r>
    </w:p>
    <w:p w14:paraId="046A7C23" w14:textId="66FE4342" w:rsidR="00356685" w:rsidRPr="003604FF" w:rsidRDefault="007478D1" w:rsidP="009E61C9">
      <w:pPr>
        <w:jc w:val="center"/>
        <w:rPr>
          <w:rFonts w:ascii="Garamond" w:hAnsi="Garamond"/>
          <w:sz w:val="22"/>
          <w:szCs w:val="22"/>
          <w:lang w:val="en-GB"/>
        </w:rPr>
      </w:pPr>
      <w:r w:rsidRPr="003604FF">
        <w:rPr>
          <w:rFonts w:ascii="Garamond" w:hAnsi="Garamond"/>
          <w:smallCaps/>
          <w:sz w:val="22"/>
          <w:szCs w:val="22"/>
          <w:lang w:val="en-GB"/>
        </w:rPr>
        <w:t>Jérôme</w:t>
      </w:r>
      <w:r w:rsidRPr="003604FF">
        <w:rPr>
          <w:rFonts w:ascii="Garamond" w:hAnsi="Garamond"/>
          <w:sz w:val="22"/>
          <w:szCs w:val="22"/>
          <w:lang w:val="en-GB"/>
        </w:rPr>
        <w:t xml:space="preserve"> </w:t>
      </w:r>
      <w:r w:rsidR="00676046" w:rsidRPr="003604FF">
        <w:rPr>
          <w:rFonts w:ascii="Garamond" w:hAnsi="Garamond"/>
          <w:sz w:val="22"/>
          <w:szCs w:val="22"/>
          <w:lang w:val="en-GB"/>
        </w:rPr>
        <w:t>SCHOENMAECKERS</w:t>
      </w:r>
      <w:r w:rsidR="00707CFA" w:rsidRPr="003604FF">
        <w:rPr>
          <w:rStyle w:val="Appelnotedebasdep"/>
          <w:rFonts w:ascii="Garamond" w:hAnsi="Garamond"/>
          <w:sz w:val="22"/>
          <w:szCs w:val="22"/>
          <w:lang w:val="en-GB"/>
        </w:rPr>
        <w:footnoteReference w:customMarkFollows="1" w:id="3"/>
        <w:t>***</w:t>
      </w:r>
    </w:p>
    <w:bookmarkEnd w:id="0"/>
    <w:p w14:paraId="4E56124F" w14:textId="77777777" w:rsidR="002B09A6" w:rsidRPr="003604FF" w:rsidRDefault="002B09A6" w:rsidP="009E61C9">
      <w:pPr>
        <w:jc w:val="both"/>
        <w:rPr>
          <w:rFonts w:ascii="Garamond" w:hAnsi="Garamond"/>
          <w:sz w:val="22"/>
          <w:szCs w:val="22"/>
          <w:lang w:val="en-GB"/>
        </w:rPr>
      </w:pPr>
    </w:p>
    <w:p w14:paraId="4ED3E2C8" w14:textId="77777777" w:rsidR="00262174" w:rsidRPr="003604FF" w:rsidRDefault="00262174" w:rsidP="009E61C9">
      <w:pPr>
        <w:rPr>
          <w:rFonts w:ascii="Garamond" w:hAnsi="Garamond"/>
          <w:sz w:val="22"/>
          <w:szCs w:val="22"/>
          <w:lang w:val="en-GB"/>
        </w:rPr>
      </w:pPr>
    </w:p>
    <w:p w14:paraId="116E0F06" w14:textId="77777777" w:rsidR="002340C1" w:rsidRPr="003604FF" w:rsidRDefault="002340C1" w:rsidP="009E61C9">
      <w:pPr>
        <w:rPr>
          <w:rFonts w:ascii="Garamond" w:hAnsi="Garamond"/>
          <w:b/>
          <w:bCs/>
          <w:sz w:val="22"/>
          <w:szCs w:val="22"/>
          <w:lang w:val="en-GB"/>
        </w:rPr>
      </w:pPr>
    </w:p>
    <w:p w14:paraId="4C0E2131" w14:textId="43F60A06" w:rsidR="009E61C9" w:rsidRPr="009E61C9" w:rsidRDefault="003745A8" w:rsidP="009E61C9">
      <w:pPr>
        <w:jc w:val="both"/>
        <w:rPr>
          <w:rFonts w:ascii="Garamond" w:hAnsi="Garamond"/>
          <w:sz w:val="22"/>
          <w:szCs w:val="22"/>
        </w:rPr>
      </w:pPr>
      <w:r w:rsidRPr="009E61C9">
        <w:rPr>
          <w:rFonts w:ascii="Garamond" w:hAnsi="Garamond"/>
          <w:sz w:val="22"/>
          <w:szCs w:val="22"/>
        </w:rPr>
        <w:t xml:space="preserve">L’espérance de vie a progressé de façon continue durant les dernières décennies en Europe. </w:t>
      </w:r>
      <w:r w:rsidR="000269AA" w:rsidRPr="009E61C9">
        <w:rPr>
          <w:rFonts w:ascii="Garamond" w:hAnsi="Garamond"/>
          <w:sz w:val="22"/>
          <w:szCs w:val="22"/>
        </w:rPr>
        <w:t>À</w:t>
      </w:r>
      <w:r w:rsidRPr="009E61C9">
        <w:rPr>
          <w:rFonts w:ascii="Garamond" w:hAnsi="Garamond"/>
          <w:sz w:val="22"/>
          <w:szCs w:val="22"/>
        </w:rPr>
        <w:t xml:space="preserve"> titre d’exemple, en vingt ans, les femmes en France ont gagné 2,5 ans d’espérance de vie à la naissance, passant de 83,0 ans en 2001 à 85,5 ans en 2021. Les hommes</w:t>
      </w:r>
      <w:r w:rsidR="00676046">
        <w:rPr>
          <w:rFonts w:ascii="Garamond" w:hAnsi="Garamond"/>
          <w:sz w:val="22"/>
          <w:szCs w:val="22"/>
        </w:rPr>
        <w:t>,</w:t>
      </w:r>
      <w:r w:rsidRPr="009E61C9">
        <w:rPr>
          <w:rFonts w:ascii="Garamond" w:hAnsi="Garamond"/>
          <w:sz w:val="22"/>
          <w:szCs w:val="22"/>
        </w:rPr>
        <w:t xml:space="preserve"> quant à eux</w:t>
      </w:r>
      <w:r w:rsidR="00676046">
        <w:rPr>
          <w:rFonts w:ascii="Garamond" w:hAnsi="Garamond"/>
          <w:sz w:val="22"/>
          <w:szCs w:val="22"/>
        </w:rPr>
        <w:t>,</w:t>
      </w:r>
      <w:r w:rsidRPr="009E61C9">
        <w:rPr>
          <w:rFonts w:ascii="Garamond" w:hAnsi="Garamond"/>
          <w:sz w:val="22"/>
          <w:szCs w:val="22"/>
        </w:rPr>
        <w:t xml:space="preserve"> ont gagné 3,8 années de vie supplémentaires, en moyenne, passant de 75,5 ans à 79,3 ans sur la même période</w:t>
      </w:r>
      <w:r w:rsidR="009E61C9" w:rsidRPr="009E61C9">
        <w:rPr>
          <w:rStyle w:val="Appeldenotedefin"/>
          <w:rFonts w:ascii="Garamond" w:hAnsi="Garamond"/>
          <w:sz w:val="22"/>
          <w:szCs w:val="22"/>
        </w:rPr>
        <w:endnoteReference w:id="1"/>
      </w:r>
      <w:r w:rsidR="009E61C9" w:rsidRPr="009E61C9">
        <w:rPr>
          <w:rFonts w:ascii="Garamond" w:hAnsi="Garamond"/>
          <w:sz w:val="22"/>
          <w:szCs w:val="22"/>
        </w:rPr>
        <w:t xml:space="preserve">. </w:t>
      </w:r>
    </w:p>
    <w:p w14:paraId="79765710" w14:textId="59F97C3C" w:rsidR="009E61C9" w:rsidRPr="009E61C9" w:rsidRDefault="009E61C9" w:rsidP="009E61C9">
      <w:pPr>
        <w:jc w:val="both"/>
        <w:rPr>
          <w:rFonts w:ascii="Garamond" w:hAnsi="Garamond"/>
          <w:sz w:val="22"/>
          <w:szCs w:val="22"/>
        </w:rPr>
      </w:pPr>
      <w:r w:rsidRPr="009E61C9">
        <w:rPr>
          <w:rFonts w:ascii="Garamond" w:hAnsi="Garamond"/>
          <w:sz w:val="22"/>
          <w:szCs w:val="22"/>
        </w:rPr>
        <w:t>C’est sur base des tables de mortalité par âge qu</w:t>
      </w:r>
      <w:r w:rsidR="00676046">
        <w:rPr>
          <w:rFonts w:ascii="Garamond" w:hAnsi="Garamond"/>
          <w:sz w:val="22"/>
          <w:szCs w:val="22"/>
        </w:rPr>
        <w:t>e l</w:t>
      </w:r>
      <w:r w:rsidRPr="009E61C9">
        <w:rPr>
          <w:rFonts w:ascii="Garamond" w:hAnsi="Garamond"/>
          <w:sz w:val="22"/>
          <w:szCs w:val="22"/>
        </w:rPr>
        <w:t>’on procède à l’estimation des espérances de vie, soit au moment de la naissance, soit pour un âge donné. Même si ces indicateurs reflètent la situation prévalant aujourd’hui et n’anticipent pas son évolution future, ils permettent aux assureurs publics et privés de gérer de manière actuariellement satisfaisante, sans trop d’accros, les régimes de retraite, les assurances soins de santé et les réserves des plans d’assurance</w:t>
      </w:r>
      <w:r w:rsidR="00676046">
        <w:rPr>
          <w:rFonts w:ascii="Garamond" w:hAnsi="Garamond"/>
          <w:sz w:val="22"/>
          <w:szCs w:val="22"/>
        </w:rPr>
        <w:t xml:space="preserve"> </w:t>
      </w:r>
      <w:r w:rsidRPr="009E61C9">
        <w:rPr>
          <w:rFonts w:ascii="Garamond" w:hAnsi="Garamond"/>
          <w:sz w:val="22"/>
          <w:szCs w:val="22"/>
        </w:rPr>
        <w:t>vie.</w:t>
      </w:r>
      <w:r w:rsidRPr="009E61C9">
        <w:rPr>
          <w:rStyle w:val="Appeldenotedefin"/>
          <w:rFonts w:ascii="Garamond" w:hAnsi="Garamond"/>
          <w:sz w:val="22"/>
          <w:szCs w:val="22"/>
        </w:rPr>
        <w:endnoteReference w:id="2"/>
      </w:r>
      <w:r w:rsidRPr="009E61C9">
        <w:rPr>
          <w:rFonts w:ascii="Garamond" w:hAnsi="Garamond"/>
          <w:sz w:val="22"/>
          <w:szCs w:val="22"/>
        </w:rPr>
        <w:t xml:space="preserve"> </w:t>
      </w:r>
    </w:p>
    <w:p w14:paraId="25F67CB7" w14:textId="46F54626" w:rsidR="009E61C9" w:rsidRPr="009E61C9" w:rsidRDefault="009E61C9" w:rsidP="009E61C9">
      <w:pPr>
        <w:jc w:val="both"/>
        <w:rPr>
          <w:rFonts w:ascii="Garamond" w:hAnsi="Garamond"/>
          <w:sz w:val="22"/>
          <w:szCs w:val="22"/>
        </w:rPr>
      </w:pPr>
      <w:r w:rsidRPr="009E61C9">
        <w:rPr>
          <w:rFonts w:ascii="Garamond" w:hAnsi="Garamond"/>
          <w:sz w:val="22"/>
          <w:szCs w:val="22"/>
        </w:rPr>
        <w:t>Il en va autrement quand on s’intéresse à l’espérance de vie sans dépendance, celle qui devrait servir à la création de formes d’assurances</w:t>
      </w:r>
      <w:r w:rsidR="00676046">
        <w:rPr>
          <w:rFonts w:ascii="Garamond" w:hAnsi="Garamond"/>
          <w:sz w:val="22"/>
          <w:szCs w:val="22"/>
        </w:rPr>
        <w:t xml:space="preserve"> </w:t>
      </w:r>
      <w:r w:rsidRPr="009E61C9">
        <w:rPr>
          <w:rFonts w:ascii="Garamond" w:hAnsi="Garamond"/>
          <w:sz w:val="22"/>
          <w:szCs w:val="22"/>
        </w:rPr>
        <w:t xml:space="preserve">dépendance, publiques et privées, dont le développement reste à l’heure actuelle très limité, même à l’échelle de l’ensemble des pays. Aux États-Unis, selon </w:t>
      </w:r>
      <w:r w:rsidR="00A7705A" w:rsidRPr="0083737C">
        <w:rPr>
          <w:rFonts w:ascii="Garamond" w:hAnsi="Garamond"/>
          <w:color w:val="1B1B1B"/>
          <w:sz w:val="22"/>
          <w:szCs w:val="22"/>
          <w:shd w:val="clear" w:color="auto" w:fill="FFFFFF"/>
        </w:rPr>
        <w:t>Favreault et Dey</w:t>
      </w:r>
      <w:r w:rsidR="00243566">
        <w:rPr>
          <w:rFonts w:ascii="Garamond" w:hAnsi="Garamond"/>
          <w:color w:val="1B1B1B"/>
          <w:sz w:val="22"/>
          <w:szCs w:val="22"/>
          <w:shd w:val="clear" w:color="auto" w:fill="FFFFFF"/>
        </w:rPr>
        <w:t xml:space="preserve"> </w:t>
      </w:r>
      <w:r w:rsidR="00A7705A" w:rsidRPr="0083737C">
        <w:rPr>
          <w:rFonts w:ascii="Garamond" w:hAnsi="Garamond"/>
          <w:color w:val="1B1B1B"/>
          <w:sz w:val="22"/>
          <w:szCs w:val="22"/>
          <w:shd w:val="clear" w:color="auto" w:fill="FFFFFF"/>
        </w:rPr>
        <w:t>(</w:t>
      </w:r>
      <w:r w:rsidR="00A7705A">
        <w:rPr>
          <w:rFonts w:ascii="Garamond" w:hAnsi="Garamond"/>
          <w:color w:val="1B1B1B"/>
          <w:sz w:val="22"/>
          <w:szCs w:val="22"/>
          <w:shd w:val="clear" w:color="auto" w:fill="FFFFFF"/>
        </w:rPr>
        <w:t xml:space="preserve">2015), </w:t>
      </w:r>
      <w:r w:rsidRPr="009E61C9">
        <w:rPr>
          <w:rFonts w:ascii="Garamond" w:hAnsi="Garamond"/>
          <w:sz w:val="22"/>
          <w:szCs w:val="22"/>
        </w:rPr>
        <w:t>plus de 50</w:t>
      </w:r>
      <w:r w:rsidR="00243566">
        <w:rPr>
          <w:rFonts w:ascii="Garamond" w:hAnsi="Garamond"/>
          <w:sz w:val="22"/>
          <w:szCs w:val="22"/>
        </w:rPr>
        <w:t> </w:t>
      </w:r>
      <w:r w:rsidRPr="009E61C9">
        <w:rPr>
          <w:rFonts w:ascii="Garamond" w:hAnsi="Garamond"/>
          <w:sz w:val="22"/>
          <w:szCs w:val="22"/>
        </w:rPr>
        <w:t>% des personnes âgées de 65 ans et plus conna</w:t>
      </w:r>
      <w:r w:rsidR="00676046">
        <w:rPr>
          <w:rFonts w:ascii="Garamond" w:hAnsi="Garamond"/>
          <w:sz w:val="22"/>
          <w:szCs w:val="22"/>
        </w:rPr>
        <w:t>î</w:t>
      </w:r>
      <w:r w:rsidRPr="009E61C9">
        <w:rPr>
          <w:rFonts w:ascii="Garamond" w:hAnsi="Garamond"/>
          <w:sz w:val="22"/>
          <w:szCs w:val="22"/>
        </w:rPr>
        <w:t>tront un épisode de dépendance et pour 30</w:t>
      </w:r>
      <w:r w:rsidR="00243566">
        <w:rPr>
          <w:rFonts w:ascii="Garamond" w:hAnsi="Garamond"/>
          <w:sz w:val="22"/>
          <w:szCs w:val="22"/>
        </w:rPr>
        <w:t> </w:t>
      </w:r>
      <w:r w:rsidRPr="009E61C9">
        <w:rPr>
          <w:rFonts w:ascii="Garamond" w:hAnsi="Garamond"/>
          <w:sz w:val="22"/>
          <w:szCs w:val="22"/>
        </w:rPr>
        <w:t xml:space="preserve">% d’entre elles, cela durera plus de </w:t>
      </w:r>
      <w:r w:rsidR="00676046">
        <w:rPr>
          <w:rFonts w:ascii="Garamond" w:hAnsi="Garamond"/>
          <w:sz w:val="22"/>
          <w:szCs w:val="22"/>
        </w:rPr>
        <w:t>cinq</w:t>
      </w:r>
      <w:r w:rsidRPr="009E61C9">
        <w:rPr>
          <w:rFonts w:ascii="Garamond" w:hAnsi="Garamond"/>
          <w:sz w:val="22"/>
          <w:szCs w:val="22"/>
        </w:rPr>
        <w:t xml:space="preserve"> ans. Cependant, face au risque de dépendance</w:t>
      </w:r>
      <w:r w:rsidR="00676046">
        <w:rPr>
          <w:rFonts w:ascii="Garamond" w:hAnsi="Garamond"/>
          <w:sz w:val="22"/>
          <w:szCs w:val="22"/>
        </w:rPr>
        <w:t>,</w:t>
      </w:r>
      <w:r w:rsidRPr="009E61C9">
        <w:rPr>
          <w:rFonts w:ascii="Garamond" w:hAnsi="Garamond"/>
          <w:sz w:val="22"/>
          <w:szCs w:val="22"/>
        </w:rPr>
        <w:t xml:space="preserve"> nous avons un comportement qui oscille entre la myopie et le déni. Cela comprend les autorités publiques, qui hésitent à ajouter une nouvelle branche à la protection sociale dédiée aux risques du grand âge, et l’industrie de l’assurance</w:t>
      </w:r>
      <w:r w:rsidR="00676046">
        <w:rPr>
          <w:rFonts w:ascii="Garamond" w:hAnsi="Garamond"/>
          <w:sz w:val="22"/>
          <w:szCs w:val="22"/>
        </w:rPr>
        <w:t>,</w:t>
      </w:r>
      <w:r w:rsidRPr="009E61C9">
        <w:rPr>
          <w:rFonts w:ascii="Garamond" w:hAnsi="Garamond"/>
          <w:sz w:val="22"/>
          <w:szCs w:val="22"/>
        </w:rPr>
        <w:t xml:space="preserve"> qui hésite à investir ce marché potentiel, ou bien le fait mais de manière très marginale. </w:t>
      </w:r>
    </w:p>
    <w:p w14:paraId="4EE68FC3" w14:textId="4217B2C8" w:rsidR="009E61C9" w:rsidRPr="009E61C9" w:rsidRDefault="009E61C9" w:rsidP="009E61C9">
      <w:pPr>
        <w:jc w:val="both"/>
        <w:rPr>
          <w:rFonts w:ascii="Garamond" w:hAnsi="Garamond"/>
          <w:sz w:val="22"/>
          <w:szCs w:val="22"/>
        </w:rPr>
      </w:pPr>
      <w:r w:rsidRPr="009E61C9">
        <w:rPr>
          <w:rFonts w:ascii="Garamond" w:hAnsi="Garamond"/>
          <w:sz w:val="22"/>
          <w:szCs w:val="22"/>
        </w:rPr>
        <w:t>L’objet de cet article est de mener une réflexion sur l’espérance de vie sans dépendance en nous inscrivant dans le débat existant sur les écarts entre espérance de vie et espérance de vie en bonne santé</w:t>
      </w:r>
      <w:r w:rsidR="00F77848">
        <w:rPr>
          <w:rFonts w:ascii="Garamond" w:hAnsi="Garamond"/>
          <w:sz w:val="22"/>
          <w:szCs w:val="22"/>
        </w:rPr>
        <w:t xml:space="preserve"> (EVBS)</w:t>
      </w:r>
      <w:r w:rsidRPr="009E61C9">
        <w:rPr>
          <w:rFonts w:ascii="Garamond" w:hAnsi="Garamond"/>
          <w:sz w:val="22"/>
          <w:szCs w:val="22"/>
        </w:rPr>
        <w:t xml:space="preserve"> (Chatterji </w:t>
      </w:r>
      <w:r w:rsidRPr="00676046">
        <w:rPr>
          <w:rFonts w:ascii="Garamond" w:hAnsi="Garamond"/>
          <w:i/>
          <w:iCs/>
          <w:sz w:val="22"/>
          <w:szCs w:val="22"/>
        </w:rPr>
        <w:t>et al</w:t>
      </w:r>
      <w:r w:rsidRPr="009E61C9">
        <w:rPr>
          <w:rFonts w:ascii="Garamond" w:hAnsi="Garamond"/>
          <w:sz w:val="22"/>
          <w:szCs w:val="22"/>
        </w:rPr>
        <w:t>.</w:t>
      </w:r>
      <w:r w:rsidR="00676046">
        <w:rPr>
          <w:rFonts w:ascii="Garamond" w:hAnsi="Garamond"/>
          <w:sz w:val="22"/>
          <w:szCs w:val="22"/>
        </w:rPr>
        <w:t>,</w:t>
      </w:r>
      <w:r w:rsidRPr="009E61C9">
        <w:rPr>
          <w:rFonts w:ascii="Garamond" w:hAnsi="Garamond"/>
          <w:sz w:val="22"/>
          <w:szCs w:val="22"/>
        </w:rPr>
        <w:t xml:space="preserve"> 2015). Il est en effet observé que bien que les femmes vivent plus longtemps, elles passent cependant plus d’années en situation d’incapacité</w:t>
      </w:r>
      <w:r w:rsidR="00676046">
        <w:rPr>
          <w:rStyle w:val="Appeldenotedefin"/>
          <w:rFonts w:ascii="Garamond" w:hAnsi="Garamond"/>
          <w:sz w:val="22"/>
          <w:szCs w:val="22"/>
        </w:rPr>
        <w:endnoteReference w:id="3"/>
      </w:r>
      <w:r w:rsidRPr="009E61C9">
        <w:rPr>
          <w:rFonts w:ascii="Garamond" w:hAnsi="Garamond"/>
          <w:sz w:val="22"/>
          <w:szCs w:val="22"/>
        </w:rPr>
        <w:t xml:space="preserve">. C’est ce que nous voudrions confirmer à l’échelon européen, en nous intéressant à </w:t>
      </w:r>
      <w:r w:rsidR="00F77848">
        <w:rPr>
          <w:rFonts w:ascii="Garamond" w:hAnsi="Garamond"/>
          <w:sz w:val="22"/>
          <w:szCs w:val="22"/>
        </w:rPr>
        <w:t>l’EVBS</w:t>
      </w:r>
      <w:r w:rsidRPr="009E61C9">
        <w:rPr>
          <w:rFonts w:ascii="Garamond" w:hAnsi="Garamond"/>
          <w:sz w:val="22"/>
          <w:szCs w:val="22"/>
        </w:rPr>
        <w:t xml:space="preserve"> et en nous basant sur les données de l’enquête internationale SHARE (</w:t>
      </w:r>
      <w:r w:rsidRPr="009E61C9">
        <w:rPr>
          <w:rFonts w:ascii="Garamond" w:hAnsi="Garamond"/>
          <w:i/>
          <w:sz w:val="22"/>
          <w:szCs w:val="22"/>
        </w:rPr>
        <w:t xml:space="preserve">Survey of </w:t>
      </w:r>
      <w:r w:rsidR="00F77848">
        <w:rPr>
          <w:rFonts w:ascii="Garamond" w:hAnsi="Garamond"/>
          <w:i/>
          <w:sz w:val="22"/>
          <w:szCs w:val="22"/>
        </w:rPr>
        <w:t>H</w:t>
      </w:r>
      <w:r w:rsidRPr="009E61C9">
        <w:rPr>
          <w:rFonts w:ascii="Garamond" w:hAnsi="Garamond"/>
          <w:i/>
          <w:sz w:val="22"/>
          <w:szCs w:val="22"/>
        </w:rPr>
        <w:t xml:space="preserve">ealth, </w:t>
      </w:r>
      <w:r w:rsidR="00F77848">
        <w:rPr>
          <w:rFonts w:ascii="Garamond" w:hAnsi="Garamond"/>
          <w:i/>
          <w:sz w:val="22"/>
          <w:szCs w:val="22"/>
        </w:rPr>
        <w:t>A</w:t>
      </w:r>
      <w:r w:rsidRPr="009E61C9">
        <w:rPr>
          <w:rFonts w:ascii="Garamond" w:hAnsi="Garamond"/>
          <w:i/>
          <w:sz w:val="22"/>
          <w:szCs w:val="22"/>
        </w:rPr>
        <w:t xml:space="preserve">geing and </w:t>
      </w:r>
      <w:r w:rsidR="00F77848">
        <w:rPr>
          <w:rFonts w:ascii="Garamond" w:hAnsi="Garamond"/>
          <w:i/>
          <w:sz w:val="22"/>
          <w:szCs w:val="22"/>
        </w:rPr>
        <w:t>R</w:t>
      </w:r>
      <w:r w:rsidRPr="009E61C9">
        <w:rPr>
          <w:rFonts w:ascii="Garamond" w:hAnsi="Garamond"/>
          <w:i/>
          <w:sz w:val="22"/>
          <w:szCs w:val="22"/>
        </w:rPr>
        <w:t>etirement in Europe</w:t>
      </w:r>
      <w:r w:rsidRPr="00F77848">
        <w:rPr>
          <w:rFonts w:ascii="Garamond" w:hAnsi="Garamond"/>
          <w:iCs/>
          <w:sz w:val="22"/>
          <w:szCs w:val="22"/>
        </w:rPr>
        <w:t>,</w:t>
      </w:r>
      <w:r w:rsidRPr="009E61C9">
        <w:rPr>
          <w:rFonts w:ascii="Garamond" w:hAnsi="Garamond"/>
          <w:i/>
          <w:sz w:val="22"/>
          <w:szCs w:val="22"/>
        </w:rPr>
        <w:t xml:space="preserve"> </w:t>
      </w:r>
      <w:r w:rsidRPr="009E61C9">
        <w:rPr>
          <w:rFonts w:ascii="Garamond" w:hAnsi="Garamond"/>
          <w:sz w:val="22"/>
          <w:szCs w:val="22"/>
        </w:rPr>
        <w:t xml:space="preserve">Börsch-Supan </w:t>
      </w:r>
      <w:r w:rsidRPr="00F77848">
        <w:rPr>
          <w:rFonts w:ascii="Garamond" w:hAnsi="Garamond"/>
          <w:i/>
          <w:iCs/>
          <w:sz w:val="22"/>
          <w:szCs w:val="22"/>
        </w:rPr>
        <w:t>et al</w:t>
      </w:r>
      <w:r w:rsidRPr="009E61C9">
        <w:rPr>
          <w:rFonts w:ascii="Garamond" w:hAnsi="Garamond"/>
          <w:sz w:val="22"/>
          <w:szCs w:val="22"/>
        </w:rPr>
        <w:t xml:space="preserve">., 2013), qui porte exclusivement sur la population âgée de 50 ans et plus. </w:t>
      </w:r>
    </w:p>
    <w:p w14:paraId="304126AA" w14:textId="3DB44205" w:rsidR="009E61C9" w:rsidRPr="009E61C9" w:rsidRDefault="009E61C9" w:rsidP="009E61C9">
      <w:pPr>
        <w:jc w:val="both"/>
        <w:rPr>
          <w:rFonts w:ascii="Garamond" w:hAnsi="Garamond"/>
          <w:sz w:val="22"/>
          <w:szCs w:val="22"/>
        </w:rPr>
      </w:pPr>
      <w:r w:rsidRPr="009E61C9">
        <w:rPr>
          <w:rFonts w:ascii="Garamond" w:hAnsi="Garamond"/>
          <w:sz w:val="22"/>
          <w:szCs w:val="22"/>
        </w:rPr>
        <w:t>On s’intéressera particulièrement à l’</w:t>
      </w:r>
      <w:r w:rsidR="00F77848">
        <w:rPr>
          <w:rFonts w:ascii="Garamond" w:hAnsi="Garamond"/>
          <w:sz w:val="22"/>
          <w:szCs w:val="22"/>
        </w:rPr>
        <w:t>EVBS</w:t>
      </w:r>
      <w:r w:rsidRPr="009E61C9">
        <w:rPr>
          <w:rFonts w:ascii="Garamond" w:hAnsi="Garamond"/>
          <w:sz w:val="22"/>
          <w:szCs w:val="22"/>
        </w:rPr>
        <w:t xml:space="preserve"> dont l’Union européenne publie régulièrement les résultats obtenus à partir d’une question posée dans le cadre de l’enquête EU-SILC (</w:t>
      </w:r>
      <w:r w:rsidRPr="009E61C9">
        <w:rPr>
          <w:rFonts w:ascii="Garamond" w:hAnsi="Garamond"/>
          <w:i/>
          <w:sz w:val="22"/>
          <w:szCs w:val="22"/>
        </w:rPr>
        <w:t>Statistics on Income and Living Conditions</w:t>
      </w:r>
      <w:r w:rsidRPr="009E61C9">
        <w:rPr>
          <w:rFonts w:ascii="Garamond" w:hAnsi="Garamond"/>
          <w:sz w:val="22"/>
          <w:szCs w:val="22"/>
        </w:rPr>
        <w:t xml:space="preserve">, Eurostat, 2023). L’enquête SHARE, en dehors du fait de poser la même question servant de base à ce calcul dans </w:t>
      </w:r>
      <w:r w:rsidR="00F77848">
        <w:rPr>
          <w:rFonts w:ascii="Garamond" w:hAnsi="Garamond"/>
          <w:sz w:val="22"/>
          <w:szCs w:val="22"/>
        </w:rPr>
        <w:t>EU-</w:t>
      </w:r>
      <w:r w:rsidRPr="009E61C9">
        <w:rPr>
          <w:rFonts w:ascii="Garamond" w:hAnsi="Garamond"/>
          <w:sz w:val="22"/>
          <w:szCs w:val="22"/>
        </w:rPr>
        <w:t>SILC, a l’avantage de poser plusieurs autres questions sur des limitations éventuelles à réaliser des activités de la vie quotidienne et également sur la qualité de vie. Nous illustrerons à l’aide de courbes de survie la manière avec laquelle les espérances de vie et les espérances de vie en bonne santé s’éloignent, ou se rapprochent, en fonction de la définition d’incapacité adoptée, et ce</w:t>
      </w:r>
      <w:r w:rsidR="00F77848">
        <w:rPr>
          <w:rFonts w:ascii="Garamond" w:hAnsi="Garamond"/>
          <w:sz w:val="22"/>
          <w:szCs w:val="22"/>
        </w:rPr>
        <w:t>,</w:t>
      </w:r>
      <w:r w:rsidRPr="009E61C9">
        <w:rPr>
          <w:rFonts w:ascii="Garamond" w:hAnsi="Garamond"/>
          <w:sz w:val="22"/>
          <w:szCs w:val="22"/>
        </w:rPr>
        <w:t xml:space="preserve"> pour chaque groupe analysé, essentiellement </w:t>
      </w:r>
      <w:r w:rsidR="00F77848">
        <w:rPr>
          <w:rFonts w:ascii="Garamond" w:hAnsi="Garamond"/>
          <w:sz w:val="22"/>
          <w:szCs w:val="22"/>
        </w:rPr>
        <w:t xml:space="preserve">les </w:t>
      </w:r>
      <w:r w:rsidRPr="009E61C9">
        <w:rPr>
          <w:rFonts w:ascii="Garamond" w:hAnsi="Garamond"/>
          <w:sz w:val="22"/>
          <w:szCs w:val="22"/>
        </w:rPr>
        <w:t xml:space="preserve">femmes et </w:t>
      </w:r>
      <w:r w:rsidR="00F77848">
        <w:rPr>
          <w:rFonts w:ascii="Garamond" w:hAnsi="Garamond"/>
          <w:sz w:val="22"/>
          <w:szCs w:val="22"/>
        </w:rPr>
        <w:t xml:space="preserve">les </w:t>
      </w:r>
      <w:r w:rsidRPr="009E61C9">
        <w:rPr>
          <w:rFonts w:ascii="Garamond" w:hAnsi="Garamond"/>
          <w:sz w:val="22"/>
          <w:szCs w:val="22"/>
        </w:rPr>
        <w:t xml:space="preserve">hommes au niveau d’un ensemble de pays européens. Notre hypothèse de travail étant que </w:t>
      </w:r>
      <w:r w:rsidR="00F77848">
        <w:rPr>
          <w:rFonts w:ascii="Garamond" w:hAnsi="Garamond"/>
          <w:sz w:val="22"/>
          <w:szCs w:val="22"/>
        </w:rPr>
        <w:t>l</w:t>
      </w:r>
      <w:r w:rsidRPr="009E61C9">
        <w:rPr>
          <w:rFonts w:ascii="Garamond" w:hAnsi="Garamond"/>
          <w:sz w:val="22"/>
          <w:szCs w:val="22"/>
        </w:rPr>
        <w:t xml:space="preserve">es espérances de vie en bonne santé calculées à </w:t>
      </w:r>
      <w:r w:rsidRPr="009E61C9">
        <w:rPr>
          <w:rFonts w:ascii="Garamond" w:hAnsi="Garamond"/>
          <w:sz w:val="22"/>
          <w:szCs w:val="22"/>
        </w:rPr>
        <w:t xml:space="preserve">partir de ces indicateurs approchent de manière plus précise la notion d’espérance de vie sans dépendance. La </w:t>
      </w:r>
      <w:r w:rsidR="00F77848">
        <w:rPr>
          <w:rFonts w:ascii="Garamond" w:hAnsi="Garamond"/>
          <w:sz w:val="22"/>
          <w:szCs w:val="22"/>
        </w:rPr>
        <w:t>deuxième partie</w:t>
      </w:r>
      <w:r w:rsidR="00430AD9">
        <w:rPr>
          <w:rFonts w:ascii="Garamond" w:hAnsi="Garamond"/>
          <w:sz w:val="22"/>
          <w:szCs w:val="22"/>
        </w:rPr>
        <w:t xml:space="preserve"> de </w:t>
      </w:r>
      <w:r w:rsidR="00CD0302">
        <w:rPr>
          <w:rFonts w:ascii="Garamond" w:hAnsi="Garamond"/>
          <w:sz w:val="22"/>
          <w:szCs w:val="22"/>
        </w:rPr>
        <w:t>cet article</w:t>
      </w:r>
      <w:r w:rsidR="00430AD9">
        <w:rPr>
          <w:rFonts w:ascii="Garamond" w:hAnsi="Garamond"/>
          <w:sz w:val="22"/>
          <w:szCs w:val="22"/>
        </w:rPr>
        <w:t xml:space="preserve"> </w:t>
      </w:r>
      <w:r w:rsidRPr="009E61C9">
        <w:rPr>
          <w:rFonts w:ascii="Garamond" w:hAnsi="Garamond"/>
          <w:sz w:val="22"/>
          <w:szCs w:val="22"/>
        </w:rPr>
        <w:t xml:space="preserve">résume la littérature existante. La </w:t>
      </w:r>
      <w:r w:rsidR="00F77848">
        <w:rPr>
          <w:rFonts w:ascii="Garamond" w:hAnsi="Garamond"/>
          <w:sz w:val="22"/>
          <w:szCs w:val="22"/>
        </w:rPr>
        <w:t>troisième partie</w:t>
      </w:r>
      <w:r w:rsidRPr="009E61C9">
        <w:rPr>
          <w:rFonts w:ascii="Garamond" w:hAnsi="Garamond"/>
          <w:sz w:val="22"/>
          <w:szCs w:val="22"/>
        </w:rPr>
        <w:t xml:space="preserve"> précise les données et la méthodologie retenues. </w:t>
      </w:r>
      <w:r w:rsidR="00F77848">
        <w:rPr>
          <w:rFonts w:ascii="Garamond" w:hAnsi="Garamond"/>
          <w:sz w:val="22"/>
          <w:szCs w:val="22"/>
        </w:rPr>
        <w:t xml:space="preserve">La </w:t>
      </w:r>
      <w:r w:rsidR="00F77848">
        <w:rPr>
          <w:rFonts w:ascii="Garamond" w:hAnsi="Garamond"/>
          <w:sz w:val="22"/>
          <w:szCs w:val="22"/>
        </w:rPr>
        <w:t>quatrième partie</w:t>
      </w:r>
      <w:r w:rsidRPr="009E61C9">
        <w:rPr>
          <w:rFonts w:ascii="Garamond" w:hAnsi="Garamond"/>
          <w:sz w:val="22"/>
          <w:szCs w:val="22"/>
        </w:rPr>
        <w:t xml:space="preserve"> présente les résultats et fait émerger un gradient Nord-Centre-Sud/Est</w:t>
      </w:r>
      <w:r w:rsidR="00F77848">
        <w:rPr>
          <w:rFonts w:ascii="Garamond" w:hAnsi="Garamond"/>
          <w:sz w:val="22"/>
          <w:szCs w:val="22"/>
        </w:rPr>
        <w:t>,</w:t>
      </w:r>
      <w:r w:rsidRPr="009E61C9">
        <w:rPr>
          <w:rFonts w:ascii="Garamond" w:hAnsi="Garamond"/>
          <w:sz w:val="22"/>
          <w:szCs w:val="22"/>
        </w:rPr>
        <w:t xml:space="preserve"> alors que </w:t>
      </w:r>
      <w:r w:rsidR="00F77848">
        <w:rPr>
          <w:rFonts w:ascii="Garamond" w:hAnsi="Garamond"/>
          <w:sz w:val="22"/>
          <w:szCs w:val="22"/>
        </w:rPr>
        <w:t>quatrième partie</w:t>
      </w:r>
      <w:r w:rsidRPr="009E61C9">
        <w:rPr>
          <w:rFonts w:ascii="Garamond" w:hAnsi="Garamond"/>
          <w:sz w:val="22"/>
          <w:szCs w:val="22"/>
        </w:rPr>
        <w:t xml:space="preserve"> </w:t>
      </w:r>
      <w:r w:rsidR="00F77848">
        <w:rPr>
          <w:rFonts w:ascii="Garamond" w:hAnsi="Garamond"/>
          <w:sz w:val="22"/>
          <w:szCs w:val="22"/>
        </w:rPr>
        <w:t>conclut</w:t>
      </w:r>
      <w:r w:rsidRPr="009E61C9">
        <w:rPr>
          <w:rFonts w:ascii="Garamond" w:hAnsi="Garamond"/>
          <w:sz w:val="22"/>
          <w:szCs w:val="22"/>
        </w:rPr>
        <w:t>.</w:t>
      </w:r>
    </w:p>
    <w:p w14:paraId="26B0B1B8" w14:textId="0A1CBCF2" w:rsidR="009E61C9" w:rsidRPr="00F77848" w:rsidRDefault="00F77848" w:rsidP="00F77848">
      <w:pPr>
        <w:jc w:val="center"/>
        <w:rPr>
          <w:rFonts w:ascii="Garamond" w:hAnsi="Garamond"/>
          <w:i/>
          <w:iCs/>
          <w:sz w:val="26"/>
          <w:szCs w:val="26"/>
        </w:rPr>
      </w:pPr>
      <w:r w:rsidRPr="00F77848">
        <w:rPr>
          <w:rFonts w:ascii="Garamond" w:hAnsi="Garamond"/>
          <w:i/>
          <w:iCs/>
          <w:sz w:val="26"/>
          <w:szCs w:val="26"/>
        </w:rPr>
        <w:t>SURVOL DE LA LITTÉRATURE</w:t>
      </w:r>
    </w:p>
    <w:p w14:paraId="09138481" w14:textId="3B0D3555" w:rsidR="009E61C9" w:rsidRPr="009E61C9" w:rsidRDefault="009E61C9" w:rsidP="009E61C9">
      <w:pPr>
        <w:jc w:val="both"/>
        <w:rPr>
          <w:rFonts w:ascii="Garamond" w:hAnsi="Garamond"/>
          <w:sz w:val="22"/>
          <w:szCs w:val="22"/>
        </w:rPr>
      </w:pPr>
      <w:r w:rsidRPr="009E61C9">
        <w:rPr>
          <w:rFonts w:ascii="Garamond" w:hAnsi="Garamond"/>
          <w:sz w:val="22"/>
          <w:szCs w:val="22"/>
        </w:rPr>
        <w:t>De nombreux travaux ont montré qu’il existe une certaine hétérogénéité dans le domaine de la santé selon les catégories de la population considérées. Malgré l’amélioration des conditions de vie et des conditions d’accès aux soins de santé, chaque jour plus performants, les différences de mortalité selon le statut socioéconomique se maintiennent</w:t>
      </w:r>
      <w:r w:rsidR="00F77848">
        <w:rPr>
          <w:rStyle w:val="Appeldenotedefin"/>
          <w:rFonts w:ascii="Garamond" w:hAnsi="Garamond"/>
          <w:sz w:val="22"/>
          <w:szCs w:val="22"/>
        </w:rPr>
        <w:endnoteReference w:id="4"/>
      </w:r>
      <w:r w:rsidRPr="009E61C9">
        <w:rPr>
          <w:rFonts w:ascii="Garamond" w:hAnsi="Garamond"/>
          <w:sz w:val="22"/>
          <w:szCs w:val="22"/>
        </w:rPr>
        <w:t>. Au-delà de ces inégalités et bien que l’allongement de la vie s’accompagne indéniablement d’une amélioration de l’état de santé des plus âgés, il entra</w:t>
      </w:r>
      <w:r w:rsidR="00F77848">
        <w:rPr>
          <w:rFonts w:ascii="Garamond" w:hAnsi="Garamond"/>
          <w:sz w:val="22"/>
          <w:szCs w:val="22"/>
        </w:rPr>
        <w:t>î</w:t>
      </w:r>
      <w:r w:rsidRPr="009E61C9">
        <w:rPr>
          <w:rFonts w:ascii="Garamond" w:hAnsi="Garamond"/>
          <w:sz w:val="22"/>
          <w:szCs w:val="22"/>
        </w:rPr>
        <w:t xml:space="preserve">ne une augmentation du nombre de personnes en incapacité et en situation de dépendance. </w:t>
      </w:r>
    </w:p>
    <w:p w14:paraId="15619E53" w14:textId="0FBCB149" w:rsidR="009E61C9" w:rsidRPr="009E61C9" w:rsidRDefault="009E61C9" w:rsidP="009E61C9">
      <w:pPr>
        <w:jc w:val="both"/>
        <w:rPr>
          <w:rFonts w:ascii="Garamond" w:hAnsi="Garamond"/>
          <w:sz w:val="22"/>
          <w:szCs w:val="22"/>
        </w:rPr>
      </w:pPr>
      <w:r w:rsidRPr="009E61C9">
        <w:rPr>
          <w:rFonts w:ascii="Garamond" w:hAnsi="Garamond"/>
          <w:sz w:val="22"/>
          <w:szCs w:val="22"/>
        </w:rPr>
        <w:lastRenderedPageBreak/>
        <w:t>Cet article s’insère dans la réflexion entamée il y a déjà plusieurs années sur l’</w:t>
      </w:r>
      <w:r w:rsidR="00F77848">
        <w:rPr>
          <w:rFonts w:ascii="Garamond" w:hAnsi="Garamond"/>
          <w:sz w:val="22"/>
          <w:szCs w:val="22"/>
        </w:rPr>
        <w:t>EVBS</w:t>
      </w:r>
      <w:r w:rsidRPr="009E61C9">
        <w:rPr>
          <w:rStyle w:val="Appeldenotedefin"/>
          <w:rFonts w:ascii="Garamond" w:hAnsi="Garamond"/>
          <w:sz w:val="22"/>
          <w:szCs w:val="22"/>
        </w:rPr>
        <w:endnoteReference w:id="5"/>
      </w:r>
      <w:r w:rsidR="00B52CFF">
        <w:rPr>
          <w:rFonts w:ascii="Garamond" w:hAnsi="Garamond"/>
          <w:sz w:val="22"/>
          <w:szCs w:val="22"/>
        </w:rPr>
        <w:t>.</w:t>
      </w:r>
      <w:r w:rsidRPr="009E61C9">
        <w:rPr>
          <w:rFonts w:ascii="Garamond" w:hAnsi="Garamond"/>
          <w:sz w:val="22"/>
          <w:szCs w:val="22"/>
        </w:rPr>
        <w:t xml:space="preserve"> En Europe, c’est sur </w:t>
      </w:r>
      <w:r w:rsidR="00D41F4B">
        <w:rPr>
          <w:rFonts w:ascii="Garamond" w:hAnsi="Garamond"/>
          <w:sz w:val="22"/>
          <w:szCs w:val="22"/>
        </w:rPr>
        <w:t xml:space="preserve">la </w:t>
      </w:r>
      <w:r w:rsidRPr="009E61C9">
        <w:rPr>
          <w:rFonts w:ascii="Garamond" w:hAnsi="Garamond"/>
          <w:sz w:val="22"/>
          <w:szCs w:val="22"/>
        </w:rPr>
        <w:t xml:space="preserve">base de l’indicateur GALI </w:t>
      </w:r>
      <w:r w:rsidR="00B52CFF">
        <w:rPr>
          <w:rFonts w:ascii="Garamond" w:hAnsi="Garamond"/>
          <w:sz w:val="22"/>
          <w:szCs w:val="22"/>
        </w:rPr>
        <w:t>(</w:t>
      </w:r>
      <w:r w:rsidRPr="00B52CFF">
        <w:rPr>
          <w:rFonts w:ascii="Garamond" w:hAnsi="Garamond"/>
          <w:i/>
          <w:iCs/>
          <w:sz w:val="22"/>
          <w:szCs w:val="22"/>
        </w:rPr>
        <w:t>Global Activity Limitations Indicator</w:t>
      </w:r>
      <w:r w:rsidR="00B52CFF">
        <w:rPr>
          <w:rFonts w:ascii="Garamond" w:hAnsi="Garamond"/>
          <w:sz w:val="22"/>
          <w:szCs w:val="22"/>
        </w:rPr>
        <w:t>)</w:t>
      </w:r>
      <w:r w:rsidRPr="009E61C9">
        <w:rPr>
          <w:rFonts w:ascii="Garamond" w:hAnsi="Garamond"/>
          <w:sz w:val="22"/>
          <w:szCs w:val="22"/>
        </w:rPr>
        <w:t>, que l’EVBS est calculée régulièrement à partir d’une question générale sur l’incapacité posée dans le cadre de l’enquête EU-SILC</w:t>
      </w:r>
      <w:r w:rsidRPr="009E61C9">
        <w:rPr>
          <w:rStyle w:val="Appeldenotedefin"/>
          <w:rFonts w:ascii="Garamond" w:hAnsi="Garamond"/>
          <w:sz w:val="22"/>
          <w:szCs w:val="22"/>
        </w:rPr>
        <w:endnoteReference w:id="6"/>
      </w:r>
      <w:r w:rsidR="00B52CFF">
        <w:rPr>
          <w:rFonts w:ascii="Garamond" w:hAnsi="Garamond"/>
          <w:sz w:val="22"/>
          <w:szCs w:val="22"/>
        </w:rPr>
        <w:t>.</w:t>
      </w:r>
    </w:p>
    <w:p w14:paraId="1A968BE6" w14:textId="231C6858" w:rsidR="009E61C9" w:rsidRPr="009E61C9" w:rsidRDefault="009E61C9" w:rsidP="009E61C9">
      <w:pPr>
        <w:jc w:val="both"/>
        <w:rPr>
          <w:rFonts w:ascii="Garamond" w:hAnsi="Garamond"/>
          <w:sz w:val="22"/>
          <w:szCs w:val="22"/>
        </w:rPr>
      </w:pPr>
      <w:r w:rsidRPr="00D17E71">
        <w:rPr>
          <w:rFonts w:ascii="Garamond" w:hAnsi="Garamond"/>
          <w:sz w:val="22"/>
          <w:szCs w:val="22"/>
        </w:rPr>
        <w:t xml:space="preserve">Van Oyen </w:t>
      </w:r>
      <w:r w:rsidRPr="00D17E71">
        <w:rPr>
          <w:rFonts w:ascii="Garamond" w:hAnsi="Garamond"/>
          <w:i/>
          <w:iCs/>
          <w:sz w:val="22"/>
          <w:szCs w:val="22"/>
        </w:rPr>
        <w:t>et al</w:t>
      </w:r>
      <w:r w:rsidRPr="00D17E71">
        <w:rPr>
          <w:rFonts w:ascii="Garamond" w:hAnsi="Garamond"/>
          <w:sz w:val="22"/>
          <w:szCs w:val="22"/>
        </w:rPr>
        <w:t>. (2018) montrent que le GALI est un bon prédicteur de l’état de santé de la population, tant en</w:t>
      </w:r>
      <w:r w:rsidRPr="009E61C9">
        <w:rPr>
          <w:rFonts w:ascii="Garamond" w:hAnsi="Garamond"/>
          <w:sz w:val="22"/>
          <w:szCs w:val="22"/>
        </w:rPr>
        <w:t xml:space="preserve"> termes d’espérances de vie que de dépenses de santé. Crimmins</w:t>
      </w:r>
      <w:r w:rsidR="005054CE">
        <w:rPr>
          <w:rFonts w:ascii="Garamond" w:hAnsi="Garamond"/>
          <w:sz w:val="22"/>
          <w:szCs w:val="22"/>
        </w:rPr>
        <w:t xml:space="preserve"> </w:t>
      </w:r>
      <w:r w:rsidR="005054CE" w:rsidRPr="00103940">
        <w:rPr>
          <w:rFonts w:ascii="Garamond" w:hAnsi="Garamond"/>
          <w:i/>
          <w:iCs/>
          <w:sz w:val="22"/>
          <w:szCs w:val="22"/>
        </w:rPr>
        <w:t xml:space="preserve">et </w:t>
      </w:r>
      <w:r w:rsidR="00103940" w:rsidRPr="00103940">
        <w:rPr>
          <w:rFonts w:ascii="Garamond" w:hAnsi="Garamond"/>
          <w:i/>
          <w:iCs/>
          <w:sz w:val="22"/>
          <w:szCs w:val="22"/>
        </w:rPr>
        <w:t>al</w:t>
      </w:r>
      <w:r w:rsidR="00103940">
        <w:rPr>
          <w:rFonts w:ascii="Garamond" w:hAnsi="Garamond"/>
          <w:sz w:val="22"/>
          <w:szCs w:val="22"/>
        </w:rPr>
        <w:t xml:space="preserve">. </w:t>
      </w:r>
      <w:r w:rsidRPr="009E61C9">
        <w:rPr>
          <w:rFonts w:ascii="Garamond" w:hAnsi="Garamond"/>
          <w:sz w:val="22"/>
          <w:szCs w:val="22"/>
        </w:rPr>
        <w:t>(2018) ont examiné l’évolution de l’EVBS aux États-Unis depuis 1970 et montrent qu’elle a augmenté plus lentement que l’espérance de vie totale, ce qui indique une augmentation de la durée de vie avec des limitations fonctionnelles. Cambois et Robine (2017) s’intéressent également à l’évolution de l’EVBS</w:t>
      </w:r>
      <w:r w:rsidR="00D17E71">
        <w:rPr>
          <w:rFonts w:ascii="Garamond" w:hAnsi="Garamond"/>
          <w:sz w:val="22"/>
          <w:szCs w:val="22"/>
        </w:rPr>
        <w:t>,</w:t>
      </w:r>
      <w:r w:rsidRPr="009E61C9">
        <w:rPr>
          <w:rFonts w:ascii="Garamond" w:hAnsi="Garamond"/>
          <w:sz w:val="22"/>
          <w:szCs w:val="22"/>
        </w:rPr>
        <w:t xml:space="preserve"> mais en France et au cours de la période 2004-2015. Ils montrent ainsi que l’EVBS a stagné chez les femmes, en même temps que l’espérance de vie a connu une diminution et que l’état de santé général des plus âgés s’est amélioré. En étudiant les données européennes, Jagger </w:t>
      </w:r>
      <w:r w:rsidRPr="00D17E71">
        <w:rPr>
          <w:rFonts w:ascii="Garamond" w:hAnsi="Garamond"/>
          <w:i/>
          <w:iCs/>
          <w:sz w:val="22"/>
          <w:szCs w:val="22"/>
        </w:rPr>
        <w:t>et al</w:t>
      </w:r>
      <w:r w:rsidRPr="009E61C9">
        <w:rPr>
          <w:rFonts w:ascii="Garamond" w:hAnsi="Garamond"/>
          <w:sz w:val="22"/>
          <w:szCs w:val="22"/>
        </w:rPr>
        <w:t xml:space="preserve">. (2008) montrent que les inégalités en termes d’EVBS sont importantes et que les pays d’Europe </w:t>
      </w:r>
      <w:r w:rsidR="004824BE" w:rsidRPr="009E61C9">
        <w:rPr>
          <w:rFonts w:ascii="Garamond" w:hAnsi="Garamond"/>
          <w:sz w:val="22"/>
          <w:szCs w:val="22"/>
        </w:rPr>
        <w:t xml:space="preserve">du </w:t>
      </w:r>
      <w:r w:rsidR="004824BE">
        <w:rPr>
          <w:rFonts w:ascii="Garamond" w:hAnsi="Garamond"/>
          <w:sz w:val="22"/>
          <w:szCs w:val="22"/>
        </w:rPr>
        <w:t>S</w:t>
      </w:r>
      <w:r w:rsidR="004824BE" w:rsidRPr="009E61C9">
        <w:rPr>
          <w:rFonts w:ascii="Garamond" w:hAnsi="Garamond"/>
          <w:sz w:val="22"/>
          <w:szCs w:val="22"/>
        </w:rPr>
        <w:t xml:space="preserve">ud </w:t>
      </w:r>
      <w:r w:rsidRPr="009E61C9">
        <w:rPr>
          <w:rFonts w:ascii="Garamond" w:hAnsi="Garamond"/>
          <w:sz w:val="22"/>
          <w:szCs w:val="22"/>
        </w:rPr>
        <w:t xml:space="preserve">ont une EVBS supérieure à celle des pays du </w:t>
      </w:r>
      <w:r w:rsidR="00D17E71">
        <w:rPr>
          <w:rFonts w:ascii="Garamond" w:hAnsi="Garamond"/>
          <w:sz w:val="22"/>
          <w:szCs w:val="22"/>
        </w:rPr>
        <w:t>N</w:t>
      </w:r>
      <w:r w:rsidRPr="009E61C9">
        <w:rPr>
          <w:rFonts w:ascii="Garamond" w:hAnsi="Garamond"/>
          <w:sz w:val="22"/>
          <w:szCs w:val="22"/>
        </w:rPr>
        <w:t xml:space="preserve">ord. </w:t>
      </w:r>
    </w:p>
    <w:p w14:paraId="10722C70" w14:textId="0E5D9835" w:rsidR="009E61C9" w:rsidRPr="009E61C9" w:rsidRDefault="009E61C9" w:rsidP="009E61C9">
      <w:pPr>
        <w:jc w:val="both"/>
        <w:rPr>
          <w:rFonts w:ascii="Garamond" w:hAnsi="Garamond"/>
          <w:sz w:val="22"/>
          <w:szCs w:val="22"/>
        </w:rPr>
      </w:pPr>
      <w:r w:rsidRPr="009E61C9">
        <w:rPr>
          <w:rFonts w:ascii="Garamond" w:hAnsi="Garamond"/>
          <w:sz w:val="22"/>
          <w:szCs w:val="22"/>
        </w:rPr>
        <w:t>Le GALI, utilisé pour calculer ces EVBS, est donc considéré comme un bon prédicteur</w:t>
      </w:r>
      <w:r w:rsidR="00D17E71">
        <w:rPr>
          <w:rFonts w:ascii="Garamond" w:hAnsi="Garamond"/>
          <w:sz w:val="22"/>
          <w:szCs w:val="22"/>
        </w:rPr>
        <w:t>,</w:t>
      </w:r>
      <w:r w:rsidRPr="009E61C9">
        <w:rPr>
          <w:rFonts w:ascii="Garamond" w:hAnsi="Garamond"/>
          <w:sz w:val="22"/>
          <w:szCs w:val="22"/>
        </w:rPr>
        <w:t xml:space="preserve"> mais il est basé sur des réponses autodéclarées potentiellement sujettes à des disparités culturelles. Ainsi, par exemple, Jürges (2007) montrait que l</w:t>
      </w:r>
      <w:r w:rsidRPr="009E61C9">
        <w:rPr>
          <w:rStyle w:val="rynqvb"/>
          <w:rFonts w:ascii="Garamond" w:hAnsi="Garamond"/>
          <w:sz w:val="22"/>
          <w:szCs w:val="22"/>
          <w:lang w:val="fr-FR"/>
        </w:rPr>
        <w:t xml:space="preserve">es répondants danois et suédois avaient tendance à surestimer largement leur santé (par rapport à la moyenne), alors que les </w:t>
      </w:r>
      <w:r w:rsidR="00D17E71">
        <w:rPr>
          <w:rStyle w:val="rynqvb"/>
          <w:rFonts w:ascii="Garamond" w:hAnsi="Garamond"/>
          <w:sz w:val="22"/>
          <w:szCs w:val="22"/>
          <w:lang w:val="fr-FR"/>
        </w:rPr>
        <w:t xml:space="preserve">répondants </w:t>
      </w:r>
      <w:r w:rsidRPr="009E61C9">
        <w:rPr>
          <w:rStyle w:val="rynqvb"/>
          <w:rFonts w:ascii="Garamond" w:hAnsi="Garamond"/>
          <w:sz w:val="22"/>
          <w:szCs w:val="22"/>
          <w:lang w:val="fr-FR"/>
        </w:rPr>
        <w:t>allemands avaient plutôt tendance à la sous-estimer</w:t>
      </w:r>
      <w:r w:rsidRPr="009E61C9">
        <w:rPr>
          <w:rStyle w:val="Appeldenotedefin"/>
          <w:rFonts w:ascii="Garamond" w:hAnsi="Garamond"/>
          <w:sz w:val="22"/>
          <w:szCs w:val="22"/>
          <w:lang w:val="fr-FR"/>
        </w:rPr>
        <w:endnoteReference w:id="7"/>
      </w:r>
      <w:r w:rsidR="00D17E71">
        <w:rPr>
          <w:rStyle w:val="rynqvb"/>
          <w:rFonts w:ascii="Garamond" w:hAnsi="Garamond"/>
          <w:sz w:val="22"/>
          <w:szCs w:val="22"/>
          <w:lang w:val="fr-FR"/>
        </w:rPr>
        <w:t>.</w:t>
      </w:r>
      <w:r w:rsidRPr="009E61C9">
        <w:rPr>
          <w:rStyle w:val="rynqvb"/>
          <w:rFonts w:ascii="Garamond" w:hAnsi="Garamond"/>
          <w:sz w:val="22"/>
          <w:szCs w:val="22"/>
          <w:lang w:val="fr-FR"/>
        </w:rPr>
        <w:t xml:space="preserve"> Et il apparaît aussi, </w:t>
      </w:r>
      <w:r w:rsidRPr="009E61C9">
        <w:rPr>
          <w:rFonts w:ascii="Garamond" w:hAnsi="Garamond"/>
          <w:sz w:val="22"/>
          <w:szCs w:val="22"/>
        </w:rPr>
        <w:t>comme nous allons l’illustrer, que le GALI n’est pas un bon prédicteur des situations de dépendance.</w:t>
      </w:r>
    </w:p>
    <w:p w14:paraId="3339CB2E" w14:textId="77777777" w:rsidR="009E61C9" w:rsidRPr="009E61C9" w:rsidRDefault="009E61C9" w:rsidP="009E61C9">
      <w:pPr>
        <w:jc w:val="both"/>
        <w:rPr>
          <w:rFonts w:ascii="Garamond" w:hAnsi="Garamond"/>
          <w:sz w:val="22"/>
          <w:szCs w:val="22"/>
        </w:rPr>
      </w:pPr>
      <w:r w:rsidRPr="009E61C9">
        <w:rPr>
          <w:rFonts w:ascii="Garamond" w:hAnsi="Garamond"/>
          <w:sz w:val="22"/>
          <w:szCs w:val="22"/>
        </w:rPr>
        <w:t xml:space="preserve">En effet, la dépendance se définit comme l’impossibilité partielle ou totale pour une personne d’effectuer sans aide extérieure certains actes essentiels de la vie quotidienne, tels que se lever seul de son lit, se faire à manger, se laver ou aller aux toilettes. Bien que la dépendance ne soit pas une maladie, elle peut en être le résultat et est donc étroitement liée à l’état de santé. La question de l’espérance de vie sans dépendance est donc importante et il est essentiel de comprendre comment évolue la perte d’autonomie en fin de vie. </w:t>
      </w:r>
    </w:p>
    <w:p w14:paraId="67668CBC" w14:textId="6A8E1E8D" w:rsidR="009E61C9" w:rsidRPr="009E61C9" w:rsidRDefault="009E61C9" w:rsidP="009E61C9">
      <w:pPr>
        <w:jc w:val="both"/>
        <w:rPr>
          <w:rFonts w:ascii="Garamond" w:hAnsi="Garamond"/>
          <w:sz w:val="22"/>
          <w:szCs w:val="22"/>
        </w:rPr>
      </w:pPr>
      <w:r w:rsidRPr="009E61C9">
        <w:rPr>
          <w:rFonts w:ascii="Garamond" w:hAnsi="Garamond"/>
          <w:sz w:val="22"/>
          <w:szCs w:val="22"/>
        </w:rPr>
        <w:t xml:space="preserve">L’objectif de cet article est de voir si l’utilisation d’indicateurs </w:t>
      </w:r>
      <w:r w:rsidR="00CD0302">
        <w:rPr>
          <w:rFonts w:ascii="Garamond" w:hAnsi="Garamond"/>
          <w:sz w:val="22"/>
          <w:szCs w:val="22"/>
        </w:rPr>
        <w:t>d’incapacité alternatifs</w:t>
      </w:r>
      <w:r w:rsidRPr="009E61C9">
        <w:rPr>
          <w:rFonts w:ascii="Garamond" w:hAnsi="Garamond"/>
          <w:sz w:val="22"/>
          <w:szCs w:val="22"/>
        </w:rPr>
        <w:t xml:space="preserve"> au GALI permettrait de nuancer les estimations de l’EVBS rapportées dans la littérature, qui semblent excessives quand l’objectif est de le faire rapprocher de la notion d’espérance de vie sans dépendance. Ce sera aussi l’occasion de comparer ces résultats avec ceux obtenus sur </w:t>
      </w:r>
      <w:r w:rsidR="00D17E71">
        <w:rPr>
          <w:rFonts w:ascii="Garamond" w:hAnsi="Garamond"/>
          <w:sz w:val="22"/>
          <w:szCs w:val="22"/>
        </w:rPr>
        <w:t xml:space="preserve">la </w:t>
      </w:r>
      <w:r w:rsidRPr="009E61C9">
        <w:rPr>
          <w:rFonts w:ascii="Garamond" w:hAnsi="Garamond"/>
          <w:sz w:val="22"/>
          <w:szCs w:val="22"/>
        </w:rPr>
        <w:t>base d’un indicateur portant sur l’espérance de bonne qualité de vie. En effet, très souvent les indicateurs de santé comme l’</w:t>
      </w:r>
      <w:r w:rsidR="00F77848">
        <w:rPr>
          <w:rFonts w:ascii="Garamond" w:hAnsi="Garamond"/>
          <w:sz w:val="22"/>
          <w:szCs w:val="22"/>
        </w:rPr>
        <w:t>EVBS</w:t>
      </w:r>
      <w:r w:rsidRPr="009E61C9">
        <w:rPr>
          <w:rFonts w:ascii="Garamond" w:hAnsi="Garamond"/>
          <w:sz w:val="22"/>
          <w:szCs w:val="22"/>
        </w:rPr>
        <w:t xml:space="preserve"> sont considérés comme une bonne approximation de la qualité de vie. Cette analogie repose cependant sur des hypothèses normatives fortes, à savoir que la qualité de vie est faible lorsqu'on est en situation d’incapacité. Cependant, on constate que les personnes âgées et très âgées disposent potentiellement de stratégies efficaces pour s'adapter aux pertes associées à la vieillesse. Ainsi, il arrive souvent qu’ils fassent état d'une bonne qualité de vie malgré le déclin de leur état de santé. Pour y voir plus clair, nous nous servirons une fois encore de l’enquête SHARE, dont le questionnaire contient une batterie de questions permettant la construction d’un indicateur synthétique de la qualité de vie. Sur base de cet indicateur</w:t>
      </w:r>
      <w:r w:rsidR="00D17E71">
        <w:rPr>
          <w:rFonts w:ascii="Garamond" w:hAnsi="Garamond"/>
          <w:sz w:val="22"/>
          <w:szCs w:val="22"/>
        </w:rPr>
        <w:t>,</w:t>
      </w:r>
      <w:r w:rsidRPr="009E61C9">
        <w:rPr>
          <w:rFonts w:ascii="Garamond" w:hAnsi="Garamond"/>
          <w:sz w:val="22"/>
          <w:szCs w:val="22"/>
        </w:rPr>
        <w:t xml:space="preserve"> nous estimerons des espérances de bonne qualité de vie, qu</w:t>
      </w:r>
      <w:r w:rsidR="00D17E71">
        <w:rPr>
          <w:rFonts w:ascii="Garamond" w:hAnsi="Garamond"/>
          <w:sz w:val="22"/>
          <w:szCs w:val="22"/>
        </w:rPr>
        <w:t>e l</w:t>
      </w:r>
      <w:r w:rsidRPr="009E61C9">
        <w:rPr>
          <w:rFonts w:ascii="Garamond" w:hAnsi="Garamond"/>
          <w:sz w:val="22"/>
          <w:szCs w:val="22"/>
        </w:rPr>
        <w:t>’on pourra ensuite comparer aux espérances de vie en bonne santé estimées à partir des autres indicateurs.</w:t>
      </w:r>
    </w:p>
    <w:p w14:paraId="6AA63DBB" w14:textId="5CA6DB64" w:rsidR="009E61C9" w:rsidRPr="00D17E71" w:rsidRDefault="00D17E71" w:rsidP="00D17E71">
      <w:pPr>
        <w:jc w:val="center"/>
        <w:rPr>
          <w:rFonts w:ascii="Garamond" w:hAnsi="Garamond"/>
          <w:i/>
          <w:iCs/>
          <w:sz w:val="26"/>
          <w:szCs w:val="26"/>
        </w:rPr>
      </w:pPr>
      <w:bookmarkStart w:id="1" w:name="OLE_LINK1"/>
      <w:bookmarkStart w:id="2" w:name="OLE_LINK2"/>
      <w:r w:rsidRPr="00D17E71">
        <w:rPr>
          <w:rFonts w:ascii="Garamond" w:hAnsi="Garamond"/>
          <w:i/>
          <w:iCs/>
          <w:sz w:val="26"/>
          <w:szCs w:val="26"/>
        </w:rPr>
        <w:t>DONNÉES ET TAUX DE PRÉVALENCE</w:t>
      </w:r>
    </w:p>
    <w:p w14:paraId="696A3BE6" w14:textId="106B2307" w:rsidR="009E61C9" w:rsidRPr="009E61C9" w:rsidRDefault="009E61C9" w:rsidP="009E61C9">
      <w:pPr>
        <w:jc w:val="both"/>
        <w:rPr>
          <w:rFonts w:ascii="Garamond" w:hAnsi="Garamond"/>
          <w:sz w:val="22"/>
          <w:szCs w:val="22"/>
        </w:rPr>
      </w:pPr>
      <w:r w:rsidRPr="009E61C9">
        <w:rPr>
          <w:rFonts w:ascii="Garamond" w:hAnsi="Garamond"/>
          <w:sz w:val="22"/>
          <w:szCs w:val="22"/>
        </w:rPr>
        <w:t>Le calcul de l’EVBS pour une année donnée fait appel à trois informations, chacune d’entre elles déclinée par âge : la taille de la population en début d’année, le nombre de décès intervenus dans l’année, et le taux observé de prévalence (maladie, incapacité ou limitation) que l’on prendra en compte dans le calcul, lequel dans notre cas a été observé à partir de l'enquête SHARE</w:t>
      </w:r>
      <w:r w:rsidRPr="009E61C9">
        <w:rPr>
          <w:rStyle w:val="Appeldenotedefin"/>
          <w:rFonts w:ascii="Garamond" w:hAnsi="Garamond"/>
          <w:sz w:val="22"/>
          <w:szCs w:val="22"/>
        </w:rPr>
        <w:endnoteReference w:id="8"/>
      </w:r>
      <w:r w:rsidR="00D17E71">
        <w:rPr>
          <w:rFonts w:ascii="Garamond" w:hAnsi="Garamond"/>
          <w:sz w:val="22"/>
          <w:szCs w:val="22"/>
        </w:rPr>
        <w:t>.</w:t>
      </w:r>
      <w:r w:rsidRPr="009E61C9">
        <w:rPr>
          <w:rFonts w:ascii="Garamond" w:hAnsi="Garamond"/>
          <w:sz w:val="22"/>
          <w:szCs w:val="22"/>
        </w:rPr>
        <w:t xml:space="preserve"> Idéalement, quand ces informations sont également disponibles en fonction de différentes caractéristiques</w:t>
      </w:r>
      <w:r w:rsidR="00D17E71">
        <w:rPr>
          <w:rFonts w:ascii="Garamond" w:hAnsi="Garamond"/>
          <w:sz w:val="22"/>
          <w:szCs w:val="22"/>
        </w:rPr>
        <w:t>,</w:t>
      </w:r>
      <w:r w:rsidRPr="009E61C9">
        <w:rPr>
          <w:rFonts w:ascii="Garamond" w:hAnsi="Garamond"/>
          <w:sz w:val="22"/>
          <w:szCs w:val="22"/>
        </w:rPr>
        <w:t xml:space="preserve"> elles permettent une analyse plus détaillée. Ici, nous ferons la distinction surtout par pays et par sexe et aussi, mais à titre illustratif, par niveau d’éducation. Ce sera le cas du Danemark, </w:t>
      </w:r>
      <w:r w:rsidR="00D17E71">
        <w:rPr>
          <w:rFonts w:ascii="Garamond" w:hAnsi="Garamond"/>
          <w:sz w:val="22"/>
          <w:szCs w:val="22"/>
        </w:rPr>
        <w:t>l’</w:t>
      </w:r>
      <w:r w:rsidRPr="009E61C9">
        <w:rPr>
          <w:rFonts w:ascii="Garamond" w:hAnsi="Garamond"/>
          <w:sz w:val="22"/>
          <w:szCs w:val="22"/>
        </w:rPr>
        <w:t xml:space="preserve">un des seuls pays pour lequel les données démographiques sont également disponibles avec ce niveau de désagrégation. </w:t>
      </w:r>
    </w:p>
    <w:p w14:paraId="514F8E9F" w14:textId="6EC8D176" w:rsidR="009E61C9" w:rsidRPr="009E61C9" w:rsidRDefault="009E61C9" w:rsidP="009E61C9">
      <w:pPr>
        <w:jc w:val="both"/>
        <w:rPr>
          <w:rFonts w:ascii="Garamond" w:hAnsi="Garamond"/>
          <w:sz w:val="22"/>
          <w:szCs w:val="22"/>
        </w:rPr>
      </w:pPr>
      <w:r w:rsidRPr="009E61C9">
        <w:rPr>
          <w:rFonts w:ascii="Garamond" w:hAnsi="Garamond"/>
          <w:sz w:val="22"/>
          <w:szCs w:val="22"/>
        </w:rPr>
        <w:t>Les données de population sur lesquel</w:t>
      </w:r>
      <w:r w:rsidR="00D17E71">
        <w:rPr>
          <w:rFonts w:ascii="Garamond" w:hAnsi="Garamond"/>
          <w:sz w:val="22"/>
          <w:szCs w:val="22"/>
        </w:rPr>
        <w:t>les</w:t>
      </w:r>
      <w:r w:rsidRPr="009E61C9">
        <w:rPr>
          <w:rFonts w:ascii="Garamond" w:hAnsi="Garamond"/>
          <w:sz w:val="22"/>
          <w:szCs w:val="22"/>
        </w:rPr>
        <w:t xml:space="preserve"> nous nous basons sont disponibles à partir du </w:t>
      </w:r>
      <w:r w:rsidRPr="009E61C9">
        <w:rPr>
          <w:rFonts w:ascii="Garamond" w:hAnsi="Garamond"/>
          <w:i/>
          <w:sz w:val="22"/>
          <w:szCs w:val="22"/>
        </w:rPr>
        <w:t>Human Mortality Database</w:t>
      </w:r>
      <w:r w:rsidRPr="009E61C9">
        <w:rPr>
          <w:rFonts w:ascii="Garamond" w:hAnsi="Garamond"/>
          <w:sz w:val="22"/>
          <w:szCs w:val="22"/>
        </w:rPr>
        <w:t xml:space="preserve"> (HMD)</w:t>
      </w:r>
      <w:r w:rsidRPr="009E61C9">
        <w:rPr>
          <w:rStyle w:val="Appeldenotedefin"/>
          <w:rFonts w:ascii="Garamond" w:hAnsi="Garamond"/>
          <w:sz w:val="22"/>
          <w:szCs w:val="22"/>
        </w:rPr>
        <w:endnoteReference w:id="9"/>
      </w:r>
      <w:r w:rsidR="00D17E71">
        <w:rPr>
          <w:rFonts w:ascii="Garamond" w:hAnsi="Garamond"/>
          <w:sz w:val="22"/>
          <w:szCs w:val="22"/>
        </w:rPr>
        <w:t>.</w:t>
      </w:r>
      <w:r w:rsidRPr="009E61C9">
        <w:rPr>
          <w:rFonts w:ascii="Garamond" w:hAnsi="Garamond"/>
          <w:sz w:val="22"/>
          <w:szCs w:val="22"/>
        </w:rPr>
        <w:t xml:space="preserve"> HMD compile les données nationales de population et des décès par âge nécessaires pour établir des tables de mortalité et d’espérance de vie par sexe et par année sur une longue période. Pour notre usage, nous gardons l’année 2014 et recalculons l’espérance de vie à 50 ans. </w:t>
      </w:r>
    </w:p>
    <w:p w14:paraId="1505CB68" w14:textId="4C70EFDB" w:rsidR="000C6025" w:rsidRPr="009E61C9" w:rsidRDefault="000C6025" w:rsidP="000C6025">
      <w:pPr>
        <w:jc w:val="both"/>
        <w:rPr>
          <w:rFonts w:ascii="Garamond" w:hAnsi="Garamond"/>
          <w:sz w:val="22"/>
          <w:szCs w:val="22"/>
        </w:rPr>
      </w:pPr>
      <w:r w:rsidRPr="009E61C9">
        <w:rPr>
          <w:rFonts w:ascii="Garamond" w:hAnsi="Garamond"/>
          <w:sz w:val="22"/>
          <w:szCs w:val="22"/>
        </w:rPr>
        <w:t>Les taux de prévalence par âge, pays par pays et selon le sexe ont été estimés à partir de l’enquête SHARE, une enquête longitudinale qui se focalise sur trois grands thèmes : la santé, les conditions de vie et le réseau social des personnes de 50 ans et plus. Depuis 2004, l’enquête a suivi 140</w:t>
      </w:r>
      <w:r>
        <w:rPr>
          <w:rFonts w:ascii="Garamond" w:hAnsi="Garamond"/>
          <w:sz w:val="22"/>
          <w:szCs w:val="22"/>
        </w:rPr>
        <w:t xml:space="preserve"> </w:t>
      </w:r>
      <w:r w:rsidRPr="009E61C9">
        <w:rPr>
          <w:rFonts w:ascii="Garamond" w:hAnsi="Garamond"/>
          <w:sz w:val="22"/>
          <w:szCs w:val="22"/>
        </w:rPr>
        <w:t xml:space="preserve">000 personnes qui ont participé à une ou plusieurs éditions, une édition ou « vague » étant conduite tous les deux ans environ. Nous sélectionnons </w:t>
      </w:r>
      <w:r>
        <w:rPr>
          <w:rFonts w:ascii="Garamond" w:hAnsi="Garamond"/>
          <w:sz w:val="22"/>
          <w:szCs w:val="22"/>
        </w:rPr>
        <w:t>dix-huit</w:t>
      </w:r>
      <w:r w:rsidRPr="009E61C9">
        <w:rPr>
          <w:rFonts w:ascii="Garamond" w:hAnsi="Garamond"/>
          <w:sz w:val="22"/>
          <w:szCs w:val="22"/>
        </w:rPr>
        <w:t xml:space="preserve"> pays pour lesquels un échantillon suffisamment important existe pour réaliser nos analyses, et ce</w:t>
      </w:r>
      <w:r>
        <w:rPr>
          <w:rFonts w:ascii="Garamond" w:hAnsi="Garamond"/>
          <w:sz w:val="22"/>
          <w:szCs w:val="22"/>
        </w:rPr>
        <w:t>,</w:t>
      </w:r>
      <w:r w:rsidRPr="009E61C9">
        <w:rPr>
          <w:rFonts w:ascii="Garamond" w:hAnsi="Garamond"/>
          <w:sz w:val="22"/>
          <w:szCs w:val="22"/>
        </w:rPr>
        <w:t xml:space="preserve"> en combinant quatre vagues (4 à 7) s’étalant de 2011 à 2017. C’est à partir de ces observations que nous estimons les différentes probabilités (taux de prévalence) par âge, en fonction du pays et du sexe</w:t>
      </w:r>
      <w:r w:rsidRPr="009E61C9">
        <w:rPr>
          <w:rStyle w:val="Appeldenotedefin"/>
          <w:rFonts w:ascii="Garamond" w:hAnsi="Garamond"/>
          <w:sz w:val="22"/>
          <w:szCs w:val="22"/>
        </w:rPr>
        <w:endnoteReference w:id="10"/>
      </w:r>
      <w:r>
        <w:rPr>
          <w:rFonts w:ascii="Garamond" w:hAnsi="Garamond"/>
          <w:sz w:val="22"/>
          <w:szCs w:val="22"/>
        </w:rPr>
        <w:t>.</w:t>
      </w:r>
      <w:r w:rsidRPr="009E61C9">
        <w:rPr>
          <w:rFonts w:ascii="Garamond" w:hAnsi="Garamond"/>
          <w:sz w:val="22"/>
          <w:szCs w:val="22"/>
        </w:rPr>
        <w:t xml:space="preserve"> L’encadré </w:t>
      </w:r>
      <w:r>
        <w:rPr>
          <w:rFonts w:ascii="Garamond" w:hAnsi="Garamond"/>
          <w:sz w:val="22"/>
          <w:szCs w:val="22"/>
        </w:rPr>
        <w:t>(</w:t>
      </w:r>
      <w:r>
        <w:rPr>
          <w:rFonts w:ascii="Garamond" w:hAnsi="Garamond"/>
          <w:i/>
          <w:iCs/>
          <w:sz w:val="22"/>
          <w:szCs w:val="22"/>
        </w:rPr>
        <w:t>infra</w:t>
      </w:r>
      <w:r>
        <w:rPr>
          <w:rFonts w:ascii="Garamond" w:hAnsi="Garamond"/>
          <w:sz w:val="22"/>
          <w:szCs w:val="22"/>
        </w:rPr>
        <w:t>)</w:t>
      </w:r>
      <w:r w:rsidRPr="009E61C9">
        <w:rPr>
          <w:rFonts w:ascii="Garamond" w:hAnsi="Garamond"/>
          <w:sz w:val="22"/>
          <w:szCs w:val="22"/>
        </w:rPr>
        <w:t xml:space="preserve"> rappelle les questions pour mettre en place les </w:t>
      </w:r>
      <w:r>
        <w:rPr>
          <w:rFonts w:ascii="Garamond" w:hAnsi="Garamond"/>
          <w:sz w:val="22"/>
          <w:szCs w:val="22"/>
        </w:rPr>
        <w:t>trois</w:t>
      </w:r>
      <w:r w:rsidRPr="009E61C9">
        <w:rPr>
          <w:rFonts w:ascii="Garamond" w:hAnsi="Garamond"/>
          <w:sz w:val="22"/>
          <w:szCs w:val="22"/>
        </w:rPr>
        <w:t xml:space="preserve"> indicateurs.</w:t>
      </w:r>
    </w:p>
    <w:p w14:paraId="34D53CC4" w14:textId="360D7D5A" w:rsidR="009E61C9" w:rsidRDefault="009E61C9" w:rsidP="009E61C9">
      <w:pPr>
        <w:jc w:val="center"/>
        <w:rPr>
          <w:rFonts w:ascii="Garamond" w:hAnsi="Garamond"/>
          <w:sz w:val="22"/>
          <w:szCs w:val="22"/>
        </w:rPr>
      </w:pPr>
    </w:p>
    <w:p w14:paraId="162B226A" w14:textId="77777777" w:rsidR="00DC5E13" w:rsidRDefault="00DC5E13" w:rsidP="009E61C9">
      <w:pPr>
        <w:jc w:val="center"/>
        <w:rPr>
          <w:rFonts w:ascii="Garamond" w:hAnsi="Garamond"/>
          <w:sz w:val="22"/>
          <w:szCs w:val="22"/>
        </w:rPr>
      </w:pPr>
    </w:p>
    <w:p w14:paraId="4FBEB2D3" w14:textId="77777777" w:rsidR="00DC5E13" w:rsidRDefault="00DC5E13" w:rsidP="009E61C9">
      <w:pPr>
        <w:jc w:val="center"/>
        <w:rPr>
          <w:rFonts w:ascii="Garamond" w:hAnsi="Garamond"/>
          <w:sz w:val="22"/>
          <w:szCs w:val="22"/>
        </w:rPr>
      </w:pPr>
    </w:p>
    <w:p w14:paraId="47101AE5" w14:textId="77777777" w:rsidR="00DC5E13" w:rsidRDefault="00DC5E13" w:rsidP="009E61C9">
      <w:pPr>
        <w:jc w:val="center"/>
        <w:rPr>
          <w:rFonts w:ascii="Garamond" w:hAnsi="Garamond"/>
          <w:sz w:val="22"/>
          <w:szCs w:val="22"/>
        </w:rPr>
      </w:pPr>
    </w:p>
    <w:p w14:paraId="1154C2FA" w14:textId="77777777" w:rsidR="00DC5E13" w:rsidRDefault="00DC5E13" w:rsidP="009E61C9">
      <w:pPr>
        <w:jc w:val="center"/>
        <w:rPr>
          <w:rFonts w:ascii="Garamond" w:hAnsi="Garamond"/>
          <w:sz w:val="22"/>
          <w:szCs w:val="22"/>
        </w:rPr>
      </w:pPr>
    </w:p>
    <w:p w14:paraId="5C5C3D62" w14:textId="77777777" w:rsidR="00DC5E13" w:rsidRPr="009E61C9" w:rsidRDefault="00DC5E13" w:rsidP="009E61C9">
      <w:pPr>
        <w:jc w:val="center"/>
        <w:rPr>
          <w:rFonts w:ascii="Garamond" w:hAnsi="Garamond"/>
          <w:sz w:val="22"/>
          <w:szCs w:val="22"/>
        </w:rPr>
      </w:pPr>
    </w:p>
    <w:p w14:paraId="5DE233A8" w14:textId="7639F77C" w:rsidR="000C6025" w:rsidRPr="000C6025" w:rsidRDefault="009E61C9" w:rsidP="000C6025">
      <w:pPr>
        <w:pBdr>
          <w:top w:val="single" w:sz="4" w:space="1" w:color="auto"/>
          <w:left w:val="single" w:sz="4" w:space="4" w:color="auto"/>
          <w:bottom w:val="single" w:sz="4" w:space="1" w:color="auto"/>
          <w:right w:val="single" w:sz="4" w:space="4" w:color="auto"/>
        </w:pBdr>
        <w:jc w:val="center"/>
        <w:rPr>
          <w:rFonts w:ascii="Garamond" w:hAnsi="Garamond"/>
          <w:b/>
          <w:bCs/>
          <w:sz w:val="22"/>
          <w:szCs w:val="22"/>
        </w:rPr>
      </w:pPr>
      <w:r w:rsidRPr="000C6025">
        <w:rPr>
          <w:rFonts w:ascii="Garamond" w:hAnsi="Garamond"/>
          <w:b/>
          <w:bCs/>
          <w:sz w:val="22"/>
          <w:szCs w:val="22"/>
        </w:rPr>
        <w:t>Encadré </w:t>
      </w:r>
    </w:p>
    <w:p w14:paraId="54CA8BB0" w14:textId="77777777" w:rsidR="000C6025" w:rsidRDefault="009E61C9" w:rsidP="000C6025">
      <w:pPr>
        <w:pBdr>
          <w:top w:val="single" w:sz="4" w:space="1" w:color="auto"/>
          <w:left w:val="single" w:sz="4" w:space="4" w:color="auto"/>
          <w:bottom w:val="single" w:sz="4" w:space="1" w:color="auto"/>
          <w:right w:val="single" w:sz="4" w:space="4" w:color="auto"/>
        </w:pBdr>
        <w:jc w:val="center"/>
        <w:rPr>
          <w:rFonts w:ascii="Garamond" w:hAnsi="Garamond"/>
          <w:b/>
          <w:bCs/>
          <w:sz w:val="22"/>
          <w:szCs w:val="22"/>
        </w:rPr>
      </w:pPr>
      <w:r w:rsidRPr="000C6025">
        <w:rPr>
          <w:rFonts w:ascii="Garamond" w:hAnsi="Garamond"/>
          <w:b/>
          <w:bCs/>
          <w:sz w:val="22"/>
          <w:szCs w:val="22"/>
        </w:rPr>
        <w:t>Indicateurs binaires GALI, ADL et CASP</w:t>
      </w:r>
    </w:p>
    <w:p w14:paraId="30C52B19" w14:textId="452F96F1" w:rsidR="009E61C9" w:rsidRPr="009E61C9" w:rsidRDefault="00CD0302" w:rsidP="00263172">
      <w:pPr>
        <w:pBdr>
          <w:top w:val="single" w:sz="4" w:space="1" w:color="auto"/>
          <w:left w:val="single" w:sz="4" w:space="4" w:color="auto"/>
          <w:bottom w:val="single" w:sz="4" w:space="1" w:color="auto"/>
          <w:right w:val="single" w:sz="4" w:space="4" w:color="auto"/>
        </w:pBdr>
        <w:spacing w:before="120"/>
        <w:rPr>
          <w:rFonts w:ascii="Garamond" w:hAnsi="Garamond"/>
          <w:sz w:val="22"/>
          <w:szCs w:val="22"/>
          <w:u w:val="single"/>
        </w:rPr>
      </w:pPr>
      <w:r w:rsidRPr="00CD0302">
        <w:rPr>
          <w:rFonts w:ascii="Garamond" w:hAnsi="Garamond"/>
          <w:sz w:val="22"/>
          <w:szCs w:val="22"/>
          <w:u w:val="single"/>
        </w:rPr>
        <w:t>GALI, Indicateur global de limitations d’activité (</w:t>
      </w:r>
      <w:r w:rsidRPr="00CD0302">
        <w:rPr>
          <w:rFonts w:ascii="Garamond" w:hAnsi="Garamond"/>
          <w:i/>
          <w:sz w:val="22"/>
          <w:szCs w:val="22"/>
          <w:u w:val="single"/>
        </w:rPr>
        <w:t>Global Activity Limitations Indicator</w:t>
      </w:r>
      <w:r w:rsidRPr="00CD0302">
        <w:rPr>
          <w:rFonts w:ascii="Garamond" w:hAnsi="Garamond"/>
          <w:sz w:val="22"/>
          <w:szCs w:val="22"/>
          <w:u w:val="single"/>
        </w:rPr>
        <w:t>)</w:t>
      </w:r>
    </w:p>
    <w:p w14:paraId="0D80C425" w14:textId="06F25930" w:rsidR="000C6025" w:rsidRPr="00263172" w:rsidRDefault="009E61C9" w:rsidP="000C6025">
      <w:pPr>
        <w:pBdr>
          <w:top w:val="single" w:sz="4" w:space="1" w:color="auto"/>
          <w:left w:val="single" w:sz="4" w:space="4" w:color="auto"/>
          <w:bottom w:val="single" w:sz="4" w:space="1" w:color="auto"/>
          <w:right w:val="single" w:sz="4" w:space="4" w:color="auto"/>
        </w:pBdr>
        <w:jc w:val="both"/>
        <w:rPr>
          <w:rFonts w:ascii="Garamond" w:hAnsi="Garamond"/>
          <w:sz w:val="22"/>
          <w:szCs w:val="22"/>
        </w:rPr>
      </w:pPr>
      <w:r w:rsidRPr="009E61C9">
        <w:rPr>
          <w:rFonts w:ascii="Garamond" w:hAnsi="Garamond"/>
          <w:sz w:val="22"/>
          <w:szCs w:val="22"/>
        </w:rPr>
        <w:t xml:space="preserve">Question SHARE PH005 : </w:t>
      </w:r>
      <w:r w:rsidRPr="00263172">
        <w:rPr>
          <w:rFonts w:ascii="Garamond" w:hAnsi="Garamond"/>
          <w:sz w:val="22"/>
          <w:szCs w:val="22"/>
        </w:rPr>
        <w:t xml:space="preserve">« Depuis au moins six mois, vous sentez-vous limité(e) à entreprendre des activités de la vie quotidienne </w:t>
      </w:r>
      <w:r w:rsidR="00263172">
        <w:rPr>
          <w:rFonts w:ascii="Garamond" w:hAnsi="Garamond"/>
          <w:sz w:val="22"/>
          <w:szCs w:val="22"/>
        </w:rPr>
        <w:t xml:space="preserve">à la </w:t>
      </w:r>
      <w:r w:rsidRPr="00263172">
        <w:rPr>
          <w:rFonts w:ascii="Garamond" w:hAnsi="Garamond"/>
          <w:sz w:val="22"/>
          <w:szCs w:val="22"/>
        </w:rPr>
        <w:t xml:space="preserve">suite </w:t>
      </w:r>
      <w:r w:rsidR="00263172">
        <w:rPr>
          <w:rFonts w:ascii="Garamond" w:hAnsi="Garamond"/>
          <w:sz w:val="22"/>
          <w:szCs w:val="22"/>
        </w:rPr>
        <w:t>d’</w:t>
      </w:r>
      <w:r w:rsidRPr="00263172">
        <w:rPr>
          <w:rFonts w:ascii="Garamond" w:hAnsi="Garamond"/>
          <w:sz w:val="22"/>
          <w:szCs w:val="22"/>
        </w:rPr>
        <w:t>un problème de santé ? »</w:t>
      </w:r>
    </w:p>
    <w:p w14:paraId="54E9F860" w14:textId="4792E808" w:rsidR="000C6025"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1- </w:t>
      </w:r>
      <w:r w:rsidR="009E61C9" w:rsidRPr="00263172">
        <w:rPr>
          <w:rFonts w:ascii="Garamond" w:hAnsi="Garamond"/>
          <w:sz w:val="22"/>
          <w:szCs w:val="22"/>
        </w:rPr>
        <w:t>Fortement limité(e)</w:t>
      </w:r>
    </w:p>
    <w:p w14:paraId="481BC071" w14:textId="436FC349" w:rsidR="000C6025"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2- </w:t>
      </w:r>
      <w:r w:rsidR="009E61C9" w:rsidRPr="00263172">
        <w:rPr>
          <w:rFonts w:ascii="Garamond" w:hAnsi="Garamond"/>
          <w:sz w:val="22"/>
          <w:szCs w:val="22"/>
        </w:rPr>
        <w:t>Limité(e), mais pas fortement</w:t>
      </w:r>
    </w:p>
    <w:p w14:paraId="60F9133F" w14:textId="5F85CDC7" w:rsidR="009E61C9"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3- </w:t>
      </w:r>
      <w:r w:rsidR="009E61C9" w:rsidRPr="00263172">
        <w:rPr>
          <w:rFonts w:ascii="Garamond" w:hAnsi="Garamond"/>
          <w:sz w:val="22"/>
          <w:szCs w:val="22"/>
        </w:rPr>
        <w:t>Absolument pas limité(e)</w:t>
      </w:r>
    </w:p>
    <w:p w14:paraId="16AE3DDA" w14:textId="1F960D4F" w:rsidR="000C6025" w:rsidRDefault="00263172" w:rsidP="00280EB1">
      <w:pPr>
        <w:pBdr>
          <w:top w:val="single" w:sz="4" w:space="1" w:color="auto"/>
          <w:left w:val="single" w:sz="4" w:space="4" w:color="auto"/>
          <w:bottom w:val="single" w:sz="4" w:space="1" w:color="auto"/>
          <w:right w:val="single" w:sz="4" w:space="4" w:color="auto"/>
        </w:pBdr>
        <w:ind w:firstLine="567"/>
        <w:rPr>
          <w:rFonts w:ascii="Garamond" w:hAnsi="Garamond"/>
          <w:sz w:val="22"/>
          <w:szCs w:val="22"/>
        </w:rPr>
      </w:pPr>
      <w:r>
        <w:rPr>
          <w:rFonts w:ascii="Garamond" w:hAnsi="Garamond"/>
          <w:sz w:val="22"/>
          <w:szCs w:val="22"/>
        </w:rPr>
        <w:t xml:space="preserve">→ </w:t>
      </w:r>
      <w:r w:rsidR="009E61C9" w:rsidRPr="009E61C9">
        <w:rPr>
          <w:rFonts w:ascii="Garamond" w:hAnsi="Garamond"/>
          <w:sz w:val="22"/>
          <w:szCs w:val="22"/>
        </w:rPr>
        <w:t>Catégorisation : si PH005 = 1 : GALI = 1 ; si PH005 &gt; 1 : GALI = 0</w:t>
      </w:r>
    </w:p>
    <w:p w14:paraId="1C917900" w14:textId="2AA9029C" w:rsidR="009E61C9" w:rsidRPr="00263172" w:rsidRDefault="00CD0302" w:rsidP="00263172">
      <w:pPr>
        <w:pBdr>
          <w:top w:val="single" w:sz="4" w:space="1" w:color="auto"/>
          <w:left w:val="single" w:sz="4" w:space="4" w:color="auto"/>
          <w:bottom w:val="single" w:sz="4" w:space="1" w:color="auto"/>
          <w:right w:val="single" w:sz="4" w:space="4" w:color="auto"/>
        </w:pBdr>
        <w:spacing w:before="120"/>
        <w:rPr>
          <w:rFonts w:ascii="Garamond" w:hAnsi="Garamond"/>
          <w:bCs/>
          <w:sz w:val="22"/>
          <w:szCs w:val="22"/>
          <w:u w:val="single"/>
        </w:rPr>
      </w:pPr>
      <w:r>
        <w:rPr>
          <w:rFonts w:ascii="Garamond" w:hAnsi="Garamond"/>
          <w:sz w:val="22"/>
          <w:szCs w:val="22"/>
          <w:u w:val="single"/>
        </w:rPr>
        <w:t xml:space="preserve">ADL, </w:t>
      </w:r>
      <w:r w:rsidR="009E61C9" w:rsidRPr="009E61C9">
        <w:rPr>
          <w:rFonts w:ascii="Garamond" w:hAnsi="Garamond"/>
          <w:sz w:val="22"/>
          <w:szCs w:val="22"/>
          <w:u w:val="single"/>
        </w:rPr>
        <w:t xml:space="preserve">Indicateur lié aux limitations dans les activités de la vie courante </w:t>
      </w:r>
      <w:r w:rsidRPr="00CD0302">
        <w:rPr>
          <w:rFonts w:ascii="Garamond" w:hAnsi="Garamond"/>
          <w:bCs/>
          <w:i/>
          <w:sz w:val="22"/>
          <w:szCs w:val="22"/>
          <w:u w:val="single"/>
        </w:rPr>
        <w:t>(Activities of Daily Living)</w:t>
      </w:r>
    </w:p>
    <w:p w14:paraId="10DB1DFC" w14:textId="77777777" w:rsidR="000C6025" w:rsidRPr="00263172" w:rsidRDefault="009E61C9" w:rsidP="000C6025">
      <w:pPr>
        <w:pBdr>
          <w:top w:val="single" w:sz="4" w:space="1" w:color="auto"/>
          <w:left w:val="single" w:sz="4" w:space="4" w:color="auto"/>
          <w:bottom w:val="single" w:sz="4" w:space="1" w:color="auto"/>
          <w:right w:val="single" w:sz="4" w:space="4" w:color="auto"/>
        </w:pBdr>
        <w:jc w:val="both"/>
        <w:rPr>
          <w:rFonts w:ascii="Garamond" w:hAnsi="Garamond"/>
          <w:sz w:val="22"/>
          <w:szCs w:val="22"/>
        </w:rPr>
      </w:pPr>
      <w:r w:rsidRPr="009E61C9">
        <w:rPr>
          <w:rFonts w:ascii="Garamond" w:hAnsi="Garamond"/>
          <w:sz w:val="22"/>
          <w:szCs w:val="22"/>
        </w:rPr>
        <w:t xml:space="preserve">Question SHARE PH048 : </w:t>
      </w:r>
      <w:r w:rsidRPr="00263172">
        <w:rPr>
          <w:rFonts w:ascii="Garamond" w:hAnsi="Garamond"/>
          <w:sz w:val="22"/>
          <w:szCs w:val="22"/>
        </w:rPr>
        <w:t>« Pourriez-vous m'indiquer si vous éprouvez des difficultés à accomplir certaines des activités mentionnées sur cette fiche ? Ne tenez pas compte des difficultés passagères qui, selon vous, n'excéderont pas trois mois. »</w:t>
      </w:r>
    </w:p>
    <w:p w14:paraId="2FB32BC0" w14:textId="20F5802A" w:rsidR="000C6025"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1- </w:t>
      </w:r>
      <w:r w:rsidR="009E61C9" w:rsidRPr="00263172">
        <w:rPr>
          <w:rFonts w:ascii="Garamond" w:hAnsi="Garamond"/>
          <w:sz w:val="22"/>
          <w:szCs w:val="22"/>
        </w:rPr>
        <w:t>S’habiller, y compris mettre ses chaussures et ses chaussettes</w:t>
      </w:r>
    </w:p>
    <w:p w14:paraId="6B9B5C29" w14:textId="049C3994" w:rsidR="000C6025"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2- </w:t>
      </w:r>
      <w:r w:rsidR="009E61C9" w:rsidRPr="00263172">
        <w:rPr>
          <w:rFonts w:ascii="Garamond" w:hAnsi="Garamond"/>
          <w:sz w:val="22"/>
          <w:szCs w:val="22"/>
        </w:rPr>
        <w:t>Marcher à travers une pièce</w:t>
      </w:r>
    </w:p>
    <w:p w14:paraId="4A9E67FF" w14:textId="360C7BE6" w:rsidR="000C6025"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3- </w:t>
      </w:r>
      <w:r w:rsidR="009E61C9" w:rsidRPr="00263172">
        <w:rPr>
          <w:rFonts w:ascii="Garamond" w:hAnsi="Garamond"/>
          <w:sz w:val="22"/>
          <w:szCs w:val="22"/>
        </w:rPr>
        <w:t>Prendre son bain ou sa douche</w:t>
      </w:r>
    </w:p>
    <w:p w14:paraId="39B77CC1" w14:textId="63512CAC" w:rsidR="000C6025"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4- </w:t>
      </w:r>
      <w:r w:rsidR="009E61C9" w:rsidRPr="00263172">
        <w:rPr>
          <w:rFonts w:ascii="Garamond" w:hAnsi="Garamond"/>
          <w:sz w:val="22"/>
          <w:szCs w:val="22"/>
        </w:rPr>
        <w:t>Manger, par exemple couper les aliments</w:t>
      </w:r>
    </w:p>
    <w:p w14:paraId="126A6BC2" w14:textId="1B607593" w:rsidR="000C6025"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5- </w:t>
      </w:r>
      <w:r w:rsidR="009E61C9" w:rsidRPr="00263172">
        <w:rPr>
          <w:rFonts w:ascii="Garamond" w:hAnsi="Garamond"/>
          <w:sz w:val="22"/>
          <w:szCs w:val="22"/>
        </w:rPr>
        <w:t>Se lever du lit ou s</w:t>
      </w:r>
      <w:r>
        <w:rPr>
          <w:rFonts w:ascii="Garamond" w:hAnsi="Garamond"/>
          <w:sz w:val="22"/>
          <w:szCs w:val="22"/>
        </w:rPr>
        <w:t>e</w:t>
      </w:r>
      <w:r w:rsidR="009E61C9" w:rsidRPr="00263172">
        <w:rPr>
          <w:rFonts w:ascii="Garamond" w:hAnsi="Garamond"/>
          <w:sz w:val="22"/>
          <w:szCs w:val="22"/>
        </w:rPr>
        <w:t xml:space="preserve"> couche</w:t>
      </w:r>
      <w:r>
        <w:rPr>
          <w:rFonts w:ascii="Garamond" w:hAnsi="Garamond"/>
          <w:sz w:val="22"/>
          <w:szCs w:val="22"/>
        </w:rPr>
        <w:t>r</w:t>
      </w:r>
    </w:p>
    <w:p w14:paraId="35D29567" w14:textId="7003F815" w:rsidR="009E61C9" w:rsidRPr="00263172" w:rsidRDefault="00263172" w:rsidP="00263172">
      <w:pPr>
        <w:pBdr>
          <w:top w:val="single" w:sz="4" w:space="1" w:color="auto"/>
          <w:left w:val="single" w:sz="4" w:space="4" w:color="auto"/>
          <w:bottom w:val="single" w:sz="4" w:space="1" w:color="auto"/>
          <w:right w:val="single" w:sz="4" w:space="4" w:color="auto"/>
        </w:pBdr>
        <w:ind w:firstLine="708"/>
        <w:jc w:val="both"/>
        <w:rPr>
          <w:rFonts w:ascii="Garamond" w:hAnsi="Garamond"/>
          <w:sz w:val="22"/>
          <w:szCs w:val="22"/>
        </w:rPr>
      </w:pPr>
      <w:r w:rsidRPr="00263172">
        <w:rPr>
          <w:rFonts w:ascii="Garamond" w:hAnsi="Garamond"/>
          <w:sz w:val="22"/>
          <w:szCs w:val="22"/>
        </w:rPr>
        <w:t xml:space="preserve">6- </w:t>
      </w:r>
      <w:r w:rsidR="009E61C9" w:rsidRPr="00263172">
        <w:rPr>
          <w:rFonts w:ascii="Garamond" w:hAnsi="Garamond"/>
          <w:sz w:val="22"/>
          <w:szCs w:val="22"/>
        </w:rPr>
        <w:t>Utiliser les toilettes, y compris se lever et s’asseoir</w:t>
      </w:r>
    </w:p>
    <w:p w14:paraId="786AF44B" w14:textId="668402F4" w:rsidR="000C6025" w:rsidRDefault="00263172" w:rsidP="00280EB1">
      <w:pPr>
        <w:pBdr>
          <w:top w:val="single" w:sz="4" w:space="1" w:color="auto"/>
          <w:left w:val="single" w:sz="4" w:space="4" w:color="auto"/>
          <w:bottom w:val="single" w:sz="4" w:space="1" w:color="auto"/>
          <w:right w:val="single" w:sz="4" w:space="4" w:color="auto"/>
        </w:pBdr>
        <w:ind w:firstLine="567"/>
        <w:rPr>
          <w:rFonts w:ascii="Garamond" w:hAnsi="Garamond"/>
          <w:sz w:val="22"/>
          <w:szCs w:val="22"/>
        </w:rPr>
      </w:pPr>
      <w:r>
        <w:rPr>
          <w:rFonts w:ascii="Garamond" w:hAnsi="Garamond"/>
          <w:sz w:val="22"/>
          <w:szCs w:val="22"/>
        </w:rPr>
        <w:t xml:space="preserve">→ </w:t>
      </w:r>
      <w:r w:rsidR="009E61C9" w:rsidRPr="009E61C9">
        <w:rPr>
          <w:rFonts w:ascii="Garamond" w:hAnsi="Garamond"/>
          <w:sz w:val="22"/>
          <w:szCs w:val="22"/>
        </w:rPr>
        <w:t>Catégorisation : si PH048 &gt;= 2 : ADL = 1 ; si PH048 &lt;</w:t>
      </w:r>
      <w:r>
        <w:rPr>
          <w:rFonts w:ascii="Garamond" w:hAnsi="Garamond"/>
          <w:sz w:val="22"/>
          <w:szCs w:val="22"/>
        </w:rPr>
        <w:t xml:space="preserve"> </w:t>
      </w:r>
      <w:r w:rsidR="009E61C9" w:rsidRPr="009E61C9">
        <w:rPr>
          <w:rFonts w:ascii="Garamond" w:hAnsi="Garamond"/>
          <w:sz w:val="22"/>
          <w:szCs w:val="22"/>
        </w:rPr>
        <w:t>2 : ADL = 0</w:t>
      </w:r>
    </w:p>
    <w:p w14:paraId="2E4F917E" w14:textId="406CC4C0" w:rsidR="009E61C9" w:rsidRPr="009E61C9" w:rsidRDefault="00CD0302" w:rsidP="00370986">
      <w:pPr>
        <w:pBdr>
          <w:top w:val="single" w:sz="4" w:space="1" w:color="auto"/>
          <w:left w:val="single" w:sz="4" w:space="4" w:color="auto"/>
          <w:bottom w:val="single" w:sz="4" w:space="1" w:color="auto"/>
          <w:right w:val="single" w:sz="4" w:space="4" w:color="auto"/>
        </w:pBdr>
        <w:spacing w:before="120"/>
        <w:rPr>
          <w:rFonts w:ascii="Garamond" w:hAnsi="Garamond"/>
          <w:b/>
          <w:sz w:val="22"/>
          <w:szCs w:val="22"/>
          <w:u w:val="single"/>
        </w:rPr>
      </w:pPr>
      <w:r>
        <w:rPr>
          <w:rFonts w:ascii="Garamond" w:hAnsi="Garamond"/>
          <w:sz w:val="22"/>
          <w:szCs w:val="22"/>
          <w:u w:val="single"/>
        </w:rPr>
        <w:t xml:space="preserve">CASP, </w:t>
      </w:r>
      <w:r w:rsidR="009E61C9" w:rsidRPr="009E61C9">
        <w:rPr>
          <w:rFonts w:ascii="Garamond" w:hAnsi="Garamond"/>
          <w:sz w:val="22"/>
          <w:szCs w:val="22"/>
          <w:u w:val="single"/>
        </w:rPr>
        <w:t xml:space="preserve">Indicateur lié à l’échelle de qualité de vie </w:t>
      </w:r>
      <w:r w:rsidR="009E61C9" w:rsidRPr="00370986">
        <w:rPr>
          <w:rFonts w:ascii="Garamond" w:hAnsi="Garamond"/>
          <w:bCs/>
          <w:sz w:val="22"/>
          <w:szCs w:val="22"/>
          <w:u w:val="single"/>
        </w:rPr>
        <w:t>(</w:t>
      </w:r>
      <w:r w:rsidR="001853F5" w:rsidRPr="001853F5">
        <w:rPr>
          <w:rFonts w:ascii="Garamond" w:hAnsi="Garamond"/>
          <w:i/>
          <w:sz w:val="22"/>
          <w:szCs w:val="22"/>
          <w:u w:val="single"/>
        </w:rPr>
        <w:t>Control, Autonomy, Self-Realisation and Pleasure</w:t>
      </w:r>
      <w:r w:rsidR="009E61C9" w:rsidRPr="001853F5">
        <w:rPr>
          <w:rFonts w:ascii="Garamond" w:hAnsi="Garamond"/>
          <w:bCs/>
          <w:sz w:val="22"/>
          <w:szCs w:val="22"/>
          <w:u w:val="single"/>
        </w:rPr>
        <w:t>)</w:t>
      </w:r>
    </w:p>
    <w:p w14:paraId="714FCA9B" w14:textId="79EBEBB6" w:rsidR="009E61C9" w:rsidRPr="00370986" w:rsidRDefault="009E61C9" w:rsidP="000C6025">
      <w:pPr>
        <w:pBdr>
          <w:top w:val="single" w:sz="4" w:space="1" w:color="auto"/>
          <w:left w:val="single" w:sz="4" w:space="4" w:color="auto"/>
          <w:bottom w:val="single" w:sz="4" w:space="1" w:color="auto"/>
          <w:right w:val="single" w:sz="4" w:space="4" w:color="auto"/>
        </w:pBdr>
        <w:jc w:val="both"/>
        <w:rPr>
          <w:rFonts w:ascii="Garamond" w:hAnsi="Garamond"/>
          <w:sz w:val="22"/>
          <w:szCs w:val="22"/>
        </w:rPr>
      </w:pPr>
      <w:r w:rsidRPr="009E61C9">
        <w:rPr>
          <w:rFonts w:ascii="Garamond" w:hAnsi="Garamond"/>
          <w:sz w:val="22"/>
          <w:szCs w:val="22"/>
        </w:rPr>
        <w:t xml:space="preserve">Questions SHARE AC013-AC025 : </w:t>
      </w:r>
      <w:r w:rsidRPr="00370986">
        <w:rPr>
          <w:rFonts w:ascii="Garamond" w:hAnsi="Garamond"/>
          <w:sz w:val="22"/>
          <w:szCs w:val="22"/>
        </w:rPr>
        <w:t>« Je vais à présent vous lire une série de phrases utilisées par certaines personnes pour décrire leur vie ou comment elles se sentent actuellement. Nous aimerions savoir à quelle fréquence vous avez eu les pensées ou les sentiments suivants, si du moins c'est le cas</w:t>
      </w:r>
      <w:r w:rsidR="00370986">
        <w:rPr>
          <w:rFonts w:ascii="Garamond" w:hAnsi="Garamond"/>
          <w:sz w:val="22"/>
          <w:szCs w:val="22"/>
        </w:rPr>
        <w:t xml:space="preserve"> </w:t>
      </w:r>
      <w:r w:rsidRPr="00370986">
        <w:rPr>
          <w:rFonts w:ascii="Garamond" w:hAnsi="Garamond"/>
          <w:sz w:val="22"/>
          <w:szCs w:val="22"/>
        </w:rPr>
        <w:t xml:space="preserve">: souvent, parfois, rarement ou jamais. » </w:t>
      </w:r>
    </w:p>
    <w:p w14:paraId="6C7C6D0B" w14:textId="77777777" w:rsidR="009E61C9" w:rsidRPr="009E61C9" w:rsidRDefault="009E61C9" w:rsidP="000C6025">
      <w:pPr>
        <w:pBdr>
          <w:top w:val="single" w:sz="4" w:space="1" w:color="auto"/>
          <w:left w:val="single" w:sz="4" w:space="4" w:color="auto"/>
          <w:bottom w:val="single" w:sz="4" w:space="1" w:color="auto"/>
          <w:right w:val="single" w:sz="4" w:space="4" w:color="auto"/>
        </w:pBdr>
        <w:jc w:val="both"/>
        <w:rPr>
          <w:rFonts w:ascii="Garamond" w:hAnsi="Garamond"/>
          <w:sz w:val="22"/>
          <w:szCs w:val="22"/>
        </w:rPr>
      </w:pPr>
      <w:r w:rsidRPr="009E61C9">
        <w:rPr>
          <w:rFonts w:ascii="Garamond" w:hAnsi="Garamond"/>
          <w:sz w:val="22"/>
          <w:szCs w:val="22"/>
        </w:rPr>
        <w:t>Le score obtenu va de 12 (le répondant déclare ne jamais avoir eu les pensées mentionnées) à 48 (à l’inverse, le répondant déclare avoir souvent eu les pensées mentionnées).</w:t>
      </w:r>
    </w:p>
    <w:p w14:paraId="76A8D68E" w14:textId="77777777" w:rsidR="009E61C9" w:rsidRPr="009E61C9" w:rsidRDefault="009E61C9" w:rsidP="000C6025">
      <w:pPr>
        <w:pBdr>
          <w:top w:val="single" w:sz="4" w:space="1" w:color="auto"/>
          <w:left w:val="single" w:sz="4" w:space="4" w:color="auto"/>
          <w:bottom w:val="single" w:sz="4" w:space="1" w:color="auto"/>
          <w:right w:val="single" w:sz="4" w:space="4" w:color="auto"/>
        </w:pBdr>
        <w:jc w:val="both"/>
        <w:rPr>
          <w:rFonts w:ascii="Garamond" w:hAnsi="Garamond"/>
          <w:sz w:val="22"/>
          <w:szCs w:val="22"/>
        </w:rPr>
      </w:pPr>
      <w:r w:rsidRPr="009E61C9">
        <w:rPr>
          <w:rFonts w:ascii="Garamond" w:hAnsi="Garamond"/>
          <w:sz w:val="22"/>
          <w:szCs w:val="22"/>
        </w:rPr>
        <w:t>Exemples :</w:t>
      </w:r>
    </w:p>
    <w:p w14:paraId="463BEDD0" w14:textId="6FD2C24C" w:rsidR="009E61C9" w:rsidRPr="00280EB1" w:rsidRDefault="00280EB1" w:rsidP="00280EB1">
      <w:pPr>
        <w:pBdr>
          <w:top w:val="single" w:sz="4" w:space="1" w:color="auto"/>
          <w:left w:val="single" w:sz="4" w:space="4" w:color="auto"/>
          <w:bottom w:val="single" w:sz="4" w:space="1" w:color="auto"/>
          <w:right w:val="single" w:sz="4" w:space="4" w:color="auto"/>
        </w:pBdr>
        <w:ind w:firstLine="284"/>
        <w:jc w:val="both"/>
        <w:rPr>
          <w:rFonts w:ascii="Garamond" w:hAnsi="Garamond"/>
          <w:sz w:val="22"/>
          <w:szCs w:val="22"/>
        </w:rPr>
      </w:pPr>
      <w:r>
        <w:rPr>
          <w:rFonts w:ascii="Garamond" w:hAnsi="Garamond"/>
          <w:sz w:val="22"/>
          <w:szCs w:val="22"/>
        </w:rPr>
        <w:t xml:space="preserve">- </w:t>
      </w:r>
      <w:r w:rsidR="009E61C9" w:rsidRPr="009E61C9">
        <w:rPr>
          <w:rFonts w:ascii="Garamond" w:hAnsi="Garamond"/>
          <w:sz w:val="22"/>
          <w:szCs w:val="22"/>
        </w:rPr>
        <w:t>Contrôle</w:t>
      </w:r>
      <w:r>
        <w:rPr>
          <w:rFonts w:ascii="Garamond" w:hAnsi="Garamond"/>
          <w:sz w:val="22"/>
          <w:szCs w:val="22"/>
        </w:rPr>
        <w:t xml:space="preserve"> </w:t>
      </w:r>
      <w:r w:rsidR="009E61C9" w:rsidRPr="009E61C9">
        <w:rPr>
          <w:rFonts w:ascii="Garamond" w:hAnsi="Garamond"/>
          <w:sz w:val="22"/>
          <w:szCs w:val="22"/>
        </w:rPr>
        <w:t>:</w:t>
      </w:r>
      <w:r w:rsidR="009E61C9" w:rsidRPr="009E61C9">
        <w:rPr>
          <w:rFonts w:ascii="Garamond" w:hAnsi="Garamond"/>
          <w:i/>
          <w:iCs/>
          <w:sz w:val="22"/>
          <w:szCs w:val="22"/>
        </w:rPr>
        <w:t xml:space="preserve"> </w:t>
      </w:r>
      <w:r w:rsidR="009E61C9" w:rsidRPr="00280EB1">
        <w:rPr>
          <w:rFonts w:ascii="Garamond" w:hAnsi="Garamond"/>
          <w:sz w:val="22"/>
          <w:szCs w:val="22"/>
        </w:rPr>
        <w:t>« A quelle fréquence pensez-vous que votre âge vous empêche de faire ce que vous voudriez</w:t>
      </w:r>
      <w:r>
        <w:rPr>
          <w:rFonts w:ascii="Garamond" w:hAnsi="Garamond"/>
          <w:sz w:val="22"/>
          <w:szCs w:val="22"/>
        </w:rPr>
        <w:t xml:space="preserve"> </w:t>
      </w:r>
      <w:r w:rsidR="009E61C9" w:rsidRPr="00280EB1">
        <w:rPr>
          <w:rFonts w:ascii="Garamond" w:hAnsi="Garamond"/>
          <w:sz w:val="22"/>
          <w:szCs w:val="22"/>
        </w:rPr>
        <w:t>? »</w:t>
      </w:r>
    </w:p>
    <w:p w14:paraId="041F1185" w14:textId="0374CAA2" w:rsidR="009E61C9" w:rsidRPr="00280EB1" w:rsidRDefault="00280EB1" w:rsidP="00280EB1">
      <w:pPr>
        <w:pBdr>
          <w:top w:val="single" w:sz="4" w:space="1" w:color="auto"/>
          <w:left w:val="single" w:sz="4" w:space="4" w:color="auto"/>
          <w:bottom w:val="single" w:sz="4" w:space="1" w:color="auto"/>
          <w:right w:val="single" w:sz="4" w:space="4" w:color="auto"/>
        </w:pBdr>
        <w:ind w:firstLine="284"/>
        <w:jc w:val="both"/>
        <w:rPr>
          <w:rFonts w:ascii="Garamond" w:hAnsi="Garamond"/>
          <w:sz w:val="22"/>
          <w:szCs w:val="22"/>
        </w:rPr>
      </w:pPr>
      <w:r>
        <w:rPr>
          <w:rFonts w:ascii="Garamond" w:hAnsi="Garamond"/>
          <w:sz w:val="22"/>
          <w:szCs w:val="22"/>
        </w:rPr>
        <w:t xml:space="preserve">- </w:t>
      </w:r>
      <w:r w:rsidR="009E61C9" w:rsidRPr="009E61C9">
        <w:rPr>
          <w:rFonts w:ascii="Garamond" w:hAnsi="Garamond"/>
          <w:sz w:val="22"/>
          <w:szCs w:val="22"/>
        </w:rPr>
        <w:t>Autonomie :</w:t>
      </w:r>
      <w:r w:rsidR="009E61C9" w:rsidRPr="009E61C9">
        <w:rPr>
          <w:rFonts w:ascii="Garamond" w:hAnsi="Garamond"/>
          <w:i/>
          <w:iCs/>
          <w:sz w:val="22"/>
          <w:szCs w:val="22"/>
        </w:rPr>
        <w:t xml:space="preserve"> </w:t>
      </w:r>
      <w:r w:rsidR="009E61C9" w:rsidRPr="00280EB1">
        <w:rPr>
          <w:rFonts w:ascii="Garamond" w:hAnsi="Garamond"/>
          <w:sz w:val="22"/>
          <w:szCs w:val="22"/>
        </w:rPr>
        <w:t>« A quelle fréquence pensez-vous que vous pouvez faire ce que vous voulez faire</w:t>
      </w:r>
      <w:r>
        <w:rPr>
          <w:rFonts w:ascii="Garamond" w:hAnsi="Garamond"/>
          <w:sz w:val="22"/>
          <w:szCs w:val="22"/>
        </w:rPr>
        <w:t xml:space="preserve"> </w:t>
      </w:r>
      <w:r w:rsidR="009E61C9" w:rsidRPr="00280EB1">
        <w:rPr>
          <w:rFonts w:ascii="Garamond" w:hAnsi="Garamond"/>
          <w:sz w:val="22"/>
          <w:szCs w:val="22"/>
        </w:rPr>
        <w:t xml:space="preserve">? » </w:t>
      </w:r>
    </w:p>
    <w:p w14:paraId="36EFBD56" w14:textId="786F251C" w:rsidR="009E61C9" w:rsidRPr="00280EB1" w:rsidRDefault="00280EB1" w:rsidP="00280EB1">
      <w:pPr>
        <w:pBdr>
          <w:top w:val="single" w:sz="4" w:space="1" w:color="auto"/>
          <w:left w:val="single" w:sz="4" w:space="4" w:color="auto"/>
          <w:bottom w:val="single" w:sz="4" w:space="1" w:color="auto"/>
          <w:right w:val="single" w:sz="4" w:space="4" w:color="auto"/>
        </w:pBdr>
        <w:ind w:firstLine="284"/>
        <w:jc w:val="both"/>
        <w:rPr>
          <w:rFonts w:ascii="Garamond" w:hAnsi="Garamond"/>
          <w:sz w:val="22"/>
          <w:szCs w:val="22"/>
        </w:rPr>
      </w:pPr>
      <w:r>
        <w:rPr>
          <w:rFonts w:ascii="Garamond" w:hAnsi="Garamond"/>
          <w:sz w:val="22"/>
          <w:szCs w:val="22"/>
        </w:rPr>
        <w:t xml:space="preserve">- </w:t>
      </w:r>
      <w:r w:rsidR="009E61C9" w:rsidRPr="009E61C9">
        <w:rPr>
          <w:rFonts w:ascii="Garamond" w:hAnsi="Garamond"/>
          <w:sz w:val="22"/>
          <w:szCs w:val="22"/>
        </w:rPr>
        <w:t>Plaisir :</w:t>
      </w:r>
      <w:r w:rsidR="009E61C9" w:rsidRPr="009E61C9">
        <w:rPr>
          <w:rFonts w:ascii="Garamond" w:hAnsi="Garamond"/>
          <w:i/>
          <w:iCs/>
          <w:sz w:val="22"/>
          <w:szCs w:val="22"/>
        </w:rPr>
        <w:t xml:space="preserve"> </w:t>
      </w:r>
      <w:r w:rsidR="009E61C9" w:rsidRPr="00280EB1">
        <w:rPr>
          <w:rFonts w:ascii="Garamond" w:hAnsi="Garamond"/>
          <w:sz w:val="22"/>
          <w:szCs w:val="22"/>
        </w:rPr>
        <w:t xml:space="preserve">« A quelle fréquence vous réjouissez-vous d'être le lendemain ? »  </w:t>
      </w:r>
    </w:p>
    <w:p w14:paraId="263F518E" w14:textId="1B0662C2" w:rsidR="009E61C9" w:rsidRPr="009E61C9" w:rsidRDefault="00280EB1" w:rsidP="00280EB1">
      <w:pPr>
        <w:pBdr>
          <w:top w:val="single" w:sz="4" w:space="1" w:color="auto"/>
          <w:left w:val="single" w:sz="4" w:space="4" w:color="auto"/>
          <w:bottom w:val="single" w:sz="4" w:space="1" w:color="auto"/>
          <w:right w:val="single" w:sz="4" w:space="4" w:color="auto"/>
        </w:pBdr>
        <w:ind w:firstLine="284"/>
        <w:jc w:val="both"/>
        <w:rPr>
          <w:rFonts w:ascii="Garamond" w:hAnsi="Garamond"/>
          <w:i/>
          <w:iCs/>
          <w:sz w:val="22"/>
          <w:szCs w:val="22"/>
        </w:rPr>
      </w:pPr>
      <w:r>
        <w:rPr>
          <w:rFonts w:ascii="Garamond" w:hAnsi="Garamond"/>
          <w:sz w:val="22"/>
          <w:szCs w:val="22"/>
        </w:rPr>
        <w:t xml:space="preserve">- </w:t>
      </w:r>
      <w:r w:rsidR="009E61C9" w:rsidRPr="009E61C9">
        <w:rPr>
          <w:rFonts w:ascii="Garamond" w:hAnsi="Garamond"/>
          <w:sz w:val="22"/>
          <w:szCs w:val="22"/>
        </w:rPr>
        <w:t>Accomplissement :</w:t>
      </w:r>
      <w:r w:rsidR="009E61C9" w:rsidRPr="009E61C9">
        <w:rPr>
          <w:rFonts w:ascii="Garamond" w:hAnsi="Garamond"/>
          <w:i/>
          <w:iCs/>
          <w:sz w:val="22"/>
          <w:szCs w:val="22"/>
        </w:rPr>
        <w:t xml:space="preserve"> </w:t>
      </w:r>
      <w:r w:rsidR="009E61C9" w:rsidRPr="00280EB1">
        <w:rPr>
          <w:rFonts w:ascii="Garamond" w:hAnsi="Garamond"/>
          <w:sz w:val="22"/>
          <w:szCs w:val="22"/>
        </w:rPr>
        <w:t>« A quelle fréquence avez-vous le sentiment que la vie est remplie d'opportunités</w:t>
      </w:r>
      <w:r>
        <w:rPr>
          <w:rFonts w:ascii="Garamond" w:hAnsi="Garamond"/>
          <w:sz w:val="22"/>
          <w:szCs w:val="22"/>
        </w:rPr>
        <w:t xml:space="preserve"> </w:t>
      </w:r>
      <w:r w:rsidR="009E61C9" w:rsidRPr="00280EB1">
        <w:rPr>
          <w:rFonts w:ascii="Garamond" w:hAnsi="Garamond"/>
          <w:sz w:val="22"/>
          <w:szCs w:val="22"/>
        </w:rPr>
        <w:t>? »</w:t>
      </w:r>
    </w:p>
    <w:p w14:paraId="662868BC" w14:textId="28492FCB" w:rsidR="009E61C9" w:rsidRPr="009E61C9" w:rsidRDefault="00280EB1" w:rsidP="00280EB1">
      <w:pPr>
        <w:pBdr>
          <w:top w:val="single" w:sz="4" w:space="1" w:color="auto"/>
          <w:left w:val="single" w:sz="4" w:space="4" w:color="auto"/>
          <w:bottom w:val="single" w:sz="4" w:space="1" w:color="auto"/>
          <w:right w:val="single" w:sz="4" w:space="4" w:color="auto"/>
        </w:pBdr>
        <w:ind w:firstLine="567"/>
        <w:rPr>
          <w:rFonts w:ascii="Garamond" w:hAnsi="Garamond"/>
          <w:sz w:val="22"/>
          <w:szCs w:val="22"/>
        </w:rPr>
      </w:pPr>
      <w:r>
        <w:rPr>
          <w:rFonts w:ascii="Garamond" w:hAnsi="Garamond"/>
          <w:sz w:val="22"/>
          <w:szCs w:val="22"/>
        </w:rPr>
        <w:t>→</w:t>
      </w:r>
      <w:r>
        <w:rPr>
          <w:rFonts w:ascii="Garamond" w:hAnsi="Garamond"/>
          <w:i/>
          <w:iCs/>
          <w:sz w:val="22"/>
          <w:szCs w:val="22"/>
        </w:rPr>
        <w:t xml:space="preserve"> </w:t>
      </w:r>
      <w:r w:rsidR="009E61C9" w:rsidRPr="009E61C9">
        <w:rPr>
          <w:rFonts w:ascii="Garamond" w:hAnsi="Garamond"/>
          <w:sz w:val="22"/>
          <w:szCs w:val="22"/>
        </w:rPr>
        <w:t>Catégorisation : si somme AC013-AC025 &lt; 32 : CASP = 1 ; si somme AC013-AC025 &gt; 31 : CASP = 0</w:t>
      </w:r>
    </w:p>
    <w:p w14:paraId="6D4EE9AD" w14:textId="77777777" w:rsidR="009E61C9" w:rsidRPr="009E61C9" w:rsidRDefault="009E61C9" w:rsidP="009E61C9">
      <w:pPr>
        <w:jc w:val="both"/>
        <w:rPr>
          <w:rFonts w:ascii="Garamond" w:hAnsi="Garamond"/>
          <w:sz w:val="22"/>
          <w:szCs w:val="22"/>
        </w:rPr>
      </w:pPr>
    </w:p>
    <w:p w14:paraId="303C70C5" w14:textId="14F17A10" w:rsidR="009E61C9" w:rsidRPr="009E61C9" w:rsidRDefault="009E61C9" w:rsidP="009E61C9">
      <w:pPr>
        <w:jc w:val="both"/>
        <w:rPr>
          <w:rFonts w:ascii="Garamond" w:hAnsi="Garamond"/>
          <w:sz w:val="22"/>
          <w:szCs w:val="22"/>
          <w:shd w:val="clear" w:color="auto" w:fill="FFFFFF"/>
        </w:rPr>
      </w:pPr>
      <w:r w:rsidRPr="00D41F4B">
        <w:rPr>
          <w:rFonts w:ascii="Garamond" w:hAnsi="Garamond"/>
          <w:sz w:val="22"/>
          <w:szCs w:val="22"/>
        </w:rPr>
        <w:t xml:space="preserve">Comme indiqué auparavant, </w:t>
      </w:r>
      <w:r w:rsidR="00DE5998">
        <w:rPr>
          <w:rFonts w:ascii="Garamond" w:hAnsi="Garamond"/>
          <w:sz w:val="22"/>
          <w:szCs w:val="22"/>
        </w:rPr>
        <w:t xml:space="preserve">le </w:t>
      </w:r>
      <w:r w:rsidRPr="00D41F4B">
        <w:rPr>
          <w:rFonts w:ascii="Garamond" w:hAnsi="Garamond"/>
          <w:sz w:val="22"/>
          <w:szCs w:val="22"/>
        </w:rPr>
        <w:t>GALI est utilisé pour calculer l’EVBS</w:t>
      </w:r>
      <w:r w:rsidRPr="009E61C9">
        <w:rPr>
          <w:rFonts w:ascii="Garamond" w:hAnsi="Garamond"/>
          <w:sz w:val="22"/>
          <w:szCs w:val="22"/>
        </w:rPr>
        <w:t xml:space="preserve"> notamment par Eurostat à partir de l’enquête EU-SILC. SHARE p</w:t>
      </w:r>
      <w:r w:rsidRPr="009E61C9">
        <w:rPr>
          <w:rFonts w:ascii="Garamond" w:hAnsi="Garamond"/>
          <w:sz w:val="22"/>
          <w:szCs w:val="22"/>
          <w:shd w:val="clear" w:color="auto" w:fill="FFFFFF"/>
        </w:rPr>
        <w:t xml:space="preserve">ose exactement la même question aux répondants à chaque vague de l’enquête, ce qui nous permet de distinguer les personnes se déclarant « fortement limitées » des autres. </w:t>
      </w:r>
      <w:r w:rsidR="00DE5998">
        <w:rPr>
          <w:rFonts w:ascii="Garamond" w:hAnsi="Garamond"/>
          <w:sz w:val="22"/>
          <w:szCs w:val="22"/>
          <w:shd w:val="clear" w:color="auto" w:fill="FFFFFF"/>
        </w:rPr>
        <w:t xml:space="preserve">Le graphique </w:t>
      </w:r>
      <w:r w:rsidRPr="009E61C9">
        <w:rPr>
          <w:rFonts w:ascii="Garamond" w:hAnsi="Garamond"/>
          <w:sz w:val="22"/>
          <w:szCs w:val="22"/>
          <w:shd w:val="clear" w:color="auto" w:fill="FFFFFF"/>
        </w:rPr>
        <w:t xml:space="preserve">1 </w:t>
      </w:r>
      <w:r w:rsidR="00DE5998">
        <w:rPr>
          <w:rFonts w:ascii="Garamond" w:hAnsi="Garamond"/>
          <w:sz w:val="22"/>
          <w:szCs w:val="22"/>
          <w:shd w:val="clear" w:color="auto" w:fill="FFFFFF"/>
        </w:rPr>
        <w:t>(</w:t>
      </w:r>
      <w:r w:rsidR="00DE5998" w:rsidRPr="00DE5998">
        <w:rPr>
          <w:rFonts w:ascii="Garamond" w:hAnsi="Garamond"/>
          <w:i/>
          <w:iCs/>
          <w:sz w:val="22"/>
          <w:szCs w:val="22"/>
          <w:shd w:val="clear" w:color="auto" w:fill="FFFFFF"/>
        </w:rPr>
        <w:t>infra</w:t>
      </w:r>
      <w:r w:rsidR="00DE5998">
        <w:rPr>
          <w:rFonts w:ascii="Garamond" w:hAnsi="Garamond"/>
          <w:sz w:val="22"/>
          <w:szCs w:val="22"/>
          <w:shd w:val="clear" w:color="auto" w:fill="FFFFFF"/>
        </w:rPr>
        <w:t xml:space="preserve">) </w:t>
      </w:r>
      <w:r w:rsidRPr="00DE5998">
        <w:rPr>
          <w:rFonts w:ascii="Garamond" w:hAnsi="Garamond"/>
          <w:sz w:val="22"/>
          <w:szCs w:val="22"/>
          <w:shd w:val="clear" w:color="auto" w:fill="FFFFFF"/>
        </w:rPr>
        <w:t>montre</w:t>
      </w:r>
      <w:r w:rsidRPr="009E61C9">
        <w:rPr>
          <w:rFonts w:ascii="Garamond" w:hAnsi="Garamond"/>
          <w:sz w:val="22"/>
          <w:szCs w:val="22"/>
          <w:shd w:val="clear" w:color="auto" w:fill="FFFFFF"/>
        </w:rPr>
        <w:t xml:space="preserve"> les prévalences par âge </w:t>
      </w:r>
      <w:r w:rsidR="00DE5998">
        <w:rPr>
          <w:rFonts w:ascii="Garamond" w:hAnsi="Garamond"/>
          <w:sz w:val="22"/>
          <w:szCs w:val="22"/>
          <w:shd w:val="clear" w:color="auto" w:fill="FFFFFF"/>
        </w:rPr>
        <w:t>du</w:t>
      </w:r>
      <w:r w:rsidRPr="009E61C9">
        <w:rPr>
          <w:rFonts w:ascii="Garamond" w:hAnsi="Garamond"/>
          <w:sz w:val="22"/>
          <w:szCs w:val="22"/>
          <w:shd w:val="clear" w:color="auto" w:fill="FFFFFF"/>
        </w:rPr>
        <w:t xml:space="preserve"> GALI dans le cas des femmes âgées de 50 à 94 ans pour une sélection de pays. Comme attendu, des taux de prévalence croissant avec l’âge sont observés pour tous les pays. Cependant</w:t>
      </w:r>
      <w:r w:rsidR="00DE5998">
        <w:rPr>
          <w:rFonts w:ascii="Garamond" w:hAnsi="Garamond"/>
          <w:sz w:val="22"/>
          <w:szCs w:val="22"/>
          <w:shd w:val="clear" w:color="auto" w:fill="FFFFFF"/>
        </w:rPr>
        <w:t>,</w:t>
      </w:r>
      <w:r w:rsidRPr="009E61C9">
        <w:rPr>
          <w:rFonts w:ascii="Garamond" w:hAnsi="Garamond"/>
          <w:sz w:val="22"/>
          <w:szCs w:val="22"/>
          <w:shd w:val="clear" w:color="auto" w:fill="FFFFFF"/>
        </w:rPr>
        <w:t xml:space="preserve"> on observe une forte croissance </w:t>
      </w:r>
      <w:r w:rsidR="00DE5998">
        <w:rPr>
          <w:rFonts w:ascii="Garamond" w:hAnsi="Garamond"/>
          <w:sz w:val="22"/>
          <w:szCs w:val="22"/>
          <w:shd w:val="clear" w:color="auto" w:fill="FFFFFF"/>
        </w:rPr>
        <w:t>du</w:t>
      </w:r>
      <w:r w:rsidRPr="009E61C9">
        <w:rPr>
          <w:rFonts w:ascii="Garamond" w:hAnsi="Garamond"/>
          <w:sz w:val="22"/>
          <w:szCs w:val="22"/>
          <w:shd w:val="clear" w:color="auto" w:fill="FFFFFF"/>
        </w:rPr>
        <w:t xml:space="preserve"> GALI avec l’âge pour l’Estonie et l’Italie, démarrant vers l’âge de 70 ans. Pour les autres pays</w:t>
      </w:r>
      <w:r w:rsidR="00DE5998">
        <w:rPr>
          <w:rFonts w:ascii="Garamond" w:hAnsi="Garamond"/>
          <w:sz w:val="22"/>
          <w:szCs w:val="22"/>
          <w:shd w:val="clear" w:color="auto" w:fill="FFFFFF"/>
        </w:rPr>
        <w:t>,</w:t>
      </w:r>
      <w:r w:rsidRPr="009E61C9">
        <w:rPr>
          <w:rFonts w:ascii="Garamond" w:hAnsi="Garamond"/>
          <w:sz w:val="22"/>
          <w:szCs w:val="22"/>
          <w:shd w:val="clear" w:color="auto" w:fill="FFFFFF"/>
        </w:rPr>
        <w:t xml:space="preserve"> les taux de prévalence évoluent plus lentement, en particulier dans le cas de la Suède.</w:t>
      </w:r>
    </w:p>
    <w:p w14:paraId="19BEF2EF" w14:textId="77777777" w:rsidR="009E61C9" w:rsidRPr="009E61C9" w:rsidRDefault="009E61C9" w:rsidP="009E61C9">
      <w:pPr>
        <w:jc w:val="both"/>
        <w:rPr>
          <w:rFonts w:ascii="Garamond" w:hAnsi="Garamond"/>
          <w:sz w:val="22"/>
          <w:szCs w:val="22"/>
          <w:shd w:val="clear" w:color="auto" w:fill="FFFFFF"/>
        </w:rPr>
      </w:pPr>
    </w:p>
    <w:p w14:paraId="29E2113E" w14:textId="66BCF598" w:rsidR="00DE5998" w:rsidRPr="00A85421" w:rsidRDefault="00DE5998" w:rsidP="00DE5998">
      <w:pPr>
        <w:jc w:val="center"/>
        <w:rPr>
          <w:rFonts w:ascii="Garamond" w:hAnsi="Garamond"/>
          <w:b/>
          <w:sz w:val="22"/>
          <w:szCs w:val="22"/>
          <w:shd w:val="clear" w:color="auto" w:fill="FFFFFF"/>
        </w:rPr>
      </w:pPr>
      <w:r w:rsidRPr="00A85421">
        <w:rPr>
          <w:rFonts w:ascii="Garamond" w:hAnsi="Garamond"/>
          <w:b/>
          <w:sz w:val="22"/>
          <w:szCs w:val="22"/>
          <w:shd w:val="clear" w:color="auto" w:fill="FFFFFF"/>
        </w:rPr>
        <w:t>Graphique 1</w:t>
      </w:r>
    </w:p>
    <w:p w14:paraId="382CE3CF" w14:textId="459CC298" w:rsidR="00DE5998" w:rsidRPr="00A85421" w:rsidRDefault="00DE5998" w:rsidP="00DE5998">
      <w:pPr>
        <w:jc w:val="center"/>
        <w:rPr>
          <w:rFonts w:ascii="Garamond" w:hAnsi="Garamond"/>
          <w:b/>
          <w:sz w:val="22"/>
          <w:szCs w:val="22"/>
          <w:shd w:val="clear" w:color="auto" w:fill="FFFFFF"/>
        </w:rPr>
      </w:pPr>
      <w:r w:rsidRPr="00A85421">
        <w:rPr>
          <w:rFonts w:ascii="Garamond" w:hAnsi="Garamond"/>
          <w:b/>
          <w:sz w:val="22"/>
          <w:szCs w:val="22"/>
          <w:shd w:val="clear" w:color="auto" w:fill="FFFFFF"/>
        </w:rPr>
        <w:t>Prévalence de l’incapacité GALI parmi les femmes</w:t>
      </w:r>
    </w:p>
    <w:p w14:paraId="7546533D" w14:textId="0F7251AA" w:rsidR="00DE5998" w:rsidRPr="009E61C9" w:rsidRDefault="00DE5998" w:rsidP="00DE5998">
      <w:pPr>
        <w:jc w:val="center"/>
        <w:rPr>
          <w:rFonts w:ascii="Garamond" w:hAnsi="Garamond"/>
          <w:bCs/>
          <w:sz w:val="22"/>
          <w:szCs w:val="22"/>
          <w:shd w:val="clear" w:color="auto" w:fill="FFFFFF"/>
        </w:rPr>
      </w:pPr>
      <w:r w:rsidRPr="009E61C9">
        <w:rPr>
          <w:rFonts w:ascii="Garamond" w:hAnsi="Garamond"/>
          <w:noProof/>
          <w:sz w:val="22"/>
          <w:szCs w:val="22"/>
          <w:shd w:val="clear" w:color="auto" w:fill="FFFFFF"/>
          <w:lang w:eastAsia="fr-BE"/>
        </w:rPr>
        <w:lastRenderedPageBreak/>
        <w:drawing>
          <wp:inline distT="0" distB="0" distL="0" distR="0" wp14:anchorId="2FB3AD7E" wp14:editId="0789A825">
            <wp:extent cx="3714750" cy="228981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7779" cy="2297841"/>
                    </a:xfrm>
                    <a:prstGeom prst="rect">
                      <a:avLst/>
                    </a:prstGeom>
                    <a:noFill/>
                  </pic:spPr>
                </pic:pic>
              </a:graphicData>
            </a:graphic>
          </wp:inline>
        </w:drawing>
      </w:r>
    </w:p>
    <w:p w14:paraId="739EDACA" w14:textId="77777777" w:rsidR="009E61C9" w:rsidRDefault="009E61C9" w:rsidP="009E61C9">
      <w:pPr>
        <w:jc w:val="both"/>
        <w:rPr>
          <w:rFonts w:ascii="Garamond" w:hAnsi="Garamond"/>
          <w:bCs/>
          <w:sz w:val="22"/>
          <w:szCs w:val="22"/>
          <w:shd w:val="clear" w:color="auto" w:fill="FFFFFF"/>
        </w:rPr>
      </w:pPr>
    </w:p>
    <w:p w14:paraId="0C3DDEBC" w14:textId="20137D2D" w:rsidR="00DE5998" w:rsidRDefault="00DE5998" w:rsidP="009E61C9">
      <w:pPr>
        <w:jc w:val="both"/>
        <w:rPr>
          <w:rFonts w:ascii="Garamond" w:hAnsi="Garamond"/>
          <w:bCs/>
          <w:sz w:val="22"/>
          <w:szCs w:val="22"/>
          <w:shd w:val="clear" w:color="auto" w:fill="FFFFFF"/>
        </w:rPr>
      </w:pPr>
      <w:r>
        <w:rPr>
          <w:rFonts w:ascii="Garamond" w:hAnsi="Garamond"/>
          <w:bCs/>
          <w:sz w:val="22"/>
          <w:szCs w:val="22"/>
          <w:shd w:val="clear" w:color="auto" w:fill="FFFFFF"/>
        </w:rPr>
        <w:t xml:space="preserve">Source : </w:t>
      </w:r>
      <w:r w:rsidR="00CD0302" w:rsidRPr="00CD0302">
        <w:rPr>
          <w:rFonts w:ascii="Garamond" w:hAnsi="Garamond"/>
          <w:bCs/>
          <w:sz w:val="22"/>
          <w:szCs w:val="22"/>
          <w:shd w:val="clear" w:color="auto" w:fill="FFFFFF"/>
        </w:rPr>
        <w:t>Projection à partir des taux de prévalence GALI observées à chaque âge (SHARE vagues 4 à 7, 2011 à 2017). Ajustement d’un polynôme quadratique basé sur l’âge.</w:t>
      </w:r>
    </w:p>
    <w:p w14:paraId="4B892E31" w14:textId="77777777" w:rsidR="00DE5998" w:rsidRPr="009E61C9" w:rsidRDefault="00DE5998" w:rsidP="009E61C9">
      <w:pPr>
        <w:jc w:val="both"/>
        <w:rPr>
          <w:rFonts w:ascii="Garamond" w:hAnsi="Garamond"/>
          <w:bCs/>
          <w:sz w:val="22"/>
          <w:szCs w:val="22"/>
          <w:shd w:val="clear" w:color="auto" w:fill="FFFFFF"/>
        </w:rPr>
      </w:pPr>
    </w:p>
    <w:p w14:paraId="6EFAF7F8" w14:textId="0E65223B" w:rsidR="009E61C9" w:rsidRPr="009E61C9" w:rsidRDefault="0080253A" w:rsidP="009E61C9">
      <w:pPr>
        <w:jc w:val="both"/>
        <w:rPr>
          <w:rFonts w:ascii="Garamond" w:hAnsi="Garamond"/>
          <w:sz w:val="22"/>
          <w:szCs w:val="22"/>
        </w:rPr>
      </w:pPr>
      <w:r>
        <w:rPr>
          <w:rFonts w:ascii="Garamond" w:hAnsi="Garamond"/>
          <w:sz w:val="22"/>
          <w:szCs w:val="22"/>
        </w:rPr>
        <w:t>Le graphique 2 (</w:t>
      </w:r>
      <w:r>
        <w:rPr>
          <w:rFonts w:ascii="Garamond" w:hAnsi="Garamond"/>
          <w:i/>
          <w:iCs/>
          <w:sz w:val="22"/>
          <w:szCs w:val="22"/>
        </w:rPr>
        <w:t>infra</w:t>
      </w:r>
      <w:r>
        <w:rPr>
          <w:rFonts w:ascii="Garamond" w:hAnsi="Garamond"/>
          <w:sz w:val="22"/>
          <w:szCs w:val="22"/>
        </w:rPr>
        <w:t>)</w:t>
      </w:r>
      <w:r w:rsidR="009E61C9" w:rsidRPr="009E61C9">
        <w:rPr>
          <w:rFonts w:ascii="Garamond" w:hAnsi="Garamond"/>
          <w:sz w:val="22"/>
          <w:szCs w:val="22"/>
        </w:rPr>
        <w:t xml:space="preserve"> présente les taux de prévalence calculés à partir de l’indicateur ADL. Avoir deux limitations ADL ou davantage suffit à répertorier l’individu comme étant en incapacité ADL</w:t>
      </w:r>
      <w:r w:rsidR="009E61C9" w:rsidRPr="009E61C9">
        <w:rPr>
          <w:rStyle w:val="Appeldenotedefin"/>
          <w:rFonts w:ascii="Garamond" w:hAnsi="Garamond"/>
          <w:sz w:val="22"/>
          <w:szCs w:val="22"/>
        </w:rPr>
        <w:endnoteReference w:id="11"/>
      </w:r>
      <w:r w:rsidR="009E61C9" w:rsidRPr="009E61C9">
        <w:rPr>
          <w:rFonts w:ascii="Garamond" w:hAnsi="Garamond"/>
          <w:sz w:val="22"/>
          <w:szCs w:val="22"/>
        </w:rPr>
        <w:t xml:space="preserve">. Sur </w:t>
      </w:r>
      <w:r>
        <w:rPr>
          <w:rFonts w:ascii="Garamond" w:hAnsi="Garamond"/>
          <w:sz w:val="22"/>
          <w:szCs w:val="22"/>
        </w:rPr>
        <w:t>le graphique</w:t>
      </w:r>
      <w:r w:rsidR="009E61C9" w:rsidRPr="009E61C9">
        <w:rPr>
          <w:rFonts w:ascii="Garamond" w:hAnsi="Garamond"/>
          <w:sz w:val="22"/>
          <w:szCs w:val="22"/>
        </w:rPr>
        <w:t xml:space="preserve"> 2, les prévalences sont clairement plus faibles que pour le GALI </w:t>
      </w:r>
      <w:r>
        <w:rPr>
          <w:rFonts w:ascii="Garamond" w:hAnsi="Garamond"/>
          <w:sz w:val="22"/>
          <w:szCs w:val="22"/>
        </w:rPr>
        <w:t>sur le graphique 1 (</w:t>
      </w:r>
      <w:r>
        <w:rPr>
          <w:rFonts w:ascii="Garamond" w:hAnsi="Garamond"/>
          <w:i/>
          <w:iCs/>
          <w:sz w:val="22"/>
          <w:szCs w:val="22"/>
        </w:rPr>
        <w:t>supra</w:t>
      </w:r>
      <w:r>
        <w:rPr>
          <w:rFonts w:ascii="Garamond" w:hAnsi="Garamond"/>
          <w:sz w:val="22"/>
          <w:szCs w:val="22"/>
        </w:rPr>
        <w:t>)</w:t>
      </w:r>
      <w:r w:rsidR="009E61C9" w:rsidRPr="009E61C9">
        <w:rPr>
          <w:rFonts w:ascii="Garamond" w:hAnsi="Garamond"/>
          <w:sz w:val="22"/>
          <w:szCs w:val="22"/>
        </w:rPr>
        <w:t xml:space="preserve"> (et semblent se déclarer plus tard dans la vie), quels que soient le pays ou l’âge considérés. On note que la prévalence ADL est nettement plus faible parmi les femmes en Suède que dans les autres pays.</w:t>
      </w:r>
    </w:p>
    <w:p w14:paraId="5C43242F" w14:textId="77777777" w:rsidR="009E61C9" w:rsidRDefault="009E61C9" w:rsidP="009E61C9">
      <w:pPr>
        <w:jc w:val="both"/>
        <w:rPr>
          <w:rFonts w:ascii="Garamond" w:hAnsi="Garamond"/>
          <w:sz w:val="22"/>
          <w:szCs w:val="22"/>
        </w:rPr>
      </w:pPr>
    </w:p>
    <w:p w14:paraId="008B18C0" w14:textId="77777777" w:rsidR="0080253A" w:rsidRPr="00A85421" w:rsidRDefault="0080253A" w:rsidP="0080253A">
      <w:pPr>
        <w:jc w:val="center"/>
        <w:rPr>
          <w:rFonts w:ascii="Garamond" w:hAnsi="Garamond"/>
          <w:b/>
          <w:sz w:val="22"/>
          <w:szCs w:val="22"/>
          <w:shd w:val="clear" w:color="auto" w:fill="FFFFFF"/>
        </w:rPr>
      </w:pPr>
      <w:r w:rsidRPr="00A85421">
        <w:rPr>
          <w:rFonts w:ascii="Garamond" w:hAnsi="Garamond"/>
          <w:b/>
          <w:sz w:val="22"/>
          <w:szCs w:val="22"/>
          <w:shd w:val="clear" w:color="auto" w:fill="FFFFFF"/>
        </w:rPr>
        <w:t>Graphique 2</w:t>
      </w:r>
    </w:p>
    <w:p w14:paraId="21CE1104" w14:textId="1360B84D" w:rsidR="0080253A" w:rsidRPr="00A85421" w:rsidRDefault="0080253A" w:rsidP="0080253A">
      <w:pPr>
        <w:jc w:val="center"/>
        <w:rPr>
          <w:rFonts w:ascii="Garamond" w:hAnsi="Garamond"/>
          <w:b/>
          <w:sz w:val="22"/>
          <w:szCs w:val="22"/>
          <w:shd w:val="clear" w:color="auto" w:fill="FFFFFF"/>
        </w:rPr>
      </w:pPr>
      <w:r w:rsidRPr="00A85421">
        <w:rPr>
          <w:rFonts w:ascii="Garamond" w:hAnsi="Garamond"/>
          <w:b/>
          <w:sz w:val="22"/>
          <w:szCs w:val="22"/>
          <w:shd w:val="clear" w:color="auto" w:fill="FFFFFF"/>
        </w:rPr>
        <w:t>Prévalence de l’incapacité ADL parmi les femmes</w:t>
      </w:r>
    </w:p>
    <w:p w14:paraId="796F8158" w14:textId="55C544A2" w:rsidR="0080253A" w:rsidRPr="009E61C9" w:rsidRDefault="00EE62AA" w:rsidP="0080253A">
      <w:pPr>
        <w:jc w:val="center"/>
        <w:rPr>
          <w:rFonts w:ascii="Garamond" w:hAnsi="Garamond"/>
          <w:b/>
          <w:bCs/>
          <w:sz w:val="22"/>
          <w:szCs w:val="22"/>
          <w:shd w:val="clear" w:color="auto" w:fill="FFFFFF"/>
        </w:rPr>
      </w:pPr>
      <w:r w:rsidRPr="009E61C9">
        <w:rPr>
          <w:rFonts w:ascii="Garamond" w:hAnsi="Garamond"/>
          <w:b/>
          <w:bCs/>
          <w:noProof/>
          <w:sz w:val="22"/>
          <w:szCs w:val="22"/>
          <w:shd w:val="clear" w:color="auto" w:fill="FFFFFF"/>
          <w:lang w:eastAsia="fr-BE"/>
        </w:rPr>
        <w:drawing>
          <wp:inline distT="0" distB="0" distL="0" distR="0" wp14:anchorId="0BE6EE9F" wp14:editId="355CEF3A">
            <wp:extent cx="3749524" cy="2689208"/>
            <wp:effectExtent l="0" t="0" r="3810" b="0"/>
            <wp:docPr id="14" name="Image 14" descr="Une image contenant texte, capture d’écran,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texte, capture d’écran, ligne, Tracé&#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5144" cy="2693239"/>
                    </a:xfrm>
                    <a:prstGeom prst="rect">
                      <a:avLst/>
                    </a:prstGeom>
                    <a:noFill/>
                  </pic:spPr>
                </pic:pic>
              </a:graphicData>
            </a:graphic>
          </wp:inline>
        </w:drawing>
      </w:r>
    </w:p>
    <w:p w14:paraId="335E3FE0" w14:textId="4A7025A6" w:rsidR="00EE62AA" w:rsidRDefault="00EE62AA" w:rsidP="00EE62AA">
      <w:pPr>
        <w:jc w:val="both"/>
        <w:rPr>
          <w:rFonts w:ascii="Garamond" w:hAnsi="Garamond"/>
          <w:bCs/>
          <w:sz w:val="22"/>
          <w:szCs w:val="22"/>
          <w:shd w:val="clear" w:color="auto" w:fill="FFFFFF"/>
        </w:rPr>
      </w:pPr>
      <w:r>
        <w:rPr>
          <w:rFonts w:ascii="Garamond" w:hAnsi="Garamond"/>
          <w:bCs/>
          <w:sz w:val="22"/>
          <w:szCs w:val="22"/>
          <w:shd w:val="clear" w:color="auto" w:fill="FFFFFF"/>
        </w:rPr>
        <w:t xml:space="preserve">Source : </w:t>
      </w:r>
      <w:r w:rsidR="00CD0302" w:rsidRPr="00CD0302">
        <w:rPr>
          <w:rFonts w:ascii="Garamond" w:hAnsi="Garamond"/>
          <w:bCs/>
          <w:sz w:val="22"/>
          <w:szCs w:val="22"/>
          <w:shd w:val="clear" w:color="auto" w:fill="FFFFFF"/>
        </w:rPr>
        <w:t xml:space="preserve">Projection à partir des taux de prévalence </w:t>
      </w:r>
      <w:r w:rsidR="00CD0302">
        <w:rPr>
          <w:rFonts w:ascii="Garamond" w:hAnsi="Garamond"/>
          <w:bCs/>
          <w:sz w:val="22"/>
          <w:szCs w:val="22"/>
          <w:shd w:val="clear" w:color="auto" w:fill="FFFFFF"/>
        </w:rPr>
        <w:t>ADL</w:t>
      </w:r>
      <w:r w:rsidR="00CD0302" w:rsidRPr="00CD0302">
        <w:rPr>
          <w:rFonts w:ascii="Garamond" w:hAnsi="Garamond"/>
          <w:bCs/>
          <w:sz w:val="22"/>
          <w:szCs w:val="22"/>
          <w:shd w:val="clear" w:color="auto" w:fill="FFFFFF"/>
        </w:rPr>
        <w:t xml:space="preserve"> observées à chaque âge (SHARE vagues 4 à 7, 2011 à 2017). Ajustement d’un polynôme quadratique basé sur l’âge.</w:t>
      </w:r>
    </w:p>
    <w:p w14:paraId="174A8B48" w14:textId="77777777" w:rsidR="0080253A" w:rsidRPr="009E61C9" w:rsidRDefault="0080253A" w:rsidP="009E61C9">
      <w:pPr>
        <w:jc w:val="both"/>
        <w:rPr>
          <w:rFonts w:ascii="Garamond" w:hAnsi="Garamond"/>
          <w:sz w:val="22"/>
          <w:szCs w:val="22"/>
        </w:rPr>
      </w:pPr>
    </w:p>
    <w:p w14:paraId="6AE62AED" w14:textId="383F9D9D" w:rsidR="009E61C9" w:rsidRPr="009E61C9" w:rsidRDefault="009E61C9" w:rsidP="009E61C9">
      <w:pPr>
        <w:jc w:val="both"/>
        <w:rPr>
          <w:rFonts w:ascii="Garamond" w:hAnsi="Garamond"/>
          <w:sz w:val="22"/>
          <w:szCs w:val="22"/>
        </w:rPr>
      </w:pPr>
    </w:p>
    <w:p w14:paraId="0609FF45" w14:textId="5F1F28E9" w:rsidR="009E61C9" w:rsidRPr="009E61C9" w:rsidRDefault="009E61C9" w:rsidP="009E61C9">
      <w:pPr>
        <w:jc w:val="both"/>
        <w:rPr>
          <w:rFonts w:ascii="Garamond" w:hAnsi="Garamond"/>
          <w:sz w:val="22"/>
          <w:szCs w:val="22"/>
        </w:rPr>
      </w:pPr>
      <w:r w:rsidRPr="009E61C9">
        <w:rPr>
          <w:rFonts w:ascii="Garamond" w:hAnsi="Garamond"/>
          <w:sz w:val="22"/>
          <w:szCs w:val="22"/>
        </w:rPr>
        <w:t xml:space="preserve">Enfin, notre troisième indicateur se détache des considérations purement fonctionnelles des indicateurs précédents, nous parlons ici de </w:t>
      </w:r>
      <w:r w:rsidR="001853F5">
        <w:rPr>
          <w:rFonts w:ascii="Garamond" w:hAnsi="Garamond"/>
          <w:sz w:val="22"/>
          <w:szCs w:val="22"/>
        </w:rPr>
        <w:t xml:space="preserve">la </w:t>
      </w:r>
      <w:r w:rsidRPr="009E61C9">
        <w:rPr>
          <w:rFonts w:ascii="Garamond" w:hAnsi="Garamond"/>
          <w:sz w:val="22"/>
          <w:szCs w:val="22"/>
        </w:rPr>
        <w:t>qualité de vie. Il est construit à partir d</w:t>
      </w:r>
      <w:r w:rsidR="00AB389D">
        <w:rPr>
          <w:rFonts w:ascii="Garamond" w:hAnsi="Garamond"/>
          <w:sz w:val="22"/>
          <w:szCs w:val="22"/>
        </w:rPr>
        <w:t xml:space="preserve">e la </w:t>
      </w:r>
      <w:r w:rsidRPr="009E61C9">
        <w:rPr>
          <w:rFonts w:ascii="Garamond" w:hAnsi="Garamond"/>
          <w:sz w:val="22"/>
          <w:szCs w:val="22"/>
        </w:rPr>
        <w:t>variable CASP, générée à partir des réponses à une série de questions posées dans le cadre de l’enquête SHARE. Ces réponses sont censées correspondre à des sentiments ressentis par les répondants sur différents aspects de leur vie. Lesquels sont regroupés ensuite en quatre catégories : de contrôle, d’autonomie, d’accomplissement, et de plaisir</w:t>
      </w:r>
      <w:r w:rsidRPr="009E61C9">
        <w:rPr>
          <w:rStyle w:val="Appeldenotedefin"/>
          <w:rFonts w:ascii="Garamond" w:hAnsi="Garamond"/>
          <w:sz w:val="22"/>
          <w:szCs w:val="22"/>
        </w:rPr>
        <w:endnoteReference w:id="12"/>
      </w:r>
      <w:r w:rsidR="00AB389D">
        <w:rPr>
          <w:rFonts w:ascii="Garamond" w:hAnsi="Garamond"/>
          <w:sz w:val="22"/>
          <w:szCs w:val="22"/>
        </w:rPr>
        <w:t>.</w:t>
      </w:r>
      <w:r w:rsidRPr="009E61C9">
        <w:rPr>
          <w:rFonts w:ascii="Garamond" w:hAnsi="Garamond"/>
          <w:sz w:val="22"/>
          <w:szCs w:val="22"/>
        </w:rPr>
        <w:t xml:space="preserve"> La variable CASP prend des valeurs entre 12 et 48, ce sont au total 12 questions ayant comme résultat des valeurs allant de 1 (peu fréquent) à 4 (très fréquent)</w:t>
      </w:r>
      <w:r w:rsidRPr="009E61C9">
        <w:rPr>
          <w:rStyle w:val="Appeldenotedefin"/>
          <w:rFonts w:ascii="Garamond" w:hAnsi="Garamond"/>
          <w:sz w:val="22"/>
          <w:szCs w:val="22"/>
        </w:rPr>
        <w:endnoteReference w:id="13"/>
      </w:r>
      <w:r w:rsidR="00AB389D">
        <w:rPr>
          <w:rFonts w:ascii="Garamond" w:hAnsi="Garamond"/>
          <w:sz w:val="22"/>
          <w:szCs w:val="22"/>
        </w:rPr>
        <w:t>.</w:t>
      </w:r>
      <w:r w:rsidRPr="009E61C9">
        <w:rPr>
          <w:rFonts w:ascii="Garamond" w:hAnsi="Garamond"/>
          <w:sz w:val="22"/>
          <w:szCs w:val="22"/>
        </w:rPr>
        <w:t xml:space="preserve"> Plus cet indicateur est élevé, plus il indique une perception positive de la qualité de vie. Il n’existe pas un seuil naturel en</w:t>
      </w:r>
      <w:r w:rsidR="004C7633">
        <w:rPr>
          <w:rFonts w:ascii="Garamond" w:hAnsi="Garamond"/>
          <w:sz w:val="22"/>
          <w:szCs w:val="22"/>
        </w:rPr>
        <w:t xml:space="preserve"> </w:t>
      </w:r>
      <w:r w:rsidRPr="009E61C9">
        <w:rPr>
          <w:rFonts w:ascii="Garamond" w:hAnsi="Garamond"/>
          <w:sz w:val="22"/>
          <w:szCs w:val="22"/>
        </w:rPr>
        <w:t xml:space="preserve">dessous duquel la qualité de vie devient difficile à supporter. Nous choisissons à cet effet le point central sur l’échelle CASP (30-31 points). Selon nos estimations et pour l’ensemble des pays européens analysés, moins d’un </w:t>
      </w:r>
      <w:r w:rsidRPr="009E61C9">
        <w:rPr>
          <w:rFonts w:ascii="Garamond" w:hAnsi="Garamond"/>
          <w:sz w:val="22"/>
          <w:szCs w:val="22"/>
        </w:rPr>
        <w:lastRenderedPageBreak/>
        <w:t>cinquième des personnes âgées de 50 ans et plus, 17</w:t>
      </w:r>
      <w:r w:rsidR="004C7633">
        <w:rPr>
          <w:rFonts w:ascii="Garamond" w:hAnsi="Garamond"/>
          <w:sz w:val="22"/>
          <w:szCs w:val="22"/>
        </w:rPr>
        <w:t>,</w:t>
      </w:r>
      <w:r w:rsidRPr="009E61C9">
        <w:rPr>
          <w:rFonts w:ascii="Garamond" w:hAnsi="Garamond"/>
          <w:sz w:val="22"/>
          <w:szCs w:val="22"/>
        </w:rPr>
        <w:t>3</w:t>
      </w:r>
      <w:r w:rsidR="00243566">
        <w:rPr>
          <w:rFonts w:ascii="Garamond" w:hAnsi="Garamond"/>
          <w:sz w:val="22"/>
          <w:szCs w:val="22"/>
        </w:rPr>
        <w:t> </w:t>
      </w:r>
      <w:r w:rsidRPr="009E61C9">
        <w:rPr>
          <w:rFonts w:ascii="Garamond" w:hAnsi="Garamond"/>
          <w:sz w:val="22"/>
          <w:szCs w:val="22"/>
        </w:rPr>
        <w:t>%, manifestent un ressenti correspondant à une qualité de vie moindre.</w:t>
      </w:r>
    </w:p>
    <w:p w14:paraId="5D6771F2" w14:textId="7FE6DE70" w:rsidR="009E61C9" w:rsidRPr="009E61C9" w:rsidRDefault="009E61C9" w:rsidP="009E61C9">
      <w:pPr>
        <w:jc w:val="both"/>
        <w:rPr>
          <w:rFonts w:ascii="Garamond" w:hAnsi="Garamond"/>
          <w:sz w:val="22"/>
          <w:szCs w:val="22"/>
        </w:rPr>
      </w:pPr>
      <w:r w:rsidRPr="009E61C9">
        <w:rPr>
          <w:rFonts w:ascii="Garamond" w:hAnsi="Garamond"/>
          <w:sz w:val="22"/>
          <w:szCs w:val="22"/>
        </w:rPr>
        <w:t xml:space="preserve">Sur </w:t>
      </w:r>
      <w:r w:rsidR="004C7633">
        <w:rPr>
          <w:rFonts w:ascii="Garamond" w:hAnsi="Garamond"/>
          <w:sz w:val="22"/>
          <w:szCs w:val="22"/>
        </w:rPr>
        <w:t>le graphique 3 (</w:t>
      </w:r>
      <w:r w:rsidR="004C7633">
        <w:rPr>
          <w:rFonts w:ascii="Garamond" w:hAnsi="Garamond"/>
          <w:i/>
          <w:iCs/>
          <w:sz w:val="22"/>
          <w:szCs w:val="22"/>
        </w:rPr>
        <w:t>infra</w:t>
      </w:r>
      <w:r w:rsidR="004C7633">
        <w:rPr>
          <w:rFonts w:ascii="Garamond" w:hAnsi="Garamond"/>
          <w:sz w:val="22"/>
          <w:szCs w:val="22"/>
        </w:rPr>
        <w:t>)</w:t>
      </w:r>
      <w:r w:rsidRPr="009E61C9">
        <w:rPr>
          <w:rFonts w:ascii="Garamond" w:hAnsi="Garamond"/>
          <w:sz w:val="22"/>
          <w:szCs w:val="22"/>
        </w:rPr>
        <w:t xml:space="preserve"> sont reportés les taux de prévalence de l’indicateur CASP (mauvaise perception de la qualité de vie), par âge et parmi les femmes pour les mêmes pays que sur les </w:t>
      </w:r>
      <w:r w:rsidR="004C7633">
        <w:rPr>
          <w:rFonts w:ascii="Garamond" w:hAnsi="Garamond"/>
          <w:sz w:val="22"/>
          <w:szCs w:val="22"/>
        </w:rPr>
        <w:t>graphiques</w:t>
      </w:r>
      <w:r w:rsidRPr="009E61C9">
        <w:rPr>
          <w:rFonts w:ascii="Garamond" w:hAnsi="Garamond"/>
          <w:sz w:val="22"/>
          <w:szCs w:val="22"/>
        </w:rPr>
        <w:t xml:space="preserve"> précédents. À l’exception de l’Estonie et de l’Italie, on observe ici une (légère) courbe en forme de U, plus marquée dans le cas de la Suède, autour de l’âge de la retraite. Cet indicateur, basé sur des appréciations personnelles dépendantes de l’optimisme propre à chacun, est encore plus sujet à des disparités culturelles en comparaison aux autres indicateurs analysés plus haut. </w:t>
      </w:r>
    </w:p>
    <w:p w14:paraId="2A8DA664" w14:textId="77777777" w:rsidR="009E61C9" w:rsidRPr="009E61C9" w:rsidRDefault="009E61C9" w:rsidP="009E61C9">
      <w:pPr>
        <w:jc w:val="both"/>
        <w:rPr>
          <w:rFonts w:ascii="Garamond" w:hAnsi="Garamond"/>
          <w:sz w:val="22"/>
          <w:szCs w:val="22"/>
        </w:rPr>
      </w:pPr>
    </w:p>
    <w:p w14:paraId="7042EA6B" w14:textId="77777777" w:rsidR="00BA2CAF" w:rsidRPr="00A85421" w:rsidRDefault="00BA2CAF" w:rsidP="00BA2CAF">
      <w:pPr>
        <w:jc w:val="center"/>
        <w:rPr>
          <w:rFonts w:ascii="Garamond" w:hAnsi="Garamond"/>
          <w:b/>
          <w:sz w:val="22"/>
          <w:szCs w:val="22"/>
        </w:rPr>
      </w:pPr>
      <w:r w:rsidRPr="00A85421">
        <w:rPr>
          <w:rFonts w:ascii="Garamond" w:hAnsi="Garamond"/>
          <w:b/>
          <w:sz w:val="22"/>
          <w:szCs w:val="22"/>
        </w:rPr>
        <w:t>Graphique 3</w:t>
      </w:r>
    </w:p>
    <w:p w14:paraId="1EB59B55" w14:textId="645371D5" w:rsidR="00BA2CAF" w:rsidRPr="00A85421" w:rsidRDefault="00BA2CAF" w:rsidP="00BA2CAF">
      <w:pPr>
        <w:jc w:val="center"/>
        <w:rPr>
          <w:rFonts w:ascii="Garamond" w:hAnsi="Garamond"/>
          <w:b/>
          <w:sz w:val="22"/>
          <w:szCs w:val="22"/>
        </w:rPr>
      </w:pPr>
      <w:r w:rsidRPr="00A85421">
        <w:rPr>
          <w:rFonts w:ascii="Garamond" w:hAnsi="Garamond"/>
          <w:b/>
          <w:sz w:val="22"/>
          <w:szCs w:val="22"/>
        </w:rPr>
        <w:t>Indicateur CASP-12, qualité de vie parmi les femmes</w:t>
      </w:r>
    </w:p>
    <w:p w14:paraId="160E58FA" w14:textId="3CFCDEBD" w:rsidR="00BA2CAF" w:rsidRPr="009E61C9" w:rsidRDefault="00BA2CAF" w:rsidP="00BA2CAF">
      <w:pPr>
        <w:jc w:val="center"/>
        <w:rPr>
          <w:rFonts w:ascii="Garamond" w:hAnsi="Garamond"/>
          <w:bCs/>
          <w:sz w:val="22"/>
          <w:szCs w:val="22"/>
        </w:rPr>
      </w:pPr>
      <w:r w:rsidRPr="009E61C9">
        <w:rPr>
          <w:rFonts w:ascii="Garamond" w:hAnsi="Garamond"/>
          <w:noProof/>
          <w:sz w:val="22"/>
          <w:szCs w:val="22"/>
          <w:lang w:eastAsia="fr-BE"/>
        </w:rPr>
        <w:drawing>
          <wp:inline distT="0" distB="0" distL="0" distR="0" wp14:anchorId="4BF9C323" wp14:editId="47C004AF">
            <wp:extent cx="4201200" cy="2520000"/>
            <wp:effectExtent l="0" t="0" r="8890" b="0"/>
            <wp:docPr id="16" name="Image 16" descr="Une image contenant texte, capture d’écran,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 capture d’écran, ligne, Tracé&#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1200" cy="2520000"/>
                    </a:xfrm>
                    <a:prstGeom prst="rect">
                      <a:avLst/>
                    </a:prstGeom>
                    <a:noFill/>
                  </pic:spPr>
                </pic:pic>
              </a:graphicData>
            </a:graphic>
          </wp:inline>
        </w:drawing>
      </w:r>
    </w:p>
    <w:p w14:paraId="0C81510D" w14:textId="421377C7" w:rsidR="00115905" w:rsidRDefault="00115905" w:rsidP="00115905">
      <w:pPr>
        <w:jc w:val="both"/>
        <w:rPr>
          <w:rFonts w:ascii="Garamond" w:hAnsi="Garamond"/>
          <w:bCs/>
          <w:sz w:val="22"/>
          <w:szCs w:val="22"/>
          <w:shd w:val="clear" w:color="auto" w:fill="FFFFFF"/>
        </w:rPr>
      </w:pPr>
      <w:r>
        <w:rPr>
          <w:rFonts w:ascii="Garamond" w:hAnsi="Garamond"/>
          <w:bCs/>
          <w:sz w:val="22"/>
          <w:szCs w:val="22"/>
          <w:shd w:val="clear" w:color="auto" w:fill="FFFFFF"/>
        </w:rPr>
        <w:t xml:space="preserve">Source : </w:t>
      </w:r>
      <w:r w:rsidR="00CD0302" w:rsidRPr="00CD0302">
        <w:rPr>
          <w:rFonts w:ascii="Garamond" w:hAnsi="Garamond"/>
          <w:bCs/>
          <w:sz w:val="22"/>
          <w:szCs w:val="22"/>
          <w:shd w:val="clear" w:color="auto" w:fill="FFFFFF"/>
        </w:rPr>
        <w:t xml:space="preserve">Projection à partir des taux de prévalence </w:t>
      </w:r>
      <w:r w:rsidR="00CD0302">
        <w:rPr>
          <w:rFonts w:ascii="Garamond" w:hAnsi="Garamond"/>
          <w:bCs/>
          <w:sz w:val="22"/>
          <w:szCs w:val="22"/>
          <w:shd w:val="clear" w:color="auto" w:fill="FFFFFF"/>
        </w:rPr>
        <w:t>CASP</w:t>
      </w:r>
      <w:r w:rsidR="00CD0302" w:rsidRPr="00CD0302">
        <w:rPr>
          <w:rFonts w:ascii="Garamond" w:hAnsi="Garamond"/>
          <w:bCs/>
          <w:sz w:val="22"/>
          <w:szCs w:val="22"/>
          <w:shd w:val="clear" w:color="auto" w:fill="FFFFFF"/>
        </w:rPr>
        <w:t xml:space="preserve"> observées à chaque âge (SHARE vagues 4 à 7, 2011 à 2017). Ajustement d’un polynôme quadratique basé sur l’âge.</w:t>
      </w:r>
    </w:p>
    <w:p w14:paraId="6B046AF3" w14:textId="77777777" w:rsidR="009E61C9" w:rsidRPr="009E61C9" w:rsidRDefault="009E61C9" w:rsidP="009E61C9">
      <w:pPr>
        <w:jc w:val="both"/>
        <w:rPr>
          <w:rFonts w:ascii="Garamond" w:hAnsi="Garamond"/>
          <w:sz w:val="22"/>
          <w:szCs w:val="22"/>
        </w:rPr>
      </w:pPr>
    </w:p>
    <w:p w14:paraId="6F167C83" w14:textId="77777777" w:rsidR="00BA2CAF" w:rsidRDefault="009E61C9" w:rsidP="009E61C9">
      <w:pPr>
        <w:jc w:val="both"/>
        <w:rPr>
          <w:rFonts w:ascii="Garamond" w:hAnsi="Garamond"/>
          <w:sz w:val="22"/>
          <w:szCs w:val="22"/>
        </w:rPr>
      </w:pPr>
      <w:r w:rsidRPr="009E61C9">
        <w:rPr>
          <w:rFonts w:ascii="Garamond" w:hAnsi="Garamond"/>
          <w:sz w:val="22"/>
          <w:szCs w:val="22"/>
        </w:rPr>
        <w:t xml:space="preserve">Sur base des </w:t>
      </w:r>
      <w:r w:rsidR="00BA2CAF">
        <w:rPr>
          <w:rFonts w:ascii="Garamond" w:hAnsi="Garamond"/>
          <w:sz w:val="22"/>
          <w:szCs w:val="22"/>
        </w:rPr>
        <w:t>graphiques</w:t>
      </w:r>
      <w:r w:rsidRPr="009E61C9">
        <w:rPr>
          <w:rFonts w:ascii="Garamond" w:hAnsi="Garamond"/>
          <w:sz w:val="22"/>
          <w:szCs w:val="22"/>
        </w:rPr>
        <w:t xml:space="preserve"> 1 à 3</w:t>
      </w:r>
      <w:r w:rsidR="00BA2CAF">
        <w:rPr>
          <w:rFonts w:ascii="Garamond" w:hAnsi="Garamond"/>
          <w:sz w:val="22"/>
          <w:szCs w:val="22"/>
        </w:rPr>
        <w:t xml:space="preserve"> (</w:t>
      </w:r>
      <w:r w:rsidR="00BA2CAF">
        <w:rPr>
          <w:rFonts w:ascii="Garamond" w:hAnsi="Garamond"/>
          <w:i/>
          <w:iCs/>
          <w:sz w:val="22"/>
          <w:szCs w:val="22"/>
        </w:rPr>
        <w:t>supra</w:t>
      </w:r>
      <w:r w:rsidR="00BA2CAF">
        <w:rPr>
          <w:rFonts w:ascii="Garamond" w:hAnsi="Garamond"/>
          <w:sz w:val="22"/>
          <w:szCs w:val="22"/>
        </w:rPr>
        <w:t>)</w:t>
      </w:r>
      <w:r w:rsidRPr="009E61C9">
        <w:rPr>
          <w:rFonts w:ascii="Garamond" w:hAnsi="Garamond"/>
          <w:sz w:val="22"/>
          <w:szCs w:val="22"/>
        </w:rPr>
        <w:t>, nous pouvons déjà observer des différences entre les pays du Nord et du Centre de l’Europe par rapport à ceux du Sud ou de l’Est ainsi que la manière où les prévalences augmentent avec l’âge. Le Tableau 1</w:t>
      </w:r>
      <w:r w:rsidR="00BA2CAF">
        <w:rPr>
          <w:rFonts w:ascii="Garamond" w:hAnsi="Garamond"/>
          <w:sz w:val="22"/>
          <w:szCs w:val="22"/>
        </w:rPr>
        <w:t xml:space="preserve"> (</w:t>
      </w:r>
      <w:r w:rsidR="00BA2CAF">
        <w:rPr>
          <w:rFonts w:ascii="Garamond" w:hAnsi="Garamond"/>
          <w:i/>
          <w:iCs/>
          <w:sz w:val="22"/>
          <w:szCs w:val="22"/>
        </w:rPr>
        <w:t>infra</w:t>
      </w:r>
      <w:r w:rsidR="00BA2CAF" w:rsidRPr="00BA2CAF">
        <w:rPr>
          <w:rFonts w:ascii="Garamond" w:hAnsi="Garamond"/>
          <w:sz w:val="22"/>
          <w:szCs w:val="22"/>
        </w:rPr>
        <w:t>)</w:t>
      </w:r>
      <w:r w:rsidRPr="009E61C9">
        <w:rPr>
          <w:rFonts w:ascii="Garamond" w:hAnsi="Garamond"/>
          <w:sz w:val="22"/>
          <w:szCs w:val="22"/>
        </w:rPr>
        <w:t xml:space="preserve"> résume ces informations par sexe, groupe d’âge et régions européennes pour l’ensemble de ces indicateurs. </w:t>
      </w:r>
    </w:p>
    <w:p w14:paraId="23308127" w14:textId="2E27CF6F" w:rsidR="00BA2CAF" w:rsidRPr="00A85421" w:rsidRDefault="00BA2CAF" w:rsidP="00BA2CAF">
      <w:pPr>
        <w:jc w:val="center"/>
        <w:rPr>
          <w:rFonts w:ascii="Garamond" w:hAnsi="Garamond"/>
          <w:b/>
          <w:bCs/>
          <w:sz w:val="22"/>
          <w:szCs w:val="22"/>
        </w:rPr>
      </w:pPr>
      <w:r w:rsidRPr="00A85421">
        <w:rPr>
          <w:rFonts w:ascii="Garamond" w:hAnsi="Garamond"/>
          <w:b/>
          <w:bCs/>
          <w:sz w:val="22"/>
          <w:szCs w:val="22"/>
        </w:rPr>
        <w:t>Tableau 1</w:t>
      </w:r>
    </w:p>
    <w:p w14:paraId="5F1C0420" w14:textId="77777777" w:rsidR="00BA2CAF" w:rsidRPr="00A85421" w:rsidRDefault="00BA2CAF" w:rsidP="00BA2CAF">
      <w:pPr>
        <w:jc w:val="center"/>
        <w:rPr>
          <w:rFonts w:ascii="Garamond" w:hAnsi="Garamond"/>
          <w:b/>
          <w:bCs/>
          <w:sz w:val="22"/>
          <w:szCs w:val="22"/>
        </w:rPr>
      </w:pPr>
      <w:r w:rsidRPr="00A85421">
        <w:rPr>
          <w:rFonts w:ascii="Garamond" w:hAnsi="Garamond"/>
          <w:b/>
          <w:bCs/>
          <w:sz w:val="22"/>
          <w:szCs w:val="22"/>
        </w:rPr>
        <w:t>Taux de prévalence GALI, ADL et CASP, par sexe, classes d’âge et région</w:t>
      </w:r>
    </w:p>
    <w:p w14:paraId="2BD1485E" w14:textId="1BBDE58D" w:rsidR="00BA2CAF" w:rsidRPr="009E61C9" w:rsidRDefault="00BA2CAF" w:rsidP="00BA2CAF">
      <w:pPr>
        <w:jc w:val="center"/>
        <w:rPr>
          <w:rFonts w:ascii="Garamond" w:hAnsi="Garamond"/>
          <w:bCs/>
          <w:sz w:val="22"/>
          <w:szCs w:val="22"/>
        </w:rPr>
      </w:pPr>
      <w:r w:rsidRPr="009E61C9">
        <w:rPr>
          <w:rFonts w:ascii="Garamond" w:hAnsi="Garamond"/>
          <w:bCs/>
          <w:sz w:val="22"/>
          <w:szCs w:val="22"/>
        </w:rPr>
        <w:t>(en %)</w:t>
      </w:r>
    </w:p>
    <w:p w14:paraId="16D1FA05" w14:textId="77777777" w:rsidR="00BA2CAF" w:rsidRPr="009E61C9" w:rsidRDefault="00BA2CAF" w:rsidP="00BA2CAF">
      <w:pPr>
        <w:jc w:val="center"/>
        <w:rPr>
          <w:rFonts w:ascii="Garamond" w:hAnsi="Garamond"/>
          <w:bCs/>
          <w:sz w:val="22"/>
          <w:szCs w:val="22"/>
        </w:rPr>
      </w:pPr>
    </w:p>
    <w:tbl>
      <w:tblPr>
        <w:tblW w:w="9305" w:type="dxa"/>
        <w:jc w:val="center"/>
        <w:tblLayout w:type="fixed"/>
        <w:tblCellMar>
          <w:left w:w="0" w:type="dxa"/>
          <w:right w:w="0" w:type="dxa"/>
        </w:tblCellMar>
        <w:tblLook w:val="0600" w:firstRow="0" w:lastRow="0" w:firstColumn="0" w:lastColumn="0" w:noHBand="1" w:noVBand="1"/>
      </w:tblPr>
      <w:tblGrid>
        <w:gridCol w:w="660"/>
        <w:gridCol w:w="665"/>
        <w:gridCol w:w="797"/>
        <w:gridCol w:w="798"/>
        <w:gridCol w:w="797"/>
        <w:gridCol w:w="798"/>
        <w:gridCol w:w="797"/>
        <w:gridCol w:w="798"/>
        <w:gridCol w:w="797"/>
        <w:gridCol w:w="798"/>
        <w:gridCol w:w="802"/>
        <w:gridCol w:w="798"/>
      </w:tblGrid>
      <w:tr w:rsidR="00BA2CAF" w:rsidRPr="009E61C9" w14:paraId="75374367" w14:textId="77777777" w:rsidTr="00BA2CAF">
        <w:trPr>
          <w:trHeight w:val="246"/>
          <w:jc w:val="center"/>
        </w:trPr>
        <w:tc>
          <w:tcPr>
            <w:tcW w:w="660" w:type="dxa"/>
            <w:vMerge w:val="restart"/>
            <w:tcBorders>
              <w:top w:val="single" w:sz="4" w:space="0" w:color="000000"/>
              <w:bottom w:val="single" w:sz="4" w:space="0" w:color="000000"/>
            </w:tcBorders>
            <w:hideMark/>
          </w:tcPr>
          <w:p w14:paraId="10714A51"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Indica-teur</w:t>
            </w:r>
          </w:p>
        </w:tc>
        <w:tc>
          <w:tcPr>
            <w:tcW w:w="665" w:type="dxa"/>
            <w:vMerge w:val="restart"/>
            <w:tcBorders>
              <w:top w:val="single" w:sz="4" w:space="0" w:color="000000"/>
              <w:bottom w:val="single" w:sz="4" w:space="0" w:color="000000"/>
            </w:tcBorders>
          </w:tcPr>
          <w:p w14:paraId="653CB740"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Classe d’âge</w:t>
            </w:r>
          </w:p>
        </w:tc>
        <w:tc>
          <w:tcPr>
            <w:tcW w:w="1595" w:type="dxa"/>
            <w:gridSpan w:val="2"/>
            <w:tcBorders>
              <w:top w:val="single" w:sz="4" w:space="0" w:color="000000"/>
              <w:bottom w:val="single" w:sz="4" w:space="0" w:color="000000"/>
            </w:tcBorders>
            <w:shd w:val="clear" w:color="auto" w:fill="auto"/>
            <w:tcMar>
              <w:top w:w="12" w:type="dxa"/>
              <w:left w:w="12" w:type="dxa"/>
              <w:bottom w:w="0" w:type="dxa"/>
              <w:right w:w="12" w:type="dxa"/>
            </w:tcMar>
            <w:hideMark/>
          </w:tcPr>
          <w:p w14:paraId="654F0A6F"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Nord</w:t>
            </w:r>
          </w:p>
        </w:tc>
        <w:tc>
          <w:tcPr>
            <w:tcW w:w="1595" w:type="dxa"/>
            <w:gridSpan w:val="2"/>
            <w:tcBorders>
              <w:top w:val="single" w:sz="4" w:space="0" w:color="000000"/>
              <w:bottom w:val="single" w:sz="4" w:space="0" w:color="000000"/>
            </w:tcBorders>
            <w:shd w:val="clear" w:color="auto" w:fill="auto"/>
            <w:tcMar>
              <w:top w:w="12" w:type="dxa"/>
              <w:left w:w="12" w:type="dxa"/>
              <w:bottom w:w="0" w:type="dxa"/>
              <w:right w:w="12" w:type="dxa"/>
            </w:tcMar>
            <w:hideMark/>
          </w:tcPr>
          <w:p w14:paraId="24502BA7"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Centre</w:t>
            </w:r>
          </w:p>
        </w:tc>
        <w:tc>
          <w:tcPr>
            <w:tcW w:w="1595" w:type="dxa"/>
            <w:gridSpan w:val="2"/>
            <w:tcBorders>
              <w:top w:val="single" w:sz="4" w:space="0" w:color="000000"/>
              <w:bottom w:val="single" w:sz="4" w:space="0" w:color="000000"/>
            </w:tcBorders>
            <w:shd w:val="clear" w:color="auto" w:fill="auto"/>
            <w:tcMar>
              <w:top w:w="12" w:type="dxa"/>
              <w:left w:w="12" w:type="dxa"/>
              <w:bottom w:w="0" w:type="dxa"/>
              <w:right w:w="12" w:type="dxa"/>
            </w:tcMar>
            <w:hideMark/>
          </w:tcPr>
          <w:p w14:paraId="32A76BA7"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Sud</w:t>
            </w:r>
          </w:p>
        </w:tc>
        <w:tc>
          <w:tcPr>
            <w:tcW w:w="1595" w:type="dxa"/>
            <w:gridSpan w:val="2"/>
            <w:tcBorders>
              <w:top w:val="single" w:sz="4" w:space="0" w:color="000000"/>
              <w:bottom w:val="single" w:sz="4" w:space="0" w:color="000000"/>
            </w:tcBorders>
            <w:shd w:val="clear" w:color="auto" w:fill="auto"/>
            <w:tcMar>
              <w:top w:w="12" w:type="dxa"/>
              <w:left w:w="12" w:type="dxa"/>
              <w:bottom w:w="0" w:type="dxa"/>
              <w:right w:w="12" w:type="dxa"/>
            </w:tcMar>
            <w:hideMark/>
          </w:tcPr>
          <w:p w14:paraId="5BD9B22B"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Est</w:t>
            </w:r>
          </w:p>
        </w:tc>
        <w:tc>
          <w:tcPr>
            <w:tcW w:w="1600" w:type="dxa"/>
            <w:gridSpan w:val="2"/>
            <w:tcBorders>
              <w:top w:val="single" w:sz="4" w:space="0" w:color="000000"/>
              <w:bottom w:val="single" w:sz="4" w:space="0" w:color="000000"/>
            </w:tcBorders>
            <w:shd w:val="clear" w:color="auto" w:fill="auto"/>
            <w:tcMar>
              <w:top w:w="12" w:type="dxa"/>
              <w:left w:w="12" w:type="dxa"/>
              <w:bottom w:w="0" w:type="dxa"/>
              <w:right w:w="12" w:type="dxa"/>
            </w:tcMar>
            <w:hideMark/>
          </w:tcPr>
          <w:p w14:paraId="499506EB"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Tous</w:t>
            </w:r>
          </w:p>
        </w:tc>
      </w:tr>
      <w:tr w:rsidR="00BA2CAF" w:rsidRPr="009E61C9" w14:paraId="33689A12" w14:textId="77777777" w:rsidTr="00BA2CAF">
        <w:trPr>
          <w:trHeight w:val="279"/>
          <w:jc w:val="center"/>
        </w:trPr>
        <w:tc>
          <w:tcPr>
            <w:tcW w:w="660" w:type="dxa"/>
            <w:vMerge/>
            <w:tcBorders>
              <w:top w:val="single" w:sz="4" w:space="0" w:color="000000"/>
              <w:bottom w:val="single" w:sz="4" w:space="0" w:color="000000"/>
            </w:tcBorders>
            <w:hideMark/>
          </w:tcPr>
          <w:p w14:paraId="6421C50B" w14:textId="77777777" w:rsidR="00BA2CAF" w:rsidRPr="009E61C9" w:rsidRDefault="00BA2CAF" w:rsidP="00430AD9">
            <w:pPr>
              <w:rPr>
                <w:rFonts w:ascii="Garamond" w:eastAsiaTheme="minorEastAsia" w:hAnsi="Garamond"/>
                <w:bCs/>
                <w:kern w:val="2"/>
                <w:sz w:val="22"/>
                <w:szCs w:val="22"/>
                <w14:ligatures w14:val="standardContextual"/>
              </w:rPr>
            </w:pPr>
          </w:p>
        </w:tc>
        <w:tc>
          <w:tcPr>
            <w:tcW w:w="665" w:type="dxa"/>
            <w:vMerge/>
            <w:tcBorders>
              <w:top w:val="single" w:sz="4" w:space="0" w:color="000000"/>
              <w:bottom w:val="single" w:sz="4" w:space="0" w:color="000000"/>
            </w:tcBorders>
          </w:tcPr>
          <w:p w14:paraId="7E91364C" w14:textId="77777777" w:rsidR="00BA2CAF" w:rsidRPr="009E61C9" w:rsidRDefault="00BA2CAF" w:rsidP="00430AD9">
            <w:pPr>
              <w:jc w:val="center"/>
              <w:rPr>
                <w:rFonts w:ascii="Garamond" w:eastAsiaTheme="minorEastAsia" w:hAnsi="Garamond"/>
                <w:bCs/>
                <w:kern w:val="2"/>
                <w:sz w:val="22"/>
                <w:szCs w:val="22"/>
                <w14:ligatures w14:val="standardContextual"/>
              </w:rPr>
            </w:pPr>
          </w:p>
        </w:tc>
        <w:tc>
          <w:tcPr>
            <w:tcW w:w="797" w:type="dxa"/>
            <w:tcBorders>
              <w:top w:val="single" w:sz="4" w:space="0" w:color="000000"/>
              <w:bottom w:val="single" w:sz="4" w:space="0" w:color="000000"/>
            </w:tcBorders>
            <w:shd w:val="clear" w:color="auto" w:fill="auto"/>
            <w:tcMar>
              <w:top w:w="12" w:type="dxa"/>
              <w:left w:w="12" w:type="dxa"/>
              <w:bottom w:w="0" w:type="dxa"/>
              <w:right w:w="12" w:type="dxa"/>
            </w:tcMar>
            <w:hideMark/>
          </w:tcPr>
          <w:p w14:paraId="23DCF2C1"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Homme</w:t>
            </w:r>
          </w:p>
        </w:tc>
        <w:tc>
          <w:tcPr>
            <w:tcW w:w="798" w:type="dxa"/>
            <w:tcBorders>
              <w:top w:val="single" w:sz="4" w:space="0" w:color="000000"/>
              <w:bottom w:val="single" w:sz="4" w:space="0" w:color="000000"/>
            </w:tcBorders>
            <w:shd w:val="clear" w:color="auto" w:fill="auto"/>
            <w:tcMar>
              <w:top w:w="12" w:type="dxa"/>
              <w:left w:w="12" w:type="dxa"/>
              <w:bottom w:w="0" w:type="dxa"/>
              <w:right w:w="12" w:type="dxa"/>
            </w:tcMar>
            <w:hideMark/>
          </w:tcPr>
          <w:p w14:paraId="6E599460"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Femme</w:t>
            </w:r>
          </w:p>
        </w:tc>
        <w:tc>
          <w:tcPr>
            <w:tcW w:w="797" w:type="dxa"/>
            <w:tcBorders>
              <w:top w:val="single" w:sz="4" w:space="0" w:color="000000"/>
              <w:bottom w:val="single" w:sz="4" w:space="0" w:color="000000"/>
            </w:tcBorders>
            <w:shd w:val="clear" w:color="auto" w:fill="auto"/>
          </w:tcPr>
          <w:p w14:paraId="7D9E24E7"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Homme</w:t>
            </w:r>
          </w:p>
        </w:tc>
        <w:tc>
          <w:tcPr>
            <w:tcW w:w="798" w:type="dxa"/>
            <w:tcBorders>
              <w:top w:val="single" w:sz="4" w:space="0" w:color="000000"/>
              <w:bottom w:val="single" w:sz="4" w:space="0" w:color="000000"/>
            </w:tcBorders>
            <w:shd w:val="clear" w:color="auto" w:fill="auto"/>
          </w:tcPr>
          <w:p w14:paraId="36FA9FD7"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Femme</w:t>
            </w:r>
          </w:p>
        </w:tc>
        <w:tc>
          <w:tcPr>
            <w:tcW w:w="797" w:type="dxa"/>
            <w:tcBorders>
              <w:top w:val="single" w:sz="4" w:space="0" w:color="000000"/>
              <w:bottom w:val="single" w:sz="4" w:space="0" w:color="000000"/>
            </w:tcBorders>
            <w:shd w:val="clear" w:color="auto" w:fill="auto"/>
            <w:tcMar>
              <w:top w:w="12" w:type="dxa"/>
              <w:left w:w="12" w:type="dxa"/>
              <w:bottom w:w="0" w:type="dxa"/>
              <w:right w:w="12" w:type="dxa"/>
            </w:tcMar>
            <w:hideMark/>
          </w:tcPr>
          <w:p w14:paraId="47D2C090"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Homme</w:t>
            </w:r>
          </w:p>
        </w:tc>
        <w:tc>
          <w:tcPr>
            <w:tcW w:w="798" w:type="dxa"/>
            <w:tcBorders>
              <w:top w:val="single" w:sz="4" w:space="0" w:color="000000"/>
              <w:bottom w:val="single" w:sz="4" w:space="0" w:color="000000"/>
            </w:tcBorders>
            <w:shd w:val="clear" w:color="auto" w:fill="auto"/>
            <w:tcMar>
              <w:top w:w="12" w:type="dxa"/>
              <w:left w:w="12" w:type="dxa"/>
              <w:bottom w:w="0" w:type="dxa"/>
              <w:right w:w="12" w:type="dxa"/>
            </w:tcMar>
            <w:hideMark/>
          </w:tcPr>
          <w:p w14:paraId="7B323CC2"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Femme</w:t>
            </w:r>
          </w:p>
        </w:tc>
        <w:tc>
          <w:tcPr>
            <w:tcW w:w="797" w:type="dxa"/>
            <w:tcBorders>
              <w:top w:val="single" w:sz="4" w:space="0" w:color="000000"/>
              <w:bottom w:val="single" w:sz="4" w:space="0" w:color="000000"/>
            </w:tcBorders>
            <w:shd w:val="clear" w:color="auto" w:fill="auto"/>
            <w:tcMar>
              <w:top w:w="12" w:type="dxa"/>
              <w:left w:w="12" w:type="dxa"/>
              <w:bottom w:w="0" w:type="dxa"/>
              <w:right w:w="12" w:type="dxa"/>
            </w:tcMar>
            <w:hideMark/>
          </w:tcPr>
          <w:p w14:paraId="5151E69F"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Homme</w:t>
            </w:r>
          </w:p>
        </w:tc>
        <w:tc>
          <w:tcPr>
            <w:tcW w:w="798" w:type="dxa"/>
            <w:tcBorders>
              <w:top w:val="single" w:sz="4" w:space="0" w:color="000000"/>
              <w:bottom w:val="single" w:sz="4" w:space="0" w:color="000000"/>
            </w:tcBorders>
            <w:shd w:val="clear" w:color="auto" w:fill="auto"/>
            <w:tcMar>
              <w:top w:w="12" w:type="dxa"/>
              <w:left w:w="12" w:type="dxa"/>
              <w:bottom w:w="0" w:type="dxa"/>
              <w:right w:w="12" w:type="dxa"/>
            </w:tcMar>
            <w:hideMark/>
          </w:tcPr>
          <w:p w14:paraId="4E093D40"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Femme</w:t>
            </w:r>
          </w:p>
        </w:tc>
        <w:tc>
          <w:tcPr>
            <w:tcW w:w="802" w:type="dxa"/>
            <w:tcBorders>
              <w:top w:val="single" w:sz="4" w:space="0" w:color="000000"/>
              <w:bottom w:val="single" w:sz="4" w:space="0" w:color="000000"/>
            </w:tcBorders>
            <w:shd w:val="clear" w:color="auto" w:fill="auto"/>
            <w:tcMar>
              <w:top w:w="12" w:type="dxa"/>
              <w:left w:w="12" w:type="dxa"/>
              <w:bottom w:w="0" w:type="dxa"/>
              <w:right w:w="12" w:type="dxa"/>
            </w:tcMar>
            <w:hideMark/>
          </w:tcPr>
          <w:p w14:paraId="537F91C5"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Homme</w:t>
            </w:r>
          </w:p>
        </w:tc>
        <w:tc>
          <w:tcPr>
            <w:tcW w:w="798" w:type="dxa"/>
            <w:tcBorders>
              <w:top w:val="single" w:sz="4" w:space="0" w:color="000000"/>
              <w:bottom w:val="single" w:sz="4" w:space="0" w:color="000000"/>
            </w:tcBorders>
            <w:shd w:val="clear" w:color="auto" w:fill="auto"/>
            <w:tcMar>
              <w:top w:w="12" w:type="dxa"/>
              <w:left w:w="12" w:type="dxa"/>
              <w:bottom w:w="0" w:type="dxa"/>
              <w:right w:w="12" w:type="dxa"/>
            </w:tcMar>
            <w:hideMark/>
          </w:tcPr>
          <w:p w14:paraId="60082461" w14:textId="77777777" w:rsidR="00BA2CAF" w:rsidRPr="009E61C9" w:rsidRDefault="00BA2CAF" w:rsidP="00430AD9">
            <w:pPr>
              <w:jc w:val="cente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Femme</w:t>
            </w:r>
          </w:p>
        </w:tc>
      </w:tr>
      <w:tr w:rsidR="00BA2CAF" w:rsidRPr="009E61C9" w14:paraId="66D90DA5" w14:textId="77777777" w:rsidTr="00BA2CAF">
        <w:trPr>
          <w:trHeight w:val="230"/>
          <w:jc w:val="center"/>
        </w:trPr>
        <w:tc>
          <w:tcPr>
            <w:tcW w:w="660"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4EEB6F8B" w14:textId="77777777" w:rsidR="00BA2CAF" w:rsidRPr="009E61C9" w:rsidRDefault="00BA2CAF" w:rsidP="00430AD9">
            <w:pP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GALI</w:t>
            </w:r>
          </w:p>
        </w:tc>
        <w:tc>
          <w:tcPr>
            <w:tcW w:w="665" w:type="dxa"/>
            <w:tcBorders>
              <w:top w:val="single" w:sz="4" w:space="0" w:color="000000"/>
              <w:bottom w:val="nil"/>
            </w:tcBorders>
            <w:shd w:val="clear" w:color="auto" w:fill="auto"/>
            <w:tcMar>
              <w:top w:w="12" w:type="dxa"/>
              <w:left w:w="12" w:type="dxa"/>
              <w:bottom w:w="0" w:type="dxa"/>
              <w:right w:w="12" w:type="dxa"/>
            </w:tcMar>
            <w:hideMark/>
          </w:tcPr>
          <w:p w14:paraId="3922FA8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50-64</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0DF17DB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9,1</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046F735A"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12,5</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42A8EFD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12,2</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6605715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11,5</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79D99122"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5,9</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2AA1BB9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6,0</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19A65B9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16,5</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1E153BA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14,1</w:t>
            </w:r>
          </w:p>
        </w:tc>
        <w:tc>
          <w:tcPr>
            <w:tcW w:w="802" w:type="dxa"/>
            <w:tcBorders>
              <w:top w:val="single" w:sz="4" w:space="0" w:color="000000"/>
              <w:bottom w:val="nil"/>
            </w:tcBorders>
            <w:shd w:val="clear" w:color="auto" w:fill="auto"/>
            <w:tcMar>
              <w:top w:w="12" w:type="dxa"/>
              <w:left w:w="12" w:type="dxa"/>
              <w:bottom w:w="0" w:type="dxa"/>
              <w:right w:w="12" w:type="dxa"/>
            </w:tcMar>
            <w:hideMark/>
          </w:tcPr>
          <w:p w14:paraId="2F9E303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11,6</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62AB75F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11,2</w:t>
            </w:r>
          </w:p>
        </w:tc>
      </w:tr>
      <w:tr w:rsidR="00BA2CAF" w:rsidRPr="009E61C9" w14:paraId="36704A51" w14:textId="77777777" w:rsidTr="00BA2CAF">
        <w:trPr>
          <w:trHeight w:val="279"/>
          <w:jc w:val="center"/>
        </w:trPr>
        <w:tc>
          <w:tcPr>
            <w:tcW w:w="660" w:type="dxa"/>
            <w:vMerge/>
            <w:tcBorders>
              <w:top w:val="single" w:sz="4" w:space="0" w:color="000000"/>
              <w:bottom w:val="single" w:sz="4" w:space="0" w:color="000000"/>
            </w:tcBorders>
            <w:hideMark/>
          </w:tcPr>
          <w:p w14:paraId="2FED6462" w14:textId="77777777" w:rsidR="00BA2CAF" w:rsidRPr="009E61C9" w:rsidRDefault="00BA2CAF" w:rsidP="00430AD9">
            <w:pPr>
              <w:rPr>
                <w:rFonts w:ascii="Garamond" w:eastAsiaTheme="minorEastAsia" w:hAnsi="Garamond"/>
                <w:bCs/>
                <w:kern w:val="2"/>
                <w:sz w:val="22"/>
                <w:szCs w:val="22"/>
                <w14:ligatures w14:val="standardContextual"/>
              </w:rPr>
            </w:pPr>
          </w:p>
        </w:tc>
        <w:tc>
          <w:tcPr>
            <w:tcW w:w="665" w:type="dxa"/>
            <w:tcBorders>
              <w:top w:val="nil"/>
              <w:bottom w:val="nil"/>
            </w:tcBorders>
            <w:shd w:val="clear" w:color="auto" w:fill="auto"/>
            <w:tcMar>
              <w:top w:w="12" w:type="dxa"/>
              <w:left w:w="12" w:type="dxa"/>
              <w:bottom w:w="0" w:type="dxa"/>
              <w:right w:w="12" w:type="dxa"/>
            </w:tcMar>
            <w:hideMark/>
          </w:tcPr>
          <w:p w14:paraId="4130DD9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65-74</w:t>
            </w:r>
          </w:p>
        </w:tc>
        <w:tc>
          <w:tcPr>
            <w:tcW w:w="797" w:type="dxa"/>
            <w:tcBorders>
              <w:top w:val="nil"/>
              <w:bottom w:val="nil"/>
            </w:tcBorders>
            <w:shd w:val="clear" w:color="auto" w:fill="auto"/>
            <w:tcMar>
              <w:top w:w="12" w:type="dxa"/>
              <w:left w:w="12" w:type="dxa"/>
              <w:bottom w:w="0" w:type="dxa"/>
              <w:right w:w="12" w:type="dxa"/>
            </w:tcMar>
            <w:hideMark/>
          </w:tcPr>
          <w:p w14:paraId="0AB1C978"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10,2</w:t>
            </w:r>
          </w:p>
        </w:tc>
        <w:tc>
          <w:tcPr>
            <w:tcW w:w="798" w:type="dxa"/>
            <w:tcBorders>
              <w:top w:val="nil"/>
              <w:bottom w:val="nil"/>
            </w:tcBorders>
            <w:shd w:val="clear" w:color="auto" w:fill="auto"/>
            <w:tcMar>
              <w:top w:w="12" w:type="dxa"/>
              <w:left w:w="12" w:type="dxa"/>
              <w:bottom w:w="0" w:type="dxa"/>
              <w:right w:w="12" w:type="dxa"/>
            </w:tcMar>
            <w:hideMark/>
          </w:tcPr>
          <w:p w14:paraId="618AAB6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12,0</w:t>
            </w:r>
          </w:p>
        </w:tc>
        <w:tc>
          <w:tcPr>
            <w:tcW w:w="797" w:type="dxa"/>
            <w:tcBorders>
              <w:top w:val="nil"/>
              <w:bottom w:val="nil"/>
            </w:tcBorders>
            <w:shd w:val="clear" w:color="auto" w:fill="auto"/>
            <w:tcMar>
              <w:top w:w="12" w:type="dxa"/>
              <w:left w:w="12" w:type="dxa"/>
              <w:bottom w:w="0" w:type="dxa"/>
              <w:right w:w="12" w:type="dxa"/>
            </w:tcMar>
            <w:hideMark/>
          </w:tcPr>
          <w:p w14:paraId="1FDD773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13,4</w:t>
            </w:r>
          </w:p>
        </w:tc>
        <w:tc>
          <w:tcPr>
            <w:tcW w:w="798" w:type="dxa"/>
            <w:tcBorders>
              <w:top w:val="nil"/>
              <w:bottom w:val="nil"/>
            </w:tcBorders>
            <w:shd w:val="clear" w:color="auto" w:fill="auto"/>
            <w:tcMar>
              <w:top w:w="12" w:type="dxa"/>
              <w:left w:w="12" w:type="dxa"/>
              <w:bottom w:w="0" w:type="dxa"/>
              <w:right w:w="12" w:type="dxa"/>
            </w:tcMar>
            <w:hideMark/>
          </w:tcPr>
          <w:p w14:paraId="0E333DB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14,4</w:t>
            </w:r>
          </w:p>
        </w:tc>
        <w:tc>
          <w:tcPr>
            <w:tcW w:w="797" w:type="dxa"/>
            <w:tcBorders>
              <w:top w:val="nil"/>
              <w:bottom w:val="nil"/>
            </w:tcBorders>
            <w:shd w:val="clear" w:color="auto" w:fill="auto"/>
            <w:tcMar>
              <w:top w:w="12" w:type="dxa"/>
              <w:left w:w="12" w:type="dxa"/>
              <w:bottom w:w="0" w:type="dxa"/>
              <w:right w:w="12" w:type="dxa"/>
            </w:tcMar>
            <w:hideMark/>
          </w:tcPr>
          <w:p w14:paraId="5ED2786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8,9</w:t>
            </w:r>
          </w:p>
        </w:tc>
        <w:tc>
          <w:tcPr>
            <w:tcW w:w="798" w:type="dxa"/>
            <w:tcBorders>
              <w:top w:val="nil"/>
              <w:bottom w:val="nil"/>
            </w:tcBorders>
            <w:shd w:val="clear" w:color="auto" w:fill="auto"/>
            <w:tcMar>
              <w:top w:w="12" w:type="dxa"/>
              <w:left w:w="12" w:type="dxa"/>
              <w:bottom w:w="0" w:type="dxa"/>
              <w:right w:w="12" w:type="dxa"/>
            </w:tcMar>
            <w:hideMark/>
          </w:tcPr>
          <w:p w14:paraId="4B62F89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10,2</w:t>
            </w:r>
          </w:p>
        </w:tc>
        <w:tc>
          <w:tcPr>
            <w:tcW w:w="797" w:type="dxa"/>
            <w:tcBorders>
              <w:top w:val="nil"/>
              <w:bottom w:val="nil"/>
            </w:tcBorders>
            <w:shd w:val="clear" w:color="auto" w:fill="auto"/>
            <w:tcMar>
              <w:top w:w="12" w:type="dxa"/>
              <w:left w:w="12" w:type="dxa"/>
              <w:bottom w:w="0" w:type="dxa"/>
              <w:right w:w="12" w:type="dxa"/>
            </w:tcMar>
            <w:hideMark/>
          </w:tcPr>
          <w:p w14:paraId="2EE79086"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20,7</w:t>
            </w:r>
          </w:p>
        </w:tc>
        <w:tc>
          <w:tcPr>
            <w:tcW w:w="798" w:type="dxa"/>
            <w:tcBorders>
              <w:top w:val="nil"/>
              <w:bottom w:val="nil"/>
            </w:tcBorders>
            <w:shd w:val="clear" w:color="auto" w:fill="auto"/>
            <w:tcMar>
              <w:top w:w="12" w:type="dxa"/>
              <w:left w:w="12" w:type="dxa"/>
              <w:bottom w:w="0" w:type="dxa"/>
              <w:right w:w="12" w:type="dxa"/>
            </w:tcMar>
            <w:hideMark/>
          </w:tcPr>
          <w:p w14:paraId="04A02C1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19,4</w:t>
            </w:r>
          </w:p>
        </w:tc>
        <w:tc>
          <w:tcPr>
            <w:tcW w:w="802" w:type="dxa"/>
            <w:tcBorders>
              <w:top w:val="nil"/>
              <w:bottom w:val="nil"/>
            </w:tcBorders>
            <w:shd w:val="clear" w:color="auto" w:fill="auto"/>
            <w:tcMar>
              <w:top w:w="12" w:type="dxa"/>
              <w:left w:w="12" w:type="dxa"/>
              <w:bottom w:w="0" w:type="dxa"/>
              <w:right w:w="12" w:type="dxa"/>
            </w:tcMar>
            <w:hideMark/>
          </w:tcPr>
          <w:p w14:paraId="0FC825C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13,8</w:t>
            </w:r>
          </w:p>
        </w:tc>
        <w:tc>
          <w:tcPr>
            <w:tcW w:w="798" w:type="dxa"/>
            <w:tcBorders>
              <w:top w:val="nil"/>
              <w:bottom w:val="nil"/>
            </w:tcBorders>
            <w:shd w:val="clear" w:color="auto" w:fill="auto"/>
            <w:tcMar>
              <w:top w:w="12" w:type="dxa"/>
              <w:left w:w="12" w:type="dxa"/>
              <w:bottom w:w="0" w:type="dxa"/>
              <w:right w:w="12" w:type="dxa"/>
            </w:tcMar>
            <w:hideMark/>
          </w:tcPr>
          <w:p w14:paraId="0C5F1333"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14,6</w:t>
            </w:r>
          </w:p>
        </w:tc>
      </w:tr>
      <w:tr w:rsidR="00BA2CAF" w:rsidRPr="009E61C9" w14:paraId="19FF9BED" w14:textId="77777777" w:rsidTr="00BA2CAF">
        <w:trPr>
          <w:trHeight w:val="262"/>
          <w:jc w:val="center"/>
        </w:trPr>
        <w:tc>
          <w:tcPr>
            <w:tcW w:w="660" w:type="dxa"/>
            <w:vMerge/>
            <w:tcBorders>
              <w:top w:val="single" w:sz="4" w:space="0" w:color="000000"/>
              <w:bottom w:val="single" w:sz="4" w:space="0" w:color="000000"/>
            </w:tcBorders>
            <w:hideMark/>
          </w:tcPr>
          <w:p w14:paraId="0CDFE783" w14:textId="77777777" w:rsidR="00BA2CAF" w:rsidRPr="009E61C9" w:rsidRDefault="00BA2CAF" w:rsidP="00430AD9">
            <w:pPr>
              <w:rPr>
                <w:rFonts w:ascii="Garamond" w:eastAsiaTheme="minorEastAsia" w:hAnsi="Garamond"/>
                <w:bCs/>
                <w:kern w:val="2"/>
                <w:sz w:val="22"/>
                <w:szCs w:val="22"/>
                <w14:ligatures w14:val="standardContextual"/>
              </w:rPr>
            </w:pPr>
          </w:p>
        </w:tc>
        <w:tc>
          <w:tcPr>
            <w:tcW w:w="665" w:type="dxa"/>
            <w:tcBorders>
              <w:top w:val="nil"/>
              <w:bottom w:val="nil"/>
            </w:tcBorders>
            <w:shd w:val="clear" w:color="auto" w:fill="auto"/>
            <w:tcMar>
              <w:top w:w="12" w:type="dxa"/>
              <w:left w:w="12" w:type="dxa"/>
              <w:bottom w:w="0" w:type="dxa"/>
              <w:right w:w="12" w:type="dxa"/>
            </w:tcMar>
            <w:hideMark/>
          </w:tcPr>
          <w:p w14:paraId="04C1372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75-84</w:t>
            </w:r>
          </w:p>
        </w:tc>
        <w:tc>
          <w:tcPr>
            <w:tcW w:w="797" w:type="dxa"/>
            <w:tcBorders>
              <w:top w:val="nil"/>
              <w:bottom w:val="nil"/>
            </w:tcBorders>
            <w:shd w:val="clear" w:color="auto" w:fill="auto"/>
            <w:tcMar>
              <w:top w:w="12" w:type="dxa"/>
              <w:left w:w="12" w:type="dxa"/>
              <w:bottom w:w="0" w:type="dxa"/>
              <w:right w:w="12" w:type="dxa"/>
            </w:tcMar>
            <w:hideMark/>
          </w:tcPr>
          <w:p w14:paraId="036D8D3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18,3</w:t>
            </w:r>
          </w:p>
        </w:tc>
        <w:tc>
          <w:tcPr>
            <w:tcW w:w="798" w:type="dxa"/>
            <w:tcBorders>
              <w:top w:val="nil"/>
              <w:bottom w:val="nil"/>
            </w:tcBorders>
            <w:shd w:val="clear" w:color="auto" w:fill="auto"/>
            <w:tcMar>
              <w:top w:w="12" w:type="dxa"/>
              <w:left w:w="12" w:type="dxa"/>
              <w:bottom w:w="0" w:type="dxa"/>
              <w:right w:w="12" w:type="dxa"/>
            </w:tcMar>
            <w:hideMark/>
          </w:tcPr>
          <w:p w14:paraId="1CD02E3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21,2</w:t>
            </w:r>
          </w:p>
        </w:tc>
        <w:tc>
          <w:tcPr>
            <w:tcW w:w="797" w:type="dxa"/>
            <w:tcBorders>
              <w:top w:val="nil"/>
              <w:bottom w:val="nil"/>
            </w:tcBorders>
            <w:shd w:val="clear" w:color="auto" w:fill="auto"/>
            <w:tcMar>
              <w:top w:w="12" w:type="dxa"/>
              <w:left w:w="12" w:type="dxa"/>
              <w:bottom w:w="0" w:type="dxa"/>
              <w:right w:w="12" w:type="dxa"/>
            </w:tcMar>
            <w:hideMark/>
          </w:tcPr>
          <w:p w14:paraId="798A7BCD"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21,6</w:t>
            </w:r>
          </w:p>
        </w:tc>
        <w:tc>
          <w:tcPr>
            <w:tcW w:w="798" w:type="dxa"/>
            <w:tcBorders>
              <w:top w:val="nil"/>
              <w:bottom w:val="nil"/>
            </w:tcBorders>
            <w:shd w:val="clear" w:color="auto" w:fill="auto"/>
            <w:tcMar>
              <w:top w:w="12" w:type="dxa"/>
              <w:left w:w="12" w:type="dxa"/>
              <w:bottom w:w="0" w:type="dxa"/>
              <w:right w:w="12" w:type="dxa"/>
            </w:tcMar>
            <w:hideMark/>
          </w:tcPr>
          <w:p w14:paraId="50BC56AA"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25,2</w:t>
            </w:r>
          </w:p>
        </w:tc>
        <w:tc>
          <w:tcPr>
            <w:tcW w:w="797" w:type="dxa"/>
            <w:tcBorders>
              <w:top w:val="nil"/>
              <w:bottom w:val="nil"/>
            </w:tcBorders>
            <w:shd w:val="clear" w:color="auto" w:fill="auto"/>
            <w:tcMar>
              <w:top w:w="12" w:type="dxa"/>
              <w:left w:w="12" w:type="dxa"/>
              <w:bottom w:w="0" w:type="dxa"/>
              <w:right w:w="12" w:type="dxa"/>
            </w:tcMar>
            <w:hideMark/>
          </w:tcPr>
          <w:p w14:paraId="6455A6E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16,3</w:t>
            </w:r>
          </w:p>
        </w:tc>
        <w:tc>
          <w:tcPr>
            <w:tcW w:w="798" w:type="dxa"/>
            <w:tcBorders>
              <w:top w:val="nil"/>
              <w:bottom w:val="nil"/>
            </w:tcBorders>
            <w:shd w:val="clear" w:color="auto" w:fill="auto"/>
            <w:tcMar>
              <w:top w:w="12" w:type="dxa"/>
              <w:left w:w="12" w:type="dxa"/>
              <w:bottom w:w="0" w:type="dxa"/>
              <w:right w:w="12" w:type="dxa"/>
            </w:tcMar>
            <w:hideMark/>
          </w:tcPr>
          <w:p w14:paraId="44EFC786"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19,9</w:t>
            </w:r>
          </w:p>
        </w:tc>
        <w:tc>
          <w:tcPr>
            <w:tcW w:w="797" w:type="dxa"/>
            <w:tcBorders>
              <w:top w:val="nil"/>
              <w:bottom w:val="nil"/>
            </w:tcBorders>
            <w:shd w:val="clear" w:color="auto" w:fill="auto"/>
            <w:tcMar>
              <w:top w:w="12" w:type="dxa"/>
              <w:left w:w="12" w:type="dxa"/>
              <w:bottom w:w="0" w:type="dxa"/>
              <w:right w:w="12" w:type="dxa"/>
            </w:tcMar>
            <w:hideMark/>
          </w:tcPr>
          <w:p w14:paraId="3DC64BF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33,1</w:t>
            </w:r>
          </w:p>
        </w:tc>
        <w:tc>
          <w:tcPr>
            <w:tcW w:w="798" w:type="dxa"/>
            <w:tcBorders>
              <w:top w:val="nil"/>
              <w:bottom w:val="nil"/>
            </w:tcBorders>
            <w:shd w:val="clear" w:color="auto" w:fill="auto"/>
            <w:tcMar>
              <w:top w:w="12" w:type="dxa"/>
              <w:left w:w="12" w:type="dxa"/>
              <w:bottom w:w="0" w:type="dxa"/>
              <w:right w:w="12" w:type="dxa"/>
            </w:tcMar>
            <w:hideMark/>
          </w:tcPr>
          <w:p w14:paraId="7B5C952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35,6</w:t>
            </w:r>
          </w:p>
        </w:tc>
        <w:tc>
          <w:tcPr>
            <w:tcW w:w="802" w:type="dxa"/>
            <w:tcBorders>
              <w:top w:val="nil"/>
              <w:bottom w:val="nil"/>
            </w:tcBorders>
            <w:shd w:val="clear" w:color="auto" w:fill="auto"/>
            <w:tcMar>
              <w:top w:w="12" w:type="dxa"/>
              <w:left w:w="12" w:type="dxa"/>
              <w:bottom w:w="0" w:type="dxa"/>
              <w:right w:w="12" w:type="dxa"/>
            </w:tcMar>
            <w:hideMark/>
          </w:tcPr>
          <w:p w14:paraId="29D3A868"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22,7</w:t>
            </w:r>
          </w:p>
        </w:tc>
        <w:tc>
          <w:tcPr>
            <w:tcW w:w="798" w:type="dxa"/>
            <w:tcBorders>
              <w:top w:val="nil"/>
              <w:bottom w:val="nil"/>
            </w:tcBorders>
            <w:shd w:val="clear" w:color="auto" w:fill="auto"/>
            <w:tcMar>
              <w:top w:w="12" w:type="dxa"/>
              <w:left w:w="12" w:type="dxa"/>
              <w:bottom w:w="0" w:type="dxa"/>
              <w:right w:w="12" w:type="dxa"/>
            </w:tcMar>
            <w:hideMark/>
          </w:tcPr>
          <w:p w14:paraId="37F0552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26,7</w:t>
            </w:r>
          </w:p>
        </w:tc>
      </w:tr>
      <w:tr w:rsidR="00BA2CAF" w:rsidRPr="009E61C9" w14:paraId="6672E9C5" w14:textId="77777777" w:rsidTr="00BA2CAF">
        <w:trPr>
          <w:trHeight w:val="262"/>
          <w:jc w:val="center"/>
        </w:trPr>
        <w:tc>
          <w:tcPr>
            <w:tcW w:w="660" w:type="dxa"/>
            <w:vMerge/>
            <w:tcBorders>
              <w:top w:val="single" w:sz="4" w:space="0" w:color="000000"/>
              <w:bottom w:val="single" w:sz="4" w:space="0" w:color="000000"/>
            </w:tcBorders>
            <w:hideMark/>
          </w:tcPr>
          <w:p w14:paraId="7E0D9601" w14:textId="77777777" w:rsidR="00BA2CAF" w:rsidRPr="009E61C9" w:rsidRDefault="00BA2CAF" w:rsidP="00430AD9">
            <w:pPr>
              <w:rPr>
                <w:rFonts w:ascii="Garamond" w:eastAsiaTheme="minorEastAsia" w:hAnsi="Garamond"/>
                <w:bCs/>
                <w:kern w:val="2"/>
                <w:sz w:val="22"/>
                <w:szCs w:val="22"/>
                <w14:ligatures w14:val="standardContextual"/>
              </w:rPr>
            </w:pPr>
          </w:p>
        </w:tc>
        <w:tc>
          <w:tcPr>
            <w:tcW w:w="665" w:type="dxa"/>
            <w:tcBorders>
              <w:top w:val="nil"/>
              <w:bottom w:val="single" w:sz="4" w:space="0" w:color="000000"/>
            </w:tcBorders>
            <w:shd w:val="clear" w:color="auto" w:fill="auto"/>
            <w:tcMar>
              <w:top w:w="12" w:type="dxa"/>
              <w:left w:w="12" w:type="dxa"/>
              <w:bottom w:w="0" w:type="dxa"/>
              <w:right w:w="12" w:type="dxa"/>
            </w:tcMar>
            <w:hideMark/>
          </w:tcPr>
          <w:p w14:paraId="6A40AC6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85-94</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4E23F2C5"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26,6</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54253E3D"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31,9</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33D19FB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33,7</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0BE955D3"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40,9</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118E3C6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27,7</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18B0BAA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37,0</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4EF4593A"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44,1</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0F0FDC6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49,2</w:t>
            </w:r>
          </w:p>
        </w:tc>
        <w:tc>
          <w:tcPr>
            <w:tcW w:w="802" w:type="dxa"/>
            <w:tcBorders>
              <w:top w:val="nil"/>
              <w:bottom w:val="single" w:sz="4" w:space="0" w:color="000000"/>
            </w:tcBorders>
            <w:shd w:val="clear" w:color="auto" w:fill="auto"/>
            <w:tcMar>
              <w:top w:w="12" w:type="dxa"/>
              <w:left w:w="12" w:type="dxa"/>
              <w:bottom w:w="0" w:type="dxa"/>
              <w:right w:w="12" w:type="dxa"/>
            </w:tcMar>
            <w:hideMark/>
          </w:tcPr>
          <w:p w14:paraId="6E86A56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33,1</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3E83EEF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40,8</w:t>
            </w:r>
          </w:p>
        </w:tc>
      </w:tr>
      <w:tr w:rsidR="00BA2CAF" w:rsidRPr="009E61C9" w14:paraId="23586167" w14:textId="77777777" w:rsidTr="00BA2CAF">
        <w:trPr>
          <w:trHeight w:val="246"/>
          <w:jc w:val="center"/>
        </w:trPr>
        <w:tc>
          <w:tcPr>
            <w:tcW w:w="660"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617F1051" w14:textId="77777777" w:rsidR="00BA2CAF" w:rsidRPr="009E61C9" w:rsidRDefault="00BA2CAF" w:rsidP="00430AD9">
            <w:pP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 xml:space="preserve">ADL </w:t>
            </w:r>
          </w:p>
        </w:tc>
        <w:tc>
          <w:tcPr>
            <w:tcW w:w="665" w:type="dxa"/>
            <w:tcBorders>
              <w:top w:val="single" w:sz="4" w:space="0" w:color="000000"/>
              <w:bottom w:val="nil"/>
            </w:tcBorders>
            <w:shd w:val="clear" w:color="auto" w:fill="auto"/>
            <w:tcMar>
              <w:top w:w="12" w:type="dxa"/>
              <w:left w:w="12" w:type="dxa"/>
              <w:bottom w:w="0" w:type="dxa"/>
              <w:right w:w="12" w:type="dxa"/>
            </w:tcMar>
            <w:hideMark/>
          </w:tcPr>
          <w:p w14:paraId="62A1E6E3"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50-64</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78238F2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1,6</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073761E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2,3</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72B2835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2,7</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4565D748"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2,6</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6F00B90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2,0</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09C618A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2,4</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0FACAEFD"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4,0</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6EC1DE1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3,4</w:t>
            </w:r>
          </w:p>
        </w:tc>
        <w:tc>
          <w:tcPr>
            <w:tcW w:w="802" w:type="dxa"/>
            <w:tcBorders>
              <w:top w:val="single" w:sz="4" w:space="0" w:color="000000"/>
              <w:bottom w:val="nil"/>
            </w:tcBorders>
            <w:shd w:val="clear" w:color="auto" w:fill="auto"/>
            <w:tcMar>
              <w:top w:w="12" w:type="dxa"/>
              <w:left w:w="12" w:type="dxa"/>
              <w:bottom w:w="0" w:type="dxa"/>
              <w:right w:w="12" w:type="dxa"/>
            </w:tcMar>
            <w:hideMark/>
          </w:tcPr>
          <w:p w14:paraId="1E725C25"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2,7</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2445C30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2,7</w:t>
            </w:r>
          </w:p>
        </w:tc>
      </w:tr>
      <w:tr w:rsidR="00BA2CAF" w:rsidRPr="009E61C9" w14:paraId="0BE2F242" w14:textId="77777777" w:rsidTr="00BA2CAF">
        <w:trPr>
          <w:trHeight w:val="262"/>
          <w:jc w:val="center"/>
        </w:trPr>
        <w:tc>
          <w:tcPr>
            <w:tcW w:w="660" w:type="dxa"/>
            <w:vMerge/>
            <w:tcBorders>
              <w:top w:val="single" w:sz="4" w:space="0" w:color="000000"/>
              <w:bottom w:val="single" w:sz="4" w:space="0" w:color="000000"/>
            </w:tcBorders>
            <w:hideMark/>
          </w:tcPr>
          <w:p w14:paraId="109D6F2F" w14:textId="77777777" w:rsidR="00BA2CAF" w:rsidRPr="009E61C9" w:rsidRDefault="00BA2CAF" w:rsidP="00430AD9">
            <w:pPr>
              <w:rPr>
                <w:rFonts w:ascii="Garamond" w:eastAsiaTheme="minorEastAsia" w:hAnsi="Garamond"/>
                <w:bCs/>
                <w:kern w:val="2"/>
                <w:sz w:val="22"/>
                <w:szCs w:val="22"/>
                <w14:ligatures w14:val="standardContextual"/>
              </w:rPr>
            </w:pPr>
          </w:p>
        </w:tc>
        <w:tc>
          <w:tcPr>
            <w:tcW w:w="665" w:type="dxa"/>
            <w:tcBorders>
              <w:top w:val="nil"/>
              <w:bottom w:val="nil"/>
            </w:tcBorders>
            <w:shd w:val="clear" w:color="auto" w:fill="auto"/>
            <w:tcMar>
              <w:top w:w="12" w:type="dxa"/>
              <w:left w:w="12" w:type="dxa"/>
              <w:bottom w:w="0" w:type="dxa"/>
              <w:right w:w="12" w:type="dxa"/>
            </w:tcMar>
            <w:hideMark/>
          </w:tcPr>
          <w:p w14:paraId="02BF0B7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65-74</w:t>
            </w:r>
          </w:p>
        </w:tc>
        <w:tc>
          <w:tcPr>
            <w:tcW w:w="797" w:type="dxa"/>
            <w:tcBorders>
              <w:top w:val="nil"/>
              <w:bottom w:val="nil"/>
            </w:tcBorders>
            <w:shd w:val="clear" w:color="auto" w:fill="auto"/>
            <w:tcMar>
              <w:top w:w="12" w:type="dxa"/>
              <w:left w:w="12" w:type="dxa"/>
              <w:bottom w:w="0" w:type="dxa"/>
              <w:right w:w="12" w:type="dxa"/>
            </w:tcMar>
            <w:hideMark/>
          </w:tcPr>
          <w:p w14:paraId="76284A5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2,5</w:t>
            </w:r>
          </w:p>
        </w:tc>
        <w:tc>
          <w:tcPr>
            <w:tcW w:w="798" w:type="dxa"/>
            <w:tcBorders>
              <w:top w:val="nil"/>
              <w:bottom w:val="nil"/>
            </w:tcBorders>
            <w:shd w:val="clear" w:color="auto" w:fill="auto"/>
            <w:tcMar>
              <w:top w:w="12" w:type="dxa"/>
              <w:left w:w="12" w:type="dxa"/>
              <w:bottom w:w="0" w:type="dxa"/>
              <w:right w:w="12" w:type="dxa"/>
            </w:tcMar>
            <w:hideMark/>
          </w:tcPr>
          <w:p w14:paraId="02B9EC72"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2,6</w:t>
            </w:r>
          </w:p>
        </w:tc>
        <w:tc>
          <w:tcPr>
            <w:tcW w:w="797" w:type="dxa"/>
            <w:tcBorders>
              <w:top w:val="nil"/>
              <w:bottom w:val="nil"/>
            </w:tcBorders>
            <w:shd w:val="clear" w:color="auto" w:fill="auto"/>
            <w:tcMar>
              <w:top w:w="12" w:type="dxa"/>
              <w:left w:w="12" w:type="dxa"/>
              <w:bottom w:w="0" w:type="dxa"/>
              <w:right w:w="12" w:type="dxa"/>
            </w:tcMar>
            <w:hideMark/>
          </w:tcPr>
          <w:p w14:paraId="31B07202"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3,8</w:t>
            </w:r>
          </w:p>
        </w:tc>
        <w:tc>
          <w:tcPr>
            <w:tcW w:w="798" w:type="dxa"/>
            <w:tcBorders>
              <w:top w:val="nil"/>
              <w:bottom w:val="nil"/>
            </w:tcBorders>
            <w:shd w:val="clear" w:color="auto" w:fill="auto"/>
            <w:tcMar>
              <w:top w:w="12" w:type="dxa"/>
              <w:left w:w="12" w:type="dxa"/>
              <w:bottom w:w="0" w:type="dxa"/>
              <w:right w:w="12" w:type="dxa"/>
            </w:tcMar>
            <w:hideMark/>
          </w:tcPr>
          <w:p w14:paraId="5912911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3,6</w:t>
            </w:r>
          </w:p>
        </w:tc>
        <w:tc>
          <w:tcPr>
            <w:tcW w:w="797" w:type="dxa"/>
            <w:tcBorders>
              <w:top w:val="nil"/>
              <w:bottom w:val="nil"/>
            </w:tcBorders>
            <w:shd w:val="clear" w:color="auto" w:fill="auto"/>
            <w:tcMar>
              <w:top w:w="12" w:type="dxa"/>
              <w:left w:w="12" w:type="dxa"/>
              <w:bottom w:w="0" w:type="dxa"/>
              <w:right w:w="12" w:type="dxa"/>
            </w:tcMar>
            <w:hideMark/>
          </w:tcPr>
          <w:p w14:paraId="38551272"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4,0</w:t>
            </w:r>
          </w:p>
        </w:tc>
        <w:tc>
          <w:tcPr>
            <w:tcW w:w="798" w:type="dxa"/>
            <w:tcBorders>
              <w:top w:val="nil"/>
              <w:bottom w:val="nil"/>
            </w:tcBorders>
            <w:shd w:val="clear" w:color="auto" w:fill="auto"/>
            <w:tcMar>
              <w:top w:w="12" w:type="dxa"/>
              <w:left w:w="12" w:type="dxa"/>
              <w:bottom w:w="0" w:type="dxa"/>
              <w:right w:w="12" w:type="dxa"/>
            </w:tcMar>
            <w:hideMark/>
          </w:tcPr>
          <w:p w14:paraId="32B1794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5,6</w:t>
            </w:r>
          </w:p>
        </w:tc>
        <w:tc>
          <w:tcPr>
            <w:tcW w:w="797" w:type="dxa"/>
            <w:tcBorders>
              <w:top w:val="nil"/>
              <w:bottom w:val="nil"/>
            </w:tcBorders>
            <w:shd w:val="clear" w:color="auto" w:fill="auto"/>
            <w:tcMar>
              <w:top w:w="12" w:type="dxa"/>
              <w:left w:w="12" w:type="dxa"/>
              <w:bottom w:w="0" w:type="dxa"/>
              <w:right w:w="12" w:type="dxa"/>
            </w:tcMar>
            <w:hideMark/>
          </w:tcPr>
          <w:p w14:paraId="5D85844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6,6</w:t>
            </w:r>
          </w:p>
        </w:tc>
        <w:tc>
          <w:tcPr>
            <w:tcW w:w="798" w:type="dxa"/>
            <w:tcBorders>
              <w:top w:val="nil"/>
              <w:bottom w:val="nil"/>
            </w:tcBorders>
            <w:shd w:val="clear" w:color="auto" w:fill="auto"/>
            <w:tcMar>
              <w:top w:w="12" w:type="dxa"/>
              <w:left w:w="12" w:type="dxa"/>
              <w:bottom w:w="0" w:type="dxa"/>
              <w:right w:w="12" w:type="dxa"/>
            </w:tcMar>
            <w:hideMark/>
          </w:tcPr>
          <w:p w14:paraId="6630BDE8"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5,8</w:t>
            </w:r>
          </w:p>
        </w:tc>
        <w:tc>
          <w:tcPr>
            <w:tcW w:w="802" w:type="dxa"/>
            <w:tcBorders>
              <w:top w:val="nil"/>
              <w:bottom w:val="nil"/>
            </w:tcBorders>
            <w:shd w:val="clear" w:color="auto" w:fill="auto"/>
            <w:tcMar>
              <w:top w:w="12" w:type="dxa"/>
              <w:left w:w="12" w:type="dxa"/>
              <w:bottom w:w="0" w:type="dxa"/>
              <w:right w:w="12" w:type="dxa"/>
            </w:tcMar>
            <w:hideMark/>
          </w:tcPr>
          <w:p w14:paraId="76F261D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4,4</w:t>
            </w:r>
          </w:p>
        </w:tc>
        <w:tc>
          <w:tcPr>
            <w:tcW w:w="798" w:type="dxa"/>
            <w:tcBorders>
              <w:top w:val="nil"/>
              <w:bottom w:val="nil"/>
            </w:tcBorders>
            <w:shd w:val="clear" w:color="auto" w:fill="auto"/>
            <w:tcMar>
              <w:top w:w="12" w:type="dxa"/>
              <w:left w:w="12" w:type="dxa"/>
              <w:bottom w:w="0" w:type="dxa"/>
              <w:right w:w="12" w:type="dxa"/>
            </w:tcMar>
            <w:hideMark/>
          </w:tcPr>
          <w:p w14:paraId="4BA173C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4,5</w:t>
            </w:r>
          </w:p>
        </w:tc>
      </w:tr>
      <w:tr w:rsidR="00BA2CAF" w:rsidRPr="009E61C9" w14:paraId="60A630FE" w14:textId="77777777" w:rsidTr="00BA2CAF">
        <w:trPr>
          <w:trHeight w:val="262"/>
          <w:jc w:val="center"/>
        </w:trPr>
        <w:tc>
          <w:tcPr>
            <w:tcW w:w="660" w:type="dxa"/>
            <w:vMerge/>
            <w:tcBorders>
              <w:top w:val="single" w:sz="4" w:space="0" w:color="000000"/>
              <w:bottom w:val="single" w:sz="4" w:space="0" w:color="000000"/>
            </w:tcBorders>
            <w:hideMark/>
          </w:tcPr>
          <w:p w14:paraId="1C748F77" w14:textId="77777777" w:rsidR="00BA2CAF" w:rsidRPr="009E61C9" w:rsidRDefault="00BA2CAF" w:rsidP="00430AD9">
            <w:pPr>
              <w:rPr>
                <w:rFonts w:ascii="Garamond" w:eastAsiaTheme="minorEastAsia" w:hAnsi="Garamond"/>
                <w:bCs/>
                <w:kern w:val="2"/>
                <w:sz w:val="22"/>
                <w:szCs w:val="22"/>
                <w14:ligatures w14:val="standardContextual"/>
              </w:rPr>
            </w:pPr>
          </w:p>
        </w:tc>
        <w:tc>
          <w:tcPr>
            <w:tcW w:w="665" w:type="dxa"/>
            <w:tcBorders>
              <w:top w:val="nil"/>
              <w:bottom w:val="nil"/>
            </w:tcBorders>
            <w:shd w:val="clear" w:color="auto" w:fill="auto"/>
            <w:tcMar>
              <w:top w:w="12" w:type="dxa"/>
              <w:left w:w="12" w:type="dxa"/>
              <w:bottom w:w="0" w:type="dxa"/>
              <w:right w:w="12" w:type="dxa"/>
            </w:tcMar>
            <w:hideMark/>
          </w:tcPr>
          <w:p w14:paraId="3EB098A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75-84</w:t>
            </w:r>
          </w:p>
        </w:tc>
        <w:tc>
          <w:tcPr>
            <w:tcW w:w="797" w:type="dxa"/>
            <w:tcBorders>
              <w:top w:val="nil"/>
              <w:bottom w:val="nil"/>
            </w:tcBorders>
            <w:shd w:val="clear" w:color="auto" w:fill="auto"/>
            <w:tcMar>
              <w:top w:w="12" w:type="dxa"/>
              <w:left w:w="12" w:type="dxa"/>
              <w:bottom w:w="0" w:type="dxa"/>
              <w:right w:w="12" w:type="dxa"/>
            </w:tcMar>
            <w:hideMark/>
          </w:tcPr>
          <w:p w14:paraId="17DC2E82"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5,5</w:t>
            </w:r>
          </w:p>
        </w:tc>
        <w:tc>
          <w:tcPr>
            <w:tcW w:w="798" w:type="dxa"/>
            <w:tcBorders>
              <w:top w:val="nil"/>
              <w:bottom w:val="nil"/>
            </w:tcBorders>
            <w:shd w:val="clear" w:color="auto" w:fill="auto"/>
            <w:tcMar>
              <w:top w:w="12" w:type="dxa"/>
              <w:left w:w="12" w:type="dxa"/>
              <w:bottom w:w="0" w:type="dxa"/>
              <w:right w:w="12" w:type="dxa"/>
            </w:tcMar>
            <w:hideMark/>
          </w:tcPr>
          <w:p w14:paraId="74F0F8C8"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6,1</w:t>
            </w:r>
          </w:p>
        </w:tc>
        <w:tc>
          <w:tcPr>
            <w:tcW w:w="797" w:type="dxa"/>
            <w:tcBorders>
              <w:top w:val="nil"/>
              <w:bottom w:val="nil"/>
            </w:tcBorders>
            <w:shd w:val="clear" w:color="auto" w:fill="auto"/>
            <w:tcMar>
              <w:top w:w="12" w:type="dxa"/>
              <w:left w:w="12" w:type="dxa"/>
              <w:bottom w:w="0" w:type="dxa"/>
              <w:right w:w="12" w:type="dxa"/>
            </w:tcMar>
            <w:hideMark/>
          </w:tcPr>
          <w:p w14:paraId="5B84FC6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8,6</w:t>
            </w:r>
          </w:p>
        </w:tc>
        <w:tc>
          <w:tcPr>
            <w:tcW w:w="798" w:type="dxa"/>
            <w:tcBorders>
              <w:top w:val="nil"/>
              <w:bottom w:val="nil"/>
            </w:tcBorders>
            <w:shd w:val="clear" w:color="auto" w:fill="auto"/>
            <w:tcMar>
              <w:top w:w="12" w:type="dxa"/>
              <w:left w:w="12" w:type="dxa"/>
              <w:bottom w:w="0" w:type="dxa"/>
              <w:right w:w="12" w:type="dxa"/>
            </w:tcMar>
            <w:hideMark/>
          </w:tcPr>
          <w:p w14:paraId="17D3DD0D"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10,5</w:t>
            </w:r>
          </w:p>
        </w:tc>
        <w:tc>
          <w:tcPr>
            <w:tcW w:w="797" w:type="dxa"/>
            <w:tcBorders>
              <w:top w:val="nil"/>
              <w:bottom w:val="nil"/>
            </w:tcBorders>
            <w:shd w:val="clear" w:color="auto" w:fill="auto"/>
            <w:tcMar>
              <w:top w:w="12" w:type="dxa"/>
              <w:left w:w="12" w:type="dxa"/>
              <w:bottom w:w="0" w:type="dxa"/>
              <w:right w:w="12" w:type="dxa"/>
            </w:tcMar>
            <w:hideMark/>
          </w:tcPr>
          <w:p w14:paraId="35D40933"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9,9</w:t>
            </w:r>
          </w:p>
        </w:tc>
        <w:tc>
          <w:tcPr>
            <w:tcW w:w="798" w:type="dxa"/>
            <w:tcBorders>
              <w:top w:val="nil"/>
              <w:bottom w:val="nil"/>
            </w:tcBorders>
            <w:shd w:val="clear" w:color="auto" w:fill="auto"/>
            <w:tcMar>
              <w:top w:w="12" w:type="dxa"/>
              <w:left w:w="12" w:type="dxa"/>
              <w:bottom w:w="0" w:type="dxa"/>
              <w:right w:w="12" w:type="dxa"/>
            </w:tcMar>
            <w:hideMark/>
          </w:tcPr>
          <w:p w14:paraId="2271BC53"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15,4</w:t>
            </w:r>
          </w:p>
        </w:tc>
        <w:tc>
          <w:tcPr>
            <w:tcW w:w="797" w:type="dxa"/>
            <w:tcBorders>
              <w:top w:val="nil"/>
              <w:bottom w:val="nil"/>
            </w:tcBorders>
            <w:shd w:val="clear" w:color="auto" w:fill="auto"/>
            <w:tcMar>
              <w:top w:w="12" w:type="dxa"/>
              <w:left w:w="12" w:type="dxa"/>
              <w:bottom w:w="0" w:type="dxa"/>
              <w:right w:w="12" w:type="dxa"/>
            </w:tcMar>
            <w:hideMark/>
          </w:tcPr>
          <w:p w14:paraId="00528AFB"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12,6</w:t>
            </w:r>
          </w:p>
        </w:tc>
        <w:tc>
          <w:tcPr>
            <w:tcW w:w="798" w:type="dxa"/>
            <w:tcBorders>
              <w:top w:val="nil"/>
              <w:bottom w:val="nil"/>
            </w:tcBorders>
            <w:shd w:val="clear" w:color="auto" w:fill="auto"/>
            <w:tcMar>
              <w:top w:w="12" w:type="dxa"/>
              <w:left w:w="12" w:type="dxa"/>
              <w:bottom w:w="0" w:type="dxa"/>
              <w:right w:w="12" w:type="dxa"/>
            </w:tcMar>
            <w:hideMark/>
          </w:tcPr>
          <w:p w14:paraId="79AA75F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14,3</w:t>
            </w:r>
          </w:p>
        </w:tc>
        <w:tc>
          <w:tcPr>
            <w:tcW w:w="802" w:type="dxa"/>
            <w:tcBorders>
              <w:top w:val="nil"/>
              <w:bottom w:val="nil"/>
            </w:tcBorders>
            <w:shd w:val="clear" w:color="auto" w:fill="auto"/>
            <w:tcMar>
              <w:top w:w="12" w:type="dxa"/>
              <w:left w:w="12" w:type="dxa"/>
              <w:bottom w:w="0" w:type="dxa"/>
              <w:right w:w="12" w:type="dxa"/>
            </w:tcMar>
            <w:hideMark/>
          </w:tcPr>
          <w:p w14:paraId="1B7C096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9,5</w:t>
            </w:r>
          </w:p>
        </w:tc>
        <w:tc>
          <w:tcPr>
            <w:tcW w:w="798" w:type="dxa"/>
            <w:tcBorders>
              <w:top w:val="nil"/>
              <w:bottom w:val="nil"/>
            </w:tcBorders>
            <w:shd w:val="clear" w:color="auto" w:fill="auto"/>
            <w:tcMar>
              <w:top w:w="12" w:type="dxa"/>
              <w:left w:w="12" w:type="dxa"/>
              <w:bottom w:w="0" w:type="dxa"/>
              <w:right w:w="12" w:type="dxa"/>
            </w:tcMar>
            <w:hideMark/>
          </w:tcPr>
          <w:p w14:paraId="00809A25"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12,3</w:t>
            </w:r>
          </w:p>
        </w:tc>
      </w:tr>
      <w:tr w:rsidR="00BA2CAF" w:rsidRPr="009E61C9" w14:paraId="17EA53B4" w14:textId="77777777" w:rsidTr="00BA2CAF">
        <w:trPr>
          <w:trHeight w:val="262"/>
          <w:jc w:val="center"/>
        </w:trPr>
        <w:tc>
          <w:tcPr>
            <w:tcW w:w="660" w:type="dxa"/>
            <w:vMerge/>
            <w:tcBorders>
              <w:top w:val="single" w:sz="4" w:space="0" w:color="000000"/>
              <w:bottom w:val="single" w:sz="4" w:space="0" w:color="000000"/>
            </w:tcBorders>
            <w:hideMark/>
          </w:tcPr>
          <w:p w14:paraId="62B258EA" w14:textId="77777777" w:rsidR="00BA2CAF" w:rsidRPr="009E61C9" w:rsidRDefault="00BA2CAF" w:rsidP="00430AD9">
            <w:pPr>
              <w:rPr>
                <w:rFonts w:ascii="Garamond" w:eastAsiaTheme="minorEastAsia" w:hAnsi="Garamond"/>
                <w:bCs/>
                <w:kern w:val="2"/>
                <w:sz w:val="22"/>
                <w:szCs w:val="22"/>
                <w14:ligatures w14:val="standardContextual"/>
              </w:rPr>
            </w:pPr>
          </w:p>
        </w:tc>
        <w:tc>
          <w:tcPr>
            <w:tcW w:w="665" w:type="dxa"/>
            <w:tcBorders>
              <w:top w:val="nil"/>
              <w:bottom w:val="single" w:sz="4" w:space="0" w:color="000000"/>
            </w:tcBorders>
            <w:shd w:val="clear" w:color="auto" w:fill="auto"/>
            <w:tcMar>
              <w:top w:w="12" w:type="dxa"/>
              <w:left w:w="12" w:type="dxa"/>
              <w:bottom w:w="0" w:type="dxa"/>
              <w:right w:w="12" w:type="dxa"/>
            </w:tcMar>
            <w:hideMark/>
          </w:tcPr>
          <w:p w14:paraId="6F09E9BD"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85-94</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6A58E49B"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14,0</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6F46EC5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17,1</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0EE5C43D"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19,9</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1FA60ABD"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27,6</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3FF6BF7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25,9</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781B102A"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38,0</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41480B5A"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21,9</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03E84B5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26,6</w:t>
            </w:r>
          </w:p>
        </w:tc>
        <w:tc>
          <w:tcPr>
            <w:tcW w:w="802" w:type="dxa"/>
            <w:tcBorders>
              <w:top w:val="nil"/>
              <w:bottom w:val="single" w:sz="4" w:space="0" w:color="000000"/>
            </w:tcBorders>
            <w:shd w:val="clear" w:color="auto" w:fill="auto"/>
            <w:tcMar>
              <w:top w:w="12" w:type="dxa"/>
              <w:left w:w="12" w:type="dxa"/>
              <w:bottom w:w="0" w:type="dxa"/>
              <w:right w:w="12" w:type="dxa"/>
            </w:tcMar>
            <w:hideMark/>
          </w:tcPr>
          <w:p w14:paraId="019F4C0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21,1</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5734994F"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28,5</w:t>
            </w:r>
          </w:p>
        </w:tc>
      </w:tr>
      <w:tr w:rsidR="00BA2CAF" w:rsidRPr="009E61C9" w14:paraId="380C51C6" w14:textId="77777777" w:rsidTr="00BA2CAF">
        <w:trPr>
          <w:trHeight w:val="246"/>
          <w:jc w:val="center"/>
        </w:trPr>
        <w:tc>
          <w:tcPr>
            <w:tcW w:w="660"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1399E3D4" w14:textId="77777777" w:rsidR="00BA2CAF" w:rsidRPr="009E61C9" w:rsidRDefault="00BA2CAF" w:rsidP="00430AD9">
            <w:pPr>
              <w:rPr>
                <w:rFonts w:ascii="Garamond" w:eastAsiaTheme="minorEastAsia" w:hAnsi="Garamond"/>
                <w:bCs/>
                <w:kern w:val="2"/>
                <w:sz w:val="22"/>
                <w:szCs w:val="22"/>
                <w14:ligatures w14:val="standardContextual"/>
              </w:rPr>
            </w:pPr>
            <w:r w:rsidRPr="009E61C9">
              <w:rPr>
                <w:rFonts w:ascii="Garamond" w:eastAsiaTheme="minorEastAsia" w:hAnsi="Garamond"/>
                <w:bCs/>
                <w:kern w:val="2"/>
                <w:sz w:val="22"/>
                <w:szCs w:val="22"/>
                <w14:ligatures w14:val="standardContextual"/>
              </w:rPr>
              <w:t>CASP</w:t>
            </w:r>
          </w:p>
        </w:tc>
        <w:tc>
          <w:tcPr>
            <w:tcW w:w="665" w:type="dxa"/>
            <w:tcBorders>
              <w:top w:val="single" w:sz="4" w:space="0" w:color="000000"/>
              <w:bottom w:val="nil"/>
            </w:tcBorders>
            <w:shd w:val="clear" w:color="auto" w:fill="auto"/>
            <w:tcMar>
              <w:top w:w="12" w:type="dxa"/>
              <w:left w:w="12" w:type="dxa"/>
              <w:bottom w:w="0" w:type="dxa"/>
              <w:right w:w="12" w:type="dxa"/>
            </w:tcMar>
            <w:hideMark/>
          </w:tcPr>
          <w:p w14:paraId="11C601C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50-64</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743EE6E3"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2,9</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2C2C8A2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3,4</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43BBCA9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7,7</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1658AC7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8,7</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62DD63B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16,0</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6247417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22,0</w:t>
            </w:r>
          </w:p>
        </w:tc>
        <w:tc>
          <w:tcPr>
            <w:tcW w:w="797" w:type="dxa"/>
            <w:tcBorders>
              <w:top w:val="single" w:sz="4" w:space="0" w:color="000000"/>
              <w:bottom w:val="nil"/>
            </w:tcBorders>
            <w:shd w:val="clear" w:color="auto" w:fill="auto"/>
            <w:tcMar>
              <w:top w:w="12" w:type="dxa"/>
              <w:left w:w="12" w:type="dxa"/>
              <w:bottom w:w="0" w:type="dxa"/>
              <w:right w:w="12" w:type="dxa"/>
            </w:tcMar>
            <w:hideMark/>
          </w:tcPr>
          <w:p w14:paraId="62A65D59"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14,5</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2357FC3F"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14,4</w:t>
            </w:r>
          </w:p>
        </w:tc>
        <w:tc>
          <w:tcPr>
            <w:tcW w:w="802" w:type="dxa"/>
            <w:tcBorders>
              <w:top w:val="single" w:sz="4" w:space="0" w:color="000000"/>
              <w:bottom w:val="nil"/>
            </w:tcBorders>
            <w:shd w:val="clear" w:color="auto" w:fill="auto"/>
            <w:tcMar>
              <w:top w:w="12" w:type="dxa"/>
              <w:left w:w="12" w:type="dxa"/>
              <w:bottom w:w="0" w:type="dxa"/>
              <w:right w:w="12" w:type="dxa"/>
            </w:tcMar>
            <w:hideMark/>
          </w:tcPr>
          <w:p w14:paraId="0174B95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10,4</w:t>
            </w:r>
          </w:p>
        </w:tc>
        <w:tc>
          <w:tcPr>
            <w:tcW w:w="798" w:type="dxa"/>
            <w:tcBorders>
              <w:top w:val="single" w:sz="4" w:space="0" w:color="000000"/>
              <w:bottom w:val="nil"/>
            </w:tcBorders>
            <w:shd w:val="clear" w:color="auto" w:fill="auto"/>
            <w:tcMar>
              <w:top w:w="12" w:type="dxa"/>
              <w:left w:w="12" w:type="dxa"/>
              <w:bottom w:w="0" w:type="dxa"/>
              <w:right w:w="12" w:type="dxa"/>
            </w:tcMar>
            <w:hideMark/>
          </w:tcPr>
          <w:p w14:paraId="75F7A1EF"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12,3</w:t>
            </w:r>
          </w:p>
        </w:tc>
      </w:tr>
      <w:tr w:rsidR="00BA2CAF" w:rsidRPr="009E61C9" w14:paraId="424C565B" w14:textId="77777777" w:rsidTr="00BA2CAF">
        <w:trPr>
          <w:trHeight w:val="262"/>
          <w:jc w:val="center"/>
        </w:trPr>
        <w:tc>
          <w:tcPr>
            <w:tcW w:w="660" w:type="dxa"/>
            <w:vMerge/>
            <w:tcBorders>
              <w:top w:val="single" w:sz="4" w:space="0" w:color="000000"/>
              <w:bottom w:val="single" w:sz="4" w:space="0" w:color="000000"/>
            </w:tcBorders>
            <w:hideMark/>
          </w:tcPr>
          <w:p w14:paraId="4BA9F95D" w14:textId="77777777" w:rsidR="00BA2CAF" w:rsidRPr="009E61C9" w:rsidRDefault="00BA2CAF" w:rsidP="00430AD9">
            <w:pPr>
              <w:rPr>
                <w:rFonts w:ascii="Garamond" w:eastAsiaTheme="minorEastAsia" w:hAnsi="Garamond"/>
                <w:kern w:val="2"/>
                <w:sz w:val="22"/>
                <w:szCs w:val="22"/>
                <w14:ligatures w14:val="standardContextual"/>
              </w:rPr>
            </w:pPr>
          </w:p>
        </w:tc>
        <w:tc>
          <w:tcPr>
            <w:tcW w:w="665" w:type="dxa"/>
            <w:tcBorders>
              <w:top w:val="nil"/>
              <w:bottom w:val="nil"/>
            </w:tcBorders>
            <w:shd w:val="clear" w:color="auto" w:fill="auto"/>
            <w:tcMar>
              <w:top w:w="12" w:type="dxa"/>
              <w:left w:w="12" w:type="dxa"/>
              <w:bottom w:w="0" w:type="dxa"/>
              <w:right w:w="12" w:type="dxa"/>
            </w:tcMar>
            <w:hideMark/>
          </w:tcPr>
          <w:p w14:paraId="52D035DB"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65-74</w:t>
            </w:r>
          </w:p>
        </w:tc>
        <w:tc>
          <w:tcPr>
            <w:tcW w:w="797" w:type="dxa"/>
            <w:tcBorders>
              <w:top w:val="nil"/>
              <w:bottom w:val="nil"/>
            </w:tcBorders>
            <w:shd w:val="clear" w:color="auto" w:fill="auto"/>
            <w:tcMar>
              <w:top w:w="12" w:type="dxa"/>
              <w:left w:w="12" w:type="dxa"/>
              <w:bottom w:w="0" w:type="dxa"/>
              <w:right w:w="12" w:type="dxa"/>
            </w:tcMar>
            <w:hideMark/>
          </w:tcPr>
          <w:p w14:paraId="18AF00E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2,7</w:t>
            </w:r>
          </w:p>
        </w:tc>
        <w:tc>
          <w:tcPr>
            <w:tcW w:w="798" w:type="dxa"/>
            <w:tcBorders>
              <w:top w:val="nil"/>
              <w:bottom w:val="nil"/>
            </w:tcBorders>
            <w:shd w:val="clear" w:color="auto" w:fill="auto"/>
            <w:tcMar>
              <w:top w:w="12" w:type="dxa"/>
              <w:left w:w="12" w:type="dxa"/>
              <w:bottom w:w="0" w:type="dxa"/>
              <w:right w:w="12" w:type="dxa"/>
            </w:tcMar>
            <w:hideMark/>
          </w:tcPr>
          <w:p w14:paraId="0CC3734B"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3,3</w:t>
            </w:r>
          </w:p>
        </w:tc>
        <w:tc>
          <w:tcPr>
            <w:tcW w:w="797" w:type="dxa"/>
            <w:tcBorders>
              <w:top w:val="nil"/>
              <w:bottom w:val="nil"/>
            </w:tcBorders>
            <w:shd w:val="clear" w:color="auto" w:fill="auto"/>
            <w:tcMar>
              <w:top w:w="12" w:type="dxa"/>
              <w:left w:w="12" w:type="dxa"/>
              <w:bottom w:w="0" w:type="dxa"/>
              <w:right w:w="12" w:type="dxa"/>
            </w:tcMar>
            <w:hideMark/>
          </w:tcPr>
          <w:p w14:paraId="412ACD00"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6,4</w:t>
            </w:r>
          </w:p>
        </w:tc>
        <w:tc>
          <w:tcPr>
            <w:tcW w:w="798" w:type="dxa"/>
            <w:tcBorders>
              <w:top w:val="nil"/>
              <w:bottom w:val="nil"/>
            </w:tcBorders>
            <w:shd w:val="clear" w:color="auto" w:fill="auto"/>
            <w:tcMar>
              <w:top w:w="12" w:type="dxa"/>
              <w:left w:w="12" w:type="dxa"/>
              <w:bottom w:w="0" w:type="dxa"/>
              <w:right w:w="12" w:type="dxa"/>
            </w:tcMar>
            <w:hideMark/>
          </w:tcPr>
          <w:p w14:paraId="2207612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8,5</w:t>
            </w:r>
          </w:p>
        </w:tc>
        <w:tc>
          <w:tcPr>
            <w:tcW w:w="797" w:type="dxa"/>
            <w:tcBorders>
              <w:top w:val="nil"/>
              <w:bottom w:val="nil"/>
            </w:tcBorders>
            <w:shd w:val="clear" w:color="auto" w:fill="auto"/>
            <w:tcMar>
              <w:top w:w="12" w:type="dxa"/>
              <w:left w:w="12" w:type="dxa"/>
              <w:bottom w:w="0" w:type="dxa"/>
              <w:right w:w="12" w:type="dxa"/>
            </w:tcMar>
            <w:hideMark/>
          </w:tcPr>
          <w:p w14:paraId="1026DB1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20,6</w:t>
            </w:r>
          </w:p>
        </w:tc>
        <w:tc>
          <w:tcPr>
            <w:tcW w:w="798" w:type="dxa"/>
            <w:tcBorders>
              <w:top w:val="nil"/>
              <w:bottom w:val="nil"/>
            </w:tcBorders>
            <w:shd w:val="clear" w:color="auto" w:fill="auto"/>
            <w:tcMar>
              <w:top w:w="12" w:type="dxa"/>
              <w:left w:w="12" w:type="dxa"/>
              <w:bottom w:w="0" w:type="dxa"/>
              <w:right w:w="12" w:type="dxa"/>
            </w:tcMar>
            <w:hideMark/>
          </w:tcPr>
          <w:p w14:paraId="3DAF53CD"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30,4</w:t>
            </w:r>
          </w:p>
        </w:tc>
        <w:tc>
          <w:tcPr>
            <w:tcW w:w="797" w:type="dxa"/>
            <w:tcBorders>
              <w:top w:val="nil"/>
              <w:bottom w:val="nil"/>
            </w:tcBorders>
            <w:shd w:val="clear" w:color="auto" w:fill="auto"/>
            <w:tcMar>
              <w:top w:w="12" w:type="dxa"/>
              <w:left w:w="12" w:type="dxa"/>
              <w:bottom w:w="0" w:type="dxa"/>
              <w:right w:w="12" w:type="dxa"/>
            </w:tcMar>
            <w:hideMark/>
          </w:tcPr>
          <w:p w14:paraId="0A2EA888"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15,4</w:t>
            </w:r>
          </w:p>
        </w:tc>
        <w:tc>
          <w:tcPr>
            <w:tcW w:w="798" w:type="dxa"/>
            <w:tcBorders>
              <w:top w:val="nil"/>
              <w:bottom w:val="nil"/>
            </w:tcBorders>
            <w:shd w:val="clear" w:color="auto" w:fill="auto"/>
            <w:tcMar>
              <w:top w:w="12" w:type="dxa"/>
              <w:left w:w="12" w:type="dxa"/>
              <w:bottom w:w="0" w:type="dxa"/>
              <w:right w:w="12" w:type="dxa"/>
            </w:tcMar>
            <w:hideMark/>
          </w:tcPr>
          <w:p w14:paraId="3B0420B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18,4</w:t>
            </w:r>
          </w:p>
        </w:tc>
        <w:tc>
          <w:tcPr>
            <w:tcW w:w="802" w:type="dxa"/>
            <w:tcBorders>
              <w:top w:val="nil"/>
              <w:bottom w:val="nil"/>
            </w:tcBorders>
            <w:shd w:val="clear" w:color="auto" w:fill="auto"/>
            <w:tcMar>
              <w:top w:w="12" w:type="dxa"/>
              <w:left w:w="12" w:type="dxa"/>
              <w:bottom w:w="0" w:type="dxa"/>
              <w:right w:w="12" w:type="dxa"/>
            </w:tcMar>
            <w:hideMark/>
          </w:tcPr>
          <w:p w14:paraId="2867752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11,3</w:t>
            </w:r>
          </w:p>
        </w:tc>
        <w:tc>
          <w:tcPr>
            <w:tcW w:w="798" w:type="dxa"/>
            <w:tcBorders>
              <w:top w:val="nil"/>
              <w:bottom w:val="nil"/>
            </w:tcBorders>
            <w:shd w:val="clear" w:color="auto" w:fill="auto"/>
            <w:tcMar>
              <w:top w:w="12" w:type="dxa"/>
              <w:left w:w="12" w:type="dxa"/>
              <w:bottom w:w="0" w:type="dxa"/>
              <w:right w:w="12" w:type="dxa"/>
            </w:tcMar>
            <w:hideMark/>
          </w:tcPr>
          <w:p w14:paraId="24072CBF"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15,3</w:t>
            </w:r>
          </w:p>
        </w:tc>
      </w:tr>
      <w:tr w:rsidR="00BA2CAF" w:rsidRPr="009E61C9" w14:paraId="20CCA96C" w14:textId="77777777" w:rsidTr="00BA2CAF">
        <w:trPr>
          <w:trHeight w:val="262"/>
          <w:jc w:val="center"/>
        </w:trPr>
        <w:tc>
          <w:tcPr>
            <w:tcW w:w="660" w:type="dxa"/>
            <w:vMerge/>
            <w:tcBorders>
              <w:top w:val="single" w:sz="4" w:space="0" w:color="000000"/>
              <w:bottom w:val="single" w:sz="4" w:space="0" w:color="000000"/>
            </w:tcBorders>
            <w:hideMark/>
          </w:tcPr>
          <w:p w14:paraId="0599B907" w14:textId="77777777" w:rsidR="00BA2CAF" w:rsidRPr="009E61C9" w:rsidRDefault="00BA2CAF" w:rsidP="00430AD9">
            <w:pPr>
              <w:rPr>
                <w:rFonts w:ascii="Garamond" w:eastAsiaTheme="minorEastAsia" w:hAnsi="Garamond"/>
                <w:kern w:val="2"/>
                <w:sz w:val="22"/>
                <w:szCs w:val="22"/>
                <w14:ligatures w14:val="standardContextual"/>
              </w:rPr>
            </w:pPr>
          </w:p>
        </w:tc>
        <w:tc>
          <w:tcPr>
            <w:tcW w:w="665" w:type="dxa"/>
            <w:tcBorders>
              <w:top w:val="nil"/>
              <w:bottom w:val="nil"/>
            </w:tcBorders>
            <w:shd w:val="clear" w:color="auto" w:fill="auto"/>
            <w:tcMar>
              <w:top w:w="12" w:type="dxa"/>
              <w:left w:w="12" w:type="dxa"/>
              <w:bottom w:w="0" w:type="dxa"/>
              <w:right w:w="12" w:type="dxa"/>
            </w:tcMar>
            <w:hideMark/>
          </w:tcPr>
          <w:p w14:paraId="755BFE75"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75-84</w:t>
            </w:r>
          </w:p>
        </w:tc>
        <w:tc>
          <w:tcPr>
            <w:tcW w:w="797" w:type="dxa"/>
            <w:tcBorders>
              <w:top w:val="nil"/>
              <w:bottom w:val="nil"/>
            </w:tcBorders>
            <w:shd w:val="clear" w:color="auto" w:fill="auto"/>
            <w:tcMar>
              <w:top w:w="12" w:type="dxa"/>
              <w:left w:w="12" w:type="dxa"/>
              <w:bottom w:w="0" w:type="dxa"/>
              <w:right w:w="12" w:type="dxa"/>
            </w:tcMar>
            <w:hideMark/>
          </w:tcPr>
          <w:p w14:paraId="653DC23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6,4</w:t>
            </w:r>
          </w:p>
        </w:tc>
        <w:tc>
          <w:tcPr>
            <w:tcW w:w="798" w:type="dxa"/>
            <w:tcBorders>
              <w:top w:val="nil"/>
              <w:bottom w:val="nil"/>
            </w:tcBorders>
            <w:shd w:val="clear" w:color="auto" w:fill="auto"/>
            <w:tcMar>
              <w:top w:w="12" w:type="dxa"/>
              <w:left w:w="12" w:type="dxa"/>
              <w:bottom w:w="0" w:type="dxa"/>
              <w:right w:w="12" w:type="dxa"/>
            </w:tcMar>
            <w:hideMark/>
          </w:tcPr>
          <w:p w14:paraId="0D4FBD0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7,3</w:t>
            </w:r>
          </w:p>
        </w:tc>
        <w:tc>
          <w:tcPr>
            <w:tcW w:w="797" w:type="dxa"/>
            <w:tcBorders>
              <w:top w:val="nil"/>
              <w:bottom w:val="nil"/>
            </w:tcBorders>
            <w:shd w:val="clear" w:color="auto" w:fill="auto"/>
            <w:tcMar>
              <w:top w:w="12" w:type="dxa"/>
              <w:left w:w="12" w:type="dxa"/>
              <w:bottom w:w="0" w:type="dxa"/>
              <w:right w:w="12" w:type="dxa"/>
            </w:tcMar>
            <w:hideMark/>
          </w:tcPr>
          <w:p w14:paraId="4713663F"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9,4</w:t>
            </w:r>
          </w:p>
        </w:tc>
        <w:tc>
          <w:tcPr>
            <w:tcW w:w="798" w:type="dxa"/>
            <w:tcBorders>
              <w:top w:val="nil"/>
              <w:bottom w:val="nil"/>
            </w:tcBorders>
            <w:shd w:val="clear" w:color="auto" w:fill="auto"/>
            <w:tcMar>
              <w:top w:w="12" w:type="dxa"/>
              <w:left w:w="12" w:type="dxa"/>
              <w:bottom w:w="0" w:type="dxa"/>
              <w:right w:w="12" w:type="dxa"/>
            </w:tcMar>
            <w:hideMark/>
          </w:tcPr>
          <w:p w14:paraId="4E465B46"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12,7</w:t>
            </w:r>
          </w:p>
        </w:tc>
        <w:tc>
          <w:tcPr>
            <w:tcW w:w="797" w:type="dxa"/>
            <w:tcBorders>
              <w:top w:val="nil"/>
              <w:bottom w:val="nil"/>
            </w:tcBorders>
            <w:shd w:val="clear" w:color="auto" w:fill="auto"/>
            <w:tcMar>
              <w:top w:w="12" w:type="dxa"/>
              <w:left w:w="12" w:type="dxa"/>
              <w:bottom w:w="0" w:type="dxa"/>
              <w:right w:w="12" w:type="dxa"/>
            </w:tcMar>
            <w:hideMark/>
          </w:tcPr>
          <w:p w14:paraId="7C2864D7"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32,1</w:t>
            </w:r>
          </w:p>
        </w:tc>
        <w:tc>
          <w:tcPr>
            <w:tcW w:w="798" w:type="dxa"/>
            <w:tcBorders>
              <w:top w:val="nil"/>
              <w:bottom w:val="nil"/>
            </w:tcBorders>
            <w:shd w:val="clear" w:color="auto" w:fill="auto"/>
            <w:tcMar>
              <w:top w:w="12" w:type="dxa"/>
              <w:left w:w="12" w:type="dxa"/>
              <w:bottom w:w="0" w:type="dxa"/>
              <w:right w:w="12" w:type="dxa"/>
            </w:tcMar>
            <w:hideMark/>
          </w:tcPr>
          <w:p w14:paraId="34B19932"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43,8</w:t>
            </w:r>
          </w:p>
        </w:tc>
        <w:tc>
          <w:tcPr>
            <w:tcW w:w="797" w:type="dxa"/>
            <w:tcBorders>
              <w:top w:val="nil"/>
              <w:bottom w:val="nil"/>
            </w:tcBorders>
            <w:shd w:val="clear" w:color="auto" w:fill="auto"/>
            <w:tcMar>
              <w:top w:w="12" w:type="dxa"/>
              <w:left w:w="12" w:type="dxa"/>
              <w:bottom w:w="0" w:type="dxa"/>
              <w:right w:w="12" w:type="dxa"/>
            </w:tcMar>
            <w:hideMark/>
          </w:tcPr>
          <w:p w14:paraId="1C4EEE34"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24,9</w:t>
            </w:r>
          </w:p>
        </w:tc>
        <w:tc>
          <w:tcPr>
            <w:tcW w:w="798" w:type="dxa"/>
            <w:tcBorders>
              <w:top w:val="nil"/>
              <w:bottom w:val="nil"/>
            </w:tcBorders>
            <w:shd w:val="clear" w:color="auto" w:fill="auto"/>
            <w:tcMar>
              <w:top w:w="12" w:type="dxa"/>
              <w:left w:w="12" w:type="dxa"/>
              <w:bottom w:w="0" w:type="dxa"/>
              <w:right w:w="12" w:type="dxa"/>
            </w:tcMar>
            <w:hideMark/>
          </w:tcPr>
          <w:p w14:paraId="1B150EF8"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31,4</w:t>
            </w:r>
          </w:p>
        </w:tc>
        <w:tc>
          <w:tcPr>
            <w:tcW w:w="802" w:type="dxa"/>
            <w:tcBorders>
              <w:top w:val="nil"/>
              <w:bottom w:val="nil"/>
            </w:tcBorders>
            <w:shd w:val="clear" w:color="auto" w:fill="auto"/>
            <w:tcMar>
              <w:top w:w="12" w:type="dxa"/>
              <w:left w:w="12" w:type="dxa"/>
              <w:bottom w:w="0" w:type="dxa"/>
              <w:right w:w="12" w:type="dxa"/>
            </w:tcMar>
            <w:hideMark/>
          </w:tcPr>
          <w:p w14:paraId="11EBFDEA"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18,6</w:t>
            </w:r>
          </w:p>
        </w:tc>
        <w:tc>
          <w:tcPr>
            <w:tcW w:w="798" w:type="dxa"/>
            <w:tcBorders>
              <w:top w:val="nil"/>
              <w:bottom w:val="nil"/>
            </w:tcBorders>
            <w:shd w:val="clear" w:color="auto" w:fill="auto"/>
            <w:tcMar>
              <w:top w:w="12" w:type="dxa"/>
              <w:left w:w="12" w:type="dxa"/>
              <w:bottom w:w="0" w:type="dxa"/>
              <w:right w:w="12" w:type="dxa"/>
            </w:tcMar>
            <w:hideMark/>
          </w:tcPr>
          <w:p w14:paraId="2578A7DE"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24,8</w:t>
            </w:r>
          </w:p>
        </w:tc>
      </w:tr>
      <w:tr w:rsidR="00BA2CAF" w:rsidRPr="009E61C9" w14:paraId="7D7472F5" w14:textId="77777777" w:rsidTr="00BA2CAF">
        <w:trPr>
          <w:trHeight w:val="262"/>
          <w:jc w:val="center"/>
        </w:trPr>
        <w:tc>
          <w:tcPr>
            <w:tcW w:w="660" w:type="dxa"/>
            <w:vMerge/>
            <w:tcBorders>
              <w:top w:val="single" w:sz="4" w:space="0" w:color="000000"/>
              <w:bottom w:val="single" w:sz="4" w:space="0" w:color="000000"/>
            </w:tcBorders>
            <w:hideMark/>
          </w:tcPr>
          <w:p w14:paraId="668C496E" w14:textId="77777777" w:rsidR="00BA2CAF" w:rsidRPr="009E61C9" w:rsidRDefault="00BA2CAF" w:rsidP="00430AD9">
            <w:pPr>
              <w:rPr>
                <w:rFonts w:ascii="Garamond" w:eastAsiaTheme="minorEastAsia" w:hAnsi="Garamond"/>
                <w:kern w:val="2"/>
                <w:sz w:val="22"/>
                <w:szCs w:val="22"/>
                <w14:ligatures w14:val="standardContextual"/>
              </w:rPr>
            </w:pPr>
          </w:p>
        </w:tc>
        <w:tc>
          <w:tcPr>
            <w:tcW w:w="665" w:type="dxa"/>
            <w:tcBorders>
              <w:top w:val="nil"/>
              <w:bottom w:val="single" w:sz="4" w:space="0" w:color="000000"/>
            </w:tcBorders>
            <w:shd w:val="clear" w:color="auto" w:fill="auto"/>
            <w:tcMar>
              <w:top w:w="12" w:type="dxa"/>
              <w:left w:w="12" w:type="dxa"/>
              <w:bottom w:w="0" w:type="dxa"/>
              <w:right w:w="12" w:type="dxa"/>
            </w:tcMar>
            <w:hideMark/>
          </w:tcPr>
          <w:p w14:paraId="2EE9FFD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85-94</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6207BC4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13,6</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5DCE06D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14,2</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43E86DC5"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15,1</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46C80358"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22,3</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02352C93"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43,6</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4CFBC291"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55,2</w:t>
            </w:r>
          </w:p>
        </w:tc>
        <w:tc>
          <w:tcPr>
            <w:tcW w:w="797" w:type="dxa"/>
            <w:tcBorders>
              <w:top w:val="nil"/>
              <w:bottom w:val="single" w:sz="4" w:space="0" w:color="000000"/>
            </w:tcBorders>
            <w:shd w:val="clear" w:color="auto" w:fill="auto"/>
            <w:tcMar>
              <w:top w:w="12" w:type="dxa"/>
              <w:left w:w="12" w:type="dxa"/>
              <w:bottom w:w="0" w:type="dxa"/>
              <w:right w:w="12" w:type="dxa"/>
            </w:tcMar>
            <w:hideMark/>
          </w:tcPr>
          <w:p w14:paraId="7164133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32,6</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2742DE7B"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40,3</w:t>
            </w:r>
          </w:p>
        </w:tc>
        <w:tc>
          <w:tcPr>
            <w:tcW w:w="802" w:type="dxa"/>
            <w:tcBorders>
              <w:top w:val="nil"/>
              <w:bottom w:val="single" w:sz="4" w:space="0" w:color="000000"/>
            </w:tcBorders>
            <w:shd w:val="clear" w:color="auto" w:fill="auto"/>
            <w:tcMar>
              <w:top w:w="12" w:type="dxa"/>
              <w:left w:w="12" w:type="dxa"/>
              <w:bottom w:w="0" w:type="dxa"/>
              <w:right w:w="12" w:type="dxa"/>
            </w:tcMar>
            <w:hideMark/>
          </w:tcPr>
          <w:p w14:paraId="4B5DEDEC"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25,9</w:t>
            </w:r>
          </w:p>
        </w:tc>
        <w:tc>
          <w:tcPr>
            <w:tcW w:w="798" w:type="dxa"/>
            <w:tcBorders>
              <w:top w:val="nil"/>
              <w:bottom w:val="single" w:sz="4" w:space="0" w:color="000000"/>
            </w:tcBorders>
            <w:shd w:val="clear" w:color="auto" w:fill="auto"/>
            <w:tcMar>
              <w:top w:w="12" w:type="dxa"/>
              <w:left w:w="12" w:type="dxa"/>
              <w:bottom w:w="0" w:type="dxa"/>
              <w:right w:w="12" w:type="dxa"/>
            </w:tcMar>
            <w:hideMark/>
          </w:tcPr>
          <w:p w14:paraId="6D7D5D62" w14:textId="77777777" w:rsidR="00BA2CAF" w:rsidRPr="009E61C9" w:rsidRDefault="00BA2CAF" w:rsidP="00430AD9">
            <w:pPr>
              <w:jc w:val="center"/>
              <w:rPr>
                <w:rFonts w:ascii="Garamond" w:eastAsiaTheme="minorEastAsia" w:hAnsi="Garamond"/>
                <w:kern w:val="2"/>
                <w:sz w:val="22"/>
                <w:szCs w:val="22"/>
                <w14:ligatures w14:val="standardContextual"/>
              </w:rPr>
            </w:pPr>
            <w:r w:rsidRPr="009E61C9">
              <w:rPr>
                <w:rFonts w:ascii="Garamond" w:eastAsiaTheme="minorEastAsia" w:hAnsi="Garamond"/>
                <w:kern w:val="2"/>
                <w:sz w:val="22"/>
                <w:szCs w:val="22"/>
                <w14:ligatures w14:val="standardContextual"/>
              </w:rPr>
              <w:t>33,1</w:t>
            </w:r>
          </w:p>
        </w:tc>
      </w:tr>
    </w:tbl>
    <w:p w14:paraId="776B12AB" w14:textId="56BF9DFC" w:rsidR="00BA2CAF" w:rsidRPr="00115905" w:rsidRDefault="00BA2CAF" w:rsidP="00115905">
      <w:pPr>
        <w:jc w:val="both"/>
        <w:rPr>
          <w:rFonts w:ascii="Garamond" w:hAnsi="Garamond"/>
          <w:sz w:val="20"/>
          <w:szCs w:val="20"/>
        </w:rPr>
      </w:pPr>
      <w:r w:rsidRPr="00115905">
        <w:rPr>
          <w:rFonts w:ascii="Garamond" w:hAnsi="Garamond"/>
          <w:sz w:val="20"/>
          <w:szCs w:val="20"/>
        </w:rPr>
        <w:t>Note : Nord = Danemark, Pays-Bas et Suède ; Centre = Allemagne, Autriche, Belgique, France, Luxembourg et</w:t>
      </w:r>
      <w:r w:rsidR="00115905" w:rsidRPr="00115905">
        <w:rPr>
          <w:rFonts w:ascii="Garamond" w:hAnsi="Garamond"/>
          <w:sz w:val="20"/>
          <w:szCs w:val="20"/>
        </w:rPr>
        <w:t xml:space="preserve"> </w:t>
      </w:r>
      <w:r w:rsidRPr="00115905">
        <w:rPr>
          <w:rFonts w:ascii="Garamond" w:hAnsi="Garamond"/>
          <w:sz w:val="20"/>
          <w:szCs w:val="20"/>
        </w:rPr>
        <w:t>Suisse ; Sud = Espagne, Grèce, Italie et Portugal ; Est = Estonie, Pologne, Slovénie et Tchéquie.</w:t>
      </w:r>
    </w:p>
    <w:p w14:paraId="61B81917" w14:textId="77777777" w:rsidR="00BA2CAF" w:rsidRDefault="00BA2CAF" w:rsidP="00BA2CAF">
      <w:pPr>
        <w:jc w:val="both"/>
        <w:rPr>
          <w:rFonts w:ascii="Garamond" w:hAnsi="Garamond"/>
          <w:sz w:val="22"/>
          <w:szCs w:val="22"/>
        </w:rPr>
      </w:pPr>
    </w:p>
    <w:p w14:paraId="199BAD3E" w14:textId="0D474501" w:rsidR="00115905" w:rsidRDefault="00115905" w:rsidP="00115905">
      <w:pPr>
        <w:jc w:val="both"/>
        <w:rPr>
          <w:rFonts w:ascii="Garamond" w:hAnsi="Garamond"/>
          <w:bCs/>
          <w:sz w:val="22"/>
          <w:szCs w:val="22"/>
          <w:shd w:val="clear" w:color="auto" w:fill="FFFFFF"/>
        </w:rPr>
      </w:pPr>
      <w:r>
        <w:rPr>
          <w:rFonts w:ascii="Garamond" w:hAnsi="Garamond"/>
          <w:bCs/>
          <w:sz w:val="22"/>
          <w:szCs w:val="22"/>
          <w:shd w:val="clear" w:color="auto" w:fill="FFFFFF"/>
        </w:rPr>
        <w:t xml:space="preserve">Source : </w:t>
      </w:r>
      <w:r w:rsidR="00CD0302" w:rsidRPr="00CD0302">
        <w:rPr>
          <w:rFonts w:ascii="Garamond" w:hAnsi="Garamond"/>
          <w:bCs/>
          <w:sz w:val="22"/>
          <w:szCs w:val="22"/>
          <w:shd w:val="clear" w:color="auto" w:fill="FFFFFF"/>
        </w:rPr>
        <w:t>SHARE vagues 4 à 7, 2011 à 2017</w:t>
      </w:r>
    </w:p>
    <w:p w14:paraId="58D5B55E" w14:textId="77777777" w:rsidR="00115905" w:rsidRPr="009E61C9" w:rsidRDefault="00115905" w:rsidP="00BA2CAF">
      <w:pPr>
        <w:jc w:val="both"/>
        <w:rPr>
          <w:rFonts w:ascii="Garamond" w:hAnsi="Garamond"/>
          <w:sz w:val="22"/>
          <w:szCs w:val="22"/>
        </w:rPr>
      </w:pPr>
    </w:p>
    <w:p w14:paraId="2475F99D" w14:textId="4E67DD4F" w:rsidR="009E61C9" w:rsidRPr="009E61C9" w:rsidRDefault="009E61C9" w:rsidP="009E61C9">
      <w:pPr>
        <w:jc w:val="both"/>
        <w:rPr>
          <w:rFonts w:ascii="Garamond" w:hAnsi="Garamond"/>
          <w:sz w:val="22"/>
          <w:szCs w:val="22"/>
        </w:rPr>
      </w:pPr>
      <w:r w:rsidRPr="009E61C9">
        <w:rPr>
          <w:rFonts w:ascii="Garamond" w:hAnsi="Garamond"/>
          <w:sz w:val="22"/>
          <w:szCs w:val="22"/>
        </w:rPr>
        <w:lastRenderedPageBreak/>
        <w:t>Quelques remarques à propos de ce tableau</w:t>
      </w:r>
      <w:r w:rsidR="00115905">
        <w:rPr>
          <w:rFonts w:ascii="Garamond" w:hAnsi="Garamond"/>
          <w:sz w:val="22"/>
          <w:szCs w:val="22"/>
        </w:rPr>
        <w:t xml:space="preserve">. </w:t>
      </w:r>
      <w:r w:rsidRPr="009E61C9">
        <w:rPr>
          <w:rFonts w:ascii="Garamond" w:hAnsi="Garamond"/>
          <w:sz w:val="22"/>
          <w:szCs w:val="22"/>
        </w:rPr>
        <w:t xml:space="preserve">En premier lieu, tenant compte de l’ensemble des pays composant chaque région, le gradient Nord-Centre/Sud-Est est respecté par rapport aux </w:t>
      </w:r>
      <w:r w:rsidR="00115905">
        <w:rPr>
          <w:rFonts w:ascii="Garamond" w:hAnsi="Garamond"/>
          <w:sz w:val="22"/>
          <w:szCs w:val="22"/>
        </w:rPr>
        <w:t xml:space="preserve">graphiques </w:t>
      </w:r>
      <w:r w:rsidRPr="009E61C9">
        <w:rPr>
          <w:rFonts w:ascii="Garamond" w:hAnsi="Garamond"/>
          <w:sz w:val="22"/>
          <w:szCs w:val="22"/>
        </w:rPr>
        <w:t>1 à 3</w:t>
      </w:r>
      <w:r w:rsidR="00115905">
        <w:rPr>
          <w:rFonts w:ascii="Garamond" w:hAnsi="Garamond"/>
          <w:sz w:val="22"/>
          <w:szCs w:val="22"/>
        </w:rPr>
        <w:t xml:space="preserve"> (</w:t>
      </w:r>
      <w:r w:rsidR="00115905">
        <w:rPr>
          <w:rFonts w:ascii="Garamond" w:hAnsi="Garamond"/>
          <w:i/>
          <w:iCs/>
          <w:sz w:val="22"/>
          <w:szCs w:val="22"/>
        </w:rPr>
        <w:t>supra</w:t>
      </w:r>
      <w:r w:rsidR="00115905">
        <w:rPr>
          <w:rFonts w:ascii="Garamond" w:hAnsi="Garamond"/>
          <w:sz w:val="22"/>
          <w:szCs w:val="22"/>
        </w:rPr>
        <w:t>)</w:t>
      </w:r>
      <w:r w:rsidRPr="009E61C9">
        <w:rPr>
          <w:rFonts w:ascii="Garamond" w:hAnsi="Garamond"/>
          <w:sz w:val="22"/>
          <w:szCs w:val="22"/>
        </w:rPr>
        <w:t xml:space="preserve">. Deux exceptions néanmoins, d’une part, des taux de prévalence GALI plus élevés dans la région du Centre par rapport aux pays d’Europe </w:t>
      </w:r>
      <w:r w:rsidR="004824BE" w:rsidRPr="009E61C9">
        <w:rPr>
          <w:rFonts w:ascii="Garamond" w:hAnsi="Garamond"/>
          <w:sz w:val="22"/>
          <w:szCs w:val="22"/>
        </w:rPr>
        <w:t xml:space="preserve">du Sud </w:t>
      </w:r>
      <w:r w:rsidRPr="009E61C9">
        <w:rPr>
          <w:rFonts w:ascii="Garamond" w:hAnsi="Garamond"/>
          <w:sz w:val="22"/>
          <w:szCs w:val="22"/>
        </w:rPr>
        <w:t xml:space="preserve">et, d’autre part, des taux </w:t>
      </w:r>
      <w:r w:rsidR="00115905" w:rsidRPr="009E61C9">
        <w:rPr>
          <w:rFonts w:ascii="Garamond" w:hAnsi="Garamond"/>
          <w:sz w:val="22"/>
          <w:szCs w:val="22"/>
        </w:rPr>
        <w:t xml:space="preserve">plus favorables </w:t>
      </w:r>
      <w:r w:rsidRPr="009E61C9">
        <w:rPr>
          <w:rFonts w:ascii="Garamond" w:hAnsi="Garamond"/>
          <w:sz w:val="22"/>
          <w:szCs w:val="22"/>
        </w:rPr>
        <w:t>de prévalence de dépendance (ADL) et de qualité de vie (CASP) dans les pays de l’Est par rapport aux pays d’Europe</w:t>
      </w:r>
      <w:r w:rsidR="004824BE">
        <w:rPr>
          <w:rFonts w:ascii="Garamond" w:hAnsi="Garamond"/>
          <w:sz w:val="22"/>
          <w:szCs w:val="22"/>
        </w:rPr>
        <w:t xml:space="preserve"> </w:t>
      </w:r>
      <w:r w:rsidR="004824BE" w:rsidRPr="009E61C9">
        <w:rPr>
          <w:rFonts w:ascii="Garamond" w:hAnsi="Garamond"/>
          <w:sz w:val="22"/>
          <w:szCs w:val="22"/>
        </w:rPr>
        <w:t>du Sud</w:t>
      </w:r>
      <w:r w:rsidRPr="009E61C9">
        <w:rPr>
          <w:rFonts w:ascii="Garamond" w:hAnsi="Garamond"/>
          <w:sz w:val="22"/>
          <w:szCs w:val="22"/>
        </w:rPr>
        <w:t>. On remarquera d’ailleurs que pour l’indicateur CASP, la variabilité des taux de prévalence entre régions est extrême pour des âges élevés. Ainsi, à titre d’exemple, dans le groupe d’âge 75-84 ans</w:t>
      </w:r>
      <w:r w:rsidR="00CE4116">
        <w:rPr>
          <w:rFonts w:ascii="Garamond" w:hAnsi="Garamond"/>
          <w:sz w:val="22"/>
          <w:szCs w:val="22"/>
        </w:rPr>
        <w:t>,</w:t>
      </w:r>
      <w:r w:rsidRPr="009E61C9">
        <w:rPr>
          <w:rFonts w:ascii="Garamond" w:hAnsi="Garamond"/>
          <w:sz w:val="22"/>
          <w:szCs w:val="22"/>
        </w:rPr>
        <w:t xml:space="preserve"> la prévalence d’un faible niveau de qualité de vie est de 6,4</w:t>
      </w:r>
      <w:r w:rsidR="00243566">
        <w:rPr>
          <w:rFonts w:ascii="Garamond" w:hAnsi="Garamond"/>
          <w:sz w:val="22"/>
          <w:szCs w:val="22"/>
        </w:rPr>
        <w:t> </w:t>
      </w:r>
      <w:r w:rsidRPr="009E61C9">
        <w:rPr>
          <w:rFonts w:ascii="Garamond" w:hAnsi="Garamond"/>
          <w:sz w:val="22"/>
          <w:szCs w:val="22"/>
        </w:rPr>
        <w:t>% et 7,3</w:t>
      </w:r>
      <w:r w:rsidR="00243566">
        <w:rPr>
          <w:rFonts w:ascii="Garamond" w:hAnsi="Garamond"/>
          <w:sz w:val="22"/>
          <w:szCs w:val="22"/>
        </w:rPr>
        <w:t> </w:t>
      </w:r>
      <w:r w:rsidRPr="009E61C9">
        <w:rPr>
          <w:rFonts w:ascii="Garamond" w:hAnsi="Garamond"/>
          <w:sz w:val="22"/>
          <w:szCs w:val="22"/>
        </w:rPr>
        <w:t>% chez les hommes et les femmes, respectivement, dans les pays d’Europe</w:t>
      </w:r>
      <w:r w:rsidR="004824BE">
        <w:rPr>
          <w:rFonts w:ascii="Garamond" w:hAnsi="Garamond"/>
          <w:sz w:val="22"/>
          <w:szCs w:val="22"/>
        </w:rPr>
        <w:t xml:space="preserve"> </w:t>
      </w:r>
      <w:r w:rsidR="004824BE" w:rsidRPr="009E61C9">
        <w:rPr>
          <w:rFonts w:ascii="Garamond" w:hAnsi="Garamond"/>
          <w:sz w:val="22"/>
          <w:szCs w:val="22"/>
        </w:rPr>
        <w:t>du Nord</w:t>
      </w:r>
      <w:r w:rsidR="00243566">
        <w:rPr>
          <w:rFonts w:ascii="Garamond" w:hAnsi="Garamond"/>
          <w:sz w:val="22"/>
          <w:szCs w:val="22"/>
        </w:rPr>
        <w:t>,</w:t>
      </w:r>
      <w:r w:rsidRPr="009E61C9">
        <w:rPr>
          <w:rFonts w:ascii="Garamond" w:hAnsi="Garamond"/>
          <w:sz w:val="22"/>
          <w:szCs w:val="22"/>
        </w:rPr>
        <w:t xml:space="preserve"> par contre il est de 32,1</w:t>
      </w:r>
      <w:r w:rsidR="00243566">
        <w:rPr>
          <w:rFonts w:ascii="Garamond" w:hAnsi="Garamond"/>
          <w:sz w:val="22"/>
          <w:szCs w:val="22"/>
        </w:rPr>
        <w:t> </w:t>
      </w:r>
      <w:r w:rsidRPr="009E61C9">
        <w:rPr>
          <w:rFonts w:ascii="Garamond" w:hAnsi="Garamond"/>
          <w:sz w:val="22"/>
          <w:szCs w:val="22"/>
        </w:rPr>
        <w:t>% et 43,8</w:t>
      </w:r>
      <w:r w:rsidR="00243566">
        <w:rPr>
          <w:rFonts w:ascii="Garamond" w:hAnsi="Garamond"/>
          <w:sz w:val="22"/>
          <w:szCs w:val="22"/>
        </w:rPr>
        <w:t> </w:t>
      </w:r>
      <w:r w:rsidRPr="009E61C9">
        <w:rPr>
          <w:rFonts w:ascii="Garamond" w:hAnsi="Garamond"/>
          <w:sz w:val="22"/>
          <w:szCs w:val="22"/>
        </w:rPr>
        <w:t xml:space="preserve">%, respectivement, dans les pays du Sud. </w:t>
      </w:r>
    </w:p>
    <w:p w14:paraId="1B5392E0" w14:textId="210A1C75" w:rsidR="009E61C9" w:rsidRPr="009E61C9" w:rsidRDefault="009E61C9" w:rsidP="009E61C9">
      <w:pPr>
        <w:jc w:val="both"/>
        <w:rPr>
          <w:rFonts w:ascii="Garamond" w:hAnsi="Garamond"/>
          <w:sz w:val="22"/>
          <w:szCs w:val="22"/>
        </w:rPr>
      </w:pPr>
      <w:r w:rsidRPr="009E61C9">
        <w:rPr>
          <w:rFonts w:ascii="Garamond" w:hAnsi="Garamond"/>
          <w:sz w:val="22"/>
          <w:szCs w:val="22"/>
        </w:rPr>
        <w:t xml:space="preserve">En deuxième lieu, le gradient en fonction de l’âge est respecté pratiquement dans tous les cas, aussi bien pour les hommes que pour les femmes. Avec néanmoins un point d’inflexion à des âges moins avancés, souvent la catégorie d’âge 65-74, dans les pays du Sud et de l’Est comparés aux pays du Centre et du Nord de l’Europe. </w:t>
      </w:r>
    </w:p>
    <w:p w14:paraId="2E7C51B2" w14:textId="2EE3049C" w:rsidR="009E61C9" w:rsidRPr="009E61C9" w:rsidRDefault="00CE4116" w:rsidP="009E61C9">
      <w:pPr>
        <w:jc w:val="both"/>
        <w:rPr>
          <w:rFonts w:ascii="Garamond" w:hAnsi="Garamond"/>
          <w:sz w:val="22"/>
          <w:szCs w:val="22"/>
        </w:rPr>
      </w:pPr>
      <w:r>
        <w:rPr>
          <w:rFonts w:ascii="Garamond" w:hAnsi="Garamond"/>
          <w:sz w:val="22"/>
          <w:szCs w:val="22"/>
        </w:rPr>
        <w:t>En troisième et dernier lieu</w:t>
      </w:r>
      <w:r w:rsidR="009E61C9" w:rsidRPr="009E61C9">
        <w:rPr>
          <w:rFonts w:ascii="Garamond" w:hAnsi="Garamond"/>
          <w:sz w:val="22"/>
          <w:szCs w:val="22"/>
        </w:rPr>
        <w:t xml:space="preserve">, le </w:t>
      </w:r>
      <w:r>
        <w:rPr>
          <w:rFonts w:ascii="Garamond" w:hAnsi="Garamond"/>
          <w:sz w:val="22"/>
          <w:szCs w:val="22"/>
        </w:rPr>
        <w:t>t</w:t>
      </w:r>
      <w:r w:rsidR="009E61C9" w:rsidRPr="009E61C9">
        <w:rPr>
          <w:rFonts w:ascii="Garamond" w:hAnsi="Garamond"/>
          <w:sz w:val="22"/>
          <w:szCs w:val="22"/>
        </w:rPr>
        <w:t xml:space="preserve">ableau 1 </w:t>
      </w:r>
      <w:r>
        <w:rPr>
          <w:rFonts w:ascii="Garamond" w:hAnsi="Garamond"/>
          <w:sz w:val="22"/>
          <w:szCs w:val="22"/>
        </w:rPr>
        <w:t>(</w:t>
      </w:r>
      <w:r w:rsidRPr="00CE4116">
        <w:rPr>
          <w:rFonts w:ascii="Garamond" w:hAnsi="Garamond"/>
          <w:i/>
          <w:iCs/>
          <w:sz w:val="22"/>
          <w:szCs w:val="22"/>
        </w:rPr>
        <w:t>supra</w:t>
      </w:r>
      <w:r>
        <w:rPr>
          <w:rFonts w:ascii="Garamond" w:hAnsi="Garamond"/>
          <w:sz w:val="22"/>
          <w:szCs w:val="22"/>
        </w:rPr>
        <w:t xml:space="preserve">) </w:t>
      </w:r>
      <w:r w:rsidR="009E61C9" w:rsidRPr="00CE4116">
        <w:rPr>
          <w:rFonts w:ascii="Garamond" w:hAnsi="Garamond"/>
          <w:sz w:val="22"/>
          <w:szCs w:val="22"/>
        </w:rPr>
        <w:t>confirme</w:t>
      </w:r>
      <w:r w:rsidR="009E61C9" w:rsidRPr="009E61C9">
        <w:rPr>
          <w:rFonts w:ascii="Garamond" w:hAnsi="Garamond"/>
          <w:sz w:val="22"/>
          <w:szCs w:val="22"/>
        </w:rPr>
        <w:t xml:space="preserve"> pour les trois indicateurs le différentiel en faveur des hommes. Ces différences ne sont pas très élevées, de manière générale, dans les tranches d’âge en dessous de 75 ans</w:t>
      </w:r>
      <w:r>
        <w:rPr>
          <w:rFonts w:ascii="Garamond" w:hAnsi="Garamond"/>
          <w:sz w:val="22"/>
          <w:szCs w:val="22"/>
        </w:rPr>
        <w:t>,</w:t>
      </w:r>
      <w:r w:rsidR="009E61C9" w:rsidRPr="009E61C9">
        <w:rPr>
          <w:rFonts w:ascii="Garamond" w:hAnsi="Garamond"/>
          <w:sz w:val="22"/>
          <w:szCs w:val="22"/>
        </w:rPr>
        <w:t xml:space="preserve"> mais se creusent avec l’avancée en âge. Ainsi, par exemple, pour l’ensemble des pays, la différence femmes-hommes en termes de prévalence du GALI est de </w:t>
      </w:r>
      <w:r>
        <w:rPr>
          <w:rFonts w:ascii="Garamond" w:hAnsi="Garamond"/>
          <w:sz w:val="22"/>
          <w:szCs w:val="22"/>
        </w:rPr>
        <w:t>–</w:t>
      </w:r>
      <w:r w:rsidR="009E61C9" w:rsidRPr="009E61C9">
        <w:rPr>
          <w:rFonts w:ascii="Garamond" w:hAnsi="Garamond"/>
          <w:sz w:val="22"/>
          <w:szCs w:val="22"/>
        </w:rPr>
        <w:t>0,4 % chez les 50-64 ans (11,6</w:t>
      </w:r>
      <w:r w:rsidR="00243566">
        <w:rPr>
          <w:rFonts w:ascii="Garamond" w:hAnsi="Garamond"/>
          <w:sz w:val="22"/>
          <w:szCs w:val="22"/>
        </w:rPr>
        <w:t> </w:t>
      </w:r>
      <w:r w:rsidR="009E61C9" w:rsidRPr="009E61C9">
        <w:rPr>
          <w:rFonts w:ascii="Garamond" w:hAnsi="Garamond"/>
          <w:sz w:val="22"/>
          <w:szCs w:val="22"/>
        </w:rPr>
        <w:t>% pour les hommes et 11,2</w:t>
      </w:r>
      <w:r w:rsidR="00243566">
        <w:rPr>
          <w:rFonts w:ascii="Garamond" w:hAnsi="Garamond"/>
          <w:sz w:val="22"/>
          <w:szCs w:val="22"/>
        </w:rPr>
        <w:t> </w:t>
      </w:r>
      <w:r w:rsidR="009E61C9" w:rsidRPr="009E61C9">
        <w:rPr>
          <w:rFonts w:ascii="Garamond" w:hAnsi="Garamond"/>
          <w:sz w:val="22"/>
          <w:szCs w:val="22"/>
        </w:rPr>
        <w:t>% chez les femmes) et +7,7</w:t>
      </w:r>
      <w:r w:rsidR="00243566">
        <w:rPr>
          <w:rFonts w:ascii="Garamond" w:hAnsi="Garamond"/>
          <w:sz w:val="22"/>
          <w:szCs w:val="22"/>
        </w:rPr>
        <w:t> </w:t>
      </w:r>
      <w:r w:rsidR="009E61C9" w:rsidRPr="009E61C9">
        <w:rPr>
          <w:rFonts w:ascii="Garamond" w:hAnsi="Garamond"/>
          <w:sz w:val="22"/>
          <w:szCs w:val="22"/>
        </w:rPr>
        <w:t>% chez les 85-94 ans (33,1</w:t>
      </w:r>
      <w:r w:rsidR="00243566">
        <w:rPr>
          <w:rFonts w:ascii="Garamond" w:hAnsi="Garamond"/>
          <w:sz w:val="22"/>
          <w:szCs w:val="22"/>
        </w:rPr>
        <w:t> </w:t>
      </w:r>
      <w:r w:rsidR="009E61C9" w:rsidRPr="009E61C9">
        <w:rPr>
          <w:rFonts w:ascii="Garamond" w:hAnsi="Garamond"/>
          <w:sz w:val="22"/>
          <w:szCs w:val="22"/>
        </w:rPr>
        <w:t>%</w:t>
      </w:r>
      <w:r>
        <w:rPr>
          <w:rFonts w:ascii="Garamond" w:hAnsi="Garamond"/>
          <w:sz w:val="22"/>
          <w:szCs w:val="22"/>
        </w:rPr>
        <w:t xml:space="preserve"> pour les hommes et</w:t>
      </w:r>
      <w:r w:rsidR="009E61C9" w:rsidRPr="009E61C9">
        <w:rPr>
          <w:rFonts w:ascii="Garamond" w:hAnsi="Garamond"/>
          <w:sz w:val="22"/>
          <w:szCs w:val="22"/>
        </w:rPr>
        <w:t xml:space="preserve"> 40,8</w:t>
      </w:r>
      <w:r w:rsidR="00243566">
        <w:rPr>
          <w:rFonts w:ascii="Garamond" w:hAnsi="Garamond"/>
          <w:sz w:val="22"/>
          <w:szCs w:val="22"/>
        </w:rPr>
        <w:t> </w:t>
      </w:r>
      <w:r w:rsidR="009E61C9" w:rsidRPr="009E61C9">
        <w:rPr>
          <w:rFonts w:ascii="Garamond" w:hAnsi="Garamond"/>
          <w:sz w:val="22"/>
          <w:szCs w:val="22"/>
        </w:rPr>
        <w:t>%</w:t>
      </w:r>
      <w:r>
        <w:rPr>
          <w:rFonts w:ascii="Garamond" w:hAnsi="Garamond"/>
          <w:sz w:val="22"/>
          <w:szCs w:val="22"/>
        </w:rPr>
        <w:t xml:space="preserve"> pour le</w:t>
      </w:r>
      <w:r w:rsidR="00243566">
        <w:rPr>
          <w:rFonts w:ascii="Garamond" w:hAnsi="Garamond"/>
          <w:sz w:val="22"/>
          <w:szCs w:val="22"/>
        </w:rPr>
        <w:t>s</w:t>
      </w:r>
      <w:r>
        <w:rPr>
          <w:rFonts w:ascii="Garamond" w:hAnsi="Garamond"/>
          <w:sz w:val="22"/>
          <w:szCs w:val="22"/>
        </w:rPr>
        <w:t xml:space="preserve"> femmes</w:t>
      </w:r>
      <w:r w:rsidR="009E61C9" w:rsidRPr="009E61C9">
        <w:rPr>
          <w:rFonts w:ascii="Garamond" w:hAnsi="Garamond"/>
          <w:sz w:val="22"/>
          <w:szCs w:val="22"/>
        </w:rPr>
        <w:t>). Une exception remarquable est celle des pays nordiques, où l’écart des prévalences femmes-hommes reste limité, même à des âges très avancés. Comme les femmes sont plus nombreuses à atteindre ces âges avancés et que la dépendance augmente avec l’âge, elles ont plus de probabilité de conna</w:t>
      </w:r>
      <w:r>
        <w:rPr>
          <w:rFonts w:ascii="Garamond" w:hAnsi="Garamond"/>
          <w:sz w:val="22"/>
          <w:szCs w:val="22"/>
        </w:rPr>
        <w:t>î</w:t>
      </w:r>
      <w:r w:rsidR="009E61C9" w:rsidRPr="009E61C9">
        <w:rPr>
          <w:rFonts w:ascii="Garamond" w:hAnsi="Garamond"/>
          <w:sz w:val="22"/>
          <w:szCs w:val="22"/>
        </w:rPr>
        <w:t>tre des limitations.</w:t>
      </w:r>
    </w:p>
    <w:bookmarkEnd w:id="1"/>
    <w:bookmarkEnd w:id="2"/>
    <w:p w14:paraId="3B52B4CA" w14:textId="32B38690" w:rsidR="009E61C9" w:rsidRPr="00E97256" w:rsidRDefault="00E97256" w:rsidP="00E97256">
      <w:pPr>
        <w:jc w:val="center"/>
        <w:rPr>
          <w:rFonts w:ascii="Garamond" w:hAnsi="Garamond"/>
          <w:i/>
          <w:iCs/>
          <w:sz w:val="26"/>
          <w:szCs w:val="26"/>
        </w:rPr>
      </w:pPr>
      <w:r w:rsidRPr="00E97256">
        <w:rPr>
          <w:rFonts w:ascii="Garamond" w:hAnsi="Garamond"/>
          <w:i/>
          <w:iCs/>
          <w:sz w:val="26"/>
          <w:szCs w:val="26"/>
        </w:rPr>
        <w:t>ESPÉRANCES DE VIE EN BONNE SANTÉ</w:t>
      </w:r>
    </w:p>
    <w:p w14:paraId="4D09043B" w14:textId="0371FD55" w:rsidR="009E61C9" w:rsidRPr="009E61C9" w:rsidRDefault="009E61C9" w:rsidP="009E61C9">
      <w:pPr>
        <w:jc w:val="both"/>
        <w:rPr>
          <w:rFonts w:ascii="Garamond" w:hAnsi="Garamond"/>
          <w:sz w:val="22"/>
          <w:szCs w:val="22"/>
        </w:rPr>
      </w:pPr>
      <w:r w:rsidRPr="009E61C9">
        <w:rPr>
          <w:rFonts w:ascii="Garamond" w:hAnsi="Garamond"/>
          <w:sz w:val="22"/>
          <w:szCs w:val="22"/>
        </w:rPr>
        <w:t xml:space="preserve">Pour le calcul de l’EVBS, nous suivons la méthodologie proposée par Jagger </w:t>
      </w:r>
      <w:r w:rsidRPr="00E97256">
        <w:rPr>
          <w:rFonts w:ascii="Garamond" w:hAnsi="Garamond"/>
          <w:i/>
          <w:iCs/>
          <w:sz w:val="22"/>
          <w:szCs w:val="22"/>
        </w:rPr>
        <w:t>et al</w:t>
      </w:r>
      <w:r w:rsidRPr="009E61C9">
        <w:rPr>
          <w:rFonts w:ascii="Garamond" w:hAnsi="Garamond"/>
          <w:sz w:val="22"/>
          <w:szCs w:val="22"/>
        </w:rPr>
        <w:t xml:space="preserve">. (2014), telle que décrite en </w:t>
      </w:r>
      <w:r w:rsidR="00E97256">
        <w:rPr>
          <w:rFonts w:ascii="Garamond" w:hAnsi="Garamond"/>
          <w:sz w:val="22"/>
          <w:szCs w:val="22"/>
        </w:rPr>
        <w:t>A</w:t>
      </w:r>
      <w:r w:rsidRPr="009E61C9">
        <w:rPr>
          <w:rFonts w:ascii="Garamond" w:hAnsi="Garamond"/>
          <w:sz w:val="22"/>
          <w:szCs w:val="22"/>
        </w:rPr>
        <w:t xml:space="preserve">nnexe 1, inspirée elle-même par la méthodologie introduite par Sullivan (1971). Dans le cadre de cette étude, on dispose pour le calcul de l’EVBS des données démographiques nécessaires, de source HMD et présentées </w:t>
      </w:r>
      <w:r w:rsidR="00E97256">
        <w:rPr>
          <w:rFonts w:ascii="Garamond" w:hAnsi="Garamond"/>
          <w:sz w:val="22"/>
          <w:szCs w:val="22"/>
        </w:rPr>
        <w:t>dans la troisième partie</w:t>
      </w:r>
      <w:r w:rsidRPr="009E61C9">
        <w:rPr>
          <w:rFonts w:ascii="Garamond" w:hAnsi="Garamond"/>
          <w:sz w:val="22"/>
          <w:szCs w:val="22"/>
        </w:rPr>
        <w:t xml:space="preserve">, à savoir </w:t>
      </w:r>
      <w:r w:rsidR="00732993">
        <w:rPr>
          <w:rFonts w:ascii="Garamond" w:hAnsi="Garamond"/>
          <w:sz w:val="22"/>
          <w:szCs w:val="22"/>
        </w:rPr>
        <w:t xml:space="preserve">la </w:t>
      </w:r>
      <w:r w:rsidRPr="009E61C9">
        <w:rPr>
          <w:rFonts w:ascii="Garamond" w:hAnsi="Garamond"/>
          <w:sz w:val="22"/>
          <w:szCs w:val="22"/>
        </w:rPr>
        <w:t xml:space="preserve">taille de la population et </w:t>
      </w:r>
      <w:r w:rsidR="00732993">
        <w:rPr>
          <w:rFonts w:ascii="Garamond" w:hAnsi="Garamond"/>
          <w:sz w:val="22"/>
          <w:szCs w:val="22"/>
        </w:rPr>
        <w:t xml:space="preserve">le </w:t>
      </w:r>
      <w:r w:rsidRPr="009E61C9">
        <w:rPr>
          <w:rFonts w:ascii="Garamond" w:hAnsi="Garamond"/>
          <w:sz w:val="22"/>
          <w:szCs w:val="22"/>
        </w:rPr>
        <w:t>nombre de décès par sexe et par âge, de 50 à 94 ans, pour l’année 2014 et pour chacun des pays analysés. Avec le même niveau de désagrégation, on dispose aussi des taux de prévalence, GALI, ADL et CASP</w:t>
      </w:r>
      <w:r w:rsidR="00CD0302">
        <w:rPr>
          <w:rFonts w:ascii="Garamond" w:hAnsi="Garamond"/>
          <w:sz w:val="22"/>
          <w:szCs w:val="22"/>
        </w:rPr>
        <w:t>.</w:t>
      </w:r>
    </w:p>
    <w:p w14:paraId="68134017" w14:textId="5634AA50" w:rsidR="009E61C9" w:rsidRDefault="009E61C9" w:rsidP="009E61C9">
      <w:pPr>
        <w:jc w:val="both"/>
        <w:rPr>
          <w:rFonts w:ascii="Garamond" w:hAnsi="Garamond"/>
          <w:sz w:val="22"/>
          <w:szCs w:val="22"/>
        </w:rPr>
      </w:pPr>
      <w:r w:rsidRPr="009E61C9">
        <w:rPr>
          <w:rFonts w:ascii="Garamond" w:hAnsi="Garamond"/>
          <w:sz w:val="22"/>
          <w:szCs w:val="22"/>
        </w:rPr>
        <w:t xml:space="preserve">Le </w:t>
      </w:r>
      <w:r w:rsidR="00732993">
        <w:rPr>
          <w:rFonts w:ascii="Garamond" w:hAnsi="Garamond"/>
          <w:sz w:val="22"/>
          <w:szCs w:val="22"/>
        </w:rPr>
        <w:t>t</w:t>
      </w:r>
      <w:r w:rsidRPr="009E61C9">
        <w:rPr>
          <w:rFonts w:ascii="Garamond" w:hAnsi="Garamond"/>
          <w:sz w:val="22"/>
          <w:szCs w:val="22"/>
        </w:rPr>
        <w:t xml:space="preserve">ableau 2 </w:t>
      </w:r>
      <w:r w:rsidR="00732993">
        <w:rPr>
          <w:rFonts w:ascii="Garamond" w:hAnsi="Garamond"/>
          <w:sz w:val="22"/>
          <w:szCs w:val="22"/>
        </w:rPr>
        <w:t>(</w:t>
      </w:r>
      <w:r w:rsidR="006959EE" w:rsidRPr="006959EE">
        <w:rPr>
          <w:rFonts w:ascii="Garamond" w:hAnsi="Garamond"/>
          <w:i/>
          <w:iCs/>
          <w:sz w:val="22"/>
          <w:szCs w:val="22"/>
        </w:rPr>
        <w:t>infra</w:t>
      </w:r>
      <w:r w:rsidR="00732993">
        <w:rPr>
          <w:rFonts w:ascii="Garamond" w:hAnsi="Garamond"/>
          <w:sz w:val="22"/>
          <w:szCs w:val="22"/>
        </w:rPr>
        <w:t xml:space="preserve">) </w:t>
      </w:r>
      <w:r w:rsidRPr="00732993">
        <w:rPr>
          <w:rFonts w:ascii="Garamond" w:hAnsi="Garamond"/>
          <w:sz w:val="22"/>
          <w:szCs w:val="22"/>
        </w:rPr>
        <w:t>contient</w:t>
      </w:r>
      <w:r w:rsidRPr="009E61C9">
        <w:rPr>
          <w:rFonts w:ascii="Garamond" w:hAnsi="Garamond"/>
          <w:sz w:val="22"/>
          <w:szCs w:val="22"/>
        </w:rPr>
        <w:t xml:space="preserve"> le résultat de nos calculs en faisant la distinction par sexe pour l’ensemble des pays retenus. Pour faciliter la lecture</w:t>
      </w:r>
      <w:r w:rsidR="00732993">
        <w:rPr>
          <w:rFonts w:ascii="Garamond" w:hAnsi="Garamond"/>
          <w:sz w:val="22"/>
          <w:szCs w:val="22"/>
        </w:rPr>
        <w:t>,</w:t>
      </w:r>
      <w:r w:rsidRPr="009E61C9">
        <w:rPr>
          <w:rFonts w:ascii="Garamond" w:hAnsi="Garamond"/>
          <w:sz w:val="22"/>
          <w:szCs w:val="22"/>
        </w:rPr>
        <w:t xml:space="preserve"> nous organisons les pays par régions, Nord/Centre/Sud/Est, et au lieu de présenter les EVBS</w:t>
      </w:r>
      <w:r w:rsidR="00732993">
        <w:rPr>
          <w:rFonts w:ascii="Garamond" w:hAnsi="Garamond"/>
          <w:sz w:val="22"/>
          <w:szCs w:val="22"/>
        </w:rPr>
        <w:t>,</w:t>
      </w:r>
      <w:r w:rsidRPr="009E61C9">
        <w:rPr>
          <w:rFonts w:ascii="Garamond" w:hAnsi="Garamond"/>
          <w:sz w:val="22"/>
          <w:szCs w:val="22"/>
        </w:rPr>
        <w:t xml:space="preserve"> on rapporte la différence, en années de vie, entre l’EVBS et l’espérance de vie (à 50 ans). Nous gardons le signe négatif pour indiquer qu’il s’agit, de manière imagée, des années de vie « perdues » par cause d’incapacité ou de mauvaise qualité de vie. Ces estimations correspondent à des espérances moyennes évaluées à l’âge de 50 ans, ce choix étant orienté par la disponibilité de données sur les prévalences, tirées de l’enquête SHARE. Bien entendu, le choix d’un âge plus avancé (supérieur à 50 ans) donnerait lieu à des durées (en années) plus importantes, mais elles ne seraient pas de nature à affecter les tendances observées. En d’autres mots, les ordres de grandeur</w:t>
      </w:r>
      <w:r w:rsidR="00732993">
        <w:rPr>
          <w:rFonts w:ascii="Garamond" w:hAnsi="Garamond"/>
          <w:sz w:val="22"/>
          <w:szCs w:val="22"/>
        </w:rPr>
        <w:t xml:space="preserve"> et</w:t>
      </w:r>
      <w:r w:rsidRPr="009E61C9">
        <w:rPr>
          <w:rFonts w:ascii="Garamond" w:hAnsi="Garamond"/>
          <w:sz w:val="22"/>
          <w:szCs w:val="22"/>
        </w:rPr>
        <w:t xml:space="preserve"> les durées reportés ici sont ceux qui devraient être pris en compte comme base actuarielle dans le cas hypothétique de création d’un système d’assurance dépendance, au niveau de chaque pays, dont la souscription serait obligatoire à partir de 50 ans.</w:t>
      </w:r>
    </w:p>
    <w:p w14:paraId="2F20900C" w14:textId="77777777" w:rsidR="006959EE" w:rsidRPr="00A85421" w:rsidRDefault="006959EE" w:rsidP="006959EE">
      <w:pPr>
        <w:jc w:val="center"/>
        <w:rPr>
          <w:rFonts w:ascii="Garamond" w:hAnsi="Garamond"/>
          <w:b/>
          <w:sz w:val="22"/>
          <w:szCs w:val="22"/>
        </w:rPr>
      </w:pPr>
      <w:r w:rsidRPr="00A85421">
        <w:rPr>
          <w:rFonts w:ascii="Garamond" w:hAnsi="Garamond"/>
          <w:b/>
          <w:sz w:val="22"/>
          <w:szCs w:val="22"/>
        </w:rPr>
        <w:t>Tableau 2</w:t>
      </w:r>
    </w:p>
    <w:p w14:paraId="221CF000" w14:textId="77777777" w:rsidR="006959EE" w:rsidRPr="00A85421" w:rsidRDefault="006959EE" w:rsidP="006959EE">
      <w:pPr>
        <w:jc w:val="center"/>
        <w:rPr>
          <w:rFonts w:ascii="Garamond" w:hAnsi="Garamond"/>
          <w:b/>
          <w:sz w:val="22"/>
          <w:szCs w:val="22"/>
        </w:rPr>
      </w:pPr>
      <w:commentRangeStart w:id="3"/>
      <w:r w:rsidRPr="00A85421">
        <w:rPr>
          <w:rFonts w:ascii="Garamond" w:hAnsi="Garamond"/>
          <w:b/>
          <w:sz w:val="22"/>
          <w:szCs w:val="22"/>
        </w:rPr>
        <w:t>Estimation des années de vie en moins bonne santé</w:t>
      </w:r>
    </w:p>
    <w:p w14:paraId="4E201A84" w14:textId="7B8E6DF3" w:rsidR="006959EE" w:rsidRPr="00A85421" w:rsidRDefault="006959EE" w:rsidP="006959EE">
      <w:pPr>
        <w:jc w:val="center"/>
        <w:rPr>
          <w:rFonts w:ascii="Garamond" w:hAnsi="Garamond"/>
          <w:b/>
          <w:sz w:val="22"/>
          <w:szCs w:val="22"/>
        </w:rPr>
      </w:pPr>
      <w:r w:rsidRPr="00A85421">
        <w:rPr>
          <w:rFonts w:ascii="Garamond" w:hAnsi="Garamond"/>
          <w:b/>
          <w:sz w:val="22"/>
          <w:szCs w:val="22"/>
        </w:rPr>
        <w:t>Écart entre espérances de vie en bonne santé (EVBS) et espérances de vie (à 50 ans), 2014</w:t>
      </w:r>
      <w:commentRangeEnd w:id="3"/>
      <w:r w:rsidR="00E64390">
        <w:rPr>
          <w:rStyle w:val="Marquedecommentaire"/>
          <w:rFonts w:asciiTheme="minorHAnsi" w:eastAsiaTheme="minorEastAsia" w:hAnsiTheme="minorHAnsi" w:cstheme="minorBidi"/>
          <w:kern w:val="2"/>
          <w14:ligatures w14:val="standardContextual"/>
        </w:rPr>
        <w:commentReference w:id="3"/>
      </w:r>
    </w:p>
    <w:p w14:paraId="40A61FA2" w14:textId="77777777" w:rsidR="006959EE" w:rsidRPr="00A85421" w:rsidRDefault="006959EE" w:rsidP="006959EE">
      <w:pPr>
        <w:jc w:val="center"/>
        <w:rPr>
          <w:rFonts w:ascii="Garamond" w:hAnsi="Garamond"/>
          <w:bCs/>
          <w:sz w:val="22"/>
          <w:szCs w:val="22"/>
        </w:rPr>
      </w:pPr>
    </w:p>
    <w:tbl>
      <w:tblPr>
        <w:tblW w:w="9214" w:type="dxa"/>
        <w:tblInd w:w="-5" w:type="dxa"/>
        <w:tblLayout w:type="fixed"/>
        <w:tblCellMar>
          <w:left w:w="0" w:type="dxa"/>
          <w:right w:w="0" w:type="dxa"/>
        </w:tblCellMar>
        <w:tblLook w:val="0600" w:firstRow="0" w:lastRow="0" w:firstColumn="0" w:lastColumn="0" w:noHBand="1" w:noVBand="1"/>
      </w:tblPr>
      <w:tblGrid>
        <w:gridCol w:w="851"/>
        <w:gridCol w:w="1417"/>
        <w:gridCol w:w="851"/>
        <w:gridCol w:w="850"/>
        <w:gridCol w:w="851"/>
        <w:gridCol w:w="850"/>
        <w:gridCol w:w="851"/>
        <w:gridCol w:w="850"/>
        <w:gridCol w:w="851"/>
        <w:gridCol w:w="992"/>
      </w:tblGrid>
      <w:tr w:rsidR="006959EE" w:rsidRPr="009E61C9" w14:paraId="2A70CC51" w14:textId="77777777" w:rsidTr="006959EE">
        <w:tc>
          <w:tcPr>
            <w:tcW w:w="851"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40184FFC" w14:textId="77777777" w:rsidR="006959EE" w:rsidRPr="009E61C9" w:rsidRDefault="006959EE" w:rsidP="00430AD9">
            <w:pPr>
              <w:jc w:val="center"/>
              <w:rPr>
                <w:rFonts w:ascii="Garamond" w:hAnsi="Garamond"/>
                <w:sz w:val="22"/>
                <w:szCs w:val="22"/>
              </w:rPr>
            </w:pPr>
          </w:p>
          <w:p w14:paraId="7FC150FB" w14:textId="77777777" w:rsidR="006959EE" w:rsidRPr="009E61C9" w:rsidRDefault="006959EE" w:rsidP="00430AD9">
            <w:pPr>
              <w:jc w:val="center"/>
              <w:rPr>
                <w:rFonts w:ascii="Garamond" w:hAnsi="Garamond"/>
                <w:sz w:val="22"/>
                <w:szCs w:val="22"/>
              </w:rPr>
            </w:pPr>
            <w:r w:rsidRPr="009E61C9">
              <w:rPr>
                <w:rFonts w:ascii="Garamond" w:hAnsi="Garamond"/>
                <w:sz w:val="22"/>
                <w:szCs w:val="22"/>
              </w:rPr>
              <w:t>Région</w:t>
            </w:r>
          </w:p>
        </w:tc>
        <w:tc>
          <w:tcPr>
            <w:tcW w:w="1417" w:type="dxa"/>
            <w:vMerge w:val="restart"/>
            <w:tcBorders>
              <w:top w:val="single" w:sz="4" w:space="0" w:color="000000"/>
              <w:bottom w:val="single" w:sz="4" w:space="0" w:color="000000"/>
            </w:tcBorders>
            <w:shd w:val="clear" w:color="auto" w:fill="auto"/>
          </w:tcPr>
          <w:p w14:paraId="364CB69A" w14:textId="77777777" w:rsidR="006959EE" w:rsidRPr="009E61C9" w:rsidRDefault="006959EE" w:rsidP="00430AD9">
            <w:pPr>
              <w:jc w:val="center"/>
              <w:rPr>
                <w:rFonts w:ascii="Garamond" w:hAnsi="Garamond"/>
                <w:bCs/>
                <w:sz w:val="22"/>
                <w:szCs w:val="22"/>
              </w:rPr>
            </w:pPr>
          </w:p>
          <w:p w14:paraId="380610E1" w14:textId="77777777" w:rsidR="006959EE" w:rsidRPr="009E61C9" w:rsidRDefault="006959EE" w:rsidP="00430AD9">
            <w:pPr>
              <w:jc w:val="center"/>
              <w:rPr>
                <w:rFonts w:ascii="Garamond" w:hAnsi="Garamond"/>
                <w:sz w:val="22"/>
                <w:szCs w:val="22"/>
              </w:rPr>
            </w:pPr>
            <w:r w:rsidRPr="009E61C9">
              <w:rPr>
                <w:rFonts w:ascii="Garamond" w:hAnsi="Garamond"/>
                <w:bCs/>
                <w:sz w:val="22"/>
                <w:szCs w:val="22"/>
              </w:rPr>
              <w:t>Pays</w:t>
            </w:r>
          </w:p>
        </w:tc>
        <w:tc>
          <w:tcPr>
            <w:tcW w:w="3402" w:type="dxa"/>
            <w:gridSpan w:val="4"/>
            <w:tcBorders>
              <w:top w:val="single" w:sz="4" w:space="0" w:color="000000"/>
              <w:bottom w:val="single" w:sz="4" w:space="0" w:color="000000"/>
            </w:tcBorders>
            <w:shd w:val="clear" w:color="auto" w:fill="auto"/>
            <w:tcMar>
              <w:top w:w="12" w:type="dxa"/>
              <w:left w:w="12" w:type="dxa"/>
              <w:bottom w:w="0" w:type="dxa"/>
              <w:right w:w="12" w:type="dxa"/>
            </w:tcMar>
            <w:hideMark/>
          </w:tcPr>
          <w:p w14:paraId="5BC266E5" w14:textId="77777777" w:rsidR="006959EE" w:rsidRPr="009E61C9" w:rsidRDefault="006959EE" w:rsidP="00430AD9">
            <w:pPr>
              <w:jc w:val="center"/>
              <w:rPr>
                <w:rFonts w:ascii="Garamond" w:hAnsi="Garamond"/>
                <w:bCs/>
                <w:sz w:val="22"/>
                <w:szCs w:val="22"/>
              </w:rPr>
            </w:pPr>
            <w:r w:rsidRPr="009E61C9">
              <w:rPr>
                <w:rFonts w:ascii="Garamond" w:hAnsi="Garamond"/>
                <w:bCs/>
                <w:sz w:val="22"/>
                <w:szCs w:val="22"/>
              </w:rPr>
              <w:t>Hommes</w:t>
            </w:r>
          </w:p>
        </w:tc>
        <w:tc>
          <w:tcPr>
            <w:tcW w:w="3544" w:type="dxa"/>
            <w:gridSpan w:val="4"/>
            <w:tcBorders>
              <w:top w:val="single" w:sz="4" w:space="0" w:color="000000"/>
              <w:bottom w:val="single" w:sz="4" w:space="0" w:color="000000"/>
            </w:tcBorders>
            <w:shd w:val="clear" w:color="auto" w:fill="auto"/>
            <w:tcMar>
              <w:top w:w="12" w:type="dxa"/>
              <w:left w:w="12" w:type="dxa"/>
              <w:bottom w:w="0" w:type="dxa"/>
              <w:right w:w="12" w:type="dxa"/>
            </w:tcMar>
            <w:hideMark/>
          </w:tcPr>
          <w:p w14:paraId="4BF25341" w14:textId="77777777" w:rsidR="006959EE" w:rsidRPr="009E61C9" w:rsidRDefault="006959EE" w:rsidP="00430AD9">
            <w:pPr>
              <w:jc w:val="center"/>
              <w:rPr>
                <w:rFonts w:ascii="Garamond" w:hAnsi="Garamond"/>
                <w:bCs/>
                <w:sz w:val="22"/>
                <w:szCs w:val="22"/>
              </w:rPr>
            </w:pPr>
            <w:r w:rsidRPr="009E61C9">
              <w:rPr>
                <w:rFonts w:ascii="Garamond" w:hAnsi="Garamond"/>
                <w:bCs/>
                <w:sz w:val="22"/>
                <w:szCs w:val="22"/>
              </w:rPr>
              <w:t>Femmes</w:t>
            </w:r>
          </w:p>
        </w:tc>
      </w:tr>
      <w:tr w:rsidR="006959EE" w:rsidRPr="009E61C9" w14:paraId="2F95DFE6" w14:textId="77777777" w:rsidTr="006959EE">
        <w:tc>
          <w:tcPr>
            <w:tcW w:w="851" w:type="dxa"/>
            <w:vMerge/>
            <w:tcBorders>
              <w:top w:val="single" w:sz="4" w:space="0" w:color="000000"/>
              <w:bottom w:val="single" w:sz="4" w:space="0" w:color="000000"/>
            </w:tcBorders>
            <w:shd w:val="clear" w:color="auto" w:fill="auto"/>
            <w:tcMar>
              <w:top w:w="12" w:type="dxa"/>
              <w:left w:w="12" w:type="dxa"/>
              <w:bottom w:w="0" w:type="dxa"/>
              <w:right w:w="12" w:type="dxa"/>
            </w:tcMar>
            <w:hideMark/>
          </w:tcPr>
          <w:p w14:paraId="445B01E3" w14:textId="77777777" w:rsidR="006959EE" w:rsidRPr="009E61C9" w:rsidRDefault="006959EE" w:rsidP="00430AD9">
            <w:pPr>
              <w:jc w:val="center"/>
              <w:rPr>
                <w:rFonts w:ascii="Garamond" w:hAnsi="Garamond"/>
                <w:sz w:val="22"/>
                <w:szCs w:val="22"/>
              </w:rPr>
            </w:pPr>
          </w:p>
        </w:tc>
        <w:tc>
          <w:tcPr>
            <w:tcW w:w="1417" w:type="dxa"/>
            <w:vMerge/>
            <w:tcBorders>
              <w:top w:val="single" w:sz="4" w:space="0" w:color="000000"/>
              <w:bottom w:val="single" w:sz="4" w:space="0" w:color="000000"/>
            </w:tcBorders>
            <w:shd w:val="clear" w:color="auto" w:fill="auto"/>
            <w:tcMar>
              <w:top w:w="12" w:type="dxa"/>
              <w:left w:w="12" w:type="dxa"/>
              <w:bottom w:w="0" w:type="dxa"/>
              <w:right w:w="12" w:type="dxa"/>
            </w:tcMar>
            <w:hideMark/>
          </w:tcPr>
          <w:p w14:paraId="72643FB9" w14:textId="77777777" w:rsidR="006959EE" w:rsidRPr="009E61C9" w:rsidRDefault="006959EE" w:rsidP="00430AD9">
            <w:pPr>
              <w:rPr>
                <w:rFonts w:ascii="Garamond" w:hAnsi="Garamond"/>
                <w:sz w:val="22"/>
                <w:szCs w:val="22"/>
              </w:rPr>
            </w:pPr>
          </w:p>
        </w:tc>
        <w:tc>
          <w:tcPr>
            <w:tcW w:w="851"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0AED8962" w14:textId="77777777" w:rsidR="006959EE" w:rsidRPr="009E61C9" w:rsidRDefault="006959EE" w:rsidP="00430AD9">
            <w:pPr>
              <w:jc w:val="center"/>
              <w:rPr>
                <w:rFonts w:ascii="Garamond" w:hAnsi="Garamond"/>
                <w:sz w:val="22"/>
                <w:szCs w:val="22"/>
              </w:rPr>
            </w:pPr>
            <w:r w:rsidRPr="009E61C9">
              <w:rPr>
                <w:rFonts w:ascii="Garamond" w:hAnsi="Garamond"/>
                <w:bCs/>
                <w:sz w:val="22"/>
                <w:szCs w:val="22"/>
              </w:rPr>
              <w:t>Espérance de vie</w:t>
            </w:r>
          </w:p>
        </w:tc>
        <w:tc>
          <w:tcPr>
            <w:tcW w:w="2551" w:type="dxa"/>
            <w:gridSpan w:val="3"/>
            <w:tcBorders>
              <w:top w:val="single" w:sz="4" w:space="0" w:color="000000"/>
              <w:bottom w:val="single" w:sz="4" w:space="0" w:color="000000"/>
            </w:tcBorders>
            <w:shd w:val="clear" w:color="auto" w:fill="auto"/>
            <w:tcMar>
              <w:top w:w="12" w:type="dxa"/>
              <w:left w:w="12" w:type="dxa"/>
              <w:bottom w:w="0" w:type="dxa"/>
              <w:right w:w="12" w:type="dxa"/>
            </w:tcMar>
          </w:tcPr>
          <w:p w14:paraId="55BC1ABD" w14:textId="52F0C1D6" w:rsidR="006959EE" w:rsidRPr="009E61C9" w:rsidRDefault="006959EE" w:rsidP="00430AD9">
            <w:pPr>
              <w:jc w:val="center"/>
              <w:rPr>
                <w:rFonts w:ascii="Garamond" w:hAnsi="Garamond"/>
                <w:sz w:val="22"/>
                <w:szCs w:val="22"/>
              </w:rPr>
            </w:pPr>
            <w:r w:rsidRPr="009E61C9">
              <w:rPr>
                <w:rFonts w:ascii="Garamond" w:hAnsi="Garamond"/>
                <w:sz w:val="22"/>
                <w:szCs w:val="22"/>
              </w:rPr>
              <w:t>EVBS – Esp</w:t>
            </w:r>
            <w:r w:rsidR="00243566">
              <w:rPr>
                <w:rFonts w:ascii="Garamond" w:hAnsi="Garamond"/>
                <w:sz w:val="22"/>
                <w:szCs w:val="22"/>
              </w:rPr>
              <w:t>é</w:t>
            </w:r>
            <w:r w:rsidRPr="009E61C9">
              <w:rPr>
                <w:rFonts w:ascii="Garamond" w:hAnsi="Garamond"/>
                <w:sz w:val="22"/>
                <w:szCs w:val="22"/>
              </w:rPr>
              <w:t>rance de vie</w:t>
            </w:r>
          </w:p>
        </w:tc>
        <w:tc>
          <w:tcPr>
            <w:tcW w:w="851"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2C5AAFF6" w14:textId="77777777" w:rsidR="006959EE" w:rsidRPr="009E61C9" w:rsidRDefault="006959EE" w:rsidP="00430AD9">
            <w:pPr>
              <w:jc w:val="center"/>
              <w:rPr>
                <w:rFonts w:ascii="Garamond" w:hAnsi="Garamond"/>
                <w:sz w:val="22"/>
                <w:szCs w:val="22"/>
              </w:rPr>
            </w:pPr>
            <w:r w:rsidRPr="009E61C9">
              <w:rPr>
                <w:rFonts w:ascii="Garamond" w:hAnsi="Garamond"/>
                <w:bCs/>
                <w:sz w:val="22"/>
                <w:szCs w:val="22"/>
              </w:rPr>
              <w:t>Espérance de vie</w:t>
            </w:r>
          </w:p>
        </w:tc>
        <w:tc>
          <w:tcPr>
            <w:tcW w:w="2693" w:type="dxa"/>
            <w:gridSpan w:val="3"/>
            <w:tcBorders>
              <w:top w:val="single" w:sz="4" w:space="0" w:color="000000"/>
              <w:bottom w:val="single" w:sz="4" w:space="0" w:color="000000"/>
            </w:tcBorders>
            <w:shd w:val="clear" w:color="auto" w:fill="auto"/>
            <w:tcMar>
              <w:top w:w="12" w:type="dxa"/>
              <w:left w:w="12" w:type="dxa"/>
              <w:bottom w:w="0" w:type="dxa"/>
              <w:right w:w="12" w:type="dxa"/>
            </w:tcMar>
          </w:tcPr>
          <w:p w14:paraId="2E1D280A" w14:textId="00778A9C" w:rsidR="006959EE" w:rsidRPr="009E61C9" w:rsidRDefault="006959EE" w:rsidP="00430AD9">
            <w:pPr>
              <w:jc w:val="center"/>
              <w:rPr>
                <w:rFonts w:ascii="Garamond" w:hAnsi="Garamond"/>
                <w:sz w:val="22"/>
                <w:szCs w:val="22"/>
              </w:rPr>
            </w:pPr>
            <w:r w:rsidRPr="009E61C9">
              <w:rPr>
                <w:rFonts w:ascii="Garamond" w:hAnsi="Garamond"/>
                <w:sz w:val="22"/>
                <w:szCs w:val="22"/>
              </w:rPr>
              <w:t>EVBS – Esp</w:t>
            </w:r>
            <w:r w:rsidR="00243566">
              <w:rPr>
                <w:rFonts w:ascii="Garamond" w:hAnsi="Garamond"/>
                <w:sz w:val="22"/>
                <w:szCs w:val="22"/>
              </w:rPr>
              <w:t>é</w:t>
            </w:r>
            <w:r w:rsidRPr="009E61C9">
              <w:rPr>
                <w:rFonts w:ascii="Garamond" w:hAnsi="Garamond"/>
                <w:sz w:val="22"/>
                <w:szCs w:val="22"/>
              </w:rPr>
              <w:t>rance de vie</w:t>
            </w:r>
          </w:p>
        </w:tc>
      </w:tr>
      <w:tr w:rsidR="006959EE" w:rsidRPr="009E61C9" w14:paraId="366A95F9" w14:textId="77777777" w:rsidTr="001F6EF4">
        <w:tc>
          <w:tcPr>
            <w:tcW w:w="851" w:type="dxa"/>
            <w:vMerge/>
            <w:tcBorders>
              <w:top w:val="single" w:sz="4" w:space="0" w:color="000000"/>
              <w:bottom w:val="single" w:sz="4" w:space="0" w:color="000000"/>
            </w:tcBorders>
            <w:shd w:val="clear" w:color="auto" w:fill="auto"/>
            <w:tcMar>
              <w:top w:w="12" w:type="dxa"/>
              <w:left w:w="12" w:type="dxa"/>
              <w:bottom w:w="0" w:type="dxa"/>
              <w:right w:w="12" w:type="dxa"/>
            </w:tcMar>
          </w:tcPr>
          <w:p w14:paraId="23BB5359" w14:textId="77777777" w:rsidR="006959EE" w:rsidRPr="009E61C9" w:rsidRDefault="006959EE" w:rsidP="00430AD9">
            <w:pPr>
              <w:jc w:val="center"/>
              <w:rPr>
                <w:rFonts w:ascii="Garamond" w:hAnsi="Garamond"/>
                <w:sz w:val="22"/>
                <w:szCs w:val="22"/>
              </w:rPr>
            </w:pPr>
          </w:p>
        </w:tc>
        <w:tc>
          <w:tcPr>
            <w:tcW w:w="1417" w:type="dxa"/>
            <w:vMerge/>
            <w:tcBorders>
              <w:top w:val="single" w:sz="4" w:space="0" w:color="000000"/>
              <w:bottom w:val="single" w:sz="4" w:space="0" w:color="000000"/>
            </w:tcBorders>
            <w:shd w:val="clear" w:color="auto" w:fill="auto"/>
            <w:tcMar>
              <w:top w:w="12" w:type="dxa"/>
              <w:left w:w="12" w:type="dxa"/>
              <w:bottom w:w="0" w:type="dxa"/>
              <w:right w:w="12" w:type="dxa"/>
            </w:tcMar>
          </w:tcPr>
          <w:p w14:paraId="64793A2C" w14:textId="77777777" w:rsidR="006959EE" w:rsidRPr="009E61C9" w:rsidRDefault="006959EE" w:rsidP="00430AD9">
            <w:pPr>
              <w:rPr>
                <w:rFonts w:ascii="Garamond" w:hAnsi="Garamond"/>
                <w:sz w:val="22"/>
                <w:szCs w:val="22"/>
              </w:rPr>
            </w:pPr>
          </w:p>
        </w:tc>
        <w:tc>
          <w:tcPr>
            <w:tcW w:w="851" w:type="dxa"/>
            <w:vMerge/>
            <w:tcBorders>
              <w:top w:val="single" w:sz="4" w:space="0" w:color="000000"/>
              <w:bottom w:val="single" w:sz="4" w:space="0" w:color="000000"/>
            </w:tcBorders>
            <w:shd w:val="clear" w:color="auto" w:fill="auto"/>
            <w:tcMar>
              <w:top w:w="12" w:type="dxa"/>
              <w:left w:w="12" w:type="dxa"/>
              <w:bottom w:w="0" w:type="dxa"/>
              <w:right w:w="12" w:type="dxa"/>
            </w:tcMar>
          </w:tcPr>
          <w:p w14:paraId="19B996B5" w14:textId="77777777" w:rsidR="006959EE" w:rsidRPr="009E61C9" w:rsidRDefault="006959EE" w:rsidP="00430AD9">
            <w:pPr>
              <w:jc w:val="center"/>
              <w:rPr>
                <w:rFonts w:ascii="Garamond" w:hAnsi="Garamond"/>
                <w:bCs/>
                <w:sz w:val="22"/>
                <w:szCs w:val="22"/>
              </w:rPr>
            </w:pPr>
          </w:p>
        </w:tc>
        <w:tc>
          <w:tcPr>
            <w:tcW w:w="850" w:type="dxa"/>
            <w:tcBorders>
              <w:top w:val="single" w:sz="4" w:space="0" w:color="000000"/>
              <w:bottom w:val="single" w:sz="4" w:space="0" w:color="000000"/>
            </w:tcBorders>
            <w:shd w:val="clear" w:color="auto" w:fill="auto"/>
            <w:tcMar>
              <w:top w:w="12" w:type="dxa"/>
              <w:left w:w="12" w:type="dxa"/>
              <w:bottom w:w="0" w:type="dxa"/>
              <w:right w:w="12" w:type="dxa"/>
            </w:tcMar>
          </w:tcPr>
          <w:p w14:paraId="7FD766BB" w14:textId="77777777" w:rsidR="006959EE" w:rsidRPr="009E61C9" w:rsidRDefault="006959EE" w:rsidP="00430AD9">
            <w:pPr>
              <w:jc w:val="center"/>
              <w:rPr>
                <w:rFonts w:ascii="Garamond" w:hAnsi="Garamond"/>
                <w:bCs/>
                <w:sz w:val="22"/>
                <w:szCs w:val="22"/>
              </w:rPr>
            </w:pPr>
            <w:r w:rsidRPr="009E61C9">
              <w:rPr>
                <w:rFonts w:ascii="Garamond" w:hAnsi="Garamond"/>
                <w:bCs/>
                <w:sz w:val="22"/>
                <w:szCs w:val="22"/>
              </w:rPr>
              <w:t>GALI</w:t>
            </w:r>
          </w:p>
        </w:tc>
        <w:tc>
          <w:tcPr>
            <w:tcW w:w="851" w:type="dxa"/>
            <w:tcBorders>
              <w:top w:val="single" w:sz="4" w:space="0" w:color="000000"/>
              <w:bottom w:val="single" w:sz="4" w:space="0" w:color="000000"/>
            </w:tcBorders>
            <w:shd w:val="clear" w:color="auto" w:fill="auto"/>
            <w:tcMar>
              <w:top w:w="12" w:type="dxa"/>
              <w:left w:w="12" w:type="dxa"/>
              <w:bottom w:w="0" w:type="dxa"/>
              <w:right w:w="12" w:type="dxa"/>
            </w:tcMar>
          </w:tcPr>
          <w:p w14:paraId="058D10FE" w14:textId="77777777" w:rsidR="006959EE" w:rsidRPr="009E61C9" w:rsidRDefault="006959EE" w:rsidP="00430AD9">
            <w:pPr>
              <w:jc w:val="center"/>
              <w:rPr>
                <w:rFonts w:ascii="Garamond" w:hAnsi="Garamond"/>
                <w:bCs/>
                <w:sz w:val="22"/>
                <w:szCs w:val="22"/>
              </w:rPr>
            </w:pPr>
            <w:r w:rsidRPr="009E61C9">
              <w:rPr>
                <w:rFonts w:ascii="Garamond" w:hAnsi="Garamond"/>
                <w:bCs/>
                <w:sz w:val="22"/>
                <w:szCs w:val="22"/>
              </w:rPr>
              <w:t>ADL</w:t>
            </w:r>
          </w:p>
        </w:tc>
        <w:tc>
          <w:tcPr>
            <w:tcW w:w="850" w:type="dxa"/>
            <w:tcBorders>
              <w:top w:val="single" w:sz="4" w:space="0" w:color="000000"/>
              <w:bottom w:val="single" w:sz="4" w:space="0" w:color="000000"/>
            </w:tcBorders>
            <w:shd w:val="clear" w:color="auto" w:fill="auto"/>
            <w:tcMar>
              <w:top w:w="12" w:type="dxa"/>
              <w:left w:w="12" w:type="dxa"/>
              <w:bottom w:w="0" w:type="dxa"/>
              <w:right w:w="12" w:type="dxa"/>
            </w:tcMar>
          </w:tcPr>
          <w:p w14:paraId="0FD199E6" w14:textId="77777777" w:rsidR="006959EE" w:rsidRPr="009E61C9" w:rsidRDefault="006959EE" w:rsidP="00430AD9">
            <w:pPr>
              <w:jc w:val="center"/>
              <w:rPr>
                <w:rFonts w:ascii="Garamond" w:hAnsi="Garamond"/>
                <w:bCs/>
                <w:sz w:val="22"/>
                <w:szCs w:val="22"/>
              </w:rPr>
            </w:pPr>
            <w:r w:rsidRPr="009E61C9">
              <w:rPr>
                <w:rFonts w:ascii="Garamond" w:hAnsi="Garamond"/>
                <w:bCs/>
                <w:sz w:val="22"/>
                <w:szCs w:val="22"/>
              </w:rPr>
              <w:t>CASP</w:t>
            </w:r>
          </w:p>
        </w:tc>
        <w:tc>
          <w:tcPr>
            <w:tcW w:w="851" w:type="dxa"/>
            <w:vMerge/>
            <w:tcBorders>
              <w:top w:val="single" w:sz="4" w:space="0" w:color="000000"/>
              <w:bottom w:val="single" w:sz="4" w:space="0" w:color="000000"/>
            </w:tcBorders>
            <w:shd w:val="clear" w:color="auto" w:fill="auto"/>
            <w:tcMar>
              <w:top w:w="12" w:type="dxa"/>
              <w:left w:w="12" w:type="dxa"/>
              <w:bottom w:w="0" w:type="dxa"/>
              <w:right w:w="12" w:type="dxa"/>
            </w:tcMar>
          </w:tcPr>
          <w:p w14:paraId="7709B3D0" w14:textId="77777777" w:rsidR="006959EE" w:rsidRPr="009E61C9" w:rsidRDefault="006959EE" w:rsidP="00430AD9">
            <w:pPr>
              <w:jc w:val="center"/>
              <w:rPr>
                <w:rFonts w:ascii="Garamond" w:hAnsi="Garamond"/>
                <w:bCs/>
                <w:sz w:val="22"/>
                <w:szCs w:val="22"/>
              </w:rPr>
            </w:pPr>
          </w:p>
        </w:tc>
        <w:tc>
          <w:tcPr>
            <w:tcW w:w="850" w:type="dxa"/>
            <w:tcBorders>
              <w:top w:val="single" w:sz="4" w:space="0" w:color="000000"/>
              <w:bottom w:val="single" w:sz="4" w:space="0" w:color="000000"/>
            </w:tcBorders>
            <w:shd w:val="clear" w:color="auto" w:fill="auto"/>
            <w:tcMar>
              <w:top w:w="12" w:type="dxa"/>
              <w:left w:w="12" w:type="dxa"/>
              <w:bottom w:w="0" w:type="dxa"/>
              <w:right w:w="12" w:type="dxa"/>
            </w:tcMar>
          </w:tcPr>
          <w:p w14:paraId="4A4439A8" w14:textId="77777777" w:rsidR="006959EE" w:rsidRPr="009E61C9" w:rsidRDefault="006959EE" w:rsidP="00430AD9">
            <w:pPr>
              <w:jc w:val="center"/>
              <w:rPr>
                <w:rFonts w:ascii="Garamond" w:hAnsi="Garamond"/>
                <w:bCs/>
                <w:sz w:val="22"/>
                <w:szCs w:val="22"/>
              </w:rPr>
            </w:pPr>
            <w:r w:rsidRPr="009E61C9">
              <w:rPr>
                <w:rFonts w:ascii="Garamond" w:hAnsi="Garamond"/>
                <w:bCs/>
                <w:sz w:val="22"/>
                <w:szCs w:val="22"/>
              </w:rPr>
              <w:t>GALI</w:t>
            </w:r>
          </w:p>
        </w:tc>
        <w:tc>
          <w:tcPr>
            <w:tcW w:w="851" w:type="dxa"/>
            <w:tcBorders>
              <w:top w:val="single" w:sz="4" w:space="0" w:color="000000"/>
              <w:bottom w:val="single" w:sz="4" w:space="0" w:color="000000"/>
            </w:tcBorders>
            <w:shd w:val="clear" w:color="auto" w:fill="auto"/>
            <w:tcMar>
              <w:top w:w="12" w:type="dxa"/>
              <w:left w:w="12" w:type="dxa"/>
              <w:bottom w:w="0" w:type="dxa"/>
              <w:right w:w="12" w:type="dxa"/>
            </w:tcMar>
          </w:tcPr>
          <w:p w14:paraId="3664CF0E" w14:textId="77777777" w:rsidR="006959EE" w:rsidRPr="009E61C9" w:rsidRDefault="006959EE" w:rsidP="00430AD9">
            <w:pPr>
              <w:jc w:val="center"/>
              <w:rPr>
                <w:rFonts w:ascii="Garamond" w:hAnsi="Garamond"/>
                <w:bCs/>
                <w:sz w:val="22"/>
                <w:szCs w:val="22"/>
              </w:rPr>
            </w:pPr>
            <w:r w:rsidRPr="009E61C9">
              <w:rPr>
                <w:rFonts w:ascii="Garamond" w:hAnsi="Garamond"/>
                <w:bCs/>
                <w:sz w:val="22"/>
                <w:szCs w:val="22"/>
              </w:rPr>
              <w:t>ADL</w:t>
            </w:r>
          </w:p>
        </w:tc>
        <w:tc>
          <w:tcPr>
            <w:tcW w:w="992" w:type="dxa"/>
            <w:tcBorders>
              <w:top w:val="single" w:sz="4" w:space="0" w:color="000000"/>
              <w:bottom w:val="single" w:sz="4" w:space="0" w:color="000000"/>
            </w:tcBorders>
            <w:shd w:val="clear" w:color="auto" w:fill="auto"/>
            <w:tcMar>
              <w:top w:w="12" w:type="dxa"/>
              <w:left w:w="12" w:type="dxa"/>
              <w:bottom w:w="0" w:type="dxa"/>
              <w:right w:w="12" w:type="dxa"/>
            </w:tcMar>
          </w:tcPr>
          <w:p w14:paraId="54680A93" w14:textId="77777777" w:rsidR="006959EE" w:rsidRPr="009E61C9" w:rsidRDefault="006959EE" w:rsidP="00430AD9">
            <w:pPr>
              <w:jc w:val="center"/>
              <w:rPr>
                <w:rFonts w:ascii="Garamond" w:hAnsi="Garamond"/>
                <w:bCs/>
                <w:sz w:val="22"/>
                <w:szCs w:val="22"/>
              </w:rPr>
            </w:pPr>
            <w:r w:rsidRPr="009E61C9">
              <w:rPr>
                <w:rFonts w:ascii="Garamond" w:hAnsi="Garamond"/>
                <w:bCs/>
                <w:sz w:val="22"/>
                <w:szCs w:val="22"/>
              </w:rPr>
              <w:t>CASP</w:t>
            </w:r>
          </w:p>
        </w:tc>
      </w:tr>
      <w:tr w:rsidR="006959EE" w:rsidRPr="009E61C9" w14:paraId="19D1EE62" w14:textId="77777777" w:rsidTr="001F6EF4">
        <w:tc>
          <w:tcPr>
            <w:tcW w:w="851"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320852DD" w14:textId="77777777" w:rsidR="006959EE" w:rsidRPr="009E61C9" w:rsidRDefault="006959EE" w:rsidP="00430AD9">
            <w:pPr>
              <w:jc w:val="center"/>
              <w:rPr>
                <w:rFonts w:ascii="Garamond" w:hAnsi="Garamond"/>
                <w:iCs/>
                <w:sz w:val="22"/>
                <w:szCs w:val="22"/>
              </w:rPr>
            </w:pPr>
          </w:p>
          <w:p w14:paraId="045FC739" w14:textId="77777777" w:rsidR="006959EE" w:rsidRPr="009E61C9" w:rsidRDefault="006959EE" w:rsidP="00430AD9">
            <w:pPr>
              <w:jc w:val="center"/>
              <w:rPr>
                <w:rFonts w:ascii="Garamond" w:hAnsi="Garamond"/>
                <w:sz w:val="22"/>
                <w:szCs w:val="22"/>
              </w:rPr>
            </w:pPr>
            <w:r w:rsidRPr="009E61C9">
              <w:rPr>
                <w:rFonts w:ascii="Garamond" w:hAnsi="Garamond"/>
                <w:iCs/>
                <w:sz w:val="22"/>
                <w:szCs w:val="22"/>
              </w:rPr>
              <w:t>Nord</w:t>
            </w:r>
          </w:p>
        </w:tc>
        <w:tc>
          <w:tcPr>
            <w:tcW w:w="1417" w:type="dxa"/>
            <w:tcBorders>
              <w:top w:val="single" w:sz="4" w:space="0" w:color="000000"/>
            </w:tcBorders>
            <w:shd w:val="clear" w:color="auto" w:fill="auto"/>
            <w:tcMar>
              <w:top w:w="12" w:type="dxa"/>
              <w:left w:w="12" w:type="dxa"/>
              <w:bottom w:w="0" w:type="dxa"/>
              <w:right w:w="12" w:type="dxa"/>
            </w:tcMar>
            <w:vAlign w:val="center"/>
            <w:hideMark/>
          </w:tcPr>
          <w:p w14:paraId="696A8E80" w14:textId="77777777" w:rsidR="006959EE" w:rsidRPr="009E61C9" w:rsidRDefault="006959EE" w:rsidP="00430AD9">
            <w:pPr>
              <w:rPr>
                <w:rFonts w:ascii="Garamond" w:hAnsi="Garamond"/>
                <w:sz w:val="22"/>
                <w:szCs w:val="22"/>
              </w:rPr>
            </w:pPr>
            <w:r w:rsidRPr="009E61C9">
              <w:rPr>
                <w:rFonts w:ascii="Garamond" w:hAnsi="Garamond"/>
                <w:iCs/>
                <w:sz w:val="22"/>
                <w:szCs w:val="22"/>
              </w:rPr>
              <w:t>Danemark</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37E9B891"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30,2</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1C5A5404" w14:textId="454E76A5"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3,4</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5055DFEA" w14:textId="079DB76D"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1,4</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097BF245" w14:textId="3AB5FDFC"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1,2</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730A07DF"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33,7</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62DCE8CD" w14:textId="37009B1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4,2</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4FDBE4CD" w14:textId="02920B06"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1,8</w:t>
            </w:r>
          </w:p>
        </w:tc>
        <w:tc>
          <w:tcPr>
            <w:tcW w:w="992" w:type="dxa"/>
            <w:tcBorders>
              <w:top w:val="single" w:sz="4" w:space="0" w:color="000000"/>
            </w:tcBorders>
            <w:shd w:val="clear" w:color="auto" w:fill="auto"/>
            <w:tcMar>
              <w:top w:w="12" w:type="dxa"/>
              <w:left w:w="12" w:type="dxa"/>
              <w:bottom w:w="0" w:type="dxa"/>
              <w:right w:w="12" w:type="dxa"/>
            </w:tcMar>
            <w:vAlign w:val="center"/>
            <w:hideMark/>
          </w:tcPr>
          <w:p w14:paraId="41E56EA1" w14:textId="7CA51896"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1,6</w:t>
            </w:r>
          </w:p>
        </w:tc>
      </w:tr>
      <w:tr w:rsidR="006959EE" w:rsidRPr="009E61C9" w14:paraId="548AC93E" w14:textId="77777777" w:rsidTr="001F6EF4">
        <w:tc>
          <w:tcPr>
            <w:tcW w:w="851" w:type="dxa"/>
            <w:vMerge/>
            <w:tcBorders>
              <w:top w:val="single" w:sz="4" w:space="0" w:color="000000"/>
              <w:bottom w:val="single" w:sz="4" w:space="0" w:color="000000"/>
            </w:tcBorders>
            <w:hideMark/>
          </w:tcPr>
          <w:p w14:paraId="25B2DB8D" w14:textId="77777777" w:rsidR="006959EE" w:rsidRPr="009E61C9" w:rsidRDefault="006959EE" w:rsidP="00430AD9">
            <w:pPr>
              <w:jc w:val="cente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599D81AB" w14:textId="61F4DA34" w:rsidR="006959EE" w:rsidRPr="009E61C9" w:rsidRDefault="006959EE" w:rsidP="00430AD9">
            <w:pPr>
              <w:rPr>
                <w:rFonts w:ascii="Garamond" w:hAnsi="Garamond"/>
                <w:sz w:val="22"/>
                <w:szCs w:val="22"/>
              </w:rPr>
            </w:pPr>
            <w:r w:rsidRPr="009E61C9">
              <w:rPr>
                <w:rFonts w:ascii="Garamond" w:hAnsi="Garamond"/>
                <w:iCs/>
                <w:sz w:val="22"/>
                <w:szCs w:val="22"/>
              </w:rPr>
              <w:t>Pays</w:t>
            </w:r>
            <w:r w:rsidR="001F6EF4">
              <w:rPr>
                <w:rFonts w:ascii="Garamond" w:hAnsi="Garamond"/>
                <w:iCs/>
                <w:sz w:val="22"/>
                <w:szCs w:val="22"/>
              </w:rPr>
              <w:t>–</w:t>
            </w:r>
            <w:r w:rsidRPr="009E61C9">
              <w:rPr>
                <w:rFonts w:ascii="Garamond" w:hAnsi="Garamond"/>
                <w:iCs/>
                <w:sz w:val="22"/>
                <w:szCs w:val="22"/>
              </w:rPr>
              <w:t>Bas</w:t>
            </w:r>
          </w:p>
        </w:tc>
        <w:tc>
          <w:tcPr>
            <w:tcW w:w="851" w:type="dxa"/>
            <w:shd w:val="clear" w:color="auto" w:fill="auto"/>
            <w:tcMar>
              <w:top w:w="12" w:type="dxa"/>
              <w:left w:w="12" w:type="dxa"/>
              <w:bottom w:w="0" w:type="dxa"/>
              <w:right w:w="12" w:type="dxa"/>
            </w:tcMar>
            <w:vAlign w:val="center"/>
            <w:hideMark/>
          </w:tcPr>
          <w:p w14:paraId="0A8467F9"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31,3</w:t>
            </w:r>
          </w:p>
        </w:tc>
        <w:tc>
          <w:tcPr>
            <w:tcW w:w="850" w:type="dxa"/>
            <w:shd w:val="clear" w:color="auto" w:fill="auto"/>
            <w:tcMar>
              <w:top w:w="12" w:type="dxa"/>
              <w:left w:w="12" w:type="dxa"/>
              <w:bottom w:w="0" w:type="dxa"/>
              <w:right w:w="12" w:type="dxa"/>
            </w:tcMar>
            <w:vAlign w:val="center"/>
            <w:hideMark/>
          </w:tcPr>
          <w:p w14:paraId="14956FAF" w14:textId="38727C5A"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5,6</w:t>
            </w:r>
          </w:p>
        </w:tc>
        <w:tc>
          <w:tcPr>
            <w:tcW w:w="851" w:type="dxa"/>
            <w:shd w:val="clear" w:color="auto" w:fill="auto"/>
            <w:tcMar>
              <w:top w:w="12" w:type="dxa"/>
              <w:left w:w="12" w:type="dxa"/>
              <w:bottom w:w="0" w:type="dxa"/>
              <w:right w:w="12" w:type="dxa"/>
            </w:tcMar>
            <w:vAlign w:val="center"/>
            <w:hideMark/>
          </w:tcPr>
          <w:p w14:paraId="43EA5734" w14:textId="349039DA"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0,8</w:t>
            </w:r>
          </w:p>
        </w:tc>
        <w:tc>
          <w:tcPr>
            <w:tcW w:w="850" w:type="dxa"/>
            <w:shd w:val="clear" w:color="auto" w:fill="auto"/>
            <w:tcMar>
              <w:top w:w="12" w:type="dxa"/>
              <w:left w:w="12" w:type="dxa"/>
              <w:bottom w:w="0" w:type="dxa"/>
              <w:right w:w="12" w:type="dxa"/>
            </w:tcMar>
            <w:vAlign w:val="center"/>
            <w:hideMark/>
          </w:tcPr>
          <w:p w14:paraId="10203C70" w14:textId="0209240F"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1,3</w:t>
            </w:r>
          </w:p>
        </w:tc>
        <w:tc>
          <w:tcPr>
            <w:tcW w:w="851" w:type="dxa"/>
            <w:shd w:val="clear" w:color="auto" w:fill="auto"/>
            <w:tcMar>
              <w:top w:w="12" w:type="dxa"/>
              <w:left w:w="12" w:type="dxa"/>
              <w:bottom w:w="0" w:type="dxa"/>
              <w:right w:w="12" w:type="dxa"/>
            </w:tcMar>
            <w:vAlign w:val="center"/>
            <w:hideMark/>
          </w:tcPr>
          <w:p w14:paraId="3FBB404C"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34,4</w:t>
            </w:r>
          </w:p>
        </w:tc>
        <w:tc>
          <w:tcPr>
            <w:tcW w:w="850" w:type="dxa"/>
            <w:shd w:val="clear" w:color="auto" w:fill="auto"/>
            <w:tcMar>
              <w:top w:w="12" w:type="dxa"/>
              <w:left w:w="12" w:type="dxa"/>
              <w:bottom w:w="0" w:type="dxa"/>
              <w:right w:w="12" w:type="dxa"/>
            </w:tcMar>
            <w:vAlign w:val="center"/>
            <w:hideMark/>
          </w:tcPr>
          <w:p w14:paraId="0D9E7283" w14:textId="5BB32AA0"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9,3</w:t>
            </w:r>
          </w:p>
        </w:tc>
        <w:tc>
          <w:tcPr>
            <w:tcW w:w="851" w:type="dxa"/>
            <w:shd w:val="clear" w:color="auto" w:fill="auto"/>
            <w:tcMar>
              <w:top w:w="12" w:type="dxa"/>
              <w:left w:w="12" w:type="dxa"/>
              <w:bottom w:w="0" w:type="dxa"/>
              <w:right w:w="12" w:type="dxa"/>
            </w:tcMar>
            <w:vAlign w:val="center"/>
            <w:hideMark/>
          </w:tcPr>
          <w:p w14:paraId="129BC955" w14:textId="0C3063C8"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2,2</w:t>
            </w:r>
          </w:p>
        </w:tc>
        <w:tc>
          <w:tcPr>
            <w:tcW w:w="992" w:type="dxa"/>
            <w:shd w:val="clear" w:color="auto" w:fill="auto"/>
            <w:tcMar>
              <w:top w:w="12" w:type="dxa"/>
              <w:left w:w="12" w:type="dxa"/>
              <w:bottom w:w="0" w:type="dxa"/>
              <w:right w:w="12" w:type="dxa"/>
            </w:tcMar>
            <w:vAlign w:val="center"/>
            <w:hideMark/>
          </w:tcPr>
          <w:p w14:paraId="7D878F20" w14:textId="7A2BBE9F"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1,9</w:t>
            </w:r>
          </w:p>
        </w:tc>
      </w:tr>
      <w:tr w:rsidR="006959EE" w:rsidRPr="009E61C9" w14:paraId="6A9B48B3" w14:textId="77777777" w:rsidTr="001F6EF4">
        <w:tc>
          <w:tcPr>
            <w:tcW w:w="851" w:type="dxa"/>
            <w:vMerge/>
            <w:tcBorders>
              <w:top w:val="single" w:sz="4" w:space="0" w:color="000000"/>
              <w:bottom w:val="single" w:sz="4" w:space="0" w:color="000000"/>
            </w:tcBorders>
            <w:hideMark/>
          </w:tcPr>
          <w:p w14:paraId="6B572ADC" w14:textId="77777777" w:rsidR="006959EE" w:rsidRPr="009E61C9" w:rsidRDefault="006959EE" w:rsidP="00430AD9">
            <w:pPr>
              <w:jc w:val="center"/>
              <w:rPr>
                <w:rFonts w:ascii="Garamond" w:hAnsi="Garamond"/>
                <w:sz w:val="22"/>
                <w:szCs w:val="22"/>
              </w:rPr>
            </w:pPr>
          </w:p>
        </w:tc>
        <w:tc>
          <w:tcPr>
            <w:tcW w:w="1417" w:type="dxa"/>
            <w:tcBorders>
              <w:bottom w:val="single" w:sz="4" w:space="0" w:color="000000"/>
            </w:tcBorders>
            <w:shd w:val="clear" w:color="auto" w:fill="auto"/>
            <w:tcMar>
              <w:top w:w="12" w:type="dxa"/>
              <w:left w:w="12" w:type="dxa"/>
              <w:bottom w:w="0" w:type="dxa"/>
              <w:right w:w="12" w:type="dxa"/>
            </w:tcMar>
            <w:vAlign w:val="center"/>
            <w:hideMark/>
          </w:tcPr>
          <w:p w14:paraId="0A1423E0" w14:textId="77777777" w:rsidR="006959EE" w:rsidRPr="009E61C9" w:rsidRDefault="006959EE" w:rsidP="00430AD9">
            <w:pPr>
              <w:rPr>
                <w:rFonts w:ascii="Garamond" w:hAnsi="Garamond"/>
                <w:sz w:val="22"/>
                <w:szCs w:val="22"/>
              </w:rPr>
            </w:pPr>
            <w:r w:rsidRPr="009E61C9">
              <w:rPr>
                <w:rFonts w:ascii="Garamond" w:hAnsi="Garamond"/>
                <w:iCs/>
                <w:sz w:val="22"/>
                <w:szCs w:val="22"/>
              </w:rPr>
              <w:t>Suède</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41B0F5DB"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31,9</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3CD4B637" w14:textId="65245146"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4,0</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475F25C9" w14:textId="1416C25C"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1,2</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283966A3" w14:textId="33BBE250"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1,9</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3D235428"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35,0</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0F604D50" w14:textId="14CDA5CD"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5,8</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7C82B42D" w14:textId="2FF55E61"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1,7</w:t>
            </w:r>
          </w:p>
        </w:tc>
        <w:tc>
          <w:tcPr>
            <w:tcW w:w="992" w:type="dxa"/>
            <w:tcBorders>
              <w:bottom w:val="single" w:sz="4" w:space="0" w:color="000000"/>
            </w:tcBorders>
            <w:shd w:val="clear" w:color="auto" w:fill="auto"/>
            <w:tcMar>
              <w:top w:w="12" w:type="dxa"/>
              <w:left w:w="12" w:type="dxa"/>
              <w:bottom w:w="0" w:type="dxa"/>
              <w:right w:w="12" w:type="dxa"/>
            </w:tcMar>
            <w:vAlign w:val="center"/>
            <w:hideMark/>
          </w:tcPr>
          <w:p w14:paraId="3D471271" w14:textId="74FB1359"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2,7</w:t>
            </w:r>
          </w:p>
        </w:tc>
      </w:tr>
      <w:tr w:rsidR="006959EE" w:rsidRPr="009E61C9" w14:paraId="5D82D538" w14:textId="77777777" w:rsidTr="001F6EF4">
        <w:trPr>
          <w:trHeight w:val="62"/>
        </w:trPr>
        <w:tc>
          <w:tcPr>
            <w:tcW w:w="851"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6240D816" w14:textId="77777777" w:rsidR="006959EE" w:rsidRPr="009E61C9" w:rsidRDefault="006959EE" w:rsidP="00430AD9">
            <w:pPr>
              <w:jc w:val="center"/>
              <w:rPr>
                <w:rFonts w:ascii="Garamond" w:hAnsi="Garamond"/>
                <w:iCs/>
                <w:sz w:val="22"/>
                <w:szCs w:val="22"/>
              </w:rPr>
            </w:pPr>
          </w:p>
          <w:p w14:paraId="6CAEB4C2" w14:textId="77777777" w:rsidR="006959EE" w:rsidRPr="009E61C9" w:rsidRDefault="006959EE" w:rsidP="00430AD9">
            <w:pPr>
              <w:jc w:val="center"/>
              <w:rPr>
                <w:rFonts w:ascii="Garamond" w:hAnsi="Garamond"/>
                <w:iCs/>
                <w:sz w:val="22"/>
                <w:szCs w:val="22"/>
              </w:rPr>
            </w:pPr>
          </w:p>
          <w:p w14:paraId="05595E7B" w14:textId="77777777" w:rsidR="006959EE" w:rsidRPr="009E61C9" w:rsidRDefault="006959EE" w:rsidP="00430AD9">
            <w:pPr>
              <w:jc w:val="center"/>
              <w:rPr>
                <w:rFonts w:ascii="Garamond" w:hAnsi="Garamond"/>
                <w:sz w:val="22"/>
                <w:szCs w:val="22"/>
              </w:rPr>
            </w:pPr>
            <w:r w:rsidRPr="009E61C9">
              <w:rPr>
                <w:rFonts w:ascii="Garamond" w:hAnsi="Garamond"/>
                <w:iCs/>
                <w:sz w:val="22"/>
                <w:szCs w:val="22"/>
              </w:rPr>
              <w:t>Centre</w:t>
            </w:r>
          </w:p>
        </w:tc>
        <w:tc>
          <w:tcPr>
            <w:tcW w:w="1417" w:type="dxa"/>
            <w:tcBorders>
              <w:top w:val="single" w:sz="4" w:space="0" w:color="000000"/>
            </w:tcBorders>
            <w:shd w:val="clear" w:color="auto" w:fill="auto"/>
            <w:tcMar>
              <w:top w:w="12" w:type="dxa"/>
              <w:left w:w="12" w:type="dxa"/>
              <w:bottom w:w="0" w:type="dxa"/>
              <w:right w:w="12" w:type="dxa"/>
            </w:tcMar>
            <w:vAlign w:val="center"/>
            <w:hideMark/>
          </w:tcPr>
          <w:p w14:paraId="508A4CA8" w14:textId="77777777" w:rsidR="006959EE" w:rsidRPr="009E61C9" w:rsidRDefault="006959EE" w:rsidP="00430AD9">
            <w:pPr>
              <w:rPr>
                <w:rFonts w:ascii="Garamond" w:hAnsi="Garamond"/>
                <w:sz w:val="22"/>
                <w:szCs w:val="22"/>
              </w:rPr>
            </w:pPr>
            <w:r w:rsidRPr="009E61C9">
              <w:rPr>
                <w:rFonts w:ascii="Garamond" w:hAnsi="Garamond"/>
                <w:iCs/>
                <w:sz w:val="22"/>
                <w:szCs w:val="22"/>
              </w:rPr>
              <w:t>Allemagne</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64AB96CE"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30,1</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25C54B82" w14:textId="3EB98CDD"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6,1</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1CEE7892" w14:textId="7C43D0F1"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2,0</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03943150" w14:textId="180C57A4"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2,9</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67348D59"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34,4</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661F6D84" w14:textId="65FDF10B"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8,1</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5EB94727" w14:textId="75B6D29C"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3,2</w:t>
            </w:r>
          </w:p>
        </w:tc>
        <w:tc>
          <w:tcPr>
            <w:tcW w:w="992" w:type="dxa"/>
            <w:tcBorders>
              <w:top w:val="single" w:sz="4" w:space="0" w:color="000000"/>
            </w:tcBorders>
            <w:shd w:val="clear" w:color="auto" w:fill="auto"/>
            <w:tcMar>
              <w:top w:w="12" w:type="dxa"/>
              <w:left w:w="12" w:type="dxa"/>
              <w:bottom w:w="0" w:type="dxa"/>
              <w:right w:w="12" w:type="dxa"/>
            </w:tcMar>
            <w:vAlign w:val="center"/>
            <w:hideMark/>
          </w:tcPr>
          <w:p w14:paraId="04EB9A15" w14:textId="6D82AFDA"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3,6</w:t>
            </w:r>
          </w:p>
        </w:tc>
      </w:tr>
      <w:tr w:rsidR="006959EE" w:rsidRPr="009E61C9" w14:paraId="7F612115" w14:textId="77777777" w:rsidTr="001F6EF4">
        <w:trPr>
          <w:trHeight w:val="245"/>
        </w:trPr>
        <w:tc>
          <w:tcPr>
            <w:tcW w:w="851" w:type="dxa"/>
            <w:vMerge/>
            <w:tcBorders>
              <w:top w:val="single" w:sz="4" w:space="0" w:color="000000"/>
              <w:bottom w:val="single" w:sz="4" w:space="0" w:color="000000"/>
            </w:tcBorders>
            <w:hideMark/>
          </w:tcPr>
          <w:p w14:paraId="7F3AAB05" w14:textId="77777777" w:rsidR="006959EE" w:rsidRPr="009E61C9" w:rsidRDefault="006959EE" w:rsidP="00430AD9">
            <w:pPr>
              <w:jc w:val="cente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08BFCB51" w14:textId="77777777" w:rsidR="006959EE" w:rsidRPr="009E61C9" w:rsidRDefault="006959EE" w:rsidP="00430AD9">
            <w:pPr>
              <w:rPr>
                <w:rFonts w:ascii="Garamond" w:hAnsi="Garamond"/>
                <w:sz w:val="22"/>
                <w:szCs w:val="22"/>
              </w:rPr>
            </w:pPr>
            <w:r w:rsidRPr="009E61C9">
              <w:rPr>
                <w:rFonts w:ascii="Garamond" w:hAnsi="Garamond"/>
                <w:iCs/>
                <w:sz w:val="22"/>
                <w:szCs w:val="22"/>
              </w:rPr>
              <w:t>Autriche</w:t>
            </w:r>
          </w:p>
        </w:tc>
        <w:tc>
          <w:tcPr>
            <w:tcW w:w="851" w:type="dxa"/>
            <w:shd w:val="clear" w:color="auto" w:fill="auto"/>
            <w:tcMar>
              <w:top w:w="12" w:type="dxa"/>
              <w:left w:w="12" w:type="dxa"/>
              <w:bottom w:w="0" w:type="dxa"/>
              <w:right w:w="12" w:type="dxa"/>
            </w:tcMar>
            <w:vAlign w:val="center"/>
            <w:hideMark/>
          </w:tcPr>
          <w:p w14:paraId="40E79680"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30,5</w:t>
            </w:r>
          </w:p>
        </w:tc>
        <w:tc>
          <w:tcPr>
            <w:tcW w:w="850" w:type="dxa"/>
            <w:shd w:val="clear" w:color="auto" w:fill="auto"/>
            <w:tcMar>
              <w:top w:w="12" w:type="dxa"/>
              <w:left w:w="12" w:type="dxa"/>
              <w:bottom w:w="0" w:type="dxa"/>
              <w:right w:w="12" w:type="dxa"/>
            </w:tcMar>
            <w:vAlign w:val="center"/>
            <w:hideMark/>
          </w:tcPr>
          <w:p w14:paraId="0F858F8F" w14:textId="4745F5F0"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4,8</w:t>
            </w:r>
          </w:p>
        </w:tc>
        <w:tc>
          <w:tcPr>
            <w:tcW w:w="851" w:type="dxa"/>
            <w:shd w:val="clear" w:color="auto" w:fill="auto"/>
            <w:tcMar>
              <w:top w:w="12" w:type="dxa"/>
              <w:left w:w="12" w:type="dxa"/>
              <w:bottom w:w="0" w:type="dxa"/>
              <w:right w:w="12" w:type="dxa"/>
            </w:tcMar>
            <w:vAlign w:val="center"/>
            <w:hideMark/>
          </w:tcPr>
          <w:p w14:paraId="11E11960" w14:textId="21678AAD"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1,7</w:t>
            </w:r>
          </w:p>
        </w:tc>
        <w:tc>
          <w:tcPr>
            <w:tcW w:w="850" w:type="dxa"/>
            <w:shd w:val="clear" w:color="auto" w:fill="auto"/>
            <w:tcMar>
              <w:top w:w="12" w:type="dxa"/>
              <w:left w:w="12" w:type="dxa"/>
              <w:bottom w:w="0" w:type="dxa"/>
              <w:right w:w="12" w:type="dxa"/>
            </w:tcMar>
            <w:vAlign w:val="center"/>
            <w:hideMark/>
          </w:tcPr>
          <w:p w14:paraId="039722BD" w14:textId="5539D9E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2,0</w:t>
            </w:r>
          </w:p>
        </w:tc>
        <w:tc>
          <w:tcPr>
            <w:tcW w:w="851" w:type="dxa"/>
            <w:shd w:val="clear" w:color="auto" w:fill="auto"/>
            <w:tcMar>
              <w:top w:w="12" w:type="dxa"/>
              <w:left w:w="12" w:type="dxa"/>
              <w:bottom w:w="0" w:type="dxa"/>
              <w:right w:w="12" w:type="dxa"/>
            </w:tcMar>
            <w:vAlign w:val="center"/>
            <w:hideMark/>
          </w:tcPr>
          <w:p w14:paraId="581C5C3D"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34,8</w:t>
            </w:r>
          </w:p>
        </w:tc>
        <w:tc>
          <w:tcPr>
            <w:tcW w:w="850" w:type="dxa"/>
            <w:shd w:val="clear" w:color="auto" w:fill="auto"/>
            <w:tcMar>
              <w:top w:w="12" w:type="dxa"/>
              <w:left w:w="12" w:type="dxa"/>
              <w:bottom w:w="0" w:type="dxa"/>
              <w:right w:w="12" w:type="dxa"/>
            </w:tcMar>
            <w:vAlign w:val="center"/>
            <w:hideMark/>
          </w:tcPr>
          <w:p w14:paraId="530B771C" w14:textId="731E9243"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6,5</w:t>
            </w:r>
          </w:p>
        </w:tc>
        <w:tc>
          <w:tcPr>
            <w:tcW w:w="851" w:type="dxa"/>
            <w:shd w:val="clear" w:color="auto" w:fill="auto"/>
            <w:tcMar>
              <w:top w:w="12" w:type="dxa"/>
              <w:left w:w="12" w:type="dxa"/>
              <w:bottom w:w="0" w:type="dxa"/>
              <w:right w:w="12" w:type="dxa"/>
            </w:tcMar>
            <w:vAlign w:val="center"/>
            <w:hideMark/>
          </w:tcPr>
          <w:p w14:paraId="79E55D09" w14:textId="3C7FBB97"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2,6</w:t>
            </w:r>
          </w:p>
        </w:tc>
        <w:tc>
          <w:tcPr>
            <w:tcW w:w="992" w:type="dxa"/>
            <w:shd w:val="clear" w:color="auto" w:fill="auto"/>
            <w:tcMar>
              <w:top w:w="12" w:type="dxa"/>
              <w:left w:w="12" w:type="dxa"/>
              <w:bottom w:w="0" w:type="dxa"/>
              <w:right w:w="12" w:type="dxa"/>
            </w:tcMar>
            <w:vAlign w:val="center"/>
            <w:hideMark/>
          </w:tcPr>
          <w:p w14:paraId="6F2F29BD" w14:textId="0F1D90B7"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3,2</w:t>
            </w:r>
          </w:p>
        </w:tc>
      </w:tr>
      <w:tr w:rsidR="006959EE" w:rsidRPr="009E61C9" w14:paraId="75CC1252" w14:textId="77777777" w:rsidTr="001F6EF4">
        <w:tc>
          <w:tcPr>
            <w:tcW w:w="851" w:type="dxa"/>
            <w:vMerge/>
            <w:tcBorders>
              <w:top w:val="single" w:sz="4" w:space="0" w:color="000000"/>
              <w:bottom w:val="single" w:sz="4" w:space="0" w:color="000000"/>
            </w:tcBorders>
            <w:hideMark/>
          </w:tcPr>
          <w:p w14:paraId="4C3F1259" w14:textId="77777777" w:rsidR="006959EE" w:rsidRPr="009E61C9" w:rsidRDefault="006959EE" w:rsidP="00430AD9">
            <w:pPr>
              <w:jc w:val="cente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2AAFB394" w14:textId="77777777" w:rsidR="006959EE" w:rsidRPr="009E61C9" w:rsidRDefault="006959EE" w:rsidP="00430AD9">
            <w:pPr>
              <w:rPr>
                <w:rFonts w:ascii="Garamond" w:hAnsi="Garamond"/>
                <w:sz w:val="22"/>
                <w:szCs w:val="22"/>
              </w:rPr>
            </w:pPr>
            <w:r w:rsidRPr="009E61C9">
              <w:rPr>
                <w:rFonts w:ascii="Garamond" w:hAnsi="Garamond"/>
                <w:iCs/>
                <w:sz w:val="22"/>
                <w:szCs w:val="22"/>
              </w:rPr>
              <w:t>Belgique</w:t>
            </w:r>
          </w:p>
        </w:tc>
        <w:tc>
          <w:tcPr>
            <w:tcW w:w="851" w:type="dxa"/>
            <w:shd w:val="clear" w:color="auto" w:fill="auto"/>
            <w:tcMar>
              <w:top w:w="12" w:type="dxa"/>
              <w:left w:w="12" w:type="dxa"/>
              <w:bottom w:w="0" w:type="dxa"/>
              <w:right w:w="12" w:type="dxa"/>
            </w:tcMar>
            <w:vAlign w:val="center"/>
            <w:hideMark/>
          </w:tcPr>
          <w:p w14:paraId="3189070A"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30,5</w:t>
            </w:r>
          </w:p>
        </w:tc>
        <w:tc>
          <w:tcPr>
            <w:tcW w:w="850" w:type="dxa"/>
            <w:shd w:val="clear" w:color="auto" w:fill="auto"/>
            <w:tcMar>
              <w:top w:w="12" w:type="dxa"/>
              <w:left w:w="12" w:type="dxa"/>
              <w:bottom w:w="0" w:type="dxa"/>
              <w:right w:w="12" w:type="dxa"/>
            </w:tcMar>
            <w:vAlign w:val="center"/>
            <w:hideMark/>
          </w:tcPr>
          <w:p w14:paraId="70DFCF0A" w14:textId="11E17947"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4,8</w:t>
            </w:r>
          </w:p>
        </w:tc>
        <w:tc>
          <w:tcPr>
            <w:tcW w:w="851" w:type="dxa"/>
            <w:shd w:val="clear" w:color="auto" w:fill="auto"/>
            <w:tcMar>
              <w:top w:w="12" w:type="dxa"/>
              <w:left w:w="12" w:type="dxa"/>
              <w:bottom w:w="0" w:type="dxa"/>
              <w:right w:w="12" w:type="dxa"/>
            </w:tcMar>
            <w:vAlign w:val="center"/>
            <w:hideMark/>
          </w:tcPr>
          <w:p w14:paraId="5516AC9D" w14:textId="333A2953"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1,9</w:t>
            </w:r>
          </w:p>
        </w:tc>
        <w:tc>
          <w:tcPr>
            <w:tcW w:w="850" w:type="dxa"/>
            <w:shd w:val="clear" w:color="auto" w:fill="auto"/>
            <w:tcMar>
              <w:top w:w="12" w:type="dxa"/>
              <w:left w:w="12" w:type="dxa"/>
              <w:bottom w:w="0" w:type="dxa"/>
              <w:right w:w="12" w:type="dxa"/>
            </w:tcMar>
            <w:vAlign w:val="center"/>
            <w:hideMark/>
          </w:tcPr>
          <w:p w14:paraId="61E8F825" w14:textId="6FA40BEF"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3,1</w:t>
            </w:r>
          </w:p>
        </w:tc>
        <w:tc>
          <w:tcPr>
            <w:tcW w:w="851" w:type="dxa"/>
            <w:shd w:val="clear" w:color="auto" w:fill="auto"/>
            <w:tcMar>
              <w:top w:w="12" w:type="dxa"/>
              <w:left w:w="12" w:type="dxa"/>
              <w:bottom w:w="0" w:type="dxa"/>
              <w:right w:w="12" w:type="dxa"/>
            </w:tcMar>
            <w:vAlign w:val="center"/>
            <w:hideMark/>
          </w:tcPr>
          <w:p w14:paraId="41849FF9"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34,7</w:t>
            </w:r>
          </w:p>
        </w:tc>
        <w:tc>
          <w:tcPr>
            <w:tcW w:w="850" w:type="dxa"/>
            <w:shd w:val="clear" w:color="auto" w:fill="auto"/>
            <w:tcMar>
              <w:top w:w="12" w:type="dxa"/>
              <w:left w:w="12" w:type="dxa"/>
              <w:bottom w:w="0" w:type="dxa"/>
              <w:right w:w="12" w:type="dxa"/>
            </w:tcMar>
            <w:vAlign w:val="center"/>
            <w:hideMark/>
          </w:tcPr>
          <w:p w14:paraId="17F9E8F4" w14:textId="2EF8A520"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7,5</w:t>
            </w:r>
          </w:p>
        </w:tc>
        <w:tc>
          <w:tcPr>
            <w:tcW w:w="851" w:type="dxa"/>
            <w:shd w:val="clear" w:color="auto" w:fill="auto"/>
            <w:tcMar>
              <w:top w:w="12" w:type="dxa"/>
              <w:left w:w="12" w:type="dxa"/>
              <w:bottom w:w="0" w:type="dxa"/>
              <w:right w:w="12" w:type="dxa"/>
            </w:tcMar>
            <w:vAlign w:val="center"/>
            <w:hideMark/>
          </w:tcPr>
          <w:p w14:paraId="696A95C8" w14:textId="1B6F57A8"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3,5</w:t>
            </w:r>
          </w:p>
        </w:tc>
        <w:tc>
          <w:tcPr>
            <w:tcW w:w="992" w:type="dxa"/>
            <w:shd w:val="clear" w:color="auto" w:fill="auto"/>
            <w:tcMar>
              <w:top w:w="12" w:type="dxa"/>
              <w:left w:w="12" w:type="dxa"/>
              <w:bottom w:w="0" w:type="dxa"/>
              <w:right w:w="12" w:type="dxa"/>
            </w:tcMar>
            <w:vAlign w:val="center"/>
            <w:hideMark/>
          </w:tcPr>
          <w:p w14:paraId="3900FBE3" w14:textId="4107B686"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4,7</w:t>
            </w:r>
          </w:p>
        </w:tc>
      </w:tr>
      <w:tr w:rsidR="006959EE" w:rsidRPr="009E61C9" w14:paraId="30357E6F" w14:textId="77777777" w:rsidTr="001F6EF4">
        <w:tc>
          <w:tcPr>
            <w:tcW w:w="851" w:type="dxa"/>
            <w:vMerge/>
            <w:tcBorders>
              <w:top w:val="single" w:sz="4" w:space="0" w:color="000000"/>
              <w:bottom w:val="single" w:sz="4" w:space="0" w:color="000000"/>
            </w:tcBorders>
            <w:hideMark/>
          </w:tcPr>
          <w:p w14:paraId="30E7D258" w14:textId="77777777" w:rsidR="006959EE" w:rsidRPr="009E61C9" w:rsidRDefault="006959EE" w:rsidP="00430AD9">
            <w:pPr>
              <w:jc w:val="cente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487D4BDD" w14:textId="77777777" w:rsidR="006959EE" w:rsidRPr="009E61C9" w:rsidRDefault="006959EE" w:rsidP="00430AD9">
            <w:pPr>
              <w:rPr>
                <w:rFonts w:ascii="Garamond" w:hAnsi="Garamond"/>
                <w:sz w:val="22"/>
                <w:szCs w:val="22"/>
              </w:rPr>
            </w:pPr>
            <w:r w:rsidRPr="009E61C9">
              <w:rPr>
                <w:rFonts w:ascii="Garamond" w:hAnsi="Garamond"/>
                <w:iCs/>
                <w:sz w:val="22"/>
                <w:szCs w:val="22"/>
              </w:rPr>
              <w:t>France</w:t>
            </w:r>
          </w:p>
        </w:tc>
        <w:tc>
          <w:tcPr>
            <w:tcW w:w="851" w:type="dxa"/>
            <w:shd w:val="clear" w:color="auto" w:fill="auto"/>
            <w:tcMar>
              <w:top w:w="12" w:type="dxa"/>
              <w:left w:w="12" w:type="dxa"/>
              <w:bottom w:w="0" w:type="dxa"/>
              <w:right w:w="12" w:type="dxa"/>
            </w:tcMar>
            <w:vAlign w:val="center"/>
            <w:hideMark/>
          </w:tcPr>
          <w:p w14:paraId="09D44B95"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31,3</w:t>
            </w:r>
          </w:p>
        </w:tc>
        <w:tc>
          <w:tcPr>
            <w:tcW w:w="850" w:type="dxa"/>
            <w:shd w:val="clear" w:color="auto" w:fill="auto"/>
            <w:tcMar>
              <w:top w:w="12" w:type="dxa"/>
              <w:left w:w="12" w:type="dxa"/>
              <w:bottom w:w="0" w:type="dxa"/>
              <w:right w:w="12" w:type="dxa"/>
            </w:tcMar>
            <w:vAlign w:val="center"/>
            <w:hideMark/>
          </w:tcPr>
          <w:p w14:paraId="306454FE" w14:textId="6383BFBD"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5,3</w:t>
            </w:r>
          </w:p>
        </w:tc>
        <w:tc>
          <w:tcPr>
            <w:tcW w:w="851" w:type="dxa"/>
            <w:shd w:val="clear" w:color="auto" w:fill="auto"/>
            <w:tcMar>
              <w:top w:w="12" w:type="dxa"/>
              <w:left w:w="12" w:type="dxa"/>
              <w:bottom w:w="0" w:type="dxa"/>
              <w:right w:w="12" w:type="dxa"/>
            </w:tcMar>
            <w:vAlign w:val="center"/>
            <w:hideMark/>
          </w:tcPr>
          <w:p w14:paraId="141D6127" w14:textId="7DA94C50"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1,8</w:t>
            </w:r>
          </w:p>
        </w:tc>
        <w:tc>
          <w:tcPr>
            <w:tcW w:w="850" w:type="dxa"/>
            <w:shd w:val="clear" w:color="auto" w:fill="auto"/>
            <w:tcMar>
              <w:top w:w="12" w:type="dxa"/>
              <w:left w:w="12" w:type="dxa"/>
              <w:bottom w:w="0" w:type="dxa"/>
              <w:right w:w="12" w:type="dxa"/>
            </w:tcMar>
            <w:vAlign w:val="center"/>
            <w:hideMark/>
          </w:tcPr>
          <w:p w14:paraId="4624D695" w14:textId="0573A400"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3,6</w:t>
            </w:r>
          </w:p>
        </w:tc>
        <w:tc>
          <w:tcPr>
            <w:tcW w:w="851" w:type="dxa"/>
            <w:shd w:val="clear" w:color="auto" w:fill="auto"/>
            <w:tcMar>
              <w:top w:w="12" w:type="dxa"/>
              <w:left w:w="12" w:type="dxa"/>
              <w:bottom w:w="0" w:type="dxa"/>
              <w:right w:w="12" w:type="dxa"/>
            </w:tcMar>
            <w:vAlign w:val="center"/>
            <w:hideMark/>
          </w:tcPr>
          <w:p w14:paraId="0E48DB90"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36,7</w:t>
            </w:r>
          </w:p>
        </w:tc>
        <w:tc>
          <w:tcPr>
            <w:tcW w:w="850" w:type="dxa"/>
            <w:shd w:val="clear" w:color="auto" w:fill="auto"/>
            <w:tcMar>
              <w:top w:w="12" w:type="dxa"/>
              <w:left w:w="12" w:type="dxa"/>
              <w:bottom w:w="0" w:type="dxa"/>
              <w:right w:w="12" w:type="dxa"/>
            </w:tcMar>
            <w:vAlign w:val="center"/>
            <w:hideMark/>
          </w:tcPr>
          <w:p w14:paraId="1C1BD717" w14:textId="55EE7C54"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6,8</w:t>
            </w:r>
          </w:p>
        </w:tc>
        <w:tc>
          <w:tcPr>
            <w:tcW w:w="851" w:type="dxa"/>
            <w:shd w:val="clear" w:color="auto" w:fill="auto"/>
            <w:tcMar>
              <w:top w:w="12" w:type="dxa"/>
              <w:left w:w="12" w:type="dxa"/>
              <w:bottom w:w="0" w:type="dxa"/>
              <w:right w:w="12" w:type="dxa"/>
            </w:tcMar>
            <w:vAlign w:val="center"/>
            <w:hideMark/>
          </w:tcPr>
          <w:p w14:paraId="73175489" w14:textId="468FEE91"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2,9</w:t>
            </w:r>
          </w:p>
        </w:tc>
        <w:tc>
          <w:tcPr>
            <w:tcW w:w="992" w:type="dxa"/>
            <w:shd w:val="clear" w:color="auto" w:fill="auto"/>
            <w:tcMar>
              <w:top w:w="12" w:type="dxa"/>
              <w:left w:w="12" w:type="dxa"/>
              <w:bottom w:w="0" w:type="dxa"/>
              <w:right w:w="12" w:type="dxa"/>
            </w:tcMar>
            <w:vAlign w:val="center"/>
            <w:hideMark/>
          </w:tcPr>
          <w:p w14:paraId="6112FB09" w14:textId="57263BAE"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5,6</w:t>
            </w:r>
          </w:p>
        </w:tc>
      </w:tr>
      <w:tr w:rsidR="006959EE" w:rsidRPr="009E61C9" w14:paraId="15F8E754" w14:textId="77777777" w:rsidTr="001F6EF4">
        <w:tc>
          <w:tcPr>
            <w:tcW w:w="851" w:type="dxa"/>
            <w:vMerge/>
            <w:tcBorders>
              <w:top w:val="single" w:sz="4" w:space="0" w:color="000000"/>
              <w:bottom w:val="single" w:sz="4" w:space="0" w:color="000000"/>
            </w:tcBorders>
            <w:hideMark/>
          </w:tcPr>
          <w:p w14:paraId="0F402CF6" w14:textId="77777777" w:rsidR="006959EE" w:rsidRPr="009E61C9" w:rsidRDefault="006959EE" w:rsidP="00430AD9">
            <w:pPr>
              <w:jc w:val="cente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2C099B88" w14:textId="77777777" w:rsidR="006959EE" w:rsidRPr="009E61C9" w:rsidRDefault="006959EE" w:rsidP="00430AD9">
            <w:pPr>
              <w:rPr>
                <w:rFonts w:ascii="Garamond" w:hAnsi="Garamond"/>
                <w:sz w:val="22"/>
                <w:szCs w:val="22"/>
              </w:rPr>
            </w:pPr>
            <w:r w:rsidRPr="009E61C9">
              <w:rPr>
                <w:rFonts w:ascii="Garamond" w:hAnsi="Garamond"/>
                <w:iCs/>
                <w:sz w:val="22"/>
                <w:szCs w:val="22"/>
              </w:rPr>
              <w:t>Luxembourg</w:t>
            </w:r>
          </w:p>
        </w:tc>
        <w:tc>
          <w:tcPr>
            <w:tcW w:w="851" w:type="dxa"/>
            <w:shd w:val="clear" w:color="auto" w:fill="auto"/>
            <w:tcMar>
              <w:top w:w="12" w:type="dxa"/>
              <w:left w:w="12" w:type="dxa"/>
              <w:bottom w:w="0" w:type="dxa"/>
              <w:right w:w="12" w:type="dxa"/>
            </w:tcMar>
            <w:vAlign w:val="center"/>
            <w:hideMark/>
          </w:tcPr>
          <w:p w14:paraId="07A072CC"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30,6</w:t>
            </w:r>
          </w:p>
        </w:tc>
        <w:tc>
          <w:tcPr>
            <w:tcW w:w="850" w:type="dxa"/>
            <w:shd w:val="clear" w:color="auto" w:fill="auto"/>
            <w:tcMar>
              <w:top w:w="12" w:type="dxa"/>
              <w:left w:w="12" w:type="dxa"/>
              <w:bottom w:w="0" w:type="dxa"/>
              <w:right w:w="12" w:type="dxa"/>
            </w:tcMar>
            <w:vAlign w:val="center"/>
            <w:hideMark/>
          </w:tcPr>
          <w:p w14:paraId="3160AD0A" w14:textId="6D91F24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5,5</w:t>
            </w:r>
          </w:p>
        </w:tc>
        <w:tc>
          <w:tcPr>
            <w:tcW w:w="851" w:type="dxa"/>
            <w:shd w:val="clear" w:color="auto" w:fill="auto"/>
            <w:tcMar>
              <w:top w:w="12" w:type="dxa"/>
              <w:left w:w="12" w:type="dxa"/>
              <w:bottom w:w="0" w:type="dxa"/>
              <w:right w:w="12" w:type="dxa"/>
            </w:tcMar>
            <w:vAlign w:val="center"/>
            <w:hideMark/>
          </w:tcPr>
          <w:p w14:paraId="64DB238F" w14:textId="2D440F0C"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1,8</w:t>
            </w:r>
          </w:p>
        </w:tc>
        <w:tc>
          <w:tcPr>
            <w:tcW w:w="850" w:type="dxa"/>
            <w:shd w:val="clear" w:color="auto" w:fill="auto"/>
            <w:tcMar>
              <w:top w:w="12" w:type="dxa"/>
              <w:left w:w="12" w:type="dxa"/>
              <w:bottom w:w="0" w:type="dxa"/>
              <w:right w:w="12" w:type="dxa"/>
            </w:tcMar>
            <w:vAlign w:val="center"/>
            <w:hideMark/>
          </w:tcPr>
          <w:p w14:paraId="45F0175D" w14:textId="12A25856"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2,0</w:t>
            </w:r>
          </w:p>
        </w:tc>
        <w:tc>
          <w:tcPr>
            <w:tcW w:w="851" w:type="dxa"/>
            <w:shd w:val="clear" w:color="auto" w:fill="auto"/>
            <w:tcMar>
              <w:top w:w="12" w:type="dxa"/>
              <w:left w:w="12" w:type="dxa"/>
              <w:bottom w:w="0" w:type="dxa"/>
              <w:right w:w="12" w:type="dxa"/>
            </w:tcMar>
            <w:vAlign w:val="center"/>
            <w:hideMark/>
          </w:tcPr>
          <w:p w14:paraId="26BD32A3"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35,4</w:t>
            </w:r>
          </w:p>
        </w:tc>
        <w:tc>
          <w:tcPr>
            <w:tcW w:w="850" w:type="dxa"/>
            <w:shd w:val="clear" w:color="auto" w:fill="auto"/>
            <w:tcMar>
              <w:top w:w="12" w:type="dxa"/>
              <w:left w:w="12" w:type="dxa"/>
              <w:bottom w:w="0" w:type="dxa"/>
              <w:right w:w="12" w:type="dxa"/>
            </w:tcMar>
            <w:vAlign w:val="center"/>
            <w:hideMark/>
          </w:tcPr>
          <w:p w14:paraId="434C679D" w14:textId="66E73AD4"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7,6</w:t>
            </w:r>
          </w:p>
        </w:tc>
        <w:tc>
          <w:tcPr>
            <w:tcW w:w="851" w:type="dxa"/>
            <w:shd w:val="clear" w:color="auto" w:fill="auto"/>
            <w:tcMar>
              <w:top w:w="12" w:type="dxa"/>
              <w:left w:w="12" w:type="dxa"/>
              <w:bottom w:w="0" w:type="dxa"/>
              <w:right w:w="12" w:type="dxa"/>
            </w:tcMar>
            <w:vAlign w:val="center"/>
            <w:hideMark/>
          </w:tcPr>
          <w:p w14:paraId="652FC80D" w14:textId="651266BE"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3,3</w:t>
            </w:r>
          </w:p>
        </w:tc>
        <w:tc>
          <w:tcPr>
            <w:tcW w:w="992" w:type="dxa"/>
            <w:shd w:val="clear" w:color="auto" w:fill="auto"/>
            <w:tcMar>
              <w:top w:w="12" w:type="dxa"/>
              <w:left w:w="12" w:type="dxa"/>
              <w:bottom w:w="0" w:type="dxa"/>
              <w:right w:w="12" w:type="dxa"/>
            </w:tcMar>
            <w:vAlign w:val="center"/>
            <w:hideMark/>
          </w:tcPr>
          <w:p w14:paraId="751A88A4" w14:textId="26508DA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3,1</w:t>
            </w:r>
          </w:p>
        </w:tc>
      </w:tr>
      <w:tr w:rsidR="006959EE" w:rsidRPr="009E61C9" w14:paraId="1E9949A8" w14:textId="77777777" w:rsidTr="001F6EF4">
        <w:tc>
          <w:tcPr>
            <w:tcW w:w="851" w:type="dxa"/>
            <w:vMerge/>
            <w:tcBorders>
              <w:top w:val="single" w:sz="4" w:space="0" w:color="000000"/>
              <w:bottom w:val="single" w:sz="4" w:space="0" w:color="000000"/>
            </w:tcBorders>
            <w:hideMark/>
          </w:tcPr>
          <w:p w14:paraId="08CF3CCA" w14:textId="77777777" w:rsidR="006959EE" w:rsidRPr="009E61C9" w:rsidRDefault="006959EE" w:rsidP="00430AD9">
            <w:pPr>
              <w:jc w:val="center"/>
              <w:rPr>
                <w:rFonts w:ascii="Garamond" w:hAnsi="Garamond"/>
                <w:sz w:val="22"/>
                <w:szCs w:val="22"/>
              </w:rPr>
            </w:pPr>
          </w:p>
        </w:tc>
        <w:tc>
          <w:tcPr>
            <w:tcW w:w="1417" w:type="dxa"/>
            <w:tcBorders>
              <w:bottom w:val="single" w:sz="4" w:space="0" w:color="000000"/>
            </w:tcBorders>
            <w:shd w:val="clear" w:color="auto" w:fill="auto"/>
            <w:tcMar>
              <w:top w:w="12" w:type="dxa"/>
              <w:left w:w="12" w:type="dxa"/>
              <w:bottom w:w="0" w:type="dxa"/>
              <w:right w:w="12" w:type="dxa"/>
            </w:tcMar>
            <w:vAlign w:val="center"/>
            <w:hideMark/>
          </w:tcPr>
          <w:p w14:paraId="115BB880" w14:textId="77777777" w:rsidR="006959EE" w:rsidRPr="009E61C9" w:rsidRDefault="006959EE" w:rsidP="00430AD9">
            <w:pPr>
              <w:rPr>
                <w:rFonts w:ascii="Garamond" w:hAnsi="Garamond"/>
                <w:sz w:val="22"/>
                <w:szCs w:val="22"/>
              </w:rPr>
            </w:pPr>
            <w:r w:rsidRPr="009E61C9">
              <w:rPr>
                <w:rFonts w:ascii="Garamond" w:hAnsi="Garamond"/>
                <w:iCs/>
                <w:sz w:val="22"/>
                <w:szCs w:val="22"/>
              </w:rPr>
              <w:t>Suisse</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06C1B2F0"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32,3</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4FFA49A6" w14:textId="354C6B91"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2,8</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4FE84271" w14:textId="319061A9"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0,6</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1C49BA6D" w14:textId="02BB1B8F"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1,2</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5381A51D"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36,1</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2FA8283F" w14:textId="765CBEF5"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3,8</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611CC324" w14:textId="02E77426"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1,2</w:t>
            </w:r>
          </w:p>
        </w:tc>
        <w:tc>
          <w:tcPr>
            <w:tcW w:w="992" w:type="dxa"/>
            <w:tcBorders>
              <w:bottom w:val="single" w:sz="4" w:space="0" w:color="000000"/>
            </w:tcBorders>
            <w:shd w:val="clear" w:color="auto" w:fill="auto"/>
            <w:tcMar>
              <w:top w:w="12" w:type="dxa"/>
              <w:left w:w="12" w:type="dxa"/>
              <w:bottom w:w="0" w:type="dxa"/>
              <w:right w:w="12" w:type="dxa"/>
            </w:tcMar>
            <w:vAlign w:val="center"/>
            <w:hideMark/>
          </w:tcPr>
          <w:p w14:paraId="27771625" w14:textId="6269E693"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1,7</w:t>
            </w:r>
          </w:p>
        </w:tc>
      </w:tr>
      <w:tr w:rsidR="006959EE" w:rsidRPr="009E61C9" w14:paraId="4ED362CE" w14:textId="77777777" w:rsidTr="001F6EF4">
        <w:tc>
          <w:tcPr>
            <w:tcW w:w="851"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79AB7F0E" w14:textId="77777777" w:rsidR="006959EE" w:rsidRPr="009E61C9" w:rsidRDefault="006959EE" w:rsidP="00430AD9">
            <w:pPr>
              <w:jc w:val="center"/>
              <w:rPr>
                <w:rFonts w:ascii="Garamond" w:hAnsi="Garamond"/>
                <w:iCs/>
                <w:sz w:val="22"/>
                <w:szCs w:val="22"/>
              </w:rPr>
            </w:pPr>
          </w:p>
          <w:p w14:paraId="433631CC" w14:textId="77777777" w:rsidR="006959EE" w:rsidRPr="009E61C9" w:rsidRDefault="006959EE" w:rsidP="00430AD9">
            <w:pPr>
              <w:jc w:val="center"/>
              <w:rPr>
                <w:rFonts w:ascii="Garamond" w:hAnsi="Garamond"/>
                <w:sz w:val="22"/>
                <w:szCs w:val="22"/>
              </w:rPr>
            </w:pPr>
            <w:r w:rsidRPr="009E61C9">
              <w:rPr>
                <w:rFonts w:ascii="Garamond" w:hAnsi="Garamond"/>
                <w:iCs/>
                <w:sz w:val="22"/>
                <w:szCs w:val="22"/>
              </w:rPr>
              <w:t>Sud</w:t>
            </w:r>
          </w:p>
        </w:tc>
        <w:tc>
          <w:tcPr>
            <w:tcW w:w="1417" w:type="dxa"/>
            <w:tcBorders>
              <w:top w:val="single" w:sz="4" w:space="0" w:color="000000"/>
            </w:tcBorders>
            <w:shd w:val="clear" w:color="auto" w:fill="auto"/>
            <w:tcMar>
              <w:top w:w="12" w:type="dxa"/>
              <w:left w:w="12" w:type="dxa"/>
              <w:bottom w:w="0" w:type="dxa"/>
              <w:right w:w="12" w:type="dxa"/>
            </w:tcMar>
            <w:vAlign w:val="center"/>
            <w:hideMark/>
          </w:tcPr>
          <w:p w14:paraId="112146BD" w14:textId="77777777" w:rsidR="006959EE" w:rsidRPr="009E61C9" w:rsidRDefault="006959EE" w:rsidP="00430AD9">
            <w:pPr>
              <w:rPr>
                <w:rFonts w:ascii="Garamond" w:hAnsi="Garamond"/>
                <w:sz w:val="22"/>
                <w:szCs w:val="22"/>
              </w:rPr>
            </w:pPr>
            <w:r w:rsidRPr="009E61C9">
              <w:rPr>
                <w:rFonts w:ascii="Garamond" w:hAnsi="Garamond"/>
                <w:iCs/>
                <w:sz w:val="22"/>
                <w:szCs w:val="22"/>
              </w:rPr>
              <w:t>Espagne</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44A37C27"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31,4</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4EDEC68C" w14:textId="3698DF74"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2,2</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5373D5A8" w14:textId="0D663730"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2,2</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1DD85DFB" w14:textId="69AAEADA"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5,3</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109A38C2"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36,5</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07802466" w14:textId="79ECE30E"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3,6</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5A012030" w14:textId="2A9FA475"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4,6</w:t>
            </w:r>
          </w:p>
        </w:tc>
        <w:tc>
          <w:tcPr>
            <w:tcW w:w="992" w:type="dxa"/>
            <w:tcBorders>
              <w:top w:val="single" w:sz="4" w:space="0" w:color="000000"/>
            </w:tcBorders>
            <w:shd w:val="clear" w:color="auto" w:fill="auto"/>
            <w:tcMar>
              <w:top w:w="12" w:type="dxa"/>
              <w:left w:w="12" w:type="dxa"/>
              <w:bottom w:w="0" w:type="dxa"/>
              <w:right w:w="12" w:type="dxa"/>
            </w:tcMar>
            <w:vAlign w:val="center"/>
            <w:hideMark/>
          </w:tcPr>
          <w:p w14:paraId="783CC80C" w14:textId="23BA269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9,9</w:t>
            </w:r>
          </w:p>
        </w:tc>
      </w:tr>
      <w:tr w:rsidR="006959EE" w:rsidRPr="009E61C9" w14:paraId="2D1134B9" w14:textId="77777777" w:rsidTr="001F6EF4">
        <w:tc>
          <w:tcPr>
            <w:tcW w:w="851" w:type="dxa"/>
            <w:vMerge/>
            <w:tcBorders>
              <w:top w:val="single" w:sz="4" w:space="0" w:color="000000"/>
              <w:bottom w:val="single" w:sz="4" w:space="0" w:color="000000"/>
            </w:tcBorders>
            <w:hideMark/>
          </w:tcPr>
          <w:p w14:paraId="1E8248C9" w14:textId="77777777" w:rsidR="006959EE" w:rsidRPr="009E61C9" w:rsidRDefault="006959EE" w:rsidP="00430AD9">
            <w:pPr>
              <w:jc w:val="cente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072F1998" w14:textId="77777777" w:rsidR="006959EE" w:rsidRPr="009E61C9" w:rsidRDefault="006959EE" w:rsidP="00430AD9">
            <w:pPr>
              <w:rPr>
                <w:rFonts w:ascii="Garamond" w:hAnsi="Garamond"/>
                <w:sz w:val="22"/>
                <w:szCs w:val="22"/>
              </w:rPr>
            </w:pPr>
            <w:r w:rsidRPr="009E61C9">
              <w:rPr>
                <w:rFonts w:ascii="Garamond" w:hAnsi="Garamond"/>
                <w:iCs/>
                <w:sz w:val="22"/>
                <w:szCs w:val="22"/>
              </w:rPr>
              <w:t>Grèce</w:t>
            </w:r>
          </w:p>
        </w:tc>
        <w:tc>
          <w:tcPr>
            <w:tcW w:w="851" w:type="dxa"/>
            <w:shd w:val="clear" w:color="auto" w:fill="auto"/>
            <w:tcMar>
              <w:top w:w="12" w:type="dxa"/>
              <w:left w:w="12" w:type="dxa"/>
              <w:bottom w:w="0" w:type="dxa"/>
              <w:right w:w="12" w:type="dxa"/>
            </w:tcMar>
            <w:vAlign w:val="center"/>
            <w:hideMark/>
          </w:tcPr>
          <w:p w14:paraId="34F59624"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30,6</w:t>
            </w:r>
          </w:p>
        </w:tc>
        <w:tc>
          <w:tcPr>
            <w:tcW w:w="850" w:type="dxa"/>
            <w:shd w:val="clear" w:color="auto" w:fill="auto"/>
            <w:tcMar>
              <w:top w:w="12" w:type="dxa"/>
              <w:left w:w="12" w:type="dxa"/>
              <w:bottom w:w="0" w:type="dxa"/>
              <w:right w:w="12" w:type="dxa"/>
            </w:tcMar>
            <w:vAlign w:val="center"/>
            <w:hideMark/>
          </w:tcPr>
          <w:p w14:paraId="4C8DA637" w14:textId="6FB87E49"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2,1</w:t>
            </w:r>
          </w:p>
        </w:tc>
        <w:tc>
          <w:tcPr>
            <w:tcW w:w="851" w:type="dxa"/>
            <w:shd w:val="clear" w:color="auto" w:fill="auto"/>
            <w:tcMar>
              <w:top w:w="12" w:type="dxa"/>
              <w:left w:w="12" w:type="dxa"/>
              <w:bottom w:w="0" w:type="dxa"/>
              <w:right w:w="12" w:type="dxa"/>
            </w:tcMar>
            <w:vAlign w:val="center"/>
            <w:hideMark/>
          </w:tcPr>
          <w:p w14:paraId="712E5C3A" w14:textId="6B1FF9C8"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1,2</w:t>
            </w:r>
          </w:p>
        </w:tc>
        <w:tc>
          <w:tcPr>
            <w:tcW w:w="850" w:type="dxa"/>
            <w:shd w:val="clear" w:color="auto" w:fill="auto"/>
            <w:tcMar>
              <w:top w:w="12" w:type="dxa"/>
              <w:left w:w="12" w:type="dxa"/>
              <w:bottom w:w="0" w:type="dxa"/>
              <w:right w:w="12" w:type="dxa"/>
            </w:tcMar>
            <w:vAlign w:val="center"/>
            <w:hideMark/>
          </w:tcPr>
          <w:p w14:paraId="1A950B84" w14:textId="57AC0CB3"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10,9</w:t>
            </w:r>
          </w:p>
        </w:tc>
        <w:tc>
          <w:tcPr>
            <w:tcW w:w="851" w:type="dxa"/>
            <w:shd w:val="clear" w:color="auto" w:fill="auto"/>
            <w:tcMar>
              <w:top w:w="12" w:type="dxa"/>
              <w:left w:w="12" w:type="dxa"/>
              <w:bottom w:w="0" w:type="dxa"/>
              <w:right w:w="12" w:type="dxa"/>
            </w:tcMar>
            <w:vAlign w:val="center"/>
            <w:hideMark/>
          </w:tcPr>
          <w:p w14:paraId="62E796E6"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35,0</w:t>
            </w:r>
          </w:p>
        </w:tc>
        <w:tc>
          <w:tcPr>
            <w:tcW w:w="850" w:type="dxa"/>
            <w:shd w:val="clear" w:color="auto" w:fill="auto"/>
            <w:tcMar>
              <w:top w:w="12" w:type="dxa"/>
              <w:left w:w="12" w:type="dxa"/>
              <w:bottom w:w="0" w:type="dxa"/>
              <w:right w:w="12" w:type="dxa"/>
            </w:tcMar>
            <w:vAlign w:val="center"/>
            <w:hideMark/>
          </w:tcPr>
          <w:p w14:paraId="6994EE7D" w14:textId="2EA5F511"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3,5</w:t>
            </w:r>
          </w:p>
        </w:tc>
        <w:tc>
          <w:tcPr>
            <w:tcW w:w="851" w:type="dxa"/>
            <w:shd w:val="clear" w:color="auto" w:fill="auto"/>
            <w:tcMar>
              <w:top w:w="12" w:type="dxa"/>
              <w:left w:w="12" w:type="dxa"/>
              <w:bottom w:w="0" w:type="dxa"/>
              <w:right w:w="12" w:type="dxa"/>
            </w:tcMar>
            <w:vAlign w:val="center"/>
            <w:hideMark/>
          </w:tcPr>
          <w:p w14:paraId="118E11B2" w14:textId="285FA87E"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1,9</w:t>
            </w:r>
          </w:p>
        </w:tc>
        <w:tc>
          <w:tcPr>
            <w:tcW w:w="992" w:type="dxa"/>
            <w:shd w:val="clear" w:color="auto" w:fill="auto"/>
            <w:tcMar>
              <w:top w:w="12" w:type="dxa"/>
              <w:left w:w="12" w:type="dxa"/>
              <w:bottom w:w="0" w:type="dxa"/>
              <w:right w:w="12" w:type="dxa"/>
            </w:tcMar>
            <w:vAlign w:val="center"/>
            <w:hideMark/>
          </w:tcPr>
          <w:p w14:paraId="12499CCE" w14:textId="5134E1E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16,8</w:t>
            </w:r>
          </w:p>
        </w:tc>
      </w:tr>
      <w:tr w:rsidR="006959EE" w:rsidRPr="009E61C9" w14:paraId="0C57A21F" w14:textId="77777777" w:rsidTr="001F6EF4">
        <w:tc>
          <w:tcPr>
            <w:tcW w:w="851" w:type="dxa"/>
            <w:vMerge/>
            <w:tcBorders>
              <w:top w:val="single" w:sz="4" w:space="0" w:color="000000"/>
              <w:bottom w:val="single" w:sz="4" w:space="0" w:color="000000"/>
            </w:tcBorders>
            <w:hideMark/>
          </w:tcPr>
          <w:p w14:paraId="0820654B" w14:textId="77777777" w:rsidR="006959EE" w:rsidRPr="009E61C9" w:rsidRDefault="006959EE" w:rsidP="00430AD9">
            <w:pPr>
              <w:jc w:val="cente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5DDA97AE" w14:textId="77777777" w:rsidR="006959EE" w:rsidRPr="009E61C9" w:rsidRDefault="006959EE" w:rsidP="00430AD9">
            <w:pPr>
              <w:rPr>
                <w:rFonts w:ascii="Garamond" w:hAnsi="Garamond"/>
                <w:sz w:val="22"/>
                <w:szCs w:val="22"/>
              </w:rPr>
            </w:pPr>
            <w:r w:rsidRPr="009E61C9">
              <w:rPr>
                <w:rFonts w:ascii="Garamond" w:hAnsi="Garamond"/>
                <w:iCs/>
                <w:sz w:val="22"/>
                <w:szCs w:val="22"/>
              </w:rPr>
              <w:t>Italie</w:t>
            </w:r>
          </w:p>
        </w:tc>
        <w:tc>
          <w:tcPr>
            <w:tcW w:w="851" w:type="dxa"/>
            <w:shd w:val="clear" w:color="auto" w:fill="auto"/>
            <w:tcMar>
              <w:top w:w="12" w:type="dxa"/>
              <w:left w:w="12" w:type="dxa"/>
              <w:bottom w:w="0" w:type="dxa"/>
              <w:right w:w="12" w:type="dxa"/>
            </w:tcMar>
            <w:vAlign w:val="center"/>
            <w:hideMark/>
          </w:tcPr>
          <w:p w14:paraId="25F9D936"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31,9</w:t>
            </w:r>
          </w:p>
        </w:tc>
        <w:tc>
          <w:tcPr>
            <w:tcW w:w="850" w:type="dxa"/>
            <w:shd w:val="clear" w:color="auto" w:fill="auto"/>
            <w:tcMar>
              <w:top w:w="12" w:type="dxa"/>
              <w:left w:w="12" w:type="dxa"/>
              <w:bottom w:w="0" w:type="dxa"/>
              <w:right w:w="12" w:type="dxa"/>
            </w:tcMar>
            <w:vAlign w:val="center"/>
            <w:hideMark/>
          </w:tcPr>
          <w:p w14:paraId="7D0EAEC7" w14:textId="19D1E6BD"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4,8</w:t>
            </w:r>
          </w:p>
        </w:tc>
        <w:tc>
          <w:tcPr>
            <w:tcW w:w="851" w:type="dxa"/>
            <w:shd w:val="clear" w:color="auto" w:fill="auto"/>
            <w:tcMar>
              <w:top w:w="12" w:type="dxa"/>
              <w:left w:w="12" w:type="dxa"/>
              <w:bottom w:w="0" w:type="dxa"/>
              <w:right w:w="12" w:type="dxa"/>
            </w:tcMar>
            <w:vAlign w:val="center"/>
            <w:hideMark/>
          </w:tcPr>
          <w:p w14:paraId="3753F10B" w14:textId="66B251CC"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2,0</w:t>
            </w:r>
          </w:p>
        </w:tc>
        <w:tc>
          <w:tcPr>
            <w:tcW w:w="850" w:type="dxa"/>
            <w:shd w:val="clear" w:color="auto" w:fill="auto"/>
            <w:tcMar>
              <w:top w:w="12" w:type="dxa"/>
              <w:left w:w="12" w:type="dxa"/>
              <w:bottom w:w="0" w:type="dxa"/>
              <w:right w:w="12" w:type="dxa"/>
            </w:tcMar>
            <w:vAlign w:val="center"/>
            <w:hideMark/>
          </w:tcPr>
          <w:p w14:paraId="2A530A70" w14:textId="277BBC57"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7,7</w:t>
            </w:r>
          </w:p>
        </w:tc>
        <w:tc>
          <w:tcPr>
            <w:tcW w:w="851" w:type="dxa"/>
            <w:shd w:val="clear" w:color="auto" w:fill="auto"/>
            <w:tcMar>
              <w:top w:w="12" w:type="dxa"/>
              <w:left w:w="12" w:type="dxa"/>
              <w:bottom w:w="0" w:type="dxa"/>
              <w:right w:w="12" w:type="dxa"/>
            </w:tcMar>
            <w:vAlign w:val="center"/>
            <w:hideMark/>
          </w:tcPr>
          <w:p w14:paraId="4EC4438D"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36,0</w:t>
            </w:r>
          </w:p>
        </w:tc>
        <w:tc>
          <w:tcPr>
            <w:tcW w:w="850" w:type="dxa"/>
            <w:shd w:val="clear" w:color="auto" w:fill="auto"/>
            <w:tcMar>
              <w:top w:w="12" w:type="dxa"/>
              <w:left w:w="12" w:type="dxa"/>
              <w:bottom w:w="0" w:type="dxa"/>
              <w:right w:w="12" w:type="dxa"/>
            </w:tcMar>
            <w:vAlign w:val="center"/>
            <w:hideMark/>
          </w:tcPr>
          <w:p w14:paraId="5A606265" w14:textId="67FF0789"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7,4</w:t>
            </w:r>
          </w:p>
        </w:tc>
        <w:tc>
          <w:tcPr>
            <w:tcW w:w="851" w:type="dxa"/>
            <w:shd w:val="clear" w:color="auto" w:fill="auto"/>
            <w:tcMar>
              <w:top w:w="12" w:type="dxa"/>
              <w:left w:w="12" w:type="dxa"/>
              <w:bottom w:w="0" w:type="dxa"/>
              <w:right w:w="12" w:type="dxa"/>
            </w:tcMar>
            <w:vAlign w:val="center"/>
            <w:hideMark/>
          </w:tcPr>
          <w:p w14:paraId="3EABA54B" w14:textId="13FDA3BE"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4,0</w:t>
            </w:r>
          </w:p>
        </w:tc>
        <w:tc>
          <w:tcPr>
            <w:tcW w:w="992" w:type="dxa"/>
            <w:shd w:val="clear" w:color="auto" w:fill="auto"/>
            <w:tcMar>
              <w:top w:w="12" w:type="dxa"/>
              <w:left w:w="12" w:type="dxa"/>
              <w:bottom w:w="0" w:type="dxa"/>
              <w:right w:w="12" w:type="dxa"/>
            </w:tcMar>
            <w:vAlign w:val="center"/>
            <w:hideMark/>
          </w:tcPr>
          <w:p w14:paraId="59F0F79A" w14:textId="27216B47"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12,9</w:t>
            </w:r>
          </w:p>
        </w:tc>
      </w:tr>
      <w:tr w:rsidR="006959EE" w:rsidRPr="009E61C9" w14:paraId="642545EE" w14:textId="77777777" w:rsidTr="001F6EF4">
        <w:tc>
          <w:tcPr>
            <w:tcW w:w="851" w:type="dxa"/>
            <w:vMerge/>
            <w:tcBorders>
              <w:top w:val="single" w:sz="4" w:space="0" w:color="000000"/>
              <w:bottom w:val="single" w:sz="4" w:space="0" w:color="000000"/>
            </w:tcBorders>
            <w:hideMark/>
          </w:tcPr>
          <w:p w14:paraId="18F32434" w14:textId="77777777" w:rsidR="006959EE" w:rsidRPr="009E61C9" w:rsidRDefault="006959EE" w:rsidP="00430AD9">
            <w:pPr>
              <w:jc w:val="center"/>
              <w:rPr>
                <w:rFonts w:ascii="Garamond" w:hAnsi="Garamond"/>
                <w:sz w:val="22"/>
                <w:szCs w:val="22"/>
              </w:rPr>
            </w:pPr>
          </w:p>
        </w:tc>
        <w:tc>
          <w:tcPr>
            <w:tcW w:w="1417" w:type="dxa"/>
            <w:tcBorders>
              <w:bottom w:val="single" w:sz="4" w:space="0" w:color="000000"/>
            </w:tcBorders>
            <w:shd w:val="clear" w:color="auto" w:fill="auto"/>
            <w:tcMar>
              <w:top w:w="12" w:type="dxa"/>
              <w:left w:w="12" w:type="dxa"/>
              <w:bottom w:w="0" w:type="dxa"/>
              <w:right w:w="12" w:type="dxa"/>
            </w:tcMar>
            <w:vAlign w:val="center"/>
            <w:hideMark/>
          </w:tcPr>
          <w:p w14:paraId="42C0A76C" w14:textId="77777777" w:rsidR="006959EE" w:rsidRPr="009E61C9" w:rsidRDefault="006959EE" w:rsidP="00430AD9">
            <w:pPr>
              <w:rPr>
                <w:rFonts w:ascii="Garamond" w:hAnsi="Garamond"/>
                <w:sz w:val="22"/>
                <w:szCs w:val="22"/>
              </w:rPr>
            </w:pPr>
            <w:r w:rsidRPr="009E61C9">
              <w:rPr>
                <w:rFonts w:ascii="Garamond" w:hAnsi="Garamond"/>
                <w:iCs/>
                <w:sz w:val="22"/>
                <w:szCs w:val="22"/>
              </w:rPr>
              <w:t>Portugal</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73E3AD7A"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30,1</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008319F6" w14:textId="2452FFC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5,4</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40879090" w14:textId="3A1D1DE6"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2,4</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2BC1C5DF" w14:textId="41B9FBD5"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7,1</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43D0CDFC"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35,4</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3C7B0B72" w14:textId="4CE365EA"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9,0</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5772F884" w14:textId="32AEEE0A"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7,4</w:t>
            </w:r>
          </w:p>
        </w:tc>
        <w:tc>
          <w:tcPr>
            <w:tcW w:w="992" w:type="dxa"/>
            <w:tcBorders>
              <w:bottom w:val="single" w:sz="4" w:space="0" w:color="000000"/>
            </w:tcBorders>
            <w:shd w:val="clear" w:color="auto" w:fill="auto"/>
            <w:tcMar>
              <w:top w:w="12" w:type="dxa"/>
              <w:left w:w="12" w:type="dxa"/>
              <w:bottom w:w="0" w:type="dxa"/>
              <w:right w:w="12" w:type="dxa"/>
            </w:tcMar>
            <w:vAlign w:val="center"/>
            <w:hideMark/>
          </w:tcPr>
          <w:p w14:paraId="70B4D391" w14:textId="140D2175"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13,1</w:t>
            </w:r>
          </w:p>
        </w:tc>
      </w:tr>
      <w:tr w:rsidR="006959EE" w:rsidRPr="009E61C9" w14:paraId="60076891" w14:textId="77777777" w:rsidTr="001F6EF4">
        <w:tc>
          <w:tcPr>
            <w:tcW w:w="851" w:type="dxa"/>
            <w:vMerge w:val="restart"/>
            <w:tcBorders>
              <w:top w:val="single" w:sz="4" w:space="0" w:color="000000"/>
              <w:bottom w:val="single" w:sz="4" w:space="0" w:color="000000"/>
            </w:tcBorders>
            <w:shd w:val="clear" w:color="auto" w:fill="auto"/>
            <w:tcMar>
              <w:top w:w="12" w:type="dxa"/>
              <w:left w:w="12" w:type="dxa"/>
              <w:bottom w:w="0" w:type="dxa"/>
              <w:right w:w="12" w:type="dxa"/>
            </w:tcMar>
            <w:hideMark/>
          </w:tcPr>
          <w:p w14:paraId="04F896CD" w14:textId="77777777" w:rsidR="006959EE" w:rsidRPr="009E61C9" w:rsidRDefault="006959EE" w:rsidP="00430AD9">
            <w:pPr>
              <w:jc w:val="center"/>
              <w:rPr>
                <w:rFonts w:ascii="Garamond" w:hAnsi="Garamond"/>
                <w:iCs/>
                <w:sz w:val="22"/>
                <w:szCs w:val="22"/>
              </w:rPr>
            </w:pPr>
          </w:p>
          <w:p w14:paraId="4FBDFA0F" w14:textId="77777777" w:rsidR="006959EE" w:rsidRPr="009E61C9" w:rsidRDefault="006959EE" w:rsidP="00430AD9">
            <w:pPr>
              <w:jc w:val="center"/>
              <w:rPr>
                <w:rFonts w:ascii="Garamond" w:hAnsi="Garamond"/>
                <w:sz w:val="22"/>
                <w:szCs w:val="22"/>
              </w:rPr>
            </w:pPr>
            <w:r w:rsidRPr="009E61C9">
              <w:rPr>
                <w:rFonts w:ascii="Garamond" w:hAnsi="Garamond"/>
                <w:iCs/>
                <w:sz w:val="22"/>
                <w:szCs w:val="22"/>
              </w:rPr>
              <w:t>Est</w:t>
            </w:r>
          </w:p>
        </w:tc>
        <w:tc>
          <w:tcPr>
            <w:tcW w:w="1417" w:type="dxa"/>
            <w:tcBorders>
              <w:top w:val="single" w:sz="4" w:space="0" w:color="000000"/>
            </w:tcBorders>
            <w:shd w:val="clear" w:color="auto" w:fill="auto"/>
            <w:tcMar>
              <w:top w:w="12" w:type="dxa"/>
              <w:left w:w="12" w:type="dxa"/>
              <w:bottom w:w="0" w:type="dxa"/>
              <w:right w:w="12" w:type="dxa"/>
            </w:tcMar>
            <w:vAlign w:val="center"/>
            <w:hideMark/>
          </w:tcPr>
          <w:p w14:paraId="462EE525" w14:textId="77777777" w:rsidR="006959EE" w:rsidRPr="009E61C9" w:rsidRDefault="006959EE" w:rsidP="00430AD9">
            <w:pPr>
              <w:rPr>
                <w:rFonts w:ascii="Garamond" w:hAnsi="Garamond"/>
                <w:sz w:val="22"/>
                <w:szCs w:val="22"/>
              </w:rPr>
            </w:pPr>
            <w:r w:rsidRPr="009E61C9">
              <w:rPr>
                <w:rFonts w:ascii="Garamond" w:hAnsi="Garamond"/>
                <w:iCs/>
                <w:sz w:val="22"/>
                <w:szCs w:val="22"/>
              </w:rPr>
              <w:t>Estonie</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1019922A" w14:textId="77777777" w:rsidR="006959EE" w:rsidRPr="009E61C9" w:rsidRDefault="006959EE" w:rsidP="00430AD9">
            <w:pPr>
              <w:jc w:val="center"/>
              <w:rPr>
                <w:rFonts w:ascii="Garamond" w:hAnsi="Garamond"/>
                <w:sz w:val="22"/>
                <w:szCs w:val="22"/>
              </w:rPr>
            </w:pPr>
            <w:r w:rsidRPr="009E61C9">
              <w:rPr>
                <w:rFonts w:ascii="Garamond" w:hAnsi="Garamond"/>
                <w:sz w:val="22"/>
                <w:szCs w:val="22"/>
              </w:rPr>
              <w:t>25,7</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400900F1" w14:textId="049B18D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6,8</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3475F36B" w14:textId="0D9FF8B1"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2,0</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2C082FDB" w14:textId="1F4D141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5,9</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5120B22F"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33,0</w:t>
            </w:r>
          </w:p>
        </w:tc>
        <w:tc>
          <w:tcPr>
            <w:tcW w:w="850" w:type="dxa"/>
            <w:tcBorders>
              <w:top w:val="single" w:sz="4" w:space="0" w:color="000000"/>
            </w:tcBorders>
            <w:shd w:val="clear" w:color="auto" w:fill="auto"/>
            <w:tcMar>
              <w:top w:w="12" w:type="dxa"/>
              <w:left w:w="12" w:type="dxa"/>
              <w:bottom w:w="0" w:type="dxa"/>
              <w:right w:w="12" w:type="dxa"/>
            </w:tcMar>
            <w:vAlign w:val="center"/>
            <w:hideMark/>
          </w:tcPr>
          <w:p w14:paraId="6E6095CE" w14:textId="2353C79F"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9,3</w:t>
            </w:r>
          </w:p>
        </w:tc>
        <w:tc>
          <w:tcPr>
            <w:tcW w:w="851" w:type="dxa"/>
            <w:tcBorders>
              <w:top w:val="single" w:sz="4" w:space="0" w:color="000000"/>
            </w:tcBorders>
            <w:shd w:val="clear" w:color="auto" w:fill="auto"/>
            <w:tcMar>
              <w:top w:w="12" w:type="dxa"/>
              <w:left w:w="12" w:type="dxa"/>
              <w:bottom w:w="0" w:type="dxa"/>
              <w:right w:w="12" w:type="dxa"/>
            </w:tcMar>
            <w:vAlign w:val="center"/>
            <w:hideMark/>
          </w:tcPr>
          <w:p w14:paraId="0A5FECC9" w14:textId="77E5887A"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3,1</w:t>
            </w:r>
          </w:p>
        </w:tc>
        <w:tc>
          <w:tcPr>
            <w:tcW w:w="992" w:type="dxa"/>
            <w:tcBorders>
              <w:top w:val="single" w:sz="4" w:space="0" w:color="000000"/>
            </w:tcBorders>
            <w:shd w:val="clear" w:color="auto" w:fill="auto"/>
            <w:tcMar>
              <w:top w:w="12" w:type="dxa"/>
              <w:left w:w="12" w:type="dxa"/>
              <w:bottom w:w="0" w:type="dxa"/>
              <w:right w:w="12" w:type="dxa"/>
            </w:tcMar>
            <w:vAlign w:val="center"/>
            <w:hideMark/>
          </w:tcPr>
          <w:p w14:paraId="1D0B92B2" w14:textId="2ADF15A7"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8,1</w:t>
            </w:r>
          </w:p>
        </w:tc>
      </w:tr>
      <w:tr w:rsidR="006959EE" w:rsidRPr="009E61C9" w14:paraId="7DA6AAE3" w14:textId="77777777" w:rsidTr="001F6EF4">
        <w:tc>
          <w:tcPr>
            <w:tcW w:w="851" w:type="dxa"/>
            <w:vMerge/>
            <w:tcBorders>
              <w:top w:val="single" w:sz="4" w:space="0" w:color="000000"/>
              <w:bottom w:val="single" w:sz="4" w:space="0" w:color="000000"/>
            </w:tcBorders>
            <w:hideMark/>
          </w:tcPr>
          <w:p w14:paraId="17435B78" w14:textId="77777777" w:rsidR="006959EE" w:rsidRPr="009E61C9" w:rsidRDefault="006959EE" w:rsidP="00430AD9">
            <w:pP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0E18C770" w14:textId="77777777" w:rsidR="006959EE" w:rsidRPr="009E61C9" w:rsidRDefault="006959EE" w:rsidP="00430AD9">
            <w:pPr>
              <w:rPr>
                <w:rFonts w:ascii="Garamond" w:hAnsi="Garamond"/>
                <w:sz w:val="22"/>
                <w:szCs w:val="22"/>
              </w:rPr>
            </w:pPr>
            <w:r w:rsidRPr="009E61C9">
              <w:rPr>
                <w:rFonts w:ascii="Garamond" w:hAnsi="Garamond"/>
                <w:iCs/>
                <w:sz w:val="22"/>
                <w:szCs w:val="22"/>
              </w:rPr>
              <w:t>Pologne</w:t>
            </w:r>
          </w:p>
        </w:tc>
        <w:tc>
          <w:tcPr>
            <w:tcW w:w="851" w:type="dxa"/>
            <w:shd w:val="clear" w:color="auto" w:fill="auto"/>
            <w:tcMar>
              <w:top w:w="12" w:type="dxa"/>
              <w:left w:w="12" w:type="dxa"/>
              <w:bottom w:w="0" w:type="dxa"/>
              <w:right w:w="12" w:type="dxa"/>
            </w:tcMar>
            <w:vAlign w:val="center"/>
            <w:hideMark/>
          </w:tcPr>
          <w:p w14:paraId="67A7DA0B" w14:textId="77777777" w:rsidR="006959EE" w:rsidRPr="009E61C9" w:rsidRDefault="006959EE" w:rsidP="00430AD9">
            <w:pPr>
              <w:jc w:val="center"/>
              <w:rPr>
                <w:rFonts w:ascii="Garamond" w:hAnsi="Garamond"/>
                <w:sz w:val="22"/>
                <w:szCs w:val="22"/>
              </w:rPr>
            </w:pPr>
            <w:r w:rsidRPr="009E61C9">
              <w:rPr>
                <w:rFonts w:ascii="Garamond" w:hAnsi="Garamond"/>
                <w:sz w:val="22"/>
                <w:szCs w:val="22"/>
              </w:rPr>
              <w:t>26,5</w:t>
            </w:r>
          </w:p>
        </w:tc>
        <w:tc>
          <w:tcPr>
            <w:tcW w:w="850" w:type="dxa"/>
            <w:shd w:val="clear" w:color="auto" w:fill="auto"/>
            <w:tcMar>
              <w:top w:w="12" w:type="dxa"/>
              <w:left w:w="12" w:type="dxa"/>
              <w:bottom w:w="0" w:type="dxa"/>
              <w:right w:w="12" w:type="dxa"/>
            </w:tcMar>
            <w:vAlign w:val="center"/>
            <w:hideMark/>
          </w:tcPr>
          <w:p w14:paraId="2D64C757" w14:textId="1B10A954"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6,0</w:t>
            </w:r>
          </w:p>
        </w:tc>
        <w:tc>
          <w:tcPr>
            <w:tcW w:w="851" w:type="dxa"/>
            <w:shd w:val="clear" w:color="auto" w:fill="auto"/>
            <w:tcMar>
              <w:top w:w="12" w:type="dxa"/>
              <w:left w:w="12" w:type="dxa"/>
              <w:bottom w:w="0" w:type="dxa"/>
              <w:right w:w="12" w:type="dxa"/>
            </w:tcMar>
            <w:vAlign w:val="center"/>
            <w:hideMark/>
          </w:tcPr>
          <w:p w14:paraId="0E402B4D" w14:textId="589931DE"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2,2</w:t>
            </w:r>
          </w:p>
        </w:tc>
        <w:tc>
          <w:tcPr>
            <w:tcW w:w="850" w:type="dxa"/>
            <w:shd w:val="clear" w:color="auto" w:fill="auto"/>
            <w:tcMar>
              <w:top w:w="12" w:type="dxa"/>
              <w:left w:w="12" w:type="dxa"/>
              <w:bottom w:w="0" w:type="dxa"/>
              <w:right w:w="12" w:type="dxa"/>
            </w:tcMar>
            <w:vAlign w:val="center"/>
            <w:hideMark/>
          </w:tcPr>
          <w:p w14:paraId="4EC9E284" w14:textId="0B6FD018"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5,4</w:t>
            </w:r>
          </w:p>
        </w:tc>
        <w:tc>
          <w:tcPr>
            <w:tcW w:w="851" w:type="dxa"/>
            <w:shd w:val="clear" w:color="auto" w:fill="auto"/>
            <w:tcMar>
              <w:top w:w="12" w:type="dxa"/>
              <w:left w:w="12" w:type="dxa"/>
              <w:bottom w:w="0" w:type="dxa"/>
              <w:right w:w="12" w:type="dxa"/>
            </w:tcMar>
            <w:vAlign w:val="center"/>
            <w:hideMark/>
          </w:tcPr>
          <w:p w14:paraId="3203CEFA"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32,7</w:t>
            </w:r>
          </w:p>
        </w:tc>
        <w:tc>
          <w:tcPr>
            <w:tcW w:w="850" w:type="dxa"/>
            <w:shd w:val="clear" w:color="auto" w:fill="auto"/>
            <w:tcMar>
              <w:top w:w="12" w:type="dxa"/>
              <w:left w:w="12" w:type="dxa"/>
              <w:bottom w:w="0" w:type="dxa"/>
              <w:right w:w="12" w:type="dxa"/>
            </w:tcMar>
            <w:vAlign w:val="center"/>
            <w:hideMark/>
          </w:tcPr>
          <w:p w14:paraId="57280B4F" w14:textId="1476C6C2"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8,1</w:t>
            </w:r>
          </w:p>
        </w:tc>
        <w:tc>
          <w:tcPr>
            <w:tcW w:w="851" w:type="dxa"/>
            <w:shd w:val="clear" w:color="auto" w:fill="auto"/>
            <w:tcMar>
              <w:top w:w="12" w:type="dxa"/>
              <w:left w:w="12" w:type="dxa"/>
              <w:bottom w:w="0" w:type="dxa"/>
              <w:right w:w="12" w:type="dxa"/>
            </w:tcMar>
            <w:vAlign w:val="center"/>
            <w:hideMark/>
          </w:tcPr>
          <w:p w14:paraId="3646C245" w14:textId="2ACBA9A1"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3,8</w:t>
            </w:r>
          </w:p>
        </w:tc>
        <w:tc>
          <w:tcPr>
            <w:tcW w:w="992" w:type="dxa"/>
            <w:shd w:val="clear" w:color="auto" w:fill="auto"/>
            <w:tcMar>
              <w:top w:w="12" w:type="dxa"/>
              <w:left w:w="12" w:type="dxa"/>
              <w:bottom w:w="0" w:type="dxa"/>
              <w:right w:w="12" w:type="dxa"/>
            </w:tcMar>
            <w:vAlign w:val="center"/>
            <w:hideMark/>
          </w:tcPr>
          <w:p w14:paraId="5397B279" w14:textId="7F6B210A"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9,0</w:t>
            </w:r>
          </w:p>
        </w:tc>
      </w:tr>
      <w:tr w:rsidR="006959EE" w:rsidRPr="009E61C9" w14:paraId="0258F316" w14:textId="77777777" w:rsidTr="001F6EF4">
        <w:tc>
          <w:tcPr>
            <w:tcW w:w="851" w:type="dxa"/>
            <w:vMerge/>
            <w:tcBorders>
              <w:top w:val="single" w:sz="4" w:space="0" w:color="000000"/>
              <w:bottom w:val="single" w:sz="4" w:space="0" w:color="000000"/>
            </w:tcBorders>
            <w:hideMark/>
          </w:tcPr>
          <w:p w14:paraId="7DF6CBFC" w14:textId="77777777" w:rsidR="006959EE" w:rsidRPr="009E61C9" w:rsidRDefault="006959EE" w:rsidP="00430AD9">
            <w:pPr>
              <w:rPr>
                <w:rFonts w:ascii="Garamond" w:hAnsi="Garamond"/>
                <w:sz w:val="22"/>
                <w:szCs w:val="22"/>
              </w:rPr>
            </w:pPr>
          </w:p>
        </w:tc>
        <w:tc>
          <w:tcPr>
            <w:tcW w:w="1417" w:type="dxa"/>
            <w:shd w:val="clear" w:color="auto" w:fill="auto"/>
            <w:tcMar>
              <w:top w:w="12" w:type="dxa"/>
              <w:left w:w="12" w:type="dxa"/>
              <w:bottom w:w="0" w:type="dxa"/>
              <w:right w:w="12" w:type="dxa"/>
            </w:tcMar>
            <w:vAlign w:val="center"/>
            <w:hideMark/>
          </w:tcPr>
          <w:p w14:paraId="7FFC76C2" w14:textId="77777777" w:rsidR="006959EE" w:rsidRPr="009E61C9" w:rsidRDefault="006959EE" w:rsidP="00430AD9">
            <w:pPr>
              <w:rPr>
                <w:rFonts w:ascii="Garamond" w:hAnsi="Garamond"/>
                <w:sz w:val="22"/>
                <w:szCs w:val="22"/>
              </w:rPr>
            </w:pPr>
            <w:r w:rsidRPr="009E61C9">
              <w:rPr>
                <w:rFonts w:ascii="Garamond" w:hAnsi="Garamond"/>
                <w:iCs/>
                <w:sz w:val="22"/>
                <w:szCs w:val="22"/>
              </w:rPr>
              <w:t>Slovénie</w:t>
            </w:r>
          </w:p>
        </w:tc>
        <w:tc>
          <w:tcPr>
            <w:tcW w:w="851" w:type="dxa"/>
            <w:shd w:val="clear" w:color="auto" w:fill="auto"/>
            <w:tcMar>
              <w:top w:w="12" w:type="dxa"/>
              <w:left w:w="12" w:type="dxa"/>
              <w:bottom w:w="0" w:type="dxa"/>
              <w:right w:w="12" w:type="dxa"/>
            </w:tcMar>
            <w:vAlign w:val="center"/>
            <w:hideMark/>
          </w:tcPr>
          <w:p w14:paraId="1364E631" w14:textId="77777777" w:rsidR="006959EE" w:rsidRPr="009E61C9" w:rsidRDefault="006959EE" w:rsidP="00430AD9">
            <w:pPr>
              <w:jc w:val="center"/>
              <w:rPr>
                <w:rFonts w:ascii="Garamond" w:hAnsi="Garamond"/>
                <w:sz w:val="22"/>
                <w:szCs w:val="22"/>
              </w:rPr>
            </w:pPr>
            <w:r w:rsidRPr="009E61C9">
              <w:rPr>
                <w:rFonts w:ascii="Garamond" w:hAnsi="Garamond"/>
                <w:sz w:val="22"/>
                <w:szCs w:val="22"/>
              </w:rPr>
              <w:t>29,5</w:t>
            </w:r>
          </w:p>
        </w:tc>
        <w:tc>
          <w:tcPr>
            <w:tcW w:w="850" w:type="dxa"/>
            <w:shd w:val="clear" w:color="auto" w:fill="auto"/>
            <w:tcMar>
              <w:top w:w="12" w:type="dxa"/>
              <w:left w:w="12" w:type="dxa"/>
              <w:bottom w:w="0" w:type="dxa"/>
              <w:right w:w="12" w:type="dxa"/>
            </w:tcMar>
            <w:vAlign w:val="center"/>
            <w:hideMark/>
          </w:tcPr>
          <w:p w14:paraId="20DFA711" w14:textId="5896C5F9"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4,6</w:t>
            </w:r>
          </w:p>
        </w:tc>
        <w:tc>
          <w:tcPr>
            <w:tcW w:w="851" w:type="dxa"/>
            <w:shd w:val="clear" w:color="auto" w:fill="auto"/>
            <w:tcMar>
              <w:top w:w="12" w:type="dxa"/>
              <w:left w:w="12" w:type="dxa"/>
              <w:bottom w:w="0" w:type="dxa"/>
              <w:right w:w="12" w:type="dxa"/>
            </w:tcMar>
            <w:vAlign w:val="center"/>
            <w:hideMark/>
          </w:tcPr>
          <w:p w14:paraId="3F18F2AB" w14:textId="4836BA95"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1,9</w:t>
            </w:r>
          </w:p>
        </w:tc>
        <w:tc>
          <w:tcPr>
            <w:tcW w:w="850" w:type="dxa"/>
            <w:shd w:val="clear" w:color="auto" w:fill="auto"/>
            <w:tcMar>
              <w:top w:w="12" w:type="dxa"/>
              <w:left w:w="12" w:type="dxa"/>
              <w:bottom w:w="0" w:type="dxa"/>
              <w:right w:w="12" w:type="dxa"/>
            </w:tcMar>
            <w:vAlign w:val="center"/>
            <w:hideMark/>
          </w:tcPr>
          <w:p w14:paraId="3B226C81" w14:textId="0F8CC34C"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2,7</w:t>
            </w:r>
          </w:p>
        </w:tc>
        <w:tc>
          <w:tcPr>
            <w:tcW w:w="851" w:type="dxa"/>
            <w:shd w:val="clear" w:color="auto" w:fill="auto"/>
            <w:tcMar>
              <w:top w:w="12" w:type="dxa"/>
              <w:left w:w="12" w:type="dxa"/>
              <w:bottom w:w="0" w:type="dxa"/>
              <w:right w:w="12" w:type="dxa"/>
            </w:tcMar>
            <w:vAlign w:val="center"/>
            <w:hideMark/>
          </w:tcPr>
          <w:p w14:paraId="32A9574C"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34,5</w:t>
            </w:r>
          </w:p>
        </w:tc>
        <w:tc>
          <w:tcPr>
            <w:tcW w:w="850" w:type="dxa"/>
            <w:shd w:val="clear" w:color="auto" w:fill="auto"/>
            <w:tcMar>
              <w:top w:w="12" w:type="dxa"/>
              <w:left w:w="12" w:type="dxa"/>
              <w:bottom w:w="0" w:type="dxa"/>
              <w:right w:w="12" w:type="dxa"/>
            </w:tcMar>
            <w:vAlign w:val="center"/>
            <w:hideMark/>
          </w:tcPr>
          <w:p w14:paraId="2586CE8F" w14:textId="2346A438"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6,3</w:t>
            </w:r>
          </w:p>
        </w:tc>
        <w:tc>
          <w:tcPr>
            <w:tcW w:w="851" w:type="dxa"/>
            <w:shd w:val="clear" w:color="auto" w:fill="auto"/>
            <w:tcMar>
              <w:top w:w="12" w:type="dxa"/>
              <w:left w:w="12" w:type="dxa"/>
              <w:bottom w:w="0" w:type="dxa"/>
              <w:right w:w="12" w:type="dxa"/>
            </w:tcMar>
            <w:vAlign w:val="center"/>
            <w:hideMark/>
          </w:tcPr>
          <w:p w14:paraId="3FAF1685" w14:textId="4D08F813"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2,4</w:t>
            </w:r>
          </w:p>
        </w:tc>
        <w:tc>
          <w:tcPr>
            <w:tcW w:w="992" w:type="dxa"/>
            <w:shd w:val="clear" w:color="auto" w:fill="auto"/>
            <w:tcMar>
              <w:top w:w="12" w:type="dxa"/>
              <w:left w:w="12" w:type="dxa"/>
              <w:bottom w:w="0" w:type="dxa"/>
              <w:right w:w="12" w:type="dxa"/>
            </w:tcMar>
            <w:vAlign w:val="center"/>
            <w:hideMark/>
          </w:tcPr>
          <w:p w14:paraId="3AFFCC9A" w14:textId="699F1358"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4,5</w:t>
            </w:r>
          </w:p>
        </w:tc>
      </w:tr>
      <w:tr w:rsidR="006959EE" w:rsidRPr="009E61C9" w14:paraId="232DB304" w14:textId="77777777" w:rsidTr="001F6EF4">
        <w:trPr>
          <w:trHeight w:val="83"/>
        </w:trPr>
        <w:tc>
          <w:tcPr>
            <w:tcW w:w="851" w:type="dxa"/>
            <w:vMerge/>
            <w:tcBorders>
              <w:top w:val="single" w:sz="4" w:space="0" w:color="000000"/>
              <w:bottom w:val="single" w:sz="4" w:space="0" w:color="000000"/>
            </w:tcBorders>
            <w:hideMark/>
          </w:tcPr>
          <w:p w14:paraId="29723CE1" w14:textId="77777777" w:rsidR="006959EE" w:rsidRPr="009E61C9" w:rsidRDefault="006959EE" w:rsidP="00430AD9">
            <w:pPr>
              <w:rPr>
                <w:rFonts w:ascii="Garamond" w:hAnsi="Garamond"/>
                <w:sz w:val="22"/>
                <w:szCs w:val="22"/>
              </w:rPr>
            </w:pPr>
          </w:p>
        </w:tc>
        <w:tc>
          <w:tcPr>
            <w:tcW w:w="1417" w:type="dxa"/>
            <w:tcBorders>
              <w:bottom w:val="single" w:sz="4" w:space="0" w:color="000000"/>
            </w:tcBorders>
            <w:shd w:val="clear" w:color="auto" w:fill="auto"/>
            <w:tcMar>
              <w:top w:w="12" w:type="dxa"/>
              <w:left w:w="12" w:type="dxa"/>
              <w:bottom w:w="0" w:type="dxa"/>
              <w:right w:w="12" w:type="dxa"/>
            </w:tcMar>
            <w:vAlign w:val="center"/>
            <w:hideMark/>
          </w:tcPr>
          <w:p w14:paraId="1E964BD3" w14:textId="77777777" w:rsidR="006959EE" w:rsidRPr="009E61C9" w:rsidRDefault="006959EE" w:rsidP="00430AD9">
            <w:pPr>
              <w:rPr>
                <w:rFonts w:ascii="Garamond" w:hAnsi="Garamond"/>
                <w:sz w:val="22"/>
                <w:szCs w:val="22"/>
              </w:rPr>
            </w:pPr>
            <w:r w:rsidRPr="009E61C9">
              <w:rPr>
                <w:rFonts w:ascii="Garamond" w:hAnsi="Garamond"/>
                <w:iCs/>
                <w:sz w:val="22"/>
                <w:szCs w:val="22"/>
              </w:rPr>
              <w:t>Tchéquie</w:t>
            </w:r>
          </w:p>
        </w:tc>
        <w:tc>
          <w:tcPr>
            <w:tcW w:w="851" w:type="dxa"/>
            <w:tcBorders>
              <w:bottom w:val="single" w:sz="4" w:space="0" w:color="auto"/>
            </w:tcBorders>
            <w:shd w:val="clear" w:color="auto" w:fill="auto"/>
            <w:tcMar>
              <w:top w:w="12" w:type="dxa"/>
              <w:left w:w="12" w:type="dxa"/>
              <w:bottom w:w="0" w:type="dxa"/>
              <w:right w:w="12" w:type="dxa"/>
            </w:tcMar>
            <w:vAlign w:val="center"/>
            <w:hideMark/>
          </w:tcPr>
          <w:p w14:paraId="06E79E18" w14:textId="77777777" w:rsidR="006959EE" w:rsidRPr="009E61C9" w:rsidRDefault="006959EE" w:rsidP="00430AD9">
            <w:pPr>
              <w:jc w:val="center"/>
              <w:rPr>
                <w:rFonts w:ascii="Garamond" w:hAnsi="Garamond"/>
                <w:sz w:val="22"/>
                <w:szCs w:val="22"/>
              </w:rPr>
            </w:pPr>
            <w:r w:rsidRPr="009E61C9">
              <w:rPr>
                <w:rFonts w:ascii="Garamond" w:hAnsi="Garamond"/>
                <w:sz w:val="22"/>
                <w:szCs w:val="22"/>
              </w:rPr>
              <w:t>27,7</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7EA8BA49" w14:textId="6247C8CB"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4,9</w:t>
            </w:r>
          </w:p>
        </w:tc>
        <w:tc>
          <w:tcPr>
            <w:tcW w:w="851" w:type="dxa"/>
            <w:tcBorders>
              <w:bottom w:val="single" w:sz="4" w:space="0" w:color="auto"/>
            </w:tcBorders>
            <w:shd w:val="clear" w:color="auto" w:fill="auto"/>
            <w:tcMar>
              <w:top w:w="12" w:type="dxa"/>
              <w:left w:w="12" w:type="dxa"/>
              <w:bottom w:w="0" w:type="dxa"/>
              <w:right w:w="12" w:type="dxa"/>
            </w:tcMar>
            <w:vAlign w:val="center"/>
            <w:hideMark/>
          </w:tcPr>
          <w:p w14:paraId="29FF6BDF" w14:textId="499008F9"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1,6</w:t>
            </w:r>
          </w:p>
        </w:tc>
        <w:tc>
          <w:tcPr>
            <w:tcW w:w="850" w:type="dxa"/>
            <w:tcBorders>
              <w:bottom w:val="single" w:sz="4" w:space="0" w:color="000000"/>
            </w:tcBorders>
            <w:shd w:val="clear" w:color="auto" w:fill="auto"/>
            <w:tcMar>
              <w:top w:w="12" w:type="dxa"/>
              <w:left w:w="12" w:type="dxa"/>
              <w:bottom w:w="0" w:type="dxa"/>
              <w:right w:w="12" w:type="dxa"/>
            </w:tcMar>
            <w:vAlign w:val="center"/>
            <w:hideMark/>
          </w:tcPr>
          <w:p w14:paraId="46DA0C79" w14:textId="7C135BBB"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5,0</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361D5C38" w14:textId="77777777" w:rsidR="006959EE" w:rsidRPr="009E61C9" w:rsidRDefault="006959EE" w:rsidP="00430AD9">
            <w:pPr>
              <w:jc w:val="center"/>
              <w:rPr>
                <w:rFonts w:ascii="Garamond" w:hAnsi="Garamond"/>
                <w:sz w:val="22"/>
                <w:szCs w:val="22"/>
              </w:rPr>
            </w:pPr>
            <w:r w:rsidRPr="009E61C9">
              <w:rPr>
                <w:rFonts w:ascii="Garamond" w:hAnsi="Garamond"/>
                <w:sz w:val="22"/>
                <w:szCs w:val="22"/>
              </w:rPr>
              <w:t>32,8</w:t>
            </w:r>
          </w:p>
        </w:tc>
        <w:tc>
          <w:tcPr>
            <w:tcW w:w="850" w:type="dxa"/>
            <w:tcBorders>
              <w:bottom w:val="single" w:sz="4" w:space="0" w:color="auto"/>
            </w:tcBorders>
            <w:shd w:val="clear" w:color="auto" w:fill="auto"/>
            <w:tcMar>
              <w:top w:w="12" w:type="dxa"/>
              <w:left w:w="12" w:type="dxa"/>
              <w:bottom w:w="0" w:type="dxa"/>
              <w:right w:w="12" w:type="dxa"/>
            </w:tcMar>
            <w:vAlign w:val="center"/>
            <w:hideMark/>
          </w:tcPr>
          <w:p w14:paraId="1F679727" w14:textId="28110A8D"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6,6</w:t>
            </w:r>
          </w:p>
        </w:tc>
        <w:tc>
          <w:tcPr>
            <w:tcW w:w="851" w:type="dxa"/>
            <w:tcBorders>
              <w:bottom w:val="single" w:sz="4" w:space="0" w:color="000000"/>
            </w:tcBorders>
            <w:shd w:val="clear" w:color="auto" w:fill="auto"/>
            <w:tcMar>
              <w:top w:w="12" w:type="dxa"/>
              <w:left w:w="12" w:type="dxa"/>
              <w:bottom w:w="0" w:type="dxa"/>
              <w:right w:w="12" w:type="dxa"/>
            </w:tcMar>
            <w:vAlign w:val="center"/>
            <w:hideMark/>
          </w:tcPr>
          <w:p w14:paraId="641E7F98" w14:textId="017A9FD8"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2,4</w:t>
            </w:r>
          </w:p>
        </w:tc>
        <w:tc>
          <w:tcPr>
            <w:tcW w:w="992" w:type="dxa"/>
            <w:tcBorders>
              <w:bottom w:val="single" w:sz="4" w:space="0" w:color="auto"/>
            </w:tcBorders>
            <w:shd w:val="clear" w:color="auto" w:fill="auto"/>
            <w:tcMar>
              <w:top w:w="12" w:type="dxa"/>
              <w:left w:w="12" w:type="dxa"/>
              <w:bottom w:w="0" w:type="dxa"/>
              <w:right w:w="12" w:type="dxa"/>
            </w:tcMar>
            <w:vAlign w:val="center"/>
            <w:hideMark/>
          </w:tcPr>
          <w:p w14:paraId="0111CE8D" w14:textId="79985DED" w:rsidR="006959EE" w:rsidRPr="009E61C9" w:rsidRDefault="001F6EF4" w:rsidP="00430AD9">
            <w:pPr>
              <w:jc w:val="center"/>
              <w:rPr>
                <w:rFonts w:ascii="Garamond" w:hAnsi="Garamond"/>
                <w:sz w:val="22"/>
                <w:szCs w:val="22"/>
              </w:rPr>
            </w:pPr>
            <w:r>
              <w:rPr>
                <w:rFonts w:ascii="Garamond" w:hAnsi="Garamond"/>
                <w:sz w:val="22"/>
                <w:szCs w:val="22"/>
              </w:rPr>
              <w:t>–</w:t>
            </w:r>
            <w:r w:rsidR="006959EE" w:rsidRPr="009E61C9">
              <w:rPr>
                <w:rFonts w:ascii="Garamond" w:hAnsi="Garamond"/>
                <w:sz w:val="22"/>
                <w:szCs w:val="22"/>
              </w:rPr>
              <w:t>7,7</w:t>
            </w:r>
          </w:p>
        </w:tc>
      </w:tr>
    </w:tbl>
    <w:p w14:paraId="786D48B8" w14:textId="7E301533" w:rsidR="001F6EF4" w:rsidRDefault="001F6EF4" w:rsidP="001F6EF4">
      <w:pPr>
        <w:jc w:val="both"/>
        <w:rPr>
          <w:rFonts w:ascii="Garamond" w:hAnsi="Garamond"/>
          <w:bCs/>
          <w:sz w:val="22"/>
          <w:szCs w:val="22"/>
          <w:shd w:val="clear" w:color="auto" w:fill="FFFFFF"/>
        </w:rPr>
      </w:pPr>
      <w:r>
        <w:rPr>
          <w:rFonts w:ascii="Garamond" w:hAnsi="Garamond"/>
          <w:bCs/>
          <w:sz w:val="22"/>
          <w:szCs w:val="22"/>
          <w:shd w:val="clear" w:color="auto" w:fill="FFFFFF"/>
        </w:rPr>
        <w:t xml:space="preserve">Source : </w:t>
      </w:r>
      <w:r w:rsidR="00CD0302" w:rsidRPr="00CD0302">
        <w:rPr>
          <w:rFonts w:ascii="Garamond" w:hAnsi="Garamond"/>
          <w:bCs/>
          <w:sz w:val="22"/>
          <w:szCs w:val="22"/>
          <w:shd w:val="clear" w:color="auto" w:fill="FFFFFF"/>
        </w:rPr>
        <w:t>HDM et SHARE vagues 3 à 7, 2011 à 2017.</w:t>
      </w:r>
    </w:p>
    <w:p w14:paraId="78E396E0" w14:textId="77777777" w:rsidR="006959EE" w:rsidRPr="009E61C9" w:rsidRDefault="006959EE" w:rsidP="009E61C9">
      <w:pPr>
        <w:jc w:val="both"/>
        <w:rPr>
          <w:rFonts w:ascii="Garamond" w:hAnsi="Garamond"/>
          <w:sz w:val="22"/>
          <w:szCs w:val="22"/>
        </w:rPr>
      </w:pPr>
    </w:p>
    <w:p w14:paraId="2A6B5D73" w14:textId="13A6F2F8" w:rsidR="009E61C9" w:rsidRDefault="009E61C9" w:rsidP="009E61C9">
      <w:pPr>
        <w:jc w:val="both"/>
        <w:rPr>
          <w:rFonts w:ascii="Garamond" w:hAnsi="Garamond"/>
          <w:sz w:val="22"/>
          <w:szCs w:val="22"/>
        </w:rPr>
      </w:pPr>
      <w:r w:rsidRPr="009E61C9">
        <w:rPr>
          <w:rFonts w:ascii="Garamond" w:hAnsi="Garamond"/>
          <w:sz w:val="22"/>
          <w:szCs w:val="22"/>
        </w:rPr>
        <w:t xml:space="preserve">Les résultats rapportés </w:t>
      </w:r>
      <w:r w:rsidR="001B3412">
        <w:rPr>
          <w:rFonts w:ascii="Garamond" w:hAnsi="Garamond"/>
          <w:sz w:val="22"/>
          <w:szCs w:val="22"/>
        </w:rPr>
        <w:t>dans le</w:t>
      </w:r>
      <w:r w:rsidRPr="009E61C9">
        <w:rPr>
          <w:rFonts w:ascii="Garamond" w:hAnsi="Garamond"/>
          <w:sz w:val="22"/>
          <w:szCs w:val="22"/>
        </w:rPr>
        <w:t xml:space="preserve"> </w:t>
      </w:r>
      <w:r w:rsidR="00732993">
        <w:rPr>
          <w:rFonts w:ascii="Garamond" w:hAnsi="Garamond"/>
          <w:sz w:val="22"/>
          <w:szCs w:val="22"/>
        </w:rPr>
        <w:t>t</w:t>
      </w:r>
      <w:r w:rsidRPr="009E61C9">
        <w:rPr>
          <w:rFonts w:ascii="Garamond" w:hAnsi="Garamond"/>
          <w:sz w:val="22"/>
          <w:szCs w:val="22"/>
        </w:rPr>
        <w:t>ableau 2</w:t>
      </w:r>
      <w:r w:rsidR="00732993">
        <w:rPr>
          <w:rFonts w:ascii="Garamond" w:hAnsi="Garamond"/>
          <w:sz w:val="22"/>
          <w:szCs w:val="22"/>
        </w:rPr>
        <w:t xml:space="preserve"> (</w:t>
      </w:r>
      <w:r w:rsidR="00732993">
        <w:rPr>
          <w:rFonts w:ascii="Garamond" w:hAnsi="Garamond"/>
          <w:i/>
          <w:iCs/>
          <w:sz w:val="22"/>
          <w:szCs w:val="22"/>
        </w:rPr>
        <w:t>supra</w:t>
      </w:r>
      <w:r w:rsidR="00732993">
        <w:rPr>
          <w:rFonts w:ascii="Garamond" w:hAnsi="Garamond"/>
          <w:sz w:val="22"/>
          <w:szCs w:val="22"/>
        </w:rPr>
        <w:t>)</w:t>
      </w:r>
      <w:r w:rsidRPr="009E61C9">
        <w:rPr>
          <w:rFonts w:ascii="Garamond" w:hAnsi="Garamond"/>
          <w:sz w:val="22"/>
          <w:szCs w:val="22"/>
        </w:rPr>
        <w:t xml:space="preserve"> confirment pour tous les pays sans exception un résultat déjà observé dans la littérature, le fait que chez les femmes la période de la vie vécue en situation de handicap (GALI), de dépendance (ADL) ou de moindre</w:t>
      </w:r>
      <w:r w:rsidR="00732993">
        <w:rPr>
          <w:rFonts w:ascii="Garamond" w:hAnsi="Garamond"/>
          <w:sz w:val="22"/>
          <w:szCs w:val="22"/>
        </w:rPr>
        <w:t>s</w:t>
      </w:r>
      <w:r w:rsidRPr="009E61C9">
        <w:rPr>
          <w:rFonts w:ascii="Garamond" w:hAnsi="Garamond"/>
          <w:sz w:val="22"/>
          <w:szCs w:val="22"/>
        </w:rPr>
        <w:t xml:space="preserve"> qualité</w:t>
      </w:r>
      <w:r w:rsidR="00732993">
        <w:rPr>
          <w:rFonts w:ascii="Garamond" w:hAnsi="Garamond"/>
          <w:sz w:val="22"/>
          <w:szCs w:val="22"/>
        </w:rPr>
        <w:t>s</w:t>
      </w:r>
      <w:r w:rsidRPr="009E61C9">
        <w:rPr>
          <w:rFonts w:ascii="Garamond" w:hAnsi="Garamond"/>
          <w:sz w:val="22"/>
          <w:szCs w:val="22"/>
        </w:rPr>
        <w:t xml:space="preserve"> de vie (CASP) est plus longue en moyenne que celle qu’auront vécue les hommes. C’est d’ailleurs chez les femmes qu</w:t>
      </w:r>
      <w:r w:rsidR="00732993">
        <w:rPr>
          <w:rFonts w:ascii="Garamond" w:hAnsi="Garamond"/>
          <w:sz w:val="22"/>
          <w:szCs w:val="22"/>
        </w:rPr>
        <w:t>e l</w:t>
      </w:r>
      <w:r w:rsidRPr="009E61C9">
        <w:rPr>
          <w:rFonts w:ascii="Garamond" w:hAnsi="Garamond"/>
          <w:sz w:val="22"/>
          <w:szCs w:val="22"/>
        </w:rPr>
        <w:t xml:space="preserve">’on observe une variabilité plus grande de ces durées en fonction des pays. À titre d’exemple, l’EVBS fondée sur l’indicateur ADL varie de </w:t>
      </w:r>
      <w:r w:rsidR="00732993">
        <w:rPr>
          <w:rFonts w:ascii="Garamond" w:hAnsi="Garamond"/>
          <w:sz w:val="22"/>
          <w:szCs w:val="22"/>
        </w:rPr>
        <w:t>–</w:t>
      </w:r>
      <w:r w:rsidRPr="009E61C9">
        <w:rPr>
          <w:rFonts w:ascii="Garamond" w:hAnsi="Garamond"/>
          <w:sz w:val="22"/>
          <w:szCs w:val="22"/>
        </w:rPr>
        <w:t xml:space="preserve">1,2 année de vie (Suisse) à </w:t>
      </w:r>
      <w:r w:rsidR="00732993">
        <w:rPr>
          <w:rFonts w:ascii="Garamond" w:hAnsi="Garamond"/>
          <w:sz w:val="22"/>
          <w:szCs w:val="22"/>
        </w:rPr>
        <w:t>–</w:t>
      </w:r>
      <w:r w:rsidRPr="009E61C9">
        <w:rPr>
          <w:rFonts w:ascii="Garamond" w:hAnsi="Garamond"/>
          <w:sz w:val="22"/>
          <w:szCs w:val="22"/>
        </w:rPr>
        <w:t xml:space="preserve">7,4 années de vie (Portugal). On observe aussi que de manière générale, le gradient Nord-Centre/Sud-Est se confirme, à l’exception de l’EVBS basée sur ADL dans le cas des hommes. Mais on notera au passage que c’est dans les pays d’Europe </w:t>
      </w:r>
      <w:r w:rsidR="004824BE" w:rsidRPr="009E61C9">
        <w:rPr>
          <w:rFonts w:ascii="Garamond" w:hAnsi="Garamond"/>
          <w:sz w:val="22"/>
          <w:szCs w:val="22"/>
        </w:rPr>
        <w:t>de l’Est</w:t>
      </w:r>
      <w:r w:rsidR="004824BE">
        <w:rPr>
          <w:rFonts w:ascii="Garamond" w:hAnsi="Garamond"/>
          <w:sz w:val="22"/>
          <w:szCs w:val="22"/>
        </w:rPr>
        <w:t xml:space="preserve"> </w:t>
      </w:r>
      <w:r w:rsidRPr="009E61C9">
        <w:rPr>
          <w:rFonts w:ascii="Garamond" w:hAnsi="Garamond"/>
          <w:sz w:val="22"/>
          <w:szCs w:val="22"/>
        </w:rPr>
        <w:t>que l’espérance de vie à 50 ans parmi les hommes est plus faible qu’ailleurs, en particulier en Estonie et en Pologne, 25,7</w:t>
      </w:r>
      <w:r w:rsidR="002119FC">
        <w:rPr>
          <w:rFonts w:ascii="Garamond" w:hAnsi="Garamond"/>
          <w:sz w:val="22"/>
          <w:szCs w:val="22"/>
        </w:rPr>
        <w:t xml:space="preserve"> ans</w:t>
      </w:r>
      <w:r w:rsidRPr="009E61C9">
        <w:rPr>
          <w:rFonts w:ascii="Garamond" w:hAnsi="Garamond"/>
          <w:sz w:val="22"/>
          <w:szCs w:val="22"/>
        </w:rPr>
        <w:t xml:space="preserve"> et 26,5 ans, respectivement</w:t>
      </w:r>
      <w:r w:rsidRPr="009E61C9">
        <w:rPr>
          <w:rStyle w:val="Appeldenotedefin"/>
          <w:rFonts w:ascii="Garamond" w:hAnsi="Garamond"/>
          <w:sz w:val="22"/>
          <w:szCs w:val="22"/>
        </w:rPr>
        <w:endnoteReference w:id="14"/>
      </w:r>
      <w:r w:rsidR="002119FC">
        <w:rPr>
          <w:rFonts w:ascii="Garamond" w:hAnsi="Garamond"/>
          <w:sz w:val="22"/>
          <w:szCs w:val="22"/>
        </w:rPr>
        <w:t>.</w:t>
      </w:r>
      <w:r w:rsidRPr="009E61C9">
        <w:rPr>
          <w:rFonts w:ascii="Garamond" w:hAnsi="Garamond"/>
          <w:sz w:val="22"/>
          <w:szCs w:val="22"/>
        </w:rPr>
        <w:t xml:space="preserve"> Sur base de ce tableau, nous pouvons également souligner les cas où les différences en EVBS pourraient dépasser, plus que compenser, la différence en espérance de vie en faveur des femmes. Cela ne se produit en aucun cas pour l’EVBS calculée sur base de l</w:t>
      </w:r>
      <w:r w:rsidR="002119FC">
        <w:rPr>
          <w:rFonts w:ascii="Garamond" w:hAnsi="Garamond"/>
          <w:sz w:val="22"/>
          <w:szCs w:val="22"/>
        </w:rPr>
        <w:t>’</w:t>
      </w:r>
      <w:r w:rsidRPr="009E61C9">
        <w:rPr>
          <w:rFonts w:ascii="Garamond" w:hAnsi="Garamond"/>
          <w:sz w:val="22"/>
          <w:szCs w:val="22"/>
        </w:rPr>
        <w:t xml:space="preserve">indicateur ADL. Néanmoins, dans le cas du Portugal, la perte relative entre femmes et hommes de </w:t>
      </w:r>
      <w:r w:rsidR="002119FC">
        <w:rPr>
          <w:rFonts w:ascii="Garamond" w:hAnsi="Garamond"/>
          <w:sz w:val="22"/>
          <w:szCs w:val="22"/>
        </w:rPr>
        <w:t>–</w:t>
      </w:r>
      <w:r w:rsidRPr="009E61C9">
        <w:rPr>
          <w:rFonts w:ascii="Garamond" w:hAnsi="Garamond"/>
          <w:sz w:val="22"/>
          <w:szCs w:val="22"/>
        </w:rPr>
        <w:t>5,0 années de vie en bonne santé correspond de très près au différentiel des espérances de vie (+5,3) en faveur des femmes. Étant donné que par construction</w:t>
      </w:r>
      <w:r w:rsidR="00CD42F7">
        <w:rPr>
          <w:rFonts w:ascii="Garamond" w:hAnsi="Garamond"/>
          <w:sz w:val="22"/>
          <w:szCs w:val="22"/>
        </w:rPr>
        <w:t>,</w:t>
      </w:r>
      <w:r w:rsidRPr="009E61C9">
        <w:rPr>
          <w:rFonts w:ascii="Garamond" w:hAnsi="Garamond"/>
          <w:sz w:val="22"/>
          <w:szCs w:val="22"/>
        </w:rPr>
        <w:t xml:space="preserve"> les taux de prévalence des indicateurs GALI et CASP sont plus élevés que ceux des ADL, ce type de dépassement arrive plus fréquemment. C’est le cas pour CASP</w:t>
      </w:r>
      <w:r w:rsidR="002119FC">
        <w:rPr>
          <w:rFonts w:ascii="Garamond" w:hAnsi="Garamond"/>
          <w:sz w:val="22"/>
          <w:szCs w:val="22"/>
        </w:rPr>
        <w:t>,</w:t>
      </w:r>
      <w:r w:rsidRPr="009E61C9">
        <w:rPr>
          <w:rFonts w:ascii="Garamond" w:hAnsi="Garamond"/>
          <w:sz w:val="22"/>
          <w:szCs w:val="22"/>
        </w:rPr>
        <w:t xml:space="preserve"> mais uniquement pour les pays d’Europe </w:t>
      </w:r>
      <w:r w:rsidR="004824BE" w:rsidRPr="009E61C9">
        <w:rPr>
          <w:rFonts w:ascii="Garamond" w:hAnsi="Garamond"/>
          <w:sz w:val="22"/>
          <w:szCs w:val="22"/>
        </w:rPr>
        <w:t xml:space="preserve">du Sud </w:t>
      </w:r>
      <w:r w:rsidRPr="009E61C9">
        <w:rPr>
          <w:rFonts w:ascii="Garamond" w:hAnsi="Garamond"/>
          <w:sz w:val="22"/>
          <w:szCs w:val="22"/>
        </w:rPr>
        <w:t>et, fait remarquable, celui des Pays-Bas pour le GALI.</w:t>
      </w:r>
    </w:p>
    <w:p w14:paraId="68AD2A5E" w14:textId="08F5E1CE" w:rsidR="009E61C9" w:rsidRDefault="009E61C9" w:rsidP="009E61C9">
      <w:pPr>
        <w:jc w:val="both"/>
        <w:rPr>
          <w:rFonts w:ascii="Garamond" w:hAnsi="Garamond"/>
          <w:sz w:val="22"/>
          <w:szCs w:val="22"/>
        </w:rPr>
      </w:pPr>
      <w:r w:rsidRPr="009E61C9">
        <w:rPr>
          <w:rFonts w:ascii="Garamond" w:hAnsi="Garamond"/>
          <w:sz w:val="22"/>
          <w:szCs w:val="22"/>
        </w:rPr>
        <w:t xml:space="preserve">Au-delà des écarts en termes d’espérance de vie observés entre </w:t>
      </w:r>
      <w:r w:rsidR="00CD42F7">
        <w:rPr>
          <w:rFonts w:ascii="Garamond" w:hAnsi="Garamond"/>
          <w:sz w:val="22"/>
          <w:szCs w:val="22"/>
        </w:rPr>
        <w:t xml:space="preserve">les </w:t>
      </w:r>
      <w:r w:rsidRPr="009E61C9">
        <w:rPr>
          <w:rFonts w:ascii="Garamond" w:hAnsi="Garamond"/>
          <w:sz w:val="22"/>
          <w:szCs w:val="22"/>
        </w:rPr>
        <w:t>femmes et</w:t>
      </w:r>
      <w:r w:rsidR="00CD42F7">
        <w:rPr>
          <w:rFonts w:ascii="Garamond" w:hAnsi="Garamond"/>
          <w:sz w:val="22"/>
          <w:szCs w:val="22"/>
        </w:rPr>
        <w:t xml:space="preserve"> les</w:t>
      </w:r>
      <w:r w:rsidRPr="009E61C9">
        <w:rPr>
          <w:rFonts w:ascii="Garamond" w:hAnsi="Garamond"/>
          <w:sz w:val="22"/>
          <w:szCs w:val="22"/>
        </w:rPr>
        <w:t xml:space="preserve"> hommes, des écarts encore plus importants sont observés quand la distinction est faite par catégories sociales. C’est le niveau d’éducation qui est choisi très souvent comme indicateur</w:t>
      </w:r>
      <w:r w:rsidR="00CD42F7">
        <w:rPr>
          <w:rFonts w:ascii="Garamond" w:hAnsi="Garamond"/>
          <w:sz w:val="22"/>
          <w:szCs w:val="22"/>
        </w:rPr>
        <w:t>,</w:t>
      </w:r>
      <w:r w:rsidRPr="009E61C9">
        <w:rPr>
          <w:rFonts w:ascii="Garamond" w:hAnsi="Garamond"/>
          <w:sz w:val="22"/>
          <w:szCs w:val="22"/>
        </w:rPr>
        <w:t xml:space="preserve"> étant donné qu’il s’agit d’une caractéristique personnelle relativement stable une fois atteint l’âge adulte et d’une information disponible au travers des registres de population ou bien à l’occasion des recensements. C’est le cas, par exemple, d’une étude réalisée par Deboosere </w:t>
      </w:r>
      <w:r w:rsidRPr="00CD42F7">
        <w:rPr>
          <w:rFonts w:ascii="Garamond" w:hAnsi="Garamond"/>
          <w:i/>
          <w:iCs/>
          <w:sz w:val="22"/>
          <w:szCs w:val="22"/>
        </w:rPr>
        <w:t>et al</w:t>
      </w:r>
      <w:r w:rsidRPr="009E61C9">
        <w:rPr>
          <w:rFonts w:ascii="Garamond" w:hAnsi="Garamond"/>
          <w:sz w:val="22"/>
          <w:szCs w:val="22"/>
        </w:rPr>
        <w:t xml:space="preserve">. (2009) pour la Belgique, qui a montré l’existence d’un écart de 8,0 </w:t>
      </w:r>
      <w:r w:rsidR="006959EE">
        <w:rPr>
          <w:rFonts w:ascii="Garamond" w:hAnsi="Garamond"/>
          <w:sz w:val="22"/>
          <w:szCs w:val="22"/>
        </w:rPr>
        <w:t xml:space="preserve">années </w:t>
      </w:r>
      <w:r w:rsidR="006959EE" w:rsidRPr="009E61C9">
        <w:rPr>
          <w:rFonts w:ascii="Garamond" w:hAnsi="Garamond"/>
          <w:sz w:val="22"/>
          <w:szCs w:val="22"/>
        </w:rPr>
        <w:t xml:space="preserve">chez les hommes </w:t>
      </w:r>
      <w:r w:rsidRPr="009E61C9">
        <w:rPr>
          <w:rFonts w:ascii="Garamond" w:hAnsi="Garamond"/>
          <w:sz w:val="22"/>
          <w:szCs w:val="22"/>
        </w:rPr>
        <w:t xml:space="preserve">et 3,7 années </w:t>
      </w:r>
      <w:r w:rsidR="006959EE">
        <w:rPr>
          <w:rFonts w:ascii="Garamond" w:hAnsi="Garamond"/>
          <w:sz w:val="22"/>
          <w:szCs w:val="22"/>
        </w:rPr>
        <w:t>chez</w:t>
      </w:r>
      <w:r w:rsidRPr="009E61C9">
        <w:rPr>
          <w:rFonts w:ascii="Garamond" w:hAnsi="Garamond"/>
          <w:sz w:val="22"/>
          <w:szCs w:val="22"/>
        </w:rPr>
        <w:t xml:space="preserve"> les femmes, en comparant les espérances de vie des personnes ayant un diplôme de l’enseignement supérieur et celles n’ayant pas terminé leurs études de base (école primaire). On ne dispose pas des données démographiques complètes et comparables par niveau d’éducation pour les pays participant à SHARE. C’est la raison pour laquelle nous avons choisi, comme illustration, le cas du Danemark, pays pour lequel des tables de population et de décès par âge, sexe et niveau d’éducation sont accessibles via Eurostat</w:t>
      </w:r>
      <w:r w:rsidRPr="009E61C9">
        <w:rPr>
          <w:rStyle w:val="Appeldenotedefin"/>
          <w:rFonts w:ascii="Garamond" w:hAnsi="Garamond"/>
          <w:sz w:val="22"/>
          <w:szCs w:val="22"/>
        </w:rPr>
        <w:endnoteReference w:id="15"/>
      </w:r>
      <w:r w:rsidRPr="009E61C9">
        <w:rPr>
          <w:rFonts w:ascii="Garamond" w:hAnsi="Garamond"/>
          <w:sz w:val="22"/>
          <w:szCs w:val="22"/>
        </w:rPr>
        <w:t xml:space="preserve">. C’est à partir de ces informations et des taux de prévalence estimés pour ces mêmes catégories, en utilisant les données collectées dans le cadre de SHARE, que nous avons pu estimer les espérances de vie et les EVBS présentées </w:t>
      </w:r>
      <w:r w:rsidR="006959EE">
        <w:rPr>
          <w:rFonts w:ascii="Garamond" w:hAnsi="Garamond"/>
          <w:sz w:val="22"/>
          <w:szCs w:val="22"/>
        </w:rPr>
        <w:t>dans le t</w:t>
      </w:r>
      <w:r w:rsidRPr="009E61C9">
        <w:rPr>
          <w:rFonts w:ascii="Garamond" w:hAnsi="Garamond"/>
          <w:sz w:val="22"/>
          <w:szCs w:val="22"/>
        </w:rPr>
        <w:t>ableau 3</w:t>
      </w:r>
      <w:r w:rsidR="006959EE">
        <w:rPr>
          <w:rFonts w:ascii="Garamond" w:hAnsi="Garamond"/>
          <w:sz w:val="22"/>
          <w:szCs w:val="22"/>
        </w:rPr>
        <w:t xml:space="preserve"> (</w:t>
      </w:r>
      <w:r w:rsidR="006959EE">
        <w:rPr>
          <w:rFonts w:ascii="Garamond" w:hAnsi="Garamond"/>
          <w:i/>
          <w:iCs/>
          <w:sz w:val="22"/>
          <w:szCs w:val="22"/>
        </w:rPr>
        <w:t>infra</w:t>
      </w:r>
      <w:r w:rsidR="006959EE">
        <w:rPr>
          <w:rFonts w:ascii="Garamond" w:hAnsi="Garamond"/>
          <w:sz w:val="22"/>
          <w:szCs w:val="22"/>
        </w:rPr>
        <w:t>)</w:t>
      </w:r>
      <w:r w:rsidRPr="009E61C9">
        <w:rPr>
          <w:rFonts w:ascii="Garamond" w:hAnsi="Garamond"/>
          <w:sz w:val="22"/>
          <w:szCs w:val="22"/>
        </w:rPr>
        <w:t>.</w:t>
      </w:r>
    </w:p>
    <w:p w14:paraId="7B14EE05" w14:textId="77777777" w:rsidR="00A85421" w:rsidRDefault="00A85421" w:rsidP="001B3412">
      <w:pPr>
        <w:ind w:right="1672"/>
        <w:jc w:val="center"/>
        <w:rPr>
          <w:rFonts w:ascii="Garamond" w:hAnsi="Garamond"/>
          <w:b/>
          <w:sz w:val="22"/>
          <w:szCs w:val="22"/>
        </w:rPr>
      </w:pPr>
    </w:p>
    <w:p w14:paraId="20273520" w14:textId="09ED990B" w:rsidR="001B3412" w:rsidRPr="00A85421" w:rsidRDefault="001B3412" w:rsidP="001B3412">
      <w:pPr>
        <w:ind w:right="1672"/>
        <w:jc w:val="center"/>
        <w:rPr>
          <w:rFonts w:ascii="Garamond" w:hAnsi="Garamond"/>
          <w:b/>
          <w:sz w:val="22"/>
          <w:szCs w:val="22"/>
        </w:rPr>
      </w:pPr>
      <w:r w:rsidRPr="00A85421">
        <w:rPr>
          <w:rFonts w:ascii="Garamond" w:hAnsi="Garamond"/>
          <w:b/>
          <w:sz w:val="22"/>
          <w:szCs w:val="22"/>
        </w:rPr>
        <w:t>Tableau 3</w:t>
      </w:r>
    </w:p>
    <w:p w14:paraId="1B957896" w14:textId="1B2DD83B" w:rsidR="001B3412" w:rsidRPr="00A85421" w:rsidRDefault="001B3412" w:rsidP="001B3412">
      <w:pPr>
        <w:ind w:right="1672"/>
        <w:jc w:val="center"/>
        <w:rPr>
          <w:rFonts w:ascii="Garamond" w:hAnsi="Garamond"/>
          <w:b/>
          <w:sz w:val="22"/>
          <w:szCs w:val="22"/>
        </w:rPr>
      </w:pPr>
      <w:commentRangeStart w:id="5"/>
      <w:r w:rsidRPr="00A85421">
        <w:rPr>
          <w:rFonts w:ascii="Garamond" w:hAnsi="Garamond"/>
          <w:b/>
          <w:sz w:val="22"/>
          <w:szCs w:val="22"/>
        </w:rPr>
        <w:t>Taux de prévalence, espérance de vie et années de vie en moins bonne santé par niveau d’éducation : Danemark (50 à 80 ans)</w:t>
      </w:r>
      <w:commentRangeEnd w:id="5"/>
      <w:r w:rsidR="00E64390">
        <w:rPr>
          <w:rStyle w:val="Marquedecommentaire"/>
          <w:rFonts w:asciiTheme="minorHAnsi" w:eastAsiaTheme="minorEastAsia" w:hAnsiTheme="minorHAnsi" w:cstheme="minorBidi"/>
          <w:kern w:val="2"/>
          <w14:ligatures w14:val="standardContextual"/>
        </w:rPr>
        <w:commentReference w:id="5"/>
      </w:r>
    </w:p>
    <w:tbl>
      <w:tblPr>
        <w:tblpPr w:leftFromText="141" w:rightFromText="141" w:vertAnchor="text" w:horzAnchor="margin" w:tblpY="92"/>
        <w:tblW w:w="8195" w:type="dxa"/>
        <w:tblCellMar>
          <w:left w:w="70" w:type="dxa"/>
          <w:right w:w="70" w:type="dxa"/>
        </w:tblCellMar>
        <w:tblLook w:val="04A0" w:firstRow="1" w:lastRow="0" w:firstColumn="1" w:lastColumn="0" w:noHBand="0" w:noVBand="1"/>
      </w:tblPr>
      <w:tblGrid>
        <w:gridCol w:w="1168"/>
        <w:gridCol w:w="1034"/>
        <w:gridCol w:w="830"/>
        <w:gridCol w:w="808"/>
        <w:gridCol w:w="842"/>
        <w:gridCol w:w="1034"/>
        <w:gridCol w:w="830"/>
        <w:gridCol w:w="808"/>
        <w:gridCol w:w="841"/>
      </w:tblGrid>
      <w:tr w:rsidR="001B3412" w:rsidRPr="009E61C9" w14:paraId="45DD3C5B" w14:textId="77777777" w:rsidTr="001B3412">
        <w:trPr>
          <w:trHeight w:val="263"/>
        </w:trPr>
        <w:tc>
          <w:tcPr>
            <w:tcW w:w="1168" w:type="dxa"/>
            <w:vMerge w:val="restart"/>
            <w:tcBorders>
              <w:top w:val="single" w:sz="4" w:space="0" w:color="auto"/>
              <w:bottom w:val="nil"/>
            </w:tcBorders>
            <w:shd w:val="clear" w:color="auto" w:fill="auto"/>
            <w:vAlign w:val="center"/>
            <w:hideMark/>
          </w:tcPr>
          <w:p w14:paraId="503FDEB2"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Niveau d’éducation</w:t>
            </w:r>
          </w:p>
        </w:tc>
        <w:tc>
          <w:tcPr>
            <w:tcW w:w="3514" w:type="dxa"/>
            <w:gridSpan w:val="4"/>
            <w:tcBorders>
              <w:top w:val="single" w:sz="4" w:space="0" w:color="auto"/>
              <w:bottom w:val="single" w:sz="4" w:space="0" w:color="auto"/>
            </w:tcBorders>
            <w:shd w:val="clear" w:color="auto" w:fill="auto"/>
            <w:vAlign w:val="center"/>
            <w:hideMark/>
          </w:tcPr>
          <w:p w14:paraId="3D4F2217"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Hommes</w:t>
            </w:r>
          </w:p>
        </w:tc>
        <w:tc>
          <w:tcPr>
            <w:tcW w:w="3513" w:type="dxa"/>
            <w:gridSpan w:val="4"/>
            <w:tcBorders>
              <w:top w:val="single" w:sz="4" w:space="0" w:color="auto"/>
              <w:bottom w:val="single" w:sz="4" w:space="0" w:color="auto"/>
            </w:tcBorders>
            <w:shd w:val="clear" w:color="auto" w:fill="auto"/>
            <w:vAlign w:val="center"/>
            <w:hideMark/>
          </w:tcPr>
          <w:p w14:paraId="1FDB9484"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Femmes</w:t>
            </w:r>
          </w:p>
        </w:tc>
      </w:tr>
      <w:tr w:rsidR="001B3412" w:rsidRPr="009E61C9" w14:paraId="757E906F" w14:textId="77777777" w:rsidTr="001B3412">
        <w:trPr>
          <w:trHeight w:val="494"/>
        </w:trPr>
        <w:tc>
          <w:tcPr>
            <w:tcW w:w="1168" w:type="dxa"/>
            <w:vMerge/>
            <w:tcBorders>
              <w:top w:val="single" w:sz="4" w:space="0" w:color="auto"/>
              <w:bottom w:val="nil"/>
            </w:tcBorders>
            <w:vAlign w:val="center"/>
            <w:hideMark/>
          </w:tcPr>
          <w:p w14:paraId="536155EF" w14:textId="77777777" w:rsidR="001B3412" w:rsidRPr="009E61C9" w:rsidRDefault="001B3412" w:rsidP="00430AD9">
            <w:pPr>
              <w:jc w:val="center"/>
              <w:rPr>
                <w:rFonts w:ascii="Garamond" w:hAnsi="Garamond"/>
                <w:color w:val="000000"/>
                <w:sz w:val="22"/>
                <w:szCs w:val="22"/>
                <w:lang w:eastAsia="fr-BE"/>
              </w:rPr>
            </w:pPr>
          </w:p>
        </w:tc>
        <w:tc>
          <w:tcPr>
            <w:tcW w:w="7027" w:type="dxa"/>
            <w:gridSpan w:val="8"/>
            <w:tcBorders>
              <w:top w:val="single" w:sz="4" w:space="0" w:color="auto"/>
            </w:tcBorders>
            <w:shd w:val="clear" w:color="auto" w:fill="auto"/>
            <w:vAlign w:val="center"/>
            <w:hideMark/>
          </w:tcPr>
          <w:p w14:paraId="582A9AB9" w14:textId="058F793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Taux de prévalence (</w:t>
            </w:r>
            <w:r>
              <w:rPr>
                <w:rFonts w:ascii="Garamond" w:hAnsi="Garamond"/>
                <w:bCs/>
                <w:color w:val="000000"/>
                <w:sz w:val="22"/>
                <w:szCs w:val="22"/>
                <w:lang w:eastAsia="fr-BE"/>
              </w:rPr>
              <w:t>en</w:t>
            </w:r>
            <w:r w:rsidR="00243566">
              <w:rPr>
                <w:rFonts w:ascii="Garamond" w:hAnsi="Garamond"/>
                <w:bCs/>
                <w:color w:val="000000"/>
                <w:sz w:val="22"/>
                <w:szCs w:val="22"/>
                <w:lang w:eastAsia="fr-BE"/>
              </w:rPr>
              <w:t> %</w:t>
            </w:r>
            <w:r w:rsidRPr="009E61C9">
              <w:rPr>
                <w:rFonts w:ascii="Garamond" w:hAnsi="Garamond"/>
                <w:bCs/>
                <w:color w:val="000000"/>
                <w:sz w:val="22"/>
                <w:szCs w:val="22"/>
                <w:lang w:eastAsia="fr-BE"/>
              </w:rPr>
              <w:t>)</w:t>
            </w:r>
          </w:p>
        </w:tc>
      </w:tr>
      <w:tr w:rsidR="001B3412" w:rsidRPr="009E61C9" w14:paraId="26526599" w14:textId="77777777" w:rsidTr="001B3412">
        <w:trPr>
          <w:trHeight w:val="273"/>
        </w:trPr>
        <w:tc>
          <w:tcPr>
            <w:tcW w:w="1168" w:type="dxa"/>
            <w:vMerge/>
            <w:tcBorders>
              <w:top w:val="single" w:sz="4" w:space="0" w:color="auto"/>
              <w:bottom w:val="nil"/>
            </w:tcBorders>
            <w:vAlign w:val="center"/>
            <w:hideMark/>
          </w:tcPr>
          <w:p w14:paraId="1377DB60" w14:textId="77777777" w:rsidR="001B3412" w:rsidRPr="009E61C9" w:rsidRDefault="001B3412" w:rsidP="00430AD9">
            <w:pPr>
              <w:jc w:val="center"/>
              <w:rPr>
                <w:rFonts w:ascii="Garamond" w:hAnsi="Garamond"/>
                <w:color w:val="000000"/>
                <w:sz w:val="22"/>
                <w:szCs w:val="22"/>
                <w:lang w:eastAsia="fr-BE"/>
              </w:rPr>
            </w:pPr>
          </w:p>
        </w:tc>
        <w:tc>
          <w:tcPr>
            <w:tcW w:w="1034" w:type="dxa"/>
            <w:tcBorders>
              <w:bottom w:val="single" w:sz="4" w:space="0" w:color="auto"/>
            </w:tcBorders>
            <w:shd w:val="clear" w:color="auto" w:fill="auto"/>
            <w:vAlign w:val="center"/>
            <w:hideMark/>
          </w:tcPr>
          <w:p w14:paraId="7827BED3"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w:t>
            </w:r>
          </w:p>
        </w:tc>
        <w:tc>
          <w:tcPr>
            <w:tcW w:w="830" w:type="dxa"/>
            <w:tcBorders>
              <w:bottom w:val="single" w:sz="4" w:space="0" w:color="auto"/>
            </w:tcBorders>
            <w:shd w:val="clear" w:color="auto" w:fill="auto"/>
            <w:vAlign w:val="center"/>
            <w:hideMark/>
          </w:tcPr>
          <w:p w14:paraId="27D09366"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GALI</w:t>
            </w:r>
          </w:p>
        </w:tc>
        <w:tc>
          <w:tcPr>
            <w:tcW w:w="808" w:type="dxa"/>
            <w:tcBorders>
              <w:bottom w:val="single" w:sz="4" w:space="0" w:color="auto"/>
            </w:tcBorders>
            <w:shd w:val="clear" w:color="auto" w:fill="auto"/>
            <w:vAlign w:val="center"/>
            <w:hideMark/>
          </w:tcPr>
          <w:p w14:paraId="07B37584"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ADL</w:t>
            </w:r>
          </w:p>
        </w:tc>
        <w:tc>
          <w:tcPr>
            <w:tcW w:w="842" w:type="dxa"/>
            <w:tcBorders>
              <w:bottom w:val="single" w:sz="4" w:space="0" w:color="auto"/>
            </w:tcBorders>
            <w:shd w:val="clear" w:color="auto" w:fill="auto"/>
            <w:vAlign w:val="center"/>
            <w:hideMark/>
          </w:tcPr>
          <w:p w14:paraId="0AB00B0B"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CASP</w:t>
            </w:r>
          </w:p>
        </w:tc>
        <w:tc>
          <w:tcPr>
            <w:tcW w:w="1034" w:type="dxa"/>
            <w:tcBorders>
              <w:bottom w:val="single" w:sz="4" w:space="0" w:color="auto"/>
            </w:tcBorders>
            <w:shd w:val="clear" w:color="auto" w:fill="auto"/>
            <w:vAlign w:val="center"/>
            <w:hideMark/>
          </w:tcPr>
          <w:p w14:paraId="1EA4606B"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w:t>
            </w:r>
          </w:p>
        </w:tc>
        <w:tc>
          <w:tcPr>
            <w:tcW w:w="830" w:type="dxa"/>
            <w:tcBorders>
              <w:bottom w:val="single" w:sz="4" w:space="0" w:color="auto"/>
            </w:tcBorders>
            <w:shd w:val="clear" w:color="auto" w:fill="auto"/>
            <w:vAlign w:val="center"/>
            <w:hideMark/>
          </w:tcPr>
          <w:p w14:paraId="23139DEC"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GALI</w:t>
            </w:r>
          </w:p>
        </w:tc>
        <w:tc>
          <w:tcPr>
            <w:tcW w:w="808" w:type="dxa"/>
            <w:tcBorders>
              <w:bottom w:val="single" w:sz="4" w:space="0" w:color="auto"/>
            </w:tcBorders>
            <w:shd w:val="clear" w:color="auto" w:fill="auto"/>
            <w:vAlign w:val="center"/>
            <w:hideMark/>
          </w:tcPr>
          <w:p w14:paraId="429E314A"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ADL</w:t>
            </w:r>
          </w:p>
        </w:tc>
        <w:tc>
          <w:tcPr>
            <w:tcW w:w="841" w:type="dxa"/>
            <w:tcBorders>
              <w:bottom w:val="single" w:sz="4" w:space="0" w:color="auto"/>
            </w:tcBorders>
            <w:shd w:val="clear" w:color="auto" w:fill="auto"/>
            <w:vAlign w:val="center"/>
            <w:hideMark/>
          </w:tcPr>
          <w:p w14:paraId="49D5B375"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CASP</w:t>
            </w:r>
          </w:p>
        </w:tc>
      </w:tr>
      <w:tr w:rsidR="001B3412" w:rsidRPr="009E61C9" w14:paraId="1AA7A5A0" w14:textId="77777777" w:rsidTr="001B3412">
        <w:trPr>
          <w:trHeight w:val="263"/>
        </w:trPr>
        <w:tc>
          <w:tcPr>
            <w:tcW w:w="1168" w:type="dxa"/>
            <w:tcBorders>
              <w:top w:val="single" w:sz="4" w:space="0" w:color="auto"/>
              <w:bottom w:val="nil"/>
            </w:tcBorders>
            <w:shd w:val="clear" w:color="auto" w:fill="auto"/>
            <w:vAlign w:val="center"/>
            <w:hideMark/>
          </w:tcPr>
          <w:p w14:paraId="42106D1B" w14:textId="77777777" w:rsidR="001B3412" w:rsidRPr="009E61C9" w:rsidRDefault="001B3412" w:rsidP="001B3412">
            <w:pPr>
              <w:rPr>
                <w:rFonts w:ascii="Garamond" w:hAnsi="Garamond"/>
                <w:color w:val="000000"/>
                <w:sz w:val="22"/>
                <w:szCs w:val="22"/>
                <w:lang w:eastAsia="fr-BE"/>
              </w:rPr>
            </w:pPr>
            <w:r w:rsidRPr="009E61C9">
              <w:rPr>
                <w:rFonts w:ascii="Garamond" w:hAnsi="Garamond"/>
                <w:iCs/>
                <w:color w:val="000000"/>
                <w:sz w:val="22"/>
                <w:szCs w:val="22"/>
                <w:lang w:eastAsia="fr-BE"/>
              </w:rPr>
              <w:t>Bas</w:t>
            </w:r>
          </w:p>
        </w:tc>
        <w:tc>
          <w:tcPr>
            <w:tcW w:w="1034" w:type="dxa"/>
            <w:tcBorders>
              <w:top w:val="single" w:sz="4" w:space="0" w:color="auto"/>
              <w:bottom w:val="nil"/>
            </w:tcBorders>
            <w:shd w:val="clear" w:color="auto" w:fill="auto"/>
            <w:vAlign w:val="center"/>
            <w:hideMark/>
          </w:tcPr>
          <w:p w14:paraId="0B368C70"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w:t>
            </w:r>
          </w:p>
        </w:tc>
        <w:tc>
          <w:tcPr>
            <w:tcW w:w="830" w:type="dxa"/>
            <w:tcBorders>
              <w:top w:val="single" w:sz="4" w:space="0" w:color="auto"/>
              <w:bottom w:val="nil"/>
            </w:tcBorders>
            <w:shd w:val="clear" w:color="auto" w:fill="auto"/>
            <w:vAlign w:val="center"/>
            <w:hideMark/>
          </w:tcPr>
          <w:p w14:paraId="46B6602E"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15,5</w:t>
            </w:r>
          </w:p>
        </w:tc>
        <w:tc>
          <w:tcPr>
            <w:tcW w:w="808" w:type="dxa"/>
            <w:tcBorders>
              <w:top w:val="single" w:sz="4" w:space="0" w:color="auto"/>
              <w:bottom w:val="nil"/>
            </w:tcBorders>
            <w:shd w:val="clear" w:color="auto" w:fill="auto"/>
            <w:vAlign w:val="center"/>
            <w:hideMark/>
          </w:tcPr>
          <w:p w14:paraId="5D94A717"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11,9</w:t>
            </w:r>
          </w:p>
        </w:tc>
        <w:tc>
          <w:tcPr>
            <w:tcW w:w="842" w:type="dxa"/>
            <w:tcBorders>
              <w:top w:val="single" w:sz="4" w:space="0" w:color="auto"/>
              <w:bottom w:val="nil"/>
            </w:tcBorders>
            <w:shd w:val="clear" w:color="auto" w:fill="auto"/>
            <w:vAlign w:val="center"/>
            <w:hideMark/>
          </w:tcPr>
          <w:p w14:paraId="2ADB0A27"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5,1</w:t>
            </w:r>
          </w:p>
        </w:tc>
        <w:tc>
          <w:tcPr>
            <w:tcW w:w="1034" w:type="dxa"/>
            <w:tcBorders>
              <w:top w:val="single" w:sz="4" w:space="0" w:color="auto"/>
              <w:bottom w:val="nil"/>
            </w:tcBorders>
            <w:shd w:val="clear" w:color="auto" w:fill="auto"/>
            <w:vAlign w:val="center"/>
            <w:hideMark/>
          </w:tcPr>
          <w:p w14:paraId="30214A1E"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w:t>
            </w:r>
          </w:p>
        </w:tc>
        <w:tc>
          <w:tcPr>
            <w:tcW w:w="830" w:type="dxa"/>
            <w:tcBorders>
              <w:top w:val="single" w:sz="4" w:space="0" w:color="auto"/>
              <w:bottom w:val="nil"/>
            </w:tcBorders>
            <w:shd w:val="clear" w:color="auto" w:fill="auto"/>
            <w:vAlign w:val="center"/>
            <w:hideMark/>
          </w:tcPr>
          <w:p w14:paraId="08253379"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13,6</w:t>
            </w:r>
          </w:p>
        </w:tc>
        <w:tc>
          <w:tcPr>
            <w:tcW w:w="808" w:type="dxa"/>
            <w:tcBorders>
              <w:top w:val="single" w:sz="4" w:space="0" w:color="auto"/>
              <w:bottom w:val="nil"/>
            </w:tcBorders>
            <w:shd w:val="clear" w:color="auto" w:fill="auto"/>
            <w:vAlign w:val="center"/>
            <w:hideMark/>
          </w:tcPr>
          <w:p w14:paraId="163462E1"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10,7</w:t>
            </w:r>
          </w:p>
        </w:tc>
        <w:tc>
          <w:tcPr>
            <w:tcW w:w="841" w:type="dxa"/>
            <w:tcBorders>
              <w:top w:val="single" w:sz="4" w:space="0" w:color="auto"/>
              <w:bottom w:val="nil"/>
            </w:tcBorders>
            <w:shd w:val="clear" w:color="auto" w:fill="auto"/>
            <w:vAlign w:val="center"/>
            <w:hideMark/>
          </w:tcPr>
          <w:p w14:paraId="72C214DF"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3,9</w:t>
            </w:r>
          </w:p>
        </w:tc>
      </w:tr>
      <w:tr w:rsidR="001B3412" w:rsidRPr="009E61C9" w14:paraId="5A92A915" w14:textId="77777777" w:rsidTr="001B3412">
        <w:trPr>
          <w:trHeight w:val="263"/>
        </w:trPr>
        <w:tc>
          <w:tcPr>
            <w:tcW w:w="1168" w:type="dxa"/>
            <w:tcBorders>
              <w:top w:val="nil"/>
              <w:bottom w:val="nil"/>
            </w:tcBorders>
            <w:shd w:val="clear" w:color="auto" w:fill="auto"/>
            <w:vAlign w:val="center"/>
            <w:hideMark/>
          </w:tcPr>
          <w:p w14:paraId="2C89B348" w14:textId="77777777" w:rsidR="001B3412" w:rsidRPr="009E61C9" w:rsidRDefault="001B3412" w:rsidP="001B3412">
            <w:pPr>
              <w:rPr>
                <w:rFonts w:ascii="Garamond" w:hAnsi="Garamond"/>
                <w:color w:val="000000"/>
                <w:sz w:val="22"/>
                <w:szCs w:val="22"/>
                <w:lang w:eastAsia="fr-BE"/>
              </w:rPr>
            </w:pPr>
            <w:r w:rsidRPr="009E61C9">
              <w:rPr>
                <w:rFonts w:ascii="Garamond" w:hAnsi="Garamond"/>
                <w:iCs/>
                <w:color w:val="000000"/>
                <w:sz w:val="22"/>
                <w:szCs w:val="22"/>
                <w:lang w:eastAsia="fr-BE"/>
              </w:rPr>
              <w:t>Moyen</w:t>
            </w:r>
          </w:p>
        </w:tc>
        <w:tc>
          <w:tcPr>
            <w:tcW w:w="1034" w:type="dxa"/>
            <w:tcBorders>
              <w:top w:val="nil"/>
              <w:bottom w:val="nil"/>
            </w:tcBorders>
            <w:shd w:val="clear" w:color="auto" w:fill="auto"/>
            <w:vAlign w:val="center"/>
            <w:hideMark/>
          </w:tcPr>
          <w:p w14:paraId="39AFA7ED"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w:t>
            </w:r>
          </w:p>
        </w:tc>
        <w:tc>
          <w:tcPr>
            <w:tcW w:w="830" w:type="dxa"/>
            <w:tcBorders>
              <w:top w:val="nil"/>
              <w:bottom w:val="nil"/>
            </w:tcBorders>
            <w:shd w:val="clear" w:color="auto" w:fill="auto"/>
            <w:vAlign w:val="center"/>
            <w:hideMark/>
          </w:tcPr>
          <w:p w14:paraId="22C9EF9D"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9,1</w:t>
            </w:r>
          </w:p>
        </w:tc>
        <w:tc>
          <w:tcPr>
            <w:tcW w:w="808" w:type="dxa"/>
            <w:tcBorders>
              <w:top w:val="nil"/>
              <w:bottom w:val="nil"/>
            </w:tcBorders>
            <w:shd w:val="clear" w:color="auto" w:fill="auto"/>
            <w:vAlign w:val="center"/>
            <w:hideMark/>
          </w:tcPr>
          <w:p w14:paraId="37FA1C93"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8,8</w:t>
            </w:r>
          </w:p>
        </w:tc>
        <w:tc>
          <w:tcPr>
            <w:tcW w:w="842" w:type="dxa"/>
            <w:tcBorders>
              <w:top w:val="nil"/>
              <w:bottom w:val="nil"/>
            </w:tcBorders>
            <w:shd w:val="clear" w:color="auto" w:fill="auto"/>
            <w:vAlign w:val="center"/>
            <w:hideMark/>
          </w:tcPr>
          <w:p w14:paraId="1126F245"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2,9</w:t>
            </w:r>
          </w:p>
        </w:tc>
        <w:tc>
          <w:tcPr>
            <w:tcW w:w="1034" w:type="dxa"/>
            <w:tcBorders>
              <w:top w:val="nil"/>
              <w:bottom w:val="nil"/>
            </w:tcBorders>
            <w:shd w:val="clear" w:color="auto" w:fill="auto"/>
            <w:vAlign w:val="center"/>
            <w:hideMark/>
          </w:tcPr>
          <w:p w14:paraId="1E2903C1"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w:t>
            </w:r>
          </w:p>
        </w:tc>
        <w:tc>
          <w:tcPr>
            <w:tcW w:w="830" w:type="dxa"/>
            <w:tcBorders>
              <w:top w:val="nil"/>
              <w:bottom w:val="nil"/>
            </w:tcBorders>
            <w:shd w:val="clear" w:color="auto" w:fill="auto"/>
            <w:vAlign w:val="center"/>
            <w:hideMark/>
          </w:tcPr>
          <w:p w14:paraId="2681CFEB"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10,9</w:t>
            </w:r>
          </w:p>
        </w:tc>
        <w:tc>
          <w:tcPr>
            <w:tcW w:w="808" w:type="dxa"/>
            <w:tcBorders>
              <w:top w:val="nil"/>
              <w:bottom w:val="nil"/>
            </w:tcBorders>
            <w:shd w:val="clear" w:color="auto" w:fill="auto"/>
            <w:vAlign w:val="center"/>
            <w:hideMark/>
          </w:tcPr>
          <w:p w14:paraId="5D1224D0"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8,2</w:t>
            </w:r>
          </w:p>
        </w:tc>
        <w:tc>
          <w:tcPr>
            <w:tcW w:w="841" w:type="dxa"/>
            <w:tcBorders>
              <w:top w:val="nil"/>
              <w:bottom w:val="nil"/>
            </w:tcBorders>
            <w:shd w:val="clear" w:color="auto" w:fill="auto"/>
            <w:vAlign w:val="center"/>
            <w:hideMark/>
          </w:tcPr>
          <w:p w14:paraId="1C1B337B"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4,3</w:t>
            </w:r>
          </w:p>
        </w:tc>
      </w:tr>
      <w:tr w:rsidR="001B3412" w:rsidRPr="009E61C9" w14:paraId="51813EA5" w14:textId="77777777" w:rsidTr="001B3412">
        <w:trPr>
          <w:trHeight w:val="263"/>
        </w:trPr>
        <w:tc>
          <w:tcPr>
            <w:tcW w:w="1168" w:type="dxa"/>
            <w:tcBorders>
              <w:top w:val="nil"/>
              <w:bottom w:val="single" w:sz="4" w:space="0" w:color="auto"/>
            </w:tcBorders>
            <w:shd w:val="clear" w:color="auto" w:fill="auto"/>
            <w:vAlign w:val="center"/>
            <w:hideMark/>
          </w:tcPr>
          <w:p w14:paraId="476D7BB2" w14:textId="77777777" w:rsidR="001B3412" w:rsidRPr="009E61C9" w:rsidRDefault="001B3412" w:rsidP="001B3412">
            <w:pPr>
              <w:rPr>
                <w:rFonts w:ascii="Garamond" w:hAnsi="Garamond"/>
                <w:color w:val="000000"/>
                <w:sz w:val="22"/>
                <w:szCs w:val="22"/>
                <w:lang w:eastAsia="fr-BE"/>
              </w:rPr>
            </w:pPr>
            <w:r w:rsidRPr="009E61C9">
              <w:rPr>
                <w:rFonts w:ascii="Garamond" w:hAnsi="Garamond"/>
                <w:color w:val="000000"/>
                <w:sz w:val="22"/>
                <w:szCs w:val="22"/>
                <w:lang w:eastAsia="fr-BE"/>
              </w:rPr>
              <w:t>Élevé</w:t>
            </w:r>
          </w:p>
        </w:tc>
        <w:tc>
          <w:tcPr>
            <w:tcW w:w="1034" w:type="dxa"/>
            <w:tcBorders>
              <w:top w:val="nil"/>
              <w:bottom w:val="single" w:sz="4" w:space="0" w:color="auto"/>
            </w:tcBorders>
            <w:shd w:val="clear" w:color="auto" w:fill="auto"/>
            <w:vAlign w:val="center"/>
            <w:hideMark/>
          </w:tcPr>
          <w:p w14:paraId="4E2F392D"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w:t>
            </w:r>
          </w:p>
        </w:tc>
        <w:tc>
          <w:tcPr>
            <w:tcW w:w="830" w:type="dxa"/>
            <w:tcBorders>
              <w:top w:val="nil"/>
              <w:bottom w:val="single" w:sz="4" w:space="0" w:color="auto"/>
            </w:tcBorders>
            <w:shd w:val="clear" w:color="auto" w:fill="auto"/>
            <w:vAlign w:val="center"/>
            <w:hideMark/>
          </w:tcPr>
          <w:p w14:paraId="04B14134"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5,4</w:t>
            </w:r>
          </w:p>
        </w:tc>
        <w:tc>
          <w:tcPr>
            <w:tcW w:w="808" w:type="dxa"/>
            <w:tcBorders>
              <w:top w:val="nil"/>
              <w:bottom w:val="single" w:sz="4" w:space="0" w:color="auto"/>
            </w:tcBorders>
            <w:shd w:val="clear" w:color="auto" w:fill="auto"/>
            <w:vAlign w:val="center"/>
            <w:hideMark/>
          </w:tcPr>
          <w:p w14:paraId="1F1F10CE"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4,9</w:t>
            </w:r>
          </w:p>
        </w:tc>
        <w:tc>
          <w:tcPr>
            <w:tcW w:w="842" w:type="dxa"/>
            <w:tcBorders>
              <w:top w:val="nil"/>
              <w:bottom w:val="single" w:sz="4" w:space="0" w:color="auto"/>
            </w:tcBorders>
            <w:shd w:val="clear" w:color="auto" w:fill="auto"/>
            <w:vAlign w:val="center"/>
            <w:hideMark/>
          </w:tcPr>
          <w:p w14:paraId="05D4690F"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2,9</w:t>
            </w:r>
          </w:p>
        </w:tc>
        <w:tc>
          <w:tcPr>
            <w:tcW w:w="1034" w:type="dxa"/>
            <w:tcBorders>
              <w:top w:val="nil"/>
              <w:bottom w:val="single" w:sz="4" w:space="0" w:color="auto"/>
            </w:tcBorders>
            <w:shd w:val="clear" w:color="auto" w:fill="auto"/>
            <w:vAlign w:val="center"/>
            <w:hideMark/>
          </w:tcPr>
          <w:p w14:paraId="40CF1D18"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w:t>
            </w:r>
          </w:p>
        </w:tc>
        <w:tc>
          <w:tcPr>
            <w:tcW w:w="830" w:type="dxa"/>
            <w:tcBorders>
              <w:top w:val="nil"/>
              <w:bottom w:val="single" w:sz="4" w:space="0" w:color="auto"/>
            </w:tcBorders>
            <w:shd w:val="clear" w:color="auto" w:fill="auto"/>
            <w:vAlign w:val="center"/>
            <w:hideMark/>
          </w:tcPr>
          <w:p w14:paraId="649C07D8"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5,3</w:t>
            </w:r>
          </w:p>
        </w:tc>
        <w:tc>
          <w:tcPr>
            <w:tcW w:w="808" w:type="dxa"/>
            <w:tcBorders>
              <w:top w:val="nil"/>
              <w:bottom w:val="single" w:sz="4" w:space="0" w:color="auto"/>
            </w:tcBorders>
            <w:shd w:val="clear" w:color="auto" w:fill="auto"/>
            <w:vAlign w:val="center"/>
            <w:hideMark/>
          </w:tcPr>
          <w:p w14:paraId="50E5D969"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3,8</w:t>
            </w:r>
          </w:p>
        </w:tc>
        <w:tc>
          <w:tcPr>
            <w:tcW w:w="841" w:type="dxa"/>
            <w:tcBorders>
              <w:top w:val="nil"/>
              <w:bottom w:val="single" w:sz="4" w:space="0" w:color="auto"/>
            </w:tcBorders>
            <w:shd w:val="clear" w:color="auto" w:fill="auto"/>
            <w:vAlign w:val="center"/>
            <w:hideMark/>
          </w:tcPr>
          <w:p w14:paraId="1CD27939"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2</w:t>
            </w:r>
          </w:p>
        </w:tc>
      </w:tr>
      <w:tr w:rsidR="001B3412" w:rsidRPr="009E61C9" w14:paraId="3A08E28B" w14:textId="77777777" w:rsidTr="001B3412">
        <w:trPr>
          <w:trHeight w:val="273"/>
        </w:trPr>
        <w:tc>
          <w:tcPr>
            <w:tcW w:w="1168" w:type="dxa"/>
            <w:vMerge w:val="restart"/>
            <w:tcBorders>
              <w:top w:val="nil"/>
              <w:bottom w:val="single" w:sz="4" w:space="0" w:color="000000"/>
            </w:tcBorders>
            <w:shd w:val="clear" w:color="auto" w:fill="auto"/>
            <w:vAlign w:val="center"/>
            <w:hideMark/>
          </w:tcPr>
          <w:p w14:paraId="664D2FF5" w14:textId="77777777" w:rsidR="001B3412" w:rsidRPr="009E61C9" w:rsidRDefault="001B3412" w:rsidP="001B3412">
            <w:pPr>
              <w:rPr>
                <w:rFonts w:ascii="Garamond" w:hAnsi="Garamond"/>
                <w:color w:val="000000"/>
                <w:sz w:val="22"/>
                <w:szCs w:val="22"/>
                <w:lang w:eastAsia="fr-BE"/>
              </w:rPr>
            </w:pPr>
          </w:p>
        </w:tc>
        <w:tc>
          <w:tcPr>
            <w:tcW w:w="7027" w:type="dxa"/>
            <w:gridSpan w:val="8"/>
            <w:tcBorders>
              <w:top w:val="nil"/>
              <w:bottom w:val="nil"/>
            </w:tcBorders>
            <w:shd w:val="clear" w:color="auto" w:fill="auto"/>
            <w:vAlign w:val="center"/>
            <w:hideMark/>
          </w:tcPr>
          <w:p w14:paraId="3A35B90C"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Espérances de vie et années de vie en moins bonne santé</w:t>
            </w:r>
          </w:p>
        </w:tc>
      </w:tr>
      <w:tr w:rsidR="001B3412" w:rsidRPr="009E61C9" w14:paraId="6AAB6BCB" w14:textId="77777777" w:rsidTr="001B3412">
        <w:trPr>
          <w:trHeight w:val="263"/>
        </w:trPr>
        <w:tc>
          <w:tcPr>
            <w:tcW w:w="1168" w:type="dxa"/>
            <w:vMerge/>
            <w:tcBorders>
              <w:top w:val="nil"/>
              <w:bottom w:val="single" w:sz="4" w:space="0" w:color="000000"/>
            </w:tcBorders>
            <w:vAlign w:val="center"/>
            <w:hideMark/>
          </w:tcPr>
          <w:p w14:paraId="01E7B888" w14:textId="77777777" w:rsidR="001B3412" w:rsidRPr="009E61C9" w:rsidRDefault="001B3412" w:rsidP="001B3412">
            <w:pPr>
              <w:rPr>
                <w:rFonts w:ascii="Garamond" w:hAnsi="Garamond"/>
                <w:color w:val="000000"/>
                <w:sz w:val="22"/>
                <w:szCs w:val="22"/>
                <w:lang w:eastAsia="fr-BE"/>
              </w:rPr>
            </w:pPr>
          </w:p>
        </w:tc>
        <w:tc>
          <w:tcPr>
            <w:tcW w:w="1034" w:type="dxa"/>
            <w:vMerge w:val="restart"/>
            <w:tcBorders>
              <w:top w:val="single" w:sz="4" w:space="0" w:color="auto"/>
              <w:bottom w:val="single" w:sz="4" w:space="0" w:color="000000"/>
            </w:tcBorders>
            <w:shd w:val="clear" w:color="auto" w:fill="auto"/>
            <w:vAlign w:val="center"/>
            <w:hideMark/>
          </w:tcPr>
          <w:p w14:paraId="319ED834"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Espérance de vie</w:t>
            </w:r>
          </w:p>
        </w:tc>
        <w:tc>
          <w:tcPr>
            <w:tcW w:w="2480" w:type="dxa"/>
            <w:gridSpan w:val="3"/>
            <w:tcBorders>
              <w:top w:val="single" w:sz="4" w:space="0" w:color="auto"/>
            </w:tcBorders>
            <w:shd w:val="clear" w:color="auto" w:fill="auto"/>
            <w:vAlign w:val="center"/>
            <w:hideMark/>
          </w:tcPr>
          <w:p w14:paraId="35D90F78"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EVBS – Espérance de vie</w:t>
            </w:r>
          </w:p>
        </w:tc>
        <w:tc>
          <w:tcPr>
            <w:tcW w:w="1034" w:type="dxa"/>
            <w:vMerge w:val="restart"/>
            <w:tcBorders>
              <w:top w:val="single" w:sz="4" w:space="0" w:color="auto"/>
            </w:tcBorders>
            <w:shd w:val="clear" w:color="auto" w:fill="auto"/>
            <w:vAlign w:val="center"/>
            <w:hideMark/>
          </w:tcPr>
          <w:p w14:paraId="6333517F"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Espérance de vie</w:t>
            </w:r>
          </w:p>
        </w:tc>
        <w:tc>
          <w:tcPr>
            <w:tcW w:w="2479" w:type="dxa"/>
            <w:gridSpan w:val="3"/>
            <w:tcBorders>
              <w:top w:val="single" w:sz="4" w:space="0" w:color="auto"/>
            </w:tcBorders>
            <w:shd w:val="clear" w:color="auto" w:fill="auto"/>
            <w:vAlign w:val="center"/>
            <w:hideMark/>
          </w:tcPr>
          <w:p w14:paraId="42CA6C59"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EVBS – Espérance de vie</w:t>
            </w:r>
          </w:p>
        </w:tc>
      </w:tr>
      <w:tr w:rsidR="001B3412" w:rsidRPr="009E61C9" w14:paraId="4F8C35AA" w14:textId="77777777" w:rsidTr="001B3412">
        <w:trPr>
          <w:trHeight w:val="263"/>
        </w:trPr>
        <w:tc>
          <w:tcPr>
            <w:tcW w:w="1168" w:type="dxa"/>
            <w:vMerge/>
            <w:tcBorders>
              <w:top w:val="nil"/>
              <w:bottom w:val="single" w:sz="4" w:space="0" w:color="000000"/>
            </w:tcBorders>
            <w:vAlign w:val="center"/>
            <w:hideMark/>
          </w:tcPr>
          <w:p w14:paraId="4D53464D" w14:textId="77777777" w:rsidR="001B3412" w:rsidRPr="009E61C9" w:rsidRDefault="001B3412" w:rsidP="001B3412">
            <w:pPr>
              <w:rPr>
                <w:rFonts w:ascii="Garamond" w:hAnsi="Garamond"/>
                <w:color w:val="000000"/>
                <w:sz w:val="22"/>
                <w:szCs w:val="22"/>
                <w:lang w:eastAsia="fr-BE"/>
              </w:rPr>
            </w:pPr>
          </w:p>
        </w:tc>
        <w:tc>
          <w:tcPr>
            <w:tcW w:w="1034" w:type="dxa"/>
            <w:vMerge/>
            <w:tcBorders>
              <w:top w:val="single" w:sz="4" w:space="0" w:color="auto"/>
              <w:bottom w:val="single" w:sz="4" w:space="0" w:color="000000"/>
            </w:tcBorders>
            <w:vAlign w:val="center"/>
            <w:hideMark/>
          </w:tcPr>
          <w:p w14:paraId="0EBCE5F9" w14:textId="77777777" w:rsidR="001B3412" w:rsidRPr="009E61C9" w:rsidRDefault="001B3412" w:rsidP="00430AD9">
            <w:pPr>
              <w:jc w:val="center"/>
              <w:rPr>
                <w:rFonts w:ascii="Garamond" w:hAnsi="Garamond"/>
                <w:color w:val="000000"/>
                <w:sz w:val="22"/>
                <w:szCs w:val="22"/>
                <w:lang w:eastAsia="fr-BE"/>
              </w:rPr>
            </w:pPr>
          </w:p>
        </w:tc>
        <w:tc>
          <w:tcPr>
            <w:tcW w:w="830" w:type="dxa"/>
            <w:tcBorders>
              <w:bottom w:val="single" w:sz="4" w:space="0" w:color="auto"/>
            </w:tcBorders>
            <w:shd w:val="clear" w:color="auto" w:fill="auto"/>
            <w:vAlign w:val="center"/>
            <w:hideMark/>
          </w:tcPr>
          <w:p w14:paraId="7FCF2771"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GALI</w:t>
            </w:r>
          </w:p>
        </w:tc>
        <w:tc>
          <w:tcPr>
            <w:tcW w:w="808" w:type="dxa"/>
            <w:tcBorders>
              <w:bottom w:val="single" w:sz="4" w:space="0" w:color="auto"/>
            </w:tcBorders>
            <w:shd w:val="clear" w:color="auto" w:fill="auto"/>
            <w:vAlign w:val="center"/>
            <w:hideMark/>
          </w:tcPr>
          <w:p w14:paraId="49291DC6"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ADL</w:t>
            </w:r>
          </w:p>
        </w:tc>
        <w:tc>
          <w:tcPr>
            <w:tcW w:w="842" w:type="dxa"/>
            <w:tcBorders>
              <w:bottom w:val="single" w:sz="4" w:space="0" w:color="auto"/>
            </w:tcBorders>
            <w:shd w:val="clear" w:color="auto" w:fill="auto"/>
            <w:vAlign w:val="center"/>
            <w:hideMark/>
          </w:tcPr>
          <w:p w14:paraId="49681B5B"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CASP</w:t>
            </w:r>
          </w:p>
        </w:tc>
        <w:tc>
          <w:tcPr>
            <w:tcW w:w="1034" w:type="dxa"/>
            <w:vMerge/>
            <w:tcBorders>
              <w:bottom w:val="single" w:sz="4" w:space="0" w:color="000000"/>
            </w:tcBorders>
            <w:vAlign w:val="center"/>
            <w:hideMark/>
          </w:tcPr>
          <w:p w14:paraId="39EE5783" w14:textId="77777777" w:rsidR="001B3412" w:rsidRPr="009E61C9" w:rsidRDefault="001B3412" w:rsidP="00430AD9">
            <w:pPr>
              <w:jc w:val="center"/>
              <w:rPr>
                <w:rFonts w:ascii="Garamond" w:hAnsi="Garamond"/>
                <w:color w:val="000000"/>
                <w:sz w:val="22"/>
                <w:szCs w:val="22"/>
                <w:lang w:eastAsia="fr-BE"/>
              </w:rPr>
            </w:pPr>
          </w:p>
        </w:tc>
        <w:tc>
          <w:tcPr>
            <w:tcW w:w="830" w:type="dxa"/>
            <w:tcBorders>
              <w:bottom w:val="single" w:sz="4" w:space="0" w:color="auto"/>
            </w:tcBorders>
            <w:shd w:val="clear" w:color="auto" w:fill="auto"/>
            <w:vAlign w:val="center"/>
            <w:hideMark/>
          </w:tcPr>
          <w:p w14:paraId="07A0142F"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GALI</w:t>
            </w:r>
          </w:p>
        </w:tc>
        <w:tc>
          <w:tcPr>
            <w:tcW w:w="808" w:type="dxa"/>
            <w:tcBorders>
              <w:bottom w:val="single" w:sz="4" w:space="0" w:color="auto"/>
            </w:tcBorders>
            <w:shd w:val="clear" w:color="auto" w:fill="auto"/>
            <w:vAlign w:val="center"/>
            <w:hideMark/>
          </w:tcPr>
          <w:p w14:paraId="23330F84"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ADL</w:t>
            </w:r>
          </w:p>
        </w:tc>
        <w:tc>
          <w:tcPr>
            <w:tcW w:w="841" w:type="dxa"/>
            <w:tcBorders>
              <w:bottom w:val="single" w:sz="4" w:space="0" w:color="auto"/>
            </w:tcBorders>
            <w:shd w:val="clear" w:color="auto" w:fill="auto"/>
            <w:vAlign w:val="center"/>
            <w:hideMark/>
          </w:tcPr>
          <w:p w14:paraId="78E6F685"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bCs/>
                <w:color w:val="000000"/>
                <w:sz w:val="22"/>
                <w:szCs w:val="22"/>
                <w:lang w:eastAsia="fr-BE"/>
              </w:rPr>
              <w:t>CASP</w:t>
            </w:r>
          </w:p>
        </w:tc>
      </w:tr>
      <w:tr w:rsidR="001B3412" w:rsidRPr="009E61C9" w14:paraId="45F451D5" w14:textId="77777777" w:rsidTr="001B3412">
        <w:trPr>
          <w:trHeight w:val="263"/>
        </w:trPr>
        <w:tc>
          <w:tcPr>
            <w:tcW w:w="1168" w:type="dxa"/>
            <w:tcBorders>
              <w:top w:val="nil"/>
              <w:bottom w:val="nil"/>
            </w:tcBorders>
            <w:shd w:val="clear" w:color="auto" w:fill="auto"/>
            <w:vAlign w:val="center"/>
            <w:hideMark/>
          </w:tcPr>
          <w:p w14:paraId="50F3A395" w14:textId="77777777" w:rsidR="001B3412" w:rsidRPr="009E61C9" w:rsidRDefault="001B3412" w:rsidP="001B3412">
            <w:pPr>
              <w:rPr>
                <w:rFonts w:ascii="Garamond" w:hAnsi="Garamond"/>
                <w:color w:val="000000"/>
                <w:sz w:val="22"/>
                <w:szCs w:val="22"/>
                <w:lang w:eastAsia="fr-BE"/>
              </w:rPr>
            </w:pPr>
            <w:r w:rsidRPr="009E61C9">
              <w:rPr>
                <w:rFonts w:ascii="Garamond" w:hAnsi="Garamond"/>
                <w:iCs/>
                <w:color w:val="000000"/>
                <w:sz w:val="22"/>
                <w:szCs w:val="22"/>
                <w:lang w:eastAsia="fr-BE"/>
              </w:rPr>
              <w:t>Bas</w:t>
            </w:r>
          </w:p>
        </w:tc>
        <w:tc>
          <w:tcPr>
            <w:tcW w:w="1034" w:type="dxa"/>
            <w:tcBorders>
              <w:top w:val="nil"/>
              <w:bottom w:val="nil"/>
            </w:tcBorders>
            <w:shd w:val="clear" w:color="auto" w:fill="auto"/>
            <w:vAlign w:val="center"/>
            <w:hideMark/>
          </w:tcPr>
          <w:p w14:paraId="2DD76964"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26,1</w:t>
            </w:r>
          </w:p>
        </w:tc>
        <w:tc>
          <w:tcPr>
            <w:tcW w:w="830" w:type="dxa"/>
            <w:tcBorders>
              <w:top w:val="nil"/>
              <w:bottom w:val="nil"/>
            </w:tcBorders>
            <w:shd w:val="clear" w:color="auto" w:fill="auto"/>
            <w:vAlign w:val="center"/>
            <w:hideMark/>
          </w:tcPr>
          <w:p w14:paraId="3BF2E823" w14:textId="196D40BD"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4,3</w:t>
            </w:r>
          </w:p>
        </w:tc>
        <w:tc>
          <w:tcPr>
            <w:tcW w:w="808" w:type="dxa"/>
            <w:tcBorders>
              <w:top w:val="nil"/>
              <w:bottom w:val="nil"/>
            </w:tcBorders>
            <w:shd w:val="clear" w:color="auto" w:fill="auto"/>
            <w:vAlign w:val="center"/>
            <w:hideMark/>
          </w:tcPr>
          <w:p w14:paraId="70C05324" w14:textId="7168616A"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3,3</w:t>
            </w:r>
          </w:p>
        </w:tc>
        <w:tc>
          <w:tcPr>
            <w:tcW w:w="842" w:type="dxa"/>
            <w:tcBorders>
              <w:top w:val="nil"/>
              <w:bottom w:val="nil"/>
            </w:tcBorders>
            <w:shd w:val="clear" w:color="auto" w:fill="auto"/>
            <w:vAlign w:val="center"/>
            <w:hideMark/>
          </w:tcPr>
          <w:p w14:paraId="1D427069" w14:textId="37561FC7"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1,4</w:t>
            </w:r>
          </w:p>
        </w:tc>
        <w:tc>
          <w:tcPr>
            <w:tcW w:w="1034" w:type="dxa"/>
            <w:tcBorders>
              <w:top w:val="nil"/>
              <w:bottom w:val="nil"/>
            </w:tcBorders>
            <w:shd w:val="clear" w:color="auto" w:fill="auto"/>
            <w:vAlign w:val="center"/>
            <w:hideMark/>
          </w:tcPr>
          <w:p w14:paraId="18DF2804"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29,4</w:t>
            </w:r>
          </w:p>
        </w:tc>
        <w:tc>
          <w:tcPr>
            <w:tcW w:w="830" w:type="dxa"/>
            <w:tcBorders>
              <w:top w:val="nil"/>
              <w:bottom w:val="nil"/>
            </w:tcBorders>
            <w:shd w:val="clear" w:color="auto" w:fill="auto"/>
            <w:vAlign w:val="center"/>
            <w:hideMark/>
          </w:tcPr>
          <w:p w14:paraId="440ED9F3" w14:textId="790E8C56"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4,8</w:t>
            </w:r>
          </w:p>
        </w:tc>
        <w:tc>
          <w:tcPr>
            <w:tcW w:w="808" w:type="dxa"/>
            <w:tcBorders>
              <w:top w:val="nil"/>
              <w:bottom w:val="nil"/>
            </w:tcBorders>
            <w:shd w:val="clear" w:color="auto" w:fill="auto"/>
            <w:vAlign w:val="center"/>
            <w:hideMark/>
          </w:tcPr>
          <w:p w14:paraId="08CC1779" w14:textId="09C2C15F"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3,7</w:t>
            </w:r>
          </w:p>
        </w:tc>
        <w:tc>
          <w:tcPr>
            <w:tcW w:w="841" w:type="dxa"/>
            <w:tcBorders>
              <w:top w:val="nil"/>
              <w:bottom w:val="nil"/>
            </w:tcBorders>
            <w:shd w:val="clear" w:color="auto" w:fill="auto"/>
            <w:vAlign w:val="center"/>
            <w:hideMark/>
          </w:tcPr>
          <w:p w14:paraId="18AD286B" w14:textId="6415C081"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1,5</w:t>
            </w:r>
          </w:p>
        </w:tc>
      </w:tr>
      <w:tr w:rsidR="001B3412" w:rsidRPr="009E61C9" w14:paraId="20391D8B" w14:textId="77777777" w:rsidTr="001B3412">
        <w:trPr>
          <w:trHeight w:val="263"/>
        </w:trPr>
        <w:tc>
          <w:tcPr>
            <w:tcW w:w="1168" w:type="dxa"/>
            <w:tcBorders>
              <w:top w:val="nil"/>
              <w:bottom w:val="nil"/>
            </w:tcBorders>
            <w:shd w:val="clear" w:color="auto" w:fill="auto"/>
            <w:vAlign w:val="center"/>
            <w:hideMark/>
          </w:tcPr>
          <w:p w14:paraId="48F444BA" w14:textId="77777777" w:rsidR="001B3412" w:rsidRPr="009E61C9" w:rsidRDefault="001B3412" w:rsidP="001B3412">
            <w:pPr>
              <w:rPr>
                <w:rFonts w:ascii="Garamond" w:hAnsi="Garamond"/>
                <w:color w:val="000000"/>
                <w:sz w:val="22"/>
                <w:szCs w:val="22"/>
                <w:lang w:eastAsia="fr-BE"/>
              </w:rPr>
            </w:pPr>
            <w:r w:rsidRPr="009E61C9">
              <w:rPr>
                <w:rFonts w:ascii="Garamond" w:hAnsi="Garamond"/>
                <w:iCs/>
                <w:color w:val="000000"/>
                <w:sz w:val="22"/>
                <w:szCs w:val="22"/>
                <w:lang w:eastAsia="fr-BE"/>
              </w:rPr>
              <w:t>Moyen</w:t>
            </w:r>
          </w:p>
        </w:tc>
        <w:tc>
          <w:tcPr>
            <w:tcW w:w="1034" w:type="dxa"/>
            <w:tcBorders>
              <w:top w:val="nil"/>
              <w:bottom w:val="nil"/>
            </w:tcBorders>
            <w:shd w:val="clear" w:color="auto" w:fill="auto"/>
            <w:vAlign w:val="center"/>
            <w:hideMark/>
          </w:tcPr>
          <w:p w14:paraId="5DFD6012"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28,2</w:t>
            </w:r>
          </w:p>
        </w:tc>
        <w:tc>
          <w:tcPr>
            <w:tcW w:w="830" w:type="dxa"/>
            <w:tcBorders>
              <w:top w:val="nil"/>
              <w:bottom w:val="nil"/>
            </w:tcBorders>
            <w:shd w:val="clear" w:color="auto" w:fill="auto"/>
            <w:vAlign w:val="center"/>
            <w:hideMark/>
          </w:tcPr>
          <w:p w14:paraId="5C5B7DD6" w14:textId="22CD868E"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4,6</w:t>
            </w:r>
          </w:p>
        </w:tc>
        <w:tc>
          <w:tcPr>
            <w:tcW w:w="808" w:type="dxa"/>
            <w:tcBorders>
              <w:top w:val="nil"/>
              <w:bottom w:val="nil"/>
            </w:tcBorders>
            <w:shd w:val="clear" w:color="auto" w:fill="auto"/>
            <w:vAlign w:val="center"/>
            <w:hideMark/>
          </w:tcPr>
          <w:p w14:paraId="3CF758C7" w14:textId="0AC4BEB0"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3,5</w:t>
            </w:r>
          </w:p>
        </w:tc>
        <w:tc>
          <w:tcPr>
            <w:tcW w:w="842" w:type="dxa"/>
            <w:tcBorders>
              <w:top w:val="nil"/>
              <w:bottom w:val="nil"/>
            </w:tcBorders>
            <w:shd w:val="clear" w:color="auto" w:fill="auto"/>
            <w:vAlign w:val="center"/>
            <w:hideMark/>
          </w:tcPr>
          <w:p w14:paraId="7815A28E" w14:textId="3ACEB577"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1,5</w:t>
            </w:r>
          </w:p>
        </w:tc>
        <w:tc>
          <w:tcPr>
            <w:tcW w:w="1034" w:type="dxa"/>
            <w:tcBorders>
              <w:top w:val="nil"/>
              <w:bottom w:val="nil"/>
            </w:tcBorders>
            <w:shd w:val="clear" w:color="auto" w:fill="auto"/>
            <w:vAlign w:val="center"/>
            <w:hideMark/>
          </w:tcPr>
          <w:p w14:paraId="710A20BD"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31,5</w:t>
            </w:r>
          </w:p>
        </w:tc>
        <w:tc>
          <w:tcPr>
            <w:tcW w:w="830" w:type="dxa"/>
            <w:tcBorders>
              <w:top w:val="nil"/>
              <w:bottom w:val="nil"/>
            </w:tcBorders>
            <w:shd w:val="clear" w:color="auto" w:fill="auto"/>
            <w:vAlign w:val="center"/>
            <w:hideMark/>
          </w:tcPr>
          <w:p w14:paraId="2C96D5F1" w14:textId="5738C768"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5,2</w:t>
            </w:r>
          </w:p>
        </w:tc>
        <w:tc>
          <w:tcPr>
            <w:tcW w:w="808" w:type="dxa"/>
            <w:tcBorders>
              <w:top w:val="nil"/>
              <w:bottom w:val="nil"/>
            </w:tcBorders>
            <w:shd w:val="clear" w:color="auto" w:fill="auto"/>
            <w:vAlign w:val="center"/>
            <w:hideMark/>
          </w:tcPr>
          <w:p w14:paraId="319A4BF4" w14:textId="0E7A8007"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4</w:t>
            </w:r>
          </w:p>
        </w:tc>
        <w:tc>
          <w:tcPr>
            <w:tcW w:w="841" w:type="dxa"/>
            <w:tcBorders>
              <w:top w:val="nil"/>
              <w:bottom w:val="nil"/>
            </w:tcBorders>
            <w:shd w:val="clear" w:color="auto" w:fill="auto"/>
            <w:vAlign w:val="center"/>
            <w:hideMark/>
          </w:tcPr>
          <w:p w14:paraId="07609B79" w14:textId="4B5CCD68"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1,7</w:t>
            </w:r>
          </w:p>
        </w:tc>
      </w:tr>
      <w:tr w:rsidR="001B3412" w:rsidRPr="009E61C9" w14:paraId="361C9CCD" w14:textId="77777777" w:rsidTr="001B3412">
        <w:trPr>
          <w:trHeight w:val="263"/>
        </w:trPr>
        <w:tc>
          <w:tcPr>
            <w:tcW w:w="1168" w:type="dxa"/>
            <w:tcBorders>
              <w:top w:val="nil"/>
              <w:bottom w:val="single" w:sz="4" w:space="0" w:color="auto"/>
            </w:tcBorders>
            <w:shd w:val="clear" w:color="auto" w:fill="auto"/>
            <w:vAlign w:val="center"/>
            <w:hideMark/>
          </w:tcPr>
          <w:p w14:paraId="4A2F13E5" w14:textId="77777777" w:rsidR="001B3412" w:rsidRPr="009E61C9" w:rsidRDefault="001B3412" w:rsidP="001B3412">
            <w:pPr>
              <w:rPr>
                <w:rFonts w:ascii="Garamond" w:hAnsi="Garamond"/>
                <w:color w:val="000000"/>
                <w:sz w:val="22"/>
                <w:szCs w:val="22"/>
                <w:lang w:eastAsia="fr-BE"/>
              </w:rPr>
            </w:pPr>
            <w:r w:rsidRPr="009E61C9">
              <w:rPr>
                <w:rFonts w:ascii="Garamond" w:hAnsi="Garamond"/>
                <w:color w:val="000000"/>
                <w:sz w:val="22"/>
                <w:szCs w:val="22"/>
                <w:lang w:eastAsia="fr-BE"/>
              </w:rPr>
              <w:t>Élevé</w:t>
            </w:r>
          </w:p>
        </w:tc>
        <w:tc>
          <w:tcPr>
            <w:tcW w:w="1034" w:type="dxa"/>
            <w:tcBorders>
              <w:top w:val="nil"/>
              <w:bottom w:val="single" w:sz="4" w:space="0" w:color="auto"/>
            </w:tcBorders>
            <w:shd w:val="clear" w:color="auto" w:fill="auto"/>
            <w:vAlign w:val="center"/>
            <w:hideMark/>
          </w:tcPr>
          <w:p w14:paraId="0B1B0D17"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30,5</w:t>
            </w:r>
          </w:p>
        </w:tc>
        <w:tc>
          <w:tcPr>
            <w:tcW w:w="830" w:type="dxa"/>
            <w:tcBorders>
              <w:top w:val="nil"/>
              <w:bottom w:val="single" w:sz="4" w:space="0" w:color="auto"/>
            </w:tcBorders>
            <w:shd w:val="clear" w:color="auto" w:fill="auto"/>
            <w:vAlign w:val="center"/>
            <w:hideMark/>
          </w:tcPr>
          <w:p w14:paraId="27D1D71E" w14:textId="4F42CC45"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5</w:t>
            </w:r>
          </w:p>
        </w:tc>
        <w:tc>
          <w:tcPr>
            <w:tcW w:w="808" w:type="dxa"/>
            <w:tcBorders>
              <w:top w:val="nil"/>
              <w:bottom w:val="single" w:sz="4" w:space="0" w:color="auto"/>
            </w:tcBorders>
            <w:shd w:val="clear" w:color="auto" w:fill="auto"/>
            <w:vAlign w:val="center"/>
            <w:hideMark/>
          </w:tcPr>
          <w:p w14:paraId="3836505F" w14:textId="23E9D088"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3,9</w:t>
            </w:r>
          </w:p>
        </w:tc>
        <w:tc>
          <w:tcPr>
            <w:tcW w:w="842" w:type="dxa"/>
            <w:tcBorders>
              <w:top w:val="nil"/>
              <w:bottom w:val="single" w:sz="4" w:space="0" w:color="auto"/>
            </w:tcBorders>
            <w:shd w:val="clear" w:color="auto" w:fill="auto"/>
            <w:vAlign w:val="center"/>
            <w:hideMark/>
          </w:tcPr>
          <w:p w14:paraId="16B62860" w14:textId="64F26E5C"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1,6</w:t>
            </w:r>
          </w:p>
        </w:tc>
        <w:tc>
          <w:tcPr>
            <w:tcW w:w="1034" w:type="dxa"/>
            <w:tcBorders>
              <w:top w:val="nil"/>
              <w:bottom w:val="single" w:sz="4" w:space="0" w:color="auto"/>
            </w:tcBorders>
            <w:shd w:val="clear" w:color="auto" w:fill="auto"/>
            <w:vAlign w:val="center"/>
            <w:hideMark/>
          </w:tcPr>
          <w:p w14:paraId="6537B8E0" w14:textId="77777777" w:rsidR="001B3412" w:rsidRPr="009E61C9" w:rsidRDefault="001B3412" w:rsidP="00430AD9">
            <w:pPr>
              <w:jc w:val="center"/>
              <w:rPr>
                <w:rFonts w:ascii="Garamond" w:hAnsi="Garamond"/>
                <w:color w:val="000000"/>
                <w:sz w:val="22"/>
                <w:szCs w:val="22"/>
                <w:lang w:eastAsia="fr-BE"/>
              </w:rPr>
            </w:pPr>
            <w:r w:rsidRPr="009E61C9">
              <w:rPr>
                <w:rFonts w:ascii="Garamond" w:hAnsi="Garamond"/>
                <w:color w:val="000000"/>
                <w:sz w:val="22"/>
                <w:szCs w:val="22"/>
                <w:lang w:eastAsia="fr-BE"/>
              </w:rPr>
              <w:t>33,2</w:t>
            </w:r>
          </w:p>
        </w:tc>
        <w:tc>
          <w:tcPr>
            <w:tcW w:w="830" w:type="dxa"/>
            <w:tcBorders>
              <w:top w:val="nil"/>
              <w:bottom w:val="single" w:sz="4" w:space="0" w:color="auto"/>
            </w:tcBorders>
            <w:shd w:val="clear" w:color="auto" w:fill="auto"/>
            <w:vAlign w:val="center"/>
            <w:hideMark/>
          </w:tcPr>
          <w:p w14:paraId="25BC4696" w14:textId="3B1967C2"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5,6</w:t>
            </w:r>
          </w:p>
        </w:tc>
        <w:tc>
          <w:tcPr>
            <w:tcW w:w="808" w:type="dxa"/>
            <w:tcBorders>
              <w:top w:val="nil"/>
              <w:bottom w:val="single" w:sz="4" w:space="0" w:color="auto"/>
            </w:tcBorders>
            <w:shd w:val="clear" w:color="auto" w:fill="auto"/>
            <w:vAlign w:val="center"/>
            <w:hideMark/>
          </w:tcPr>
          <w:p w14:paraId="42ECC0D5" w14:textId="31BD8298"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4,3</w:t>
            </w:r>
          </w:p>
        </w:tc>
        <w:tc>
          <w:tcPr>
            <w:tcW w:w="841" w:type="dxa"/>
            <w:tcBorders>
              <w:top w:val="nil"/>
              <w:bottom w:val="single" w:sz="4" w:space="0" w:color="auto"/>
            </w:tcBorders>
            <w:shd w:val="clear" w:color="auto" w:fill="auto"/>
            <w:vAlign w:val="center"/>
            <w:hideMark/>
          </w:tcPr>
          <w:p w14:paraId="0FAE8B24" w14:textId="31EE6B30" w:rsidR="001B3412" w:rsidRPr="009E61C9" w:rsidRDefault="001B3412" w:rsidP="00430AD9">
            <w:pPr>
              <w:jc w:val="center"/>
              <w:rPr>
                <w:rFonts w:ascii="Garamond" w:hAnsi="Garamond"/>
                <w:color w:val="000000"/>
                <w:sz w:val="22"/>
                <w:szCs w:val="22"/>
                <w:lang w:eastAsia="fr-BE"/>
              </w:rPr>
            </w:pPr>
            <w:r>
              <w:rPr>
                <w:rFonts w:ascii="Garamond" w:hAnsi="Garamond"/>
                <w:color w:val="000000"/>
                <w:sz w:val="22"/>
                <w:szCs w:val="22"/>
                <w:lang w:eastAsia="fr-BE"/>
              </w:rPr>
              <w:t>–</w:t>
            </w:r>
            <w:r w:rsidRPr="009E61C9">
              <w:rPr>
                <w:rFonts w:ascii="Garamond" w:hAnsi="Garamond"/>
                <w:color w:val="000000"/>
                <w:sz w:val="22"/>
                <w:szCs w:val="22"/>
                <w:lang w:eastAsia="fr-BE"/>
              </w:rPr>
              <w:t>1,8</w:t>
            </w:r>
          </w:p>
        </w:tc>
      </w:tr>
    </w:tbl>
    <w:p w14:paraId="02B82B36" w14:textId="77777777" w:rsidR="001B3412" w:rsidRPr="009E61C9" w:rsidRDefault="001B3412" w:rsidP="001B3412">
      <w:pPr>
        <w:ind w:right="1388"/>
        <w:jc w:val="center"/>
        <w:rPr>
          <w:rFonts w:ascii="Garamond" w:eastAsiaTheme="minorEastAsia" w:hAnsi="Garamond" w:cstheme="minorBidi"/>
          <w:kern w:val="2"/>
          <w:sz w:val="22"/>
          <w:szCs w:val="22"/>
          <w14:ligatures w14:val="standardContextual"/>
        </w:rPr>
      </w:pPr>
      <w:r w:rsidRPr="009E61C9">
        <w:rPr>
          <w:rFonts w:ascii="Garamond" w:hAnsi="Garamond"/>
          <w:sz w:val="22"/>
          <w:szCs w:val="22"/>
        </w:rPr>
        <w:fldChar w:fldCharType="begin"/>
      </w:r>
      <w:r w:rsidRPr="009E61C9">
        <w:rPr>
          <w:rFonts w:ascii="Garamond" w:hAnsi="Garamond"/>
          <w:sz w:val="22"/>
          <w:szCs w:val="22"/>
        </w:rPr>
        <w:instrText xml:space="preserve"> LINK Excel.Sheet.12 "Classeur1" "Feuil1!L1C1:L12C9" \a \f 4 \h  \* MERGEFORMAT </w:instrText>
      </w:r>
      <w:r w:rsidRPr="009E61C9">
        <w:rPr>
          <w:rFonts w:ascii="Garamond" w:hAnsi="Garamond"/>
          <w:sz w:val="22"/>
          <w:szCs w:val="22"/>
        </w:rPr>
        <w:fldChar w:fldCharType="separate"/>
      </w:r>
    </w:p>
    <w:p w14:paraId="6E5E55B6" w14:textId="77777777" w:rsidR="001B3412" w:rsidRPr="009E61C9" w:rsidRDefault="001B3412" w:rsidP="001B3412">
      <w:pPr>
        <w:ind w:right="1388"/>
        <w:jc w:val="center"/>
        <w:rPr>
          <w:rFonts w:ascii="Garamond" w:hAnsi="Garamond"/>
          <w:sz w:val="22"/>
          <w:szCs w:val="22"/>
        </w:rPr>
      </w:pPr>
      <w:r w:rsidRPr="009E61C9">
        <w:rPr>
          <w:rFonts w:ascii="Garamond" w:hAnsi="Garamond"/>
          <w:sz w:val="22"/>
          <w:szCs w:val="22"/>
        </w:rPr>
        <w:fldChar w:fldCharType="end"/>
      </w:r>
    </w:p>
    <w:p w14:paraId="340B0F92" w14:textId="36C614E4" w:rsidR="001B3412" w:rsidRDefault="001B3412" w:rsidP="001B3412">
      <w:pPr>
        <w:ind w:right="1388"/>
        <w:jc w:val="both"/>
        <w:rPr>
          <w:rFonts w:ascii="Garamond" w:hAnsi="Garamond"/>
          <w:sz w:val="20"/>
          <w:szCs w:val="20"/>
        </w:rPr>
      </w:pPr>
      <w:r w:rsidRPr="001B3412">
        <w:rPr>
          <w:rFonts w:ascii="Garamond" w:hAnsi="Garamond"/>
          <w:sz w:val="20"/>
          <w:szCs w:val="20"/>
        </w:rPr>
        <w:t xml:space="preserve">Note : le niveau d’éducation « Bas » indique un niveau inférieur aux études secondaires complètes (ISCED = 1 et 2), « Moyen » des études secondaires complets ou post-secondaires mais non supérieur (ISCED = 3 et 4), et « Élevé » un enseignement supérieur (ISCED = 5 à 7). Ces estimations couvrent les âges de 50 ans à 80 </w:t>
      </w:r>
      <w:r w:rsidRPr="001B3412">
        <w:rPr>
          <w:rFonts w:ascii="Garamond" w:hAnsi="Garamond"/>
          <w:sz w:val="20"/>
          <w:szCs w:val="20"/>
        </w:rPr>
        <w:lastRenderedPageBreak/>
        <w:t>ans étant donné que les taux de mortalité ne sont pas disponibles pour des âges plus élevés à ce niveau de détail. Espérances de vie et EVBS limitées à l’âge de 80 ans.</w:t>
      </w:r>
    </w:p>
    <w:p w14:paraId="5714B408" w14:textId="373C009D" w:rsidR="00CB0D25" w:rsidRDefault="00CB0D25" w:rsidP="00CB0D25">
      <w:pPr>
        <w:jc w:val="both"/>
        <w:rPr>
          <w:rFonts w:ascii="Garamond" w:hAnsi="Garamond"/>
          <w:bCs/>
          <w:sz w:val="22"/>
          <w:szCs w:val="22"/>
          <w:shd w:val="clear" w:color="auto" w:fill="FFFFFF"/>
        </w:rPr>
      </w:pPr>
      <w:r>
        <w:rPr>
          <w:rFonts w:ascii="Garamond" w:hAnsi="Garamond"/>
          <w:bCs/>
          <w:sz w:val="22"/>
          <w:szCs w:val="22"/>
          <w:shd w:val="clear" w:color="auto" w:fill="FFFFFF"/>
        </w:rPr>
        <w:t xml:space="preserve">Source : </w:t>
      </w:r>
      <w:r w:rsidR="00CD0302" w:rsidRPr="00CD0302">
        <w:rPr>
          <w:rFonts w:ascii="Garamond" w:hAnsi="Garamond"/>
          <w:bCs/>
          <w:sz w:val="22"/>
          <w:szCs w:val="22"/>
          <w:shd w:val="clear" w:color="auto" w:fill="FFFFFF"/>
        </w:rPr>
        <w:t>HDM et SHARE vagues 3 à 7, 2011 à 2017.</w:t>
      </w:r>
    </w:p>
    <w:p w14:paraId="20F3A389" w14:textId="77777777" w:rsidR="00A85421" w:rsidRDefault="00A85421" w:rsidP="009E61C9">
      <w:pPr>
        <w:jc w:val="both"/>
        <w:rPr>
          <w:rFonts w:ascii="Garamond" w:hAnsi="Garamond"/>
          <w:sz w:val="22"/>
          <w:szCs w:val="22"/>
        </w:rPr>
      </w:pPr>
    </w:p>
    <w:p w14:paraId="52537E3C" w14:textId="6CFC2A67" w:rsidR="009E61C9" w:rsidRPr="009E61C9" w:rsidRDefault="009E61C9" w:rsidP="009E61C9">
      <w:pPr>
        <w:jc w:val="both"/>
        <w:rPr>
          <w:rFonts w:ascii="Garamond" w:hAnsi="Garamond"/>
          <w:sz w:val="22"/>
          <w:szCs w:val="22"/>
        </w:rPr>
      </w:pPr>
      <w:r w:rsidRPr="009E61C9">
        <w:rPr>
          <w:rFonts w:ascii="Garamond" w:hAnsi="Garamond"/>
          <w:sz w:val="22"/>
          <w:szCs w:val="22"/>
        </w:rPr>
        <w:t xml:space="preserve">On observe, dans la partie supérieure du </w:t>
      </w:r>
      <w:r w:rsidR="00CB0D25">
        <w:rPr>
          <w:rFonts w:ascii="Garamond" w:hAnsi="Garamond"/>
          <w:sz w:val="22"/>
          <w:szCs w:val="22"/>
        </w:rPr>
        <w:t>t</w:t>
      </w:r>
      <w:r w:rsidRPr="009E61C9">
        <w:rPr>
          <w:rFonts w:ascii="Garamond" w:hAnsi="Garamond"/>
          <w:sz w:val="22"/>
          <w:szCs w:val="22"/>
        </w:rPr>
        <w:t>ableau 3</w:t>
      </w:r>
      <w:r w:rsidR="00CB0D25">
        <w:rPr>
          <w:rFonts w:ascii="Garamond" w:hAnsi="Garamond"/>
          <w:sz w:val="22"/>
          <w:szCs w:val="22"/>
        </w:rPr>
        <w:t xml:space="preserve"> (</w:t>
      </w:r>
      <w:r w:rsidR="00CB0D25">
        <w:rPr>
          <w:rFonts w:ascii="Garamond" w:hAnsi="Garamond"/>
          <w:i/>
          <w:iCs/>
          <w:sz w:val="22"/>
          <w:szCs w:val="22"/>
        </w:rPr>
        <w:t>supra</w:t>
      </w:r>
      <w:r w:rsidR="00CB0D25">
        <w:rPr>
          <w:rFonts w:ascii="Garamond" w:hAnsi="Garamond"/>
          <w:sz w:val="22"/>
          <w:szCs w:val="22"/>
        </w:rPr>
        <w:t>)</w:t>
      </w:r>
      <w:r w:rsidRPr="009E61C9">
        <w:rPr>
          <w:rFonts w:ascii="Garamond" w:hAnsi="Garamond"/>
          <w:sz w:val="22"/>
          <w:szCs w:val="22"/>
        </w:rPr>
        <w:t xml:space="preserve"> concernant le Danemark, que parmi la population âgée de 50 à 80 ans, les taux de prévalence doublent pour CASP quand on passe du niveau d’éducation bas à élevé, mais</w:t>
      </w:r>
      <w:r w:rsidR="00273D48">
        <w:rPr>
          <w:rFonts w:ascii="Garamond" w:hAnsi="Garamond"/>
          <w:sz w:val="22"/>
          <w:szCs w:val="22"/>
        </w:rPr>
        <w:t xml:space="preserve"> ils</w:t>
      </w:r>
      <w:r w:rsidRPr="009E61C9">
        <w:rPr>
          <w:rFonts w:ascii="Garamond" w:hAnsi="Garamond"/>
          <w:sz w:val="22"/>
          <w:szCs w:val="22"/>
        </w:rPr>
        <w:t xml:space="preserve"> triplent quasiment pour GALI et ADL. Dans la partie inférieure, un écart de plus de </w:t>
      </w:r>
      <w:r w:rsidR="00273D48">
        <w:rPr>
          <w:rFonts w:ascii="Garamond" w:hAnsi="Garamond"/>
          <w:sz w:val="22"/>
          <w:szCs w:val="22"/>
        </w:rPr>
        <w:t>quatre</w:t>
      </w:r>
      <w:r w:rsidRPr="009E61C9">
        <w:rPr>
          <w:rFonts w:ascii="Garamond" w:hAnsi="Garamond"/>
          <w:sz w:val="22"/>
          <w:szCs w:val="22"/>
        </w:rPr>
        <w:t xml:space="preserve"> ans d’espérance de vie est constaté, aussi bien chez les femmes que chez les hommes, en comparant les niveaux d’éducation (bas </w:t>
      </w:r>
      <w:r w:rsidRPr="00273D48">
        <w:rPr>
          <w:rFonts w:ascii="Garamond" w:hAnsi="Garamond"/>
          <w:i/>
          <w:iCs/>
          <w:sz w:val="22"/>
          <w:szCs w:val="22"/>
        </w:rPr>
        <w:t>vs</w:t>
      </w:r>
      <w:r w:rsidRPr="009E61C9">
        <w:rPr>
          <w:rFonts w:ascii="Garamond" w:hAnsi="Garamond"/>
          <w:sz w:val="22"/>
          <w:szCs w:val="22"/>
        </w:rPr>
        <w:t xml:space="preserve"> élevé). Quand on s’intéresse aux écarts entre espérances de vie en bonne santé (EVBS) et espérance de vie, autrement dit les années « perdues » de vie, le gradient selon le niveau d’éducation est moins important ; dans aucun cas</w:t>
      </w:r>
      <w:r w:rsidR="00273D48">
        <w:rPr>
          <w:rFonts w:ascii="Garamond" w:hAnsi="Garamond"/>
          <w:sz w:val="22"/>
          <w:szCs w:val="22"/>
        </w:rPr>
        <w:t>,</w:t>
      </w:r>
      <w:r w:rsidRPr="009E61C9">
        <w:rPr>
          <w:rFonts w:ascii="Garamond" w:hAnsi="Garamond"/>
          <w:sz w:val="22"/>
          <w:szCs w:val="22"/>
        </w:rPr>
        <w:t xml:space="preserve"> il ne dépasse une année. Il est important de noter que ces différences d’EVBS, « favorables » aux personnes faiblement éduquées, ne compensent pas les différences d’espérance de vie en faveur des niveaux plus élevés. Ces chiffres, spécifiques au Danemark cependant, confirment les résultats de Cambois </w:t>
      </w:r>
      <w:r w:rsidRPr="003E6BCD">
        <w:rPr>
          <w:rFonts w:ascii="Garamond" w:hAnsi="Garamond"/>
          <w:i/>
          <w:iCs/>
          <w:sz w:val="22"/>
          <w:szCs w:val="22"/>
        </w:rPr>
        <w:t>et al</w:t>
      </w:r>
      <w:r w:rsidRPr="009E61C9">
        <w:rPr>
          <w:rFonts w:ascii="Garamond" w:hAnsi="Garamond"/>
          <w:sz w:val="22"/>
          <w:szCs w:val="22"/>
        </w:rPr>
        <w:t xml:space="preserve">. (2011) ou ceux de Lefebvre </w:t>
      </w:r>
      <w:r w:rsidRPr="003E6BCD">
        <w:rPr>
          <w:rFonts w:ascii="Garamond" w:hAnsi="Garamond"/>
          <w:i/>
          <w:iCs/>
          <w:sz w:val="22"/>
          <w:szCs w:val="22"/>
        </w:rPr>
        <w:t>et al</w:t>
      </w:r>
      <w:r w:rsidRPr="009E61C9">
        <w:rPr>
          <w:rFonts w:ascii="Garamond" w:hAnsi="Garamond"/>
          <w:sz w:val="22"/>
          <w:szCs w:val="22"/>
        </w:rPr>
        <w:t>. (2018) qui démontraient que les personnes avec un plus faible niveau d’éducation vivaient moins longtemps</w:t>
      </w:r>
      <w:r w:rsidR="003E6BCD">
        <w:rPr>
          <w:rFonts w:ascii="Garamond" w:hAnsi="Garamond"/>
          <w:sz w:val="22"/>
          <w:szCs w:val="22"/>
        </w:rPr>
        <w:t>,</w:t>
      </w:r>
      <w:r w:rsidRPr="009E61C9">
        <w:rPr>
          <w:rFonts w:ascii="Garamond" w:hAnsi="Garamond"/>
          <w:sz w:val="22"/>
          <w:szCs w:val="22"/>
        </w:rPr>
        <w:t xml:space="preserve"> mais avec des taux de prévalence plus élevés. </w:t>
      </w:r>
    </w:p>
    <w:p w14:paraId="118B4DA8" w14:textId="7595DDBC" w:rsidR="009E61C9" w:rsidRPr="009E61C9" w:rsidRDefault="009E61C9" w:rsidP="009E61C9">
      <w:pPr>
        <w:jc w:val="both"/>
        <w:rPr>
          <w:rFonts w:ascii="Garamond" w:hAnsi="Garamond"/>
          <w:sz w:val="22"/>
          <w:szCs w:val="22"/>
        </w:rPr>
      </w:pPr>
      <w:r w:rsidRPr="009E61C9">
        <w:rPr>
          <w:rFonts w:ascii="Garamond" w:hAnsi="Garamond"/>
          <w:sz w:val="22"/>
          <w:szCs w:val="22"/>
        </w:rPr>
        <w:t>Enfin, tout au long de ce travail</w:t>
      </w:r>
      <w:r w:rsidR="003E6BCD">
        <w:rPr>
          <w:rFonts w:ascii="Garamond" w:hAnsi="Garamond"/>
          <w:sz w:val="22"/>
          <w:szCs w:val="22"/>
        </w:rPr>
        <w:t>,</w:t>
      </w:r>
      <w:r w:rsidRPr="009E61C9">
        <w:rPr>
          <w:rFonts w:ascii="Garamond" w:hAnsi="Garamond"/>
          <w:sz w:val="22"/>
          <w:szCs w:val="22"/>
        </w:rPr>
        <w:t xml:space="preserve"> nous nous sommes intéressés aux personnes âgées de 50 ans et plus et à leurs éventuelles situations de handicap et de dépendance, en plus de leur qualité de vie. Un aspect non traité est celui de leurs sentiments, en particulier dans quelle mesure ces personnes sont satisfaites </w:t>
      </w:r>
      <w:r w:rsidR="003E6BCD">
        <w:rPr>
          <w:rFonts w:ascii="Garamond" w:hAnsi="Garamond"/>
          <w:sz w:val="22"/>
          <w:szCs w:val="22"/>
        </w:rPr>
        <w:t>dans</w:t>
      </w:r>
      <w:r w:rsidRPr="009E61C9">
        <w:rPr>
          <w:rFonts w:ascii="Garamond" w:hAnsi="Garamond"/>
          <w:sz w:val="22"/>
          <w:szCs w:val="22"/>
        </w:rPr>
        <w:t xml:space="preserve"> la vie. Il nous paraît important de savoir comment les personnes que nous identifions en incapacité à partir des indicateurs GALI, ADL2 et CASP jugent leur vie en comparant leur ressentiment au reste de la population des </w:t>
      </w:r>
      <w:r w:rsidR="003E6BCD">
        <w:rPr>
          <w:rFonts w:ascii="Garamond" w:hAnsi="Garamond"/>
          <w:sz w:val="22"/>
          <w:szCs w:val="22"/>
        </w:rPr>
        <w:t xml:space="preserve">plus de </w:t>
      </w:r>
      <w:r w:rsidRPr="009E61C9">
        <w:rPr>
          <w:rFonts w:ascii="Garamond" w:hAnsi="Garamond"/>
          <w:sz w:val="22"/>
          <w:szCs w:val="22"/>
        </w:rPr>
        <w:t>50</w:t>
      </w:r>
      <w:r w:rsidR="004F5BDE">
        <w:rPr>
          <w:rFonts w:ascii="Garamond" w:hAnsi="Garamond"/>
          <w:sz w:val="22"/>
          <w:szCs w:val="22"/>
        </w:rPr>
        <w:t xml:space="preserve"> ans</w:t>
      </w:r>
      <w:r w:rsidRPr="009E61C9">
        <w:rPr>
          <w:rFonts w:ascii="Garamond" w:hAnsi="Garamond"/>
          <w:sz w:val="22"/>
          <w:szCs w:val="22"/>
        </w:rPr>
        <w:t xml:space="preserve">. </w:t>
      </w:r>
    </w:p>
    <w:p w14:paraId="726B5E96" w14:textId="5C247BEB" w:rsidR="009F4DF3" w:rsidRPr="009E61C9" w:rsidRDefault="008F12D6" w:rsidP="009E61C9">
      <w:pPr>
        <w:jc w:val="both"/>
        <w:rPr>
          <w:rFonts w:ascii="Garamond" w:hAnsi="Garamond"/>
          <w:sz w:val="22"/>
          <w:szCs w:val="22"/>
        </w:rPr>
      </w:pPr>
      <w:r>
        <w:rPr>
          <w:rFonts w:ascii="Garamond" w:hAnsi="Garamond"/>
          <w:sz w:val="22"/>
          <w:szCs w:val="22"/>
        </w:rPr>
        <w:t>Le graphique</w:t>
      </w:r>
      <w:r w:rsidR="009E61C9" w:rsidRPr="009E61C9">
        <w:rPr>
          <w:rFonts w:ascii="Garamond" w:hAnsi="Garamond"/>
          <w:sz w:val="22"/>
          <w:szCs w:val="22"/>
        </w:rPr>
        <w:t xml:space="preserve"> 4 </w:t>
      </w:r>
      <w:r>
        <w:rPr>
          <w:rFonts w:ascii="Garamond" w:hAnsi="Garamond"/>
          <w:sz w:val="22"/>
          <w:szCs w:val="22"/>
        </w:rPr>
        <w:t>(</w:t>
      </w:r>
      <w:r w:rsidRPr="008F12D6">
        <w:rPr>
          <w:rFonts w:ascii="Garamond" w:hAnsi="Garamond"/>
          <w:i/>
          <w:iCs/>
          <w:sz w:val="22"/>
          <w:szCs w:val="22"/>
        </w:rPr>
        <w:t>infra</w:t>
      </w:r>
      <w:r>
        <w:rPr>
          <w:rFonts w:ascii="Garamond" w:hAnsi="Garamond"/>
          <w:sz w:val="22"/>
          <w:szCs w:val="22"/>
        </w:rPr>
        <w:t xml:space="preserve">) </w:t>
      </w:r>
      <w:r w:rsidR="009E61C9" w:rsidRPr="008F12D6">
        <w:rPr>
          <w:rFonts w:ascii="Garamond" w:hAnsi="Garamond"/>
          <w:sz w:val="22"/>
          <w:szCs w:val="22"/>
        </w:rPr>
        <w:t>confirme</w:t>
      </w:r>
      <w:r w:rsidR="009E61C9" w:rsidRPr="009E61C9">
        <w:rPr>
          <w:rFonts w:ascii="Garamond" w:hAnsi="Garamond"/>
          <w:sz w:val="22"/>
          <w:szCs w:val="22"/>
        </w:rPr>
        <w:t xml:space="preserve"> en partie nos attentes, on observe que jusqu’au niveau de satisfaction 6, les personnes en moins bonne santé selon nos indicateurs sont proportionnellement plus nombreuses que dans la population des </w:t>
      </w:r>
      <w:r>
        <w:rPr>
          <w:rFonts w:ascii="Garamond" w:hAnsi="Garamond"/>
          <w:sz w:val="22"/>
          <w:szCs w:val="22"/>
        </w:rPr>
        <w:t xml:space="preserve">plus de </w:t>
      </w:r>
      <w:r w:rsidR="009E61C9" w:rsidRPr="009E61C9">
        <w:rPr>
          <w:rFonts w:ascii="Garamond" w:hAnsi="Garamond"/>
          <w:sz w:val="22"/>
          <w:szCs w:val="22"/>
        </w:rPr>
        <w:t>50</w:t>
      </w:r>
      <w:r>
        <w:rPr>
          <w:rFonts w:ascii="Garamond" w:hAnsi="Garamond"/>
          <w:sz w:val="22"/>
          <w:szCs w:val="22"/>
        </w:rPr>
        <w:t xml:space="preserve"> ans</w:t>
      </w:r>
      <w:r w:rsidR="009E61C9" w:rsidRPr="009E61C9">
        <w:rPr>
          <w:rFonts w:ascii="Garamond" w:hAnsi="Garamond"/>
          <w:sz w:val="22"/>
          <w:szCs w:val="22"/>
        </w:rPr>
        <w:t xml:space="preserve"> prise dans </w:t>
      </w:r>
      <w:r>
        <w:rPr>
          <w:rFonts w:ascii="Garamond" w:hAnsi="Garamond"/>
          <w:sz w:val="22"/>
          <w:szCs w:val="22"/>
        </w:rPr>
        <w:t>son</w:t>
      </w:r>
      <w:r w:rsidR="009E61C9" w:rsidRPr="009E61C9">
        <w:rPr>
          <w:rFonts w:ascii="Garamond" w:hAnsi="Garamond"/>
          <w:sz w:val="22"/>
          <w:szCs w:val="22"/>
        </w:rPr>
        <w:t xml:space="preserve"> ensemble</w:t>
      </w:r>
      <w:r w:rsidR="009E61C9" w:rsidRPr="009E61C9">
        <w:rPr>
          <w:rStyle w:val="Appeldenotedefin"/>
          <w:rFonts w:ascii="Garamond" w:hAnsi="Garamond"/>
          <w:sz w:val="22"/>
          <w:szCs w:val="22"/>
        </w:rPr>
        <w:endnoteReference w:id="16"/>
      </w:r>
      <w:r w:rsidR="009E61C9" w:rsidRPr="009E61C9">
        <w:rPr>
          <w:rFonts w:ascii="Garamond" w:hAnsi="Garamond"/>
          <w:sz w:val="22"/>
          <w:szCs w:val="22"/>
        </w:rPr>
        <w:t>.</w:t>
      </w:r>
      <w:r w:rsidR="000C317F" w:rsidRPr="009E61C9">
        <w:rPr>
          <w:rFonts w:ascii="Garamond" w:hAnsi="Garamond"/>
          <w:sz w:val="22"/>
          <w:szCs w:val="22"/>
        </w:rPr>
        <w:t xml:space="preserve"> Par contre, elles sont proportionnellement moins nombreuses dès qu</w:t>
      </w:r>
      <w:r>
        <w:rPr>
          <w:rFonts w:ascii="Garamond" w:hAnsi="Garamond"/>
          <w:sz w:val="22"/>
          <w:szCs w:val="22"/>
        </w:rPr>
        <w:t>e l</w:t>
      </w:r>
      <w:r w:rsidR="000C317F" w:rsidRPr="009E61C9">
        <w:rPr>
          <w:rFonts w:ascii="Garamond" w:hAnsi="Garamond"/>
          <w:sz w:val="22"/>
          <w:szCs w:val="22"/>
        </w:rPr>
        <w:t>’on dépasse le niveau 7. On observe également qu’il existe des personnes rencontrant des limitations fortes qui s’estiment parfaitement heureuses. En effet, dans la population en incapacité GALI, plus de 10</w:t>
      </w:r>
      <w:r w:rsidR="00243566">
        <w:rPr>
          <w:rFonts w:ascii="Garamond" w:hAnsi="Garamond"/>
          <w:sz w:val="22"/>
          <w:szCs w:val="22"/>
        </w:rPr>
        <w:t> </w:t>
      </w:r>
      <w:r w:rsidR="000C317F" w:rsidRPr="009E61C9">
        <w:rPr>
          <w:rFonts w:ascii="Garamond" w:hAnsi="Garamond"/>
          <w:sz w:val="22"/>
          <w:szCs w:val="22"/>
        </w:rPr>
        <w:t>% des personnes donnent la note de 10. Le chiffre est un</w:t>
      </w:r>
      <w:r>
        <w:rPr>
          <w:rFonts w:ascii="Garamond" w:hAnsi="Garamond"/>
          <w:sz w:val="22"/>
          <w:szCs w:val="22"/>
        </w:rPr>
        <w:t xml:space="preserve"> peu</w:t>
      </w:r>
      <w:r w:rsidR="000C317F" w:rsidRPr="009E61C9">
        <w:rPr>
          <w:rFonts w:ascii="Garamond" w:hAnsi="Garamond"/>
          <w:sz w:val="22"/>
          <w:szCs w:val="22"/>
        </w:rPr>
        <w:t xml:space="preserve"> plus faible pour les personnes dépendantes (ADL). En d’autres termes, on trouve dans chacun des pays étudiés, des personnes en bonne santé et parfaitement autonomes qui se disent malheureuses et des personnes fortement dépendantes qui se disent heureuses. </w:t>
      </w:r>
    </w:p>
    <w:p w14:paraId="443B8224" w14:textId="77777777" w:rsidR="00A85421" w:rsidRDefault="00A85421" w:rsidP="009C62E3">
      <w:pPr>
        <w:jc w:val="center"/>
        <w:rPr>
          <w:rFonts w:ascii="Garamond" w:hAnsi="Garamond"/>
          <w:b/>
          <w:sz w:val="22"/>
          <w:szCs w:val="22"/>
        </w:rPr>
      </w:pPr>
    </w:p>
    <w:p w14:paraId="49A18ABB" w14:textId="3DD58AD2" w:rsidR="009C62E3" w:rsidRPr="00A85421" w:rsidRDefault="008F12D6" w:rsidP="009C62E3">
      <w:pPr>
        <w:jc w:val="center"/>
        <w:rPr>
          <w:rFonts w:ascii="Garamond" w:hAnsi="Garamond"/>
          <w:b/>
          <w:sz w:val="22"/>
          <w:szCs w:val="22"/>
        </w:rPr>
      </w:pPr>
      <w:r w:rsidRPr="00A85421">
        <w:rPr>
          <w:rFonts w:ascii="Garamond" w:hAnsi="Garamond"/>
          <w:b/>
          <w:sz w:val="22"/>
          <w:szCs w:val="22"/>
        </w:rPr>
        <w:t xml:space="preserve">Graphique </w:t>
      </w:r>
      <w:r w:rsidR="009C62E3" w:rsidRPr="00A85421">
        <w:rPr>
          <w:rFonts w:ascii="Garamond" w:hAnsi="Garamond"/>
          <w:b/>
          <w:sz w:val="22"/>
          <w:szCs w:val="22"/>
        </w:rPr>
        <w:t>4</w:t>
      </w:r>
    </w:p>
    <w:p w14:paraId="55540ECF" w14:textId="0F73A213" w:rsidR="009C62E3" w:rsidRPr="00A85421" w:rsidRDefault="009C62E3" w:rsidP="009C62E3">
      <w:pPr>
        <w:jc w:val="center"/>
        <w:rPr>
          <w:rFonts w:ascii="Garamond" w:hAnsi="Garamond"/>
          <w:b/>
          <w:sz w:val="22"/>
          <w:szCs w:val="22"/>
        </w:rPr>
      </w:pPr>
      <w:r w:rsidRPr="00A85421">
        <w:rPr>
          <w:rFonts w:ascii="Garamond" w:hAnsi="Garamond"/>
          <w:b/>
          <w:sz w:val="22"/>
          <w:szCs w:val="22"/>
        </w:rPr>
        <w:t>Distribution par niveau de satisfaction retirée de la vie</w:t>
      </w:r>
    </w:p>
    <w:p w14:paraId="26C7E04F" w14:textId="77777777" w:rsidR="008F12D6" w:rsidRPr="00A85421" w:rsidRDefault="009C62E3" w:rsidP="009C62E3">
      <w:pPr>
        <w:jc w:val="center"/>
        <w:rPr>
          <w:rFonts w:ascii="Garamond" w:hAnsi="Garamond"/>
          <w:b/>
          <w:sz w:val="22"/>
          <w:szCs w:val="22"/>
        </w:rPr>
      </w:pPr>
      <w:r w:rsidRPr="00A85421">
        <w:rPr>
          <w:rFonts w:ascii="Garamond" w:hAnsi="Garamond"/>
          <w:b/>
          <w:sz w:val="22"/>
          <w:szCs w:val="22"/>
        </w:rPr>
        <w:t xml:space="preserve">Population des </w:t>
      </w:r>
      <w:r w:rsidR="008F12D6" w:rsidRPr="00A85421">
        <w:rPr>
          <w:rFonts w:ascii="Garamond" w:hAnsi="Garamond"/>
          <w:b/>
          <w:sz w:val="22"/>
          <w:szCs w:val="22"/>
        </w:rPr>
        <w:t xml:space="preserve">plus de </w:t>
      </w:r>
      <w:r w:rsidRPr="00A85421">
        <w:rPr>
          <w:rFonts w:ascii="Garamond" w:hAnsi="Garamond"/>
          <w:b/>
          <w:sz w:val="22"/>
          <w:szCs w:val="22"/>
        </w:rPr>
        <w:t>50</w:t>
      </w:r>
      <w:r w:rsidR="008F12D6" w:rsidRPr="00A85421">
        <w:rPr>
          <w:rFonts w:ascii="Garamond" w:hAnsi="Garamond"/>
          <w:b/>
          <w:sz w:val="22"/>
          <w:szCs w:val="22"/>
        </w:rPr>
        <w:t xml:space="preserve"> ans</w:t>
      </w:r>
      <w:r w:rsidRPr="00A85421">
        <w:rPr>
          <w:rFonts w:ascii="Garamond" w:hAnsi="Garamond"/>
          <w:b/>
          <w:sz w:val="22"/>
          <w:szCs w:val="22"/>
        </w:rPr>
        <w:t xml:space="preserve"> et présence de GALI, ADL et CASP</w:t>
      </w:r>
    </w:p>
    <w:p w14:paraId="14C9041A" w14:textId="09915072" w:rsidR="009C62E3" w:rsidRPr="009E61C9" w:rsidRDefault="009C62E3" w:rsidP="009C62E3">
      <w:pPr>
        <w:jc w:val="center"/>
        <w:rPr>
          <w:rFonts w:ascii="Garamond" w:hAnsi="Garamond"/>
          <w:sz w:val="22"/>
          <w:szCs w:val="22"/>
          <w:shd w:val="clear" w:color="auto" w:fill="CAE7FF"/>
        </w:rPr>
      </w:pPr>
      <w:r w:rsidRPr="009E61C9">
        <w:rPr>
          <w:rFonts w:ascii="Garamond" w:hAnsi="Garamond"/>
          <w:bCs/>
          <w:sz w:val="22"/>
          <w:szCs w:val="22"/>
        </w:rPr>
        <w:t>(en %, 18 pays)</w:t>
      </w:r>
    </w:p>
    <w:p w14:paraId="1104A0BF" w14:textId="69B46F6C" w:rsidR="00E07F5F" w:rsidRPr="009E61C9" w:rsidRDefault="009C62E3" w:rsidP="009E61C9">
      <w:pPr>
        <w:jc w:val="both"/>
        <w:rPr>
          <w:rFonts w:ascii="Garamond" w:hAnsi="Garamond"/>
          <w:sz w:val="22"/>
          <w:szCs w:val="22"/>
          <w:u w:val="single"/>
        </w:rPr>
      </w:pPr>
      <w:r w:rsidRPr="009E61C9">
        <w:rPr>
          <w:rFonts w:ascii="Garamond" w:hAnsi="Garamond"/>
          <w:noProof/>
          <w:sz w:val="22"/>
          <w:szCs w:val="22"/>
          <w:lang w:eastAsia="fr-BE"/>
          <w14:ligatures w14:val="standardContextual"/>
        </w:rPr>
        <w:drawing>
          <wp:inline distT="0" distB="0" distL="0" distR="0" wp14:anchorId="4A23655D" wp14:editId="57963E62">
            <wp:extent cx="4573905" cy="2739390"/>
            <wp:effectExtent l="0" t="0" r="17145" b="3810"/>
            <wp:docPr id="7" name="Graphiqu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BE3F5A9-3AB1-DABB-3CCC-381B863FE8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0055EB" w14:textId="77777777" w:rsidR="008F12D6" w:rsidRDefault="008F12D6" w:rsidP="009E61C9">
      <w:pPr>
        <w:jc w:val="both"/>
        <w:rPr>
          <w:rFonts w:ascii="Garamond" w:hAnsi="Garamond"/>
          <w:b/>
          <w:sz w:val="22"/>
          <w:szCs w:val="22"/>
        </w:rPr>
      </w:pPr>
    </w:p>
    <w:p w14:paraId="19F54F9E" w14:textId="6BC20439" w:rsidR="00A85421" w:rsidRDefault="00A85421" w:rsidP="00A85421">
      <w:pPr>
        <w:jc w:val="both"/>
        <w:rPr>
          <w:rFonts w:ascii="Garamond" w:hAnsi="Garamond"/>
          <w:bCs/>
          <w:sz w:val="22"/>
          <w:szCs w:val="22"/>
          <w:shd w:val="clear" w:color="auto" w:fill="FFFFFF"/>
        </w:rPr>
      </w:pPr>
      <w:r>
        <w:rPr>
          <w:rFonts w:ascii="Garamond" w:hAnsi="Garamond"/>
          <w:bCs/>
          <w:sz w:val="22"/>
          <w:szCs w:val="22"/>
          <w:shd w:val="clear" w:color="auto" w:fill="FFFFFF"/>
        </w:rPr>
        <w:t xml:space="preserve">Source : </w:t>
      </w:r>
      <w:r w:rsidR="00CD0302" w:rsidRPr="00CD0302">
        <w:rPr>
          <w:rFonts w:ascii="Garamond" w:hAnsi="Garamond"/>
          <w:bCs/>
          <w:sz w:val="22"/>
          <w:szCs w:val="22"/>
          <w:shd w:val="clear" w:color="auto" w:fill="FFFFFF"/>
        </w:rPr>
        <w:t xml:space="preserve">SHARE vagues </w:t>
      </w:r>
      <w:r w:rsidR="00CD0302">
        <w:rPr>
          <w:rFonts w:ascii="Garamond" w:hAnsi="Garamond"/>
          <w:bCs/>
          <w:sz w:val="22"/>
          <w:szCs w:val="22"/>
          <w:shd w:val="clear" w:color="auto" w:fill="FFFFFF"/>
        </w:rPr>
        <w:t>4</w:t>
      </w:r>
      <w:r w:rsidR="00CD0302" w:rsidRPr="00CD0302">
        <w:rPr>
          <w:rFonts w:ascii="Garamond" w:hAnsi="Garamond"/>
          <w:bCs/>
          <w:sz w:val="22"/>
          <w:szCs w:val="22"/>
          <w:shd w:val="clear" w:color="auto" w:fill="FFFFFF"/>
        </w:rPr>
        <w:t xml:space="preserve"> à 7, 2011 à 2017. Satisfaction retiré de la vie correspond à la question AC012 posée dans le cadre de SHARE : Sur une échelle de 0 à 10, où 0 signifie que vous êtes totalement insatisfait(e) et 10 que vous êtes totalement satisfait(e), comment jugeriez-vous votre vie ?</w:t>
      </w:r>
    </w:p>
    <w:p w14:paraId="71C37D5C" w14:textId="77777777" w:rsidR="008F12D6" w:rsidRDefault="008F12D6" w:rsidP="009E61C9">
      <w:pPr>
        <w:jc w:val="both"/>
        <w:rPr>
          <w:rFonts w:ascii="Garamond" w:hAnsi="Garamond"/>
          <w:b/>
          <w:sz w:val="22"/>
          <w:szCs w:val="22"/>
        </w:rPr>
      </w:pPr>
    </w:p>
    <w:p w14:paraId="7BD6EDC2" w14:textId="5CD8F2F5" w:rsidR="00B15FE2" w:rsidRPr="00A85421" w:rsidRDefault="00A85421" w:rsidP="00A85421">
      <w:pPr>
        <w:jc w:val="center"/>
        <w:rPr>
          <w:rFonts w:ascii="Garamond" w:hAnsi="Garamond"/>
          <w:bCs/>
          <w:i/>
          <w:iCs/>
          <w:sz w:val="26"/>
          <w:szCs w:val="26"/>
        </w:rPr>
      </w:pPr>
      <w:r w:rsidRPr="00A85421">
        <w:rPr>
          <w:rFonts w:ascii="Garamond" w:hAnsi="Garamond"/>
          <w:bCs/>
          <w:i/>
          <w:iCs/>
          <w:sz w:val="26"/>
          <w:szCs w:val="26"/>
        </w:rPr>
        <w:t>CONCLUSION</w:t>
      </w:r>
    </w:p>
    <w:p w14:paraId="7F6C36C4" w14:textId="77777777" w:rsidR="00B15FE2" w:rsidRPr="009E61C9" w:rsidRDefault="00B15FE2" w:rsidP="009E61C9">
      <w:pPr>
        <w:jc w:val="both"/>
        <w:rPr>
          <w:rFonts w:ascii="Garamond" w:hAnsi="Garamond"/>
          <w:sz w:val="22"/>
          <w:szCs w:val="22"/>
        </w:rPr>
      </w:pPr>
    </w:p>
    <w:p w14:paraId="22916FE2" w14:textId="0D28F52C" w:rsidR="003B7E28" w:rsidRPr="00CD0302" w:rsidRDefault="00B15FE2" w:rsidP="009E61C9">
      <w:pPr>
        <w:jc w:val="both"/>
        <w:rPr>
          <w:rFonts w:ascii="Garamond" w:hAnsi="Garamond"/>
          <w:sz w:val="22"/>
          <w:szCs w:val="22"/>
        </w:rPr>
      </w:pPr>
      <w:r w:rsidRPr="009E61C9">
        <w:rPr>
          <w:rFonts w:ascii="Garamond" w:hAnsi="Garamond"/>
          <w:sz w:val="22"/>
          <w:szCs w:val="22"/>
        </w:rPr>
        <w:lastRenderedPageBreak/>
        <w:t xml:space="preserve">L’objet </w:t>
      </w:r>
      <w:r w:rsidR="00DD4BD3" w:rsidRPr="009E61C9">
        <w:rPr>
          <w:rFonts w:ascii="Garamond" w:hAnsi="Garamond"/>
          <w:sz w:val="22"/>
          <w:szCs w:val="22"/>
        </w:rPr>
        <w:t xml:space="preserve">de </w:t>
      </w:r>
      <w:r w:rsidRPr="009E61C9">
        <w:rPr>
          <w:rFonts w:ascii="Garamond" w:hAnsi="Garamond"/>
          <w:sz w:val="22"/>
          <w:szCs w:val="22"/>
        </w:rPr>
        <w:t xml:space="preserve">cet article était d’estimer les écarts potentiels en termes d’années de vie en bonne santé entre pays européens et, à l’intérieur des pays, selon le sexe. </w:t>
      </w:r>
      <w:r w:rsidR="000118B8" w:rsidRPr="009E61C9">
        <w:rPr>
          <w:rFonts w:ascii="Garamond" w:hAnsi="Garamond"/>
          <w:sz w:val="22"/>
          <w:szCs w:val="22"/>
        </w:rPr>
        <w:t>À</w:t>
      </w:r>
      <w:r w:rsidRPr="009E61C9">
        <w:rPr>
          <w:rFonts w:ascii="Garamond" w:hAnsi="Garamond"/>
          <w:sz w:val="22"/>
          <w:szCs w:val="22"/>
        </w:rPr>
        <w:t xml:space="preserve"> cet effet</w:t>
      </w:r>
      <w:r w:rsidR="00497999">
        <w:rPr>
          <w:rFonts w:ascii="Garamond" w:hAnsi="Garamond"/>
          <w:sz w:val="22"/>
          <w:szCs w:val="22"/>
        </w:rPr>
        <w:t>,</w:t>
      </w:r>
      <w:r w:rsidRPr="009E61C9">
        <w:rPr>
          <w:rFonts w:ascii="Garamond" w:hAnsi="Garamond"/>
          <w:sz w:val="22"/>
          <w:szCs w:val="22"/>
        </w:rPr>
        <w:t xml:space="preserve"> nous nous sommes servis de trois indicateurs</w:t>
      </w:r>
      <w:r w:rsidR="00E31D90" w:rsidRPr="009E61C9">
        <w:rPr>
          <w:rFonts w:ascii="Garamond" w:hAnsi="Garamond"/>
          <w:sz w:val="22"/>
          <w:szCs w:val="22"/>
        </w:rPr>
        <w:t> :</w:t>
      </w:r>
      <w:r w:rsidRPr="009E61C9">
        <w:rPr>
          <w:rFonts w:ascii="Garamond" w:hAnsi="Garamond"/>
          <w:sz w:val="22"/>
          <w:szCs w:val="22"/>
        </w:rPr>
        <w:t xml:space="preserve"> d’incapacité (GALI), de dépendance (ADL) et de qualité de vie (CASP) dont les taux de prévalence ont été repris à partir de l’enquête SHARE sur la population âgée de 50</w:t>
      </w:r>
      <w:r w:rsidR="00497999">
        <w:rPr>
          <w:rFonts w:ascii="Garamond" w:hAnsi="Garamond"/>
          <w:sz w:val="22"/>
          <w:szCs w:val="22"/>
        </w:rPr>
        <w:t xml:space="preserve"> ans</w:t>
      </w:r>
      <w:r w:rsidRPr="009E61C9">
        <w:rPr>
          <w:rFonts w:ascii="Garamond" w:hAnsi="Garamond"/>
          <w:sz w:val="22"/>
          <w:szCs w:val="22"/>
        </w:rPr>
        <w:t xml:space="preserve"> et </w:t>
      </w:r>
      <w:r w:rsidR="00497999">
        <w:rPr>
          <w:rFonts w:ascii="Garamond" w:hAnsi="Garamond"/>
          <w:sz w:val="22"/>
          <w:szCs w:val="22"/>
        </w:rPr>
        <w:t>plus</w:t>
      </w:r>
      <w:r w:rsidR="00E31D90" w:rsidRPr="009E61C9">
        <w:rPr>
          <w:rFonts w:ascii="Garamond" w:hAnsi="Garamond"/>
          <w:sz w:val="22"/>
          <w:szCs w:val="22"/>
        </w:rPr>
        <w:t xml:space="preserve"> et par sexe. </w:t>
      </w:r>
      <w:r w:rsidRPr="009E61C9">
        <w:rPr>
          <w:rFonts w:ascii="Garamond" w:hAnsi="Garamond"/>
          <w:sz w:val="22"/>
          <w:szCs w:val="22"/>
        </w:rPr>
        <w:t>Les résultats obtenus confirment les différences observées entre hommes et femmes en termes d’années « perdues » de vie p</w:t>
      </w:r>
      <w:r w:rsidR="00DD4BD3" w:rsidRPr="009E61C9">
        <w:rPr>
          <w:rFonts w:ascii="Garamond" w:hAnsi="Garamond"/>
          <w:sz w:val="22"/>
          <w:szCs w:val="22"/>
        </w:rPr>
        <w:t>ou</w:t>
      </w:r>
      <w:r w:rsidRPr="009E61C9">
        <w:rPr>
          <w:rFonts w:ascii="Garamond" w:hAnsi="Garamond"/>
          <w:sz w:val="22"/>
          <w:szCs w:val="22"/>
        </w:rPr>
        <w:t>r cause de mauvaise santé en faveur des premiers, mais aussi que ces écarts n’arrivent pas à compenser, à quelques rares exceptions près, les différences en termes d’espéran</w:t>
      </w:r>
      <w:r w:rsidR="00E31D90" w:rsidRPr="009E61C9">
        <w:rPr>
          <w:rFonts w:ascii="Garamond" w:hAnsi="Garamond"/>
          <w:sz w:val="22"/>
          <w:szCs w:val="22"/>
        </w:rPr>
        <w:t xml:space="preserve">ce de vie en faveur des femmes. Dans tous les pays analysés ici, </w:t>
      </w:r>
      <w:r w:rsidRPr="009E61C9">
        <w:rPr>
          <w:rFonts w:ascii="Garamond" w:hAnsi="Garamond"/>
          <w:sz w:val="22"/>
          <w:szCs w:val="22"/>
        </w:rPr>
        <w:t>les personnes en situation d’incapacité sont</w:t>
      </w:r>
      <w:r w:rsidR="00E31D90" w:rsidRPr="009E61C9">
        <w:rPr>
          <w:rFonts w:ascii="Garamond" w:hAnsi="Garamond"/>
          <w:sz w:val="22"/>
          <w:szCs w:val="22"/>
        </w:rPr>
        <w:t xml:space="preserve"> aidées ou bien bénéficient d’</w:t>
      </w:r>
      <w:r w:rsidRPr="009E61C9">
        <w:rPr>
          <w:rFonts w:ascii="Garamond" w:hAnsi="Garamond"/>
          <w:sz w:val="22"/>
          <w:szCs w:val="22"/>
        </w:rPr>
        <w:t xml:space="preserve">aides financières de la part d’institutions publiques et privées, mais de manière très inégale. C’est ainsi que la charge revient très souvent </w:t>
      </w:r>
      <w:r w:rsidR="00735691" w:rsidRPr="009E61C9">
        <w:rPr>
          <w:rFonts w:ascii="Garamond" w:hAnsi="Garamond"/>
          <w:sz w:val="22"/>
          <w:szCs w:val="22"/>
        </w:rPr>
        <w:t>à</w:t>
      </w:r>
      <w:r w:rsidRPr="009E61C9">
        <w:rPr>
          <w:rFonts w:ascii="Garamond" w:hAnsi="Garamond"/>
          <w:sz w:val="22"/>
          <w:szCs w:val="22"/>
        </w:rPr>
        <w:t xml:space="preserve"> la famille proche, conjoint</w:t>
      </w:r>
      <w:r w:rsidR="0073517B">
        <w:rPr>
          <w:rFonts w:ascii="Garamond" w:hAnsi="Garamond"/>
          <w:sz w:val="22"/>
          <w:szCs w:val="22"/>
        </w:rPr>
        <w:t>s</w:t>
      </w:r>
      <w:r w:rsidRPr="009E61C9">
        <w:rPr>
          <w:rFonts w:ascii="Garamond" w:hAnsi="Garamond"/>
          <w:sz w:val="22"/>
          <w:szCs w:val="22"/>
        </w:rPr>
        <w:t xml:space="preserve"> et enfants, </w:t>
      </w:r>
      <w:r w:rsidR="009C311B" w:rsidRPr="009E61C9">
        <w:rPr>
          <w:rFonts w:ascii="Garamond" w:hAnsi="Garamond"/>
          <w:sz w:val="22"/>
          <w:szCs w:val="22"/>
        </w:rPr>
        <w:t xml:space="preserve">souvent </w:t>
      </w:r>
      <w:r w:rsidRPr="009E61C9">
        <w:rPr>
          <w:rFonts w:ascii="Garamond" w:hAnsi="Garamond"/>
          <w:sz w:val="22"/>
          <w:szCs w:val="22"/>
        </w:rPr>
        <w:t xml:space="preserve">sur </w:t>
      </w:r>
      <w:r w:rsidR="009C311B" w:rsidRPr="009E61C9">
        <w:rPr>
          <w:rFonts w:ascii="Garamond" w:hAnsi="Garamond"/>
          <w:sz w:val="22"/>
          <w:szCs w:val="22"/>
        </w:rPr>
        <w:t>une longue période</w:t>
      </w:r>
      <w:r w:rsidRPr="009E61C9">
        <w:rPr>
          <w:rFonts w:ascii="Garamond" w:hAnsi="Garamond"/>
          <w:sz w:val="22"/>
          <w:szCs w:val="22"/>
        </w:rPr>
        <w:t>, particulièrement dans le cas des femmes</w:t>
      </w:r>
      <w:r w:rsidR="009C311B" w:rsidRPr="009E61C9">
        <w:rPr>
          <w:rFonts w:ascii="Garamond" w:hAnsi="Garamond"/>
          <w:sz w:val="22"/>
          <w:szCs w:val="22"/>
        </w:rPr>
        <w:t xml:space="preserve"> en situation de dépendance, comme le montrent nos estimations</w:t>
      </w:r>
      <w:r w:rsidRPr="009E61C9">
        <w:rPr>
          <w:rFonts w:ascii="Garamond" w:hAnsi="Garamond"/>
          <w:sz w:val="22"/>
          <w:szCs w:val="22"/>
        </w:rPr>
        <w:t xml:space="preserve">. Dans le cadre des débats en cours sur la création </w:t>
      </w:r>
      <w:r w:rsidRPr="00CD0302">
        <w:rPr>
          <w:rFonts w:ascii="Garamond" w:hAnsi="Garamond"/>
          <w:sz w:val="22"/>
          <w:szCs w:val="22"/>
        </w:rPr>
        <w:t>éventuelle d’une nouvelle branche de sécurité sociale, il apparaît qu’elle devrait ê</w:t>
      </w:r>
      <w:r w:rsidR="00E31D90" w:rsidRPr="00CD0302">
        <w:rPr>
          <w:rFonts w:ascii="Garamond" w:hAnsi="Garamond"/>
          <w:sz w:val="22"/>
          <w:szCs w:val="22"/>
        </w:rPr>
        <w:t>tre fondée sur un indicateur qui</w:t>
      </w:r>
      <w:r w:rsidRPr="00CD0302">
        <w:rPr>
          <w:rFonts w:ascii="Garamond" w:hAnsi="Garamond"/>
          <w:sz w:val="22"/>
          <w:szCs w:val="22"/>
        </w:rPr>
        <w:t xml:space="preserve"> soit le plus objectif possible au moment d’identifier les situations individuelles de dépendance, et l’ADL ou tout autre indicateur de ce type app</w:t>
      </w:r>
      <w:r w:rsidR="000C317F" w:rsidRPr="00CD0302">
        <w:rPr>
          <w:rFonts w:ascii="Garamond" w:hAnsi="Garamond"/>
          <w:sz w:val="22"/>
          <w:szCs w:val="22"/>
        </w:rPr>
        <w:t>araît comme le candidat idéal.</w:t>
      </w:r>
    </w:p>
    <w:p w14:paraId="45AB7795" w14:textId="77777777" w:rsidR="00497999" w:rsidRPr="00CD0302" w:rsidRDefault="00497999" w:rsidP="009E61C9">
      <w:pPr>
        <w:jc w:val="both"/>
        <w:rPr>
          <w:rFonts w:ascii="Garamond" w:hAnsi="Garamond"/>
          <w:sz w:val="22"/>
          <w:szCs w:val="22"/>
        </w:rPr>
      </w:pPr>
    </w:p>
    <w:p w14:paraId="453C4B95" w14:textId="2C4ED0E7" w:rsidR="00497999" w:rsidRDefault="00497999" w:rsidP="00497999">
      <w:pPr>
        <w:jc w:val="right"/>
        <w:rPr>
          <w:rFonts w:ascii="Garamond" w:hAnsi="Garamond"/>
          <w:sz w:val="22"/>
          <w:szCs w:val="22"/>
        </w:rPr>
      </w:pPr>
      <w:r w:rsidRPr="00CD0302">
        <w:rPr>
          <w:rFonts w:ascii="Garamond" w:hAnsi="Garamond"/>
          <w:sz w:val="22"/>
          <w:szCs w:val="22"/>
        </w:rPr>
        <w:t xml:space="preserve">DATE : </w:t>
      </w:r>
      <w:r w:rsidR="00CD0302" w:rsidRPr="00CD0302">
        <w:rPr>
          <w:rFonts w:ascii="Garamond" w:hAnsi="Garamond"/>
          <w:sz w:val="22"/>
          <w:szCs w:val="22"/>
        </w:rPr>
        <w:t>08/12/2023</w:t>
      </w:r>
    </w:p>
    <w:p w14:paraId="034F6AF6" w14:textId="77777777" w:rsidR="00497999" w:rsidRDefault="00497999" w:rsidP="009F24DF">
      <w:pPr>
        <w:rPr>
          <w:rFonts w:ascii="Garamond" w:hAnsi="Garamond"/>
          <w:sz w:val="22"/>
          <w:szCs w:val="22"/>
        </w:rPr>
      </w:pPr>
    </w:p>
    <w:p w14:paraId="7E04706E" w14:textId="77777777" w:rsidR="00104A93" w:rsidRDefault="00104A93" w:rsidP="009F24DF">
      <w:pPr>
        <w:rPr>
          <w:rFonts w:ascii="Garamond" w:hAnsi="Garamond"/>
          <w:sz w:val="22"/>
          <w:szCs w:val="22"/>
        </w:rPr>
      </w:pPr>
    </w:p>
    <w:p w14:paraId="09ABAE5F" w14:textId="12A7156F" w:rsidR="009F24DF" w:rsidRPr="00104A93" w:rsidRDefault="009F24DF" w:rsidP="009F24DF">
      <w:pPr>
        <w:jc w:val="both"/>
        <w:rPr>
          <w:rFonts w:ascii="Garamond" w:hAnsi="Garamond"/>
          <w:b/>
          <w:sz w:val="22"/>
          <w:szCs w:val="22"/>
        </w:rPr>
      </w:pPr>
      <w:r w:rsidRPr="00104A93">
        <w:rPr>
          <w:rFonts w:ascii="Garamond" w:hAnsi="Garamond"/>
          <w:b/>
          <w:sz w:val="22"/>
          <w:szCs w:val="22"/>
        </w:rPr>
        <w:t xml:space="preserve">Remerciements </w:t>
      </w:r>
    </w:p>
    <w:p w14:paraId="53FC1B2F" w14:textId="23B0D65C" w:rsidR="009F24DF" w:rsidRPr="00104A93" w:rsidRDefault="009F24DF" w:rsidP="009F24DF">
      <w:pPr>
        <w:jc w:val="both"/>
        <w:rPr>
          <w:rFonts w:ascii="Garamond" w:hAnsi="Garamond"/>
          <w:sz w:val="22"/>
          <w:szCs w:val="22"/>
        </w:rPr>
      </w:pPr>
      <w:r w:rsidRPr="00104A93">
        <w:rPr>
          <w:rFonts w:ascii="Garamond" w:hAnsi="Garamond"/>
          <w:sz w:val="22"/>
          <w:szCs w:val="22"/>
        </w:rPr>
        <w:t>Dans cet article nous utilisons les données de vagues 4, 5, 6 et 7 de l’enquête SHARE (10.6103/SHARE.w4.710, 10.6103/SHARE.w5.710, 10.6103/SHARE.w6.710, 10.6103/SHARE.w7.711), voir Börsch-Supan et al. (2013) pour les détails méthodologiques. La collecte des données SHARE a été financée par la Commission européenne au travers de FP5 (QLK6-CT-2001-00360), FP6 (SHARE-I3: RII-CT-2006-062193, COMPARE: CIT5-CT-2005-028857, SHARELIFE: CIT4-CT-2006-028812), FP7 (SHARE-PREP: GA n° 211909, SHARE-LEAP: GA n° 227822, SHARE M4: GA n° 261982, DASISH: GA n° 283646) et Horizon 2020 (SHARE-DEV3: GA n° 676536, SHARE-COHESION: GA n° 870628, SERISS: GA n° 654221, SSHOC: GA n° 823782) et par la DG Emploi, Affaires sociales et Inclusion. Ainsi que par des fonds apportés par le Ministère allemand en charge de l’Éducation et de la Recherche, la Société Max Planck pour l’Avancement de la Science, le National Institute on Aging américain (U01_AG09740-13S2, P01_AG005842, P01_AG08291, P30_AG12815, R21_AG025169, Y1-AG-4553-01, IAG_BSR06-11, OGHA_04-064, HHSN271201300071C) et par diverses sources de fonds nationales qui sont ici tous remerciés (voir www.share-project.org).</w:t>
      </w:r>
    </w:p>
    <w:p w14:paraId="1E93F9FC" w14:textId="7072E116" w:rsidR="009F24DF" w:rsidRDefault="009F24DF" w:rsidP="009F24DF">
      <w:pPr>
        <w:jc w:val="both"/>
        <w:rPr>
          <w:rFonts w:ascii="Garamond" w:hAnsi="Garamond"/>
          <w:sz w:val="22"/>
          <w:szCs w:val="22"/>
        </w:rPr>
      </w:pPr>
    </w:p>
    <w:p w14:paraId="1557BE6F" w14:textId="77777777" w:rsidR="00CF327F" w:rsidRPr="004555EA" w:rsidRDefault="00CF327F" w:rsidP="00C64429">
      <w:pPr>
        <w:jc w:val="center"/>
        <w:rPr>
          <w:rFonts w:ascii="Garamond" w:hAnsi="Garamond"/>
          <w:i/>
          <w:iCs/>
          <w:smallCaps/>
          <w:sz w:val="22"/>
          <w:szCs w:val="22"/>
        </w:rPr>
      </w:pPr>
    </w:p>
    <w:p w14:paraId="1BE90A25" w14:textId="77777777" w:rsidR="00CF327F" w:rsidRPr="004555EA" w:rsidRDefault="00CF327F" w:rsidP="00C64429">
      <w:pPr>
        <w:jc w:val="center"/>
        <w:rPr>
          <w:rFonts w:ascii="Garamond" w:hAnsi="Garamond"/>
          <w:i/>
          <w:iCs/>
          <w:smallCaps/>
          <w:sz w:val="22"/>
          <w:szCs w:val="22"/>
        </w:rPr>
      </w:pPr>
    </w:p>
    <w:p w14:paraId="15678621" w14:textId="77777777" w:rsidR="00CF327F" w:rsidRPr="004555EA" w:rsidRDefault="00CF327F" w:rsidP="00C64429">
      <w:pPr>
        <w:jc w:val="center"/>
        <w:rPr>
          <w:rFonts w:ascii="Garamond" w:hAnsi="Garamond"/>
          <w:i/>
          <w:iCs/>
          <w:smallCaps/>
          <w:sz w:val="22"/>
          <w:szCs w:val="22"/>
        </w:rPr>
      </w:pPr>
    </w:p>
    <w:p w14:paraId="373FB0C1" w14:textId="5636F526" w:rsidR="003A0BA0" w:rsidRPr="00C64429" w:rsidRDefault="001B3C99" w:rsidP="00C64429">
      <w:pPr>
        <w:jc w:val="center"/>
        <w:rPr>
          <w:rFonts w:ascii="Garamond" w:hAnsi="Garamond"/>
          <w:i/>
          <w:iCs/>
          <w:smallCaps/>
          <w:sz w:val="22"/>
          <w:szCs w:val="22"/>
          <w:lang w:val="en-GB"/>
        </w:rPr>
      </w:pPr>
      <w:r w:rsidRPr="00C64429">
        <w:rPr>
          <w:rFonts w:ascii="Garamond" w:hAnsi="Garamond"/>
          <w:i/>
          <w:iCs/>
          <w:smallCaps/>
          <w:sz w:val="22"/>
          <w:szCs w:val="22"/>
          <w:lang w:val="en-GB"/>
        </w:rPr>
        <w:t>Bibliographie</w:t>
      </w:r>
    </w:p>
    <w:p w14:paraId="68C5697E" w14:textId="77777777" w:rsidR="003A0BA0" w:rsidRPr="009E61C9" w:rsidRDefault="003A0BA0" w:rsidP="009E61C9">
      <w:pPr>
        <w:rPr>
          <w:rFonts w:ascii="Garamond" w:hAnsi="Garamond"/>
          <w:sz w:val="22"/>
          <w:szCs w:val="22"/>
          <w:lang w:val="en-GB"/>
        </w:rPr>
      </w:pPr>
    </w:p>
    <w:p w14:paraId="267C54E0" w14:textId="77777777" w:rsidR="00D84575" w:rsidRPr="009E61C9" w:rsidRDefault="00D84575" w:rsidP="00D84575">
      <w:pPr>
        <w:rPr>
          <w:rFonts w:ascii="Garamond" w:hAnsi="Garamond"/>
          <w:sz w:val="22"/>
          <w:szCs w:val="22"/>
          <w:lang w:val="en-US"/>
        </w:rPr>
      </w:pPr>
      <w:r w:rsidRPr="002A6496">
        <w:rPr>
          <w:rFonts w:ascii="Garamond" w:hAnsi="Garamond"/>
          <w:smallCaps/>
          <w:sz w:val="22"/>
          <w:szCs w:val="22"/>
          <w:lang w:val="en-US"/>
        </w:rPr>
        <w:t>Borrat-Besson C., Ryser V</w:t>
      </w:r>
      <w:r w:rsidRPr="009E61C9">
        <w:rPr>
          <w:rFonts w:ascii="Garamond" w:hAnsi="Garamond"/>
          <w:sz w:val="22"/>
          <w:szCs w:val="22"/>
          <w:lang w:val="en-US"/>
        </w:rPr>
        <w:t>.</w:t>
      </w:r>
      <w:r>
        <w:rPr>
          <w:rFonts w:ascii="Garamond" w:hAnsi="Garamond"/>
          <w:sz w:val="22"/>
          <w:szCs w:val="22"/>
          <w:lang w:val="en-US"/>
        </w:rPr>
        <w:t xml:space="preserve"> </w:t>
      </w:r>
      <w:r w:rsidRPr="009E61C9">
        <w:rPr>
          <w:rFonts w:ascii="Garamond" w:hAnsi="Garamond"/>
          <w:sz w:val="22"/>
          <w:szCs w:val="22"/>
          <w:lang w:val="en-US"/>
        </w:rPr>
        <w:t xml:space="preserve">A. et </w:t>
      </w:r>
      <w:r w:rsidRPr="002A6496">
        <w:rPr>
          <w:rFonts w:ascii="Garamond" w:hAnsi="Garamond"/>
          <w:smallCaps/>
          <w:sz w:val="22"/>
          <w:szCs w:val="22"/>
          <w:lang w:val="en-US"/>
        </w:rPr>
        <w:t>Gonçalves</w:t>
      </w:r>
      <w:r w:rsidRPr="009E61C9">
        <w:rPr>
          <w:rFonts w:ascii="Garamond" w:hAnsi="Garamond"/>
          <w:sz w:val="22"/>
          <w:szCs w:val="22"/>
          <w:lang w:val="en-US"/>
        </w:rPr>
        <w:t xml:space="preserve"> J. (2015), </w:t>
      </w:r>
      <w:r>
        <w:rPr>
          <w:rFonts w:ascii="Garamond" w:hAnsi="Garamond"/>
          <w:sz w:val="22"/>
          <w:szCs w:val="22"/>
          <w:lang w:val="en-US"/>
        </w:rPr>
        <w:t xml:space="preserve">« </w:t>
      </w:r>
      <w:r w:rsidRPr="009E61C9">
        <w:rPr>
          <w:rFonts w:ascii="Garamond" w:hAnsi="Garamond"/>
          <w:sz w:val="22"/>
          <w:szCs w:val="22"/>
          <w:lang w:val="en-US"/>
        </w:rPr>
        <w:t xml:space="preserve">An Evaluation </w:t>
      </w:r>
      <w:r>
        <w:rPr>
          <w:rFonts w:ascii="Garamond" w:hAnsi="Garamond"/>
          <w:sz w:val="22"/>
          <w:szCs w:val="22"/>
          <w:lang w:val="en-US"/>
        </w:rPr>
        <w:t>o</w:t>
      </w:r>
      <w:r w:rsidRPr="009E61C9">
        <w:rPr>
          <w:rFonts w:ascii="Garamond" w:hAnsi="Garamond"/>
          <w:sz w:val="22"/>
          <w:szCs w:val="22"/>
          <w:lang w:val="en-US"/>
        </w:rPr>
        <w:t xml:space="preserve">f </w:t>
      </w:r>
      <w:r>
        <w:rPr>
          <w:rFonts w:ascii="Garamond" w:hAnsi="Garamond"/>
          <w:sz w:val="22"/>
          <w:szCs w:val="22"/>
          <w:lang w:val="en-US"/>
        </w:rPr>
        <w:t>t</w:t>
      </w:r>
      <w:r w:rsidRPr="009E61C9">
        <w:rPr>
          <w:rFonts w:ascii="Garamond" w:hAnsi="Garamond"/>
          <w:sz w:val="22"/>
          <w:szCs w:val="22"/>
          <w:lang w:val="en-US"/>
        </w:rPr>
        <w:t xml:space="preserve">he Casp-12 Scales Used </w:t>
      </w:r>
      <w:r>
        <w:rPr>
          <w:rFonts w:ascii="Garamond" w:hAnsi="Garamond"/>
          <w:sz w:val="22"/>
          <w:szCs w:val="22"/>
          <w:lang w:val="en-US"/>
        </w:rPr>
        <w:t>i</w:t>
      </w:r>
      <w:r w:rsidRPr="009E61C9">
        <w:rPr>
          <w:rFonts w:ascii="Garamond" w:hAnsi="Garamond"/>
          <w:sz w:val="22"/>
          <w:szCs w:val="22"/>
          <w:lang w:val="en-US"/>
        </w:rPr>
        <w:t xml:space="preserve">n Share </w:t>
      </w:r>
      <w:r>
        <w:rPr>
          <w:rFonts w:ascii="Garamond" w:hAnsi="Garamond"/>
          <w:sz w:val="22"/>
          <w:szCs w:val="22"/>
          <w:lang w:val="en-US"/>
        </w:rPr>
        <w:t>t</w:t>
      </w:r>
      <w:r w:rsidRPr="009E61C9">
        <w:rPr>
          <w:rFonts w:ascii="Garamond" w:hAnsi="Garamond"/>
          <w:sz w:val="22"/>
          <w:szCs w:val="22"/>
          <w:lang w:val="en-US"/>
        </w:rPr>
        <w:t xml:space="preserve">o Measure Quality </w:t>
      </w:r>
      <w:r>
        <w:rPr>
          <w:rFonts w:ascii="Garamond" w:hAnsi="Garamond"/>
          <w:sz w:val="22"/>
          <w:szCs w:val="22"/>
          <w:lang w:val="en-US"/>
        </w:rPr>
        <w:t>o</w:t>
      </w:r>
      <w:r w:rsidRPr="009E61C9">
        <w:rPr>
          <w:rFonts w:ascii="Garamond" w:hAnsi="Garamond"/>
          <w:sz w:val="22"/>
          <w:szCs w:val="22"/>
          <w:lang w:val="en-US"/>
        </w:rPr>
        <w:t>f Life Among People Aged 50+</w:t>
      </w:r>
      <w:r>
        <w:rPr>
          <w:rFonts w:ascii="Garamond" w:hAnsi="Garamond"/>
          <w:sz w:val="22"/>
          <w:szCs w:val="22"/>
          <w:lang w:val="en-US"/>
        </w:rPr>
        <w:t xml:space="preserve"> »</w:t>
      </w:r>
      <w:r w:rsidRPr="009E61C9">
        <w:rPr>
          <w:rFonts w:ascii="Garamond" w:hAnsi="Garamond"/>
          <w:sz w:val="22"/>
          <w:szCs w:val="22"/>
          <w:lang w:val="en-US"/>
        </w:rPr>
        <w:t>, FORS</w:t>
      </w:r>
      <w:r>
        <w:rPr>
          <w:rFonts w:ascii="Garamond" w:hAnsi="Garamond"/>
          <w:sz w:val="22"/>
          <w:szCs w:val="22"/>
          <w:lang w:val="en-US"/>
        </w:rPr>
        <w:t>,</w:t>
      </w:r>
      <w:r w:rsidRPr="009E61C9">
        <w:rPr>
          <w:rFonts w:ascii="Garamond" w:hAnsi="Garamond"/>
          <w:sz w:val="22"/>
          <w:szCs w:val="22"/>
          <w:lang w:val="en-US"/>
        </w:rPr>
        <w:t xml:space="preserve"> </w:t>
      </w:r>
      <w:r w:rsidRPr="00291338">
        <w:rPr>
          <w:rFonts w:ascii="Garamond" w:hAnsi="Garamond"/>
          <w:i/>
          <w:iCs/>
          <w:sz w:val="22"/>
          <w:szCs w:val="22"/>
          <w:lang w:val="en-US"/>
        </w:rPr>
        <w:t>Working Paper</w:t>
      </w:r>
      <w:r>
        <w:rPr>
          <w:rFonts w:ascii="Garamond" w:hAnsi="Garamond"/>
          <w:sz w:val="22"/>
          <w:szCs w:val="22"/>
          <w:lang w:val="en-US"/>
        </w:rPr>
        <w:t>, n°</w:t>
      </w:r>
      <w:r w:rsidRPr="009E61C9">
        <w:rPr>
          <w:rFonts w:ascii="Garamond" w:hAnsi="Garamond"/>
          <w:sz w:val="22"/>
          <w:szCs w:val="22"/>
          <w:lang w:val="en-US"/>
        </w:rPr>
        <w:t xml:space="preserve"> 2015-4.</w:t>
      </w:r>
    </w:p>
    <w:p w14:paraId="0AD0E8C6" w14:textId="77777777" w:rsidR="00D84575" w:rsidRPr="009E61C9" w:rsidRDefault="00D84575" w:rsidP="00D84575">
      <w:pPr>
        <w:rPr>
          <w:rFonts w:ascii="Garamond" w:hAnsi="Garamond"/>
          <w:sz w:val="22"/>
          <w:szCs w:val="22"/>
          <w:lang w:val="en-US"/>
        </w:rPr>
      </w:pPr>
    </w:p>
    <w:p w14:paraId="119C51C3" w14:textId="2DA0C7A6" w:rsidR="000A0EF7" w:rsidRPr="009E61C9" w:rsidRDefault="008E5C41" w:rsidP="009E61C9">
      <w:pPr>
        <w:rPr>
          <w:rFonts w:ascii="Garamond" w:hAnsi="Garamond"/>
          <w:sz w:val="22"/>
          <w:szCs w:val="22"/>
          <w:lang w:val="en-US"/>
        </w:rPr>
      </w:pPr>
      <w:r w:rsidRPr="002A6496">
        <w:rPr>
          <w:rFonts w:ascii="Garamond" w:hAnsi="Garamond"/>
          <w:smallCaps/>
          <w:sz w:val="22"/>
          <w:szCs w:val="22"/>
          <w:lang w:val="nl-BE"/>
        </w:rPr>
        <w:t>Börsch-Supan A., Brandt</w:t>
      </w:r>
      <w:r w:rsidR="00057417" w:rsidRPr="002A6496">
        <w:rPr>
          <w:rFonts w:ascii="Garamond" w:hAnsi="Garamond"/>
          <w:smallCaps/>
          <w:sz w:val="22"/>
          <w:szCs w:val="22"/>
          <w:lang w:val="nl-BE"/>
        </w:rPr>
        <w:t xml:space="preserve"> M.</w:t>
      </w:r>
      <w:r w:rsidRPr="002A6496">
        <w:rPr>
          <w:rFonts w:ascii="Garamond" w:hAnsi="Garamond"/>
          <w:smallCaps/>
          <w:sz w:val="22"/>
          <w:szCs w:val="22"/>
          <w:lang w:val="nl-BE"/>
        </w:rPr>
        <w:t>, Hunkler</w:t>
      </w:r>
      <w:r w:rsidR="00057417" w:rsidRPr="002A6496">
        <w:rPr>
          <w:rFonts w:ascii="Garamond" w:hAnsi="Garamond"/>
          <w:smallCaps/>
          <w:sz w:val="22"/>
          <w:szCs w:val="22"/>
          <w:lang w:val="nl-BE"/>
        </w:rPr>
        <w:t xml:space="preserve"> C.,</w:t>
      </w:r>
      <w:r w:rsidRPr="002A6496">
        <w:rPr>
          <w:rFonts w:ascii="Garamond" w:hAnsi="Garamond"/>
          <w:smallCaps/>
          <w:sz w:val="22"/>
          <w:szCs w:val="22"/>
          <w:lang w:val="nl-BE"/>
        </w:rPr>
        <w:t xml:space="preserve"> Kneip</w:t>
      </w:r>
      <w:r w:rsidR="00057417" w:rsidRPr="002A6496">
        <w:rPr>
          <w:rFonts w:ascii="Garamond" w:hAnsi="Garamond"/>
          <w:smallCaps/>
          <w:sz w:val="22"/>
          <w:szCs w:val="22"/>
          <w:lang w:val="nl-BE"/>
        </w:rPr>
        <w:t xml:space="preserve"> T.</w:t>
      </w:r>
      <w:r w:rsidRPr="002A6496">
        <w:rPr>
          <w:rFonts w:ascii="Garamond" w:hAnsi="Garamond"/>
          <w:smallCaps/>
          <w:sz w:val="22"/>
          <w:szCs w:val="22"/>
          <w:lang w:val="nl-BE"/>
        </w:rPr>
        <w:t>, Korbmacher</w:t>
      </w:r>
      <w:r w:rsidR="00057417" w:rsidRPr="002A6496">
        <w:rPr>
          <w:rFonts w:ascii="Garamond" w:hAnsi="Garamond"/>
          <w:smallCaps/>
          <w:sz w:val="22"/>
          <w:szCs w:val="22"/>
          <w:lang w:val="nl-BE"/>
        </w:rPr>
        <w:t xml:space="preserve"> J.</w:t>
      </w:r>
      <w:r w:rsidRPr="002A6496">
        <w:rPr>
          <w:rFonts w:ascii="Garamond" w:hAnsi="Garamond"/>
          <w:smallCaps/>
          <w:sz w:val="22"/>
          <w:szCs w:val="22"/>
          <w:lang w:val="nl-BE"/>
        </w:rPr>
        <w:t>, Malter</w:t>
      </w:r>
      <w:r w:rsidR="00057417" w:rsidRPr="002A6496">
        <w:rPr>
          <w:rFonts w:ascii="Garamond" w:hAnsi="Garamond"/>
          <w:smallCaps/>
          <w:sz w:val="22"/>
          <w:szCs w:val="22"/>
          <w:lang w:val="nl-BE"/>
        </w:rPr>
        <w:t xml:space="preserve"> F.</w:t>
      </w:r>
      <w:r w:rsidRPr="002A6496">
        <w:rPr>
          <w:rFonts w:ascii="Garamond" w:hAnsi="Garamond"/>
          <w:smallCaps/>
          <w:sz w:val="22"/>
          <w:szCs w:val="22"/>
          <w:lang w:val="nl-BE"/>
        </w:rPr>
        <w:t>, Schaan</w:t>
      </w:r>
      <w:r w:rsidR="00057417" w:rsidRPr="002A6496">
        <w:rPr>
          <w:rFonts w:ascii="Garamond" w:hAnsi="Garamond"/>
          <w:smallCaps/>
          <w:sz w:val="22"/>
          <w:szCs w:val="22"/>
          <w:lang w:val="nl-BE"/>
        </w:rPr>
        <w:t xml:space="preserve"> B.</w:t>
      </w:r>
      <w:r w:rsidRPr="002A6496">
        <w:rPr>
          <w:rFonts w:ascii="Garamond" w:hAnsi="Garamond"/>
          <w:smallCaps/>
          <w:sz w:val="22"/>
          <w:szCs w:val="22"/>
          <w:lang w:val="nl-BE"/>
        </w:rPr>
        <w:t>, Stuck</w:t>
      </w:r>
      <w:r w:rsidR="00057417" w:rsidRPr="002A6496">
        <w:rPr>
          <w:rFonts w:ascii="Garamond" w:hAnsi="Garamond"/>
          <w:smallCaps/>
          <w:sz w:val="22"/>
          <w:szCs w:val="22"/>
          <w:lang w:val="nl-BE"/>
        </w:rPr>
        <w:t xml:space="preserve"> S. et </w:t>
      </w:r>
      <w:r w:rsidRPr="002A6496">
        <w:rPr>
          <w:rFonts w:ascii="Garamond" w:hAnsi="Garamond"/>
          <w:smallCaps/>
          <w:sz w:val="22"/>
          <w:szCs w:val="22"/>
          <w:lang w:val="nl-BE"/>
        </w:rPr>
        <w:t>Zuber</w:t>
      </w:r>
      <w:r w:rsidRPr="009E61C9">
        <w:rPr>
          <w:rFonts w:ascii="Garamond" w:hAnsi="Garamond"/>
          <w:sz w:val="22"/>
          <w:szCs w:val="22"/>
          <w:lang w:val="nl-BE"/>
        </w:rPr>
        <w:t xml:space="preserve"> </w:t>
      </w:r>
      <w:r w:rsidR="00057417">
        <w:rPr>
          <w:rFonts w:ascii="Garamond" w:hAnsi="Garamond"/>
          <w:sz w:val="22"/>
          <w:szCs w:val="22"/>
          <w:lang w:val="nl-BE"/>
        </w:rPr>
        <w:t xml:space="preserve">S. </w:t>
      </w:r>
      <w:r w:rsidRPr="009E61C9">
        <w:rPr>
          <w:rFonts w:ascii="Garamond" w:hAnsi="Garamond"/>
          <w:sz w:val="22"/>
          <w:szCs w:val="22"/>
          <w:lang w:val="nl-BE"/>
        </w:rPr>
        <w:t>(2013)</w:t>
      </w:r>
      <w:r w:rsidR="00057417">
        <w:rPr>
          <w:rFonts w:ascii="Garamond" w:hAnsi="Garamond"/>
          <w:sz w:val="22"/>
          <w:szCs w:val="22"/>
          <w:lang w:val="nl-BE"/>
        </w:rPr>
        <w:t>,</w:t>
      </w:r>
      <w:r w:rsidRPr="009E61C9">
        <w:rPr>
          <w:rFonts w:ascii="Garamond" w:hAnsi="Garamond"/>
          <w:sz w:val="22"/>
          <w:szCs w:val="22"/>
          <w:lang w:val="nl-BE"/>
        </w:rPr>
        <w:t> </w:t>
      </w:r>
      <w:r w:rsidR="00CF327F" w:rsidRPr="004555EA">
        <w:rPr>
          <w:rFonts w:ascii="Garamond" w:hAnsi="Garamond"/>
          <w:sz w:val="22"/>
          <w:szCs w:val="22"/>
          <w:lang w:val="en-US"/>
        </w:rPr>
        <w:t>« </w:t>
      </w:r>
      <w:r w:rsidRPr="00057417">
        <w:rPr>
          <w:rStyle w:val="Accentuation"/>
          <w:rFonts w:ascii="Garamond" w:hAnsi="Garamond"/>
          <w:i w:val="0"/>
          <w:iCs w:val="0"/>
          <w:sz w:val="22"/>
          <w:szCs w:val="22"/>
          <w:lang w:val="en-GB"/>
        </w:rPr>
        <w:t xml:space="preserve">Data Resource Profile: </w:t>
      </w:r>
      <w:r w:rsidR="00057417" w:rsidRPr="00057417">
        <w:rPr>
          <w:rStyle w:val="Accentuation"/>
          <w:rFonts w:ascii="Garamond" w:hAnsi="Garamond"/>
          <w:i w:val="0"/>
          <w:iCs w:val="0"/>
          <w:sz w:val="22"/>
          <w:szCs w:val="22"/>
          <w:lang w:val="en-GB"/>
        </w:rPr>
        <w:t>t</w:t>
      </w:r>
      <w:r w:rsidRPr="00057417">
        <w:rPr>
          <w:rStyle w:val="Accentuation"/>
          <w:rFonts w:ascii="Garamond" w:hAnsi="Garamond"/>
          <w:i w:val="0"/>
          <w:iCs w:val="0"/>
          <w:sz w:val="22"/>
          <w:szCs w:val="22"/>
          <w:lang w:val="en-GB"/>
        </w:rPr>
        <w:t>he Survey of Health, Ageing and Retirement in Europe (SHARE)</w:t>
      </w:r>
      <w:r w:rsidR="00CF327F">
        <w:rPr>
          <w:rStyle w:val="Accentuation"/>
          <w:rFonts w:ascii="Garamond" w:hAnsi="Garamond"/>
          <w:i w:val="0"/>
          <w:iCs w:val="0"/>
          <w:sz w:val="22"/>
          <w:szCs w:val="22"/>
          <w:lang w:val="en-GB"/>
        </w:rPr>
        <w:t xml:space="preserve"> »</w:t>
      </w:r>
      <w:r w:rsidR="00057417">
        <w:rPr>
          <w:rStyle w:val="Accentuation"/>
          <w:rFonts w:ascii="Garamond" w:hAnsi="Garamond"/>
          <w:i w:val="0"/>
          <w:iCs w:val="0"/>
          <w:sz w:val="22"/>
          <w:szCs w:val="22"/>
          <w:lang w:val="en-GB"/>
        </w:rPr>
        <w:t>,</w:t>
      </w:r>
      <w:r w:rsidRPr="00057417">
        <w:rPr>
          <w:rFonts w:ascii="Garamond" w:hAnsi="Garamond"/>
          <w:i/>
          <w:iCs/>
          <w:sz w:val="22"/>
          <w:szCs w:val="22"/>
          <w:lang w:val="en-GB"/>
        </w:rPr>
        <w:t xml:space="preserve"> </w:t>
      </w:r>
      <w:r w:rsidRPr="00057417">
        <w:rPr>
          <w:rFonts w:ascii="Garamond" w:hAnsi="Garamond"/>
          <w:i/>
          <w:iCs/>
          <w:sz w:val="22"/>
          <w:szCs w:val="22"/>
          <w:lang w:val="en-US"/>
        </w:rPr>
        <w:t>International</w:t>
      </w:r>
      <w:r w:rsidRPr="009E61C9">
        <w:rPr>
          <w:rFonts w:ascii="Garamond" w:hAnsi="Garamond"/>
          <w:sz w:val="22"/>
          <w:szCs w:val="22"/>
          <w:lang w:val="en-US"/>
        </w:rPr>
        <w:t xml:space="preserve"> </w:t>
      </w:r>
      <w:r w:rsidRPr="00057417">
        <w:rPr>
          <w:rFonts w:ascii="Garamond" w:hAnsi="Garamond"/>
          <w:i/>
          <w:iCs/>
          <w:sz w:val="22"/>
          <w:szCs w:val="22"/>
          <w:lang w:val="en-US"/>
        </w:rPr>
        <w:t>Journal of Epidemiology</w:t>
      </w:r>
      <w:r w:rsidRPr="009E61C9">
        <w:rPr>
          <w:rFonts w:ascii="Garamond" w:hAnsi="Garamond"/>
          <w:sz w:val="22"/>
          <w:szCs w:val="22"/>
          <w:lang w:val="en-US"/>
        </w:rPr>
        <w:t xml:space="preserve">. </w:t>
      </w:r>
    </w:p>
    <w:p w14:paraId="6EF7CF88" w14:textId="77777777" w:rsidR="004E16AE" w:rsidRPr="009E61C9" w:rsidRDefault="004E16AE" w:rsidP="009E61C9">
      <w:pPr>
        <w:rPr>
          <w:rFonts w:ascii="Garamond" w:hAnsi="Garamond"/>
          <w:sz w:val="22"/>
          <w:szCs w:val="22"/>
          <w:lang w:val="en-GB"/>
        </w:rPr>
      </w:pPr>
    </w:p>
    <w:p w14:paraId="4D3D9681" w14:textId="619D7792" w:rsidR="00506F88" w:rsidRPr="009E61C9" w:rsidRDefault="00506F88" w:rsidP="009E61C9">
      <w:pPr>
        <w:jc w:val="both"/>
        <w:rPr>
          <w:rFonts w:ascii="Garamond" w:hAnsi="Garamond" w:cs="AdvTT3713a231"/>
          <w:sz w:val="22"/>
          <w:szCs w:val="22"/>
          <w:lang w:val="en-US"/>
        </w:rPr>
      </w:pPr>
      <w:r w:rsidRPr="002A6496">
        <w:rPr>
          <w:rFonts w:ascii="Garamond" w:hAnsi="Garamond" w:cs="AdvTT3713a231"/>
          <w:smallCaps/>
          <w:sz w:val="22"/>
          <w:szCs w:val="22"/>
          <w:lang w:val="en-US"/>
        </w:rPr>
        <w:t>Cambois E., Labord</w:t>
      </w:r>
      <w:r w:rsidR="00F05F92" w:rsidRPr="002A6496">
        <w:rPr>
          <w:rFonts w:ascii="Garamond" w:hAnsi="Garamond" w:cs="AdvTT3713a231"/>
          <w:smallCaps/>
          <w:sz w:val="22"/>
          <w:szCs w:val="22"/>
          <w:lang w:val="en-US"/>
        </w:rPr>
        <w:t>e C., Romieu</w:t>
      </w:r>
      <w:r w:rsidR="00F05F92" w:rsidRPr="009E61C9">
        <w:rPr>
          <w:rFonts w:ascii="Garamond" w:hAnsi="Garamond" w:cs="AdvTT3713a231"/>
          <w:sz w:val="22"/>
          <w:szCs w:val="22"/>
          <w:lang w:val="en-US"/>
        </w:rPr>
        <w:t xml:space="preserve"> I. et </w:t>
      </w:r>
      <w:r w:rsidR="00F05F92" w:rsidRPr="002A6496">
        <w:rPr>
          <w:rFonts w:ascii="Garamond" w:hAnsi="Garamond" w:cs="AdvTT3713a231"/>
          <w:smallCaps/>
          <w:sz w:val="22"/>
          <w:szCs w:val="22"/>
          <w:lang w:val="en-US"/>
        </w:rPr>
        <w:t>Robine</w:t>
      </w:r>
      <w:r w:rsidRPr="009E61C9">
        <w:rPr>
          <w:rFonts w:ascii="Garamond" w:hAnsi="Garamond" w:cs="AdvTT3713a231"/>
          <w:sz w:val="22"/>
          <w:szCs w:val="22"/>
          <w:lang w:val="en-US"/>
        </w:rPr>
        <w:t xml:space="preserve"> </w:t>
      </w:r>
      <w:r w:rsidR="00291338" w:rsidRPr="009E61C9">
        <w:rPr>
          <w:rFonts w:ascii="Garamond" w:hAnsi="Garamond" w:cs="AdvTT3713a231"/>
          <w:sz w:val="22"/>
          <w:szCs w:val="22"/>
          <w:lang w:val="en-US"/>
        </w:rPr>
        <w:t xml:space="preserve">J.-M. </w:t>
      </w:r>
      <w:r w:rsidRPr="009E61C9">
        <w:rPr>
          <w:rFonts w:ascii="Garamond" w:hAnsi="Garamond" w:cs="AdvTT3713a231"/>
          <w:sz w:val="22"/>
          <w:szCs w:val="22"/>
          <w:lang w:val="en-US"/>
        </w:rPr>
        <w:t>(2011)</w:t>
      </w:r>
      <w:r w:rsidR="00E37F61" w:rsidRPr="009E61C9">
        <w:rPr>
          <w:rFonts w:ascii="Garamond" w:hAnsi="Garamond" w:cs="AdvTT3713a231"/>
          <w:sz w:val="22"/>
          <w:szCs w:val="22"/>
          <w:lang w:val="en-US"/>
        </w:rPr>
        <w:t>,</w:t>
      </w:r>
      <w:r w:rsidRPr="009E61C9">
        <w:rPr>
          <w:rFonts w:ascii="Garamond" w:hAnsi="Garamond" w:cs="AdvTT3713a231"/>
          <w:sz w:val="22"/>
          <w:szCs w:val="22"/>
          <w:lang w:val="en-US"/>
        </w:rPr>
        <w:t xml:space="preserve"> </w:t>
      </w:r>
      <w:r w:rsidR="00CF327F">
        <w:rPr>
          <w:rFonts w:ascii="Garamond" w:hAnsi="Garamond" w:cs="AdvTT3713a231"/>
          <w:sz w:val="22"/>
          <w:szCs w:val="22"/>
          <w:lang w:val="en-US"/>
        </w:rPr>
        <w:t xml:space="preserve">« </w:t>
      </w:r>
      <w:r w:rsidR="00291338" w:rsidRPr="009E61C9">
        <w:rPr>
          <w:rFonts w:ascii="Garamond" w:hAnsi="Garamond" w:cs="AdvTT3713a231"/>
          <w:sz w:val="22"/>
          <w:szCs w:val="22"/>
          <w:lang w:val="en-ZA"/>
        </w:rPr>
        <w:t xml:space="preserve">Occupational Inequalities </w:t>
      </w:r>
      <w:r w:rsidR="00291338">
        <w:rPr>
          <w:rFonts w:ascii="Garamond" w:hAnsi="Garamond" w:cs="AdvTT3713a231"/>
          <w:sz w:val="22"/>
          <w:szCs w:val="22"/>
          <w:lang w:val="en-ZA"/>
        </w:rPr>
        <w:t>i</w:t>
      </w:r>
      <w:r w:rsidR="00291338" w:rsidRPr="009E61C9">
        <w:rPr>
          <w:rFonts w:ascii="Garamond" w:hAnsi="Garamond" w:cs="AdvTT3713a231"/>
          <w:sz w:val="22"/>
          <w:szCs w:val="22"/>
          <w:lang w:val="en-ZA"/>
        </w:rPr>
        <w:t xml:space="preserve">n Health Expectancies </w:t>
      </w:r>
      <w:r w:rsidR="00291338">
        <w:rPr>
          <w:rFonts w:ascii="Garamond" w:hAnsi="Garamond" w:cs="AdvTT3713a231"/>
          <w:sz w:val="22"/>
          <w:szCs w:val="22"/>
          <w:lang w:val="en-ZA"/>
        </w:rPr>
        <w:t>i</w:t>
      </w:r>
      <w:r w:rsidR="00291338" w:rsidRPr="009E61C9">
        <w:rPr>
          <w:rFonts w:ascii="Garamond" w:hAnsi="Garamond" w:cs="AdvTT3713a231"/>
          <w:sz w:val="22"/>
          <w:szCs w:val="22"/>
          <w:lang w:val="en-ZA"/>
        </w:rPr>
        <w:t xml:space="preserve">n France </w:t>
      </w:r>
      <w:r w:rsidR="00291338">
        <w:rPr>
          <w:rFonts w:ascii="Garamond" w:hAnsi="Garamond" w:cs="AdvTT3713a231"/>
          <w:sz w:val="22"/>
          <w:szCs w:val="22"/>
          <w:lang w:val="en-ZA"/>
        </w:rPr>
        <w:t>i</w:t>
      </w:r>
      <w:r w:rsidR="00291338" w:rsidRPr="009E61C9">
        <w:rPr>
          <w:rFonts w:ascii="Garamond" w:hAnsi="Garamond" w:cs="AdvTT3713a231"/>
          <w:sz w:val="22"/>
          <w:szCs w:val="22"/>
          <w:lang w:val="en-ZA"/>
        </w:rPr>
        <w:t xml:space="preserve">n </w:t>
      </w:r>
      <w:r w:rsidR="00291338">
        <w:rPr>
          <w:rFonts w:ascii="Garamond" w:hAnsi="Garamond" w:cs="AdvTT3713a231"/>
          <w:sz w:val="22"/>
          <w:szCs w:val="22"/>
          <w:lang w:val="en-ZA"/>
        </w:rPr>
        <w:t>t</w:t>
      </w:r>
      <w:r w:rsidR="00291338" w:rsidRPr="009E61C9">
        <w:rPr>
          <w:rFonts w:ascii="Garamond" w:hAnsi="Garamond" w:cs="AdvTT3713a231"/>
          <w:sz w:val="22"/>
          <w:szCs w:val="22"/>
          <w:lang w:val="en-ZA"/>
        </w:rPr>
        <w:t xml:space="preserve">he Early 2000s: Unequal Chances </w:t>
      </w:r>
      <w:r w:rsidR="00291338">
        <w:rPr>
          <w:rFonts w:ascii="Garamond" w:hAnsi="Garamond" w:cs="AdvTT3713a231"/>
          <w:sz w:val="22"/>
          <w:szCs w:val="22"/>
          <w:lang w:val="en-ZA"/>
        </w:rPr>
        <w:t>o</w:t>
      </w:r>
      <w:r w:rsidR="00291338" w:rsidRPr="009E61C9">
        <w:rPr>
          <w:rFonts w:ascii="Garamond" w:hAnsi="Garamond" w:cs="AdvTT3713a231"/>
          <w:sz w:val="22"/>
          <w:szCs w:val="22"/>
          <w:lang w:val="en-ZA"/>
        </w:rPr>
        <w:t xml:space="preserve">f Reaching </w:t>
      </w:r>
      <w:r w:rsidR="00291338">
        <w:rPr>
          <w:rFonts w:ascii="Garamond" w:hAnsi="Garamond" w:cs="AdvTT3713a231"/>
          <w:sz w:val="22"/>
          <w:szCs w:val="22"/>
          <w:lang w:val="en-ZA"/>
        </w:rPr>
        <w:t>a</w:t>
      </w:r>
      <w:r w:rsidR="00291338" w:rsidRPr="009E61C9">
        <w:rPr>
          <w:rFonts w:ascii="Garamond" w:hAnsi="Garamond" w:cs="AdvTT3713a231"/>
          <w:sz w:val="22"/>
          <w:szCs w:val="22"/>
          <w:lang w:val="en-ZA"/>
        </w:rPr>
        <w:t xml:space="preserve">nd Living Retirement </w:t>
      </w:r>
      <w:r w:rsidR="00291338">
        <w:rPr>
          <w:rFonts w:ascii="Garamond" w:hAnsi="Garamond" w:cs="AdvTT3713a231"/>
          <w:sz w:val="22"/>
          <w:szCs w:val="22"/>
          <w:lang w:val="en-ZA"/>
        </w:rPr>
        <w:t>i</w:t>
      </w:r>
      <w:r w:rsidR="00291338" w:rsidRPr="009E61C9">
        <w:rPr>
          <w:rFonts w:ascii="Garamond" w:hAnsi="Garamond" w:cs="AdvTT3713a231"/>
          <w:sz w:val="22"/>
          <w:szCs w:val="22"/>
          <w:lang w:val="en-ZA"/>
        </w:rPr>
        <w:t>n Good Health</w:t>
      </w:r>
      <w:r w:rsidR="00CF327F">
        <w:rPr>
          <w:rFonts w:ascii="Garamond" w:hAnsi="Garamond" w:cs="AdvTT3713a231"/>
          <w:sz w:val="22"/>
          <w:szCs w:val="22"/>
          <w:lang w:val="en-ZA"/>
        </w:rPr>
        <w:t xml:space="preserve"> »</w:t>
      </w:r>
      <w:r w:rsidR="00E37F61" w:rsidRPr="009E61C9">
        <w:rPr>
          <w:rFonts w:ascii="Garamond" w:hAnsi="Garamond" w:cs="AdvTT3713a231"/>
          <w:sz w:val="22"/>
          <w:szCs w:val="22"/>
          <w:lang w:val="en-ZA"/>
        </w:rPr>
        <w:t>,</w:t>
      </w:r>
      <w:r w:rsidRPr="009E61C9">
        <w:rPr>
          <w:rFonts w:ascii="Garamond" w:hAnsi="Garamond" w:cs="AdvTT3713a231"/>
          <w:sz w:val="22"/>
          <w:szCs w:val="22"/>
          <w:lang w:val="en-ZA"/>
        </w:rPr>
        <w:t xml:space="preserve"> </w:t>
      </w:r>
      <w:r w:rsidRPr="005054CE">
        <w:rPr>
          <w:rFonts w:ascii="Garamond" w:hAnsi="Garamond" w:cs="Courier New"/>
          <w:i/>
          <w:iCs/>
          <w:sz w:val="22"/>
          <w:szCs w:val="22"/>
          <w:lang w:val="en-US" w:eastAsia="fr-FR"/>
        </w:rPr>
        <w:t>Demogr</w:t>
      </w:r>
      <w:r w:rsidR="005054CE" w:rsidRPr="005054CE">
        <w:rPr>
          <w:rFonts w:ascii="Garamond" w:hAnsi="Garamond" w:cs="Courier New"/>
          <w:i/>
          <w:iCs/>
          <w:sz w:val="22"/>
          <w:szCs w:val="22"/>
          <w:lang w:val="en-US" w:eastAsia="fr-FR"/>
        </w:rPr>
        <w:t>aphic</w:t>
      </w:r>
      <w:r w:rsidRPr="005054CE">
        <w:rPr>
          <w:rFonts w:ascii="Garamond" w:hAnsi="Garamond" w:cs="Courier New"/>
          <w:i/>
          <w:iCs/>
          <w:sz w:val="22"/>
          <w:szCs w:val="22"/>
          <w:lang w:val="en-US" w:eastAsia="fr-FR"/>
        </w:rPr>
        <w:t xml:space="preserve"> Res</w:t>
      </w:r>
      <w:r w:rsidR="005054CE" w:rsidRPr="005054CE">
        <w:rPr>
          <w:rFonts w:ascii="Garamond" w:hAnsi="Garamond" w:cs="Courier New"/>
          <w:i/>
          <w:iCs/>
          <w:sz w:val="22"/>
          <w:szCs w:val="22"/>
          <w:lang w:val="en-US" w:eastAsia="fr-FR"/>
        </w:rPr>
        <w:t>earch</w:t>
      </w:r>
      <w:r w:rsidRPr="009E61C9">
        <w:rPr>
          <w:rFonts w:ascii="Garamond" w:hAnsi="Garamond" w:cs="AdvTT3713a231"/>
          <w:sz w:val="22"/>
          <w:szCs w:val="22"/>
          <w:lang w:val="en-US"/>
        </w:rPr>
        <w:t xml:space="preserve">, </w:t>
      </w:r>
      <w:r w:rsidR="005054CE">
        <w:rPr>
          <w:rFonts w:ascii="Garamond" w:hAnsi="Garamond" w:cs="AdvTT3713a231"/>
          <w:sz w:val="22"/>
          <w:szCs w:val="22"/>
          <w:lang w:val="en-US"/>
        </w:rPr>
        <w:t xml:space="preserve">vol. </w:t>
      </w:r>
      <w:r w:rsidRPr="009E61C9">
        <w:rPr>
          <w:rFonts w:ascii="Garamond" w:hAnsi="Garamond" w:cs="AdvTT3713a231"/>
          <w:sz w:val="22"/>
          <w:szCs w:val="22"/>
          <w:lang w:val="en-US"/>
        </w:rPr>
        <w:t>25</w:t>
      </w:r>
      <w:r w:rsidR="00E37F61" w:rsidRPr="009E61C9">
        <w:rPr>
          <w:rFonts w:ascii="Garamond" w:hAnsi="Garamond" w:cs="AdvTT3713a231"/>
          <w:sz w:val="22"/>
          <w:szCs w:val="22"/>
          <w:lang w:val="en-US"/>
        </w:rPr>
        <w:t xml:space="preserve">, </w:t>
      </w:r>
      <w:r w:rsidR="005054CE">
        <w:rPr>
          <w:rFonts w:ascii="Garamond" w:hAnsi="Garamond" w:cs="AdvTT3713a231"/>
          <w:sz w:val="22"/>
          <w:szCs w:val="22"/>
          <w:lang w:val="en-US"/>
        </w:rPr>
        <w:t xml:space="preserve">n° </w:t>
      </w:r>
      <w:r w:rsidRPr="009E61C9">
        <w:rPr>
          <w:rFonts w:ascii="Garamond" w:hAnsi="Garamond" w:cs="AdvTT3713a231"/>
          <w:sz w:val="22"/>
          <w:szCs w:val="22"/>
          <w:lang w:val="en-US"/>
        </w:rPr>
        <w:t xml:space="preserve">12, </w:t>
      </w:r>
      <w:r w:rsidR="005054CE">
        <w:rPr>
          <w:rFonts w:ascii="Garamond" w:hAnsi="Garamond" w:cs="AdvTT3713a231"/>
          <w:sz w:val="22"/>
          <w:szCs w:val="22"/>
          <w:lang w:val="en-US"/>
        </w:rPr>
        <w:t>pp.</w:t>
      </w:r>
      <w:r w:rsidRPr="009E61C9">
        <w:rPr>
          <w:rFonts w:ascii="Garamond" w:hAnsi="Garamond" w:cs="AdvTT3713a231"/>
          <w:sz w:val="22"/>
          <w:szCs w:val="22"/>
          <w:lang w:val="en-US"/>
        </w:rPr>
        <w:t>407-436.</w:t>
      </w:r>
    </w:p>
    <w:p w14:paraId="4EC3C20E" w14:textId="77777777" w:rsidR="00506F88" w:rsidRPr="009E61C9" w:rsidRDefault="00506F88" w:rsidP="009E61C9">
      <w:pPr>
        <w:jc w:val="both"/>
        <w:rPr>
          <w:rFonts w:ascii="Garamond" w:hAnsi="Garamond" w:cs="AdvTT3713a231"/>
          <w:sz w:val="22"/>
          <w:szCs w:val="22"/>
          <w:lang w:val="en-US"/>
        </w:rPr>
      </w:pPr>
    </w:p>
    <w:p w14:paraId="46F88234" w14:textId="27593B8B" w:rsidR="00506F88" w:rsidRPr="009E61C9" w:rsidRDefault="00506F88" w:rsidP="009E61C9">
      <w:pPr>
        <w:jc w:val="both"/>
        <w:rPr>
          <w:rFonts w:ascii="Garamond" w:hAnsi="Garamond" w:cs="Courier New"/>
          <w:sz w:val="22"/>
          <w:szCs w:val="22"/>
          <w:lang w:eastAsia="fr-FR"/>
        </w:rPr>
      </w:pPr>
      <w:r w:rsidRPr="002A6496">
        <w:rPr>
          <w:rFonts w:ascii="Garamond" w:hAnsi="Garamond" w:cs="Courier New"/>
          <w:smallCaps/>
          <w:sz w:val="22"/>
          <w:szCs w:val="22"/>
          <w:lang w:eastAsia="fr-FR"/>
        </w:rPr>
        <w:t>Cambois</w:t>
      </w:r>
      <w:r w:rsidRPr="009E61C9">
        <w:rPr>
          <w:rFonts w:ascii="Garamond" w:hAnsi="Garamond" w:cs="Courier New"/>
          <w:sz w:val="22"/>
          <w:szCs w:val="22"/>
          <w:lang w:eastAsia="fr-FR"/>
        </w:rPr>
        <w:t xml:space="preserve"> E.</w:t>
      </w:r>
      <w:r w:rsidR="00F05F92" w:rsidRPr="009E61C9">
        <w:rPr>
          <w:rFonts w:ascii="Garamond" w:hAnsi="Garamond" w:cs="Courier New"/>
          <w:sz w:val="22"/>
          <w:szCs w:val="22"/>
          <w:lang w:eastAsia="fr-FR"/>
        </w:rPr>
        <w:t xml:space="preserve"> et</w:t>
      </w:r>
      <w:r w:rsidRPr="009E61C9">
        <w:rPr>
          <w:rFonts w:ascii="Garamond" w:hAnsi="Garamond" w:cs="Courier New"/>
          <w:sz w:val="22"/>
          <w:szCs w:val="22"/>
          <w:lang w:eastAsia="fr-FR"/>
        </w:rPr>
        <w:t xml:space="preserve"> </w:t>
      </w:r>
      <w:r w:rsidRPr="002A6496">
        <w:rPr>
          <w:rFonts w:ascii="Garamond" w:hAnsi="Garamond" w:cs="Courier New"/>
          <w:smallCaps/>
          <w:sz w:val="22"/>
          <w:szCs w:val="22"/>
          <w:lang w:eastAsia="fr-FR"/>
        </w:rPr>
        <w:t xml:space="preserve">Robine </w:t>
      </w:r>
      <w:r w:rsidR="005054CE" w:rsidRPr="009E61C9">
        <w:rPr>
          <w:rFonts w:ascii="Garamond" w:hAnsi="Garamond" w:cs="Courier New"/>
          <w:sz w:val="22"/>
          <w:szCs w:val="22"/>
          <w:lang w:eastAsia="fr-FR"/>
        </w:rPr>
        <w:t xml:space="preserve">J.-M. </w:t>
      </w:r>
      <w:r w:rsidRPr="009E61C9">
        <w:rPr>
          <w:rFonts w:ascii="Garamond" w:hAnsi="Garamond" w:cs="Courier New"/>
          <w:sz w:val="22"/>
          <w:szCs w:val="22"/>
          <w:lang w:eastAsia="fr-FR"/>
        </w:rPr>
        <w:t>(2017)</w:t>
      </w:r>
      <w:r w:rsidR="005054CE">
        <w:rPr>
          <w:rFonts w:ascii="Garamond" w:hAnsi="Garamond" w:cs="Courier New"/>
          <w:sz w:val="22"/>
          <w:szCs w:val="22"/>
          <w:lang w:eastAsia="fr-FR"/>
        </w:rPr>
        <w:t>,</w:t>
      </w:r>
      <w:r w:rsidRPr="009E61C9">
        <w:rPr>
          <w:rFonts w:ascii="Garamond" w:hAnsi="Garamond" w:cs="Courier New"/>
          <w:sz w:val="22"/>
          <w:szCs w:val="22"/>
          <w:lang w:eastAsia="fr-FR"/>
        </w:rPr>
        <w:t xml:space="preserve"> </w:t>
      </w:r>
      <w:r w:rsidR="005054CE">
        <w:rPr>
          <w:rFonts w:ascii="Garamond" w:hAnsi="Garamond" w:cs="Courier New"/>
          <w:sz w:val="22"/>
          <w:szCs w:val="22"/>
          <w:lang w:eastAsia="fr-FR"/>
        </w:rPr>
        <w:t>« </w:t>
      </w:r>
      <w:r w:rsidRPr="005054CE">
        <w:rPr>
          <w:rFonts w:ascii="Garamond" w:hAnsi="Garamond" w:cs="Courier New"/>
          <w:iCs/>
          <w:sz w:val="22"/>
          <w:szCs w:val="22"/>
          <w:lang w:eastAsia="fr-FR"/>
        </w:rPr>
        <w:t>L’allongement de l’espérance de vie en Europe : quelles conséquences pour l’état de santé</w:t>
      </w:r>
      <w:r w:rsidR="005054CE">
        <w:rPr>
          <w:rFonts w:ascii="Garamond" w:hAnsi="Garamond" w:cs="Courier New"/>
          <w:iCs/>
          <w:sz w:val="22"/>
          <w:szCs w:val="22"/>
          <w:lang w:eastAsia="fr-FR"/>
        </w:rPr>
        <w:t> »,</w:t>
      </w:r>
      <w:r w:rsidRPr="009E61C9">
        <w:rPr>
          <w:rFonts w:ascii="Garamond" w:hAnsi="Garamond" w:cs="Courier New"/>
          <w:sz w:val="22"/>
          <w:szCs w:val="22"/>
          <w:lang w:eastAsia="fr-FR"/>
        </w:rPr>
        <w:t xml:space="preserve"> </w:t>
      </w:r>
      <w:r w:rsidRPr="005054CE">
        <w:rPr>
          <w:rFonts w:ascii="Garamond" w:hAnsi="Garamond" w:cs="Courier New"/>
          <w:i/>
          <w:iCs/>
          <w:sz w:val="22"/>
          <w:szCs w:val="22"/>
          <w:lang w:eastAsia="fr-FR"/>
        </w:rPr>
        <w:t xml:space="preserve">Revue </w:t>
      </w:r>
      <w:r w:rsidR="005054CE" w:rsidRPr="005054CE">
        <w:rPr>
          <w:rFonts w:ascii="Garamond" w:hAnsi="Garamond" w:cs="Courier New"/>
          <w:i/>
          <w:iCs/>
          <w:sz w:val="22"/>
          <w:szCs w:val="22"/>
          <w:lang w:eastAsia="fr-FR"/>
        </w:rPr>
        <w:t>e</w:t>
      </w:r>
      <w:r w:rsidRPr="005054CE">
        <w:rPr>
          <w:rFonts w:ascii="Garamond" w:hAnsi="Garamond" w:cs="Courier New"/>
          <w:i/>
          <w:iCs/>
          <w:sz w:val="22"/>
          <w:szCs w:val="22"/>
          <w:lang w:eastAsia="fr-FR"/>
        </w:rPr>
        <w:t xml:space="preserve">uropéenne des </w:t>
      </w:r>
      <w:r w:rsidR="005054CE" w:rsidRPr="005054CE">
        <w:rPr>
          <w:rFonts w:ascii="Garamond" w:hAnsi="Garamond" w:cs="Courier New"/>
          <w:i/>
          <w:iCs/>
          <w:sz w:val="22"/>
          <w:szCs w:val="22"/>
          <w:lang w:eastAsia="fr-FR"/>
        </w:rPr>
        <w:t>s</w:t>
      </w:r>
      <w:r w:rsidRPr="005054CE">
        <w:rPr>
          <w:rFonts w:ascii="Garamond" w:hAnsi="Garamond" w:cs="Courier New"/>
          <w:i/>
          <w:iCs/>
          <w:sz w:val="22"/>
          <w:szCs w:val="22"/>
          <w:lang w:eastAsia="fr-FR"/>
        </w:rPr>
        <w:t xml:space="preserve">ciences </w:t>
      </w:r>
      <w:r w:rsidR="005054CE" w:rsidRPr="005054CE">
        <w:rPr>
          <w:rFonts w:ascii="Garamond" w:hAnsi="Garamond" w:cs="Courier New"/>
          <w:i/>
          <w:iCs/>
          <w:sz w:val="22"/>
          <w:szCs w:val="22"/>
          <w:lang w:eastAsia="fr-FR"/>
        </w:rPr>
        <w:t>s</w:t>
      </w:r>
      <w:r w:rsidRPr="005054CE">
        <w:rPr>
          <w:rFonts w:ascii="Garamond" w:hAnsi="Garamond" w:cs="Courier New"/>
          <w:i/>
          <w:iCs/>
          <w:sz w:val="22"/>
          <w:szCs w:val="22"/>
          <w:lang w:eastAsia="fr-FR"/>
        </w:rPr>
        <w:t>ociales</w:t>
      </w:r>
      <w:r w:rsidRPr="009E61C9">
        <w:rPr>
          <w:rFonts w:ascii="Garamond" w:hAnsi="Garamond" w:cs="Courier New"/>
          <w:sz w:val="22"/>
          <w:szCs w:val="22"/>
          <w:lang w:eastAsia="fr-FR"/>
        </w:rPr>
        <w:t>, vol. 55</w:t>
      </w:r>
      <w:r w:rsidR="005054CE">
        <w:rPr>
          <w:rFonts w:ascii="Garamond" w:hAnsi="Garamond" w:cs="Courier New"/>
          <w:sz w:val="22"/>
          <w:szCs w:val="22"/>
          <w:lang w:eastAsia="fr-FR"/>
        </w:rPr>
        <w:t xml:space="preserve">, n° </w:t>
      </w:r>
      <w:r w:rsidRPr="009E61C9">
        <w:rPr>
          <w:rFonts w:ascii="Garamond" w:hAnsi="Garamond" w:cs="Courier New"/>
          <w:sz w:val="22"/>
          <w:szCs w:val="22"/>
          <w:lang w:eastAsia="fr-FR"/>
        </w:rPr>
        <w:t>1</w:t>
      </w:r>
      <w:r w:rsidR="005054CE">
        <w:rPr>
          <w:rFonts w:ascii="Garamond" w:hAnsi="Garamond" w:cs="Courier New"/>
          <w:sz w:val="22"/>
          <w:szCs w:val="22"/>
          <w:lang w:eastAsia="fr-FR"/>
        </w:rPr>
        <w:t xml:space="preserve">, pp. </w:t>
      </w:r>
      <w:r w:rsidRPr="009E61C9">
        <w:rPr>
          <w:rFonts w:ascii="Garamond" w:hAnsi="Garamond" w:cs="Courier New"/>
          <w:sz w:val="22"/>
          <w:szCs w:val="22"/>
          <w:lang w:eastAsia="fr-FR"/>
        </w:rPr>
        <w:t>41-67.</w:t>
      </w:r>
    </w:p>
    <w:p w14:paraId="297A2080" w14:textId="77777777" w:rsidR="00506F88" w:rsidRPr="009E61C9" w:rsidRDefault="00506F88" w:rsidP="009E61C9">
      <w:pPr>
        <w:jc w:val="both"/>
        <w:rPr>
          <w:rFonts w:ascii="Garamond" w:hAnsi="Garamond" w:cs="CIDFont+F3"/>
          <w:sz w:val="22"/>
          <w:szCs w:val="22"/>
        </w:rPr>
      </w:pPr>
    </w:p>
    <w:p w14:paraId="393D06E2" w14:textId="63F466A2" w:rsidR="001901AC" w:rsidRPr="009E61C9" w:rsidRDefault="009069DA" w:rsidP="009E61C9">
      <w:pPr>
        <w:jc w:val="both"/>
        <w:rPr>
          <w:rFonts w:ascii="Garamond" w:hAnsi="Garamond"/>
          <w:sz w:val="22"/>
          <w:szCs w:val="22"/>
          <w:lang w:val="en-US"/>
        </w:rPr>
      </w:pPr>
      <w:r w:rsidRPr="004555EA">
        <w:rPr>
          <w:rFonts w:ascii="Garamond" w:hAnsi="Garamond"/>
          <w:smallCaps/>
          <w:sz w:val="22"/>
          <w:szCs w:val="22"/>
          <w:lang w:val="en-US"/>
        </w:rPr>
        <w:t>Chatterji</w:t>
      </w:r>
      <w:r w:rsidR="00AC6D06" w:rsidRPr="004555EA">
        <w:rPr>
          <w:rFonts w:ascii="Garamond" w:hAnsi="Garamond"/>
          <w:smallCaps/>
          <w:sz w:val="22"/>
          <w:szCs w:val="22"/>
          <w:lang w:val="en-US"/>
        </w:rPr>
        <w:t xml:space="preserve"> S., Byles </w:t>
      </w:r>
      <w:r w:rsidR="00AC6D06" w:rsidRPr="004555EA">
        <w:rPr>
          <w:rFonts w:ascii="Garamond" w:hAnsi="Garamond"/>
          <w:sz w:val="22"/>
          <w:szCs w:val="22"/>
          <w:lang w:val="en-US"/>
        </w:rPr>
        <w:t xml:space="preserve">J., </w:t>
      </w:r>
      <w:r w:rsidR="00AC6D06" w:rsidRPr="004555EA">
        <w:rPr>
          <w:rFonts w:ascii="Garamond" w:hAnsi="Garamond"/>
          <w:smallCaps/>
          <w:sz w:val="22"/>
          <w:szCs w:val="22"/>
          <w:lang w:val="en-US"/>
        </w:rPr>
        <w:t>Cutler</w:t>
      </w:r>
      <w:r w:rsidR="00AC6D06" w:rsidRPr="004555EA">
        <w:rPr>
          <w:rFonts w:ascii="Garamond" w:hAnsi="Garamond"/>
          <w:sz w:val="22"/>
          <w:szCs w:val="22"/>
          <w:lang w:val="en-US"/>
        </w:rPr>
        <w:t xml:space="preserve"> D., </w:t>
      </w:r>
      <w:r w:rsidR="00AC6D06" w:rsidRPr="004555EA">
        <w:rPr>
          <w:rFonts w:ascii="Garamond" w:hAnsi="Garamond"/>
          <w:smallCaps/>
          <w:sz w:val="22"/>
          <w:szCs w:val="22"/>
          <w:lang w:val="en-US"/>
        </w:rPr>
        <w:t>Seeman</w:t>
      </w:r>
      <w:r w:rsidR="00AC6D06" w:rsidRPr="004555EA">
        <w:rPr>
          <w:rFonts w:ascii="Garamond" w:hAnsi="Garamond"/>
          <w:sz w:val="22"/>
          <w:szCs w:val="22"/>
          <w:lang w:val="en-US"/>
        </w:rPr>
        <w:t xml:space="preserve"> T. et </w:t>
      </w:r>
      <w:r w:rsidR="00AC6D06" w:rsidRPr="004555EA">
        <w:rPr>
          <w:rFonts w:ascii="Garamond" w:hAnsi="Garamond"/>
          <w:smallCaps/>
          <w:sz w:val="22"/>
          <w:szCs w:val="22"/>
          <w:lang w:val="en-US"/>
        </w:rPr>
        <w:t>Verdes</w:t>
      </w:r>
      <w:r w:rsidRPr="004555EA">
        <w:rPr>
          <w:rFonts w:ascii="Garamond" w:hAnsi="Garamond"/>
          <w:smallCaps/>
          <w:sz w:val="22"/>
          <w:szCs w:val="22"/>
          <w:lang w:val="en-US"/>
        </w:rPr>
        <w:t xml:space="preserve"> </w:t>
      </w:r>
      <w:r w:rsidR="005054CE" w:rsidRPr="004555EA">
        <w:rPr>
          <w:rFonts w:ascii="Garamond" w:hAnsi="Garamond"/>
          <w:sz w:val="22"/>
          <w:szCs w:val="22"/>
          <w:lang w:val="en-US"/>
        </w:rPr>
        <w:t xml:space="preserve">E. </w:t>
      </w:r>
      <w:r w:rsidR="00AC6D06" w:rsidRPr="004555EA">
        <w:rPr>
          <w:rFonts w:ascii="Garamond" w:hAnsi="Garamond"/>
          <w:sz w:val="22"/>
          <w:szCs w:val="22"/>
          <w:lang w:val="en-US"/>
        </w:rPr>
        <w:t>(</w:t>
      </w:r>
      <w:r w:rsidRPr="004555EA">
        <w:rPr>
          <w:rFonts w:ascii="Garamond" w:hAnsi="Garamond"/>
          <w:sz w:val="22"/>
          <w:szCs w:val="22"/>
          <w:lang w:val="en-US"/>
        </w:rPr>
        <w:t>2015</w:t>
      </w:r>
      <w:r w:rsidR="00AC6D06" w:rsidRPr="004555EA">
        <w:rPr>
          <w:rFonts w:ascii="Garamond" w:hAnsi="Garamond"/>
          <w:sz w:val="22"/>
          <w:szCs w:val="22"/>
          <w:lang w:val="en-US"/>
        </w:rPr>
        <w:t>)</w:t>
      </w:r>
      <w:r w:rsidR="005054CE" w:rsidRPr="004555EA">
        <w:rPr>
          <w:rFonts w:ascii="Garamond" w:hAnsi="Garamond"/>
          <w:sz w:val="22"/>
          <w:szCs w:val="22"/>
          <w:lang w:val="en-US"/>
        </w:rPr>
        <w:t>,</w:t>
      </w:r>
      <w:r w:rsidR="00AC6D06" w:rsidRPr="004555EA">
        <w:rPr>
          <w:rFonts w:ascii="Garamond" w:hAnsi="Garamond"/>
          <w:sz w:val="22"/>
          <w:szCs w:val="22"/>
          <w:lang w:val="en-US"/>
        </w:rPr>
        <w:t xml:space="preserve"> </w:t>
      </w:r>
      <w:r w:rsidR="005054CE" w:rsidRPr="004555EA">
        <w:rPr>
          <w:rFonts w:ascii="Garamond" w:hAnsi="Garamond"/>
          <w:sz w:val="22"/>
          <w:szCs w:val="22"/>
          <w:lang w:val="en-US"/>
        </w:rPr>
        <w:t>« </w:t>
      </w:r>
      <w:r w:rsidR="005054CE" w:rsidRPr="009E61C9">
        <w:rPr>
          <w:rFonts w:ascii="Garamond" w:hAnsi="Garamond"/>
          <w:sz w:val="22"/>
          <w:szCs w:val="22"/>
          <w:lang w:val="en-US"/>
        </w:rPr>
        <w:t xml:space="preserve">Health, Functioning </w:t>
      </w:r>
      <w:r w:rsidR="005054CE">
        <w:rPr>
          <w:rFonts w:ascii="Garamond" w:hAnsi="Garamond"/>
          <w:sz w:val="22"/>
          <w:szCs w:val="22"/>
          <w:lang w:val="en-US"/>
        </w:rPr>
        <w:t>a</w:t>
      </w:r>
      <w:r w:rsidR="005054CE" w:rsidRPr="009E61C9">
        <w:rPr>
          <w:rFonts w:ascii="Garamond" w:hAnsi="Garamond"/>
          <w:sz w:val="22"/>
          <w:szCs w:val="22"/>
          <w:lang w:val="en-US"/>
        </w:rPr>
        <w:t xml:space="preserve">nd Disability </w:t>
      </w:r>
      <w:r w:rsidR="005054CE">
        <w:rPr>
          <w:rFonts w:ascii="Garamond" w:hAnsi="Garamond"/>
          <w:sz w:val="22"/>
          <w:szCs w:val="22"/>
          <w:lang w:val="en-US"/>
        </w:rPr>
        <w:t>i</w:t>
      </w:r>
      <w:r w:rsidR="005054CE" w:rsidRPr="009E61C9">
        <w:rPr>
          <w:rFonts w:ascii="Garamond" w:hAnsi="Garamond"/>
          <w:sz w:val="22"/>
          <w:szCs w:val="22"/>
          <w:lang w:val="en-US"/>
        </w:rPr>
        <w:t xml:space="preserve">n Older Adults-Present Status </w:t>
      </w:r>
      <w:r w:rsidR="005054CE">
        <w:rPr>
          <w:rFonts w:ascii="Garamond" w:hAnsi="Garamond"/>
          <w:sz w:val="22"/>
          <w:szCs w:val="22"/>
          <w:lang w:val="en-US"/>
        </w:rPr>
        <w:t>a</w:t>
      </w:r>
      <w:r w:rsidR="005054CE" w:rsidRPr="009E61C9">
        <w:rPr>
          <w:rFonts w:ascii="Garamond" w:hAnsi="Garamond"/>
          <w:sz w:val="22"/>
          <w:szCs w:val="22"/>
          <w:lang w:val="en-US"/>
        </w:rPr>
        <w:t>nd Future Implications</w:t>
      </w:r>
      <w:r w:rsidR="00CF327F">
        <w:rPr>
          <w:rFonts w:ascii="Garamond" w:hAnsi="Garamond"/>
          <w:sz w:val="22"/>
          <w:szCs w:val="22"/>
          <w:lang w:val="en-US"/>
        </w:rPr>
        <w:t xml:space="preserve"> »</w:t>
      </w:r>
      <w:r w:rsidR="005054CE">
        <w:rPr>
          <w:rFonts w:ascii="Garamond" w:hAnsi="Garamond"/>
          <w:sz w:val="22"/>
          <w:szCs w:val="22"/>
          <w:lang w:val="en-US"/>
        </w:rPr>
        <w:t>,</w:t>
      </w:r>
      <w:r w:rsidR="00AC6D06" w:rsidRPr="009E61C9">
        <w:rPr>
          <w:rFonts w:ascii="Garamond" w:hAnsi="Garamond"/>
          <w:sz w:val="22"/>
          <w:szCs w:val="22"/>
          <w:lang w:val="en-US"/>
        </w:rPr>
        <w:t xml:space="preserve"> </w:t>
      </w:r>
      <w:r w:rsidR="00AC6D06" w:rsidRPr="009E61C9">
        <w:rPr>
          <w:rFonts w:ascii="Garamond" w:hAnsi="Garamond"/>
          <w:i/>
          <w:sz w:val="22"/>
          <w:szCs w:val="22"/>
          <w:lang w:val="en-US"/>
        </w:rPr>
        <w:t>The Lancet</w:t>
      </w:r>
      <w:r w:rsidR="00AC6D06" w:rsidRPr="009E61C9">
        <w:rPr>
          <w:rFonts w:ascii="Garamond" w:hAnsi="Garamond"/>
          <w:sz w:val="22"/>
          <w:szCs w:val="22"/>
          <w:lang w:val="en-US"/>
        </w:rPr>
        <w:t xml:space="preserve">, </w:t>
      </w:r>
      <w:r w:rsidR="005054CE">
        <w:rPr>
          <w:rFonts w:ascii="Garamond" w:hAnsi="Garamond"/>
          <w:sz w:val="22"/>
          <w:szCs w:val="22"/>
          <w:lang w:val="en-US"/>
        </w:rPr>
        <w:t xml:space="preserve">vol. </w:t>
      </w:r>
      <w:r w:rsidR="00AC6D06" w:rsidRPr="009E61C9">
        <w:rPr>
          <w:rFonts w:ascii="Garamond" w:hAnsi="Garamond"/>
          <w:sz w:val="22"/>
          <w:szCs w:val="22"/>
          <w:lang w:val="en-US"/>
        </w:rPr>
        <w:t>385</w:t>
      </w:r>
      <w:r w:rsidR="005054CE">
        <w:rPr>
          <w:rFonts w:ascii="Garamond" w:hAnsi="Garamond"/>
          <w:sz w:val="22"/>
          <w:szCs w:val="22"/>
          <w:lang w:val="en-US"/>
        </w:rPr>
        <w:t xml:space="preserve">, n° </w:t>
      </w:r>
      <w:r w:rsidR="00AC6D06" w:rsidRPr="009E61C9">
        <w:rPr>
          <w:rFonts w:ascii="Garamond" w:hAnsi="Garamond"/>
          <w:sz w:val="22"/>
          <w:szCs w:val="22"/>
          <w:lang w:val="en-US"/>
        </w:rPr>
        <w:t xml:space="preserve">9967, </w:t>
      </w:r>
      <w:r w:rsidR="005054CE">
        <w:rPr>
          <w:rFonts w:ascii="Garamond" w:hAnsi="Garamond"/>
          <w:sz w:val="22"/>
          <w:szCs w:val="22"/>
          <w:lang w:val="en-US"/>
        </w:rPr>
        <w:t xml:space="preserve">pp. </w:t>
      </w:r>
      <w:r w:rsidR="00AC6D06" w:rsidRPr="009E61C9">
        <w:rPr>
          <w:rFonts w:ascii="Garamond" w:hAnsi="Garamond"/>
          <w:sz w:val="22"/>
          <w:szCs w:val="22"/>
          <w:lang w:val="en-US"/>
        </w:rPr>
        <w:t xml:space="preserve">563-575. </w:t>
      </w:r>
    </w:p>
    <w:p w14:paraId="63C1F3AD" w14:textId="77777777" w:rsidR="001901AC" w:rsidRPr="009E61C9" w:rsidRDefault="001901AC" w:rsidP="009E61C9">
      <w:pPr>
        <w:jc w:val="both"/>
        <w:rPr>
          <w:rFonts w:ascii="Garamond" w:hAnsi="Garamond"/>
          <w:sz w:val="22"/>
          <w:szCs w:val="22"/>
          <w:lang w:val="en-GB"/>
        </w:rPr>
      </w:pPr>
    </w:p>
    <w:p w14:paraId="69B59794" w14:textId="017BAC9C" w:rsidR="00270BF7" w:rsidRPr="004555EA" w:rsidRDefault="00270BF7" w:rsidP="009E61C9">
      <w:pPr>
        <w:jc w:val="both"/>
        <w:rPr>
          <w:rFonts w:ascii="Garamond" w:hAnsi="Garamond"/>
          <w:sz w:val="22"/>
          <w:szCs w:val="22"/>
          <w:lang w:val="en-US"/>
        </w:rPr>
      </w:pPr>
      <w:r w:rsidRPr="004555EA">
        <w:rPr>
          <w:rFonts w:ascii="Garamond" w:hAnsi="Garamond"/>
          <w:smallCaps/>
          <w:sz w:val="22"/>
          <w:szCs w:val="22"/>
        </w:rPr>
        <w:t>Crimmins</w:t>
      </w:r>
      <w:r w:rsidRPr="004555EA">
        <w:rPr>
          <w:rFonts w:ascii="Garamond" w:hAnsi="Garamond"/>
          <w:sz w:val="22"/>
          <w:szCs w:val="22"/>
        </w:rPr>
        <w:t xml:space="preserve"> E.</w:t>
      </w:r>
      <w:r w:rsidR="005054CE" w:rsidRPr="004555EA">
        <w:rPr>
          <w:rFonts w:ascii="Garamond" w:hAnsi="Garamond"/>
          <w:sz w:val="22"/>
          <w:szCs w:val="22"/>
        </w:rPr>
        <w:t xml:space="preserve"> </w:t>
      </w:r>
      <w:r w:rsidRPr="004555EA">
        <w:rPr>
          <w:rFonts w:ascii="Garamond" w:hAnsi="Garamond"/>
          <w:sz w:val="22"/>
          <w:szCs w:val="22"/>
        </w:rPr>
        <w:t xml:space="preserve">M. </w:t>
      </w:r>
      <w:r w:rsidR="005054CE" w:rsidRPr="004555EA">
        <w:rPr>
          <w:rFonts w:ascii="Garamond" w:hAnsi="Garamond"/>
          <w:i/>
          <w:iCs/>
          <w:sz w:val="22"/>
          <w:szCs w:val="22"/>
        </w:rPr>
        <w:t xml:space="preserve">et </w:t>
      </w:r>
      <w:r w:rsidR="00103940" w:rsidRPr="004555EA">
        <w:rPr>
          <w:rFonts w:ascii="Garamond" w:hAnsi="Garamond"/>
          <w:i/>
          <w:iCs/>
          <w:sz w:val="22"/>
          <w:szCs w:val="22"/>
        </w:rPr>
        <w:t>al</w:t>
      </w:r>
      <w:r w:rsidR="00103940" w:rsidRPr="004555EA">
        <w:rPr>
          <w:rFonts w:ascii="Garamond" w:hAnsi="Garamond"/>
          <w:sz w:val="22"/>
          <w:szCs w:val="22"/>
        </w:rPr>
        <w:t>.</w:t>
      </w:r>
      <w:r w:rsidRPr="004555EA">
        <w:rPr>
          <w:rFonts w:ascii="Garamond" w:hAnsi="Garamond"/>
          <w:sz w:val="22"/>
          <w:szCs w:val="22"/>
        </w:rPr>
        <w:t xml:space="preserve"> </w:t>
      </w:r>
      <w:r w:rsidRPr="009E61C9">
        <w:rPr>
          <w:rFonts w:ascii="Garamond" w:hAnsi="Garamond"/>
          <w:sz w:val="22"/>
          <w:szCs w:val="22"/>
          <w:lang w:val="en-US"/>
        </w:rPr>
        <w:t>(2018)</w:t>
      </w:r>
      <w:r w:rsidR="00E37F61" w:rsidRPr="009E61C9">
        <w:rPr>
          <w:rFonts w:ascii="Garamond" w:hAnsi="Garamond"/>
          <w:sz w:val="22"/>
          <w:szCs w:val="22"/>
          <w:lang w:val="en-US"/>
        </w:rPr>
        <w:t>,</w:t>
      </w:r>
      <w:r w:rsidRPr="009E61C9">
        <w:rPr>
          <w:rFonts w:ascii="Garamond" w:hAnsi="Garamond"/>
          <w:sz w:val="22"/>
          <w:szCs w:val="22"/>
          <w:lang w:val="en-US"/>
        </w:rPr>
        <w:t xml:space="preserve"> </w:t>
      </w:r>
      <w:r w:rsidR="00CF327F">
        <w:rPr>
          <w:rFonts w:ascii="Garamond" w:hAnsi="Garamond"/>
          <w:sz w:val="22"/>
          <w:szCs w:val="22"/>
          <w:lang w:val="en-US"/>
        </w:rPr>
        <w:t xml:space="preserve">« </w:t>
      </w:r>
      <w:r w:rsidR="005054CE" w:rsidRPr="009E61C9">
        <w:rPr>
          <w:rFonts w:ascii="Garamond" w:hAnsi="Garamond"/>
          <w:sz w:val="22"/>
          <w:szCs w:val="22"/>
          <w:lang w:val="en-US"/>
        </w:rPr>
        <w:t xml:space="preserve">Trends </w:t>
      </w:r>
      <w:r w:rsidR="005054CE">
        <w:rPr>
          <w:rFonts w:ascii="Garamond" w:hAnsi="Garamond"/>
          <w:sz w:val="22"/>
          <w:szCs w:val="22"/>
          <w:lang w:val="en-US"/>
        </w:rPr>
        <w:t>i</w:t>
      </w:r>
      <w:r w:rsidR="005054CE" w:rsidRPr="009E61C9">
        <w:rPr>
          <w:rFonts w:ascii="Garamond" w:hAnsi="Garamond"/>
          <w:sz w:val="22"/>
          <w:szCs w:val="22"/>
          <w:lang w:val="en-US"/>
        </w:rPr>
        <w:t xml:space="preserve">n Healthy Life Expectancy </w:t>
      </w:r>
      <w:r w:rsidR="00050345">
        <w:rPr>
          <w:rFonts w:ascii="Garamond" w:hAnsi="Garamond"/>
          <w:sz w:val="22"/>
          <w:szCs w:val="22"/>
          <w:lang w:val="en-US"/>
        </w:rPr>
        <w:t>i</w:t>
      </w:r>
      <w:r w:rsidR="005054CE" w:rsidRPr="009E61C9">
        <w:rPr>
          <w:rFonts w:ascii="Garamond" w:hAnsi="Garamond"/>
          <w:sz w:val="22"/>
          <w:szCs w:val="22"/>
          <w:lang w:val="en-US"/>
        </w:rPr>
        <w:t xml:space="preserve">n </w:t>
      </w:r>
      <w:r w:rsidR="00050345">
        <w:rPr>
          <w:rFonts w:ascii="Garamond" w:hAnsi="Garamond"/>
          <w:sz w:val="22"/>
          <w:szCs w:val="22"/>
          <w:lang w:val="en-US"/>
        </w:rPr>
        <w:t>t</w:t>
      </w:r>
      <w:r w:rsidR="005054CE" w:rsidRPr="009E61C9">
        <w:rPr>
          <w:rFonts w:ascii="Garamond" w:hAnsi="Garamond"/>
          <w:sz w:val="22"/>
          <w:szCs w:val="22"/>
          <w:lang w:val="en-US"/>
        </w:rPr>
        <w:t xml:space="preserve">he United States, 1970-2016: </w:t>
      </w:r>
      <w:r w:rsidR="00050345">
        <w:rPr>
          <w:rFonts w:ascii="Garamond" w:hAnsi="Garamond"/>
          <w:sz w:val="22"/>
          <w:szCs w:val="22"/>
          <w:lang w:val="en-US"/>
        </w:rPr>
        <w:t>a</w:t>
      </w:r>
      <w:r w:rsidR="005054CE" w:rsidRPr="009E61C9">
        <w:rPr>
          <w:rFonts w:ascii="Garamond" w:hAnsi="Garamond"/>
          <w:sz w:val="22"/>
          <w:szCs w:val="22"/>
          <w:lang w:val="en-US"/>
        </w:rPr>
        <w:t xml:space="preserve"> Cross-National Population Study</w:t>
      </w:r>
      <w:r w:rsidR="00CF327F">
        <w:rPr>
          <w:rFonts w:ascii="Garamond" w:hAnsi="Garamond"/>
          <w:sz w:val="22"/>
          <w:szCs w:val="22"/>
          <w:lang w:val="en-US"/>
        </w:rPr>
        <w:t xml:space="preserve"> »</w:t>
      </w:r>
      <w:r w:rsidR="00050345">
        <w:rPr>
          <w:rFonts w:ascii="Garamond" w:hAnsi="Garamond"/>
          <w:sz w:val="22"/>
          <w:szCs w:val="22"/>
          <w:lang w:val="en-US"/>
        </w:rPr>
        <w:t>,</w:t>
      </w:r>
      <w:r w:rsidRPr="009E61C9">
        <w:rPr>
          <w:rFonts w:ascii="Garamond" w:hAnsi="Garamond"/>
          <w:sz w:val="22"/>
          <w:szCs w:val="22"/>
          <w:lang w:val="en-US"/>
        </w:rPr>
        <w:t xml:space="preserve"> </w:t>
      </w:r>
      <w:r w:rsidRPr="004555EA">
        <w:rPr>
          <w:rFonts w:ascii="Garamond" w:hAnsi="Garamond"/>
          <w:i/>
          <w:sz w:val="22"/>
          <w:szCs w:val="22"/>
          <w:lang w:val="en-US"/>
        </w:rPr>
        <w:t>The Lancet</w:t>
      </w:r>
      <w:r w:rsidRPr="004555EA">
        <w:rPr>
          <w:rFonts w:ascii="Garamond" w:hAnsi="Garamond"/>
          <w:sz w:val="22"/>
          <w:szCs w:val="22"/>
          <w:lang w:val="en-US"/>
        </w:rPr>
        <w:t xml:space="preserve">, </w:t>
      </w:r>
      <w:r w:rsidR="00103940" w:rsidRPr="004555EA">
        <w:rPr>
          <w:rFonts w:ascii="Garamond" w:hAnsi="Garamond"/>
          <w:sz w:val="22"/>
          <w:szCs w:val="22"/>
          <w:lang w:val="en-US"/>
        </w:rPr>
        <w:t xml:space="preserve">vol. </w:t>
      </w:r>
      <w:r w:rsidRPr="004555EA">
        <w:rPr>
          <w:rFonts w:ascii="Garamond" w:hAnsi="Garamond"/>
          <w:sz w:val="22"/>
          <w:szCs w:val="22"/>
          <w:lang w:val="en-US"/>
        </w:rPr>
        <w:t>391</w:t>
      </w:r>
      <w:r w:rsidR="00050345" w:rsidRPr="004555EA">
        <w:rPr>
          <w:rFonts w:ascii="Garamond" w:hAnsi="Garamond"/>
          <w:sz w:val="22"/>
          <w:szCs w:val="22"/>
          <w:lang w:val="en-US"/>
        </w:rPr>
        <w:t xml:space="preserve">, n° </w:t>
      </w:r>
      <w:r w:rsidRPr="004555EA">
        <w:rPr>
          <w:rFonts w:ascii="Garamond" w:hAnsi="Garamond"/>
          <w:sz w:val="22"/>
          <w:szCs w:val="22"/>
          <w:lang w:val="en-US"/>
        </w:rPr>
        <w:t xml:space="preserve">10132, </w:t>
      </w:r>
      <w:r w:rsidR="00050345" w:rsidRPr="004555EA">
        <w:rPr>
          <w:rFonts w:ascii="Garamond" w:hAnsi="Garamond"/>
          <w:sz w:val="22"/>
          <w:szCs w:val="22"/>
          <w:lang w:val="en-US"/>
        </w:rPr>
        <w:t xml:space="preserve">pp. </w:t>
      </w:r>
      <w:r w:rsidRPr="004555EA">
        <w:rPr>
          <w:rFonts w:ascii="Garamond" w:hAnsi="Garamond"/>
          <w:sz w:val="22"/>
          <w:szCs w:val="22"/>
          <w:lang w:val="en-US"/>
        </w:rPr>
        <w:t>2763-2774</w:t>
      </w:r>
      <w:r w:rsidR="00050345" w:rsidRPr="004555EA">
        <w:rPr>
          <w:rFonts w:ascii="Garamond" w:hAnsi="Garamond"/>
          <w:sz w:val="22"/>
          <w:szCs w:val="22"/>
          <w:lang w:val="en-US"/>
        </w:rPr>
        <w:t>.</w:t>
      </w:r>
    </w:p>
    <w:p w14:paraId="052C6C34" w14:textId="77777777" w:rsidR="00D84575" w:rsidRPr="004555EA" w:rsidRDefault="00D84575" w:rsidP="00D84575">
      <w:pPr>
        <w:jc w:val="both"/>
        <w:rPr>
          <w:rFonts w:ascii="Garamond" w:hAnsi="Garamond" w:cs="CIDFont+F3"/>
          <w:smallCaps/>
          <w:sz w:val="22"/>
          <w:szCs w:val="22"/>
          <w:lang w:val="en-US"/>
        </w:rPr>
      </w:pPr>
    </w:p>
    <w:p w14:paraId="54AA3892" w14:textId="0D7CBB5C" w:rsidR="00D84575" w:rsidRPr="009E61C9" w:rsidRDefault="00D84575" w:rsidP="00D84575">
      <w:pPr>
        <w:jc w:val="both"/>
        <w:rPr>
          <w:rFonts w:ascii="Garamond" w:eastAsia="CIDFont+F2" w:hAnsi="Garamond" w:cs="CIDFont+F2"/>
          <w:sz w:val="22"/>
          <w:szCs w:val="22"/>
          <w:lang w:val="en-US"/>
        </w:rPr>
      </w:pPr>
      <w:r w:rsidRPr="004555EA">
        <w:rPr>
          <w:rFonts w:ascii="Garamond" w:hAnsi="Garamond" w:cs="CIDFont+F3"/>
          <w:smallCaps/>
          <w:sz w:val="22"/>
          <w:szCs w:val="22"/>
          <w:lang w:val="en-US"/>
        </w:rPr>
        <w:lastRenderedPageBreak/>
        <w:t xml:space="preserve">Cutler D., Lleras-Muney </w:t>
      </w:r>
      <w:r w:rsidRPr="004555EA">
        <w:rPr>
          <w:rFonts w:ascii="Garamond" w:hAnsi="Garamond" w:cs="CIDFont+F3"/>
          <w:sz w:val="22"/>
          <w:szCs w:val="22"/>
          <w:lang w:val="en-US"/>
        </w:rPr>
        <w:t xml:space="preserve">A. et </w:t>
      </w:r>
      <w:r w:rsidRPr="004555EA">
        <w:rPr>
          <w:rFonts w:ascii="Garamond" w:hAnsi="Garamond" w:cs="CIDFont+F3"/>
          <w:smallCaps/>
          <w:sz w:val="22"/>
          <w:szCs w:val="22"/>
          <w:lang w:val="en-US"/>
        </w:rPr>
        <w:t>Vogl</w:t>
      </w:r>
      <w:r w:rsidRPr="004555EA">
        <w:rPr>
          <w:rFonts w:ascii="Garamond" w:hAnsi="Garamond" w:cs="CIDFont+F3"/>
          <w:sz w:val="22"/>
          <w:szCs w:val="22"/>
          <w:lang w:val="en-US"/>
        </w:rPr>
        <w:t xml:space="preserve"> T. (</w:t>
      </w:r>
      <w:r w:rsidRPr="004555EA">
        <w:rPr>
          <w:rFonts w:ascii="Garamond" w:eastAsia="CIDFont+F2" w:hAnsi="Garamond" w:cs="CIDFont+F2"/>
          <w:sz w:val="22"/>
          <w:szCs w:val="22"/>
          <w:lang w:val="en-US"/>
        </w:rPr>
        <w:t>2011), « </w:t>
      </w:r>
      <w:r w:rsidRPr="005054CE">
        <w:rPr>
          <w:rFonts w:ascii="Garamond" w:eastAsia="CIDFont+F2" w:hAnsi="Garamond" w:cs="CIDFont+F2"/>
          <w:iCs/>
          <w:sz w:val="22"/>
          <w:szCs w:val="22"/>
          <w:lang w:val="en-US"/>
        </w:rPr>
        <w:t>Socioeconomic Status and</w:t>
      </w:r>
      <w:r w:rsidRPr="005054CE">
        <w:rPr>
          <w:rFonts w:ascii="Garamond" w:hAnsi="Garamond"/>
          <w:iCs/>
          <w:sz w:val="22"/>
          <w:szCs w:val="22"/>
          <w:lang w:val="en-US"/>
        </w:rPr>
        <w:t xml:space="preserve"> </w:t>
      </w:r>
      <w:r w:rsidRPr="005054CE">
        <w:rPr>
          <w:rFonts w:ascii="Garamond" w:eastAsia="CIDFont+F2" w:hAnsi="Garamond" w:cs="CIDFont+F2"/>
          <w:iCs/>
          <w:sz w:val="22"/>
          <w:szCs w:val="22"/>
          <w:lang w:val="en-US"/>
        </w:rPr>
        <w:t>Health: Dimensions and Mechanisms</w:t>
      </w:r>
      <w:r>
        <w:rPr>
          <w:rFonts w:ascii="Garamond" w:eastAsia="CIDFont+F2" w:hAnsi="Garamond" w:cs="CIDFont+F2"/>
          <w:iCs/>
          <w:sz w:val="22"/>
          <w:szCs w:val="22"/>
          <w:lang w:val="en-US"/>
        </w:rPr>
        <w:t xml:space="preserve"> »,</w:t>
      </w:r>
      <w:r w:rsidRPr="005054CE">
        <w:rPr>
          <w:rFonts w:ascii="Garamond" w:eastAsia="CIDFont+F2" w:hAnsi="Garamond" w:cs="CIDFont+F2"/>
          <w:iCs/>
          <w:sz w:val="22"/>
          <w:szCs w:val="22"/>
          <w:lang w:val="en-US"/>
        </w:rPr>
        <w:t xml:space="preserve"> </w:t>
      </w:r>
      <w:r>
        <w:rPr>
          <w:rFonts w:ascii="Garamond" w:eastAsia="CIDFont+F2" w:hAnsi="Garamond" w:cs="CIDFont+F2"/>
          <w:sz w:val="22"/>
          <w:szCs w:val="22"/>
          <w:lang w:val="en-US"/>
        </w:rPr>
        <w:t>in</w:t>
      </w:r>
      <w:r w:rsidRPr="009E61C9">
        <w:rPr>
          <w:rFonts w:ascii="Garamond" w:eastAsia="CIDFont+F2" w:hAnsi="Garamond" w:cs="CIDFont+F2"/>
          <w:sz w:val="22"/>
          <w:szCs w:val="22"/>
          <w:lang w:val="en-US"/>
        </w:rPr>
        <w:t xml:space="preserve"> Glied S. et Smith</w:t>
      </w:r>
      <w:r>
        <w:rPr>
          <w:rFonts w:ascii="Garamond" w:eastAsia="CIDFont+F2" w:hAnsi="Garamond" w:cs="CIDFont+F2"/>
          <w:sz w:val="22"/>
          <w:szCs w:val="22"/>
          <w:lang w:val="en-US"/>
        </w:rPr>
        <w:t xml:space="preserve"> </w:t>
      </w:r>
      <w:r w:rsidRPr="009E61C9">
        <w:rPr>
          <w:rFonts w:ascii="Garamond" w:eastAsia="CIDFont+F2" w:hAnsi="Garamond" w:cs="CIDFont+F2"/>
          <w:sz w:val="22"/>
          <w:szCs w:val="22"/>
          <w:lang w:val="en-US"/>
        </w:rPr>
        <w:t xml:space="preserve">P. C. </w:t>
      </w:r>
      <w:r>
        <w:rPr>
          <w:rFonts w:ascii="Garamond" w:eastAsia="CIDFont+F2" w:hAnsi="Garamond" w:cs="CIDFont+F2"/>
          <w:sz w:val="22"/>
          <w:szCs w:val="22"/>
          <w:lang w:val="en-US"/>
        </w:rPr>
        <w:t>(</w:t>
      </w:r>
      <w:r w:rsidRPr="009E61C9">
        <w:rPr>
          <w:rFonts w:ascii="Garamond" w:eastAsia="CIDFont+F2" w:hAnsi="Garamond" w:cs="CIDFont+F2"/>
          <w:sz w:val="22"/>
          <w:szCs w:val="22"/>
          <w:lang w:val="en-US"/>
        </w:rPr>
        <w:t>éd.</w:t>
      </w:r>
      <w:r>
        <w:rPr>
          <w:rFonts w:ascii="Garamond" w:eastAsia="CIDFont+F2" w:hAnsi="Garamond" w:cs="CIDFont+F2"/>
          <w:sz w:val="22"/>
          <w:szCs w:val="22"/>
          <w:lang w:val="en-US"/>
        </w:rPr>
        <w:t>)</w:t>
      </w:r>
      <w:r w:rsidRPr="009E61C9">
        <w:rPr>
          <w:rFonts w:ascii="Garamond" w:eastAsia="CIDFont+F2" w:hAnsi="Garamond" w:cs="CIDFont+F2"/>
          <w:sz w:val="22"/>
          <w:szCs w:val="22"/>
          <w:lang w:val="en-US"/>
        </w:rPr>
        <w:t xml:space="preserve">, </w:t>
      </w:r>
      <w:r w:rsidRPr="009E61C9">
        <w:rPr>
          <w:rFonts w:ascii="Garamond" w:hAnsi="Garamond" w:cs="CIDFont+F4"/>
          <w:i/>
          <w:sz w:val="22"/>
          <w:szCs w:val="22"/>
          <w:lang w:val="en-US"/>
        </w:rPr>
        <w:t>The Oxford Handbook of Health Economics</w:t>
      </w:r>
      <w:r w:rsidRPr="009E61C9">
        <w:rPr>
          <w:rFonts w:ascii="Garamond" w:eastAsia="CIDFont+F2" w:hAnsi="Garamond" w:cs="CIDFont+F2"/>
          <w:sz w:val="22"/>
          <w:szCs w:val="22"/>
          <w:lang w:val="en-US"/>
        </w:rPr>
        <w:t>, Oxford University Press, New York.</w:t>
      </w:r>
    </w:p>
    <w:p w14:paraId="214920D1" w14:textId="77777777" w:rsidR="00D84575" w:rsidRPr="009E61C9" w:rsidRDefault="00D84575" w:rsidP="00D84575">
      <w:pPr>
        <w:jc w:val="both"/>
        <w:rPr>
          <w:rFonts w:ascii="Garamond" w:eastAsia="CIDFont+F2" w:hAnsi="Garamond" w:cs="CIDFont+F2"/>
          <w:sz w:val="22"/>
          <w:szCs w:val="22"/>
          <w:lang w:val="en-US"/>
        </w:rPr>
      </w:pPr>
    </w:p>
    <w:p w14:paraId="44A3C04A" w14:textId="7F14FCCD" w:rsidR="00B15FE2" w:rsidRPr="009E61C9" w:rsidRDefault="00B15FE2" w:rsidP="009E61C9">
      <w:pPr>
        <w:jc w:val="both"/>
        <w:rPr>
          <w:rFonts w:ascii="Garamond" w:hAnsi="Garamond"/>
          <w:sz w:val="22"/>
          <w:szCs w:val="22"/>
        </w:rPr>
      </w:pPr>
      <w:r w:rsidRPr="00D84575">
        <w:rPr>
          <w:rFonts w:ascii="Garamond" w:hAnsi="Garamond"/>
          <w:smallCaps/>
          <w:sz w:val="22"/>
          <w:szCs w:val="22"/>
        </w:rPr>
        <w:t xml:space="preserve">Deboosere P., Gadeyne </w:t>
      </w:r>
      <w:r w:rsidRPr="009E61C9">
        <w:rPr>
          <w:rFonts w:ascii="Garamond" w:hAnsi="Garamond"/>
          <w:sz w:val="22"/>
          <w:szCs w:val="22"/>
        </w:rPr>
        <w:t xml:space="preserve">S. et </w:t>
      </w:r>
      <w:r w:rsidRPr="00D84575">
        <w:rPr>
          <w:rFonts w:ascii="Garamond" w:hAnsi="Garamond"/>
          <w:smallCaps/>
          <w:sz w:val="22"/>
          <w:szCs w:val="22"/>
        </w:rPr>
        <w:t xml:space="preserve">Van Oyen </w:t>
      </w:r>
      <w:r w:rsidR="00103940" w:rsidRPr="009E61C9">
        <w:rPr>
          <w:rFonts w:ascii="Garamond" w:hAnsi="Garamond"/>
          <w:sz w:val="22"/>
          <w:szCs w:val="22"/>
        </w:rPr>
        <w:t xml:space="preserve">H. </w:t>
      </w:r>
      <w:r w:rsidRPr="009E61C9">
        <w:rPr>
          <w:rFonts w:ascii="Garamond" w:hAnsi="Garamond"/>
          <w:sz w:val="22"/>
          <w:szCs w:val="22"/>
        </w:rPr>
        <w:t xml:space="preserve">(2009), </w:t>
      </w:r>
      <w:r w:rsidR="004D4440">
        <w:rPr>
          <w:rFonts w:ascii="Garamond" w:hAnsi="Garamond"/>
          <w:sz w:val="22"/>
          <w:szCs w:val="22"/>
        </w:rPr>
        <w:t>« </w:t>
      </w:r>
      <w:r w:rsidRPr="009E61C9">
        <w:rPr>
          <w:rFonts w:ascii="Garamond" w:hAnsi="Garamond"/>
          <w:sz w:val="22"/>
          <w:szCs w:val="22"/>
        </w:rPr>
        <w:t>L'évolution de l'espérance de vie par niveau d'instruction en Belgique de 1991 à 2004 sur la base de données de recensement liées au registre de la population</w:t>
      </w:r>
      <w:r w:rsidR="00113F6D">
        <w:rPr>
          <w:rFonts w:ascii="Garamond" w:hAnsi="Garamond"/>
          <w:sz w:val="22"/>
          <w:szCs w:val="22"/>
        </w:rPr>
        <w:t> »</w:t>
      </w:r>
      <w:r w:rsidRPr="009E61C9">
        <w:rPr>
          <w:rFonts w:ascii="Garamond" w:hAnsi="Garamond"/>
          <w:sz w:val="22"/>
          <w:szCs w:val="22"/>
        </w:rPr>
        <w:t xml:space="preserve">, </w:t>
      </w:r>
      <w:r w:rsidRPr="009E61C9">
        <w:rPr>
          <w:rFonts w:ascii="Garamond" w:hAnsi="Garamond"/>
          <w:i/>
          <w:sz w:val="22"/>
          <w:szCs w:val="22"/>
        </w:rPr>
        <w:t xml:space="preserve">European Journal of Population/Revue </w:t>
      </w:r>
      <w:r w:rsidR="00113F6D">
        <w:rPr>
          <w:rFonts w:ascii="Garamond" w:hAnsi="Garamond"/>
          <w:i/>
          <w:sz w:val="22"/>
          <w:szCs w:val="22"/>
        </w:rPr>
        <w:t>e</w:t>
      </w:r>
      <w:r w:rsidRPr="009E61C9">
        <w:rPr>
          <w:rFonts w:ascii="Garamond" w:hAnsi="Garamond"/>
          <w:i/>
          <w:sz w:val="22"/>
          <w:szCs w:val="22"/>
        </w:rPr>
        <w:t xml:space="preserve">uropéenne de </w:t>
      </w:r>
      <w:r w:rsidR="00113F6D">
        <w:rPr>
          <w:rFonts w:ascii="Garamond" w:hAnsi="Garamond"/>
          <w:i/>
          <w:sz w:val="22"/>
          <w:szCs w:val="22"/>
        </w:rPr>
        <w:t>d</w:t>
      </w:r>
      <w:r w:rsidRPr="009E61C9">
        <w:rPr>
          <w:rFonts w:ascii="Garamond" w:hAnsi="Garamond"/>
          <w:i/>
          <w:sz w:val="22"/>
          <w:szCs w:val="22"/>
        </w:rPr>
        <w:t>émographie</w:t>
      </w:r>
      <w:r w:rsidRPr="009E61C9">
        <w:rPr>
          <w:rFonts w:ascii="Garamond" w:hAnsi="Garamond"/>
          <w:sz w:val="22"/>
          <w:szCs w:val="22"/>
        </w:rPr>
        <w:t xml:space="preserve">, </w:t>
      </w:r>
      <w:r w:rsidR="00113F6D">
        <w:rPr>
          <w:rFonts w:ascii="Garamond" w:hAnsi="Garamond"/>
          <w:sz w:val="22"/>
          <w:szCs w:val="22"/>
        </w:rPr>
        <w:t xml:space="preserve">n° </w:t>
      </w:r>
      <w:r w:rsidRPr="009E61C9">
        <w:rPr>
          <w:rFonts w:ascii="Garamond" w:hAnsi="Garamond"/>
          <w:sz w:val="22"/>
          <w:szCs w:val="22"/>
        </w:rPr>
        <w:t xml:space="preserve">25, </w:t>
      </w:r>
      <w:r w:rsidR="00113F6D">
        <w:rPr>
          <w:rFonts w:ascii="Garamond" w:hAnsi="Garamond"/>
          <w:sz w:val="22"/>
          <w:szCs w:val="22"/>
        </w:rPr>
        <w:t xml:space="preserve">pp. </w:t>
      </w:r>
      <w:r w:rsidRPr="009E61C9">
        <w:rPr>
          <w:rFonts w:ascii="Garamond" w:hAnsi="Garamond"/>
          <w:sz w:val="22"/>
          <w:szCs w:val="22"/>
        </w:rPr>
        <w:t>175-196.</w:t>
      </w:r>
    </w:p>
    <w:p w14:paraId="75CBEE5B" w14:textId="77777777" w:rsidR="000C1025" w:rsidRPr="009E61C9" w:rsidRDefault="000C1025" w:rsidP="009E61C9">
      <w:pPr>
        <w:jc w:val="both"/>
        <w:rPr>
          <w:rFonts w:ascii="Garamond" w:hAnsi="Garamond"/>
          <w:sz w:val="22"/>
          <w:szCs w:val="22"/>
        </w:rPr>
      </w:pPr>
    </w:p>
    <w:p w14:paraId="0C793811" w14:textId="1FCE4160" w:rsidR="00A7705A" w:rsidRPr="009E61C9" w:rsidRDefault="00A7705A" w:rsidP="00A7705A">
      <w:pPr>
        <w:jc w:val="both"/>
        <w:rPr>
          <w:rFonts w:ascii="Garamond" w:hAnsi="Garamond"/>
          <w:sz w:val="22"/>
          <w:szCs w:val="22"/>
          <w:lang w:val="en-GB"/>
        </w:rPr>
      </w:pPr>
      <w:r w:rsidRPr="004555EA">
        <w:rPr>
          <w:rFonts w:ascii="Garamond" w:hAnsi="Garamond"/>
          <w:smallCaps/>
          <w:color w:val="1B1B1B"/>
          <w:sz w:val="22"/>
          <w:szCs w:val="22"/>
          <w:shd w:val="clear" w:color="auto" w:fill="FFFFFF"/>
          <w:lang w:val="en-US"/>
        </w:rPr>
        <w:t xml:space="preserve">Favreault </w:t>
      </w:r>
      <w:r w:rsidRPr="004555EA">
        <w:rPr>
          <w:rFonts w:ascii="Garamond" w:hAnsi="Garamond"/>
          <w:color w:val="1B1B1B"/>
          <w:sz w:val="22"/>
          <w:szCs w:val="22"/>
          <w:shd w:val="clear" w:color="auto" w:fill="FFFFFF"/>
          <w:lang w:val="en-US"/>
        </w:rPr>
        <w:t xml:space="preserve">M. et </w:t>
      </w:r>
      <w:r w:rsidRPr="004555EA">
        <w:rPr>
          <w:rFonts w:ascii="Garamond" w:hAnsi="Garamond"/>
          <w:smallCaps/>
          <w:color w:val="1B1B1B"/>
          <w:sz w:val="22"/>
          <w:szCs w:val="22"/>
          <w:shd w:val="clear" w:color="auto" w:fill="FFFFFF"/>
          <w:lang w:val="en-US"/>
        </w:rPr>
        <w:t>Dey</w:t>
      </w:r>
      <w:r w:rsidRPr="004555EA">
        <w:rPr>
          <w:rFonts w:ascii="Garamond" w:hAnsi="Garamond"/>
          <w:color w:val="1B1B1B"/>
          <w:sz w:val="22"/>
          <w:szCs w:val="22"/>
          <w:shd w:val="clear" w:color="auto" w:fill="FFFFFF"/>
          <w:lang w:val="en-US"/>
        </w:rPr>
        <w:t> J. (2015), « </w:t>
      </w:r>
      <w:r w:rsidRPr="00A7705A">
        <w:rPr>
          <w:rFonts w:ascii="Garamond" w:hAnsi="Garamond"/>
          <w:iCs/>
          <w:sz w:val="22"/>
          <w:szCs w:val="22"/>
          <w:lang w:val="en-GB"/>
        </w:rPr>
        <w:t>Long-Term Services and Supports for Older Americans: Risk and Financing</w:t>
      </w:r>
      <w:r w:rsidR="00CF327F">
        <w:rPr>
          <w:rFonts w:ascii="Garamond" w:hAnsi="Garamond"/>
          <w:iCs/>
          <w:sz w:val="22"/>
          <w:szCs w:val="22"/>
          <w:lang w:val="en-GB"/>
        </w:rPr>
        <w:t xml:space="preserve"> »</w:t>
      </w:r>
      <w:r>
        <w:rPr>
          <w:rFonts w:ascii="Garamond" w:hAnsi="Garamond"/>
          <w:sz w:val="22"/>
          <w:szCs w:val="22"/>
          <w:lang w:val="en-GB"/>
        </w:rPr>
        <w:t xml:space="preserve">, </w:t>
      </w:r>
      <w:r w:rsidRPr="004555EA">
        <w:rPr>
          <w:rFonts w:ascii="Garamond" w:hAnsi="Garamond"/>
          <w:color w:val="1B1B1B"/>
          <w:sz w:val="22"/>
          <w:szCs w:val="22"/>
          <w:shd w:val="clear" w:color="auto" w:fill="DFE1E2"/>
          <w:lang w:val="en-US"/>
        </w:rPr>
        <w:t>Department of Health and Human Services</w:t>
      </w:r>
      <w:r>
        <w:rPr>
          <w:rFonts w:ascii="Garamond" w:hAnsi="Garamond"/>
          <w:sz w:val="22"/>
          <w:szCs w:val="22"/>
          <w:lang w:val="en-GB"/>
        </w:rPr>
        <w:t xml:space="preserve">, </w:t>
      </w:r>
      <w:r w:rsidRPr="0083737C">
        <w:rPr>
          <w:rFonts w:ascii="Garamond" w:hAnsi="Garamond"/>
          <w:sz w:val="22"/>
          <w:szCs w:val="22"/>
          <w:lang w:val="en-GB"/>
        </w:rPr>
        <w:t>ASPE</w:t>
      </w:r>
      <w:r w:rsidRPr="009E61C9">
        <w:rPr>
          <w:rFonts w:ascii="Garamond" w:hAnsi="Garamond"/>
          <w:sz w:val="22"/>
          <w:szCs w:val="22"/>
          <w:lang w:val="en-GB"/>
        </w:rPr>
        <w:t xml:space="preserve"> </w:t>
      </w:r>
      <w:r>
        <w:rPr>
          <w:rFonts w:ascii="Garamond" w:hAnsi="Garamond"/>
          <w:sz w:val="22"/>
          <w:szCs w:val="22"/>
          <w:lang w:val="en-GB"/>
        </w:rPr>
        <w:t>(</w:t>
      </w:r>
      <w:r w:rsidRPr="009E61C9">
        <w:rPr>
          <w:rFonts w:ascii="Garamond" w:hAnsi="Garamond"/>
          <w:sz w:val="22"/>
          <w:szCs w:val="22"/>
          <w:lang w:val="en-GB"/>
        </w:rPr>
        <w:t>Office of the Assistant Secretary for Planning and Evaluation</w:t>
      </w:r>
      <w:r>
        <w:rPr>
          <w:rFonts w:ascii="Garamond" w:hAnsi="Garamond"/>
          <w:sz w:val="22"/>
          <w:szCs w:val="22"/>
          <w:lang w:val="en-GB"/>
        </w:rPr>
        <w:t xml:space="preserve">), </w:t>
      </w:r>
      <w:r w:rsidRPr="009E61C9">
        <w:rPr>
          <w:rFonts w:ascii="Garamond" w:hAnsi="Garamond"/>
          <w:sz w:val="22"/>
          <w:szCs w:val="22"/>
          <w:lang w:val="en-GB"/>
        </w:rPr>
        <w:t xml:space="preserve">Office of Disability, Aging and Long-Term Care Policy, </w:t>
      </w:r>
      <w:r w:rsidRPr="00A7705A">
        <w:rPr>
          <w:rFonts w:ascii="Garamond" w:hAnsi="Garamond"/>
          <w:i/>
          <w:iCs/>
          <w:sz w:val="22"/>
          <w:szCs w:val="22"/>
          <w:lang w:val="en-GB"/>
        </w:rPr>
        <w:t>Issue Brief</w:t>
      </w:r>
      <w:r>
        <w:rPr>
          <w:rFonts w:ascii="Garamond" w:hAnsi="Garamond"/>
          <w:sz w:val="22"/>
          <w:szCs w:val="22"/>
          <w:lang w:val="en-GB"/>
        </w:rPr>
        <w:t>,</w:t>
      </w:r>
      <w:r w:rsidRPr="009E61C9">
        <w:rPr>
          <w:rFonts w:ascii="Garamond" w:hAnsi="Garamond"/>
          <w:sz w:val="22"/>
          <w:szCs w:val="22"/>
          <w:lang w:val="en-GB"/>
        </w:rPr>
        <w:t xml:space="preserve"> Washington DC</w:t>
      </w:r>
      <w:r>
        <w:rPr>
          <w:rFonts w:ascii="Garamond" w:hAnsi="Garamond"/>
          <w:sz w:val="22"/>
          <w:szCs w:val="22"/>
          <w:lang w:val="en-GB"/>
        </w:rPr>
        <w:t>, 30 juin.</w:t>
      </w:r>
    </w:p>
    <w:p w14:paraId="21689747" w14:textId="77777777" w:rsidR="00A7705A" w:rsidRPr="009E61C9" w:rsidRDefault="00A7705A" w:rsidP="00A7705A">
      <w:pPr>
        <w:rPr>
          <w:rFonts w:ascii="Garamond" w:hAnsi="Garamond"/>
          <w:sz w:val="22"/>
          <w:szCs w:val="22"/>
          <w:lang w:val="en-GB"/>
        </w:rPr>
      </w:pPr>
    </w:p>
    <w:p w14:paraId="5FF3B2B1" w14:textId="77777777" w:rsidR="00D84575" w:rsidRPr="009E61C9" w:rsidRDefault="00D84575" w:rsidP="00D84575">
      <w:pPr>
        <w:jc w:val="both"/>
        <w:rPr>
          <w:rFonts w:ascii="Garamond" w:hAnsi="Garamond"/>
          <w:sz w:val="22"/>
          <w:szCs w:val="22"/>
          <w:lang w:val="en-US"/>
        </w:rPr>
      </w:pPr>
      <w:r w:rsidRPr="00D84575">
        <w:rPr>
          <w:rFonts w:ascii="Garamond" w:hAnsi="Garamond"/>
          <w:smallCaps/>
          <w:sz w:val="22"/>
          <w:szCs w:val="22"/>
          <w:lang w:val="en-US"/>
        </w:rPr>
        <w:t xml:space="preserve">Jagger C., Gillies C., Moscone F., Cambois E., Van Oyen H., Nusselder </w:t>
      </w:r>
      <w:r w:rsidRPr="009E61C9">
        <w:rPr>
          <w:rFonts w:ascii="Garamond" w:hAnsi="Garamond"/>
          <w:sz w:val="22"/>
          <w:szCs w:val="22"/>
          <w:lang w:val="en-US"/>
        </w:rPr>
        <w:t xml:space="preserve">W. et </w:t>
      </w:r>
      <w:r w:rsidRPr="00D84575">
        <w:rPr>
          <w:rFonts w:ascii="Garamond" w:hAnsi="Garamond"/>
          <w:smallCaps/>
          <w:sz w:val="22"/>
          <w:szCs w:val="22"/>
          <w:lang w:val="en-US"/>
        </w:rPr>
        <w:t>Robine</w:t>
      </w:r>
      <w:r w:rsidRPr="009E61C9">
        <w:rPr>
          <w:rFonts w:ascii="Garamond" w:hAnsi="Garamond"/>
          <w:sz w:val="22"/>
          <w:szCs w:val="22"/>
          <w:lang w:val="en-US"/>
        </w:rPr>
        <w:t xml:space="preserve"> J</w:t>
      </w:r>
      <w:r>
        <w:rPr>
          <w:rFonts w:ascii="Garamond" w:hAnsi="Garamond"/>
          <w:sz w:val="22"/>
          <w:szCs w:val="22"/>
          <w:lang w:val="en-US"/>
        </w:rPr>
        <w:t>.</w:t>
      </w:r>
      <w:r w:rsidRPr="009E61C9">
        <w:rPr>
          <w:rFonts w:ascii="Garamond" w:hAnsi="Garamond"/>
          <w:sz w:val="22"/>
          <w:szCs w:val="22"/>
          <w:lang w:val="en-US"/>
        </w:rPr>
        <w:t>-M.</w:t>
      </w:r>
      <w:r>
        <w:rPr>
          <w:rFonts w:ascii="Garamond" w:hAnsi="Garamond"/>
          <w:sz w:val="22"/>
          <w:szCs w:val="22"/>
          <w:lang w:val="en-US"/>
        </w:rPr>
        <w:t xml:space="preserve"> </w:t>
      </w:r>
      <w:r w:rsidRPr="009E61C9">
        <w:rPr>
          <w:rFonts w:ascii="Garamond" w:hAnsi="Garamond"/>
          <w:sz w:val="22"/>
          <w:szCs w:val="22"/>
          <w:lang w:val="en-US"/>
        </w:rPr>
        <w:t xml:space="preserve">(2008), </w:t>
      </w:r>
      <w:r>
        <w:rPr>
          <w:rFonts w:ascii="Garamond" w:hAnsi="Garamond"/>
          <w:sz w:val="22"/>
          <w:szCs w:val="22"/>
          <w:lang w:val="en-US"/>
        </w:rPr>
        <w:t xml:space="preserve">« </w:t>
      </w:r>
      <w:r w:rsidRPr="009E61C9">
        <w:rPr>
          <w:rFonts w:ascii="Garamond" w:hAnsi="Garamond"/>
          <w:sz w:val="22"/>
          <w:szCs w:val="22"/>
          <w:lang w:val="en-US"/>
        </w:rPr>
        <w:t xml:space="preserve">Inequalities </w:t>
      </w:r>
      <w:r>
        <w:rPr>
          <w:rFonts w:ascii="Garamond" w:hAnsi="Garamond"/>
          <w:sz w:val="22"/>
          <w:szCs w:val="22"/>
          <w:lang w:val="en-US"/>
        </w:rPr>
        <w:t>i</w:t>
      </w:r>
      <w:r w:rsidRPr="009E61C9">
        <w:rPr>
          <w:rFonts w:ascii="Garamond" w:hAnsi="Garamond"/>
          <w:sz w:val="22"/>
          <w:szCs w:val="22"/>
          <w:lang w:val="en-US"/>
        </w:rPr>
        <w:t xml:space="preserve">n Healthy Life Years </w:t>
      </w:r>
      <w:r>
        <w:rPr>
          <w:rFonts w:ascii="Garamond" w:hAnsi="Garamond"/>
          <w:sz w:val="22"/>
          <w:szCs w:val="22"/>
          <w:lang w:val="en-US"/>
        </w:rPr>
        <w:t>i</w:t>
      </w:r>
      <w:r w:rsidRPr="009E61C9">
        <w:rPr>
          <w:rFonts w:ascii="Garamond" w:hAnsi="Garamond"/>
          <w:sz w:val="22"/>
          <w:szCs w:val="22"/>
          <w:lang w:val="en-US"/>
        </w:rPr>
        <w:t xml:space="preserve">n 25 Countries </w:t>
      </w:r>
      <w:r>
        <w:rPr>
          <w:rFonts w:ascii="Garamond" w:hAnsi="Garamond"/>
          <w:sz w:val="22"/>
          <w:szCs w:val="22"/>
          <w:lang w:val="en-US"/>
        </w:rPr>
        <w:t>o</w:t>
      </w:r>
      <w:r w:rsidRPr="009E61C9">
        <w:rPr>
          <w:rFonts w:ascii="Garamond" w:hAnsi="Garamond"/>
          <w:sz w:val="22"/>
          <w:szCs w:val="22"/>
          <w:lang w:val="en-US"/>
        </w:rPr>
        <w:t xml:space="preserve">f </w:t>
      </w:r>
      <w:r>
        <w:rPr>
          <w:rFonts w:ascii="Garamond" w:hAnsi="Garamond"/>
          <w:sz w:val="22"/>
          <w:szCs w:val="22"/>
          <w:lang w:val="en-US"/>
        </w:rPr>
        <w:t>t</w:t>
      </w:r>
      <w:r w:rsidRPr="009E61C9">
        <w:rPr>
          <w:rFonts w:ascii="Garamond" w:hAnsi="Garamond"/>
          <w:sz w:val="22"/>
          <w:szCs w:val="22"/>
          <w:lang w:val="en-US"/>
        </w:rPr>
        <w:t xml:space="preserve">he European Union </w:t>
      </w:r>
      <w:r>
        <w:rPr>
          <w:rFonts w:ascii="Garamond" w:hAnsi="Garamond"/>
          <w:sz w:val="22"/>
          <w:szCs w:val="22"/>
          <w:lang w:val="en-US"/>
        </w:rPr>
        <w:t>i</w:t>
      </w:r>
      <w:r w:rsidRPr="009E61C9">
        <w:rPr>
          <w:rFonts w:ascii="Garamond" w:hAnsi="Garamond"/>
          <w:sz w:val="22"/>
          <w:szCs w:val="22"/>
          <w:lang w:val="en-US"/>
        </w:rPr>
        <w:t xml:space="preserve">n 2005: </w:t>
      </w:r>
      <w:r>
        <w:rPr>
          <w:rFonts w:ascii="Garamond" w:hAnsi="Garamond"/>
          <w:sz w:val="22"/>
          <w:szCs w:val="22"/>
          <w:lang w:val="en-US"/>
        </w:rPr>
        <w:t>a</w:t>
      </w:r>
      <w:r w:rsidRPr="009E61C9">
        <w:rPr>
          <w:rFonts w:ascii="Garamond" w:hAnsi="Garamond"/>
          <w:sz w:val="22"/>
          <w:szCs w:val="22"/>
          <w:lang w:val="en-US"/>
        </w:rPr>
        <w:t xml:space="preserve"> Cross-National Meta-Regression Analysis</w:t>
      </w:r>
      <w:r>
        <w:rPr>
          <w:rFonts w:ascii="Garamond" w:hAnsi="Garamond"/>
          <w:sz w:val="22"/>
          <w:szCs w:val="22"/>
          <w:lang w:val="en-US"/>
        </w:rPr>
        <w:t xml:space="preserve"> »</w:t>
      </w:r>
      <w:r w:rsidRPr="009E61C9">
        <w:rPr>
          <w:rFonts w:ascii="Garamond" w:hAnsi="Garamond"/>
          <w:sz w:val="22"/>
          <w:szCs w:val="22"/>
          <w:lang w:val="en-US"/>
        </w:rPr>
        <w:t xml:space="preserve">, </w:t>
      </w:r>
      <w:r w:rsidRPr="009E61C9">
        <w:rPr>
          <w:rFonts w:ascii="Garamond" w:hAnsi="Garamond"/>
          <w:i/>
          <w:sz w:val="22"/>
          <w:szCs w:val="22"/>
          <w:lang w:val="en-GB"/>
        </w:rPr>
        <w:t>The Lancet</w:t>
      </w:r>
      <w:r w:rsidRPr="009E61C9">
        <w:rPr>
          <w:rFonts w:ascii="Garamond" w:hAnsi="Garamond"/>
          <w:sz w:val="22"/>
          <w:szCs w:val="22"/>
          <w:lang w:val="en-GB"/>
        </w:rPr>
        <w:t xml:space="preserve">, </w:t>
      </w:r>
      <w:r>
        <w:rPr>
          <w:rFonts w:ascii="Garamond" w:hAnsi="Garamond"/>
          <w:sz w:val="22"/>
          <w:szCs w:val="22"/>
          <w:lang w:val="en-GB"/>
        </w:rPr>
        <w:t xml:space="preserve">vol. </w:t>
      </w:r>
      <w:r w:rsidRPr="009E61C9">
        <w:rPr>
          <w:rFonts w:ascii="Garamond" w:hAnsi="Garamond"/>
          <w:sz w:val="22"/>
          <w:szCs w:val="22"/>
          <w:lang w:val="en-GB"/>
        </w:rPr>
        <w:t>372</w:t>
      </w:r>
      <w:r>
        <w:rPr>
          <w:rFonts w:ascii="Garamond" w:hAnsi="Garamond"/>
          <w:sz w:val="22"/>
          <w:szCs w:val="22"/>
          <w:lang w:val="en-GB"/>
        </w:rPr>
        <w:t xml:space="preserve">, n° </w:t>
      </w:r>
      <w:r w:rsidRPr="009E61C9">
        <w:rPr>
          <w:rFonts w:ascii="Garamond" w:hAnsi="Garamond"/>
          <w:sz w:val="22"/>
          <w:szCs w:val="22"/>
          <w:lang w:val="en-GB"/>
        </w:rPr>
        <w:t xml:space="preserve">9656, </w:t>
      </w:r>
      <w:r>
        <w:rPr>
          <w:rFonts w:ascii="Garamond" w:hAnsi="Garamond"/>
          <w:sz w:val="22"/>
          <w:szCs w:val="22"/>
          <w:lang w:val="en-GB"/>
        </w:rPr>
        <w:t xml:space="preserve">pp. </w:t>
      </w:r>
      <w:r w:rsidRPr="009E61C9">
        <w:rPr>
          <w:rFonts w:ascii="Garamond" w:hAnsi="Garamond"/>
          <w:sz w:val="22"/>
          <w:szCs w:val="22"/>
          <w:lang w:val="en-GB"/>
        </w:rPr>
        <w:t xml:space="preserve">2124-2131. </w:t>
      </w:r>
    </w:p>
    <w:p w14:paraId="231B16CE" w14:textId="77777777" w:rsidR="00D84575" w:rsidRPr="009E61C9" w:rsidRDefault="00D84575" w:rsidP="00D84575">
      <w:pPr>
        <w:jc w:val="both"/>
        <w:rPr>
          <w:rFonts w:ascii="Garamond" w:hAnsi="Garamond"/>
          <w:sz w:val="22"/>
          <w:szCs w:val="22"/>
          <w:lang w:val="en-US"/>
        </w:rPr>
      </w:pPr>
    </w:p>
    <w:p w14:paraId="37CAAAF2" w14:textId="3891BDE0" w:rsidR="00596B7D" w:rsidRPr="009E61C9" w:rsidRDefault="003A0BA0" w:rsidP="009E61C9">
      <w:pPr>
        <w:jc w:val="both"/>
        <w:rPr>
          <w:rFonts w:ascii="Garamond" w:hAnsi="Garamond"/>
          <w:sz w:val="22"/>
          <w:szCs w:val="22"/>
          <w:lang w:val="en-US"/>
        </w:rPr>
      </w:pPr>
      <w:r w:rsidRPr="00D84575">
        <w:rPr>
          <w:rFonts w:ascii="Garamond" w:hAnsi="Garamond"/>
          <w:smallCaps/>
          <w:sz w:val="22"/>
          <w:szCs w:val="22"/>
          <w:lang w:val="nl-BE"/>
        </w:rPr>
        <w:t xml:space="preserve">Jagger C., Van Oyen H. </w:t>
      </w:r>
      <w:r w:rsidRPr="009E61C9">
        <w:rPr>
          <w:rFonts w:ascii="Garamond" w:hAnsi="Garamond"/>
          <w:sz w:val="22"/>
          <w:szCs w:val="22"/>
          <w:lang w:val="nl-BE"/>
        </w:rPr>
        <w:t xml:space="preserve">et </w:t>
      </w:r>
      <w:r w:rsidR="0071530E" w:rsidRPr="00D84575">
        <w:rPr>
          <w:rFonts w:ascii="Garamond" w:hAnsi="Garamond"/>
          <w:smallCaps/>
          <w:sz w:val="22"/>
          <w:szCs w:val="22"/>
          <w:lang w:val="en-US"/>
        </w:rPr>
        <w:t>Robine</w:t>
      </w:r>
      <w:r w:rsidR="0071530E" w:rsidRPr="009E61C9">
        <w:rPr>
          <w:rFonts w:ascii="Garamond" w:hAnsi="Garamond"/>
          <w:sz w:val="22"/>
          <w:szCs w:val="22"/>
          <w:lang w:val="en-US"/>
        </w:rPr>
        <w:t xml:space="preserve"> </w:t>
      </w:r>
      <w:r w:rsidR="004B203F" w:rsidRPr="009E61C9">
        <w:rPr>
          <w:rFonts w:ascii="Garamond" w:hAnsi="Garamond"/>
          <w:sz w:val="22"/>
          <w:szCs w:val="22"/>
          <w:lang w:val="nl-BE"/>
        </w:rPr>
        <w:t>J</w:t>
      </w:r>
      <w:r w:rsidR="004B203F">
        <w:rPr>
          <w:rFonts w:ascii="Garamond" w:hAnsi="Garamond"/>
          <w:sz w:val="22"/>
          <w:szCs w:val="22"/>
          <w:lang w:val="nl-BE"/>
        </w:rPr>
        <w:t>.</w:t>
      </w:r>
      <w:r w:rsidR="004B203F" w:rsidRPr="009E61C9">
        <w:rPr>
          <w:rFonts w:ascii="Garamond" w:hAnsi="Garamond"/>
          <w:sz w:val="22"/>
          <w:szCs w:val="22"/>
          <w:lang w:val="nl-BE"/>
        </w:rPr>
        <w:t xml:space="preserve">-M. </w:t>
      </w:r>
      <w:r w:rsidR="0071530E" w:rsidRPr="009E61C9">
        <w:rPr>
          <w:rFonts w:ascii="Garamond" w:hAnsi="Garamond"/>
          <w:sz w:val="22"/>
          <w:szCs w:val="22"/>
          <w:lang w:val="en-US"/>
        </w:rPr>
        <w:t xml:space="preserve">(2014), </w:t>
      </w:r>
      <w:r w:rsidR="00CF327F">
        <w:rPr>
          <w:rFonts w:ascii="Garamond" w:hAnsi="Garamond"/>
          <w:sz w:val="22"/>
          <w:szCs w:val="22"/>
          <w:lang w:val="en-US"/>
        </w:rPr>
        <w:t xml:space="preserve">« </w:t>
      </w:r>
      <w:r w:rsidR="0071530E" w:rsidRPr="009E61C9">
        <w:rPr>
          <w:rFonts w:ascii="Garamond" w:hAnsi="Garamond"/>
          <w:sz w:val="22"/>
          <w:szCs w:val="22"/>
          <w:lang w:val="en-US"/>
        </w:rPr>
        <w:t xml:space="preserve">Health Expectancy </w:t>
      </w:r>
      <w:r w:rsidR="004B203F" w:rsidRPr="009E61C9">
        <w:rPr>
          <w:rFonts w:ascii="Garamond" w:hAnsi="Garamond"/>
          <w:sz w:val="22"/>
          <w:szCs w:val="22"/>
          <w:lang w:val="en-US"/>
        </w:rPr>
        <w:t xml:space="preserve">Calculation </w:t>
      </w:r>
      <w:r w:rsidR="004B203F">
        <w:rPr>
          <w:rFonts w:ascii="Garamond" w:hAnsi="Garamond"/>
          <w:sz w:val="22"/>
          <w:szCs w:val="22"/>
          <w:lang w:val="en-US"/>
        </w:rPr>
        <w:t>b</w:t>
      </w:r>
      <w:r w:rsidR="004B203F" w:rsidRPr="009E61C9">
        <w:rPr>
          <w:rFonts w:ascii="Garamond" w:hAnsi="Garamond"/>
          <w:sz w:val="22"/>
          <w:szCs w:val="22"/>
          <w:lang w:val="en-US"/>
        </w:rPr>
        <w:t xml:space="preserve">y </w:t>
      </w:r>
      <w:r w:rsidR="004B203F">
        <w:rPr>
          <w:rFonts w:ascii="Garamond" w:hAnsi="Garamond"/>
          <w:sz w:val="22"/>
          <w:szCs w:val="22"/>
          <w:lang w:val="en-US"/>
        </w:rPr>
        <w:t>t</w:t>
      </w:r>
      <w:r w:rsidR="004B203F" w:rsidRPr="009E61C9">
        <w:rPr>
          <w:rFonts w:ascii="Garamond" w:hAnsi="Garamond"/>
          <w:sz w:val="22"/>
          <w:szCs w:val="22"/>
          <w:lang w:val="en-US"/>
        </w:rPr>
        <w:t xml:space="preserve">he Sullivan Method: </w:t>
      </w:r>
      <w:r w:rsidR="004B203F">
        <w:rPr>
          <w:rFonts w:ascii="Garamond" w:hAnsi="Garamond"/>
          <w:sz w:val="22"/>
          <w:szCs w:val="22"/>
          <w:lang w:val="en-US"/>
        </w:rPr>
        <w:t>a</w:t>
      </w:r>
      <w:r w:rsidR="004B203F" w:rsidRPr="009E61C9">
        <w:rPr>
          <w:rFonts w:ascii="Garamond" w:hAnsi="Garamond"/>
          <w:sz w:val="22"/>
          <w:szCs w:val="22"/>
          <w:lang w:val="en-US"/>
        </w:rPr>
        <w:t xml:space="preserve"> Practical Guide</w:t>
      </w:r>
      <w:r w:rsidR="00CF327F">
        <w:rPr>
          <w:rFonts w:ascii="Garamond" w:hAnsi="Garamond"/>
          <w:sz w:val="22"/>
          <w:szCs w:val="22"/>
          <w:lang w:val="en-US"/>
        </w:rPr>
        <w:t xml:space="preserve"> »</w:t>
      </w:r>
      <w:r w:rsidR="00B745A8" w:rsidRPr="009E61C9">
        <w:rPr>
          <w:rFonts w:ascii="Garamond" w:hAnsi="Garamond"/>
          <w:sz w:val="22"/>
          <w:szCs w:val="22"/>
          <w:lang w:val="en-US"/>
        </w:rPr>
        <w:t xml:space="preserve">, </w:t>
      </w:r>
      <w:r w:rsidR="00B745A8" w:rsidRPr="009E61C9">
        <w:rPr>
          <w:rFonts w:ascii="Garamond" w:hAnsi="Garamond"/>
          <w:i/>
          <w:sz w:val="22"/>
          <w:szCs w:val="22"/>
          <w:lang w:val="en-US"/>
        </w:rPr>
        <w:t xml:space="preserve">European Health </w:t>
      </w:r>
      <w:r w:rsidR="00B745A8" w:rsidRPr="004B203F">
        <w:rPr>
          <w:rFonts w:ascii="Garamond" w:hAnsi="Garamond"/>
          <w:iCs/>
          <w:sz w:val="22"/>
          <w:szCs w:val="22"/>
          <w:lang w:val="en-US"/>
        </w:rPr>
        <w:t>&amp;</w:t>
      </w:r>
      <w:r w:rsidR="00B745A8" w:rsidRPr="009E61C9">
        <w:rPr>
          <w:rFonts w:ascii="Garamond" w:hAnsi="Garamond"/>
          <w:i/>
          <w:sz w:val="22"/>
          <w:szCs w:val="22"/>
          <w:lang w:val="en-US"/>
        </w:rPr>
        <w:t xml:space="preserve"> Life Expectancy </w:t>
      </w:r>
      <w:r w:rsidR="007D2295" w:rsidRPr="009E61C9">
        <w:rPr>
          <w:rFonts w:ascii="Garamond" w:hAnsi="Garamond"/>
          <w:i/>
          <w:sz w:val="22"/>
          <w:szCs w:val="22"/>
          <w:lang w:val="en-US"/>
        </w:rPr>
        <w:t>Information System,</w:t>
      </w:r>
      <w:r w:rsidR="007D2295" w:rsidRPr="009E61C9">
        <w:rPr>
          <w:rFonts w:ascii="Garamond" w:hAnsi="Garamond"/>
          <w:sz w:val="22"/>
          <w:szCs w:val="22"/>
          <w:lang w:val="en-US"/>
        </w:rPr>
        <w:t xml:space="preserve"> Newcastle University.</w:t>
      </w:r>
    </w:p>
    <w:p w14:paraId="7DC6679C" w14:textId="77777777" w:rsidR="005436FD" w:rsidRPr="009E61C9" w:rsidRDefault="005436FD" w:rsidP="009E61C9">
      <w:pPr>
        <w:jc w:val="both"/>
        <w:rPr>
          <w:rFonts w:ascii="Garamond" w:hAnsi="Garamond"/>
          <w:sz w:val="22"/>
          <w:szCs w:val="22"/>
          <w:lang w:val="en-US"/>
        </w:rPr>
      </w:pPr>
    </w:p>
    <w:p w14:paraId="4FC00173" w14:textId="37AC4BB7" w:rsidR="00EA3B5A" w:rsidRPr="009E61C9" w:rsidRDefault="00E94DDD" w:rsidP="009E61C9">
      <w:pPr>
        <w:jc w:val="both"/>
        <w:rPr>
          <w:rFonts w:ascii="Garamond" w:hAnsi="Garamond"/>
          <w:sz w:val="22"/>
          <w:szCs w:val="22"/>
          <w:lang w:val="en-US"/>
        </w:rPr>
      </w:pPr>
      <w:r w:rsidRPr="00D84575">
        <w:rPr>
          <w:rFonts w:ascii="Garamond" w:hAnsi="Garamond"/>
          <w:smallCaps/>
          <w:sz w:val="22"/>
          <w:szCs w:val="22"/>
          <w:lang w:val="en-US"/>
        </w:rPr>
        <w:t>J</w:t>
      </w:r>
      <w:r w:rsidR="00D17E71" w:rsidRPr="00D84575">
        <w:rPr>
          <w:rFonts w:ascii="Garamond" w:hAnsi="Garamond"/>
          <w:smallCaps/>
          <w:sz w:val="22"/>
          <w:szCs w:val="22"/>
          <w:lang w:val="en-US"/>
        </w:rPr>
        <w:t>ü</w:t>
      </w:r>
      <w:r w:rsidRPr="00D84575">
        <w:rPr>
          <w:rFonts w:ascii="Garamond" w:hAnsi="Garamond"/>
          <w:smallCaps/>
          <w:sz w:val="22"/>
          <w:szCs w:val="22"/>
          <w:lang w:val="en-US"/>
        </w:rPr>
        <w:t>rges</w:t>
      </w:r>
      <w:r w:rsidRPr="009E61C9">
        <w:rPr>
          <w:rFonts w:ascii="Garamond" w:hAnsi="Garamond"/>
          <w:sz w:val="22"/>
          <w:szCs w:val="22"/>
          <w:lang w:val="en-US"/>
        </w:rPr>
        <w:t xml:space="preserve"> H. (200</w:t>
      </w:r>
      <w:r w:rsidR="00610535" w:rsidRPr="009E61C9">
        <w:rPr>
          <w:rFonts w:ascii="Garamond" w:hAnsi="Garamond"/>
          <w:sz w:val="22"/>
          <w:szCs w:val="22"/>
          <w:lang w:val="en-US"/>
        </w:rPr>
        <w:t xml:space="preserve">7), </w:t>
      </w:r>
      <w:r w:rsidR="00CF327F">
        <w:rPr>
          <w:rFonts w:ascii="Garamond" w:hAnsi="Garamond"/>
          <w:sz w:val="22"/>
          <w:szCs w:val="22"/>
          <w:lang w:val="en-US"/>
        </w:rPr>
        <w:t xml:space="preserve">« </w:t>
      </w:r>
      <w:r w:rsidR="004B203F" w:rsidRPr="009E61C9">
        <w:rPr>
          <w:rFonts w:ascii="Garamond" w:hAnsi="Garamond"/>
          <w:sz w:val="22"/>
          <w:szCs w:val="22"/>
          <w:lang w:val="en-US"/>
        </w:rPr>
        <w:t xml:space="preserve">True Health </w:t>
      </w:r>
      <w:r w:rsidR="004B203F">
        <w:rPr>
          <w:rFonts w:ascii="Garamond" w:hAnsi="Garamond"/>
          <w:sz w:val="22"/>
          <w:szCs w:val="22"/>
          <w:lang w:val="en-US"/>
        </w:rPr>
        <w:t>v</w:t>
      </w:r>
      <w:r w:rsidR="004B203F" w:rsidRPr="009E61C9">
        <w:rPr>
          <w:rFonts w:ascii="Garamond" w:hAnsi="Garamond"/>
          <w:sz w:val="22"/>
          <w:szCs w:val="22"/>
          <w:lang w:val="en-US"/>
        </w:rPr>
        <w:t xml:space="preserve">s Response Styles: Exploring Cross-Country Differences </w:t>
      </w:r>
      <w:r w:rsidR="004B203F">
        <w:rPr>
          <w:rFonts w:ascii="Garamond" w:hAnsi="Garamond"/>
          <w:sz w:val="22"/>
          <w:szCs w:val="22"/>
          <w:lang w:val="en-US"/>
        </w:rPr>
        <w:t>i</w:t>
      </w:r>
      <w:r w:rsidR="004B203F" w:rsidRPr="009E61C9">
        <w:rPr>
          <w:rFonts w:ascii="Garamond" w:hAnsi="Garamond"/>
          <w:sz w:val="22"/>
          <w:szCs w:val="22"/>
          <w:lang w:val="en-US"/>
        </w:rPr>
        <w:t>n Self-Reported Health</w:t>
      </w:r>
      <w:r w:rsidR="00CF327F">
        <w:rPr>
          <w:rFonts w:ascii="Garamond" w:hAnsi="Garamond"/>
          <w:sz w:val="22"/>
          <w:szCs w:val="22"/>
          <w:lang w:val="en-US"/>
        </w:rPr>
        <w:t xml:space="preserve"> »</w:t>
      </w:r>
      <w:r w:rsidR="00610535" w:rsidRPr="009E61C9">
        <w:rPr>
          <w:rFonts w:ascii="Garamond" w:hAnsi="Garamond"/>
          <w:sz w:val="22"/>
          <w:szCs w:val="22"/>
          <w:lang w:val="en-US"/>
        </w:rPr>
        <w:t xml:space="preserve">, </w:t>
      </w:r>
      <w:r w:rsidR="00610535" w:rsidRPr="009E61C9">
        <w:rPr>
          <w:rFonts w:ascii="Garamond" w:hAnsi="Garamond"/>
          <w:i/>
          <w:sz w:val="22"/>
          <w:szCs w:val="22"/>
          <w:lang w:val="en-US"/>
        </w:rPr>
        <w:t>Health Economics</w:t>
      </w:r>
      <w:r w:rsidR="00610535" w:rsidRPr="009E61C9">
        <w:rPr>
          <w:rFonts w:ascii="Garamond" w:hAnsi="Garamond"/>
          <w:sz w:val="22"/>
          <w:szCs w:val="22"/>
          <w:lang w:val="en-US"/>
        </w:rPr>
        <w:t xml:space="preserve">, </w:t>
      </w:r>
      <w:r w:rsidR="004B203F">
        <w:rPr>
          <w:rFonts w:ascii="Garamond" w:hAnsi="Garamond"/>
          <w:sz w:val="22"/>
          <w:szCs w:val="22"/>
          <w:lang w:val="en-US"/>
        </w:rPr>
        <w:t xml:space="preserve">vol. </w:t>
      </w:r>
      <w:r w:rsidR="00610535" w:rsidRPr="009E61C9">
        <w:rPr>
          <w:rFonts w:ascii="Garamond" w:hAnsi="Garamond"/>
          <w:sz w:val="22"/>
          <w:szCs w:val="22"/>
          <w:lang w:val="en-US"/>
        </w:rPr>
        <w:t>16</w:t>
      </w:r>
      <w:r w:rsidR="004B203F">
        <w:rPr>
          <w:rFonts w:ascii="Garamond" w:hAnsi="Garamond"/>
          <w:sz w:val="22"/>
          <w:szCs w:val="22"/>
          <w:lang w:val="en-US"/>
        </w:rPr>
        <w:t>, n° 2</w:t>
      </w:r>
      <w:r w:rsidR="00610535" w:rsidRPr="009E61C9">
        <w:rPr>
          <w:rFonts w:ascii="Garamond" w:hAnsi="Garamond"/>
          <w:sz w:val="22"/>
          <w:szCs w:val="22"/>
          <w:lang w:val="en-US"/>
        </w:rPr>
        <w:t xml:space="preserve">, </w:t>
      </w:r>
      <w:r w:rsidR="004B203F">
        <w:rPr>
          <w:rFonts w:ascii="Garamond" w:hAnsi="Garamond"/>
          <w:sz w:val="22"/>
          <w:szCs w:val="22"/>
          <w:lang w:val="en-US"/>
        </w:rPr>
        <w:t xml:space="preserve">pp. </w:t>
      </w:r>
      <w:r w:rsidR="00610535" w:rsidRPr="009E61C9">
        <w:rPr>
          <w:rFonts w:ascii="Garamond" w:hAnsi="Garamond"/>
          <w:sz w:val="22"/>
          <w:szCs w:val="22"/>
          <w:lang w:val="en-US"/>
        </w:rPr>
        <w:t xml:space="preserve">163-178. </w:t>
      </w:r>
    </w:p>
    <w:p w14:paraId="607442DB" w14:textId="77777777" w:rsidR="00E94DDD" w:rsidRPr="009E61C9" w:rsidRDefault="00E94DDD" w:rsidP="009E61C9">
      <w:pPr>
        <w:jc w:val="both"/>
        <w:rPr>
          <w:rFonts w:ascii="Garamond" w:hAnsi="Garamond"/>
          <w:sz w:val="22"/>
          <w:szCs w:val="22"/>
          <w:lang w:val="en-US"/>
        </w:rPr>
      </w:pPr>
    </w:p>
    <w:p w14:paraId="7F5B4B0F" w14:textId="1F7C92F9" w:rsidR="005A7191" w:rsidRPr="004555EA" w:rsidRDefault="001C28AF" w:rsidP="009E61C9">
      <w:pPr>
        <w:jc w:val="both"/>
        <w:rPr>
          <w:rFonts w:ascii="Garamond" w:hAnsi="Garamond"/>
          <w:sz w:val="22"/>
          <w:szCs w:val="22"/>
        </w:rPr>
      </w:pPr>
      <w:r w:rsidRPr="00D84575">
        <w:rPr>
          <w:rFonts w:ascii="Garamond" w:hAnsi="Garamond"/>
          <w:smallCaps/>
          <w:sz w:val="22"/>
          <w:szCs w:val="22"/>
        </w:rPr>
        <w:t xml:space="preserve">Lefebvre M., Perelman </w:t>
      </w:r>
      <w:r w:rsidRPr="009E61C9">
        <w:rPr>
          <w:rFonts w:ascii="Garamond" w:hAnsi="Garamond"/>
          <w:sz w:val="22"/>
          <w:szCs w:val="22"/>
        </w:rPr>
        <w:t>S.</w:t>
      </w:r>
      <w:r w:rsidR="000E7D02" w:rsidRPr="009E61C9">
        <w:rPr>
          <w:rFonts w:ascii="Garamond" w:hAnsi="Garamond"/>
          <w:sz w:val="22"/>
          <w:szCs w:val="22"/>
        </w:rPr>
        <w:t xml:space="preserve"> et </w:t>
      </w:r>
      <w:r w:rsidRPr="00D84575">
        <w:rPr>
          <w:rFonts w:ascii="Garamond" w:hAnsi="Garamond"/>
          <w:smallCaps/>
          <w:sz w:val="22"/>
          <w:szCs w:val="22"/>
        </w:rPr>
        <w:t xml:space="preserve">Schoenmaeckers </w:t>
      </w:r>
      <w:r w:rsidR="004B203F" w:rsidRPr="009E61C9">
        <w:rPr>
          <w:rFonts w:ascii="Garamond" w:hAnsi="Garamond"/>
          <w:sz w:val="22"/>
          <w:szCs w:val="22"/>
        </w:rPr>
        <w:t xml:space="preserve">J. </w:t>
      </w:r>
      <w:r w:rsidRPr="009E61C9">
        <w:rPr>
          <w:rFonts w:ascii="Garamond" w:hAnsi="Garamond"/>
          <w:sz w:val="22"/>
          <w:szCs w:val="22"/>
        </w:rPr>
        <w:t>(2018)</w:t>
      </w:r>
      <w:r w:rsidR="00506F88" w:rsidRPr="009E61C9">
        <w:rPr>
          <w:rFonts w:ascii="Garamond" w:hAnsi="Garamond"/>
          <w:sz w:val="22"/>
          <w:szCs w:val="22"/>
        </w:rPr>
        <w:t xml:space="preserve">, </w:t>
      </w:r>
      <w:r w:rsidR="004B203F">
        <w:rPr>
          <w:rFonts w:ascii="Garamond" w:hAnsi="Garamond"/>
          <w:sz w:val="22"/>
          <w:szCs w:val="22"/>
        </w:rPr>
        <w:t>« </w:t>
      </w:r>
      <w:r w:rsidR="00506F88" w:rsidRPr="009E61C9">
        <w:rPr>
          <w:rFonts w:ascii="Garamond" w:hAnsi="Garamond"/>
          <w:sz w:val="22"/>
          <w:szCs w:val="22"/>
        </w:rPr>
        <w:t>Inégalités face à la mort et au risque de dépendance</w:t>
      </w:r>
      <w:r w:rsidR="004B203F">
        <w:rPr>
          <w:rFonts w:ascii="Garamond" w:hAnsi="Garamond"/>
          <w:sz w:val="22"/>
          <w:szCs w:val="22"/>
        </w:rPr>
        <w:t> »,</w:t>
      </w:r>
      <w:r w:rsidR="00506F88" w:rsidRPr="009E61C9">
        <w:rPr>
          <w:rFonts w:ascii="Garamond" w:hAnsi="Garamond"/>
          <w:sz w:val="22"/>
          <w:szCs w:val="22"/>
        </w:rPr>
        <w:t xml:space="preserve"> </w:t>
      </w:r>
      <w:r w:rsidR="00506F88" w:rsidRPr="004555EA">
        <w:rPr>
          <w:rStyle w:val="Accentuation"/>
          <w:rFonts w:ascii="Garamond" w:hAnsi="Garamond"/>
          <w:sz w:val="22"/>
          <w:szCs w:val="22"/>
        </w:rPr>
        <w:t xml:space="preserve">Revue </w:t>
      </w:r>
      <w:r w:rsidR="004B203F" w:rsidRPr="004555EA">
        <w:rPr>
          <w:rStyle w:val="Accentuation"/>
          <w:rFonts w:ascii="Garamond" w:hAnsi="Garamond"/>
          <w:sz w:val="22"/>
          <w:szCs w:val="22"/>
        </w:rPr>
        <w:t>f</w:t>
      </w:r>
      <w:r w:rsidR="00506F88" w:rsidRPr="004555EA">
        <w:rPr>
          <w:rStyle w:val="Accentuation"/>
          <w:rFonts w:ascii="Garamond" w:hAnsi="Garamond"/>
          <w:sz w:val="22"/>
          <w:szCs w:val="22"/>
        </w:rPr>
        <w:t>rançaise d'</w:t>
      </w:r>
      <w:r w:rsidR="004B203F" w:rsidRPr="004555EA">
        <w:rPr>
          <w:rStyle w:val="Accentuation"/>
          <w:rFonts w:ascii="Garamond" w:hAnsi="Garamond"/>
          <w:sz w:val="22"/>
          <w:szCs w:val="22"/>
        </w:rPr>
        <w:t>é</w:t>
      </w:r>
      <w:r w:rsidR="00506F88" w:rsidRPr="004555EA">
        <w:rPr>
          <w:rStyle w:val="Accentuation"/>
          <w:rFonts w:ascii="Garamond" w:hAnsi="Garamond"/>
          <w:sz w:val="22"/>
          <w:szCs w:val="22"/>
        </w:rPr>
        <w:t>conomie</w:t>
      </w:r>
      <w:r w:rsidR="00506F88" w:rsidRPr="004555EA">
        <w:rPr>
          <w:rStyle w:val="Accentuation"/>
          <w:rFonts w:ascii="Garamond" w:hAnsi="Garamond"/>
          <w:i w:val="0"/>
          <w:iCs w:val="0"/>
          <w:sz w:val="22"/>
          <w:szCs w:val="22"/>
        </w:rPr>
        <w:t xml:space="preserve">, </w:t>
      </w:r>
      <w:r w:rsidR="004B203F" w:rsidRPr="004555EA">
        <w:rPr>
          <w:rStyle w:val="Accentuation"/>
          <w:rFonts w:ascii="Garamond" w:hAnsi="Garamond"/>
          <w:i w:val="0"/>
          <w:iCs w:val="0"/>
          <w:sz w:val="22"/>
          <w:szCs w:val="22"/>
        </w:rPr>
        <w:t xml:space="preserve">vol. </w:t>
      </w:r>
      <w:r w:rsidR="00506F88" w:rsidRPr="004555EA">
        <w:rPr>
          <w:rStyle w:val="Accentuation"/>
          <w:rFonts w:ascii="Garamond" w:hAnsi="Garamond"/>
          <w:i w:val="0"/>
          <w:iCs w:val="0"/>
          <w:sz w:val="22"/>
          <w:szCs w:val="22"/>
        </w:rPr>
        <w:t>33</w:t>
      </w:r>
      <w:r w:rsidR="004B203F" w:rsidRPr="004555EA">
        <w:rPr>
          <w:rStyle w:val="Accentuation"/>
          <w:rFonts w:ascii="Garamond" w:hAnsi="Garamond"/>
          <w:i w:val="0"/>
          <w:iCs w:val="0"/>
          <w:sz w:val="22"/>
          <w:szCs w:val="22"/>
        </w:rPr>
        <w:t xml:space="preserve">, n° </w:t>
      </w:r>
      <w:r w:rsidR="00506F88" w:rsidRPr="004555EA">
        <w:rPr>
          <w:rFonts w:ascii="Garamond" w:hAnsi="Garamond"/>
          <w:sz w:val="22"/>
          <w:szCs w:val="22"/>
        </w:rPr>
        <w:t xml:space="preserve">2, </w:t>
      </w:r>
      <w:r w:rsidR="004B203F" w:rsidRPr="004555EA">
        <w:rPr>
          <w:rFonts w:ascii="Garamond" w:hAnsi="Garamond"/>
          <w:sz w:val="22"/>
          <w:szCs w:val="22"/>
        </w:rPr>
        <w:t xml:space="preserve">pp. </w:t>
      </w:r>
      <w:r w:rsidR="00506F88" w:rsidRPr="004555EA">
        <w:rPr>
          <w:rFonts w:ascii="Garamond" w:hAnsi="Garamond"/>
          <w:sz w:val="22"/>
          <w:szCs w:val="22"/>
        </w:rPr>
        <w:t>75-111.</w:t>
      </w:r>
    </w:p>
    <w:p w14:paraId="251C8842" w14:textId="77777777" w:rsidR="00506F88" w:rsidRPr="004555EA" w:rsidRDefault="00506F88" w:rsidP="009E61C9">
      <w:pPr>
        <w:jc w:val="both"/>
        <w:rPr>
          <w:rFonts w:ascii="Garamond" w:hAnsi="Garamond"/>
          <w:sz w:val="22"/>
          <w:szCs w:val="22"/>
        </w:rPr>
      </w:pPr>
    </w:p>
    <w:p w14:paraId="54EE8621" w14:textId="533CFB85" w:rsidR="00610535" w:rsidRPr="009E61C9" w:rsidRDefault="00610535" w:rsidP="009E61C9">
      <w:pPr>
        <w:jc w:val="both"/>
        <w:rPr>
          <w:rFonts w:ascii="Garamond" w:hAnsi="Garamond"/>
          <w:sz w:val="22"/>
          <w:szCs w:val="22"/>
          <w:lang w:val="en-GB"/>
        </w:rPr>
      </w:pPr>
      <w:r w:rsidRPr="00D84575">
        <w:rPr>
          <w:rFonts w:ascii="Garamond" w:hAnsi="Garamond"/>
          <w:smallCaps/>
          <w:sz w:val="22"/>
          <w:szCs w:val="22"/>
          <w:lang w:val="en-US"/>
        </w:rPr>
        <w:t xml:space="preserve">Schoenmaeckers </w:t>
      </w:r>
      <w:r w:rsidRPr="009E61C9">
        <w:rPr>
          <w:rFonts w:ascii="Garamond" w:hAnsi="Garamond"/>
          <w:sz w:val="22"/>
          <w:szCs w:val="22"/>
          <w:lang w:val="en-US"/>
        </w:rPr>
        <w:t>J. (2013)</w:t>
      </w:r>
      <w:r w:rsidR="00E37F61" w:rsidRPr="009E61C9">
        <w:rPr>
          <w:rFonts w:ascii="Garamond" w:hAnsi="Garamond"/>
          <w:sz w:val="22"/>
          <w:szCs w:val="22"/>
          <w:lang w:val="en-US"/>
        </w:rPr>
        <w:t>,</w:t>
      </w:r>
      <w:r w:rsidRPr="009E61C9">
        <w:rPr>
          <w:rFonts w:ascii="Garamond" w:hAnsi="Garamond"/>
          <w:sz w:val="22"/>
          <w:szCs w:val="22"/>
          <w:lang w:val="en-US"/>
        </w:rPr>
        <w:t xml:space="preserve"> </w:t>
      </w:r>
      <w:r w:rsidR="00CF327F">
        <w:rPr>
          <w:rFonts w:ascii="Garamond" w:hAnsi="Garamond"/>
          <w:sz w:val="22"/>
          <w:szCs w:val="22"/>
          <w:lang w:val="en-US"/>
        </w:rPr>
        <w:t xml:space="preserve">« </w:t>
      </w:r>
      <w:r w:rsidR="004B203F" w:rsidRPr="009E61C9">
        <w:rPr>
          <w:rFonts w:ascii="Garamond" w:hAnsi="Garamond"/>
          <w:sz w:val="22"/>
          <w:szCs w:val="22"/>
          <w:lang w:val="en-US"/>
        </w:rPr>
        <w:t xml:space="preserve">Filling </w:t>
      </w:r>
      <w:r w:rsidR="004B203F">
        <w:rPr>
          <w:rFonts w:ascii="Garamond" w:hAnsi="Garamond"/>
          <w:sz w:val="22"/>
          <w:szCs w:val="22"/>
          <w:lang w:val="en-US"/>
        </w:rPr>
        <w:t>i</w:t>
      </w:r>
      <w:r w:rsidR="004B203F" w:rsidRPr="009E61C9">
        <w:rPr>
          <w:rFonts w:ascii="Garamond" w:hAnsi="Garamond"/>
          <w:sz w:val="22"/>
          <w:szCs w:val="22"/>
          <w:lang w:val="en-US"/>
        </w:rPr>
        <w:t xml:space="preserve">n </w:t>
      </w:r>
      <w:r w:rsidR="004B203F">
        <w:rPr>
          <w:rFonts w:ascii="Garamond" w:hAnsi="Garamond"/>
          <w:sz w:val="22"/>
          <w:szCs w:val="22"/>
          <w:lang w:val="en-US"/>
        </w:rPr>
        <w:t>t</w:t>
      </w:r>
      <w:r w:rsidR="004B203F" w:rsidRPr="009E61C9">
        <w:rPr>
          <w:rFonts w:ascii="Garamond" w:hAnsi="Garamond"/>
          <w:sz w:val="22"/>
          <w:szCs w:val="22"/>
          <w:lang w:val="en-US"/>
        </w:rPr>
        <w:t xml:space="preserve">he Gap: How </w:t>
      </w:r>
      <w:r w:rsidR="004B203F">
        <w:rPr>
          <w:rFonts w:ascii="Garamond" w:hAnsi="Garamond"/>
          <w:sz w:val="22"/>
          <w:szCs w:val="22"/>
          <w:lang w:val="en-US"/>
        </w:rPr>
        <w:t>t</w:t>
      </w:r>
      <w:r w:rsidR="004B203F" w:rsidRPr="009E61C9">
        <w:rPr>
          <w:rFonts w:ascii="Garamond" w:hAnsi="Garamond"/>
          <w:sz w:val="22"/>
          <w:szCs w:val="22"/>
          <w:lang w:val="en-US"/>
        </w:rPr>
        <w:t xml:space="preserve">o Explain </w:t>
      </w:r>
      <w:r w:rsidR="004B203F">
        <w:rPr>
          <w:rFonts w:ascii="Garamond" w:hAnsi="Garamond"/>
          <w:sz w:val="22"/>
          <w:szCs w:val="22"/>
          <w:lang w:val="en-US"/>
        </w:rPr>
        <w:t>t</w:t>
      </w:r>
      <w:r w:rsidR="004B203F" w:rsidRPr="009E61C9">
        <w:rPr>
          <w:rFonts w:ascii="Garamond" w:hAnsi="Garamond"/>
          <w:sz w:val="22"/>
          <w:szCs w:val="22"/>
          <w:lang w:val="en-US"/>
        </w:rPr>
        <w:t xml:space="preserve">he Divergence </w:t>
      </w:r>
      <w:r w:rsidR="004B203F">
        <w:rPr>
          <w:rFonts w:ascii="Garamond" w:hAnsi="Garamond"/>
          <w:sz w:val="22"/>
          <w:szCs w:val="22"/>
          <w:lang w:val="en-US"/>
        </w:rPr>
        <w:t>b</w:t>
      </w:r>
      <w:r w:rsidR="004B203F" w:rsidRPr="009E61C9">
        <w:rPr>
          <w:rFonts w:ascii="Garamond" w:hAnsi="Garamond"/>
          <w:sz w:val="22"/>
          <w:szCs w:val="22"/>
          <w:lang w:val="en-US"/>
        </w:rPr>
        <w:t xml:space="preserve">etween Subjective </w:t>
      </w:r>
      <w:r w:rsidR="004B203F">
        <w:rPr>
          <w:rFonts w:ascii="Garamond" w:hAnsi="Garamond"/>
          <w:sz w:val="22"/>
          <w:szCs w:val="22"/>
          <w:lang w:val="en-US"/>
        </w:rPr>
        <w:t>a</w:t>
      </w:r>
      <w:r w:rsidR="004B203F" w:rsidRPr="009E61C9">
        <w:rPr>
          <w:rFonts w:ascii="Garamond" w:hAnsi="Garamond"/>
          <w:sz w:val="22"/>
          <w:szCs w:val="22"/>
          <w:lang w:val="en-US"/>
        </w:rPr>
        <w:t>nd Objective Health Measures</w:t>
      </w:r>
      <w:r w:rsidR="00CF327F">
        <w:rPr>
          <w:rFonts w:ascii="Garamond" w:hAnsi="Garamond"/>
          <w:sz w:val="22"/>
          <w:szCs w:val="22"/>
          <w:lang w:val="en-US"/>
        </w:rPr>
        <w:t xml:space="preserve"> »</w:t>
      </w:r>
      <w:r w:rsidR="00E37F61" w:rsidRPr="009E61C9">
        <w:rPr>
          <w:rFonts w:ascii="Garamond" w:hAnsi="Garamond"/>
          <w:sz w:val="22"/>
          <w:szCs w:val="22"/>
          <w:lang w:val="en-US"/>
        </w:rPr>
        <w:t xml:space="preserve">, </w:t>
      </w:r>
      <w:r w:rsidR="004B203F">
        <w:rPr>
          <w:rFonts w:ascii="Garamond" w:hAnsi="Garamond"/>
          <w:sz w:val="22"/>
          <w:szCs w:val="22"/>
          <w:lang w:val="en-US"/>
        </w:rPr>
        <w:t>in</w:t>
      </w:r>
      <w:r w:rsidRPr="009E61C9">
        <w:rPr>
          <w:rFonts w:ascii="Garamond" w:hAnsi="Garamond"/>
          <w:sz w:val="22"/>
          <w:szCs w:val="22"/>
          <w:lang w:val="en-US"/>
        </w:rPr>
        <w:t xml:space="preserve"> </w:t>
      </w:r>
      <w:r w:rsidR="00E37F61" w:rsidRPr="009E61C9">
        <w:rPr>
          <w:rFonts w:ascii="Garamond" w:hAnsi="Garamond"/>
          <w:sz w:val="22"/>
          <w:szCs w:val="22"/>
          <w:lang w:val="en-US"/>
        </w:rPr>
        <w:t>Börsch-Supan</w:t>
      </w:r>
      <w:r w:rsidR="004B203F">
        <w:rPr>
          <w:rFonts w:ascii="Garamond" w:hAnsi="Garamond"/>
          <w:sz w:val="22"/>
          <w:szCs w:val="22"/>
          <w:lang w:val="en-US"/>
        </w:rPr>
        <w:t xml:space="preserve"> </w:t>
      </w:r>
      <w:r w:rsidR="00E37F61" w:rsidRPr="009E61C9">
        <w:rPr>
          <w:rFonts w:ascii="Garamond" w:hAnsi="Garamond"/>
          <w:sz w:val="22"/>
          <w:szCs w:val="22"/>
          <w:lang w:val="en-US"/>
        </w:rPr>
        <w:t>A.</w:t>
      </w:r>
      <w:r w:rsidR="004B203F">
        <w:rPr>
          <w:rFonts w:ascii="Garamond" w:hAnsi="Garamond"/>
          <w:sz w:val="22"/>
          <w:szCs w:val="22"/>
          <w:lang w:val="en-US"/>
        </w:rPr>
        <w:t xml:space="preserve">, </w:t>
      </w:r>
      <w:r w:rsidR="004B203F" w:rsidRPr="004555EA">
        <w:rPr>
          <w:rStyle w:val="displayname"/>
          <w:rFonts w:ascii="Garamond" w:hAnsi="Garamond"/>
          <w:sz w:val="22"/>
          <w:szCs w:val="22"/>
          <w:shd w:val="clear" w:color="auto" w:fill="FFFFFF"/>
          <w:lang w:val="en-US"/>
        </w:rPr>
        <w:t>Brandt</w:t>
      </w:r>
      <w:r w:rsidR="004B203F" w:rsidRPr="004555EA">
        <w:rPr>
          <w:rStyle w:val="contributor"/>
          <w:rFonts w:ascii="Garamond" w:hAnsi="Garamond"/>
          <w:sz w:val="22"/>
          <w:szCs w:val="22"/>
          <w:shd w:val="clear" w:color="auto" w:fill="FFFFFF"/>
          <w:lang w:val="en-US"/>
        </w:rPr>
        <w:t> M.</w:t>
      </w:r>
      <w:r w:rsidR="004B203F" w:rsidRPr="004555EA">
        <w:rPr>
          <w:rStyle w:val="comma"/>
          <w:rFonts w:ascii="Garamond" w:hAnsi="Garamond"/>
          <w:sz w:val="22"/>
          <w:szCs w:val="22"/>
          <w:shd w:val="clear" w:color="auto" w:fill="FFFFFF"/>
          <w:lang w:val="en-US"/>
        </w:rPr>
        <w:t>, </w:t>
      </w:r>
      <w:r w:rsidR="004B203F" w:rsidRPr="004555EA">
        <w:rPr>
          <w:rStyle w:val="displayname"/>
          <w:rFonts w:ascii="Garamond" w:hAnsi="Garamond"/>
          <w:sz w:val="22"/>
          <w:szCs w:val="22"/>
          <w:shd w:val="clear" w:color="auto" w:fill="FFFFFF"/>
          <w:lang w:val="en-US"/>
        </w:rPr>
        <w:t>Litwin</w:t>
      </w:r>
      <w:r w:rsidR="004B203F" w:rsidRPr="004555EA">
        <w:rPr>
          <w:rStyle w:val="contributor"/>
          <w:rFonts w:ascii="Garamond" w:hAnsi="Garamond"/>
          <w:sz w:val="22"/>
          <w:szCs w:val="22"/>
          <w:shd w:val="clear" w:color="auto" w:fill="FFFFFF"/>
          <w:lang w:val="en-US"/>
        </w:rPr>
        <w:t> H. et</w:t>
      </w:r>
      <w:r w:rsidR="004B203F" w:rsidRPr="004555EA">
        <w:rPr>
          <w:rStyle w:val="displayname"/>
          <w:rFonts w:ascii="Garamond" w:hAnsi="Garamond"/>
          <w:sz w:val="22"/>
          <w:szCs w:val="22"/>
          <w:shd w:val="clear" w:color="auto" w:fill="FFFFFF"/>
          <w:lang w:val="en-US"/>
        </w:rPr>
        <w:t xml:space="preserve"> Weber G. (éd.), </w:t>
      </w:r>
      <w:r w:rsidR="004B203F" w:rsidRPr="004555EA">
        <w:rPr>
          <w:rStyle w:val="displayname"/>
          <w:rFonts w:ascii="Garamond" w:hAnsi="Garamond"/>
          <w:i/>
          <w:iCs/>
          <w:sz w:val="22"/>
          <w:szCs w:val="22"/>
          <w:shd w:val="clear" w:color="auto" w:fill="FFFFFF"/>
          <w:lang w:val="en-US"/>
        </w:rPr>
        <w:t>A</w:t>
      </w:r>
      <w:r w:rsidR="004B203F" w:rsidRPr="004B203F">
        <w:rPr>
          <w:rFonts w:ascii="Garamond" w:hAnsi="Garamond"/>
          <w:i/>
          <w:sz w:val="22"/>
          <w:szCs w:val="22"/>
          <w:lang w:val="en-GB"/>
        </w:rPr>
        <w:t xml:space="preserve">ctive </w:t>
      </w:r>
      <w:r w:rsidR="004B203F">
        <w:rPr>
          <w:rFonts w:ascii="Garamond" w:hAnsi="Garamond"/>
          <w:i/>
          <w:sz w:val="22"/>
          <w:szCs w:val="22"/>
          <w:lang w:val="en-GB"/>
        </w:rPr>
        <w:t>A</w:t>
      </w:r>
      <w:r w:rsidR="004B203F" w:rsidRPr="004B203F">
        <w:rPr>
          <w:rFonts w:ascii="Garamond" w:hAnsi="Garamond"/>
          <w:i/>
          <w:sz w:val="22"/>
          <w:szCs w:val="22"/>
          <w:lang w:val="en-GB"/>
        </w:rPr>
        <w:t xml:space="preserve">geing and </w:t>
      </w:r>
      <w:r w:rsidR="004B203F">
        <w:rPr>
          <w:rFonts w:ascii="Garamond" w:hAnsi="Garamond"/>
          <w:i/>
          <w:sz w:val="22"/>
          <w:szCs w:val="22"/>
          <w:lang w:val="en-GB"/>
        </w:rPr>
        <w:t>S</w:t>
      </w:r>
      <w:r w:rsidR="004B203F" w:rsidRPr="004B203F">
        <w:rPr>
          <w:rFonts w:ascii="Garamond" w:hAnsi="Garamond"/>
          <w:i/>
          <w:sz w:val="22"/>
          <w:szCs w:val="22"/>
          <w:lang w:val="en-GB"/>
        </w:rPr>
        <w:t xml:space="preserve">olidarity between </w:t>
      </w:r>
      <w:r w:rsidR="004B203F">
        <w:rPr>
          <w:rFonts w:ascii="Garamond" w:hAnsi="Garamond"/>
          <w:i/>
          <w:sz w:val="22"/>
          <w:szCs w:val="22"/>
          <w:lang w:val="en-GB"/>
        </w:rPr>
        <w:t>G</w:t>
      </w:r>
      <w:r w:rsidR="004B203F" w:rsidRPr="009E61C9">
        <w:rPr>
          <w:rFonts w:ascii="Garamond" w:hAnsi="Garamond"/>
          <w:i/>
          <w:sz w:val="22"/>
          <w:szCs w:val="22"/>
          <w:lang w:val="en-GB"/>
        </w:rPr>
        <w:t xml:space="preserve">enerations in </w:t>
      </w:r>
      <w:r w:rsidR="004B203F">
        <w:rPr>
          <w:rFonts w:ascii="Garamond" w:hAnsi="Garamond"/>
          <w:i/>
          <w:sz w:val="22"/>
          <w:szCs w:val="22"/>
          <w:lang w:val="en-GB"/>
        </w:rPr>
        <w:t>E</w:t>
      </w:r>
      <w:r w:rsidR="004B203F" w:rsidRPr="009E61C9">
        <w:rPr>
          <w:rFonts w:ascii="Garamond" w:hAnsi="Garamond"/>
          <w:i/>
          <w:sz w:val="22"/>
          <w:szCs w:val="22"/>
          <w:lang w:val="en-GB"/>
        </w:rPr>
        <w:t xml:space="preserve">urope. First </w:t>
      </w:r>
      <w:r w:rsidR="004B203F">
        <w:rPr>
          <w:rFonts w:ascii="Garamond" w:hAnsi="Garamond"/>
          <w:i/>
          <w:sz w:val="22"/>
          <w:szCs w:val="22"/>
          <w:lang w:val="en-GB"/>
        </w:rPr>
        <w:t>R</w:t>
      </w:r>
      <w:r w:rsidR="004B203F" w:rsidRPr="009E61C9">
        <w:rPr>
          <w:rFonts w:ascii="Garamond" w:hAnsi="Garamond"/>
          <w:i/>
          <w:sz w:val="22"/>
          <w:szCs w:val="22"/>
          <w:lang w:val="en-GB"/>
        </w:rPr>
        <w:t xml:space="preserve">esults from </w:t>
      </w:r>
      <w:r w:rsidR="004B203F">
        <w:rPr>
          <w:rFonts w:ascii="Garamond" w:hAnsi="Garamond"/>
          <w:i/>
          <w:sz w:val="22"/>
          <w:szCs w:val="22"/>
          <w:lang w:val="en-GB"/>
        </w:rPr>
        <w:t>S</w:t>
      </w:r>
      <w:r w:rsidR="004B203F" w:rsidRPr="009E61C9">
        <w:rPr>
          <w:rFonts w:ascii="Garamond" w:hAnsi="Garamond"/>
          <w:i/>
          <w:sz w:val="22"/>
          <w:szCs w:val="22"/>
          <w:lang w:val="en-GB"/>
        </w:rPr>
        <w:t xml:space="preserve">hare </w:t>
      </w:r>
      <w:r w:rsidR="004B203F">
        <w:rPr>
          <w:rFonts w:ascii="Garamond" w:hAnsi="Garamond"/>
          <w:i/>
          <w:sz w:val="22"/>
          <w:szCs w:val="22"/>
          <w:lang w:val="en-GB"/>
        </w:rPr>
        <w:t>A</w:t>
      </w:r>
      <w:r w:rsidR="004B203F" w:rsidRPr="009E61C9">
        <w:rPr>
          <w:rFonts w:ascii="Garamond" w:hAnsi="Garamond"/>
          <w:i/>
          <w:sz w:val="22"/>
          <w:szCs w:val="22"/>
          <w:lang w:val="en-GB"/>
        </w:rPr>
        <w:t xml:space="preserve">fter the </w:t>
      </w:r>
      <w:r w:rsidR="004B203F">
        <w:rPr>
          <w:rFonts w:ascii="Garamond" w:hAnsi="Garamond"/>
          <w:i/>
          <w:sz w:val="22"/>
          <w:szCs w:val="22"/>
          <w:lang w:val="en-GB"/>
        </w:rPr>
        <w:t>E</w:t>
      </w:r>
      <w:r w:rsidR="004B203F" w:rsidRPr="009E61C9">
        <w:rPr>
          <w:rFonts w:ascii="Garamond" w:hAnsi="Garamond"/>
          <w:i/>
          <w:sz w:val="22"/>
          <w:szCs w:val="22"/>
          <w:lang w:val="en-GB"/>
        </w:rPr>
        <w:t xml:space="preserve">conomic </w:t>
      </w:r>
      <w:r w:rsidR="004B203F">
        <w:rPr>
          <w:rFonts w:ascii="Garamond" w:hAnsi="Garamond"/>
          <w:i/>
          <w:sz w:val="22"/>
          <w:szCs w:val="22"/>
          <w:lang w:val="en-GB"/>
        </w:rPr>
        <w:t>C</w:t>
      </w:r>
      <w:r w:rsidR="004B203F" w:rsidRPr="009E61C9">
        <w:rPr>
          <w:rFonts w:ascii="Garamond" w:hAnsi="Garamond"/>
          <w:i/>
          <w:sz w:val="22"/>
          <w:szCs w:val="22"/>
          <w:lang w:val="en-GB"/>
        </w:rPr>
        <w:t>risis</w:t>
      </w:r>
      <w:r w:rsidR="004B203F">
        <w:rPr>
          <w:rFonts w:ascii="Garamond" w:hAnsi="Garamond"/>
          <w:sz w:val="22"/>
          <w:szCs w:val="22"/>
          <w:lang w:val="en-GB"/>
        </w:rPr>
        <w:t>,</w:t>
      </w:r>
      <w:r w:rsidRPr="009E61C9">
        <w:rPr>
          <w:rFonts w:ascii="Garamond" w:hAnsi="Garamond"/>
          <w:sz w:val="22"/>
          <w:szCs w:val="22"/>
          <w:lang w:val="en-GB"/>
        </w:rPr>
        <w:t xml:space="preserve"> </w:t>
      </w:r>
      <w:r w:rsidR="004B203F" w:rsidRPr="009E61C9">
        <w:rPr>
          <w:rFonts w:ascii="Garamond" w:hAnsi="Garamond"/>
          <w:sz w:val="22"/>
          <w:szCs w:val="22"/>
          <w:lang w:val="en-GB"/>
        </w:rPr>
        <w:t>Walter de Gruyter</w:t>
      </w:r>
      <w:r w:rsidR="004B203F">
        <w:rPr>
          <w:rFonts w:ascii="Garamond" w:hAnsi="Garamond"/>
          <w:sz w:val="22"/>
          <w:szCs w:val="22"/>
          <w:lang w:val="en-GB"/>
        </w:rPr>
        <w:t xml:space="preserve">, </w:t>
      </w:r>
      <w:r w:rsidRPr="009E61C9">
        <w:rPr>
          <w:rFonts w:ascii="Garamond" w:hAnsi="Garamond"/>
          <w:sz w:val="22"/>
          <w:szCs w:val="22"/>
          <w:lang w:val="en-GB"/>
        </w:rPr>
        <w:t xml:space="preserve">Berlin, </w:t>
      </w:r>
      <w:r w:rsidR="004B203F">
        <w:rPr>
          <w:rFonts w:ascii="Garamond" w:hAnsi="Garamond"/>
          <w:sz w:val="22"/>
          <w:szCs w:val="22"/>
          <w:lang w:val="en-GB"/>
        </w:rPr>
        <w:t>Allemagne</w:t>
      </w:r>
      <w:r w:rsidRPr="009E61C9">
        <w:rPr>
          <w:rFonts w:ascii="Garamond" w:hAnsi="Garamond"/>
          <w:sz w:val="22"/>
          <w:szCs w:val="22"/>
          <w:lang w:val="en-GB"/>
        </w:rPr>
        <w:t>.</w:t>
      </w:r>
    </w:p>
    <w:p w14:paraId="02144A1D" w14:textId="77777777" w:rsidR="00E614F2" w:rsidRPr="009E61C9" w:rsidRDefault="00E614F2" w:rsidP="009E61C9">
      <w:pPr>
        <w:jc w:val="both"/>
        <w:rPr>
          <w:rFonts w:ascii="Garamond" w:hAnsi="Garamond"/>
          <w:sz w:val="22"/>
          <w:szCs w:val="22"/>
          <w:lang w:val="en-GB"/>
        </w:rPr>
      </w:pPr>
    </w:p>
    <w:p w14:paraId="5F6BE338" w14:textId="3C663885" w:rsidR="00E614F2" w:rsidRPr="009E61C9" w:rsidRDefault="00E614F2" w:rsidP="009E61C9">
      <w:pPr>
        <w:jc w:val="both"/>
        <w:rPr>
          <w:rFonts w:ascii="Garamond" w:hAnsi="Garamond"/>
          <w:sz w:val="22"/>
          <w:szCs w:val="22"/>
          <w:lang w:val="en-US"/>
        </w:rPr>
      </w:pPr>
      <w:r w:rsidRPr="00D84575">
        <w:rPr>
          <w:rFonts w:ascii="Garamond" w:hAnsi="Garamond"/>
          <w:smallCaps/>
          <w:sz w:val="22"/>
          <w:szCs w:val="22"/>
          <w:lang w:val="en-US"/>
        </w:rPr>
        <w:t xml:space="preserve">Sullivan </w:t>
      </w:r>
      <w:r w:rsidRPr="009E61C9">
        <w:rPr>
          <w:rFonts w:ascii="Garamond" w:hAnsi="Garamond"/>
          <w:sz w:val="22"/>
          <w:szCs w:val="22"/>
          <w:lang w:val="en-US"/>
        </w:rPr>
        <w:t>D. F. (1971),</w:t>
      </w:r>
      <w:r w:rsidR="00E37F61" w:rsidRPr="009E61C9">
        <w:rPr>
          <w:rFonts w:ascii="Garamond" w:hAnsi="Garamond"/>
          <w:sz w:val="22"/>
          <w:szCs w:val="22"/>
          <w:lang w:val="en-US"/>
        </w:rPr>
        <w:t xml:space="preserve"> </w:t>
      </w:r>
      <w:r w:rsidR="00C35F5D" w:rsidRPr="00414973">
        <w:rPr>
          <w:rFonts w:ascii="Garamond" w:hAnsi="Garamond"/>
          <w:i/>
          <w:iCs/>
          <w:sz w:val="22"/>
          <w:szCs w:val="22"/>
          <w:lang w:val="en-US"/>
        </w:rPr>
        <w:t>A Single Index of Mortality and Morbidity</w:t>
      </w:r>
      <w:r w:rsidR="00C35F5D" w:rsidRPr="009E61C9">
        <w:rPr>
          <w:rFonts w:ascii="Garamond" w:hAnsi="Garamond"/>
          <w:sz w:val="22"/>
          <w:szCs w:val="22"/>
          <w:lang w:val="en-US"/>
        </w:rPr>
        <w:t>, Health Services Mental Health Administration</w:t>
      </w:r>
      <w:r w:rsidRPr="009E61C9">
        <w:rPr>
          <w:rFonts w:ascii="Garamond" w:hAnsi="Garamond"/>
          <w:sz w:val="22"/>
          <w:szCs w:val="22"/>
          <w:lang w:val="en-US"/>
        </w:rPr>
        <w:t>, Health Reports</w:t>
      </w:r>
      <w:r w:rsidR="00414973">
        <w:rPr>
          <w:rFonts w:ascii="Garamond" w:hAnsi="Garamond"/>
          <w:sz w:val="22"/>
          <w:szCs w:val="22"/>
          <w:lang w:val="en-US"/>
        </w:rPr>
        <w:t>,</w:t>
      </w:r>
      <w:r w:rsidRPr="009E61C9">
        <w:rPr>
          <w:rFonts w:ascii="Garamond" w:hAnsi="Garamond"/>
          <w:sz w:val="22"/>
          <w:szCs w:val="22"/>
          <w:lang w:val="en-US"/>
        </w:rPr>
        <w:t xml:space="preserve"> </w:t>
      </w:r>
      <w:r w:rsidR="00414973">
        <w:rPr>
          <w:rFonts w:ascii="Garamond" w:hAnsi="Garamond"/>
          <w:sz w:val="22"/>
          <w:szCs w:val="22"/>
          <w:lang w:val="en-US"/>
        </w:rPr>
        <w:t xml:space="preserve">vol. </w:t>
      </w:r>
      <w:r w:rsidRPr="009E61C9">
        <w:rPr>
          <w:rFonts w:ascii="Garamond" w:hAnsi="Garamond"/>
          <w:bCs/>
          <w:sz w:val="22"/>
          <w:szCs w:val="22"/>
          <w:lang w:val="en-US"/>
        </w:rPr>
        <w:t>86</w:t>
      </w:r>
      <w:r w:rsidRPr="009E61C9">
        <w:rPr>
          <w:rFonts w:ascii="Garamond" w:hAnsi="Garamond"/>
          <w:sz w:val="22"/>
          <w:szCs w:val="22"/>
          <w:lang w:val="en-US"/>
        </w:rPr>
        <w:t xml:space="preserve">, </w:t>
      </w:r>
      <w:r w:rsidR="00414973">
        <w:rPr>
          <w:rFonts w:ascii="Garamond" w:hAnsi="Garamond"/>
          <w:sz w:val="22"/>
          <w:szCs w:val="22"/>
          <w:lang w:val="en-US"/>
        </w:rPr>
        <w:t xml:space="preserve">n° 4, pp. </w:t>
      </w:r>
      <w:r w:rsidRPr="009E61C9">
        <w:rPr>
          <w:rFonts w:ascii="Garamond" w:hAnsi="Garamond"/>
          <w:sz w:val="22"/>
          <w:szCs w:val="22"/>
          <w:lang w:val="en-US"/>
        </w:rPr>
        <w:t>347-354.</w:t>
      </w:r>
    </w:p>
    <w:p w14:paraId="7787A2E4" w14:textId="77777777" w:rsidR="000C1025" w:rsidRPr="009E61C9" w:rsidRDefault="000C1025" w:rsidP="009E61C9">
      <w:pPr>
        <w:jc w:val="both"/>
        <w:rPr>
          <w:rFonts w:ascii="Garamond" w:hAnsi="Garamond"/>
          <w:sz w:val="22"/>
          <w:szCs w:val="22"/>
          <w:lang w:val="en-US"/>
        </w:rPr>
      </w:pPr>
    </w:p>
    <w:p w14:paraId="5E01645D" w14:textId="785FF0C3" w:rsidR="000C1025" w:rsidRPr="009E61C9" w:rsidRDefault="000C1025" w:rsidP="009E61C9">
      <w:pPr>
        <w:jc w:val="both"/>
        <w:rPr>
          <w:rFonts w:ascii="Garamond" w:hAnsi="Garamond"/>
          <w:sz w:val="22"/>
          <w:szCs w:val="22"/>
          <w:lang w:val="en-US"/>
        </w:rPr>
      </w:pPr>
      <w:r w:rsidRPr="00D84575">
        <w:rPr>
          <w:rFonts w:ascii="Garamond" w:hAnsi="Garamond"/>
          <w:smallCaps/>
          <w:sz w:val="22"/>
          <w:szCs w:val="22"/>
          <w:lang w:val="en-US"/>
        </w:rPr>
        <w:t>Van Oyen H., Bogaert</w:t>
      </w:r>
      <w:r w:rsidR="002D4E66" w:rsidRPr="00D84575">
        <w:rPr>
          <w:rFonts w:ascii="Garamond" w:hAnsi="Garamond"/>
          <w:smallCaps/>
          <w:sz w:val="22"/>
          <w:szCs w:val="22"/>
          <w:lang w:val="en-US"/>
        </w:rPr>
        <w:t xml:space="preserve"> </w:t>
      </w:r>
      <w:r w:rsidRPr="00D84575">
        <w:rPr>
          <w:rFonts w:ascii="Garamond" w:hAnsi="Garamond"/>
          <w:smallCaps/>
          <w:sz w:val="22"/>
          <w:szCs w:val="22"/>
          <w:lang w:val="en-US"/>
        </w:rPr>
        <w:t xml:space="preserve">P., Yokota </w:t>
      </w:r>
      <w:r w:rsidRPr="009E61C9">
        <w:rPr>
          <w:rFonts w:ascii="Garamond" w:hAnsi="Garamond"/>
          <w:sz w:val="22"/>
          <w:szCs w:val="22"/>
          <w:lang w:val="en-US"/>
        </w:rPr>
        <w:t xml:space="preserve">R. et </w:t>
      </w:r>
      <w:r w:rsidRPr="00D84575">
        <w:rPr>
          <w:rFonts w:ascii="Garamond" w:hAnsi="Garamond"/>
          <w:smallCaps/>
          <w:sz w:val="22"/>
          <w:szCs w:val="22"/>
          <w:lang w:val="en-US"/>
        </w:rPr>
        <w:t>Berger</w:t>
      </w:r>
      <w:r w:rsidRPr="009E61C9">
        <w:rPr>
          <w:rFonts w:ascii="Garamond" w:hAnsi="Garamond"/>
          <w:sz w:val="22"/>
          <w:szCs w:val="22"/>
          <w:lang w:val="en-US"/>
        </w:rPr>
        <w:t xml:space="preserve"> </w:t>
      </w:r>
      <w:r w:rsidR="002D4E66" w:rsidRPr="009E61C9">
        <w:rPr>
          <w:rFonts w:ascii="Garamond" w:hAnsi="Garamond"/>
          <w:sz w:val="22"/>
          <w:szCs w:val="22"/>
          <w:lang w:val="en-US"/>
        </w:rPr>
        <w:t xml:space="preserve">N. </w:t>
      </w:r>
      <w:r w:rsidRPr="009E61C9">
        <w:rPr>
          <w:rFonts w:ascii="Garamond" w:hAnsi="Garamond"/>
          <w:sz w:val="22"/>
          <w:szCs w:val="22"/>
          <w:lang w:val="en-US"/>
        </w:rPr>
        <w:t xml:space="preserve">(2018), </w:t>
      </w:r>
      <w:r w:rsidR="00CF327F">
        <w:rPr>
          <w:rFonts w:ascii="Garamond" w:hAnsi="Garamond"/>
          <w:sz w:val="22"/>
          <w:szCs w:val="22"/>
          <w:lang w:val="en-US"/>
        </w:rPr>
        <w:t xml:space="preserve">« </w:t>
      </w:r>
      <w:r w:rsidR="002D4E66" w:rsidRPr="009E61C9">
        <w:rPr>
          <w:rFonts w:ascii="Garamond" w:hAnsi="Garamond"/>
          <w:sz w:val="22"/>
          <w:szCs w:val="22"/>
          <w:lang w:val="en-US"/>
        </w:rPr>
        <w:t xml:space="preserve">Measuring Disability: </w:t>
      </w:r>
      <w:r w:rsidR="002D4E66">
        <w:rPr>
          <w:rFonts w:ascii="Garamond" w:hAnsi="Garamond"/>
          <w:sz w:val="22"/>
          <w:szCs w:val="22"/>
          <w:lang w:val="en-US"/>
        </w:rPr>
        <w:t>a</w:t>
      </w:r>
      <w:r w:rsidR="002D4E66" w:rsidRPr="009E61C9">
        <w:rPr>
          <w:rFonts w:ascii="Garamond" w:hAnsi="Garamond"/>
          <w:sz w:val="22"/>
          <w:szCs w:val="22"/>
          <w:lang w:val="en-US"/>
        </w:rPr>
        <w:t xml:space="preserve"> Systematic Review </w:t>
      </w:r>
      <w:r w:rsidR="002D4E66">
        <w:rPr>
          <w:rFonts w:ascii="Garamond" w:hAnsi="Garamond"/>
          <w:sz w:val="22"/>
          <w:szCs w:val="22"/>
          <w:lang w:val="en-US"/>
        </w:rPr>
        <w:t>o</w:t>
      </w:r>
      <w:r w:rsidR="002D4E66" w:rsidRPr="009E61C9">
        <w:rPr>
          <w:rFonts w:ascii="Garamond" w:hAnsi="Garamond"/>
          <w:sz w:val="22"/>
          <w:szCs w:val="22"/>
          <w:lang w:val="en-US"/>
        </w:rPr>
        <w:t xml:space="preserve">f </w:t>
      </w:r>
      <w:r w:rsidR="002D4E66">
        <w:rPr>
          <w:rFonts w:ascii="Garamond" w:hAnsi="Garamond"/>
          <w:sz w:val="22"/>
          <w:szCs w:val="22"/>
          <w:lang w:val="en-US"/>
        </w:rPr>
        <w:t>t</w:t>
      </w:r>
      <w:r w:rsidR="002D4E66" w:rsidRPr="009E61C9">
        <w:rPr>
          <w:rFonts w:ascii="Garamond" w:hAnsi="Garamond"/>
          <w:sz w:val="22"/>
          <w:szCs w:val="22"/>
          <w:lang w:val="en-US"/>
        </w:rPr>
        <w:t xml:space="preserve">he Validity </w:t>
      </w:r>
      <w:r w:rsidR="002D4E66">
        <w:rPr>
          <w:rFonts w:ascii="Garamond" w:hAnsi="Garamond"/>
          <w:sz w:val="22"/>
          <w:szCs w:val="22"/>
          <w:lang w:val="en-US"/>
        </w:rPr>
        <w:t>a</w:t>
      </w:r>
      <w:r w:rsidR="002D4E66" w:rsidRPr="009E61C9">
        <w:rPr>
          <w:rFonts w:ascii="Garamond" w:hAnsi="Garamond"/>
          <w:sz w:val="22"/>
          <w:szCs w:val="22"/>
          <w:lang w:val="en-US"/>
        </w:rPr>
        <w:t xml:space="preserve">nd Reliability </w:t>
      </w:r>
      <w:r w:rsidR="002D4E66">
        <w:rPr>
          <w:rFonts w:ascii="Garamond" w:hAnsi="Garamond"/>
          <w:sz w:val="22"/>
          <w:szCs w:val="22"/>
          <w:lang w:val="en-US"/>
        </w:rPr>
        <w:t>o</w:t>
      </w:r>
      <w:r w:rsidR="002D4E66" w:rsidRPr="009E61C9">
        <w:rPr>
          <w:rFonts w:ascii="Garamond" w:hAnsi="Garamond"/>
          <w:sz w:val="22"/>
          <w:szCs w:val="22"/>
          <w:lang w:val="en-US"/>
        </w:rPr>
        <w:t xml:space="preserve">f </w:t>
      </w:r>
      <w:r w:rsidR="002D4E66">
        <w:rPr>
          <w:rFonts w:ascii="Garamond" w:hAnsi="Garamond"/>
          <w:sz w:val="22"/>
          <w:szCs w:val="22"/>
          <w:lang w:val="en-US"/>
        </w:rPr>
        <w:t>t</w:t>
      </w:r>
      <w:r w:rsidR="002D4E66" w:rsidRPr="009E61C9">
        <w:rPr>
          <w:rFonts w:ascii="Garamond" w:hAnsi="Garamond"/>
          <w:sz w:val="22"/>
          <w:szCs w:val="22"/>
          <w:lang w:val="en-US"/>
        </w:rPr>
        <w:t xml:space="preserve">he Global Activity Limitations Indicator </w:t>
      </w:r>
      <w:r w:rsidRPr="009E61C9">
        <w:rPr>
          <w:rFonts w:ascii="Garamond" w:hAnsi="Garamond"/>
          <w:sz w:val="22"/>
          <w:szCs w:val="22"/>
          <w:lang w:val="en-US"/>
        </w:rPr>
        <w:t>(GALI)</w:t>
      </w:r>
      <w:r w:rsidR="00CF327F">
        <w:rPr>
          <w:rFonts w:ascii="Garamond" w:hAnsi="Garamond"/>
          <w:sz w:val="22"/>
          <w:szCs w:val="22"/>
          <w:lang w:val="en-US"/>
        </w:rPr>
        <w:t xml:space="preserve"> »</w:t>
      </w:r>
      <w:r w:rsidR="002D4E66">
        <w:rPr>
          <w:rFonts w:ascii="Garamond" w:hAnsi="Garamond"/>
          <w:sz w:val="22"/>
          <w:szCs w:val="22"/>
          <w:lang w:val="en-US"/>
        </w:rPr>
        <w:t>,</w:t>
      </w:r>
      <w:r w:rsidRPr="009E61C9">
        <w:rPr>
          <w:rFonts w:ascii="Garamond" w:hAnsi="Garamond"/>
          <w:sz w:val="22"/>
          <w:szCs w:val="22"/>
          <w:lang w:val="en-US"/>
        </w:rPr>
        <w:t xml:space="preserve"> </w:t>
      </w:r>
      <w:r w:rsidRPr="009E61C9">
        <w:rPr>
          <w:rFonts w:ascii="Garamond" w:hAnsi="Garamond"/>
          <w:i/>
          <w:sz w:val="22"/>
          <w:szCs w:val="22"/>
          <w:lang w:val="en-US"/>
        </w:rPr>
        <w:t>Archives of Public Health</w:t>
      </w:r>
      <w:r w:rsidR="002D4E66">
        <w:rPr>
          <w:rFonts w:ascii="Garamond" w:hAnsi="Garamond"/>
          <w:sz w:val="22"/>
          <w:szCs w:val="22"/>
          <w:lang w:val="en-US"/>
        </w:rPr>
        <w:t>,</w:t>
      </w:r>
      <w:r w:rsidRPr="009E61C9">
        <w:rPr>
          <w:rFonts w:ascii="Garamond" w:hAnsi="Garamond"/>
          <w:sz w:val="22"/>
          <w:szCs w:val="22"/>
          <w:lang w:val="en-US"/>
        </w:rPr>
        <w:t xml:space="preserve"> </w:t>
      </w:r>
      <w:r w:rsidR="002D4E66">
        <w:rPr>
          <w:rFonts w:ascii="Garamond" w:hAnsi="Garamond"/>
          <w:sz w:val="22"/>
          <w:szCs w:val="22"/>
          <w:lang w:val="en-US"/>
        </w:rPr>
        <w:t xml:space="preserve">n° </w:t>
      </w:r>
      <w:r w:rsidRPr="009E61C9">
        <w:rPr>
          <w:rFonts w:ascii="Garamond" w:hAnsi="Garamond"/>
          <w:sz w:val="22"/>
          <w:szCs w:val="22"/>
          <w:lang w:val="en-US"/>
        </w:rPr>
        <w:t>76</w:t>
      </w:r>
      <w:r w:rsidR="002D4E66">
        <w:rPr>
          <w:rFonts w:ascii="Garamond" w:hAnsi="Garamond"/>
          <w:sz w:val="22"/>
          <w:szCs w:val="22"/>
          <w:lang w:val="en-US"/>
        </w:rPr>
        <w:t xml:space="preserve">, p. </w:t>
      </w:r>
      <w:r w:rsidRPr="009E61C9">
        <w:rPr>
          <w:rFonts w:ascii="Garamond" w:hAnsi="Garamond"/>
          <w:sz w:val="22"/>
          <w:szCs w:val="22"/>
          <w:lang w:val="en-US"/>
        </w:rPr>
        <w:t>25.</w:t>
      </w:r>
    </w:p>
    <w:p w14:paraId="6FC46900" w14:textId="77777777" w:rsidR="00A908C3" w:rsidRPr="009E61C9" w:rsidRDefault="00A908C3" w:rsidP="009E61C9">
      <w:pPr>
        <w:jc w:val="both"/>
        <w:rPr>
          <w:rFonts w:ascii="Garamond" w:hAnsi="Garamond"/>
          <w:sz w:val="22"/>
          <w:szCs w:val="22"/>
          <w:lang w:val="en-US"/>
        </w:rPr>
      </w:pPr>
    </w:p>
    <w:p w14:paraId="0A552AED" w14:textId="231CD6D0" w:rsidR="00C578C6" w:rsidRPr="009E61C9" w:rsidRDefault="000C1025" w:rsidP="009E61C9">
      <w:pPr>
        <w:jc w:val="both"/>
        <w:rPr>
          <w:rFonts w:ascii="Garamond" w:hAnsi="Garamond"/>
          <w:sz w:val="22"/>
          <w:szCs w:val="22"/>
          <w:lang w:val="en-US"/>
        </w:rPr>
      </w:pPr>
      <w:r w:rsidRPr="00D84575">
        <w:rPr>
          <w:rFonts w:ascii="Garamond" w:hAnsi="Garamond"/>
          <w:smallCaps/>
          <w:sz w:val="22"/>
          <w:szCs w:val="22"/>
          <w:lang w:val="en-US"/>
        </w:rPr>
        <w:t xml:space="preserve">Wiggins R., Higgs P., Hyde </w:t>
      </w:r>
      <w:r w:rsidRPr="009E61C9">
        <w:rPr>
          <w:rFonts w:ascii="Garamond" w:hAnsi="Garamond"/>
          <w:sz w:val="22"/>
          <w:szCs w:val="22"/>
          <w:lang w:val="en-US"/>
        </w:rPr>
        <w:t xml:space="preserve">M. et </w:t>
      </w:r>
      <w:r w:rsidRPr="00D84575">
        <w:rPr>
          <w:rFonts w:ascii="Garamond" w:hAnsi="Garamond"/>
          <w:smallCaps/>
          <w:sz w:val="22"/>
          <w:szCs w:val="22"/>
          <w:lang w:val="en-US"/>
        </w:rPr>
        <w:t xml:space="preserve">Blane </w:t>
      </w:r>
      <w:r w:rsidR="002D4E66" w:rsidRPr="009E61C9">
        <w:rPr>
          <w:rFonts w:ascii="Garamond" w:hAnsi="Garamond"/>
          <w:sz w:val="22"/>
          <w:szCs w:val="22"/>
          <w:lang w:val="en-US"/>
        </w:rPr>
        <w:t xml:space="preserve">D. </w:t>
      </w:r>
      <w:r w:rsidRPr="009E61C9">
        <w:rPr>
          <w:rFonts w:ascii="Garamond" w:hAnsi="Garamond"/>
          <w:sz w:val="22"/>
          <w:szCs w:val="22"/>
          <w:lang w:val="en-US"/>
        </w:rPr>
        <w:t xml:space="preserve">(2004), </w:t>
      </w:r>
      <w:r w:rsidR="00CF327F">
        <w:rPr>
          <w:rFonts w:ascii="Garamond" w:hAnsi="Garamond"/>
          <w:sz w:val="22"/>
          <w:szCs w:val="22"/>
          <w:lang w:val="en-US"/>
        </w:rPr>
        <w:t xml:space="preserve">« </w:t>
      </w:r>
      <w:r w:rsidR="002D4E66" w:rsidRPr="009E61C9">
        <w:rPr>
          <w:rFonts w:ascii="Garamond" w:hAnsi="Garamond"/>
          <w:sz w:val="22"/>
          <w:szCs w:val="22"/>
          <w:lang w:val="en-US"/>
        </w:rPr>
        <w:t xml:space="preserve">Quality </w:t>
      </w:r>
      <w:r w:rsidR="002D4E66">
        <w:rPr>
          <w:rFonts w:ascii="Garamond" w:hAnsi="Garamond"/>
          <w:sz w:val="22"/>
          <w:szCs w:val="22"/>
          <w:lang w:val="en-US"/>
        </w:rPr>
        <w:t>o</w:t>
      </w:r>
      <w:r w:rsidR="002D4E66" w:rsidRPr="009E61C9">
        <w:rPr>
          <w:rFonts w:ascii="Garamond" w:hAnsi="Garamond"/>
          <w:sz w:val="22"/>
          <w:szCs w:val="22"/>
          <w:lang w:val="en-US"/>
        </w:rPr>
        <w:t xml:space="preserve">f Life </w:t>
      </w:r>
      <w:r w:rsidR="002D4E66">
        <w:rPr>
          <w:rFonts w:ascii="Garamond" w:hAnsi="Garamond"/>
          <w:sz w:val="22"/>
          <w:szCs w:val="22"/>
          <w:lang w:val="en-US"/>
        </w:rPr>
        <w:t>i</w:t>
      </w:r>
      <w:r w:rsidR="002D4E66" w:rsidRPr="009E61C9">
        <w:rPr>
          <w:rFonts w:ascii="Garamond" w:hAnsi="Garamond"/>
          <w:sz w:val="22"/>
          <w:szCs w:val="22"/>
          <w:lang w:val="en-US"/>
        </w:rPr>
        <w:t xml:space="preserve">n </w:t>
      </w:r>
      <w:r w:rsidR="002D4E66">
        <w:rPr>
          <w:rFonts w:ascii="Garamond" w:hAnsi="Garamond"/>
          <w:sz w:val="22"/>
          <w:szCs w:val="22"/>
          <w:lang w:val="en-US"/>
        </w:rPr>
        <w:t>t</w:t>
      </w:r>
      <w:r w:rsidR="002D4E66" w:rsidRPr="009E61C9">
        <w:rPr>
          <w:rFonts w:ascii="Garamond" w:hAnsi="Garamond"/>
          <w:sz w:val="22"/>
          <w:szCs w:val="22"/>
          <w:lang w:val="en-US"/>
        </w:rPr>
        <w:t xml:space="preserve">he Third Age: Key Predictors </w:t>
      </w:r>
      <w:r w:rsidR="002D4E66">
        <w:rPr>
          <w:rFonts w:ascii="Garamond" w:hAnsi="Garamond"/>
          <w:sz w:val="22"/>
          <w:szCs w:val="22"/>
          <w:lang w:val="en-US"/>
        </w:rPr>
        <w:t>o</w:t>
      </w:r>
      <w:r w:rsidR="002D4E66" w:rsidRPr="009E61C9">
        <w:rPr>
          <w:rFonts w:ascii="Garamond" w:hAnsi="Garamond"/>
          <w:sz w:val="22"/>
          <w:szCs w:val="22"/>
          <w:lang w:val="en-US"/>
        </w:rPr>
        <w:t xml:space="preserve">f </w:t>
      </w:r>
      <w:r w:rsidR="002D4E66">
        <w:rPr>
          <w:rFonts w:ascii="Garamond" w:hAnsi="Garamond"/>
          <w:sz w:val="22"/>
          <w:szCs w:val="22"/>
          <w:lang w:val="en-US"/>
        </w:rPr>
        <w:t>t</w:t>
      </w:r>
      <w:r w:rsidR="002D4E66" w:rsidRPr="009E61C9">
        <w:rPr>
          <w:rFonts w:ascii="Garamond" w:hAnsi="Garamond"/>
          <w:sz w:val="22"/>
          <w:szCs w:val="22"/>
          <w:lang w:val="en-US"/>
        </w:rPr>
        <w:t>he Casp-19 Measure</w:t>
      </w:r>
      <w:r w:rsidR="00CF327F">
        <w:rPr>
          <w:rFonts w:ascii="Garamond" w:hAnsi="Garamond"/>
          <w:sz w:val="22"/>
          <w:szCs w:val="22"/>
          <w:lang w:val="en-US"/>
        </w:rPr>
        <w:t xml:space="preserve"> »</w:t>
      </w:r>
      <w:r w:rsidRPr="009E61C9">
        <w:rPr>
          <w:rFonts w:ascii="Garamond" w:hAnsi="Garamond"/>
          <w:sz w:val="22"/>
          <w:szCs w:val="22"/>
          <w:lang w:val="en-US"/>
        </w:rPr>
        <w:t xml:space="preserve">, </w:t>
      </w:r>
      <w:r w:rsidRPr="009E61C9">
        <w:rPr>
          <w:rFonts w:ascii="Garamond" w:hAnsi="Garamond"/>
          <w:i/>
          <w:sz w:val="22"/>
          <w:szCs w:val="22"/>
          <w:lang w:val="en-US"/>
        </w:rPr>
        <w:t xml:space="preserve">Ageing </w:t>
      </w:r>
      <w:r w:rsidRPr="002D4E66">
        <w:rPr>
          <w:rFonts w:ascii="Garamond" w:hAnsi="Garamond"/>
          <w:iCs/>
          <w:sz w:val="22"/>
          <w:szCs w:val="22"/>
          <w:lang w:val="en-US"/>
        </w:rPr>
        <w:t>&amp;</w:t>
      </w:r>
      <w:r w:rsidRPr="009E61C9">
        <w:rPr>
          <w:rFonts w:ascii="Garamond" w:hAnsi="Garamond"/>
          <w:i/>
          <w:sz w:val="22"/>
          <w:szCs w:val="22"/>
          <w:lang w:val="en-US"/>
        </w:rPr>
        <w:t xml:space="preserve"> Society</w:t>
      </w:r>
      <w:r w:rsidRPr="009E61C9">
        <w:rPr>
          <w:rFonts w:ascii="Garamond" w:hAnsi="Garamond"/>
          <w:sz w:val="22"/>
          <w:szCs w:val="22"/>
          <w:lang w:val="en-US"/>
        </w:rPr>
        <w:t xml:space="preserve">, </w:t>
      </w:r>
      <w:r w:rsidR="002D4E66">
        <w:rPr>
          <w:rFonts w:ascii="Garamond" w:hAnsi="Garamond"/>
          <w:sz w:val="22"/>
          <w:szCs w:val="22"/>
          <w:lang w:val="en-US"/>
        </w:rPr>
        <w:t xml:space="preserve">vol. </w:t>
      </w:r>
      <w:r w:rsidRPr="009E61C9">
        <w:rPr>
          <w:rFonts w:ascii="Garamond" w:hAnsi="Garamond"/>
          <w:sz w:val="22"/>
          <w:szCs w:val="22"/>
          <w:lang w:val="en-US"/>
        </w:rPr>
        <w:t xml:space="preserve">24, </w:t>
      </w:r>
      <w:r w:rsidR="002D4E66">
        <w:rPr>
          <w:rFonts w:ascii="Garamond" w:hAnsi="Garamond"/>
          <w:sz w:val="22"/>
          <w:szCs w:val="22"/>
          <w:lang w:val="en-US"/>
        </w:rPr>
        <w:t xml:space="preserve">n° </w:t>
      </w:r>
      <w:r w:rsidRPr="009E61C9">
        <w:rPr>
          <w:rFonts w:ascii="Garamond" w:hAnsi="Garamond"/>
          <w:sz w:val="22"/>
          <w:szCs w:val="22"/>
          <w:lang w:val="en-US"/>
        </w:rPr>
        <w:t xml:space="preserve">5, </w:t>
      </w:r>
      <w:r w:rsidR="002D4E66">
        <w:rPr>
          <w:rFonts w:ascii="Garamond" w:hAnsi="Garamond"/>
          <w:sz w:val="22"/>
          <w:szCs w:val="22"/>
          <w:lang w:val="en-US"/>
        </w:rPr>
        <w:t xml:space="preserve">pp. </w:t>
      </w:r>
      <w:r w:rsidRPr="009E61C9">
        <w:rPr>
          <w:rFonts w:ascii="Garamond" w:hAnsi="Garamond"/>
          <w:sz w:val="22"/>
          <w:szCs w:val="22"/>
          <w:lang w:val="en-US"/>
        </w:rPr>
        <w:t>693-708.</w:t>
      </w:r>
    </w:p>
    <w:p w14:paraId="156DA1AD" w14:textId="77777777" w:rsidR="00A908C3" w:rsidRPr="009E61C9" w:rsidRDefault="00A908C3" w:rsidP="009E61C9">
      <w:pPr>
        <w:jc w:val="both"/>
        <w:rPr>
          <w:rFonts w:ascii="Garamond" w:hAnsi="Garamond"/>
          <w:sz w:val="22"/>
          <w:szCs w:val="22"/>
          <w:lang w:val="en-US"/>
        </w:rPr>
      </w:pPr>
    </w:p>
    <w:p w14:paraId="4D40404C" w14:textId="2C68D9C0" w:rsidR="00E6753F" w:rsidRPr="004555EA" w:rsidRDefault="00E6753F" w:rsidP="009E61C9">
      <w:pPr>
        <w:jc w:val="both"/>
        <w:rPr>
          <w:rFonts w:ascii="Garamond" w:hAnsi="Garamond"/>
          <w:sz w:val="22"/>
          <w:szCs w:val="22"/>
          <w:lang w:val="en-US"/>
        </w:rPr>
      </w:pPr>
      <w:r w:rsidRPr="004555EA">
        <w:rPr>
          <w:rFonts w:ascii="Garamond" w:hAnsi="Garamond"/>
          <w:sz w:val="22"/>
          <w:szCs w:val="22"/>
          <w:lang w:val="en-US"/>
        </w:rPr>
        <w:br w:type="page"/>
      </w:r>
    </w:p>
    <w:p w14:paraId="3E71FBCA" w14:textId="77777777" w:rsidR="002B69A4" w:rsidRPr="009E61C9" w:rsidRDefault="002B69A4" w:rsidP="009E61C9">
      <w:pPr>
        <w:jc w:val="center"/>
        <w:rPr>
          <w:rFonts w:ascii="Garamond" w:hAnsi="Garamond"/>
          <w:sz w:val="22"/>
          <w:szCs w:val="22"/>
          <w:shd w:val="clear" w:color="auto" w:fill="CAE7FF"/>
          <w:lang w:val="en-US"/>
        </w:rPr>
      </w:pPr>
    </w:p>
    <w:p w14:paraId="212EF166" w14:textId="77777777" w:rsidR="00FE0C14" w:rsidRPr="004555EA" w:rsidRDefault="00FE0C14" w:rsidP="009E61C9">
      <w:pPr>
        <w:jc w:val="center"/>
        <w:rPr>
          <w:rFonts w:ascii="Garamond" w:hAnsi="Garamond"/>
          <w:bCs/>
          <w:sz w:val="22"/>
          <w:szCs w:val="22"/>
          <w:lang w:val="en-US"/>
        </w:rPr>
      </w:pPr>
    </w:p>
    <w:p w14:paraId="732736A1" w14:textId="78D990F8" w:rsidR="003F630D" w:rsidRDefault="00F35144" w:rsidP="00F35144">
      <w:pPr>
        <w:jc w:val="center"/>
        <w:rPr>
          <w:rFonts w:ascii="Garamond" w:hAnsi="Garamond"/>
          <w:sz w:val="22"/>
          <w:szCs w:val="22"/>
        </w:rPr>
      </w:pPr>
      <w:r w:rsidRPr="00F35144">
        <w:rPr>
          <w:rFonts w:ascii="Garamond" w:hAnsi="Garamond"/>
          <w:i/>
          <w:iCs/>
          <w:sz w:val="22"/>
          <w:szCs w:val="22"/>
        </w:rPr>
        <w:t>ANNEXE</w:t>
      </w:r>
      <w:r w:rsidRPr="009E61C9">
        <w:rPr>
          <w:rFonts w:ascii="Garamond" w:hAnsi="Garamond"/>
          <w:sz w:val="22"/>
          <w:szCs w:val="22"/>
        </w:rPr>
        <w:t xml:space="preserve"> </w:t>
      </w:r>
      <w:r w:rsidR="00F42484" w:rsidRPr="00F35144">
        <w:rPr>
          <w:rFonts w:ascii="Garamond" w:hAnsi="Garamond"/>
          <w:i/>
          <w:iCs/>
          <w:sz w:val="22"/>
          <w:szCs w:val="22"/>
        </w:rPr>
        <w:t>1</w:t>
      </w:r>
    </w:p>
    <w:p w14:paraId="15F7623E" w14:textId="56AB5557" w:rsidR="005436FD" w:rsidRPr="00F35144" w:rsidRDefault="00F35144" w:rsidP="00F35144">
      <w:pPr>
        <w:jc w:val="center"/>
        <w:rPr>
          <w:rFonts w:ascii="Garamond" w:hAnsi="Garamond"/>
          <w:b/>
          <w:bCs/>
          <w:sz w:val="22"/>
          <w:szCs w:val="22"/>
        </w:rPr>
      </w:pPr>
      <w:r w:rsidRPr="00F35144">
        <w:rPr>
          <w:rFonts w:ascii="Garamond" w:hAnsi="Garamond"/>
          <w:b/>
          <w:bCs/>
          <w:sz w:val="22"/>
          <w:szCs w:val="22"/>
        </w:rPr>
        <w:t>CALCUL DES ESPÉRANCES DE VIE ET DES EVBS</w:t>
      </w:r>
    </w:p>
    <w:p w14:paraId="6F76C7EA" w14:textId="77777777" w:rsidR="00F42484" w:rsidRPr="009E61C9" w:rsidRDefault="00F42484" w:rsidP="009E61C9">
      <w:pPr>
        <w:jc w:val="both"/>
        <w:rPr>
          <w:rFonts w:ascii="Garamond" w:hAnsi="Garamond"/>
          <w:sz w:val="22"/>
          <w:szCs w:val="22"/>
        </w:rPr>
      </w:pPr>
    </w:p>
    <w:p w14:paraId="60B5389A" w14:textId="54B4BEB5" w:rsidR="00F42484" w:rsidRPr="009E61C9" w:rsidRDefault="00F42484" w:rsidP="009E61C9">
      <w:pPr>
        <w:jc w:val="both"/>
        <w:rPr>
          <w:rFonts w:ascii="Garamond" w:hAnsi="Garamond"/>
          <w:sz w:val="22"/>
          <w:szCs w:val="22"/>
        </w:rPr>
      </w:pPr>
      <w:r w:rsidRPr="009E61C9">
        <w:rPr>
          <w:rFonts w:ascii="Garamond" w:hAnsi="Garamond"/>
          <w:sz w:val="22"/>
          <w:szCs w:val="22"/>
        </w:rPr>
        <w:t>Les étapes suivantes sont réalisées pour calculer l’espérance de vie</w:t>
      </w:r>
      <w:r w:rsidR="0089614B" w:rsidRPr="009E61C9">
        <w:rPr>
          <w:rFonts w:ascii="Garamond" w:hAnsi="Garamond"/>
          <w:sz w:val="22"/>
          <w:szCs w:val="22"/>
        </w:rPr>
        <w:t>,</w:t>
      </w:r>
      <w:r w:rsidRPr="009E61C9">
        <w:rPr>
          <w:rFonts w:ascii="Garamond" w:hAnsi="Garamond"/>
          <w:sz w:val="22"/>
          <w:szCs w:val="22"/>
        </w:rPr>
        <w:t xml:space="preserve"> </w:t>
      </w:r>
      <w:r w:rsidRPr="009E61C9">
        <w:rPr>
          <w:rFonts w:ascii="Garamond" w:hAnsi="Garamond"/>
          <w:i/>
          <w:iCs/>
          <w:sz w:val="22"/>
          <w:szCs w:val="22"/>
        </w:rPr>
        <w:t>e</w:t>
      </w:r>
      <w:r w:rsidRPr="0073517B">
        <w:rPr>
          <w:rFonts w:ascii="Garamond" w:hAnsi="Garamond"/>
          <w:sz w:val="22"/>
          <w:szCs w:val="22"/>
        </w:rPr>
        <w:t>(</w:t>
      </w:r>
      <w:r w:rsidRPr="009E61C9">
        <w:rPr>
          <w:rFonts w:ascii="Garamond" w:hAnsi="Garamond"/>
          <w:i/>
          <w:iCs/>
          <w:sz w:val="22"/>
          <w:szCs w:val="22"/>
        </w:rPr>
        <w:t>x</w:t>
      </w:r>
      <w:r w:rsidRPr="0073517B">
        <w:rPr>
          <w:rFonts w:ascii="Garamond" w:hAnsi="Garamond"/>
          <w:sz w:val="22"/>
          <w:szCs w:val="22"/>
        </w:rPr>
        <w:t>)</w:t>
      </w:r>
      <w:r w:rsidRPr="009E61C9">
        <w:rPr>
          <w:rFonts w:ascii="Garamond" w:hAnsi="Garamond"/>
          <w:sz w:val="22"/>
          <w:szCs w:val="22"/>
        </w:rPr>
        <w:t xml:space="preserve">, en suivant la méthodologie décrite par Jagger </w:t>
      </w:r>
      <w:r w:rsidRPr="00F35144">
        <w:rPr>
          <w:rFonts w:ascii="Garamond" w:hAnsi="Garamond"/>
          <w:i/>
          <w:iCs/>
          <w:sz w:val="22"/>
          <w:szCs w:val="22"/>
        </w:rPr>
        <w:t>et al</w:t>
      </w:r>
      <w:r w:rsidRPr="009E61C9">
        <w:rPr>
          <w:rFonts w:ascii="Garamond" w:hAnsi="Garamond"/>
          <w:sz w:val="22"/>
          <w:szCs w:val="22"/>
        </w:rPr>
        <w:t>. (2014) :</w:t>
      </w:r>
    </w:p>
    <w:p w14:paraId="133F9293" w14:textId="77777777" w:rsidR="00F42484" w:rsidRPr="009E61C9" w:rsidRDefault="00F42484" w:rsidP="009E61C9">
      <w:pPr>
        <w:jc w:val="both"/>
        <w:rPr>
          <w:rFonts w:ascii="Garamond" w:hAnsi="Garamond"/>
          <w:sz w:val="22"/>
          <w:szCs w:val="22"/>
        </w:rPr>
      </w:pPr>
    </w:p>
    <w:p w14:paraId="167C7CA0" w14:textId="401E636A" w:rsidR="00F42484" w:rsidRPr="00F35144" w:rsidRDefault="00F35144" w:rsidP="00F35144">
      <w:pPr>
        <w:pStyle w:val="Paragraphedeliste"/>
        <w:numPr>
          <w:ilvl w:val="0"/>
          <w:numId w:val="5"/>
        </w:numPr>
        <w:jc w:val="both"/>
        <w:rPr>
          <w:rFonts w:ascii="Garamond" w:hAnsi="Garamond"/>
          <w:sz w:val="22"/>
          <w:szCs w:val="22"/>
        </w:rPr>
      </w:pPr>
      <w:r>
        <w:rPr>
          <w:rFonts w:ascii="Garamond" w:hAnsi="Garamond"/>
          <w:sz w:val="22"/>
          <w:szCs w:val="22"/>
        </w:rPr>
        <w:t>l</w:t>
      </w:r>
      <w:r w:rsidR="00F42484" w:rsidRPr="00F35144">
        <w:rPr>
          <w:rFonts w:ascii="Garamond" w:hAnsi="Garamond"/>
          <w:sz w:val="22"/>
          <w:szCs w:val="22"/>
        </w:rPr>
        <w:t xml:space="preserve">e premier calcul à réaliser est le taux de mortalité </w:t>
      </w:r>
      <w:r w:rsidR="00F42484" w:rsidRPr="00F35144">
        <w:rPr>
          <w:rFonts w:ascii="Garamond" w:hAnsi="Garamond"/>
          <w:i/>
          <w:iCs/>
          <w:sz w:val="22"/>
          <w:szCs w:val="22"/>
        </w:rPr>
        <w:t>m</w:t>
      </w:r>
      <w:r w:rsidR="00F42484" w:rsidRPr="00EC37B2">
        <w:rPr>
          <w:rFonts w:ascii="Garamond" w:hAnsi="Garamond"/>
          <w:sz w:val="22"/>
          <w:szCs w:val="22"/>
        </w:rPr>
        <w:t>(</w:t>
      </w:r>
      <w:r w:rsidR="00F42484" w:rsidRPr="00F35144">
        <w:rPr>
          <w:rFonts w:ascii="Garamond" w:hAnsi="Garamond"/>
          <w:i/>
          <w:iCs/>
          <w:sz w:val="22"/>
          <w:szCs w:val="22"/>
        </w:rPr>
        <w:t>x</w:t>
      </w:r>
      <w:r w:rsidR="00F42484" w:rsidRPr="00EC37B2">
        <w:rPr>
          <w:rFonts w:ascii="Garamond" w:hAnsi="Garamond"/>
          <w:sz w:val="22"/>
          <w:szCs w:val="22"/>
        </w:rPr>
        <w:t>)</w:t>
      </w:r>
      <w:r w:rsidR="00F42484" w:rsidRPr="00F35144">
        <w:rPr>
          <w:rFonts w:ascii="Garamond" w:hAnsi="Garamond"/>
          <w:sz w:val="22"/>
          <w:szCs w:val="22"/>
        </w:rPr>
        <w:t xml:space="preserve">, le nombre de décès divisé par la population totale à l’âge </w:t>
      </w:r>
      <w:r w:rsidR="00F42484" w:rsidRPr="00F35144">
        <w:rPr>
          <w:rFonts w:ascii="Garamond" w:hAnsi="Garamond"/>
          <w:i/>
          <w:sz w:val="22"/>
          <w:szCs w:val="22"/>
        </w:rPr>
        <w:t>x </w:t>
      </w:r>
      <w:r w:rsidR="00F42484" w:rsidRPr="00F35144">
        <w:rPr>
          <w:rFonts w:ascii="Garamond" w:hAnsi="Garamond"/>
          <w:sz w:val="22"/>
          <w:szCs w:val="22"/>
        </w:rPr>
        <w:t>;</w:t>
      </w:r>
    </w:p>
    <w:p w14:paraId="4EF77352" w14:textId="7EDDA31D" w:rsidR="00407097" w:rsidRPr="009E61C9" w:rsidRDefault="00F35144" w:rsidP="009E61C9">
      <w:pPr>
        <w:pStyle w:val="Paragraphedeliste"/>
        <w:numPr>
          <w:ilvl w:val="0"/>
          <w:numId w:val="5"/>
        </w:numPr>
        <w:jc w:val="both"/>
        <w:rPr>
          <w:rFonts w:ascii="Garamond" w:hAnsi="Garamond" w:cs="Times New Roman"/>
          <w:sz w:val="22"/>
          <w:szCs w:val="22"/>
        </w:rPr>
      </w:pPr>
      <w:r>
        <w:rPr>
          <w:rFonts w:ascii="Garamond" w:hAnsi="Garamond" w:cs="Times New Roman"/>
          <w:sz w:val="22"/>
          <w:szCs w:val="22"/>
        </w:rPr>
        <w:t>d</w:t>
      </w:r>
      <w:r w:rsidR="00F42484" w:rsidRPr="009E61C9">
        <w:rPr>
          <w:rFonts w:ascii="Garamond" w:hAnsi="Garamond" w:cs="Times New Roman"/>
          <w:sz w:val="22"/>
          <w:szCs w:val="22"/>
        </w:rPr>
        <w:t xml:space="preserve">e </w:t>
      </w:r>
      <w:r w:rsidR="00F42484" w:rsidRPr="009E61C9">
        <w:rPr>
          <w:rFonts w:ascii="Garamond" w:hAnsi="Garamond" w:cs="Times New Roman"/>
          <w:i/>
          <w:iCs/>
          <w:sz w:val="22"/>
          <w:szCs w:val="22"/>
        </w:rPr>
        <w:t>m</w:t>
      </w:r>
      <w:r w:rsidR="00F42484" w:rsidRPr="00EC37B2">
        <w:rPr>
          <w:rFonts w:ascii="Garamond" w:hAnsi="Garamond" w:cs="Times New Roman"/>
          <w:sz w:val="22"/>
          <w:szCs w:val="22"/>
        </w:rPr>
        <w:t>(</w:t>
      </w:r>
      <w:r w:rsidR="00F42484" w:rsidRPr="009E61C9">
        <w:rPr>
          <w:rFonts w:ascii="Garamond" w:hAnsi="Garamond" w:cs="Times New Roman"/>
          <w:i/>
          <w:iCs/>
          <w:sz w:val="22"/>
          <w:szCs w:val="22"/>
        </w:rPr>
        <w:t>x</w:t>
      </w:r>
      <w:r w:rsidR="00F42484" w:rsidRPr="00EC37B2">
        <w:rPr>
          <w:rFonts w:ascii="Garamond" w:hAnsi="Garamond" w:cs="Times New Roman"/>
          <w:sz w:val="22"/>
          <w:szCs w:val="22"/>
        </w:rPr>
        <w:t>)</w:t>
      </w:r>
      <w:r w:rsidR="00F42484" w:rsidRPr="009E61C9">
        <w:rPr>
          <w:rFonts w:ascii="Garamond" w:hAnsi="Garamond" w:cs="Times New Roman"/>
          <w:sz w:val="22"/>
          <w:szCs w:val="22"/>
        </w:rPr>
        <w:t xml:space="preserve"> est dérivé</w:t>
      </w:r>
      <w:r w:rsidR="0073517B">
        <w:rPr>
          <w:rFonts w:ascii="Garamond" w:hAnsi="Garamond" w:cs="Times New Roman"/>
          <w:sz w:val="22"/>
          <w:szCs w:val="22"/>
        </w:rPr>
        <w:t>e</w:t>
      </w:r>
      <w:r w:rsidR="00F42484" w:rsidRPr="009E61C9">
        <w:rPr>
          <w:rFonts w:ascii="Garamond" w:hAnsi="Garamond" w:cs="Times New Roman"/>
          <w:sz w:val="22"/>
          <w:szCs w:val="22"/>
        </w:rPr>
        <w:t xml:space="preserve"> la probabilité de décès </w:t>
      </w:r>
      <w:r w:rsidR="00F42484" w:rsidRPr="009E61C9">
        <w:rPr>
          <w:rFonts w:ascii="Garamond" w:hAnsi="Garamond" w:cs="Times New Roman"/>
          <w:i/>
          <w:iCs/>
          <w:sz w:val="22"/>
          <w:szCs w:val="22"/>
        </w:rPr>
        <w:t>q</w:t>
      </w:r>
      <w:r w:rsidR="00F42484" w:rsidRPr="00EC37B2">
        <w:rPr>
          <w:rFonts w:ascii="Garamond" w:hAnsi="Garamond" w:cs="Times New Roman"/>
          <w:sz w:val="22"/>
          <w:szCs w:val="22"/>
        </w:rPr>
        <w:t>(</w:t>
      </w:r>
      <w:r w:rsidR="00F42484" w:rsidRPr="009E61C9">
        <w:rPr>
          <w:rFonts w:ascii="Garamond" w:hAnsi="Garamond" w:cs="Times New Roman"/>
          <w:i/>
          <w:iCs/>
          <w:sz w:val="22"/>
          <w:szCs w:val="22"/>
        </w:rPr>
        <w:t>x</w:t>
      </w:r>
      <w:r w:rsidR="00F42484" w:rsidRPr="00EC37B2">
        <w:rPr>
          <w:rFonts w:ascii="Garamond" w:hAnsi="Garamond" w:cs="Times New Roman"/>
          <w:sz w:val="22"/>
          <w:szCs w:val="22"/>
        </w:rPr>
        <w:t>)</w:t>
      </w:r>
      <w:r w:rsidR="00F42484" w:rsidRPr="009E61C9">
        <w:rPr>
          <w:rFonts w:ascii="Garamond" w:hAnsi="Garamond" w:cs="Times New Roman"/>
          <w:sz w:val="22"/>
          <w:szCs w:val="22"/>
        </w:rPr>
        <w:t>, calculée [</w:t>
      </w:r>
      <w:r w:rsidR="00F42484" w:rsidRPr="009E61C9">
        <w:rPr>
          <w:rFonts w:ascii="Garamond" w:hAnsi="Garamond" w:cs="Times New Roman"/>
          <w:i/>
          <w:iCs/>
          <w:sz w:val="22"/>
          <w:szCs w:val="22"/>
        </w:rPr>
        <w:t>m</w:t>
      </w:r>
      <w:r w:rsidR="00F42484" w:rsidRPr="00EC37B2">
        <w:rPr>
          <w:rFonts w:ascii="Garamond" w:hAnsi="Garamond" w:cs="Times New Roman"/>
          <w:sz w:val="22"/>
          <w:szCs w:val="22"/>
        </w:rPr>
        <w:t>(</w:t>
      </w:r>
      <w:r w:rsidR="00F42484" w:rsidRPr="009E61C9">
        <w:rPr>
          <w:rFonts w:ascii="Garamond" w:hAnsi="Garamond" w:cs="Times New Roman"/>
          <w:i/>
          <w:iCs/>
          <w:sz w:val="22"/>
          <w:szCs w:val="22"/>
        </w:rPr>
        <w:t>x</w:t>
      </w:r>
      <w:r w:rsidR="00F42484" w:rsidRPr="00EC37B2">
        <w:rPr>
          <w:rFonts w:ascii="Garamond" w:hAnsi="Garamond" w:cs="Times New Roman"/>
          <w:sz w:val="22"/>
          <w:szCs w:val="22"/>
        </w:rPr>
        <w:t>)/(</w:t>
      </w:r>
      <w:r w:rsidR="00EC37B2" w:rsidRPr="00EC37B2">
        <w:rPr>
          <w:rFonts w:ascii="Garamond" w:hAnsi="Garamond" w:cs="Times New Roman"/>
          <w:sz w:val="22"/>
          <w:szCs w:val="22"/>
        </w:rPr>
        <w:t>1</w:t>
      </w:r>
      <w:r w:rsidR="00EC37B2">
        <w:rPr>
          <w:rFonts w:ascii="Garamond" w:hAnsi="Garamond" w:cs="Times New Roman"/>
          <w:i/>
          <w:iCs/>
          <w:sz w:val="22"/>
          <w:szCs w:val="22"/>
        </w:rPr>
        <w:t xml:space="preserve"> </w:t>
      </w:r>
      <w:r w:rsidR="00F42484" w:rsidRPr="009E61C9">
        <w:rPr>
          <w:rFonts w:ascii="Garamond" w:hAnsi="Garamond" w:cs="Times New Roman"/>
          <w:i/>
          <w:iCs/>
          <w:sz w:val="22"/>
          <w:szCs w:val="22"/>
        </w:rPr>
        <w:t>+</w:t>
      </w:r>
      <w:r w:rsidR="00EC37B2">
        <w:rPr>
          <w:rFonts w:ascii="Garamond" w:hAnsi="Garamond" w:cs="Times New Roman"/>
          <w:i/>
          <w:iCs/>
          <w:sz w:val="22"/>
          <w:szCs w:val="22"/>
        </w:rPr>
        <w:t xml:space="preserve"> </w:t>
      </w:r>
      <w:r w:rsidR="00F42484" w:rsidRPr="00EC37B2">
        <w:rPr>
          <w:rFonts w:ascii="Garamond" w:hAnsi="Garamond" w:cs="Times New Roman"/>
          <w:sz w:val="22"/>
          <w:szCs w:val="22"/>
        </w:rPr>
        <w:t>0,5</w:t>
      </w:r>
      <w:r w:rsidR="00A22528">
        <w:rPr>
          <w:rFonts w:ascii="Garamond" w:hAnsi="Garamond" w:cs="Times New Roman"/>
          <w:sz w:val="22"/>
          <w:szCs w:val="22"/>
        </w:rPr>
        <w:t xml:space="preserve"> × </w:t>
      </w:r>
      <w:r w:rsidR="00F42484" w:rsidRPr="009E61C9">
        <w:rPr>
          <w:rFonts w:ascii="Garamond" w:hAnsi="Garamond" w:cs="Times New Roman"/>
          <w:i/>
          <w:iCs/>
          <w:sz w:val="22"/>
          <w:szCs w:val="22"/>
        </w:rPr>
        <w:t>m</w:t>
      </w:r>
      <w:r w:rsidR="00F42484" w:rsidRPr="00EC37B2">
        <w:rPr>
          <w:rFonts w:ascii="Garamond" w:hAnsi="Garamond" w:cs="Times New Roman"/>
          <w:sz w:val="22"/>
          <w:szCs w:val="22"/>
        </w:rPr>
        <w:t>(</w:t>
      </w:r>
      <w:r w:rsidR="00F42484" w:rsidRPr="009E61C9">
        <w:rPr>
          <w:rFonts w:ascii="Garamond" w:hAnsi="Garamond" w:cs="Times New Roman"/>
          <w:i/>
          <w:iCs/>
          <w:sz w:val="22"/>
          <w:szCs w:val="22"/>
        </w:rPr>
        <w:t>x</w:t>
      </w:r>
      <w:r w:rsidR="00F42484" w:rsidRPr="00EC37B2">
        <w:rPr>
          <w:rFonts w:ascii="Garamond" w:hAnsi="Garamond" w:cs="Times New Roman"/>
          <w:sz w:val="22"/>
          <w:szCs w:val="22"/>
        </w:rPr>
        <w:t>))</w:t>
      </w:r>
      <w:r w:rsidR="00F42484" w:rsidRPr="009E61C9">
        <w:rPr>
          <w:rFonts w:ascii="Garamond" w:hAnsi="Garamond" w:cs="Times New Roman"/>
          <w:sz w:val="22"/>
          <w:szCs w:val="22"/>
        </w:rPr>
        <w:t>]</w:t>
      </w:r>
      <w:r w:rsidR="00A22528">
        <w:rPr>
          <w:rFonts w:ascii="Garamond" w:hAnsi="Garamond" w:cs="Times New Roman"/>
          <w:sz w:val="22"/>
          <w:szCs w:val="22"/>
        </w:rPr>
        <w:t> ;</w:t>
      </w:r>
    </w:p>
    <w:p w14:paraId="7970C7C1" w14:textId="00475916" w:rsidR="00F42484" w:rsidRPr="009E61C9" w:rsidRDefault="00EC37B2" w:rsidP="009E61C9">
      <w:pPr>
        <w:pStyle w:val="Paragraphedeliste"/>
        <w:numPr>
          <w:ilvl w:val="0"/>
          <w:numId w:val="5"/>
        </w:numPr>
        <w:jc w:val="both"/>
        <w:rPr>
          <w:rFonts w:ascii="Garamond" w:hAnsi="Garamond" w:cs="Times New Roman"/>
          <w:sz w:val="22"/>
          <w:szCs w:val="22"/>
        </w:rPr>
      </w:pPr>
      <w:r>
        <w:rPr>
          <w:rFonts w:ascii="Garamond" w:hAnsi="Garamond" w:cs="Times New Roman"/>
          <w:sz w:val="22"/>
          <w:szCs w:val="22"/>
        </w:rPr>
        <w:t>l</w:t>
      </w:r>
      <w:r w:rsidR="00F42484" w:rsidRPr="009E61C9">
        <w:rPr>
          <w:rFonts w:ascii="Garamond" w:hAnsi="Garamond" w:cs="Times New Roman"/>
          <w:sz w:val="22"/>
          <w:szCs w:val="22"/>
        </w:rPr>
        <w:t xml:space="preserve">e nombre de survivants à l’âge </w:t>
      </w:r>
      <w:r w:rsidR="00F42484" w:rsidRPr="009E61C9">
        <w:rPr>
          <w:rFonts w:ascii="Garamond" w:hAnsi="Garamond" w:cs="Times New Roman"/>
          <w:i/>
          <w:sz w:val="22"/>
          <w:szCs w:val="22"/>
        </w:rPr>
        <w:t>x</w:t>
      </w:r>
      <w:r w:rsidR="00F42484" w:rsidRPr="009E61C9">
        <w:rPr>
          <w:rFonts w:ascii="Garamond" w:hAnsi="Garamond" w:cs="Times New Roman"/>
          <w:sz w:val="22"/>
          <w:szCs w:val="22"/>
        </w:rPr>
        <w:t xml:space="preserve">, </w:t>
      </w:r>
      <w:r w:rsidR="00F42484" w:rsidRPr="009E61C9">
        <w:rPr>
          <w:rFonts w:ascii="Garamond" w:hAnsi="Garamond" w:cs="Times New Roman"/>
          <w:i/>
          <w:iCs/>
          <w:sz w:val="22"/>
          <w:szCs w:val="22"/>
        </w:rPr>
        <w:t>l</w:t>
      </w:r>
      <w:r w:rsidR="00F42484" w:rsidRPr="00EC37B2">
        <w:rPr>
          <w:rFonts w:ascii="Garamond" w:hAnsi="Garamond" w:cs="Times New Roman"/>
          <w:sz w:val="22"/>
          <w:szCs w:val="22"/>
        </w:rPr>
        <w:t>(</w:t>
      </w:r>
      <w:r w:rsidR="00F42484" w:rsidRPr="009E61C9">
        <w:rPr>
          <w:rFonts w:ascii="Garamond" w:hAnsi="Garamond" w:cs="Times New Roman"/>
          <w:i/>
          <w:iCs/>
          <w:sz w:val="22"/>
          <w:szCs w:val="22"/>
        </w:rPr>
        <w:t>x</w:t>
      </w:r>
      <w:r w:rsidR="00F42484" w:rsidRPr="00EC37B2">
        <w:rPr>
          <w:rFonts w:ascii="Garamond" w:hAnsi="Garamond" w:cs="Times New Roman"/>
          <w:sz w:val="22"/>
          <w:szCs w:val="22"/>
        </w:rPr>
        <w:t>)</w:t>
      </w:r>
      <w:r w:rsidR="00F42484" w:rsidRPr="009E61C9">
        <w:rPr>
          <w:rFonts w:ascii="Garamond" w:hAnsi="Garamond" w:cs="Times New Roman"/>
          <w:sz w:val="22"/>
          <w:szCs w:val="22"/>
        </w:rPr>
        <w:t xml:space="preserve">, est calculé en multipliant </w:t>
      </w:r>
      <w:r w:rsidR="00F42484" w:rsidRPr="009E61C9">
        <w:rPr>
          <w:rFonts w:ascii="Garamond" w:hAnsi="Garamond" w:cs="Times New Roman"/>
          <w:i/>
          <w:iCs/>
          <w:sz w:val="22"/>
          <w:szCs w:val="22"/>
        </w:rPr>
        <w:t>l</w:t>
      </w:r>
      <w:r w:rsidR="00F42484" w:rsidRPr="00EC37B2">
        <w:rPr>
          <w:rFonts w:ascii="Garamond" w:hAnsi="Garamond" w:cs="Times New Roman"/>
          <w:sz w:val="22"/>
          <w:szCs w:val="22"/>
        </w:rPr>
        <w:t>(</w:t>
      </w:r>
      <w:r w:rsidR="00F42484" w:rsidRPr="009E61C9">
        <w:rPr>
          <w:rFonts w:ascii="Garamond" w:hAnsi="Garamond" w:cs="Times New Roman"/>
          <w:i/>
          <w:iCs/>
          <w:sz w:val="22"/>
          <w:szCs w:val="22"/>
        </w:rPr>
        <w:t>x</w:t>
      </w:r>
      <w:r>
        <w:rPr>
          <w:rFonts w:ascii="Garamond" w:hAnsi="Garamond" w:cs="Times New Roman"/>
          <w:i/>
          <w:iCs/>
          <w:sz w:val="22"/>
          <w:szCs w:val="22"/>
        </w:rPr>
        <w:t xml:space="preserve"> </w:t>
      </w:r>
      <w:r w:rsidR="00A22528">
        <w:rPr>
          <w:rFonts w:ascii="Garamond" w:hAnsi="Garamond" w:cs="Times New Roman"/>
          <w:sz w:val="22"/>
          <w:szCs w:val="22"/>
        </w:rPr>
        <w:t>–</w:t>
      </w:r>
      <w:r>
        <w:rPr>
          <w:rFonts w:ascii="Garamond" w:hAnsi="Garamond" w:cs="Times New Roman"/>
          <w:sz w:val="22"/>
          <w:szCs w:val="22"/>
        </w:rPr>
        <w:t xml:space="preserve"> </w:t>
      </w:r>
      <w:r w:rsidR="00F42484" w:rsidRPr="00EC37B2">
        <w:rPr>
          <w:rFonts w:ascii="Garamond" w:hAnsi="Garamond" w:cs="Times New Roman"/>
          <w:sz w:val="22"/>
          <w:szCs w:val="22"/>
        </w:rPr>
        <w:t>1)</w:t>
      </w:r>
      <w:r w:rsidR="00F42484" w:rsidRPr="009E61C9">
        <w:rPr>
          <w:rFonts w:ascii="Garamond" w:hAnsi="Garamond" w:cs="Times New Roman"/>
          <w:sz w:val="22"/>
          <w:szCs w:val="22"/>
        </w:rPr>
        <w:t xml:space="preserve"> par </w:t>
      </w:r>
      <w:r w:rsidR="00F42484" w:rsidRPr="00EC37B2">
        <w:rPr>
          <w:rFonts w:ascii="Garamond" w:hAnsi="Garamond" w:cs="Times New Roman"/>
          <w:sz w:val="22"/>
          <w:szCs w:val="22"/>
        </w:rPr>
        <w:t>[1</w:t>
      </w:r>
      <w:r w:rsidR="00A22528">
        <w:rPr>
          <w:rFonts w:ascii="Garamond" w:hAnsi="Garamond" w:cs="Times New Roman"/>
          <w:sz w:val="22"/>
          <w:szCs w:val="22"/>
        </w:rPr>
        <w:t>–</w:t>
      </w:r>
      <w:r>
        <w:rPr>
          <w:rFonts w:ascii="Garamond" w:hAnsi="Garamond" w:cs="Times New Roman"/>
          <w:sz w:val="22"/>
          <w:szCs w:val="22"/>
        </w:rPr>
        <w:t xml:space="preserve"> </w:t>
      </w:r>
      <w:r w:rsidR="00F42484" w:rsidRPr="00A22528">
        <w:rPr>
          <w:rFonts w:ascii="Garamond" w:hAnsi="Garamond" w:cs="Times New Roman"/>
          <w:i/>
          <w:iCs/>
          <w:sz w:val="22"/>
          <w:szCs w:val="22"/>
        </w:rPr>
        <w:t>q</w:t>
      </w:r>
      <w:r w:rsidR="00F42484" w:rsidRPr="00EC37B2">
        <w:rPr>
          <w:rFonts w:ascii="Garamond" w:hAnsi="Garamond" w:cs="Times New Roman"/>
          <w:sz w:val="22"/>
          <w:szCs w:val="22"/>
        </w:rPr>
        <w:t>(</w:t>
      </w:r>
      <w:r w:rsidR="00F42484" w:rsidRPr="00A22528">
        <w:rPr>
          <w:rFonts w:ascii="Garamond" w:hAnsi="Garamond" w:cs="Times New Roman"/>
          <w:i/>
          <w:iCs/>
          <w:sz w:val="22"/>
          <w:szCs w:val="22"/>
        </w:rPr>
        <w:t>x</w:t>
      </w:r>
      <w:r w:rsidR="00A22528">
        <w:rPr>
          <w:rFonts w:ascii="Garamond" w:hAnsi="Garamond" w:cs="Times New Roman"/>
          <w:sz w:val="22"/>
          <w:szCs w:val="22"/>
        </w:rPr>
        <w:t xml:space="preserve"> – </w:t>
      </w:r>
      <w:r w:rsidR="00F42484" w:rsidRPr="00EC37B2">
        <w:rPr>
          <w:rFonts w:ascii="Garamond" w:hAnsi="Garamond" w:cs="Times New Roman"/>
          <w:sz w:val="22"/>
          <w:szCs w:val="22"/>
        </w:rPr>
        <w:t>1)],</w:t>
      </w:r>
      <w:r w:rsidR="00F42484" w:rsidRPr="009E61C9">
        <w:rPr>
          <w:rFonts w:ascii="Garamond" w:hAnsi="Garamond" w:cs="Times New Roman"/>
          <w:sz w:val="22"/>
          <w:szCs w:val="22"/>
        </w:rPr>
        <w:t xml:space="preserve"> où </w:t>
      </w:r>
      <w:r w:rsidR="00F42484" w:rsidRPr="009E61C9">
        <w:rPr>
          <w:rFonts w:ascii="Garamond" w:hAnsi="Garamond" w:cs="Times New Roman"/>
          <w:i/>
          <w:sz w:val="22"/>
          <w:szCs w:val="22"/>
        </w:rPr>
        <w:t>l</w:t>
      </w:r>
      <w:r w:rsidR="00F42484" w:rsidRPr="00A22528">
        <w:rPr>
          <w:rFonts w:ascii="Garamond" w:hAnsi="Garamond" w:cs="Times New Roman"/>
          <w:iCs/>
          <w:sz w:val="22"/>
          <w:szCs w:val="22"/>
        </w:rPr>
        <w:t>(50)</w:t>
      </w:r>
      <w:r w:rsidR="00F42484" w:rsidRPr="009E61C9">
        <w:rPr>
          <w:rFonts w:ascii="Garamond" w:hAnsi="Garamond" w:cs="Times New Roman"/>
          <w:sz w:val="22"/>
          <w:szCs w:val="22"/>
        </w:rPr>
        <w:t>, la taille de la population à l’âge de base</w:t>
      </w:r>
      <w:r w:rsidR="00DF5571" w:rsidRPr="009E61C9">
        <w:rPr>
          <w:rFonts w:ascii="Garamond" w:hAnsi="Garamond" w:cs="Times New Roman"/>
          <w:sz w:val="22"/>
          <w:szCs w:val="22"/>
        </w:rPr>
        <w:t xml:space="preserve">, </w:t>
      </w:r>
      <w:r w:rsidR="00F42484" w:rsidRPr="009E61C9">
        <w:rPr>
          <w:rFonts w:ascii="Garamond" w:hAnsi="Garamond" w:cs="Times New Roman"/>
          <w:sz w:val="22"/>
          <w:szCs w:val="22"/>
        </w:rPr>
        <w:t>50 ans, est normalisée à 100</w:t>
      </w:r>
      <w:r w:rsidR="00A22528">
        <w:rPr>
          <w:rFonts w:ascii="Garamond" w:hAnsi="Garamond" w:cs="Times New Roman"/>
          <w:sz w:val="22"/>
          <w:szCs w:val="22"/>
        </w:rPr>
        <w:t xml:space="preserve"> </w:t>
      </w:r>
      <w:r w:rsidR="00F42484" w:rsidRPr="009E61C9">
        <w:rPr>
          <w:rFonts w:ascii="Garamond" w:hAnsi="Garamond" w:cs="Times New Roman"/>
          <w:sz w:val="22"/>
          <w:szCs w:val="22"/>
        </w:rPr>
        <w:t>000 individus</w:t>
      </w:r>
      <w:r w:rsidR="00DF5571" w:rsidRPr="009E61C9">
        <w:rPr>
          <w:rFonts w:ascii="Garamond" w:hAnsi="Garamond" w:cs="Times New Roman"/>
          <w:sz w:val="22"/>
          <w:szCs w:val="22"/>
        </w:rPr>
        <w:t xml:space="preserve"> par convention</w:t>
      </w:r>
      <w:r w:rsidR="00A22528">
        <w:rPr>
          <w:rFonts w:ascii="Garamond" w:hAnsi="Garamond" w:cs="Times New Roman"/>
          <w:sz w:val="22"/>
          <w:szCs w:val="22"/>
        </w:rPr>
        <w:t> ;</w:t>
      </w:r>
    </w:p>
    <w:p w14:paraId="48BEA591" w14:textId="7826B130" w:rsidR="00F42484" w:rsidRPr="009E61C9" w:rsidRDefault="00A22528" w:rsidP="009E61C9">
      <w:pPr>
        <w:pStyle w:val="Paragraphedeliste"/>
        <w:numPr>
          <w:ilvl w:val="0"/>
          <w:numId w:val="5"/>
        </w:numPr>
        <w:jc w:val="both"/>
        <w:rPr>
          <w:rFonts w:ascii="Garamond" w:hAnsi="Garamond" w:cs="Times New Roman"/>
          <w:sz w:val="22"/>
          <w:szCs w:val="22"/>
        </w:rPr>
      </w:pPr>
      <w:r>
        <w:rPr>
          <w:rFonts w:ascii="Garamond" w:hAnsi="Garamond" w:cs="Times New Roman"/>
          <w:sz w:val="22"/>
          <w:szCs w:val="22"/>
        </w:rPr>
        <w:t>p</w:t>
      </w:r>
      <w:r w:rsidR="00F42484" w:rsidRPr="009E61C9">
        <w:rPr>
          <w:rFonts w:ascii="Garamond" w:hAnsi="Garamond" w:cs="Times New Roman"/>
          <w:sz w:val="22"/>
          <w:szCs w:val="22"/>
        </w:rPr>
        <w:t>our</w:t>
      </w:r>
      <w:r>
        <w:rPr>
          <w:rFonts w:ascii="Garamond" w:hAnsi="Garamond" w:cs="Times New Roman"/>
          <w:sz w:val="22"/>
          <w:szCs w:val="22"/>
        </w:rPr>
        <w:t xml:space="preserve"> </w:t>
      </w:r>
      <w:r w:rsidR="00F42484" w:rsidRPr="009E61C9">
        <w:rPr>
          <w:rFonts w:ascii="Garamond" w:hAnsi="Garamond" w:cs="Times New Roman"/>
          <w:sz w:val="22"/>
          <w:szCs w:val="22"/>
        </w:rPr>
        <w:t xml:space="preserve">passer en nombre d’années-personnes vécues à l’âge </w:t>
      </w:r>
      <w:r w:rsidR="00F42484" w:rsidRPr="009E61C9">
        <w:rPr>
          <w:rFonts w:ascii="Garamond" w:hAnsi="Garamond" w:cs="Times New Roman"/>
          <w:i/>
          <w:sz w:val="22"/>
          <w:szCs w:val="22"/>
        </w:rPr>
        <w:t>x</w:t>
      </w:r>
      <w:r w:rsidR="00F42484" w:rsidRPr="009E61C9">
        <w:rPr>
          <w:rFonts w:ascii="Garamond" w:hAnsi="Garamond" w:cs="Times New Roman"/>
          <w:sz w:val="22"/>
          <w:szCs w:val="22"/>
        </w:rPr>
        <w:t xml:space="preserve">, </w:t>
      </w:r>
      <w:r w:rsidR="00F42484" w:rsidRPr="009E61C9">
        <w:rPr>
          <w:rFonts w:ascii="Garamond" w:hAnsi="Garamond" w:cs="Times New Roman"/>
          <w:i/>
          <w:iCs/>
          <w:sz w:val="22"/>
          <w:szCs w:val="22"/>
        </w:rPr>
        <w:t>L</w:t>
      </w:r>
      <w:r w:rsidR="00F42484" w:rsidRPr="00A22528">
        <w:rPr>
          <w:rFonts w:ascii="Garamond" w:hAnsi="Garamond" w:cs="Times New Roman"/>
          <w:sz w:val="22"/>
          <w:szCs w:val="22"/>
        </w:rPr>
        <w:t>(</w:t>
      </w:r>
      <w:r w:rsidR="00F42484" w:rsidRPr="009E61C9">
        <w:rPr>
          <w:rFonts w:ascii="Garamond" w:hAnsi="Garamond" w:cs="Times New Roman"/>
          <w:i/>
          <w:iCs/>
          <w:sz w:val="22"/>
          <w:szCs w:val="22"/>
        </w:rPr>
        <w:t>x</w:t>
      </w:r>
      <w:r w:rsidR="00F42484" w:rsidRPr="00A22528">
        <w:rPr>
          <w:rFonts w:ascii="Garamond" w:hAnsi="Garamond" w:cs="Times New Roman"/>
          <w:sz w:val="22"/>
          <w:szCs w:val="22"/>
        </w:rPr>
        <w:t>)</w:t>
      </w:r>
      <w:r w:rsidR="00F42484" w:rsidRPr="009E61C9">
        <w:rPr>
          <w:rFonts w:ascii="Garamond" w:hAnsi="Garamond" w:cs="Times New Roman"/>
          <w:sz w:val="22"/>
          <w:szCs w:val="22"/>
        </w:rPr>
        <w:t xml:space="preserve">, la moyenne de </w:t>
      </w:r>
      <w:r w:rsidR="00F42484" w:rsidRPr="009E61C9">
        <w:rPr>
          <w:rFonts w:ascii="Garamond" w:hAnsi="Garamond" w:cs="Times New Roman"/>
          <w:i/>
          <w:iCs/>
          <w:sz w:val="22"/>
          <w:szCs w:val="22"/>
        </w:rPr>
        <w:t>l</w:t>
      </w:r>
      <w:r w:rsidR="00F42484" w:rsidRPr="00A22528">
        <w:rPr>
          <w:rFonts w:ascii="Garamond" w:hAnsi="Garamond" w:cs="Times New Roman"/>
          <w:sz w:val="22"/>
          <w:szCs w:val="22"/>
        </w:rPr>
        <w:t>(</w:t>
      </w:r>
      <w:r w:rsidR="00F42484" w:rsidRPr="009E61C9">
        <w:rPr>
          <w:rFonts w:ascii="Garamond" w:hAnsi="Garamond" w:cs="Times New Roman"/>
          <w:i/>
          <w:iCs/>
          <w:sz w:val="22"/>
          <w:szCs w:val="22"/>
        </w:rPr>
        <w:t>x</w:t>
      </w:r>
      <w:r w:rsidR="00F42484" w:rsidRPr="00A22528">
        <w:rPr>
          <w:rFonts w:ascii="Garamond" w:hAnsi="Garamond" w:cs="Times New Roman"/>
          <w:sz w:val="22"/>
          <w:szCs w:val="22"/>
        </w:rPr>
        <w:t>)</w:t>
      </w:r>
      <w:r w:rsidR="00F42484" w:rsidRPr="009E61C9">
        <w:rPr>
          <w:rFonts w:ascii="Garamond" w:hAnsi="Garamond" w:cs="Times New Roman"/>
          <w:sz w:val="22"/>
          <w:szCs w:val="22"/>
        </w:rPr>
        <w:t xml:space="preserve"> à l’âge exact et subséquent est réalisée </w:t>
      </w:r>
      <w:r w:rsidR="00F42484" w:rsidRPr="00A22528">
        <w:rPr>
          <w:rFonts w:ascii="Garamond" w:hAnsi="Garamond" w:cs="Times New Roman"/>
          <w:sz w:val="22"/>
          <w:szCs w:val="22"/>
        </w:rPr>
        <w:t>[0,5</w:t>
      </w:r>
      <w:r>
        <w:rPr>
          <w:rFonts w:ascii="Garamond" w:hAnsi="Garamond" w:cs="Times New Roman"/>
          <w:sz w:val="22"/>
          <w:szCs w:val="22"/>
        </w:rPr>
        <w:t xml:space="preserve"> × </w:t>
      </w:r>
      <w:r w:rsidR="00F42484" w:rsidRPr="00A22528">
        <w:rPr>
          <w:rFonts w:ascii="Garamond" w:hAnsi="Garamond" w:cs="Times New Roman"/>
          <w:sz w:val="22"/>
          <w:szCs w:val="22"/>
        </w:rPr>
        <w:t>(</w:t>
      </w:r>
      <w:r w:rsidR="00F42484" w:rsidRPr="00A22528">
        <w:rPr>
          <w:rFonts w:ascii="Garamond" w:hAnsi="Garamond" w:cs="Times New Roman"/>
          <w:i/>
          <w:iCs/>
          <w:sz w:val="22"/>
          <w:szCs w:val="22"/>
        </w:rPr>
        <w:t>l</w:t>
      </w:r>
      <w:r w:rsidR="00F42484" w:rsidRPr="00A22528">
        <w:rPr>
          <w:rFonts w:ascii="Garamond" w:hAnsi="Garamond" w:cs="Times New Roman"/>
          <w:sz w:val="22"/>
          <w:szCs w:val="22"/>
        </w:rPr>
        <w:t>(</w:t>
      </w:r>
      <w:r w:rsidR="00F42484" w:rsidRPr="00A22528">
        <w:rPr>
          <w:rFonts w:ascii="Garamond" w:hAnsi="Garamond" w:cs="Times New Roman"/>
          <w:i/>
          <w:iCs/>
          <w:sz w:val="22"/>
          <w:szCs w:val="22"/>
        </w:rPr>
        <w:t>x</w:t>
      </w:r>
      <w:r w:rsidR="00F42484" w:rsidRPr="00A22528">
        <w:rPr>
          <w:rFonts w:ascii="Garamond" w:hAnsi="Garamond" w:cs="Times New Roman"/>
          <w:sz w:val="22"/>
          <w:szCs w:val="22"/>
        </w:rPr>
        <w:t>)</w:t>
      </w:r>
      <w:r>
        <w:rPr>
          <w:rFonts w:ascii="Garamond" w:hAnsi="Garamond" w:cs="Times New Roman"/>
          <w:sz w:val="22"/>
          <w:szCs w:val="22"/>
        </w:rPr>
        <w:t xml:space="preserve"> </w:t>
      </w:r>
      <w:r w:rsidR="00F42484" w:rsidRPr="00A22528">
        <w:rPr>
          <w:rFonts w:ascii="Garamond" w:hAnsi="Garamond" w:cs="Times New Roman"/>
          <w:sz w:val="22"/>
          <w:szCs w:val="22"/>
        </w:rPr>
        <w:t>+</w:t>
      </w:r>
      <w:r>
        <w:rPr>
          <w:rFonts w:ascii="Garamond" w:hAnsi="Garamond" w:cs="Times New Roman"/>
          <w:sz w:val="22"/>
          <w:szCs w:val="22"/>
        </w:rPr>
        <w:t xml:space="preserve"> </w:t>
      </w:r>
      <w:r w:rsidR="00F42484" w:rsidRPr="00A22528">
        <w:rPr>
          <w:rFonts w:ascii="Garamond" w:hAnsi="Garamond" w:cs="Times New Roman"/>
          <w:sz w:val="22"/>
          <w:szCs w:val="22"/>
        </w:rPr>
        <w:t>l(</w:t>
      </w:r>
      <w:r w:rsidR="00F42484" w:rsidRPr="00A22528">
        <w:rPr>
          <w:rFonts w:ascii="Garamond" w:hAnsi="Garamond" w:cs="Times New Roman"/>
          <w:i/>
          <w:iCs/>
          <w:sz w:val="22"/>
          <w:szCs w:val="22"/>
        </w:rPr>
        <w:t>x</w:t>
      </w:r>
      <w:r>
        <w:rPr>
          <w:rFonts w:ascii="Garamond" w:hAnsi="Garamond" w:cs="Times New Roman"/>
          <w:i/>
          <w:iCs/>
          <w:sz w:val="22"/>
          <w:szCs w:val="22"/>
        </w:rPr>
        <w:t xml:space="preserve"> </w:t>
      </w:r>
      <w:r w:rsidR="00F42484" w:rsidRPr="00A22528">
        <w:rPr>
          <w:rFonts w:ascii="Garamond" w:hAnsi="Garamond" w:cs="Times New Roman"/>
          <w:sz w:val="22"/>
          <w:szCs w:val="22"/>
        </w:rPr>
        <w:t>+</w:t>
      </w:r>
      <w:r>
        <w:rPr>
          <w:rFonts w:ascii="Garamond" w:hAnsi="Garamond" w:cs="Times New Roman"/>
          <w:sz w:val="22"/>
          <w:szCs w:val="22"/>
        </w:rPr>
        <w:t xml:space="preserve"> </w:t>
      </w:r>
      <w:r w:rsidR="00F42484" w:rsidRPr="00A22528">
        <w:rPr>
          <w:rFonts w:ascii="Garamond" w:hAnsi="Garamond" w:cs="Times New Roman"/>
          <w:sz w:val="22"/>
          <w:szCs w:val="22"/>
        </w:rPr>
        <w:t>1))],</w:t>
      </w:r>
      <w:r w:rsidR="00F42484" w:rsidRPr="009E61C9">
        <w:rPr>
          <w:rFonts w:ascii="Garamond" w:hAnsi="Garamond" w:cs="Times New Roman"/>
          <w:sz w:val="22"/>
          <w:szCs w:val="22"/>
        </w:rPr>
        <w:t xml:space="preserve"> sauf pour les âges de départ et de fin (50</w:t>
      </w:r>
      <w:r>
        <w:rPr>
          <w:rFonts w:ascii="Garamond" w:hAnsi="Garamond" w:cs="Times New Roman"/>
          <w:sz w:val="22"/>
          <w:szCs w:val="22"/>
        </w:rPr>
        <w:t xml:space="preserve"> ans</w:t>
      </w:r>
      <w:r w:rsidR="00F42484" w:rsidRPr="009E61C9">
        <w:rPr>
          <w:rFonts w:ascii="Garamond" w:hAnsi="Garamond" w:cs="Times New Roman"/>
          <w:sz w:val="22"/>
          <w:szCs w:val="22"/>
        </w:rPr>
        <w:t xml:space="preserve"> et 94 ans, respectivement, dans le cadre de cet article</w:t>
      </w:r>
      <w:r>
        <w:rPr>
          <w:rFonts w:ascii="Garamond" w:hAnsi="Garamond" w:cs="Times New Roman"/>
          <w:sz w:val="22"/>
          <w:szCs w:val="22"/>
        </w:rPr>
        <w:t> ;</w:t>
      </w:r>
      <w:r w:rsidR="00F42484" w:rsidRPr="009E61C9">
        <w:rPr>
          <w:rFonts w:ascii="Garamond" w:hAnsi="Garamond" w:cs="Times New Roman"/>
          <w:sz w:val="22"/>
          <w:szCs w:val="22"/>
        </w:rPr>
        <w:t xml:space="preserve"> </w:t>
      </w:r>
    </w:p>
    <w:p w14:paraId="385F823E" w14:textId="5250C04A" w:rsidR="0089614B" w:rsidRPr="009E61C9" w:rsidRDefault="00F42484" w:rsidP="009E61C9">
      <w:pPr>
        <w:pStyle w:val="Paragraphedeliste"/>
        <w:numPr>
          <w:ilvl w:val="0"/>
          <w:numId w:val="5"/>
        </w:numPr>
        <w:jc w:val="both"/>
        <w:rPr>
          <w:rFonts w:ascii="Garamond" w:hAnsi="Garamond" w:cs="Times New Roman"/>
          <w:sz w:val="22"/>
          <w:szCs w:val="22"/>
        </w:rPr>
      </w:pPr>
      <w:r w:rsidRPr="009E61C9">
        <w:rPr>
          <w:rFonts w:ascii="Garamond" w:hAnsi="Garamond" w:cs="Times New Roman"/>
          <w:i/>
          <w:iCs/>
          <w:sz w:val="22"/>
          <w:szCs w:val="22"/>
        </w:rPr>
        <w:t>T</w:t>
      </w:r>
      <w:r w:rsidRPr="00A22528">
        <w:rPr>
          <w:rFonts w:ascii="Garamond" w:hAnsi="Garamond" w:cs="Times New Roman"/>
          <w:sz w:val="22"/>
          <w:szCs w:val="22"/>
        </w:rPr>
        <w:t>(</w:t>
      </w:r>
      <w:r w:rsidRPr="009E61C9">
        <w:rPr>
          <w:rFonts w:ascii="Garamond" w:hAnsi="Garamond" w:cs="Times New Roman"/>
          <w:i/>
          <w:iCs/>
          <w:sz w:val="22"/>
          <w:szCs w:val="22"/>
        </w:rPr>
        <w:t>x</w:t>
      </w:r>
      <w:r w:rsidRPr="00A22528">
        <w:rPr>
          <w:rFonts w:ascii="Garamond" w:hAnsi="Garamond" w:cs="Times New Roman"/>
          <w:sz w:val="22"/>
          <w:szCs w:val="22"/>
        </w:rPr>
        <w:t>)</w:t>
      </w:r>
      <w:r w:rsidRPr="009E61C9">
        <w:rPr>
          <w:rFonts w:ascii="Garamond" w:hAnsi="Garamond" w:cs="Times New Roman"/>
          <w:sz w:val="22"/>
          <w:szCs w:val="22"/>
        </w:rPr>
        <w:t xml:space="preserve">, le nombre total d’années-personnes vécues à l’âge </w:t>
      </w:r>
      <w:r w:rsidRPr="009E61C9">
        <w:rPr>
          <w:rFonts w:ascii="Garamond" w:hAnsi="Garamond" w:cs="Times New Roman"/>
          <w:i/>
          <w:sz w:val="22"/>
          <w:szCs w:val="22"/>
        </w:rPr>
        <w:t>x</w:t>
      </w:r>
      <w:r w:rsidRPr="009E61C9">
        <w:rPr>
          <w:rFonts w:ascii="Garamond" w:hAnsi="Garamond" w:cs="Times New Roman"/>
          <w:sz w:val="22"/>
          <w:szCs w:val="22"/>
        </w:rPr>
        <w:t xml:space="preserve">, est la somme des années-personnes vécues à l’âge </w:t>
      </w:r>
      <w:r w:rsidRPr="009E61C9">
        <w:rPr>
          <w:rFonts w:ascii="Garamond" w:hAnsi="Garamond" w:cs="Times New Roman"/>
          <w:i/>
          <w:sz w:val="22"/>
          <w:szCs w:val="22"/>
        </w:rPr>
        <w:t>x</w:t>
      </w:r>
      <w:r w:rsidRPr="009E61C9">
        <w:rPr>
          <w:rFonts w:ascii="Garamond" w:hAnsi="Garamond" w:cs="Times New Roman"/>
          <w:sz w:val="22"/>
          <w:szCs w:val="22"/>
        </w:rPr>
        <w:t xml:space="preserve">, </w:t>
      </w:r>
      <w:r w:rsidRPr="009E61C9">
        <w:rPr>
          <w:rFonts w:ascii="Garamond" w:hAnsi="Garamond" w:cs="Times New Roman"/>
          <w:i/>
          <w:iCs/>
          <w:sz w:val="22"/>
          <w:szCs w:val="22"/>
        </w:rPr>
        <w:t>L</w:t>
      </w:r>
      <w:r w:rsidRPr="00A22528">
        <w:rPr>
          <w:rFonts w:ascii="Garamond" w:hAnsi="Garamond" w:cs="Times New Roman"/>
          <w:sz w:val="22"/>
          <w:szCs w:val="22"/>
        </w:rPr>
        <w:t>(</w:t>
      </w:r>
      <w:r w:rsidRPr="009E61C9">
        <w:rPr>
          <w:rFonts w:ascii="Garamond" w:hAnsi="Garamond" w:cs="Times New Roman"/>
          <w:i/>
          <w:iCs/>
          <w:sz w:val="22"/>
          <w:szCs w:val="22"/>
        </w:rPr>
        <w:t>x</w:t>
      </w:r>
      <w:r w:rsidRPr="00A22528">
        <w:rPr>
          <w:rFonts w:ascii="Garamond" w:hAnsi="Garamond" w:cs="Times New Roman"/>
          <w:sz w:val="22"/>
          <w:szCs w:val="22"/>
        </w:rPr>
        <w:t>)</w:t>
      </w:r>
      <w:r w:rsidRPr="009E61C9">
        <w:rPr>
          <w:rFonts w:ascii="Garamond" w:hAnsi="Garamond" w:cs="Times New Roman"/>
          <w:sz w:val="22"/>
          <w:szCs w:val="22"/>
        </w:rPr>
        <w:t>, jusqu’à l’âge de 94 ans</w:t>
      </w:r>
      <w:r w:rsidR="00A22528">
        <w:rPr>
          <w:rFonts w:ascii="Garamond" w:hAnsi="Garamond" w:cs="Times New Roman"/>
          <w:sz w:val="22"/>
          <w:szCs w:val="22"/>
        </w:rPr>
        <w:t> ;</w:t>
      </w:r>
    </w:p>
    <w:p w14:paraId="7BC8F1BE" w14:textId="17C77AC3" w:rsidR="0089614B" w:rsidRPr="009E61C9" w:rsidRDefault="00F42484" w:rsidP="009E61C9">
      <w:pPr>
        <w:pStyle w:val="Paragraphedeliste"/>
        <w:numPr>
          <w:ilvl w:val="0"/>
          <w:numId w:val="5"/>
        </w:numPr>
        <w:jc w:val="both"/>
        <w:rPr>
          <w:rFonts w:ascii="Garamond" w:hAnsi="Garamond" w:cs="Times New Roman"/>
          <w:sz w:val="22"/>
          <w:szCs w:val="22"/>
        </w:rPr>
      </w:pPr>
      <w:r w:rsidRPr="009E61C9">
        <w:rPr>
          <w:rFonts w:ascii="Garamond" w:hAnsi="Garamond" w:cs="Times New Roman"/>
          <w:sz w:val="22"/>
          <w:szCs w:val="22"/>
        </w:rPr>
        <w:t xml:space="preserve">Enfin, l’espérance de vie </w:t>
      </w:r>
      <w:r w:rsidRPr="009E61C9">
        <w:rPr>
          <w:rFonts w:ascii="Garamond" w:hAnsi="Garamond" w:cs="Times New Roman"/>
          <w:i/>
          <w:iCs/>
          <w:sz w:val="22"/>
          <w:szCs w:val="22"/>
        </w:rPr>
        <w:t>e</w:t>
      </w:r>
      <w:r w:rsidRPr="00A22528">
        <w:rPr>
          <w:rFonts w:ascii="Garamond" w:hAnsi="Garamond" w:cs="Times New Roman"/>
          <w:sz w:val="22"/>
          <w:szCs w:val="22"/>
        </w:rPr>
        <w:t>(</w:t>
      </w:r>
      <w:r w:rsidRPr="009E61C9">
        <w:rPr>
          <w:rFonts w:ascii="Garamond" w:hAnsi="Garamond" w:cs="Times New Roman"/>
          <w:i/>
          <w:iCs/>
          <w:sz w:val="22"/>
          <w:szCs w:val="22"/>
        </w:rPr>
        <w:t>x</w:t>
      </w:r>
      <w:r w:rsidRPr="00A22528">
        <w:rPr>
          <w:rFonts w:ascii="Garamond" w:hAnsi="Garamond" w:cs="Times New Roman"/>
          <w:sz w:val="22"/>
          <w:szCs w:val="22"/>
        </w:rPr>
        <w:t>)</w:t>
      </w:r>
      <w:r w:rsidRPr="009E61C9">
        <w:rPr>
          <w:rFonts w:ascii="Garamond" w:hAnsi="Garamond" w:cs="Times New Roman"/>
          <w:sz w:val="22"/>
          <w:szCs w:val="22"/>
        </w:rPr>
        <w:t xml:space="preserve"> est calculé</w:t>
      </w:r>
      <w:r w:rsidR="0073517B">
        <w:rPr>
          <w:rFonts w:ascii="Garamond" w:hAnsi="Garamond" w:cs="Times New Roman"/>
          <w:sz w:val="22"/>
          <w:szCs w:val="22"/>
        </w:rPr>
        <w:t>e</w:t>
      </w:r>
      <w:r w:rsidRPr="009E61C9">
        <w:rPr>
          <w:rFonts w:ascii="Garamond" w:hAnsi="Garamond" w:cs="Times New Roman"/>
          <w:sz w:val="22"/>
          <w:szCs w:val="22"/>
        </w:rPr>
        <w:t xml:space="preserve"> en divisant </w:t>
      </w:r>
      <w:r w:rsidRPr="009E61C9">
        <w:rPr>
          <w:rFonts w:ascii="Garamond" w:hAnsi="Garamond" w:cs="Times New Roman"/>
          <w:i/>
          <w:iCs/>
          <w:sz w:val="22"/>
          <w:szCs w:val="22"/>
        </w:rPr>
        <w:t>T</w:t>
      </w:r>
      <w:r w:rsidRPr="00A22528">
        <w:rPr>
          <w:rFonts w:ascii="Garamond" w:hAnsi="Garamond" w:cs="Times New Roman"/>
          <w:sz w:val="22"/>
          <w:szCs w:val="22"/>
        </w:rPr>
        <w:t>(</w:t>
      </w:r>
      <w:r w:rsidRPr="009E61C9">
        <w:rPr>
          <w:rFonts w:ascii="Garamond" w:hAnsi="Garamond" w:cs="Times New Roman"/>
          <w:i/>
          <w:iCs/>
          <w:sz w:val="22"/>
          <w:szCs w:val="22"/>
        </w:rPr>
        <w:t>x</w:t>
      </w:r>
      <w:r w:rsidRPr="00A22528">
        <w:rPr>
          <w:rFonts w:ascii="Garamond" w:hAnsi="Garamond" w:cs="Times New Roman"/>
          <w:sz w:val="22"/>
          <w:szCs w:val="22"/>
        </w:rPr>
        <w:t>)</w:t>
      </w:r>
      <w:r w:rsidRPr="009E61C9">
        <w:rPr>
          <w:rFonts w:ascii="Garamond" w:hAnsi="Garamond" w:cs="Times New Roman"/>
          <w:sz w:val="22"/>
          <w:szCs w:val="22"/>
        </w:rPr>
        <w:t xml:space="preserve"> par le nombre de survivants </w:t>
      </w:r>
      <w:r w:rsidRPr="009E61C9">
        <w:rPr>
          <w:rFonts w:ascii="Garamond" w:hAnsi="Garamond" w:cs="Times New Roman"/>
          <w:i/>
          <w:iCs/>
          <w:sz w:val="22"/>
          <w:szCs w:val="22"/>
        </w:rPr>
        <w:t>l</w:t>
      </w:r>
      <w:r w:rsidRPr="00A22528">
        <w:rPr>
          <w:rFonts w:ascii="Garamond" w:hAnsi="Garamond" w:cs="Times New Roman"/>
          <w:sz w:val="22"/>
          <w:szCs w:val="22"/>
        </w:rPr>
        <w:t>(</w:t>
      </w:r>
      <w:r w:rsidRPr="009E61C9">
        <w:rPr>
          <w:rFonts w:ascii="Garamond" w:hAnsi="Garamond" w:cs="Times New Roman"/>
          <w:i/>
          <w:iCs/>
          <w:sz w:val="22"/>
          <w:szCs w:val="22"/>
        </w:rPr>
        <w:t>x</w:t>
      </w:r>
      <w:r w:rsidRPr="00A22528">
        <w:rPr>
          <w:rFonts w:ascii="Garamond" w:hAnsi="Garamond" w:cs="Times New Roman"/>
          <w:sz w:val="22"/>
          <w:szCs w:val="22"/>
        </w:rPr>
        <w:t>)</w:t>
      </w:r>
      <w:r w:rsidRPr="009E61C9">
        <w:rPr>
          <w:rFonts w:ascii="Garamond" w:hAnsi="Garamond" w:cs="Times New Roman"/>
          <w:sz w:val="22"/>
          <w:szCs w:val="22"/>
        </w:rPr>
        <w:t xml:space="preserve">. </w:t>
      </w:r>
    </w:p>
    <w:p w14:paraId="38DC5832" w14:textId="47C2A4BA" w:rsidR="00F42484" w:rsidRPr="009E61C9" w:rsidRDefault="00F42484" w:rsidP="00523604">
      <w:pPr>
        <w:jc w:val="both"/>
        <w:rPr>
          <w:rFonts w:ascii="Garamond" w:hAnsi="Garamond"/>
          <w:sz w:val="22"/>
          <w:szCs w:val="22"/>
        </w:rPr>
      </w:pPr>
      <w:r w:rsidRPr="009E61C9">
        <w:rPr>
          <w:rFonts w:ascii="Garamond" w:hAnsi="Garamond"/>
          <w:sz w:val="22"/>
          <w:szCs w:val="22"/>
        </w:rPr>
        <w:t>L’</w:t>
      </w:r>
      <w:r w:rsidR="00F77848">
        <w:rPr>
          <w:rFonts w:ascii="Garamond" w:hAnsi="Garamond"/>
          <w:sz w:val="22"/>
          <w:szCs w:val="22"/>
        </w:rPr>
        <w:t>E</w:t>
      </w:r>
      <w:r w:rsidR="0089614B" w:rsidRPr="009E61C9">
        <w:rPr>
          <w:rFonts w:ascii="Garamond" w:hAnsi="Garamond"/>
          <w:sz w:val="22"/>
          <w:szCs w:val="22"/>
        </w:rPr>
        <w:t xml:space="preserve">VBS </w:t>
      </w:r>
      <w:r w:rsidRPr="009E61C9">
        <w:rPr>
          <w:rFonts w:ascii="Garamond" w:hAnsi="Garamond"/>
          <w:sz w:val="22"/>
          <w:szCs w:val="22"/>
        </w:rPr>
        <w:t xml:space="preserve">est calculée en insérant les prévalences par âge au niveau du nombre d’années-personnes vécues, simplement en multipliant </w:t>
      </w:r>
      <w:r w:rsidRPr="009E61C9">
        <w:rPr>
          <w:rFonts w:ascii="Garamond" w:hAnsi="Garamond"/>
          <w:i/>
          <w:iCs/>
          <w:sz w:val="22"/>
          <w:szCs w:val="22"/>
        </w:rPr>
        <w:t>L</w:t>
      </w:r>
      <w:r w:rsidRPr="00523604">
        <w:rPr>
          <w:rFonts w:ascii="Garamond" w:hAnsi="Garamond"/>
          <w:sz w:val="22"/>
          <w:szCs w:val="22"/>
        </w:rPr>
        <w:t>(</w:t>
      </w:r>
      <w:r w:rsidRPr="009E61C9">
        <w:rPr>
          <w:rFonts w:ascii="Garamond" w:hAnsi="Garamond"/>
          <w:i/>
          <w:iCs/>
          <w:sz w:val="22"/>
          <w:szCs w:val="22"/>
        </w:rPr>
        <w:t>x</w:t>
      </w:r>
      <w:r w:rsidRPr="00523604">
        <w:rPr>
          <w:rFonts w:ascii="Garamond" w:hAnsi="Garamond"/>
          <w:sz w:val="22"/>
          <w:szCs w:val="22"/>
        </w:rPr>
        <w:t>)</w:t>
      </w:r>
      <w:r w:rsidRPr="009E61C9">
        <w:rPr>
          <w:rFonts w:ascii="Garamond" w:hAnsi="Garamond"/>
          <w:sz w:val="22"/>
          <w:szCs w:val="22"/>
        </w:rPr>
        <w:t xml:space="preserve"> à la proportion de personnes sans l’incapacité concernée. La suite du calcul pour </w:t>
      </w:r>
      <w:r w:rsidRPr="009E61C9">
        <w:rPr>
          <w:rFonts w:ascii="Garamond" w:hAnsi="Garamond"/>
          <w:i/>
          <w:iCs/>
          <w:sz w:val="22"/>
          <w:szCs w:val="22"/>
        </w:rPr>
        <w:t>T</w:t>
      </w:r>
      <w:r w:rsidRPr="00523604">
        <w:rPr>
          <w:rFonts w:ascii="Garamond" w:hAnsi="Garamond"/>
          <w:sz w:val="22"/>
          <w:szCs w:val="22"/>
        </w:rPr>
        <w:t>(</w:t>
      </w:r>
      <w:r w:rsidRPr="009E61C9">
        <w:rPr>
          <w:rFonts w:ascii="Garamond" w:hAnsi="Garamond"/>
          <w:i/>
          <w:iCs/>
          <w:sz w:val="22"/>
          <w:szCs w:val="22"/>
        </w:rPr>
        <w:t>x</w:t>
      </w:r>
      <w:r w:rsidRPr="00523604">
        <w:rPr>
          <w:rFonts w:ascii="Garamond" w:hAnsi="Garamond"/>
          <w:sz w:val="22"/>
          <w:szCs w:val="22"/>
        </w:rPr>
        <w:t>)</w:t>
      </w:r>
      <w:r w:rsidRPr="009E61C9">
        <w:rPr>
          <w:rFonts w:ascii="Garamond" w:hAnsi="Garamond"/>
          <w:sz w:val="22"/>
          <w:szCs w:val="22"/>
        </w:rPr>
        <w:t xml:space="preserve"> et du </w:t>
      </w:r>
      <w:r w:rsidRPr="009E61C9">
        <w:rPr>
          <w:rFonts w:ascii="Garamond" w:hAnsi="Garamond"/>
          <w:i/>
          <w:iCs/>
          <w:sz w:val="22"/>
          <w:szCs w:val="22"/>
        </w:rPr>
        <w:t>e</w:t>
      </w:r>
      <w:r w:rsidRPr="00523604">
        <w:rPr>
          <w:rFonts w:ascii="Garamond" w:hAnsi="Garamond"/>
          <w:sz w:val="22"/>
          <w:szCs w:val="22"/>
        </w:rPr>
        <w:t>(</w:t>
      </w:r>
      <w:r w:rsidRPr="009E61C9">
        <w:rPr>
          <w:rFonts w:ascii="Garamond" w:hAnsi="Garamond"/>
          <w:i/>
          <w:iCs/>
          <w:sz w:val="22"/>
          <w:szCs w:val="22"/>
        </w:rPr>
        <w:t>x</w:t>
      </w:r>
      <w:r w:rsidRPr="00523604">
        <w:rPr>
          <w:rFonts w:ascii="Garamond" w:hAnsi="Garamond"/>
          <w:sz w:val="22"/>
          <w:szCs w:val="22"/>
        </w:rPr>
        <w:t>)</w:t>
      </w:r>
      <w:r w:rsidRPr="009E61C9">
        <w:rPr>
          <w:rFonts w:ascii="Garamond" w:hAnsi="Garamond"/>
          <w:sz w:val="22"/>
          <w:szCs w:val="22"/>
        </w:rPr>
        <w:t xml:space="preserve"> </w:t>
      </w:r>
      <w:r w:rsidR="0089614B" w:rsidRPr="009E61C9">
        <w:rPr>
          <w:rFonts w:ascii="Garamond" w:hAnsi="Garamond"/>
          <w:sz w:val="22"/>
          <w:szCs w:val="22"/>
        </w:rPr>
        <w:t>en bonne santé (ou san</w:t>
      </w:r>
      <w:r w:rsidRPr="009E61C9">
        <w:rPr>
          <w:rFonts w:ascii="Garamond" w:hAnsi="Garamond"/>
          <w:sz w:val="22"/>
          <w:szCs w:val="22"/>
        </w:rPr>
        <w:t>s incapacité</w:t>
      </w:r>
      <w:r w:rsidR="0089614B" w:rsidRPr="009E61C9">
        <w:rPr>
          <w:rFonts w:ascii="Garamond" w:hAnsi="Garamond"/>
          <w:sz w:val="22"/>
          <w:szCs w:val="22"/>
        </w:rPr>
        <w:t>)</w:t>
      </w:r>
      <w:r w:rsidRPr="009E61C9">
        <w:rPr>
          <w:rFonts w:ascii="Garamond" w:hAnsi="Garamond"/>
          <w:sz w:val="22"/>
          <w:szCs w:val="22"/>
        </w:rPr>
        <w:t xml:space="preserve"> est le même que décrit </w:t>
      </w:r>
      <w:r w:rsidR="0089614B" w:rsidRPr="009E61C9">
        <w:rPr>
          <w:rFonts w:ascii="Garamond" w:hAnsi="Garamond"/>
          <w:sz w:val="22"/>
          <w:szCs w:val="22"/>
        </w:rPr>
        <w:t>aux points 5 et 6</w:t>
      </w:r>
      <w:r w:rsidRPr="009E61C9">
        <w:rPr>
          <w:rFonts w:ascii="Garamond" w:hAnsi="Garamond"/>
          <w:sz w:val="22"/>
          <w:szCs w:val="22"/>
        </w:rPr>
        <w:t xml:space="preserve">. </w:t>
      </w:r>
    </w:p>
    <w:p w14:paraId="1ACF16B8" w14:textId="77777777" w:rsidR="007116E6" w:rsidRPr="009E61C9" w:rsidRDefault="007116E6" w:rsidP="009E61C9">
      <w:pPr>
        <w:ind w:left="360"/>
        <w:jc w:val="both"/>
        <w:rPr>
          <w:rFonts w:ascii="Garamond" w:hAnsi="Garamond"/>
          <w:sz w:val="22"/>
          <w:szCs w:val="22"/>
        </w:rPr>
      </w:pPr>
    </w:p>
    <w:p w14:paraId="15A755EE" w14:textId="77777777" w:rsidR="007116E6" w:rsidRPr="009E61C9" w:rsidRDefault="007116E6" w:rsidP="009E61C9">
      <w:pPr>
        <w:ind w:left="360"/>
        <w:jc w:val="both"/>
        <w:rPr>
          <w:rFonts w:ascii="Garamond" w:hAnsi="Garamond"/>
          <w:sz w:val="22"/>
          <w:szCs w:val="22"/>
        </w:rPr>
      </w:pPr>
    </w:p>
    <w:p w14:paraId="4F985112" w14:textId="77777777" w:rsidR="007116E6" w:rsidRPr="009E61C9" w:rsidRDefault="007116E6" w:rsidP="009E61C9">
      <w:pPr>
        <w:ind w:left="360"/>
        <w:jc w:val="both"/>
        <w:rPr>
          <w:rFonts w:ascii="Garamond" w:hAnsi="Garamond"/>
          <w:sz w:val="22"/>
          <w:szCs w:val="22"/>
        </w:rPr>
      </w:pPr>
    </w:p>
    <w:p w14:paraId="7333A541" w14:textId="77777777" w:rsidR="00175073" w:rsidRPr="009E61C9" w:rsidRDefault="00175073" w:rsidP="009E61C9">
      <w:pPr>
        <w:jc w:val="both"/>
        <w:rPr>
          <w:rFonts w:ascii="Garamond" w:hAnsi="Garamond"/>
          <w:sz w:val="22"/>
          <w:szCs w:val="22"/>
        </w:rPr>
      </w:pPr>
      <w:r w:rsidRPr="009E61C9">
        <w:rPr>
          <w:rFonts w:ascii="Garamond" w:hAnsi="Garamond"/>
          <w:sz w:val="22"/>
          <w:szCs w:val="22"/>
        </w:rPr>
        <w:br w:type="page"/>
      </w:r>
    </w:p>
    <w:p w14:paraId="4FA04086" w14:textId="67D20B97" w:rsidR="00456559" w:rsidRPr="00456559" w:rsidRDefault="00456559" w:rsidP="00456559">
      <w:pPr>
        <w:jc w:val="center"/>
        <w:rPr>
          <w:rFonts w:ascii="Garamond" w:hAnsi="Garamond"/>
          <w:i/>
          <w:iCs/>
          <w:sz w:val="22"/>
          <w:szCs w:val="22"/>
        </w:rPr>
      </w:pPr>
      <w:r w:rsidRPr="00456559">
        <w:rPr>
          <w:rFonts w:ascii="Garamond" w:hAnsi="Garamond"/>
          <w:i/>
          <w:iCs/>
          <w:sz w:val="22"/>
          <w:szCs w:val="22"/>
        </w:rPr>
        <w:lastRenderedPageBreak/>
        <w:t>ANNEXE</w:t>
      </w:r>
      <w:r w:rsidR="00DA78CF" w:rsidRPr="00456559">
        <w:rPr>
          <w:rFonts w:ascii="Garamond" w:hAnsi="Garamond"/>
          <w:i/>
          <w:iCs/>
          <w:sz w:val="22"/>
          <w:szCs w:val="22"/>
        </w:rPr>
        <w:t xml:space="preserve"> </w:t>
      </w:r>
      <w:r w:rsidR="007116E6" w:rsidRPr="00456559">
        <w:rPr>
          <w:rFonts w:ascii="Garamond" w:hAnsi="Garamond"/>
          <w:i/>
          <w:iCs/>
          <w:sz w:val="22"/>
          <w:szCs w:val="22"/>
        </w:rPr>
        <w:t>2</w:t>
      </w:r>
    </w:p>
    <w:p w14:paraId="216AEF91" w14:textId="350D28CB" w:rsidR="007116E6" w:rsidRPr="00104A93" w:rsidRDefault="00456559" w:rsidP="00456559">
      <w:pPr>
        <w:jc w:val="center"/>
        <w:rPr>
          <w:rFonts w:ascii="Garamond" w:hAnsi="Garamond"/>
          <w:b/>
          <w:bCs/>
          <w:sz w:val="22"/>
          <w:szCs w:val="22"/>
        </w:rPr>
      </w:pPr>
      <w:r w:rsidRPr="00104A93">
        <w:rPr>
          <w:rFonts w:ascii="Garamond" w:hAnsi="Garamond"/>
          <w:b/>
          <w:bCs/>
          <w:sz w:val="22"/>
          <w:szCs w:val="22"/>
        </w:rPr>
        <w:t>ESPÉRANCES DE VIE EN BONNE SANTÉ</w:t>
      </w:r>
    </w:p>
    <w:p w14:paraId="76FDD7EE" w14:textId="77777777" w:rsidR="007116E6" w:rsidRPr="009E61C9" w:rsidRDefault="007116E6" w:rsidP="009E61C9">
      <w:pPr>
        <w:ind w:left="360"/>
        <w:jc w:val="both"/>
        <w:rPr>
          <w:rFonts w:ascii="Garamond" w:hAnsi="Garamond"/>
          <w:sz w:val="22"/>
          <w:szCs w:val="22"/>
        </w:rPr>
      </w:pPr>
    </w:p>
    <w:p w14:paraId="30C99BF6" w14:textId="013B854F" w:rsidR="007F4C7D" w:rsidRPr="009E61C9" w:rsidRDefault="007116E6" w:rsidP="009E61C9">
      <w:pPr>
        <w:jc w:val="both"/>
        <w:rPr>
          <w:rFonts w:ascii="Garamond" w:hAnsi="Garamond"/>
          <w:sz w:val="22"/>
          <w:szCs w:val="22"/>
        </w:rPr>
      </w:pPr>
      <w:r w:rsidRPr="009E61C9">
        <w:rPr>
          <w:rFonts w:ascii="Garamond" w:hAnsi="Garamond"/>
          <w:sz w:val="22"/>
          <w:szCs w:val="22"/>
        </w:rPr>
        <w:t>L</w:t>
      </w:r>
      <w:r w:rsidR="007736B7" w:rsidRPr="009E61C9">
        <w:rPr>
          <w:rFonts w:ascii="Garamond" w:hAnsi="Garamond"/>
          <w:sz w:val="22"/>
          <w:szCs w:val="22"/>
        </w:rPr>
        <w:t xml:space="preserve">es </w:t>
      </w:r>
      <w:r w:rsidR="00B91E5F">
        <w:rPr>
          <w:rFonts w:ascii="Garamond" w:hAnsi="Garamond"/>
          <w:sz w:val="22"/>
          <w:szCs w:val="22"/>
        </w:rPr>
        <w:t xml:space="preserve">graphiques </w:t>
      </w:r>
      <w:r w:rsidR="00B91E5F">
        <w:rPr>
          <w:rFonts w:ascii="Garamond" w:hAnsi="Garamond"/>
          <w:i/>
          <w:iCs/>
          <w:sz w:val="22"/>
          <w:szCs w:val="22"/>
        </w:rPr>
        <w:t>infra</w:t>
      </w:r>
      <w:r w:rsidRPr="009E61C9">
        <w:rPr>
          <w:rFonts w:ascii="Garamond" w:hAnsi="Garamond"/>
          <w:sz w:val="22"/>
          <w:szCs w:val="22"/>
        </w:rPr>
        <w:t xml:space="preserve"> </w:t>
      </w:r>
      <w:r w:rsidR="007736B7" w:rsidRPr="009E61C9">
        <w:rPr>
          <w:rFonts w:ascii="Garamond" w:hAnsi="Garamond"/>
          <w:sz w:val="22"/>
          <w:szCs w:val="22"/>
        </w:rPr>
        <w:t>illustrent le ratio entre</w:t>
      </w:r>
      <w:r w:rsidRPr="009E61C9">
        <w:rPr>
          <w:rFonts w:ascii="Garamond" w:hAnsi="Garamond"/>
          <w:sz w:val="22"/>
          <w:szCs w:val="22"/>
        </w:rPr>
        <w:t xml:space="preserve"> </w:t>
      </w:r>
      <w:r w:rsidR="007F4C7D" w:rsidRPr="009E61C9">
        <w:rPr>
          <w:rFonts w:ascii="Garamond" w:hAnsi="Garamond"/>
          <w:sz w:val="22"/>
          <w:szCs w:val="22"/>
        </w:rPr>
        <w:t>d</w:t>
      </w:r>
      <w:r w:rsidRPr="009E61C9">
        <w:rPr>
          <w:rFonts w:ascii="Garamond" w:hAnsi="Garamond"/>
          <w:sz w:val="22"/>
          <w:szCs w:val="22"/>
        </w:rPr>
        <w:t xml:space="preserve">es </w:t>
      </w:r>
      <w:r w:rsidR="007F4C7D" w:rsidRPr="009E61C9">
        <w:rPr>
          <w:rFonts w:ascii="Garamond" w:hAnsi="Garamond"/>
          <w:sz w:val="22"/>
          <w:szCs w:val="22"/>
        </w:rPr>
        <w:t xml:space="preserve">courbes de survie. D’une part, </w:t>
      </w:r>
      <w:r w:rsidR="00E03818" w:rsidRPr="009E61C9">
        <w:rPr>
          <w:rFonts w:ascii="Garamond" w:hAnsi="Garamond"/>
          <w:sz w:val="22"/>
          <w:szCs w:val="22"/>
        </w:rPr>
        <w:t>celles</w:t>
      </w:r>
      <w:r w:rsidR="007F4C7D" w:rsidRPr="009E61C9">
        <w:rPr>
          <w:rFonts w:ascii="Garamond" w:hAnsi="Garamond"/>
          <w:sz w:val="22"/>
          <w:szCs w:val="22"/>
        </w:rPr>
        <w:t xml:space="preserve"> correspondant aux e</w:t>
      </w:r>
      <w:r w:rsidRPr="009E61C9">
        <w:rPr>
          <w:rFonts w:ascii="Garamond" w:hAnsi="Garamond"/>
          <w:sz w:val="22"/>
          <w:szCs w:val="22"/>
        </w:rPr>
        <w:t xml:space="preserve">spérances de vie </w:t>
      </w:r>
      <w:r w:rsidR="007736B7" w:rsidRPr="009E61C9">
        <w:rPr>
          <w:rFonts w:ascii="Garamond" w:hAnsi="Garamond"/>
          <w:sz w:val="22"/>
          <w:szCs w:val="22"/>
        </w:rPr>
        <w:t xml:space="preserve">en bonne santé </w:t>
      </w:r>
      <w:r w:rsidR="007F4C7D" w:rsidRPr="009E61C9">
        <w:rPr>
          <w:rFonts w:ascii="Garamond" w:hAnsi="Garamond"/>
          <w:sz w:val="22"/>
          <w:szCs w:val="22"/>
        </w:rPr>
        <w:t>(</w:t>
      </w:r>
      <w:r w:rsidR="00E03818" w:rsidRPr="009E61C9">
        <w:rPr>
          <w:rFonts w:ascii="Garamond" w:hAnsi="Garamond"/>
          <w:sz w:val="22"/>
          <w:szCs w:val="22"/>
        </w:rPr>
        <w:t>GALI, ADL</w:t>
      </w:r>
      <w:r w:rsidR="007F4C7D" w:rsidRPr="009E61C9">
        <w:rPr>
          <w:rFonts w:ascii="Garamond" w:hAnsi="Garamond"/>
          <w:sz w:val="22"/>
          <w:szCs w:val="22"/>
        </w:rPr>
        <w:t xml:space="preserve"> et CASP) </w:t>
      </w:r>
      <w:r w:rsidR="007736B7" w:rsidRPr="009E61C9">
        <w:rPr>
          <w:rFonts w:ascii="Garamond" w:hAnsi="Garamond"/>
          <w:sz w:val="22"/>
          <w:szCs w:val="22"/>
        </w:rPr>
        <w:t>et</w:t>
      </w:r>
      <w:r w:rsidR="00B91E5F">
        <w:rPr>
          <w:rFonts w:ascii="Garamond" w:hAnsi="Garamond"/>
          <w:sz w:val="22"/>
          <w:szCs w:val="22"/>
        </w:rPr>
        <w:t>,</w:t>
      </w:r>
      <w:r w:rsidR="007736B7" w:rsidRPr="009E61C9">
        <w:rPr>
          <w:rFonts w:ascii="Garamond" w:hAnsi="Garamond"/>
          <w:sz w:val="22"/>
          <w:szCs w:val="22"/>
        </w:rPr>
        <w:t xml:space="preserve"> </w:t>
      </w:r>
      <w:r w:rsidR="007F4C7D" w:rsidRPr="009E61C9">
        <w:rPr>
          <w:rFonts w:ascii="Garamond" w:hAnsi="Garamond"/>
          <w:sz w:val="22"/>
          <w:szCs w:val="22"/>
        </w:rPr>
        <w:t>d’autre part</w:t>
      </w:r>
      <w:r w:rsidR="00B91E5F">
        <w:rPr>
          <w:rFonts w:ascii="Garamond" w:hAnsi="Garamond"/>
          <w:sz w:val="22"/>
          <w:szCs w:val="22"/>
        </w:rPr>
        <w:t>,</w:t>
      </w:r>
      <w:r w:rsidR="007F4C7D" w:rsidRPr="009E61C9">
        <w:rPr>
          <w:rFonts w:ascii="Garamond" w:hAnsi="Garamond"/>
          <w:sz w:val="22"/>
          <w:szCs w:val="22"/>
        </w:rPr>
        <w:t xml:space="preserve"> l’e</w:t>
      </w:r>
      <w:r w:rsidR="007736B7" w:rsidRPr="009E61C9">
        <w:rPr>
          <w:rFonts w:ascii="Garamond" w:hAnsi="Garamond"/>
          <w:sz w:val="22"/>
          <w:szCs w:val="22"/>
        </w:rPr>
        <w:t>spérance de vie</w:t>
      </w:r>
      <w:r w:rsidR="00665263" w:rsidRPr="009E61C9">
        <w:rPr>
          <w:rFonts w:ascii="Garamond" w:hAnsi="Garamond"/>
          <w:sz w:val="22"/>
          <w:szCs w:val="22"/>
        </w:rPr>
        <w:t xml:space="preserve">. </w:t>
      </w:r>
      <w:r w:rsidR="007F4C7D" w:rsidRPr="009E61C9">
        <w:rPr>
          <w:rFonts w:ascii="Garamond" w:hAnsi="Garamond"/>
          <w:sz w:val="22"/>
          <w:szCs w:val="22"/>
        </w:rPr>
        <w:t>Ainsi, à chaque âge</w:t>
      </w:r>
      <w:r w:rsidR="00B91E5F">
        <w:rPr>
          <w:rFonts w:ascii="Garamond" w:hAnsi="Garamond"/>
          <w:sz w:val="22"/>
          <w:szCs w:val="22"/>
        </w:rPr>
        <w:t>,</w:t>
      </w:r>
      <w:r w:rsidR="007F4C7D" w:rsidRPr="009E61C9">
        <w:rPr>
          <w:rFonts w:ascii="Garamond" w:hAnsi="Garamond"/>
          <w:sz w:val="22"/>
          <w:szCs w:val="22"/>
        </w:rPr>
        <w:t xml:space="preserve"> les points sur les courbes indiquent, pour un pays donné, </w:t>
      </w:r>
      <w:r w:rsidR="00E03818" w:rsidRPr="009E61C9">
        <w:rPr>
          <w:rFonts w:ascii="Garamond" w:hAnsi="Garamond"/>
          <w:sz w:val="22"/>
          <w:szCs w:val="22"/>
        </w:rPr>
        <w:t>la probabilité d’atte</w:t>
      </w:r>
      <w:r w:rsidR="00665263" w:rsidRPr="009E61C9">
        <w:rPr>
          <w:rFonts w:ascii="Garamond" w:hAnsi="Garamond"/>
          <w:sz w:val="22"/>
          <w:szCs w:val="22"/>
        </w:rPr>
        <w:t>i</w:t>
      </w:r>
      <w:r w:rsidR="00E03818" w:rsidRPr="009E61C9">
        <w:rPr>
          <w:rFonts w:ascii="Garamond" w:hAnsi="Garamond"/>
          <w:sz w:val="22"/>
          <w:szCs w:val="22"/>
        </w:rPr>
        <w:t>ndre l’âge correspondant en bonne santé (sans incapacité pour le GALI, sans dépendance pour l’ADL et avec un bon niveau de qualité de vie pour CASP).</w:t>
      </w:r>
    </w:p>
    <w:p w14:paraId="31320F14" w14:textId="3296AF70" w:rsidR="00E03818" w:rsidRPr="009E61C9" w:rsidRDefault="00E03818" w:rsidP="009E61C9">
      <w:pPr>
        <w:jc w:val="both"/>
        <w:rPr>
          <w:rFonts w:ascii="Garamond" w:hAnsi="Garamond"/>
          <w:sz w:val="22"/>
          <w:szCs w:val="22"/>
        </w:rPr>
      </w:pPr>
      <w:r w:rsidRPr="009E61C9">
        <w:rPr>
          <w:rFonts w:ascii="Garamond" w:hAnsi="Garamond"/>
          <w:sz w:val="22"/>
          <w:szCs w:val="22"/>
        </w:rPr>
        <w:t>On présente uniquement le cas des femmes et, p</w:t>
      </w:r>
      <w:r w:rsidR="007736B7" w:rsidRPr="009E61C9">
        <w:rPr>
          <w:rFonts w:ascii="Garamond" w:hAnsi="Garamond"/>
          <w:sz w:val="22"/>
          <w:szCs w:val="22"/>
        </w:rPr>
        <w:t>our ne pas surcharger le</w:t>
      </w:r>
      <w:r w:rsidR="00B91E5F">
        <w:rPr>
          <w:rFonts w:ascii="Garamond" w:hAnsi="Garamond"/>
          <w:sz w:val="22"/>
          <w:szCs w:val="22"/>
        </w:rPr>
        <w:t>s</w:t>
      </w:r>
      <w:r w:rsidR="007736B7" w:rsidRPr="009E61C9">
        <w:rPr>
          <w:rFonts w:ascii="Garamond" w:hAnsi="Garamond"/>
          <w:sz w:val="22"/>
          <w:szCs w:val="22"/>
        </w:rPr>
        <w:t xml:space="preserve"> graphique</w:t>
      </w:r>
      <w:r w:rsidR="00B91E5F">
        <w:rPr>
          <w:rFonts w:ascii="Garamond" w:hAnsi="Garamond"/>
          <w:sz w:val="22"/>
          <w:szCs w:val="22"/>
        </w:rPr>
        <w:t>s</w:t>
      </w:r>
      <w:r w:rsidRPr="009E61C9">
        <w:rPr>
          <w:rFonts w:ascii="Garamond" w:hAnsi="Garamond"/>
          <w:sz w:val="22"/>
          <w:szCs w:val="22"/>
        </w:rPr>
        <w:t xml:space="preserve">, sans </w:t>
      </w:r>
      <w:r w:rsidR="007736B7" w:rsidRPr="009E61C9">
        <w:rPr>
          <w:rFonts w:ascii="Garamond" w:hAnsi="Garamond"/>
          <w:sz w:val="22"/>
          <w:szCs w:val="22"/>
        </w:rPr>
        <w:t xml:space="preserve">les noms des pays, </w:t>
      </w:r>
      <w:r w:rsidRPr="009E61C9">
        <w:rPr>
          <w:rFonts w:ascii="Garamond" w:hAnsi="Garamond"/>
          <w:sz w:val="22"/>
          <w:szCs w:val="22"/>
        </w:rPr>
        <w:t>mais avec d</w:t>
      </w:r>
      <w:r w:rsidR="007736B7" w:rsidRPr="009E61C9">
        <w:rPr>
          <w:rFonts w:ascii="Garamond" w:hAnsi="Garamond"/>
          <w:sz w:val="22"/>
          <w:szCs w:val="22"/>
        </w:rPr>
        <w:t xml:space="preserve">es nuances de noir </w:t>
      </w:r>
      <w:r w:rsidRPr="009E61C9">
        <w:rPr>
          <w:rFonts w:ascii="Garamond" w:hAnsi="Garamond"/>
          <w:sz w:val="22"/>
          <w:szCs w:val="22"/>
        </w:rPr>
        <w:t>qu</w:t>
      </w:r>
      <w:r w:rsidR="00665263" w:rsidRPr="009E61C9">
        <w:rPr>
          <w:rFonts w:ascii="Garamond" w:hAnsi="Garamond"/>
          <w:sz w:val="22"/>
          <w:szCs w:val="22"/>
        </w:rPr>
        <w:t xml:space="preserve">i </w:t>
      </w:r>
      <w:r w:rsidRPr="009E61C9">
        <w:rPr>
          <w:rFonts w:ascii="Garamond" w:hAnsi="Garamond"/>
          <w:sz w:val="22"/>
          <w:szCs w:val="22"/>
        </w:rPr>
        <w:t xml:space="preserve">indiquent les </w:t>
      </w:r>
      <w:r w:rsidR="007736B7" w:rsidRPr="009E61C9">
        <w:rPr>
          <w:rFonts w:ascii="Garamond" w:hAnsi="Garamond"/>
          <w:sz w:val="22"/>
          <w:szCs w:val="22"/>
        </w:rPr>
        <w:t>regroupements en régions</w:t>
      </w:r>
      <w:r w:rsidR="00B91E5F">
        <w:rPr>
          <w:rFonts w:ascii="Garamond" w:hAnsi="Garamond"/>
          <w:sz w:val="22"/>
          <w:szCs w:val="22"/>
        </w:rPr>
        <w:t xml:space="preserve"> </w:t>
      </w:r>
      <w:r w:rsidR="007736B7" w:rsidRPr="009E61C9">
        <w:rPr>
          <w:rFonts w:ascii="Garamond" w:hAnsi="Garamond"/>
          <w:sz w:val="22"/>
          <w:szCs w:val="22"/>
        </w:rPr>
        <w:t>: Nord</w:t>
      </w:r>
      <w:r w:rsidR="00B91E5F">
        <w:rPr>
          <w:rFonts w:ascii="Garamond" w:hAnsi="Garamond"/>
          <w:sz w:val="22"/>
          <w:szCs w:val="22"/>
        </w:rPr>
        <w:t>/</w:t>
      </w:r>
      <w:r w:rsidR="007736B7" w:rsidRPr="009E61C9">
        <w:rPr>
          <w:rFonts w:ascii="Garamond" w:hAnsi="Garamond"/>
          <w:sz w:val="22"/>
          <w:szCs w:val="22"/>
        </w:rPr>
        <w:t>Centre</w:t>
      </w:r>
      <w:r w:rsidR="00B91E5F">
        <w:rPr>
          <w:rFonts w:ascii="Garamond" w:hAnsi="Garamond"/>
          <w:sz w:val="22"/>
          <w:szCs w:val="22"/>
        </w:rPr>
        <w:t>/</w:t>
      </w:r>
      <w:r w:rsidR="007736B7" w:rsidRPr="009E61C9">
        <w:rPr>
          <w:rFonts w:ascii="Garamond" w:hAnsi="Garamond"/>
          <w:sz w:val="22"/>
          <w:szCs w:val="22"/>
        </w:rPr>
        <w:t>Sud</w:t>
      </w:r>
      <w:r w:rsidR="00B91E5F">
        <w:rPr>
          <w:rFonts w:ascii="Garamond" w:hAnsi="Garamond"/>
          <w:sz w:val="22"/>
          <w:szCs w:val="22"/>
        </w:rPr>
        <w:t>/</w:t>
      </w:r>
      <w:r w:rsidR="007736B7" w:rsidRPr="009E61C9">
        <w:rPr>
          <w:rFonts w:ascii="Garamond" w:hAnsi="Garamond"/>
          <w:sz w:val="22"/>
          <w:szCs w:val="22"/>
        </w:rPr>
        <w:t xml:space="preserve">Est. </w:t>
      </w:r>
    </w:p>
    <w:p w14:paraId="0AE858D9" w14:textId="11FB5FA1" w:rsidR="00EC62EC" w:rsidRPr="009E61C9" w:rsidRDefault="007736B7" w:rsidP="009E61C9">
      <w:pPr>
        <w:jc w:val="both"/>
        <w:rPr>
          <w:rFonts w:ascii="Garamond" w:hAnsi="Garamond"/>
          <w:sz w:val="22"/>
          <w:szCs w:val="22"/>
        </w:rPr>
      </w:pPr>
      <w:r w:rsidRPr="009E61C9">
        <w:rPr>
          <w:rFonts w:ascii="Garamond" w:hAnsi="Garamond"/>
          <w:sz w:val="22"/>
          <w:szCs w:val="22"/>
        </w:rPr>
        <w:t xml:space="preserve">Dans </w:t>
      </w:r>
      <w:r w:rsidR="00B91E5F">
        <w:rPr>
          <w:rFonts w:ascii="Garamond" w:hAnsi="Garamond"/>
          <w:sz w:val="22"/>
          <w:szCs w:val="22"/>
        </w:rPr>
        <w:t xml:space="preserve">chacun des graphiques, </w:t>
      </w:r>
      <w:r w:rsidRPr="009E61C9">
        <w:rPr>
          <w:rFonts w:ascii="Garamond" w:hAnsi="Garamond"/>
          <w:sz w:val="22"/>
          <w:szCs w:val="22"/>
        </w:rPr>
        <w:t xml:space="preserve">un </w:t>
      </w:r>
      <w:r w:rsidR="007116E6" w:rsidRPr="009E61C9">
        <w:rPr>
          <w:rFonts w:ascii="Garamond" w:hAnsi="Garamond"/>
          <w:sz w:val="22"/>
          <w:szCs w:val="22"/>
        </w:rPr>
        <w:t xml:space="preserve">point </w:t>
      </w:r>
      <w:r w:rsidRPr="009E61C9">
        <w:rPr>
          <w:rFonts w:ascii="Garamond" w:hAnsi="Garamond"/>
          <w:sz w:val="22"/>
          <w:szCs w:val="22"/>
        </w:rPr>
        <w:t xml:space="preserve">est </w:t>
      </w:r>
      <w:r w:rsidR="007116E6" w:rsidRPr="009E61C9">
        <w:rPr>
          <w:rFonts w:ascii="Garamond" w:hAnsi="Garamond"/>
          <w:sz w:val="22"/>
          <w:szCs w:val="22"/>
        </w:rPr>
        <w:t xml:space="preserve">mis en évidence </w:t>
      </w:r>
      <w:r w:rsidR="00E03818" w:rsidRPr="009E61C9">
        <w:rPr>
          <w:rFonts w:ascii="Garamond" w:hAnsi="Garamond"/>
          <w:sz w:val="22"/>
          <w:szCs w:val="22"/>
        </w:rPr>
        <w:t>pour clarifier le propos</w:t>
      </w:r>
      <w:r w:rsidRPr="009E61C9">
        <w:rPr>
          <w:rFonts w:ascii="Garamond" w:hAnsi="Garamond"/>
          <w:sz w:val="22"/>
          <w:szCs w:val="22"/>
        </w:rPr>
        <w:t>. Ces points indiquent le cas des femmes suisses</w:t>
      </w:r>
      <w:r w:rsidR="007F4C7D" w:rsidRPr="009E61C9">
        <w:rPr>
          <w:rFonts w:ascii="Garamond" w:hAnsi="Garamond"/>
          <w:sz w:val="22"/>
          <w:szCs w:val="22"/>
        </w:rPr>
        <w:t xml:space="preserve"> et se lisent </w:t>
      </w:r>
      <w:r w:rsidR="00EC62EC" w:rsidRPr="009E61C9">
        <w:rPr>
          <w:rFonts w:ascii="Garamond" w:hAnsi="Garamond"/>
          <w:sz w:val="22"/>
          <w:szCs w:val="22"/>
        </w:rPr>
        <w:t>de la manière suivante : à 83 ans, il reste en moyenne 79</w:t>
      </w:r>
      <w:r w:rsidR="0073517B">
        <w:rPr>
          <w:rFonts w:ascii="Garamond" w:hAnsi="Garamond"/>
          <w:sz w:val="22"/>
          <w:szCs w:val="22"/>
        </w:rPr>
        <w:t> </w:t>
      </w:r>
      <w:r w:rsidR="00EC62EC" w:rsidRPr="009E61C9">
        <w:rPr>
          <w:rFonts w:ascii="Garamond" w:hAnsi="Garamond"/>
          <w:sz w:val="22"/>
          <w:szCs w:val="22"/>
        </w:rPr>
        <w:t>% (89</w:t>
      </w:r>
      <w:r w:rsidR="0073517B">
        <w:rPr>
          <w:rFonts w:ascii="Garamond" w:hAnsi="Garamond"/>
          <w:sz w:val="22"/>
          <w:szCs w:val="22"/>
        </w:rPr>
        <w:t> </w:t>
      </w:r>
      <w:r w:rsidR="00EC62EC" w:rsidRPr="009E61C9">
        <w:rPr>
          <w:rFonts w:ascii="Garamond" w:hAnsi="Garamond"/>
          <w:sz w:val="22"/>
          <w:szCs w:val="22"/>
        </w:rPr>
        <w:t>%, 92</w:t>
      </w:r>
      <w:r w:rsidR="0073517B">
        <w:rPr>
          <w:rFonts w:ascii="Garamond" w:hAnsi="Garamond"/>
          <w:sz w:val="22"/>
          <w:szCs w:val="22"/>
        </w:rPr>
        <w:t> </w:t>
      </w:r>
      <w:r w:rsidR="00EC62EC" w:rsidRPr="009E61C9">
        <w:rPr>
          <w:rFonts w:ascii="Garamond" w:hAnsi="Garamond"/>
          <w:sz w:val="22"/>
          <w:szCs w:val="22"/>
        </w:rPr>
        <w:t xml:space="preserve">%) de l’espérance de vie d’une femme suisse sans incapacité GALI (ADL, CASP). </w:t>
      </w:r>
    </w:p>
    <w:p w14:paraId="6F257B44" w14:textId="27C9FC7F" w:rsidR="007116E6" w:rsidRPr="009E61C9" w:rsidRDefault="007116E6" w:rsidP="009E61C9">
      <w:pPr>
        <w:jc w:val="both"/>
        <w:rPr>
          <w:rFonts w:ascii="Garamond" w:hAnsi="Garamond"/>
          <w:sz w:val="22"/>
          <w:szCs w:val="22"/>
        </w:rPr>
      </w:pPr>
    </w:p>
    <w:p w14:paraId="63D7F5B5" w14:textId="0BF6E18F" w:rsidR="007116E6" w:rsidRPr="009E61C9" w:rsidRDefault="007116E6" w:rsidP="009E61C9">
      <w:pPr>
        <w:ind w:left="360"/>
        <w:jc w:val="both"/>
        <w:rPr>
          <w:rFonts w:ascii="Garamond" w:hAnsi="Garamond"/>
          <w:sz w:val="22"/>
          <w:szCs w:val="22"/>
        </w:rPr>
      </w:pPr>
      <w:r w:rsidRPr="009E61C9">
        <w:rPr>
          <w:rFonts w:ascii="Garamond" w:hAnsi="Garamond"/>
          <w:noProof/>
          <w:sz w:val="22"/>
          <w:szCs w:val="22"/>
          <w:lang w:eastAsia="fr-BE"/>
        </w:rPr>
        <w:drawing>
          <wp:anchor distT="0" distB="0" distL="114300" distR="114300" simplePos="0" relativeHeight="251659264" behindDoc="0" locked="0" layoutInCell="1" allowOverlap="1" wp14:anchorId="1937D62F" wp14:editId="26E2B520">
            <wp:simplePos x="0" y="0"/>
            <wp:positionH relativeFrom="margin">
              <wp:align>center</wp:align>
            </wp:positionH>
            <wp:positionV relativeFrom="paragraph">
              <wp:posOffset>2186940</wp:posOffset>
            </wp:positionV>
            <wp:extent cx="959534" cy="624840"/>
            <wp:effectExtent l="0" t="0" r="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9534" cy="624840"/>
                    </a:xfrm>
                    <a:prstGeom prst="rect">
                      <a:avLst/>
                    </a:prstGeom>
                    <a:noFill/>
                  </pic:spPr>
                </pic:pic>
              </a:graphicData>
            </a:graphic>
          </wp:anchor>
        </w:drawing>
      </w:r>
      <w:r w:rsidRPr="009E61C9">
        <w:rPr>
          <w:rFonts w:ascii="Garamond" w:hAnsi="Garamond"/>
          <w:noProof/>
          <w:sz w:val="22"/>
          <w:szCs w:val="22"/>
          <w:lang w:eastAsia="fr-BE"/>
        </w:rPr>
        <w:drawing>
          <wp:inline distT="0" distB="0" distL="0" distR="0" wp14:anchorId="13FA297C" wp14:editId="56F5985B">
            <wp:extent cx="1800000" cy="3147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0" cy="3147325"/>
                    </a:xfrm>
                    <a:prstGeom prst="rect">
                      <a:avLst/>
                    </a:prstGeom>
                    <a:noFill/>
                  </pic:spPr>
                </pic:pic>
              </a:graphicData>
            </a:graphic>
          </wp:inline>
        </w:drawing>
      </w:r>
      <w:r w:rsidRPr="009E61C9">
        <w:rPr>
          <w:rFonts w:ascii="Garamond" w:hAnsi="Garamond"/>
          <w:noProof/>
          <w:sz w:val="22"/>
          <w:szCs w:val="22"/>
          <w:lang w:eastAsia="fr-BE"/>
        </w:rPr>
        <w:drawing>
          <wp:inline distT="0" distB="0" distL="0" distR="0" wp14:anchorId="14723619" wp14:editId="6293B0E1">
            <wp:extent cx="1800000" cy="31473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000" cy="3147325"/>
                    </a:xfrm>
                    <a:prstGeom prst="rect">
                      <a:avLst/>
                    </a:prstGeom>
                    <a:noFill/>
                  </pic:spPr>
                </pic:pic>
              </a:graphicData>
            </a:graphic>
          </wp:inline>
        </w:drawing>
      </w:r>
      <w:r w:rsidRPr="009E61C9">
        <w:rPr>
          <w:rFonts w:ascii="Garamond" w:hAnsi="Garamond"/>
          <w:noProof/>
          <w:sz w:val="22"/>
          <w:szCs w:val="22"/>
          <w:lang w:eastAsia="fr-BE"/>
        </w:rPr>
        <w:drawing>
          <wp:inline distT="0" distB="0" distL="0" distR="0" wp14:anchorId="0EB99FC6" wp14:editId="5423201C">
            <wp:extent cx="1800000" cy="31473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000" cy="3147325"/>
                    </a:xfrm>
                    <a:prstGeom prst="rect">
                      <a:avLst/>
                    </a:prstGeom>
                    <a:noFill/>
                  </pic:spPr>
                </pic:pic>
              </a:graphicData>
            </a:graphic>
          </wp:inline>
        </w:drawing>
      </w:r>
    </w:p>
    <w:p w14:paraId="7121D30F" w14:textId="77777777" w:rsidR="007116E6" w:rsidRPr="009E61C9" w:rsidRDefault="007116E6" w:rsidP="009E61C9">
      <w:pPr>
        <w:ind w:left="360"/>
        <w:jc w:val="both"/>
        <w:rPr>
          <w:rFonts w:ascii="Garamond" w:hAnsi="Garamond"/>
          <w:sz w:val="22"/>
          <w:szCs w:val="22"/>
        </w:rPr>
      </w:pPr>
    </w:p>
    <w:p w14:paraId="4E809227" w14:textId="2AC73DAA" w:rsidR="00F42484" w:rsidRPr="009E61C9" w:rsidRDefault="004A2CDD" w:rsidP="009E61C9">
      <w:pPr>
        <w:jc w:val="both"/>
        <w:rPr>
          <w:rFonts w:ascii="Garamond" w:hAnsi="Garamond"/>
          <w:sz w:val="22"/>
          <w:szCs w:val="22"/>
        </w:rPr>
      </w:pPr>
      <w:r>
        <w:rPr>
          <w:rFonts w:ascii="Garamond" w:hAnsi="Garamond"/>
          <w:sz w:val="22"/>
          <w:szCs w:val="22"/>
        </w:rPr>
        <w:t>Source</w:t>
      </w:r>
      <w:r w:rsidR="00104A93">
        <w:rPr>
          <w:rFonts w:ascii="Garamond" w:hAnsi="Garamond"/>
          <w:sz w:val="22"/>
          <w:szCs w:val="22"/>
        </w:rPr>
        <w:t xml:space="preserve"> des trois graphique</w:t>
      </w:r>
      <w:r w:rsidR="003604FF">
        <w:rPr>
          <w:rFonts w:ascii="Garamond" w:hAnsi="Garamond"/>
          <w:sz w:val="22"/>
          <w:szCs w:val="22"/>
        </w:rPr>
        <w:t>s</w:t>
      </w:r>
      <w:r>
        <w:rPr>
          <w:rFonts w:ascii="Garamond" w:hAnsi="Garamond"/>
          <w:sz w:val="22"/>
          <w:szCs w:val="22"/>
        </w:rPr>
        <w:t xml:space="preserve"> : </w:t>
      </w:r>
      <w:r w:rsidR="003604FF">
        <w:rPr>
          <w:rFonts w:ascii="Garamond" w:hAnsi="Garamond"/>
          <w:sz w:val="22"/>
          <w:szCs w:val="22"/>
        </w:rPr>
        <w:t xml:space="preserve">Estimations à partir de </w:t>
      </w:r>
      <w:r w:rsidR="003604FF" w:rsidRPr="00CD0302">
        <w:rPr>
          <w:rFonts w:ascii="Garamond" w:hAnsi="Garamond"/>
          <w:bCs/>
          <w:sz w:val="22"/>
          <w:szCs w:val="22"/>
          <w:shd w:val="clear" w:color="auto" w:fill="FFFFFF"/>
        </w:rPr>
        <w:t>HDM et SHARE vagues 3 à 7, 2011 à 2017.</w:t>
      </w:r>
    </w:p>
    <w:p w14:paraId="007FD0B7" w14:textId="77777777" w:rsidR="00A908C3" w:rsidRPr="009E61C9" w:rsidRDefault="00A908C3" w:rsidP="009E61C9">
      <w:pPr>
        <w:jc w:val="both"/>
        <w:rPr>
          <w:rFonts w:ascii="Garamond" w:hAnsi="Garamond"/>
          <w:sz w:val="22"/>
          <w:szCs w:val="22"/>
        </w:rPr>
      </w:pPr>
    </w:p>
    <w:p w14:paraId="4276B74D" w14:textId="77777777" w:rsidR="00A908C3" w:rsidRPr="009E61C9" w:rsidRDefault="00A908C3" w:rsidP="009E61C9">
      <w:pPr>
        <w:jc w:val="both"/>
        <w:rPr>
          <w:rFonts w:ascii="Garamond" w:hAnsi="Garamond"/>
          <w:sz w:val="22"/>
          <w:szCs w:val="22"/>
        </w:rPr>
      </w:pPr>
    </w:p>
    <w:p w14:paraId="5F62CF00" w14:textId="77777777" w:rsidR="00A908C3" w:rsidRPr="009E61C9" w:rsidRDefault="00A908C3" w:rsidP="009E61C9">
      <w:pPr>
        <w:jc w:val="both"/>
        <w:rPr>
          <w:rFonts w:ascii="Garamond" w:hAnsi="Garamond"/>
          <w:sz w:val="22"/>
          <w:szCs w:val="22"/>
        </w:rPr>
      </w:pPr>
    </w:p>
    <w:p w14:paraId="6CAC29FC" w14:textId="77777777" w:rsidR="00A908C3" w:rsidRPr="009E61C9" w:rsidRDefault="00A908C3" w:rsidP="009E61C9">
      <w:pPr>
        <w:jc w:val="both"/>
        <w:rPr>
          <w:rFonts w:ascii="Garamond" w:hAnsi="Garamond"/>
          <w:sz w:val="22"/>
          <w:szCs w:val="22"/>
        </w:rPr>
      </w:pPr>
    </w:p>
    <w:p w14:paraId="23D39379" w14:textId="77777777" w:rsidR="00A908C3" w:rsidRPr="009E61C9" w:rsidRDefault="00A908C3" w:rsidP="009E61C9">
      <w:pPr>
        <w:jc w:val="both"/>
        <w:rPr>
          <w:rFonts w:ascii="Garamond" w:hAnsi="Garamond"/>
          <w:sz w:val="22"/>
          <w:szCs w:val="22"/>
        </w:rPr>
      </w:pPr>
    </w:p>
    <w:p w14:paraId="06CD443B" w14:textId="77777777" w:rsidR="00A908C3" w:rsidRPr="009E61C9" w:rsidRDefault="00A908C3" w:rsidP="009E61C9">
      <w:pPr>
        <w:jc w:val="both"/>
        <w:rPr>
          <w:rFonts w:ascii="Garamond" w:hAnsi="Garamond"/>
          <w:sz w:val="22"/>
          <w:szCs w:val="22"/>
        </w:rPr>
      </w:pPr>
    </w:p>
    <w:p w14:paraId="0BBF328D" w14:textId="77777777" w:rsidR="00A908C3" w:rsidRPr="009E61C9" w:rsidRDefault="00A908C3" w:rsidP="009E61C9">
      <w:pPr>
        <w:jc w:val="both"/>
        <w:rPr>
          <w:rFonts w:ascii="Garamond" w:hAnsi="Garamond"/>
          <w:sz w:val="22"/>
          <w:szCs w:val="22"/>
        </w:rPr>
      </w:pPr>
    </w:p>
    <w:p w14:paraId="4102F7A8" w14:textId="77777777" w:rsidR="00A908C3" w:rsidRPr="009E61C9" w:rsidRDefault="00A908C3" w:rsidP="009E61C9">
      <w:pPr>
        <w:jc w:val="both"/>
        <w:rPr>
          <w:rFonts w:ascii="Garamond" w:hAnsi="Garamond"/>
          <w:sz w:val="22"/>
          <w:szCs w:val="22"/>
        </w:rPr>
      </w:pPr>
    </w:p>
    <w:p w14:paraId="29E3B6DC" w14:textId="77777777" w:rsidR="00A908C3" w:rsidRPr="009E61C9" w:rsidRDefault="00A908C3" w:rsidP="009E61C9">
      <w:pPr>
        <w:jc w:val="both"/>
        <w:rPr>
          <w:rFonts w:ascii="Garamond" w:hAnsi="Garamond"/>
          <w:sz w:val="22"/>
          <w:szCs w:val="22"/>
        </w:rPr>
      </w:pPr>
    </w:p>
    <w:p w14:paraId="1FEACCB2" w14:textId="77777777" w:rsidR="00A908C3" w:rsidRPr="009E61C9" w:rsidRDefault="00A908C3" w:rsidP="009E61C9">
      <w:pPr>
        <w:jc w:val="both"/>
        <w:rPr>
          <w:rFonts w:ascii="Garamond" w:hAnsi="Garamond"/>
          <w:sz w:val="22"/>
          <w:szCs w:val="22"/>
        </w:rPr>
      </w:pPr>
    </w:p>
    <w:p w14:paraId="0DBB9A0A" w14:textId="77777777" w:rsidR="00A908C3" w:rsidRPr="009E61C9" w:rsidRDefault="00A908C3" w:rsidP="009E61C9">
      <w:pPr>
        <w:jc w:val="both"/>
        <w:rPr>
          <w:rFonts w:ascii="Garamond" w:hAnsi="Garamond"/>
          <w:sz w:val="22"/>
          <w:szCs w:val="22"/>
        </w:rPr>
      </w:pPr>
    </w:p>
    <w:p w14:paraId="71112F25" w14:textId="77777777" w:rsidR="00A908C3" w:rsidRPr="009E61C9" w:rsidRDefault="00A908C3" w:rsidP="009E61C9">
      <w:pPr>
        <w:jc w:val="both"/>
        <w:rPr>
          <w:rFonts w:ascii="Garamond" w:hAnsi="Garamond"/>
          <w:sz w:val="22"/>
          <w:szCs w:val="22"/>
        </w:rPr>
      </w:pPr>
    </w:p>
    <w:p w14:paraId="3B4AA384" w14:textId="77777777" w:rsidR="00A908C3" w:rsidRPr="009E61C9" w:rsidRDefault="00A908C3" w:rsidP="009E61C9">
      <w:pPr>
        <w:jc w:val="both"/>
        <w:rPr>
          <w:rFonts w:ascii="Garamond" w:hAnsi="Garamond"/>
          <w:sz w:val="22"/>
          <w:szCs w:val="22"/>
        </w:rPr>
      </w:pPr>
    </w:p>
    <w:p w14:paraId="396FC935" w14:textId="77777777" w:rsidR="00A908C3" w:rsidRPr="009E61C9" w:rsidRDefault="00A908C3" w:rsidP="009E61C9">
      <w:pPr>
        <w:jc w:val="both"/>
        <w:rPr>
          <w:rFonts w:ascii="Garamond" w:hAnsi="Garamond"/>
          <w:sz w:val="22"/>
          <w:szCs w:val="22"/>
        </w:rPr>
      </w:pPr>
    </w:p>
    <w:p w14:paraId="1086D052" w14:textId="77777777" w:rsidR="00A908C3" w:rsidRPr="009E61C9" w:rsidRDefault="00A908C3" w:rsidP="009E61C9">
      <w:pPr>
        <w:jc w:val="both"/>
        <w:rPr>
          <w:rFonts w:ascii="Garamond" w:hAnsi="Garamond"/>
          <w:sz w:val="22"/>
          <w:szCs w:val="22"/>
        </w:rPr>
      </w:pPr>
    </w:p>
    <w:sectPr w:rsidR="00A908C3" w:rsidRPr="009E61C9" w:rsidSect="00E11D2F">
      <w:footerReference w:type="default" r:id="rId18"/>
      <w:endnotePr>
        <w:numFmt w:val="decimal"/>
      </w:endnotePr>
      <w:pgSz w:w="11906" w:h="16838"/>
      <w:pgMar w:top="1134" w:right="1077" w:bottom="1134" w:left="107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ergio Perelman" w:date="2023-12-08T11:11:00Z" w:initials="SP">
    <w:p w14:paraId="35F95B6F" w14:textId="7A27E7D7" w:rsidR="00CD0302" w:rsidRDefault="00CD0302">
      <w:pPr>
        <w:pStyle w:val="Commentaire"/>
      </w:pPr>
      <w:bookmarkStart w:id="4" w:name="_GoBack"/>
      <w:bookmarkEnd w:id="4"/>
      <w:r>
        <w:rPr>
          <w:rStyle w:val="Marquedecommentaire"/>
        </w:rPr>
        <w:annotationRef/>
      </w:r>
      <w:r>
        <w:t>Il est difficile de toucher au tableau nous-mêmes. Ceci dit, il faudrait demander s’ils peuvent faire une séparation entre les colonnes des Hommes et des Femmes, et aussi de donner plus d’espace aux colonnes avec les Espérance de vie pour que le mot « Espérance » n’apparaisse pas découpé.</w:t>
      </w:r>
    </w:p>
  </w:comment>
  <w:comment w:id="5" w:author="Sergio Perelman" w:date="2023-12-08T11:13:00Z" w:initials="SP">
    <w:p w14:paraId="32A01DFD" w14:textId="778D1B81" w:rsidR="00CD0302" w:rsidRDefault="00CD0302">
      <w:pPr>
        <w:pStyle w:val="Commentaire"/>
      </w:pPr>
      <w:r>
        <w:rPr>
          <w:rStyle w:val="Marquedecommentaire"/>
        </w:rPr>
        <w:annotationRef/>
      </w:r>
      <w:r>
        <w:t>Sur ce Tableau, il y a des chiffres entiers. Ce serait bien de leur ajouter la virgule et le zéro, comme dans le Tableau précédent.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F95B6F" w15:done="0"/>
  <w15:commentEx w15:paraId="32A01D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F1F06" w14:textId="77777777" w:rsidR="0027431F" w:rsidRDefault="0027431F" w:rsidP="001333A3">
      <w:r>
        <w:separator/>
      </w:r>
    </w:p>
  </w:endnote>
  <w:endnote w:type="continuationSeparator" w:id="0">
    <w:p w14:paraId="5C5B6D58" w14:textId="77777777" w:rsidR="0027431F" w:rsidRDefault="0027431F" w:rsidP="001333A3">
      <w:r>
        <w:continuationSeparator/>
      </w:r>
    </w:p>
  </w:endnote>
  <w:endnote w:id="1">
    <w:p w14:paraId="7992BFA0" w14:textId="50B3002D"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Données Eurostat consultées en juin 2023 (variable « DEMO_MLEXPEC »).</w:t>
      </w:r>
    </w:p>
  </w:endnote>
  <w:endnote w:id="2">
    <w:p w14:paraId="738FE591" w14:textId="657D91EF" w:rsidR="00CD0302" w:rsidRPr="004A2CDD" w:rsidRDefault="00CD0302" w:rsidP="004A2CDD">
      <w:pPr>
        <w:jc w:val="both"/>
        <w:rPr>
          <w:rFonts w:ascii="Garamond" w:hAnsi="Garamond"/>
          <w:sz w:val="20"/>
          <w:szCs w:val="20"/>
        </w:rPr>
      </w:pPr>
      <w:r w:rsidRPr="004A2CDD">
        <w:rPr>
          <w:rStyle w:val="Appeldenotedefin"/>
          <w:rFonts w:ascii="Garamond" w:hAnsi="Garamond"/>
          <w:sz w:val="20"/>
          <w:szCs w:val="20"/>
        </w:rPr>
        <w:endnoteRef/>
      </w:r>
      <w:r w:rsidRPr="004A2CDD">
        <w:rPr>
          <w:rFonts w:ascii="Garamond" w:hAnsi="Garamond"/>
          <w:sz w:val="20"/>
          <w:szCs w:val="20"/>
        </w:rPr>
        <w:t xml:space="preserve"> Par simplicité, nous ne parlerons qu’en termes d’espérance de vie transversale, estimée à partir des taux de mortalité par âge observés au cours d’une année. Il existe en effet l’espérance de vie longitudinale, concept davantage robuste, car il calcule l’espérance de vie d’une cohorte donnée après la fin de vie de chaque individu qui la compose (espérance de vie pour les personnes nées en 1920</w:t>
      </w:r>
      <w:r>
        <w:rPr>
          <w:rFonts w:ascii="Garamond" w:hAnsi="Garamond"/>
          <w:sz w:val="20"/>
          <w:szCs w:val="20"/>
        </w:rPr>
        <w:t>,</w:t>
      </w:r>
      <w:r w:rsidRPr="004A2CDD">
        <w:rPr>
          <w:rFonts w:ascii="Garamond" w:hAnsi="Garamond"/>
          <w:sz w:val="20"/>
          <w:szCs w:val="20"/>
        </w:rPr>
        <w:t xml:space="preserve"> par exemple). L’espérance de vie transversale marque par conséquent les chocs divers de façon bien plus prononcée que l’espérance de vie longitudinale. La crise sanitaire a bien entendu fait grimper la mortalité en 2020, mais celle-ci a probablement été distribuée de façon plus ou moins aléatoire sur plusieurs générations, parmi les plus âgées. </w:t>
      </w:r>
    </w:p>
  </w:endnote>
  <w:endnote w:id="3">
    <w:p w14:paraId="795234BF" w14:textId="1AB94C25" w:rsidR="00CD0302" w:rsidRPr="004A2CDD" w:rsidRDefault="00CD0302" w:rsidP="004A2CDD">
      <w:pPr>
        <w:pStyle w:val="Notedefin"/>
        <w:jc w:val="both"/>
        <w:rPr>
          <w:rFonts w:ascii="Garamond" w:hAnsi="Garamond"/>
          <w:lang w:val="fr-FR"/>
        </w:rPr>
      </w:pPr>
      <w:r w:rsidRPr="004A2CDD">
        <w:rPr>
          <w:rStyle w:val="Appeldenotedefin"/>
          <w:rFonts w:ascii="Garamond" w:hAnsi="Garamond"/>
        </w:rPr>
        <w:endnoteRef/>
      </w:r>
      <w:r w:rsidRPr="004A2CDD">
        <w:rPr>
          <w:rFonts w:ascii="Garamond" w:hAnsi="Garamond"/>
        </w:rPr>
        <w:t xml:space="preserve"> Pour la France, voir Cambois et Robine (2017).</w:t>
      </w:r>
    </w:p>
  </w:endnote>
  <w:endnote w:id="4">
    <w:p w14:paraId="2858DE12" w14:textId="3DB97349" w:rsidR="00CD0302" w:rsidRPr="004A2CDD" w:rsidRDefault="00CD0302" w:rsidP="004A2CDD">
      <w:pPr>
        <w:pStyle w:val="Notedefin"/>
        <w:jc w:val="both"/>
        <w:rPr>
          <w:rFonts w:ascii="Garamond" w:hAnsi="Garamond"/>
          <w:lang w:val="fr-FR"/>
        </w:rPr>
      </w:pPr>
      <w:r w:rsidRPr="004A2CDD">
        <w:rPr>
          <w:rStyle w:val="Appeldenotedefin"/>
          <w:rFonts w:ascii="Garamond" w:hAnsi="Garamond"/>
        </w:rPr>
        <w:endnoteRef/>
      </w:r>
      <w:r w:rsidRPr="004A2CDD">
        <w:rPr>
          <w:rFonts w:ascii="Garamond" w:hAnsi="Garamond"/>
        </w:rPr>
        <w:t xml:space="preserve"> Voir Cutler </w:t>
      </w:r>
      <w:r w:rsidRPr="004A2CDD">
        <w:rPr>
          <w:rFonts w:ascii="Garamond" w:hAnsi="Garamond"/>
          <w:i/>
          <w:iCs/>
        </w:rPr>
        <w:t>et al</w:t>
      </w:r>
      <w:r w:rsidRPr="004A2CDD">
        <w:rPr>
          <w:rFonts w:ascii="Garamond" w:hAnsi="Garamond"/>
        </w:rPr>
        <w:t>. (2011) pour un survol des études réalisées sur le sujet.</w:t>
      </w:r>
    </w:p>
  </w:endnote>
  <w:endnote w:id="5">
    <w:p w14:paraId="54990575" w14:textId="44D54A4E"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 Espérance de vie sans incapacité » est également une expression utilisée couramment dans la littérature et que nous utiliserons ici comme synonyme d’EVBS. </w:t>
      </w:r>
    </w:p>
  </w:endnote>
  <w:endnote w:id="6">
    <w:p w14:paraId="65F4C99F" w14:textId="0CF03FFC"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La question posée est précisée dans l’encadré.</w:t>
      </w:r>
    </w:p>
  </w:endnote>
  <w:endnote w:id="7">
    <w:p w14:paraId="5646C104" w14:textId="77D358E5"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Voir aussi à ce propos Schoenmaeckers (2013).</w:t>
      </w:r>
    </w:p>
  </w:endnote>
  <w:endnote w:id="8">
    <w:p w14:paraId="5CA5400B" w14:textId="5526A2F8"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Dans le cadre de cet article, nous suivons la méthode introduite par Sullivan (1971), qui est aussi celle couramment utilisée dans la littérature.</w:t>
      </w:r>
    </w:p>
  </w:endnote>
  <w:endnote w:id="9">
    <w:p w14:paraId="653C8A69" w14:textId="2D26E8A3"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30AD9">
        <w:rPr>
          <w:rFonts w:ascii="Garamond" w:hAnsi="Garamond"/>
        </w:rPr>
        <w:t xml:space="preserve"> HMD, Max Planck Institute for Demographic Research (Allemagne), Université de California, Berkeley (États-Unis), et l’Institut national d’études démographiques (Ined, France). </w:t>
      </w:r>
      <w:r w:rsidRPr="004A2CDD">
        <w:rPr>
          <w:rFonts w:ascii="Garamond" w:hAnsi="Garamond"/>
        </w:rPr>
        <w:t xml:space="preserve">Disponible sur </w:t>
      </w:r>
      <w:r>
        <w:rPr>
          <w:rFonts w:ascii="Garamond" w:hAnsi="Garamond"/>
        </w:rPr>
        <w:t xml:space="preserve">le site </w:t>
      </w:r>
      <w:r w:rsidRPr="004A2CDD">
        <w:rPr>
          <w:rFonts w:ascii="Garamond" w:hAnsi="Garamond"/>
        </w:rPr>
        <w:t>www.mortality.org</w:t>
      </w:r>
      <w:r>
        <w:rPr>
          <w:rFonts w:ascii="Garamond" w:hAnsi="Garamond"/>
        </w:rPr>
        <w:t xml:space="preserve"> </w:t>
      </w:r>
      <w:r w:rsidRPr="004A2CDD">
        <w:rPr>
          <w:rFonts w:ascii="Garamond" w:hAnsi="Garamond"/>
        </w:rPr>
        <w:t>(données téléchargées en mars 2023).</w:t>
      </w:r>
    </w:p>
  </w:endnote>
  <w:endnote w:id="10">
    <w:p w14:paraId="1A5910BA" w14:textId="6F5824B4"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Les taux de prévalence moyens par âge ont été estimés à l’aide d’un modèle logistique utilisant l’ensemble des données disponibles à partir des vagues 4 à 7 de l’enquête SHARE. Les estimations ont été réalisées pour chaque pays et par sexe en nous servant d’un modèle ayant comme uniques variables explicatives l’âge, l’âge au carré et des variables binaires contrôlant la vague correspondante d’enquête. Des pondérations ont été appliquées pour corriger les biais d’échantillonnage.</w:t>
      </w:r>
    </w:p>
  </w:endnote>
  <w:endnote w:id="11">
    <w:p w14:paraId="6E6C10FD" w14:textId="207C9B4C" w:rsidR="00CD0302" w:rsidRPr="003604FF"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Il existe également des limitations liées aux activités instrumentales de la vie quotidienne (IADL). Il s'agit de la capacité de réaliser sans aide humaine des tâches simples et des tâches plus complexes en utilisant des instruments de la vie quotidienne. Elles incluent</w:t>
      </w:r>
      <w:r>
        <w:rPr>
          <w:rFonts w:ascii="Garamond" w:hAnsi="Garamond"/>
        </w:rPr>
        <w:t>,</w:t>
      </w:r>
      <w:r w:rsidRPr="004A2CDD">
        <w:rPr>
          <w:rFonts w:ascii="Garamond" w:hAnsi="Garamond"/>
        </w:rPr>
        <w:t xml:space="preserve"> par exemple : préparer un repas chaud, faire les courses ou prendre des médicaments. Les résultats IADL ne </w:t>
      </w:r>
      <w:r w:rsidRPr="003604FF">
        <w:rPr>
          <w:rFonts w:ascii="Garamond" w:hAnsi="Garamond"/>
        </w:rPr>
        <w:t>sont pas présentés, mais sont proches de ceux des limitations ADL.</w:t>
      </w:r>
    </w:p>
  </w:endnote>
  <w:endnote w:id="12">
    <w:p w14:paraId="7E220AF4" w14:textId="69E9D081" w:rsidR="00CD0302" w:rsidRPr="003604FF" w:rsidRDefault="00CD0302" w:rsidP="004A2CDD">
      <w:pPr>
        <w:pStyle w:val="Notedefin"/>
        <w:jc w:val="both"/>
        <w:rPr>
          <w:rFonts w:ascii="Garamond" w:hAnsi="Garamond"/>
        </w:rPr>
      </w:pPr>
      <w:r w:rsidRPr="003604FF">
        <w:rPr>
          <w:rStyle w:val="Appeldenotedefin"/>
          <w:rFonts w:ascii="Garamond" w:hAnsi="Garamond"/>
        </w:rPr>
        <w:endnoteRef/>
      </w:r>
      <w:r w:rsidRPr="003604FF">
        <w:rPr>
          <w:rFonts w:ascii="Garamond" w:hAnsi="Garamond"/>
        </w:rPr>
        <w:t xml:space="preserve"> L’encadré définit clairement l’indicateur en donnant des exemples de questions.</w:t>
      </w:r>
    </w:p>
  </w:endnote>
  <w:endnote w:id="13">
    <w:p w14:paraId="5571420C" w14:textId="7415F3C9" w:rsidR="00CD0302" w:rsidRPr="004A2CDD" w:rsidRDefault="00CD0302" w:rsidP="004A2CDD">
      <w:pPr>
        <w:pStyle w:val="Notedefin"/>
        <w:jc w:val="both"/>
        <w:rPr>
          <w:rFonts w:ascii="Garamond" w:hAnsi="Garamond"/>
        </w:rPr>
      </w:pPr>
      <w:r w:rsidRPr="003604FF">
        <w:rPr>
          <w:rStyle w:val="Appeldenotedefin"/>
          <w:rFonts w:ascii="Garamond" w:hAnsi="Garamond"/>
        </w:rPr>
        <w:endnoteRef/>
      </w:r>
      <w:r w:rsidRPr="003604FF">
        <w:rPr>
          <w:rFonts w:ascii="Garamond" w:hAnsi="Garamond"/>
        </w:rPr>
        <w:t xml:space="preserve"> Au lieu de CASP</w:t>
      </w:r>
      <w:r>
        <w:rPr>
          <w:rFonts w:ascii="Garamond" w:hAnsi="Garamond"/>
        </w:rPr>
        <w:t>-19</w:t>
      </w:r>
      <w:r w:rsidRPr="004A2CDD">
        <w:rPr>
          <w:rFonts w:ascii="Garamond" w:hAnsi="Garamond"/>
        </w:rPr>
        <w:t xml:space="preserve"> courammen</w:t>
      </w:r>
      <w:r>
        <w:rPr>
          <w:rFonts w:ascii="Garamond" w:hAnsi="Garamond"/>
        </w:rPr>
        <w:t xml:space="preserve">t utilisée dans la littérature, </w:t>
      </w:r>
      <w:r w:rsidRPr="004A2CDD">
        <w:rPr>
          <w:rFonts w:ascii="Garamond" w:hAnsi="Garamond"/>
        </w:rPr>
        <w:t xml:space="preserve">dans le cadre de SHARE, c’est la version CASP-12 comportant </w:t>
      </w:r>
      <w:r>
        <w:rPr>
          <w:rFonts w:ascii="Garamond" w:hAnsi="Garamond"/>
        </w:rPr>
        <w:t>douze</w:t>
      </w:r>
      <w:r w:rsidRPr="004A2CDD">
        <w:rPr>
          <w:rFonts w:ascii="Garamond" w:hAnsi="Garamond"/>
        </w:rPr>
        <w:t xml:space="preserve"> questions qui a été adoptée. Pour une évaluation de CASP-12, voir Borrat-Besson </w:t>
      </w:r>
      <w:r w:rsidRPr="00643BF8">
        <w:rPr>
          <w:rFonts w:ascii="Garamond" w:hAnsi="Garamond"/>
          <w:i/>
          <w:iCs/>
        </w:rPr>
        <w:t>et al</w:t>
      </w:r>
      <w:r w:rsidRPr="004A2CDD">
        <w:rPr>
          <w:rFonts w:ascii="Garamond" w:hAnsi="Garamond"/>
        </w:rPr>
        <w:t>. (2015).</w:t>
      </w:r>
    </w:p>
  </w:endnote>
  <w:endnote w:id="14">
    <w:p w14:paraId="6E6606A1" w14:textId="1C75EB59"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Pour une vue d’ensemble de la relation entre les courbes de survie représentant l’EVBS et les espérances de vie, voir l’</w:t>
      </w:r>
      <w:r>
        <w:rPr>
          <w:rFonts w:ascii="Garamond" w:hAnsi="Garamond"/>
        </w:rPr>
        <w:t>a</w:t>
      </w:r>
      <w:r w:rsidRPr="004A2CDD">
        <w:rPr>
          <w:rFonts w:ascii="Garamond" w:hAnsi="Garamond"/>
        </w:rPr>
        <w:t>nnexe 2.</w:t>
      </w:r>
    </w:p>
  </w:endnote>
  <w:endnote w:id="15">
    <w:p w14:paraId="433DE762" w14:textId="4F3A0E22"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Données Eurostat consultées en juin 2023 (population : variable « DEMO_PJANEDU » ; décès : variable « DEMO_MAEDUC »). </w:t>
      </w:r>
    </w:p>
  </w:endnote>
  <w:endnote w:id="16">
    <w:p w14:paraId="1F8643BA" w14:textId="72D274CB" w:rsidR="00CD0302" w:rsidRPr="004A2CDD" w:rsidRDefault="00CD0302" w:rsidP="004A2CDD">
      <w:pPr>
        <w:pStyle w:val="Notedefin"/>
        <w:jc w:val="both"/>
        <w:rPr>
          <w:rFonts w:ascii="Garamond" w:hAnsi="Garamond"/>
        </w:rPr>
      </w:pPr>
      <w:r w:rsidRPr="004A2CDD">
        <w:rPr>
          <w:rStyle w:val="Appeldenotedefin"/>
          <w:rFonts w:ascii="Garamond" w:hAnsi="Garamond"/>
        </w:rPr>
        <w:endnoteRef/>
      </w:r>
      <w:r w:rsidRPr="004A2CDD">
        <w:rPr>
          <w:rFonts w:ascii="Garamond" w:hAnsi="Garamond"/>
        </w:rPr>
        <w:t xml:space="preserve"> La question est la suivante : « Pouvez-vous noter votre qualité de vie, sur une échelle allant de 0 à 10 (où 0 signifie que vous êtes complètement insatisfait et 10 que vous êtes complètement satisfait de votre existence) ?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T3713a231">
    <w:altName w:val="Cambria"/>
    <w:panose1 w:val="00000000000000000000"/>
    <w:charset w:val="00"/>
    <w:family w:val="roman"/>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CIDFont+F4">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824666"/>
      <w:docPartObj>
        <w:docPartGallery w:val="Page Numbers (Bottom of Page)"/>
        <w:docPartUnique/>
      </w:docPartObj>
    </w:sdtPr>
    <w:sdtContent>
      <w:p w14:paraId="44C324F9" w14:textId="53FD1ACE" w:rsidR="00CD0302" w:rsidRDefault="00CD0302">
        <w:pPr>
          <w:pStyle w:val="Pieddepage"/>
          <w:jc w:val="right"/>
        </w:pPr>
        <w:r>
          <w:fldChar w:fldCharType="begin"/>
        </w:r>
        <w:r>
          <w:instrText>PAGE   \* MERGEFORMAT</w:instrText>
        </w:r>
        <w:r>
          <w:fldChar w:fldCharType="separate"/>
        </w:r>
        <w:r w:rsidR="003604FF" w:rsidRPr="003604FF">
          <w:rPr>
            <w:noProof/>
            <w:lang w:val="fr-FR"/>
          </w:rPr>
          <w:t>6</w:t>
        </w:r>
        <w:r>
          <w:fldChar w:fldCharType="end"/>
        </w:r>
      </w:p>
    </w:sdtContent>
  </w:sdt>
  <w:p w14:paraId="46F16972" w14:textId="77777777" w:rsidR="00CD0302" w:rsidRDefault="00CD03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45C25" w14:textId="77777777" w:rsidR="0027431F" w:rsidRDefault="0027431F" w:rsidP="001333A3">
      <w:r>
        <w:separator/>
      </w:r>
    </w:p>
  </w:footnote>
  <w:footnote w:type="continuationSeparator" w:id="0">
    <w:p w14:paraId="7BCE54FB" w14:textId="77777777" w:rsidR="0027431F" w:rsidRDefault="0027431F" w:rsidP="001333A3">
      <w:r>
        <w:continuationSeparator/>
      </w:r>
    </w:p>
  </w:footnote>
  <w:footnote w:id="1">
    <w:p w14:paraId="56883923" w14:textId="774BDADE" w:rsidR="00CD0302" w:rsidRPr="00707CFA" w:rsidRDefault="00CD0302">
      <w:pPr>
        <w:pStyle w:val="Notedebasdepage"/>
        <w:rPr>
          <w:rFonts w:ascii="Garamond" w:hAnsi="Garamond" w:cs="Arial"/>
          <w:lang w:val="fr-FR"/>
        </w:rPr>
      </w:pPr>
      <w:r w:rsidRPr="00707CFA">
        <w:rPr>
          <w:rStyle w:val="Appelnotedebasdep"/>
          <w:rFonts w:ascii="Garamond" w:hAnsi="Garamond" w:cs="Arial"/>
        </w:rPr>
        <w:t>*</w:t>
      </w:r>
      <w:r w:rsidRPr="00707CFA">
        <w:rPr>
          <w:rFonts w:ascii="Garamond" w:hAnsi="Garamond" w:cs="Arial"/>
        </w:rPr>
        <w:t xml:space="preserve"> </w:t>
      </w:r>
      <w:r w:rsidRPr="00707CFA">
        <w:rPr>
          <w:rFonts w:ascii="Garamond" w:hAnsi="Garamond" w:cs="Arial"/>
          <w:color w:val="000000"/>
        </w:rPr>
        <w:t>Chercheur, HEC-Liège</w:t>
      </w:r>
      <w:r>
        <w:rPr>
          <w:rFonts w:ascii="Garamond" w:hAnsi="Garamond" w:cs="Arial"/>
          <w:color w:val="000000"/>
        </w:rPr>
        <w:t>, Belgique</w:t>
      </w:r>
      <w:r w:rsidRPr="00707CFA">
        <w:rPr>
          <w:rFonts w:ascii="Garamond" w:hAnsi="Garamond" w:cs="Arial"/>
          <w:color w:val="000000"/>
        </w:rPr>
        <w:t xml:space="preserve">. </w:t>
      </w:r>
    </w:p>
  </w:footnote>
  <w:footnote w:id="2">
    <w:p w14:paraId="22534A6E" w14:textId="4A25FF5E" w:rsidR="00CD0302" w:rsidRPr="00707CFA" w:rsidRDefault="00CD0302" w:rsidP="00707CFA">
      <w:pPr>
        <w:pStyle w:val="NormalWeb"/>
        <w:spacing w:before="0" w:beforeAutospacing="0" w:after="0" w:afterAutospacing="0"/>
        <w:rPr>
          <w:rFonts w:ascii="Garamond" w:hAnsi="Garamond" w:cs="Arial"/>
          <w:sz w:val="20"/>
          <w:szCs w:val="20"/>
          <w:lang w:val="fr-FR"/>
        </w:rPr>
      </w:pPr>
      <w:r w:rsidRPr="00707CFA">
        <w:rPr>
          <w:rStyle w:val="Appelnotedebasdep"/>
          <w:rFonts w:ascii="Garamond" w:hAnsi="Garamond" w:cs="Arial"/>
          <w:sz w:val="20"/>
          <w:szCs w:val="20"/>
        </w:rPr>
        <w:t>**</w:t>
      </w:r>
      <w:r w:rsidRPr="00707CFA">
        <w:rPr>
          <w:rFonts w:ascii="Garamond" w:hAnsi="Garamond" w:cs="Arial"/>
          <w:sz w:val="20"/>
          <w:szCs w:val="20"/>
        </w:rPr>
        <w:t xml:space="preserve"> </w:t>
      </w:r>
      <w:r w:rsidRPr="00707CFA">
        <w:rPr>
          <w:rFonts w:ascii="Garamond" w:hAnsi="Garamond" w:cs="Arial"/>
          <w:color w:val="000000"/>
          <w:sz w:val="20"/>
          <w:szCs w:val="20"/>
        </w:rPr>
        <w:t>Professeur honoraire, HEC-Liège</w:t>
      </w:r>
      <w:r>
        <w:rPr>
          <w:rFonts w:ascii="Garamond" w:hAnsi="Garamond" w:cs="Arial"/>
          <w:color w:val="000000"/>
          <w:sz w:val="20"/>
          <w:szCs w:val="20"/>
        </w:rPr>
        <w:t>, Belgique</w:t>
      </w:r>
      <w:r w:rsidRPr="00707CFA">
        <w:rPr>
          <w:rFonts w:ascii="Garamond" w:hAnsi="Garamond" w:cs="Arial"/>
          <w:color w:val="000000"/>
          <w:sz w:val="20"/>
          <w:szCs w:val="20"/>
        </w:rPr>
        <w:t>.</w:t>
      </w:r>
    </w:p>
  </w:footnote>
  <w:footnote w:id="3">
    <w:p w14:paraId="44883DB9" w14:textId="5A9BFB0B" w:rsidR="00CD0302" w:rsidRPr="00014067" w:rsidRDefault="00CD0302" w:rsidP="00707CFA">
      <w:pPr>
        <w:pStyle w:val="NormalWeb"/>
        <w:spacing w:before="0" w:beforeAutospacing="0" w:after="0" w:afterAutospacing="0"/>
        <w:rPr>
          <w:rFonts w:ascii="Garamond" w:hAnsi="Garamond" w:cs="Arial"/>
          <w:sz w:val="20"/>
          <w:szCs w:val="20"/>
          <w:lang w:val="fr-FR"/>
        </w:rPr>
      </w:pPr>
      <w:r w:rsidRPr="00014067">
        <w:rPr>
          <w:rStyle w:val="Appelnotedebasdep"/>
          <w:rFonts w:ascii="Garamond" w:hAnsi="Garamond" w:cs="Arial"/>
          <w:sz w:val="20"/>
          <w:szCs w:val="20"/>
        </w:rPr>
        <w:t>***</w:t>
      </w:r>
      <w:r w:rsidRPr="00014067">
        <w:rPr>
          <w:rFonts w:ascii="Garamond" w:hAnsi="Garamond" w:cs="Arial"/>
          <w:sz w:val="20"/>
          <w:szCs w:val="20"/>
        </w:rPr>
        <w:t xml:space="preserve"> </w:t>
      </w:r>
      <w:r w:rsidRPr="009777FF">
        <w:rPr>
          <w:rFonts w:ascii="Garamond" w:hAnsi="Garamond"/>
          <w:sz w:val="20"/>
        </w:rPr>
        <w:t>Chargé de cours, Université de Liège, Belgique.</w:t>
      </w:r>
      <w:r w:rsidRPr="004832AF">
        <w:rPr>
          <w:sz w:val="20"/>
        </w:rPr>
        <w:t xml:space="preserve"> </w:t>
      </w:r>
      <w:r w:rsidRPr="00014067">
        <w:rPr>
          <w:rFonts w:ascii="Garamond" w:hAnsi="Garamond" w:cs="Arial"/>
          <w:color w:val="000000"/>
          <w:sz w:val="20"/>
          <w:szCs w:val="20"/>
        </w:rPr>
        <w:t xml:space="preserve">Contact : </w:t>
      </w:r>
      <w:r w:rsidRPr="00014067">
        <w:rPr>
          <w:rFonts w:ascii="Garamond" w:hAnsi="Garamond" w:cstheme="minorHAnsi"/>
          <w:sz w:val="20"/>
          <w:szCs w:val="20"/>
          <w:lang w:val="it-IT"/>
        </w:rPr>
        <w:t>jerome.schoenmaeckers@uliege.be</w:t>
      </w:r>
      <w:r>
        <w:rPr>
          <w:rFonts w:ascii="Garamond" w:hAnsi="Garamond" w:cstheme="minorHAnsi"/>
          <w:sz w:val="20"/>
          <w:szCs w:val="20"/>
          <w:lang w:val="it-I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6A05"/>
    <w:multiLevelType w:val="multilevel"/>
    <w:tmpl w:val="30A82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4E7A"/>
    <w:multiLevelType w:val="hybridMultilevel"/>
    <w:tmpl w:val="F45E56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39739EC"/>
    <w:multiLevelType w:val="hybridMultilevel"/>
    <w:tmpl w:val="C74C3B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E84B64"/>
    <w:multiLevelType w:val="hybridMultilevel"/>
    <w:tmpl w:val="A4C6AF02"/>
    <w:lvl w:ilvl="0" w:tplc="591626F4">
      <w:start w:val="1"/>
      <w:numFmt w:val="decimal"/>
      <w:lvlText w:val="%1-"/>
      <w:lvlJc w:val="left"/>
      <w:pPr>
        <w:ind w:left="720" w:hanging="360"/>
      </w:pPr>
      <w:rPr>
        <w:rFonts w:ascii="Garamond" w:eastAsia="Times New Roman" w:hAnsi="Garamond"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92C5DCE"/>
    <w:multiLevelType w:val="hybridMultilevel"/>
    <w:tmpl w:val="4FD8A660"/>
    <w:lvl w:ilvl="0" w:tplc="F454D3A0">
      <w:start w:val="2"/>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72DF6"/>
    <w:multiLevelType w:val="hybridMultilevel"/>
    <w:tmpl w:val="466ADA10"/>
    <w:lvl w:ilvl="0" w:tplc="0410000B">
      <w:start w:val="5"/>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DD4570B"/>
    <w:multiLevelType w:val="hybridMultilevel"/>
    <w:tmpl w:val="6B5AD22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46944B6"/>
    <w:multiLevelType w:val="hybridMultilevel"/>
    <w:tmpl w:val="9C642A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850A63"/>
    <w:multiLevelType w:val="hybridMultilevel"/>
    <w:tmpl w:val="5D064CB4"/>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306B78"/>
    <w:multiLevelType w:val="hybridMultilevel"/>
    <w:tmpl w:val="6F569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F7752A"/>
    <w:multiLevelType w:val="hybridMultilevel"/>
    <w:tmpl w:val="4806824E"/>
    <w:lvl w:ilvl="0" w:tplc="76C4BF8E">
      <w:start w:val="1"/>
      <w:numFmt w:val="bullet"/>
      <w:lvlText w:val="•"/>
      <w:lvlJc w:val="left"/>
      <w:pPr>
        <w:tabs>
          <w:tab w:val="num" w:pos="720"/>
        </w:tabs>
        <w:ind w:left="720" w:hanging="360"/>
      </w:pPr>
      <w:rPr>
        <w:rFonts w:ascii="Arial" w:hAnsi="Arial" w:hint="default"/>
      </w:rPr>
    </w:lvl>
    <w:lvl w:ilvl="1" w:tplc="427267FE">
      <w:start w:val="1"/>
      <w:numFmt w:val="bullet"/>
      <w:lvlText w:val="•"/>
      <w:lvlJc w:val="left"/>
      <w:pPr>
        <w:tabs>
          <w:tab w:val="num" w:pos="1440"/>
        </w:tabs>
        <w:ind w:left="1440" w:hanging="360"/>
      </w:pPr>
      <w:rPr>
        <w:rFonts w:ascii="Arial" w:hAnsi="Arial" w:hint="default"/>
      </w:rPr>
    </w:lvl>
    <w:lvl w:ilvl="2" w:tplc="F14235A4" w:tentative="1">
      <w:start w:val="1"/>
      <w:numFmt w:val="bullet"/>
      <w:lvlText w:val="•"/>
      <w:lvlJc w:val="left"/>
      <w:pPr>
        <w:tabs>
          <w:tab w:val="num" w:pos="2160"/>
        </w:tabs>
        <w:ind w:left="2160" w:hanging="360"/>
      </w:pPr>
      <w:rPr>
        <w:rFonts w:ascii="Arial" w:hAnsi="Arial" w:hint="default"/>
      </w:rPr>
    </w:lvl>
    <w:lvl w:ilvl="3" w:tplc="5C8AA17A" w:tentative="1">
      <w:start w:val="1"/>
      <w:numFmt w:val="bullet"/>
      <w:lvlText w:val="•"/>
      <w:lvlJc w:val="left"/>
      <w:pPr>
        <w:tabs>
          <w:tab w:val="num" w:pos="2880"/>
        </w:tabs>
        <w:ind w:left="2880" w:hanging="360"/>
      </w:pPr>
      <w:rPr>
        <w:rFonts w:ascii="Arial" w:hAnsi="Arial" w:hint="default"/>
      </w:rPr>
    </w:lvl>
    <w:lvl w:ilvl="4" w:tplc="72D0FF94" w:tentative="1">
      <w:start w:val="1"/>
      <w:numFmt w:val="bullet"/>
      <w:lvlText w:val="•"/>
      <w:lvlJc w:val="left"/>
      <w:pPr>
        <w:tabs>
          <w:tab w:val="num" w:pos="3600"/>
        </w:tabs>
        <w:ind w:left="3600" w:hanging="360"/>
      </w:pPr>
      <w:rPr>
        <w:rFonts w:ascii="Arial" w:hAnsi="Arial" w:hint="default"/>
      </w:rPr>
    </w:lvl>
    <w:lvl w:ilvl="5" w:tplc="69685340" w:tentative="1">
      <w:start w:val="1"/>
      <w:numFmt w:val="bullet"/>
      <w:lvlText w:val="•"/>
      <w:lvlJc w:val="left"/>
      <w:pPr>
        <w:tabs>
          <w:tab w:val="num" w:pos="4320"/>
        </w:tabs>
        <w:ind w:left="4320" w:hanging="360"/>
      </w:pPr>
      <w:rPr>
        <w:rFonts w:ascii="Arial" w:hAnsi="Arial" w:hint="default"/>
      </w:rPr>
    </w:lvl>
    <w:lvl w:ilvl="6" w:tplc="27DC6824" w:tentative="1">
      <w:start w:val="1"/>
      <w:numFmt w:val="bullet"/>
      <w:lvlText w:val="•"/>
      <w:lvlJc w:val="left"/>
      <w:pPr>
        <w:tabs>
          <w:tab w:val="num" w:pos="5040"/>
        </w:tabs>
        <w:ind w:left="5040" w:hanging="360"/>
      </w:pPr>
      <w:rPr>
        <w:rFonts w:ascii="Arial" w:hAnsi="Arial" w:hint="default"/>
      </w:rPr>
    </w:lvl>
    <w:lvl w:ilvl="7" w:tplc="BC36FE24" w:tentative="1">
      <w:start w:val="1"/>
      <w:numFmt w:val="bullet"/>
      <w:lvlText w:val="•"/>
      <w:lvlJc w:val="left"/>
      <w:pPr>
        <w:tabs>
          <w:tab w:val="num" w:pos="5760"/>
        </w:tabs>
        <w:ind w:left="5760" w:hanging="360"/>
      </w:pPr>
      <w:rPr>
        <w:rFonts w:ascii="Arial" w:hAnsi="Arial" w:hint="default"/>
      </w:rPr>
    </w:lvl>
    <w:lvl w:ilvl="8" w:tplc="30AA76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2635DD"/>
    <w:multiLevelType w:val="hybridMultilevel"/>
    <w:tmpl w:val="703AD758"/>
    <w:lvl w:ilvl="0" w:tplc="9E0A952E">
      <w:start w:val="3"/>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BC4AFD"/>
    <w:multiLevelType w:val="hybridMultilevel"/>
    <w:tmpl w:val="0682FB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E734A3F"/>
    <w:multiLevelType w:val="hybridMultilevel"/>
    <w:tmpl w:val="DF6A76CA"/>
    <w:lvl w:ilvl="0" w:tplc="F5D0C102">
      <w:start w:val="3"/>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6"/>
  </w:num>
  <w:num w:numId="4">
    <w:abstractNumId w:val="4"/>
  </w:num>
  <w:num w:numId="5">
    <w:abstractNumId w:val="3"/>
  </w:num>
  <w:num w:numId="6">
    <w:abstractNumId w:val="9"/>
  </w:num>
  <w:num w:numId="7">
    <w:abstractNumId w:val="5"/>
  </w:num>
  <w:num w:numId="8">
    <w:abstractNumId w:val="1"/>
  </w:num>
  <w:num w:numId="9">
    <w:abstractNumId w:val="2"/>
  </w:num>
  <w:num w:numId="10">
    <w:abstractNumId w:val="12"/>
  </w:num>
  <w:num w:numId="11">
    <w:abstractNumId w:val="10"/>
  </w:num>
  <w:num w:numId="12">
    <w:abstractNumId w:val="7"/>
  </w:num>
  <w:num w:numId="13">
    <w:abstractNumId w:val="8"/>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io Perelman">
    <w15:presenceInfo w15:providerId="Windows Live" w15:userId="5f0d40150e042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10"/>
    <w:rsid w:val="00000BBD"/>
    <w:rsid w:val="00002CF8"/>
    <w:rsid w:val="00003E78"/>
    <w:rsid w:val="000118B8"/>
    <w:rsid w:val="00014067"/>
    <w:rsid w:val="00020E80"/>
    <w:rsid w:val="000223D7"/>
    <w:rsid w:val="000234DA"/>
    <w:rsid w:val="000269AA"/>
    <w:rsid w:val="00031169"/>
    <w:rsid w:val="0003217F"/>
    <w:rsid w:val="000346A0"/>
    <w:rsid w:val="000374D3"/>
    <w:rsid w:val="000434A8"/>
    <w:rsid w:val="00043B23"/>
    <w:rsid w:val="00043C5D"/>
    <w:rsid w:val="00044106"/>
    <w:rsid w:val="00045D03"/>
    <w:rsid w:val="00050345"/>
    <w:rsid w:val="00055B25"/>
    <w:rsid w:val="00057417"/>
    <w:rsid w:val="00065A91"/>
    <w:rsid w:val="00067FAA"/>
    <w:rsid w:val="00070CC8"/>
    <w:rsid w:val="00070EA9"/>
    <w:rsid w:val="000724A0"/>
    <w:rsid w:val="00073FD2"/>
    <w:rsid w:val="000754C6"/>
    <w:rsid w:val="00076D5F"/>
    <w:rsid w:val="000852E5"/>
    <w:rsid w:val="00085683"/>
    <w:rsid w:val="00086928"/>
    <w:rsid w:val="00086B3C"/>
    <w:rsid w:val="000908BE"/>
    <w:rsid w:val="00090EDC"/>
    <w:rsid w:val="00093214"/>
    <w:rsid w:val="00094190"/>
    <w:rsid w:val="0009649B"/>
    <w:rsid w:val="000964E5"/>
    <w:rsid w:val="00097FC1"/>
    <w:rsid w:val="000A01F1"/>
    <w:rsid w:val="000A0E0A"/>
    <w:rsid w:val="000A0E14"/>
    <w:rsid w:val="000A0EF7"/>
    <w:rsid w:val="000A44EF"/>
    <w:rsid w:val="000A5954"/>
    <w:rsid w:val="000A68E2"/>
    <w:rsid w:val="000B02C5"/>
    <w:rsid w:val="000B0D3B"/>
    <w:rsid w:val="000B23ED"/>
    <w:rsid w:val="000B5B19"/>
    <w:rsid w:val="000B5C22"/>
    <w:rsid w:val="000B75A2"/>
    <w:rsid w:val="000C1025"/>
    <w:rsid w:val="000C10E2"/>
    <w:rsid w:val="000C1FC2"/>
    <w:rsid w:val="000C317F"/>
    <w:rsid w:val="000C3983"/>
    <w:rsid w:val="000C6025"/>
    <w:rsid w:val="000C677B"/>
    <w:rsid w:val="000D084F"/>
    <w:rsid w:val="000D0E07"/>
    <w:rsid w:val="000D1E40"/>
    <w:rsid w:val="000D5357"/>
    <w:rsid w:val="000D621F"/>
    <w:rsid w:val="000D7E23"/>
    <w:rsid w:val="000E440A"/>
    <w:rsid w:val="000E4790"/>
    <w:rsid w:val="000E5310"/>
    <w:rsid w:val="000E7D02"/>
    <w:rsid w:val="000F3F1D"/>
    <w:rsid w:val="00100099"/>
    <w:rsid w:val="0010237F"/>
    <w:rsid w:val="00103940"/>
    <w:rsid w:val="001042E1"/>
    <w:rsid w:val="00104A93"/>
    <w:rsid w:val="00107C95"/>
    <w:rsid w:val="00107DE5"/>
    <w:rsid w:val="00110422"/>
    <w:rsid w:val="00111236"/>
    <w:rsid w:val="001122B4"/>
    <w:rsid w:val="00113628"/>
    <w:rsid w:val="00113F6D"/>
    <w:rsid w:val="00115905"/>
    <w:rsid w:val="001211E8"/>
    <w:rsid w:val="001302FC"/>
    <w:rsid w:val="00131869"/>
    <w:rsid w:val="001333A3"/>
    <w:rsid w:val="00133DF0"/>
    <w:rsid w:val="00136A6B"/>
    <w:rsid w:val="00137B9A"/>
    <w:rsid w:val="001430E0"/>
    <w:rsid w:val="00155079"/>
    <w:rsid w:val="00155F02"/>
    <w:rsid w:val="00164E1F"/>
    <w:rsid w:val="00165E1C"/>
    <w:rsid w:val="0016744B"/>
    <w:rsid w:val="00171F89"/>
    <w:rsid w:val="00172FC0"/>
    <w:rsid w:val="001742B8"/>
    <w:rsid w:val="00175073"/>
    <w:rsid w:val="00175118"/>
    <w:rsid w:val="001753BF"/>
    <w:rsid w:val="001774C9"/>
    <w:rsid w:val="0018082E"/>
    <w:rsid w:val="00182ECE"/>
    <w:rsid w:val="00184508"/>
    <w:rsid w:val="001853F5"/>
    <w:rsid w:val="00187157"/>
    <w:rsid w:val="001901AC"/>
    <w:rsid w:val="00194F79"/>
    <w:rsid w:val="001953BF"/>
    <w:rsid w:val="00195FE9"/>
    <w:rsid w:val="001A5381"/>
    <w:rsid w:val="001A6BF5"/>
    <w:rsid w:val="001B06AC"/>
    <w:rsid w:val="001B26D1"/>
    <w:rsid w:val="001B3412"/>
    <w:rsid w:val="001B3C99"/>
    <w:rsid w:val="001C14E4"/>
    <w:rsid w:val="001C1AA7"/>
    <w:rsid w:val="001C2617"/>
    <w:rsid w:val="001C28AF"/>
    <w:rsid w:val="001C2AE0"/>
    <w:rsid w:val="001C370B"/>
    <w:rsid w:val="001C3D89"/>
    <w:rsid w:val="001C4A38"/>
    <w:rsid w:val="001C68D3"/>
    <w:rsid w:val="001C76F1"/>
    <w:rsid w:val="001D13C2"/>
    <w:rsid w:val="001D2F9F"/>
    <w:rsid w:val="001D2FD0"/>
    <w:rsid w:val="001D3F29"/>
    <w:rsid w:val="001E066D"/>
    <w:rsid w:val="001E6265"/>
    <w:rsid w:val="001E70B9"/>
    <w:rsid w:val="001F2A34"/>
    <w:rsid w:val="001F2ACD"/>
    <w:rsid w:val="001F2C09"/>
    <w:rsid w:val="001F5B14"/>
    <w:rsid w:val="001F6EF4"/>
    <w:rsid w:val="00201043"/>
    <w:rsid w:val="002059EE"/>
    <w:rsid w:val="00206096"/>
    <w:rsid w:val="00207917"/>
    <w:rsid w:val="00211345"/>
    <w:rsid w:val="002119FC"/>
    <w:rsid w:val="00212283"/>
    <w:rsid w:val="00213621"/>
    <w:rsid w:val="002201EF"/>
    <w:rsid w:val="002203AE"/>
    <w:rsid w:val="00221F54"/>
    <w:rsid w:val="0022718E"/>
    <w:rsid w:val="002340C1"/>
    <w:rsid w:val="002364FC"/>
    <w:rsid w:val="00243566"/>
    <w:rsid w:val="00243D51"/>
    <w:rsid w:val="0024570B"/>
    <w:rsid w:val="002558FE"/>
    <w:rsid w:val="00257271"/>
    <w:rsid w:val="002573E9"/>
    <w:rsid w:val="00262174"/>
    <w:rsid w:val="00262253"/>
    <w:rsid w:val="00263172"/>
    <w:rsid w:val="00267610"/>
    <w:rsid w:val="00270BF7"/>
    <w:rsid w:val="002728A2"/>
    <w:rsid w:val="00273D48"/>
    <w:rsid w:val="0027431F"/>
    <w:rsid w:val="002748DB"/>
    <w:rsid w:val="0027700F"/>
    <w:rsid w:val="00280EB1"/>
    <w:rsid w:val="002818EF"/>
    <w:rsid w:val="00287D6C"/>
    <w:rsid w:val="0029034A"/>
    <w:rsid w:val="00291338"/>
    <w:rsid w:val="00292733"/>
    <w:rsid w:val="002929BD"/>
    <w:rsid w:val="00293092"/>
    <w:rsid w:val="002930F0"/>
    <w:rsid w:val="0029590F"/>
    <w:rsid w:val="002A05C0"/>
    <w:rsid w:val="002A18A8"/>
    <w:rsid w:val="002A511E"/>
    <w:rsid w:val="002A6496"/>
    <w:rsid w:val="002B09A6"/>
    <w:rsid w:val="002B0A7F"/>
    <w:rsid w:val="002B0CF5"/>
    <w:rsid w:val="002B1554"/>
    <w:rsid w:val="002B6136"/>
    <w:rsid w:val="002B6466"/>
    <w:rsid w:val="002B69A4"/>
    <w:rsid w:val="002C26A6"/>
    <w:rsid w:val="002C6BD8"/>
    <w:rsid w:val="002C7D18"/>
    <w:rsid w:val="002D20B8"/>
    <w:rsid w:val="002D3711"/>
    <w:rsid w:val="002D4E66"/>
    <w:rsid w:val="002E0A51"/>
    <w:rsid w:val="002E113B"/>
    <w:rsid w:val="002E5FF5"/>
    <w:rsid w:val="002F1F29"/>
    <w:rsid w:val="002F56B4"/>
    <w:rsid w:val="00302905"/>
    <w:rsid w:val="003032A5"/>
    <w:rsid w:val="00304D2C"/>
    <w:rsid w:val="00306534"/>
    <w:rsid w:val="0030716D"/>
    <w:rsid w:val="003071E7"/>
    <w:rsid w:val="003129C3"/>
    <w:rsid w:val="0031430C"/>
    <w:rsid w:val="00315545"/>
    <w:rsid w:val="0031606D"/>
    <w:rsid w:val="00320692"/>
    <w:rsid w:val="00325A67"/>
    <w:rsid w:val="00330D89"/>
    <w:rsid w:val="00332FED"/>
    <w:rsid w:val="00333BE0"/>
    <w:rsid w:val="00335CB1"/>
    <w:rsid w:val="00344D38"/>
    <w:rsid w:val="003535C9"/>
    <w:rsid w:val="003548EB"/>
    <w:rsid w:val="003565B5"/>
    <w:rsid w:val="00356685"/>
    <w:rsid w:val="00357F1F"/>
    <w:rsid w:val="003604FF"/>
    <w:rsid w:val="00360576"/>
    <w:rsid w:val="00365517"/>
    <w:rsid w:val="00366F4C"/>
    <w:rsid w:val="00370986"/>
    <w:rsid w:val="00371363"/>
    <w:rsid w:val="00371DA4"/>
    <w:rsid w:val="003728CB"/>
    <w:rsid w:val="003745A8"/>
    <w:rsid w:val="00374CCA"/>
    <w:rsid w:val="00377083"/>
    <w:rsid w:val="00377DE3"/>
    <w:rsid w:val="00381809"/>
    <w:rsid w:val="003838A0"/>
    <w:rsid w:val="0039152D"/>
    <w:rsid w:val="00391C20"/>
    <w:rsid w:val="00392D65"/>
    <w:rsid w:val="00394DEE"/>
    <w:rsid w:val="0039792F"/>
    <w:rsid w:val="003A0BA0"/>
    <w:rsid w:val="003A323D"/>
    <w:rsid w:val="003A37E8"/>
    <w:rsid w:val="003A7C04"/>
    <w:rsid w:val="003B01AA"/>
    <w:rsid w:val="003B0FDF"/>
    <w:rsid w:val="003B27E0"/>
    <w:rsid w:val="003B3001"/>
    <w:rsid w:val="003B7E28"/>
    <w:rsid w:val="003C4B6F"/>
    <w:rsid w:val="003C68A9"/>
    <w:rsid w:val="003C717D"/>
    <w:rsid w:val="003C795C"/>
    <w:rsid w:val="003C7BE2"/>
    <w:rsid w:val="003D2851"/>
    <w:rsid w:val="003D7A13"/>
    <w:rsid w:val="003E1783"/>
    <w:rsid w:val="003E54A9"/>
    <w:rsid w:val="003E6BCD"/>
    <w:rsid w:val="003E7159"/>
    <w:rsid w:val="003E77BD"/>
    <w:rsid w:val="003E790E"/>
    <w:rsid w:val="003F05A4"/>
    <w:rsid w:val="003F0C48"/>
    <w:rsid w:val="003F0E3E"/>
    <w:rsid w:val="003F13D8"/>
    <w:rsid w:val="003F2C09"/>
    <w:rsid w:val="003F2C24"/>
    <w:rsid w:val="003F47F8"/>
    <w:rsid w:val="003F5960"/>
    <w:rsid w:val="003F630D"/>
    <w:rsid w:val="003F6C13"/>
    <w:rsid w:val="003F770E"/>
    <w:rsid w:val="00401CEA"/>
    <w:rsid w:val="00402073"/>
    <w:rsid w:val="0040285E"/>
    <w:rsid w:val="0040498C"/>
    <w:rsid w:val="00407097"/>
    <w:rsid w:val="004071BC"/>
    <w:rsid w:val="00407DAA"/>
    <w:rsid w:val="00407E84"/>
    <w:rsid w:val="0041121A"/>
    <w:rsid w:val="00412135"/>
    <w:rsid w:val="00414268"/>
    <w:rsid w:val="0041490C"/>
    <w:rsid w:val="00414973"/>
    <w:rsid w:val="004166D0"/>
    <w:rsid w:val="004206ED"/>
    <w:rsid w:val="00423F35"/>
    <w:rsid w:val="0042516E"/>
    <w:rsid w:val="00430AD9"/>
    <w:rsid w:val="004317C9"/>
    <w:rsid w:val="00440560"/>
    <w:rsid w:val="00441D08"/>
    <w:rsid w:val="00446CED"/>
    <w:rsid w:val="00450C32"/>
    <w:rsid w:val="00451C58"/>
    <w:rsid w:val="004555EA"/>
    <w:rsid w:val="00455747"/>
    <w:rsid w:val="00456559"/>
    <w:rsid w:val="00461EC4"/>
    <w:rsid w:val="00470AF7"/>
    <w:rsid w:val="00471C55"/>
    <w:rsid w:val="00474CAB"/>
    <w:rsid w:val="004759D9"/>
    <w:rsid w:val="00481049"/>
    <w:rsid w:val="00481CAC"/>
    <w:rsid w:val="004822E7"/>
    <w:rsid w:val="004824BE"/>
    <w:rsid w:val="00486439"/>
    <w:rsid w:val="0049189C"/>
    <w:rsid w:val="0049292B"/>
    <w:rsid w:val="004929CD"/>
    <w:rsid w:val="00493F70"/>
    <w:rsid w:val="004951F1"/>
    <w:rsid w:val="00495E72"/>
    <w:rsid w:val="00496448"/>
    <w:rsid w:val="00497999"/>
    <w:rsid w:val="004A2CDD"/>
    <w:rsid w:val="004A58E6"/>
    <w:rsid w:val="004A5C44"/>
    <w:rsid w:val="004B203F"/>
    <w:rsid w:val="004B2BE4"/>
    <w:rsid w:val="004B71D6"/>
    <w:rsid w:val="004B78C2"/>
    <w:rsid w:val="004C0478"/>
    <w:rsid w:val="004C057E"/>
    <w:rsid w:val="004C1F68"/>
    <w:rsid w:val="004C2BC0"/>
    <w:rsid w:val="004C7633"/>
    <w:rsid w:val="004D052A"/>
    <w:rsid w:val="004D08E6"/>
    <w:rsid w:val="004D1211"/>
    <w:rsid w:val="004D4440"/>
    <w:rsid w:val="004D5C7E"/>
    <w:rsid w:val="004E16AE"/>
    <w:rsid w:val="004E1B02"/>
    <w:rsid w:val="004E2674"/>
    <w:rsid w:val="004E5F63"/>
    <w:rsid w:val="004E7108"/>
    <w:rsid w:val="004F215E"/>
    <w:rsid w:val="004F33A1"/>
    <w:rsid w:val="004F57F2"/>
    <w:rsid w:val="004F5BDE"/>
    <w:rsid w:val="00500483"/>
    <w:rsid w:val="00502773"/>
    <w:rsid w:val="005030B2"/>
    <w:rsid w:val="005054CE"/>
    <w:rsid w:val="00506F88"/>
    <w:rsid w:val="00507529"/>
    <w:rsid w:val="005114E6"/>
    <w:rsid w:val="00511D63"/>
    <w:rsid w:val="00514FB2"/>
    <w:rsid w:val="005156DD"/>
    <w:rsid w:val="00517B22"/>
    <w:rsid w:val="005201F1"/>
    <w:rsid w:val="00523604"/>
    <w:rsid w:val="00523D9F"/>
    <w:rsid w:val="00525248"/>
    <w:rsid w:val="00525C12"/>
    <w:rsid w:val="00530C69"/>
    <w:rsid w:val="005357A7"/>
    <w:rsid w:val="00542BC6"/>
    <w:rsid w:val="005436FD"/>
    <w:rsid w:val="005457F4"/>
    <w:rsid w:val="005458FA"/>
    <w:rsid w:val="00547FC4"/>
    <w:rsid w:val="005513AB"/>
    <w:rsid w:val="005518D1"/>
    <w:rsid w:val="00553C55"/>
    <w:rsid w:val="00556748"/>
    <w:rsid w:val="00562601"/>
    <w:rsid w:val="0056279A"/>
    <w:rsid w:val="00563914"/>
    <w:rsid w:val="00567102"/>
    <w:rsid w:val="005700F1"/>
    <w:rsid w:val="005711E8"/>
    <w:rsid w:val="00573BA9"/>
    <w:rsid w:val="00574B10"/>
    <w:rsid w:val="00574CCC"/>
    <w:rsid w:val="00582562"/>
    <w:rsid w:val="00583767"/>
    <w:rsid w:val="00583A60"/>
    <w:rsid w:val="00587887"/>
    <w:rsid w:val="00592308"/>
    <w:rsid w:val="005926B8"/>
    <w:rsid w:val="00596B7D"/>
    <w:rsid w:val="0059787C"/>
    <w:rsid w:val="005A09F0"/>
    <w:rsid w:val="005A1DB5"/>
    <w:rsid w:val="005A7191"/>
    <w:rsid w:val="005B0246"/>
    <w:rsid w:val="005B0E30"/>
    <w:rsid w:val="005B3207"/>
    <w:rsid w:val="005B78BB"/>
    <w:rsid w:val="005C0426"/>
    <w:rsid w:val="005C2807"/>
    <w:rsid w:val="005C5A15"/>
    <w:rsid w:val="005C6853"/>
    <w:rsid w:val="005C6EE9"/>
    <w:rsid w:val="005D3DFF"/>
    <w:rsid w:val="005D4931"/>
    <w:rsid w:val="005D574E"/>
    <w:rsid w:val="005E2D5D"/>
    <w:rsid w:val="005E42FB"/>
    <w:rsid w:val="005E6910"/>
    <w:rsid w:val="005E6B63"/>
    <w:rsid w:val="005F553A"/>
    <w:rsid w:val="0060108E"/>
    <w:rsid w:val="006028E6"/>
    <w:rsid w:val="00604FBE"/>
    <w:rsid w:val="00606426"/>
    <w:rsid w:val="00610535"/>
    <w:rsid w:val="00610ACC"/>
    <w:rsid w:val="006116FE"/>
    <w:rsid w:val="00614584"/>
    <w:rsid w:val="00616254"/>
    <w:rsid w:val="00620749"/>
    <w:rsid w:val="0062308D"/>
    <w:rsid w:val="00623A65"/>
    <w:rsid w:val="00625466"/>
    <w:rsid w:val="00625CE2"/>
    <w:rsid w:val="00625FA9"/>
    <w:rsid w:val="0062637C"/>
    <w:rsid w:val="00633873"/>
    <w:rsid w:val="00635190"/>
    <w:rsid w:val="006371F1"/>
    <w:rsid w:val="006417D2"/>
    <w:rsid w:val="00641B33"/>
    <w:rsid w:val="00643BF8"/>
    <w:rsid w:val="00643DE5"/>
    <w:rsid w:val="00643E77"/>
    <w:rsid w:val="00646873"/>
    <w:rsid w:val="00646998"/>
    <w:rsid w:val="00650439"/>
    <w:rsid w:val="00654C5E"/>
    <w:rsid w:val="00655C08"/>
    <w:rsid w:val="006610A3"/>
    <w:rsid w:val="00662AE1"/>
    <w:rsid w:val="00665263"/>
    <w:rsid w:val="00671AE1"/>
    <w:rsid w:val="00673295"/>
    <w:rsid w:val="00673A21"/>
    <w:rsid w:val="0067442F"/>
    <w:rsid w:val="00676046"/>
    <w:rsid w:val="00677D3B"/>
    <w:rsid w:val="006819DF"/>
    <w:rsid w:val="006848B6"/>
    <w:rsid w:val="006861CD"/>
    <w:rsid w:val="006864AE"/>
    <w:rsid w:val="00687196"/>
    <w:rsid w:val="006959EE"/>
    <w:rsid w:val="00695B40"/>
    <w:rsid w:val="00695DB8"/>
    <w:rsid w:val="0069786D"/>
    <w:rsid w:val="00697C70"/>
    <w:rsid w:val="006A0AF9"/>
    <w:rsid w:val="006A1323"/>
    <w:rsid w:val="006A4210"/>
    <w:rsid w:val="006A4BD9"/>
    <w:rsid w:val="006A4DB2"/>
    <w:rsid w:val="006A6F7E"/>
    <w:rsid w:val="006B261D"/>
    <w:rsid w:val="006B3673"/>
    <w:rsid w:val="006B6104"/>
    <w:rsid w:val="006C21D0"/>
    <w:rsid w:val="006C4107"/>
    <w:rsid w:val="006C79B4"/>
    <w:rsid w:val="006D3FF5"/>
    <w:rsid w:val="006E318C"/>
    <w:rsid w:val="006E6B5A"/>
    <w:rsid w:val="006F06AB"/>
    <w:rsid w:val="006F3EE9"/>
    <w:rsid w:val="006F4B26"/>
    <w:rsid w:val="006F7A3F"/>
    <w:rsid w:val="00707CFA"/>
    <w:rsid w:val="007116E6"/>
    <w:rsid w:val="00713094"/>
    <w:rsid w:val="0071530E"/>
    <w:rsid w:val="00716F3C"/>
    <w:rsid w:val="00722284"/>
    <w:rsid w:val="00723244"/>
    <w:rsid w:val="0073150D"/>
    <w:rsid w:val="00732993"/>
    <w:rsid w:val="00732EA7"/>
    <w:rsid w:val="00733533"/>
    <w:rsid w:val="0073517B"/>
    <w:rsid w:val="00735691"/>
    <w:rsid w:val="00736FEF"/>
    <w:rsid w:val="0074652A"/>
    <w:rsid w:val="00747187"/>
    <w:rsid w:val="007478D1"/>
    <w:rsid w:val="00752565"/>
    <w:rsid w:val="007527D5"/>
    <w:rsid w:val="00755F83"/>
    <w:rsid w:val="0076008A"/>
    <w:rsid w:val="00764BC0"/>
    <w:rsid w:val="00766D23"/>
    <w:rsid w:val="00771EEE"/>
    <w:rsid w:val="007736B7"/>
    <w:rsid w:val="00774711"/>
    <w:rsid w:val="0077583A"/>
    <w:rsid w:val="007803CC"/>
    <w:rsid w:val="00782495"/>
    <w:rsid w:val="007826BA"/>
    <w:rsid w:val="00786D8A"/>
    <w:rsid w:val="00787608"/>
    <w:rsid w:val="00787F60"/>
    <w:rsid w:val="007901AD"/>
    <w:rsid w:val="007940F5"/>
    <w:rsid w:val="00794AD1"/>
    <w:rsid w:val="00795F3E"/>
    <w:rsid w:val="0079676B"/>
    <w:rsid w:val="00797995"/>
    <w:rsid w:val="007A0D2C"/>
    <w:rsid w:val="007A2731"/>
    <w:rsid w:val="007A5104"/>
    <w:rsid w:val="007A5ACA"/>
    <w:rsid w:val="007A7AB8"/>
    <w:rsid w:val="007B0E20"/>
    <w:rsid w:val="007C3885"/>
    <w:rsid w:val="007C68A8"/>
    <w:rsid w:val="007D195C"/>
    <w:rsid w:val="007D1ABF"/>
    <w:rsid w:val="007D2295"/>
    <w:rsid w:val="007D6E76"/>
    <w:rsid w:val="007D7D7B"/>
    <w:rsid w:val="007E5C38"/>
    <w:rsid w:val="007F4C7D"/>
    <w:rsid w:val="007F7BFE"/>
    <w:rsid w:val="00802506"/>
    <w:rsid w:val="0080253A"/>
    <w:rsid w:val="00802F3D"/>
    <w:rsid w:val="008078EA"/>
    <w:rsid w:val="00810420"/>
    <w:rsid w:val="0081203F"/>
    <w:rsid w:val="008121DE"/>
    <w:rsid w:val="0081391B"/>
    <w:rsid w:val="008211F7"/>
    <w:rsid w:val="00821265"/>
    <w:rsid w:val="00823CCE"/>
    <w:rsid w:val="0083009B"/>
    <w:rsid w:val="008325D9"/>
    <w:rsid w:val="00832C30"/>
    <w:rsid w:val="00832E5E"/>
    <w:rsid w:val="00834432"/>
    <w:rsid w:val="00834FED"/>
    <w:rsid w:val="0083737C"/>
    <w:rsid w:val="00840797"/>
    <w:rsid w:val="00840AD7"/>
    <w:rsid w:val="008419B0"/>
    <w:rsid w:val="008462C6"/>
    <w:rsid w:val="00853692"/>
    <w:rsid w:val="0085608C"/>
    <w:rsid w:val="0085748B"/>
    <w:rsid w:val="0086618B"/>
    <w:rsid w:val="008753BE"/>
    <w:rsid w:val="00877494"/>
    <w:rsid w:val="0088255F"/>
    <w:rsid w:val="008868FE"/>
    <w:rsid w:val="00890A95"/>
    <w:rsid w:val="008922D4"/>
    <w:rsid w:val="0089393B"/>
    <w:rsid w:val="008950E7"/>
    <w:rsid w:val="0089614B"/>
    <w:rsid w:val="008A56A7"/>
    <w:rsid w:val="008A5E5C"/>
    <w:rsid w:val="008B0198"/>
    <w:rsid w:val="008C1CDC"/>
    <w:rsid w:val="008C2554"/>
    <w:rsid w:val="008C2D64"/>
    <w:rsid w:val="008C2D76"/>
    <w:rsid w:val="008C3675"/>
    <w:rsid w:val="008C5708"/>
    <w:rsid w:val="008C7920"/>
    <w:rsid w:val="008D02D8"/>
    <w:rsid w:val="008D0BC9"/>
    <w:rsid w:val="008D0DEF"/>
    <w:rsid w:val="008D70A1"/>
    <w:rsid w:val="008E14BA"/>
    <w:rsid w:val="008E43AF"/>
    <w:rsid w:val="008E5C41"/>
    <w:rsid w:val="008F12D6"/>
    <w:rsid w:val="008F2223"/>
    <w:rsid w:val="008F3B8A"/>
    <w:rsid w:val="008F42A8"/>
    <w:rsid w:val="008F740B"/>
    <w:rsid w:val="009013F4"/>
    <w:rsid w:val="009069DA"/>
    <w:rsid w:val="009114E3"/>
    <w:rsid w:val="009130A2"/>
    <w:rsid w:val="00914B9B"/>
    <w:rsid w:val="009252F3"/>
    <w:rsid w:val="00926B8A"/>
    <w:rsid w:val="009303A2"/>
    <w:rsid w:val="00931042"/>
    <w:rsid w:val="00931186"/>
    <w:rsid w:val="0093272C"/>
    <w:rsid w:val="009342AC"/>
    <w:rsid w:val="00935131"/>
    <w:rsid w:val="00935DEA"/>
    <w:rsid w:val="00936C45"/>
    <w:rsid w:val="00936C5E"/>
    <w:rsid w:val="00936F9B"/>
    <w:rsid w:val="00940117"/>
    <w:rsid w:val="009405CD"/>
    <w:rsid w:val="00941D04"/>
    <w:rsid w:val="00946320"/>
    <w:rsid w:val="00946351"/>
    <w:rsid w:val="0095164B"/>
    <w:rsid w:val="0095202F"/>
    <w:rsid w:val="009522E6"/>
    <w:rsid w:val="00954EA7"/>
    <w:rsid w:val="0095519D"/>
    <w:rsid w:val="00956075"/>
    <w:rsid w:val="00961629"/>
    <w:rsid w:val="009654A6"/>
    <w:rsid w:val="00965FCD"/>
    <w:rsid w:val="00976B6E"/>
    <w:rsid w:val="009777FF"/>
    <w:rsid w:val="0098376D"/>
    <w:rsid w:val="0098584E"/>
    <w:rsid w:val="0098592E"/>
    <w:rsid w:val="009918B2"/>
    <w:rsid w:val="009A1742"/>
    <w:rsid w:val="009A1882"/>
    <w:rsid w:val="009A2316"/>
    <w:rsid w:val="009A2390"/>
    <w:rsid w:val="009B0D69"/>
    <w:rsid w:val="009B1545"/>
    <w:rsid w:val="009B44BA"/>
    <w:rsid w:val="009C311B"/>
    <w:rsid w:val="009C5FD9"/>
    <w:rsid w:val="009C62E3"/>
    <w:rsid w:val="009D1EF1"/>
    <w:rsid w:val="009D35A9"/>
    <w:rsid w:val="009E16B0"/>
    <w:rsid w:val="009E61C9"/>
    <w:rsid w:val="009F06E9"/>
    <w:rsid w:val="009F24DF"/>
    <w:rsid w:val="009F4DF3"/>
    <w:rsid w:val="009F6818"/>
    <w:rsid w:val="009F6B2F"/>
    <w:rsid w:val="00A05974"/>
    <w:rsid w:val="00A07686"/>
    <w:rsid w:val="00A109C9"/>
    <w:rsid w:val="00A12B7E"/>
    <w:rsid w:val="00A12C01"/>
    <w:rsid w:val="00A13746"/>
    <w:rsid w:val="00A13E8E"/>
    <w:rsid w:val="00A15084"/>
    <w:rsid w:val="00A167EC"/>
    <w:rsid w:val="00A16C94"/>
    <w:rsid w:val="00A173E6"/>
    <w:rsid w:val="00A216F4"/>
    <w:rsid w:val="00A22528"/>
    <w:rsid w:val="00A2720B"/>
    <w:rsid w:val="00A3350A"/>
    <w:rsid w:val="00A34D8F"/>
    <w:rsid w:val="00A3548F"/>
    <w:rsid w:val="00A35E3F"/>
    <w:rsid w:val="00A42233"/>
    <w:rsid w:val="00A446B2"/>
    <w:rsid w:val="00A44DD9"/>
    <w:rsid w:val="00A4607C"/>
    <w:rsid w:val="00A50846"/>
    <w:rsid w:val="00A52C72"/>
    <w:rsid w:val="00A56A78"/>
    <w:rsid w:val="00A61268"/>
    <w:rsid w:val="00A614F8"/>
    <w:rsid w:val="00A62C6D"/>
    <w:rsid w:val="00A64252"/>
    <w:rsid w:val="00A64C31"/>
    <w:rsid w:val="00A67B67"/>
    <w:rsid w:val="00A71BB6"/>
    <w:rsid w:val="00A71D07"/>
    <w:rsid w:val="00A736F3"/>
    <w:rsid w:val="00A75353"/>
    <w:rsid w:val="00A7705A"/>
    <w:rsid w:val="00A77FDD"/>
    <w:rsid w:val="00A85421"/>
    <w:rsid w:val="00A908C3"/>
    <w:rsid w:val="00A93445"/>
    <w:rsid w:val="00A97CE6"/>
    <w:rsid w:val="00AA0FB8"/>
    <w:rsid w:val="00AA5B63"/>
    <w:rsid w:val="00AA5B6C"/>
    <w:rsid w:val="00AA65EE"/>
    <w:rsid w:val="00AB06F3"/>
    <w:rsid w:val="00AB15B1"/>
    <w:rsid w:val="00AB389D"/>
    <w:rsid w:val="00AB3A5F"/>
    <w:rsid w:val="00AC2497"/>
    <w:rsid w:val="00AC4794"/>
    <w:rsid w:val="00AC6D06"/>
    <w:rsid w:val="00AC6E9D"/>
    <w:rsid w:val="00AC7065"/>
    <w:rsid w:val="00AD19C9"/>
    <w:rsid w:val="00AD43A1"/>
    <w:rsid w:val="00AE3A3E"/>
    <w:rsid w:val="00AF1E32"/>
    <w:rsid w:val="00B007F0"/>
    <w:rsid w:val="00B014CC"/>
    <w:rsid w:val="00B018D8"/>
    <w:rsid w:val="00B044B0"/>
    <w:rsid w:val="00B05B9A"/>
    <w:rsid w:val="00B0630A"/>
    <w:rsid w:val="00B15EFE"/>
    <w:rsid w:val="00B15FE2"/>
    <w:rsid w:val="00B21D5E"/>
    <w:rsid w:val="00B23B34"/>
    <w:rsid w:val="00B30A5E"/>
    <w:rsid w:val="00B318E1"/>
    <w:rsid w:val="00B32C2B"/>
    <w:rsid w:val="00B32D9C"/>
    <w:rsid w:val="00B3378B"/>
    <w:rsid w:val="00B43E6F"/>
    <w:rsid w:val="00B46C1E"/>
    <w:rsid w:val="00B47185"/>
    <w:rsid w:val="00B517EA"/>
    <w:rsid w:val="00B52CFF"/>
    <w:rsid w:val="00B54FEC"/>
    <w:rsid w:val="00B63CEF"/>
    <w:rsid w:val="00B6444F"/>
    <w:rsid w:val="00B654C8"/>
    <w:rsid w:val="00B665C0"/>
    <w:rsid w:val="00B700B8"/>
    <w:rsid w:val="00B70E0E"/>
    <w:rsid w:val="00B71395"/>
    <w:rsid w:val="00B739E0"/>
    <w:rsid w:val="00B742CF"/>
    <w:rsid w:val="00B745A8"/>
    <w:rsid w:val="00B758BB"/>
    <w:rsid w:val="00B77173"/>
    <w:rsid w:val="00B824AC"/>
    <w:rsid w:val="00B83500"/>
    <w:rsid w:val="00B85D8F"/>
    <w:rsid w:val="00B862DC"/>
    <w:rsid w:val="00B872EC"/>
    <w:rsid w:val="00B8787A"/>
    <w:rsid w:val="00B91E5F"/>
    <w:rsid w:val="00B928AD"/>
    <w:rsid w:val="00B958AA"/>
    <w:rsid w:val="00BA2CAF"/>
    <w:rsid w:val="00BA4248"/>
    <w:rsid w:val="00BA7D82"/>
    <w:rsid w:val="00BC26BF"/>
    <w:rsid w:val="00BC3BB8"/>
    <w:rsid w:val="00BC727D"/>
    <w:rsid w:val="00BE3568"/>
    <w:rsid w:val="00BE37F3"/>
    <w:rsid w:val="00BE4BF6"/>
    <w:rsid w:val="00BE7C21"/>
    <w:rsid w:val="00BF0362"/>
    <w:rsid w:val="00BF3538"/>
    <w:rsid w:val="00BF4FDB"/>
    <w:rsid w:val="00BF7A3B"/>
    <w:rsid w:val="00C00475"/>
    <w:rsid w:val="00C021A1"/>
    <w:rsid w:val="00C034D9"/>
    <w:rsid w:val="00C06928"/>
    <w:rsid w:val="00C07F70"/>
    <w:rsid w:val="00C100E9"/>
    <w:rsid w:val="00C17A57"/>
    <w:rsid w:val="00C20384"/>
    <w:rsid w:val="00C23467"/>
    <w:rsid w:val="00C23D40"/>
    <w:rsid w:val="00C24379"/>
    <w:rsid w:val="00C26E15"/>
    <w:rsid w:val="00C3320F"/>
    <w:rsid w:val="00C35F5D"/>
    <w:rsid w:val="00C360DC"/>
    <w:rsid w:val="00C36CED"/>
    <w:rsid w:val="00C3773C"/>
    <w:rsid w:val="00C4167D"/>
    <w:rsid w:val="00C42C80"/>
    <w:rsid w:val="00C43D97"/>
    <w:rsid w:val="00C445DA"/>
    <w:rsid w:val="00C45BF7"/>
    <w:rsid w:val="00C47F31"/>
    <w:rsid w:val="00C51D08"/>
    <w:rsid w:val="00C52F30"/>
    <w:rsid w:val="00C54172"/>
    <w:rsid w:val="00C54828"/>
    <w:rsid w:val="00C578C6"/>
    <w:rsid w:val="00C57B68"/>
    <w:rsid w:val="00C60EAE"/>
    <w:rsid w:val="00C64429"/>
    <w:rsid w:val="00C65C74"/>
    <w:rsid w:val="00C708F3"/>
    <w:rsid w:val="00C736F8"/>
    <w:rsid w:val="00C75E53"/>
    <w:rsid w:val="00C778AA"/>
    <w:rsid w:val="00C81F7C"/>
    <w:rsid w:val="00C85C11"/>
    <w:rsid w:val="00C92068"/>
    <w:rsid w:val="00C9352D"/>
    <w:rsid w:val="00C93A5B"/>
    <w:rsid w:val="00C97907"/>
    <w:rsid w:val="00CB0D25"/>
    <w:rsid w:val="00CB1CF1"/>
    <w:rsid w:val="00CB1F5B"/>
    <w:rsid w:val="00CB48E5"/>
    <w:rsid w:val="00CB55F6"/>
    <w:rsid w:val="00CB6E18"/>
    <w:rsid w:val="00CB73BB"/>
    <w:rsid w:val="00CC4E1F"/>
    <w:rsid w:val="00CC565F"/>
    <w:rsid w:val="00CC74D8"/>
    <w:rsid w:val="00CD0302"/>
    <w:rsid w:val="00CD2953"/>
    <w:rsid w:val="00CD42F7"/>
    <w:rsid w:val="00CE0AFE"/>
    <w:rsid w:val="00CE4116"/>
    <w:rsid w:val="00CE58A1"/>
    <w:rsid w:val="00CE709E"/>
    <w:rsid w:val="00CF039C"/>
    <w:rsid w:val="00CF1E3C"/>
    <w:rsid w:val="00CF2040"/>
    <w:rsid w:val="00CF327F"/>
    <w:rsid w:val="00CF364C"/>
    <w:rsid w:val="00CF4D36"/>
    <w:rsid w:val="00CF6096"/>
    <w:rsid w:val="00CF7150"/>
    <w:rsid w:val="00D00F93"/>
    <w:rsid w:val="00D01AA7"/>
    <w:rsid w:val="00D03039"/>
    <w:rsid w:val="00D05B65"/>
    <w:rsid w:val="00D06139"/>
    <w:rsid w:val="00D1279F"/>
    <w:rsid w:val="00D12C75"/>
    <w:rsid w:val="00D134E2"/>
    <w:rsid w:val="00D14DAA"/>
    <w:rsid w:val="00D16A1C"/>
    <w:rsid w:val="00D177A9"/>
    <w:rsid w:val="00D17E71"/>
    <w:rsid w:val="00D21C84"/>
    <w:rsid w:val="00D231B2"/>
    <w:rsid w:val="00D25112"/>
    <w:rsid w:val="00D26524"/>
    <w:rsid w:val="00D35D50"/>
    <w:rsid w:val="00D40440"/>
    <w:rsid w:val="00D41F4B"/>
    <w:rsid w:val="00D427EB"/>
    <w:rsid w:val="00D44200"/>
    <w:rsid w:val="00D4477F"/>
    <w:rsid w:val="00D477CB"/>
    <w:rsid w:val="00D53056"/>
    <w:rsid w:val="00D54ECC"/>
    <w:rsid w:val="00D56CFF"/>
    <w:rsid w:val="00D61900"/>
    <w:rsid w:val="00D649FF"/>
    <w:rsid w:val="00D654D6"/>
    <w:rsid w:val="00D65BE9"/>
    <w:rsid w:val="00D661F0"/>
    <w:rsid w:val="00D67500"/>
    <w:rsid w:val="00D7478B"/>
    <w:rsid w:val="00D7782E"/>
    <w:rsid w:val="00D818BC"/>
    <w:rsid w:val="00D82102"/>
    <w:rsid w:val="00D8230A"/>
    <w:rsid w:val="00D82944"/>
    <w:rsid w:val="00D84575"/>
    <w:rsid w:val="00D85B50"/>
    <w:rsid w:val="00D943E2"/>
    <w:rsid w:val="00DA2E9E"/>
    <w:rsid w:val="00DA3B4C"/>
    <w:rsid w:val="00DA7636"/>
    <w:rsid w:val="00DA78CF"/>
    <w:rsid w:val="00DB369E"/>
    <w:rsid w:val="00DB4446"/>
    <w:rsid w:val="00DB5A3F"/>
    <w:rsid w:val="00DB5A60"/>
    <w:rsid w:val="00DC33AB"/>
    <w:rsid w:val="00DC3FA7"/>
    <w:rsid w:val="00DC5E13"/>
    <w:rsid w:val="00DD087C"/>
    <w:rsid w:val="00DD126B"/>
    <w:rsid w:val="00DD1787"/>
    <w:rsid w:val="00DD26A7"/>
    <w:rsid w:val="00DD4BD3"/>
    <w:rsid w:val="00DD590C"/>
    <w:rsid w:val="00DE111D"/>
    <w:rsid w:val="00DE1A15"/>
    <w:rsid w:val="00DE43CC"/>
    <w:rsid w:val="00DE4C7B"/>
    <w:rsid w:val="00DE5998"/>
    <w:rsid w:val="00DF3E05"/>
    <w:rsid w:val="00DF5571"/>
    <w:rsid w:val="00DF6F87"/>
    <w:rsid w:val="00E0213C"/>
    <w:rsid w:val="00E03818"/>
    <w:rsid w:val="00E069C2"/>
    <w:rsid w:val="00E06FEC"/>
    <w:rsid w:val="00E07F5F"/>
    <w:rsid w:val="00E11D2F"/>
    <w:rsid w:val="00E20220"/>
    <w:rsid w:val="00E24D63"/>
    <w:rsid w:val="00E26711"/>
    <w:rsid w:val="00E26CDC"/>
    <w:rsid w:val="00E31D90"/>
    <w:rsid w:val="00E322EA"/>
    <w:rsid w:val="00E33783"/>
    <w:rsid w:val="00E37F61"/>
    <w:rsid w:val="00E43318"/>
    <w:rsid w:val="00E447C9"/>
    <w:rsid w:val="00E461F6"/>
    <w:rsid w:val="00E4667F"/>
    <w:rsid w:val="00E509F5"/>
    <w:rsid w:val="00E54509"/>
    <w:rsid w:val="00E55127"/>
    <w:rsid w:val="00E55A73"/>
    <w:rsid w:val="00E566FE"/>
    <w:rsid w:val="00E614F2"/>
    <w:rsid w:val="00E64390"/>
    <w:rsid w:val="00E6753F"/>
    <w:rsid w:val="00E67E37"/>
    <w:rsid w:val="00E70CE6"/>
    <w:rsid w:val="00E71689"/>
    <w:rsid w:val="00E73F74"/>
    <w:rsid w:val="00E748F2"/>
    <w:rsid w:val="00E8076C"/>
    <w:rsid w:val="00E86980"/>
    <w:rsid w:val="00E90F83"/>
    <w:rsid w:val="00E915DB"/>
    <w:rsid w:val="00E94B7A"/>
    <w:rsid w:val="00E94DDD"/>
    <w:rsid w:val="00E95897"/>
    <w:rsid w:val="00E966D4"/>
    <w:rsid w:val="00E97256"/>
    <w:rsid w:val="00E972FC"/>
    <w:rsid w:val="00EA0456"/>
    <w:rsid w:val="00EA3B5A"/>
    <w:rsid w:val="00EA46F1"/>
    <w:rsid w:val="00EA7135"/>
    <w:rsid w:val="00EA7373"/>
    <w:rsid w:val="00EB0607"/>
    <w:rsid w:val="00EB1CF6"/>
    <w:rsid w:val="00EB3B89"/>
    <w:rsid w:val="00EB72A7"/>
    <w:rsid w:val="00EC0B1F"/>
    <w:rsid w:val="00EC10C7"/>
    <w:rsid w:val="00EC1AA6"/>
    <w:rsid w:val="00EC20F0"/>
    <w:rsid w:val="00EC37B2"/>
    <w:rsid w:val="00EC37C2"/>
    <w:rsid w:val="00EC4F2D"/>
    <w:rsid w:val="00EC515E"/>
    <w:rsid w:val="00EC62EC"/>
    <w:rsid w:val="00EC72D6"/>
    <w:rsid w:val="00EC72FB"/>
    <w:rsid w:val="00ED64D4"/>
    <w:rsid w:val="00ED6703"/>
    <w:rsid w:val="00EE2D6A"/>
    <w:rsid w:val="00EE364A"/>
    <w:rsid w:val="00EE5B3D"/>
    <w:rsid w:val="00EE62AA"/>
    <w:rsid w:val="00EE7C55"/>
    <w:rsid w:val="00EF03FB"/>
    <w:rsid w:val="00EF3B0A"/>
    <w:rsid w:val="00EF44A6"/>
    <w:rsid w:val="00F01533"/>
    <w:rsid w:val="00F03530"/>
    <w:rsid w:val="00F05F92"/>
    <w:rsid w:val="00F10262"/>
    <w:rsid w:val="00F12CB0"/>
    <w:rsid w:val="00F17619"/>
    <w:rsid w:val="00F17AA1"/>
    <w:rsid w:val="00F2071E"/>
    <w:rsid w:val="00F2079E"/>
    <w:rsid w:val="00F23578"/>
    <w:rsid w:val="00F2767C"/>
    <w:rsid w:val="00F30CC0"/>
    <w:rsid w:val="00F3169D"/>
    <w:rsid w:val="00F31B30"/>
    <w:rsid w:val="00F34929"/>
    <w:rsid w:val="00F34F42"/>
    <w:rsid w:val="00F35144"/>
    <w:rsid w:val="00F359D5"/>
    <w:rsid w:val="00F372B9"/>
    <w:rsid w:val="00F400F2"/>
    <w:rsid w:val="00F42484"/>
    <w:rsid w:val="00F44D0D"/>
    <w:rsid w:val="00F51BDE"/>
    <w:rsid w:val="00F558D9"/>
    <w:rsid w:val="00F55B92"/>
    <w:rsid w:val="00F55FE8"/>
    <w:rsid w:val="00F57CA4"/>
    <w:rsid w:val="00F600D2"/>
    <w:rsid w:val="00F61BD1"/>
    <w:rsid w:val="00F6324C"/>
    <w:rsid w:val="00F635DA"/>
    <w:rsid w:val="00F6651C"/>
    <w:rsid w:val="00F70656"/>
    <w:rsid w:val="00F73D1B"/>
    <w:rsid w:val="00F76BA2"/>
    <w:rsid w:val="00F77848"/>
    <w:rsid w:val="00F81406"/>
    <w:rsid w:val="00F81F92"/>
    <w:rsid w:val="00F87F2B"/>
    <w:rsid w:val="00F90ABE"/>
    <w:rsid w:val="00F9365A"/>
    <w:rsid w:val="00FA0597"/>
    <w:rsid w:val="00FA4AA5"/>
    <w:rsid w:val="00FB6CA0"/>
    <w:rsid w:val="00FC0E23"/>
    <w:rsid w:val="00FC2946"/>
    <w:rsid w:val="00FC4164"/>
    <w:rsid w:val="00FC7A5F"/>
    <w:rsid w:val="00FD5717"/>
    <w:rsid w:val="00FD714E"/>
    <w:rsid w:val="00FE0569"/>
    <w:rsid w:val="00FE0C14"/>
    <w:rsid w:val="00FE22F1"/>
    <w:rsid w:val="00FE2361"/>
    <w:rsid w:val="00FE278A"/>
    <w:rsid w:val="00FE436D"/>
    <w:rsid w:val="00FE4E4C"/>
    <w:rsid w:val="00FF036D"/>
    <w:rsid w:val="00FF1E7F"/>
    <w:rsid w:val="00FF2B08"/>
    <w:rsid w:val="00FF594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F9DF"/>
  <w15:chartTrackingRefBased/>
  <w15:docId w15:val="{BB1D3E05-22EF-B044-89FA-2D3935AF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fr-BE"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C9"/>
    <w:rPr>
      <w:rFonts w:ascii="Times New Roman" w:eastAsia="Times New Roman" w:hAnsi="Times New Roman"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18BC"/>
    <w:pPr>
      <w:ind w:left="720"/>
      <w:contextualSpacing/>
    </w:pPr>
    <w:rPr>
      <w:rFonts w:asciiTheme="minorHAnsi" w:eastAsiaTheme="minorEastAsia" w:hAnsiTheme="minorHAnsi" w:cstheme="minorBidi"/>
      <w:kern w:val="2"/>
      <w14:ligatures w14:val="standardContextual"/>
    </w:rPr>
  </w:style>
  <w:style w:type="paragraph" w:styleId="Notedebasdepage">
    <w:name w:val="footnote text"/>
    <w:basedOn w:val="Normal"/>
    <w:link w:val="NotedebasdepageCar"/>
    <w:uiPriority w:val="99"/>
    <w:semiHidden/>
    <w:unhideWhenUsed/>
    <w:rsid w:val="001333A3"/>
    <w:rPr>
      <w:rFonts w:asciiTheme="minorHAnsi" w:eastAsiaTheme="minorEastAsia" w:hAnsiTheme="minorHAnsi" w:cstheme="minorBidi"/>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1333A3"/>
    <w:rPr>
      <w:kern w:val="0"/>
      <w:sz w:val="20"/>
      <w:szCs w:val="20"/>
      <w14:ligatures w14:val="none"/>
    </w:rPr>
  </w:style>
  <w:style w:type="character" w:styleId="Appelnotedebasdep">
    <w:name w:val="footnote reference"/>
    <w:basedOn w:val="Policepardfaut"/>
    <w:uiPriority w:val="99"/>
    <w:semiHidden/>
    <w:unhideWhenUsed/>
    <w:rsid w:val="001333A3"/>
    <w:rPr>
      <w:vertAlign w:val="superscript"/>
    </w:rPr>
  </w:style>
  <w:style w:type="character" w:customStyle="1" w:styleId="apple-converted-space">
    <w:name w:val="apple-converted-space"/>
    <w:basedOn w:val="Policepardfaut"/>
    <w:rsid w:val="00045D03"/>
  </w:style>
  <w:style w:type="character" w:styleId="Lienhypertexte">
    <w:name w:val="Hyperlink"/>
    <w:basedOn w:val="Policepardfaut"/>
    <w:uiPriority w:val="99"/>
    <w:unhideWhenUsed/>
    <w:rsid w:val="00045D03"/>
    <w:rPr>
      <w:color w:val="0000FF"/>
      <w:u w:val="single"/>
    </w:rPr>
  </w:style>
  <w:style w:type="paragraph" w:styleId="Rvision">
    <w:name w:val="Revision"/>
    <w:hidden/>
    <w:uiPriority w:val="99"/>
    <w:semiHidden/>
    <w:rsid w:val="001B26D1"/>
  </w:style>
  <w:style w:type="character" w:styleId="Marquedecommentaire">
    <w:name w:val="annotation reference"/>
    <w:basedOn w:val="Policepardfaut"/>
    <w:uiPriority w:val="99"/>
    <w:semiHidden/>
    <w:unhideWhenUsed/>
    <w:rsid w:val="00371DA4"/>
    <w:rPr>
      <w:sz w:val="16"/>
      <w:szCs w:val="16"/>
    </w:rPr>
  </w:style>
  <w:style w:type="paragraph" w:styleId="Commentaire">
    <w:name w:val="annotation text"/>
    <w:basedOn w:val="Normal"/>
    <w:link w:val="CommentaireCar"/>
    <w:uiPriority w:val="99"/>
    <w:semiHidden/>
    <w:unhideWhenUsed/>
    <w:rsid w:val="00371DA4"/>
    <w:rPr>
      <w:rFonts w:asciiTheme="minorHAnsi" w:eastAsiaTheme="minorEastAsia" w:hAnsiTheme="minorHAnsi" w:cstheme="minorBidi"/>
      <w:kern w:val="2"/>
      <w:sz w:val="20"/>
      <w:szCs w:val="20"/>
      <w14:ligatures w14:val="standardContextual"/>
    </w:rPr>
  </w:style>
  <w:style w:type="character" w:customStyle="1" w:styleId="CommentaireCar">
    <w:name w:val="Commentaire Car"/>
    <w:basedOn w:val="Policepardfaut"/>
    <w:link w:val="Commentaire"/>
    <w:uiPriority w:val="99"/>
    <w:semiHidden/>
    <w:rsid w:val="00371DA4"/>
    <w:rPr>
      <w:sz w:val="20"/>
      <w:szCs w:val="20"/>
    </w:rPr>
  </w:style>
  <w:style w:type="paragraph" w:styleId="Objetducommentaire">
    <w:name w:val="annotation subject"/>
    <w:basedOn w:val="Commentaire"/>
    <w:next w:val="Commentaire"/>
    <w:link w:val="ObjetducommentaireCar"/>
    <w:uiPriority w:val="99"/>
    <w:semiHidden/>
    <w:unhideWhenUsed/>
    <w:rsid w:val="00371DA4"/>
    <w:rPr>
      <w:b/>
      <w:bCs/>
    </w:rPr>
  </w:style>
  <w:style w:type="character" w:customStyle="1" w:styleId="ObjetducommentaireCar">
    <w:name w:val="Objet du commentaire Car"/>
    <w:basedOn w:val="CommentaireCar"/>
    <w:link w:val="Objetducommentaire"/>
    <w:uiPriority w:val="99"/>
    <w:semiHidden/>
    <w:rsid w:val="00371DA4"/>
    <w:rPr>
      <w:b/>
      <w:bCs/>
      <w:sz w:val="20"/>
      <w:szCs w:val="20"/>
    </w:rPr>
  </w:style>
  <w:style w:type="character" w:styleId="Textedelespacerserv">
    <w:name w:val="Placeholder Text"/>
    <w:basedOn w:val="Policepardfaut"/>
    <w:uiPriority w:val="99"/>
    <w:semiHidden/>
    <w:rsid w:val="00172FC0"/>
    <w:rPr>
      <w:color w:val="808080"/>
    </w:rPr>
  </w:style>
  <w:style w:type="character" w:customStyle="1" w:styleId="author">
    <w:name w:val="author"/>
    <w:basedOn w:val="Policepardfaut"/>
    <w:rsid w:val="003745A8"/>
  </w:style>
  <w:style w:type="character" w:customStyle="1" w:styleId="pubyear">
    <w:name w:val="pubyear"/>
    <w:basedOn w:val="Policepardfaut"/>
    <w:rsid w:val="003745A8"/>
  </w:style>
  <w:style w:type="character" w:customStyle="1" w:styleId="articletitle">
    <w:name w:val="articletitle"/>
    <w:basedOn w:val="Policepardfaut"/>
    <w:rsid w:val="003745A8"/>
  </w:style>
  <w:style w:type="character" w:customStyle="1" w:styleId="vol">
    <w:name w:val="vol"/>
    <w:basedOn w:val="Policepardfaut"/>
    <w:rsid w:val="003745A8"/>
  </w:style>
  <w:style w:type="character" w:customStyle="1" w:styleId="pagefirst">
    <w:name w:val="pagefirst"/>
    <w:basedOn w:val="Policepardfaut"/>
    <w:rsid w:val="003745A8"/>
  </w:style>
  <w:style w:type="character" w:customStyle="1" w:styleId="pagelast">
    <w:name w:val="pagelast"/>
    <w:basedOn w:val="Policepardfaut"/>
    <w:rsid w:val="003745A8"/>
  </w:style>
  <w:style w:type="paragraph" w:styleId="Notedefin">
    <w:name w:val="endnote text"/>
    <w:basedOn w:val="Normal"/>
    <w:link w:val="NotedefinCar"/>
    <w:uiPriority w:val="99"/>
    <w:semiHidden/>
    <w:unhideWhenUsed/>
    <w:rsid w:val="00E94B7A"/>
    <w:rPr>
      <w:sz w:val="20"/>
      <w:szCs w:val="20"/>
    </w:rPr>
  </w:style>
  <w:style w:type="character" w:customStyle="1" w:styleId="NotedefinCar">
    <w:name w:val="Note de fin Car"/>
    <w:basedOn w:val="Policepardfaut"/>
    <w:link w:val="Notedefin"/>
    <w:uiPriority w:val="99"/>
    <w:semiHidden/>
    <w:rsid w:val="00E94B7A"/>
    <w:rPr>
      <w:rFonts w:ascii="Times New Roman" w:eastAsia="Times New Roman" w:hAnsi="Times New Roman" w:cs="Times New Roman"/>
      <w:kern w:val="0"/>
      <w:sz w:val="20"/>
      <w:szCs w:val="20"/>
      <w14:ligatures w14:val="none"/>
    </w:rPr>
  </w:style>
  <w:style w:type="character" w:styleId="Appeldenotedefin">
    <w:name w:val="endnote reference"/>
    <w:basedOn w:val="Policepardfaut"/>
    <w:uiPriority w:val="99"/>
    <w:semiHidden/>
    <w:unhideWhenUsed/>
    <w:rsid w:val="00E94B7A"/>
    <w:rPr>
      <w:vertAlign w:val="superscript"/>
    </w:rPr>
  </w:style>
  <w:style w:type="paragraph" w:styleId="NormalWeb">
    <w:name w:val="Normal (Web)"/>
    <w:basedOn w:val="Normal"/>
    <w:uiPriority w:val="99"/>
    <w:unhideWhenUsed/>
    <w:rsid w:val="00E90F83"/>
    <w:pPr>
      <w:spacing w:before="100" w:beforeAutospacing="1" w:after="100" w:afterAutospacing="1"/>
    </w:pPr>
    <w:rPr>
      <w:lang w:eastAsia="fr-BE"/>
    </w:rPr>
  </w:style>
  <w:style w:type="paragraph" w:styleId="Textedebulles">
    <w:name w:val="Balloon Text"/>
    <w:basedOn w:val="Normal"/>
    <w:link w:val="TextedebullesCar"/>
    <w:uiPriority w:val="99"/>
    <w:semiHidden/>
    <w:unhideWhenUsed/>
    <w:rsid w:val="00CF4D3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4D36"/>
    <w:rPr>
      <w:rFonts w:ascii="Segoe UI" w:eastAsia="Times New Roman" w:hAnsi="Segoe UI" w:cs="Segoe UI"/>
      <w:kern w:val="0"/>
      <w:sz w:val="18"/>
      <w:szCs w:val="18"/>
      <w14:ligatures w14:val="none"/>
    </w:rPr>
  </w:style>
  <w:style w:type="character" w:customStyle="1" w:styleId="hgkelc">
    <w:name w:val="hgkelc"/>
    <w:basedOn w:val="Policepardfaut"/>
    <w:rsid w:val="00CF4D36"/>
  </w:style>
  <w:style w:type="character" w:customStyle="1" w:styleId="rynqvb">
    <w:name w:val="rynqvb"/>
    <w:basedOn w:val="Policepardfaut"/>
    <w:rsid w:val="00EA0456"/>
  </w:style>
  <w:style w:type="character" w:styleId="Accentuation">
    <w:name w:val="Emphasis"/>
    <w:basedOn w:val="Policepardfaut"/>
    <w:uiPriority w:val="20"/>
    <w:qFormat/>
    <w:rsid w:val="00506F88"/>
    <w:rPr>
      <w:i/>
      <w:iCs/>
    </w:rPr>
  </w:style>
  <w:style w:type="paragraph" w:styleId="En-tte">
    <w:name w:val="header"/>
    <w:basedOn w:val="Normal"/>
    <w:link w:val="En-tteCar"/>
    <w:uiPriority w:val="99"/>
    <w:unhideWhenUsed/>
    <w:rsid w:val="0059787C"/>
    <w:pPr>
      <w:tabs>
        <w:tab w:val="center" w:pos="4536"/>
        <w:tab w:val="right" w:pos="9072"/>
      </w:tabs>
    </w:pPr>
  </w:style>
  <w:style w:type="character" w:customStyle="1" w:styleId="En-tteCar">
    <w:name w:val="En-tête Car"/>
    <w:basedOn w:val="Policepardfaut"/>
    <w:link w:val="En-tte"/>
    <w:uiPriority w:val="99"/>
    <w:rsid w:val="0059787C"/>
    <w:rPr>
      <w:rFonts w:ascii="Times New Roman" w:eastAsia="Times New Roman" w:hAnsi="Times New Roman" w:cs="Times New Roman"/>
      <w:kern w:val="0"/>
      <w14:ligatures w14:val="none"/>
    </w:rPr>
  </w:style>
  <w:style w:type="paragraph" w:styleId="Pieddepage">
    <w:name w:val="footer"/>
    <w:basedOn w:val="Normal"/>
    <w:link w:val="PieddepageCar"/>
    <w:uiPriority w:val="99"/>
    <w:unhideWhenUsed/>
    <w:rsid w:val="0059787C"/>
    <w:pPr>
      <w:tabs>
        <w:tab w:val="center" w:pos="4536"/>
        <w:tab w:val="right" w:pos="9072"/>
      </w:tabs>
    </w:pPr>
  </w:style>
  <w:style w:type="character" w:customStyle="1" w:styleId="PieddepageCar">
    <w:name w:val="Pied de page Car"/>
    <w:basedOn w:val="Policepardfaut"/>
    <w:link w:val="Pieddepage"/>
    <w:uiPriority w:val="99"/>
    <w:rsid w:val="0059787C"/>
    <w:rPr>
      <w:rFonts w:ascii="Times New Roman" w:eastAsia="Times New Roman" w:hAnsi="Times New Roman" w:cs="Times New Roman"/>
      <w:kern w:val="0"/>
      <w14:ligatures w14:val="none"/>
    </w:rPr>
  </w:style>
  <w:style w:type="character" w:styleId="Lienhypertextesuivivisit">
    <w:name w:val="FollowedHyperlink"/>
    <w:basedOn w:val="Policepardfaut"/>
    <w:uiPriority w:val="99"/>
    <w:semiHidden/>
    <w:unhideWhenUsed/>
    <w:rsid w:val="001B3C99"/>
    <w:rPr>
      <w:color w:val="954F72" w:themeColor="followedHyperlink"/>
      <w:u w:val="single"/>
    </w:rPr>
  </w:style>
  <w:style w:type="paragraph" w:customStyle="1" w:styleId="elementtoproof">
    <w:name w:val="elementtoproof"/>
    <w:basedOn w:val="Normal"/>
    <w:uiPriority w:val="99"/>
    <w:semiHidden/>
    <w:rsid w:val="00356685"/>
    <w:rPr>
      <w:rFonts w:ascii="Calibri" w:eastAsiaTheme="minorHAnsi" w:hAnsi="Calibri" w:cs="Calibri"/>
      <w:sz w:val="22"/>
      <w:szCs w:val="22"/>
      <w:lang w:val="fr-FR" w:eastAsia="fr-FR"/>
    </w:rPr>
  </w:style>
  <w:style w:type="character" w:customStyle="1" w:styleId="UnresolvedMention">
    <w:name w:val="Unresolved Mention"/>
    <w:basedOn w:val="Policepardfaut"/>
    <w:uiPriority w:val="99"/>
    <w:semiHidden/>
    <w:unhideWhenUsed/>
    <w:rsid w:val="009F24DF"/>
    <w:rPr>
      <w:color w:val="605E5C"/>
      <w:shd w:val="clear" w:color="auto" w:fill="E1DFDD"/>
    </w:rPr>
  </w:style>
  <w:style w:type="character" w:customStyle="1" w:styleId="contributor">
    <w:name w:val="contributor"/>
    <w:basedOn w:val="Policepardfaut"/>
    <w:rsid w:val="004B203F"/>
  </w:style>
  <w:style w:type="character" w:customStyle="1" w:styleId="displayname">
    <w:name w:val="displayname"/>
    <w:basedOn w:val="Policepardfaut"/>
    <w:rsid w:val="004B203F"/>
  </w:style>
  <w:style w:type="character" w:customStyle="1" w:styleId="comma">
    <w:name w:val="comma"/>
    <w:basedOn w:val="Policepardfaut"/>
    <w:rsid w:val="004B2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443">
      <w:bodyDiv w:val="1"/>
      <w:marLeft w:val="0"/>
      <w:marRight w:val="0"/>
      <w:marTop w:val="0"/>
      <w:marBottom w:val="0"/>
      <w:divBdr>
        <w:top w:val="none" w:sz="0" w:space="0" w:color="auto"/>
        <w:left w:val="none" w:sz="0" w:space="0" w:color="auto"/>
        <w:bottom w:val="none" w:sz="0" w:space="0" w:color="auto"/>
        <w:right w:val="none" w:sz="0" w:space="0" w:color="auto"/>
      </w:divBdr>
    </w:div>
    <w:div w:id="634869232">
      <w:bodyDiv w:val="1"/>
      <w:marLeft w:val="0"/>
      <w:marRight w:val="0"/>
      <w:marTop w:val="0"/>
      <w:marBottom w:val="0"/>
      <w:divBdr>
        <w:top w:val="none" w:sz="0" w:space="0" w:color="auto"/>
        <w:left w:val="none" w:sz="0" w:space="0" w:color="auto"/>
        <w:bottom w:val="none" w:sz="0" w:space="0" w:color="auto"/>
        <w:right w:val="none" w:sz="0" w:space="0" w:color="auto"/>
      </w:divBdr>
    </w:div>
    <w:div w:id="653611296">
      <w:bodyDiv w:val="1"/>
      <w:marLeft w:val="0"/>
      <w:marRight w:val="0"/>
      <w:marTop w:val="0"/>
      <w:marBottom w:val="0"/>
      <w:divBdr>
        <w:top w:val="none" w:sz="0" w:space="0" w:color="auto"/>
        <w:left w:val="none" w:sz="0" w:space="0" w:color="auto"/>
        <w:bottom w:val="none" w:sz="0" w:space="0" w:color="auto"/>
        <w:right w:val="none" w:sz="0" w:space="0" w:color="auto"/>
      </w:divBdr>
    </w:div>
    <w:div w:id="782118248">
      <w:bodyDiv w:val="1"/>
      <w:marLeft w:val="0"/>
      <w:marRight w:val="0"/>
      <w:marTop w:val="0"/>
      <w:marBottom w:val="0"/>
      <w:divBdr>
        <w:top w:val="none" w:sz="0" w:space="0" w:color="auto"/>
        <w:left w:val="none" w:sz="0" w:space="0" w:color="auto"/>
        <w:bottom w:val="none" w:sz="0" w:space="0" w:color="auto"/>
        <w:right w:val="none" w:sz="0" w:space="0" w:color="auto"/>
      </w:divBdr>
      <w:divsChild>
        <w:div w:id="326448390">
          <w:marLeft w:val="0"/>
          <w:marRight w:val="0"/>
          <w:marTop w:val="0"/>
          <w:marBottom w:val="240"/>
          <w:divBdr>
            <w:top w:val="none" w:sz="0" w:space="0" w:color="auto"/>
            <w:left w:val="none" w:sz="0" w:space="0" w:color="auto"/>
            <w:bottom w:val="none" w:sz="0" w:space="0" w:color="auto"/>
            <w:right w:val="none" w:sz="0" w:space="0" w:color="auto"/>
          </w:divBdr>
        </w:div>
      </w:divsChild>
    </w:div>
    <w:div w:id="803278853">
      <w:bodyDiv w:val="1"/>
      <w:marLeft w:val="0"/>
      <w:marRight w:val="0"/>
      <w:marTop w:val="0"/>
      <w:marBottom w:val="0"/>
      <w:divBdr>
        <w:top w:val="none" w:sz="0" w:space="0" w:color="auto"/>
        <w:left w:val="none" w:sz="0" w:space="0" w:color="auto"/>
        <w:bottom w:val="none" w:sz="0" w:space="0" w:color="auto"/>
        <w:right w:val="none" w:sz="0" w:space="0" w:color="auto"/>
      </w:divBdr>
    </w:div>
    <w:div w:id="811141554">
      <w:bodyDiv w:val="1"/>
      <w:marLeft w:val="0"/>
      <w:marRight w:val="0"/>
      <w:marTop w:val="0"/>
      <w:marBottom w:val="0"/>
      <w:divBdr>
        <w:top w:val="none" w:sz="0" w:space="0" w:color="auto"/>
        <w:left w:val="none" w:sz="0" w:space="0" w:color="auto"/>
        <w:bottom w:val="none" w:sz="0" w:space="0" w:color="auto"/>
        <w:right w:val="none" w:sz="0" w:space="0" w:color="auto"/>
      </w:divBdr>
      <w:divsChild>
        <w:div w:id="468399213">
          <w:marLeft w:val="1080"/>
          <w:marRight w:val="0"/>
          <w:marTop w:val="100"/>
          <w:marBottom w:val="0"/>
          <w:divBdr>
            <w:top w:val="none" w:sz="0" w:space="0" w:color="auto"/>
            <w:left w:val="none" w:sz="0" w:space="0" w:color="auto"/>
            <w:bottom w:val="none" w:sz="0" w:space="0" w:color="auto"/>
            <w:right w:val="none" w:sz="0" w:space="0" w:color="auto"/>
          </w:divBdr>
        </w:div>
        <w:div w:id="1201548040">
          <w:marLeft w:val="1080"/>
          <w:marRight w:val="0"/>
          <w:marTop w:val="100"/>
          <w:marBottom w:val="0"/>
          <w:divBdr>
            <w:top w:val="none" w:sz="0" w:space="0" w:color="auto"/>
            <w:left w:val="none" w:sz="0" w:space="0" w:color="auto"/>
            <w:bottom w:val="none" w:sz="0" w:space="0" w:color="auto"/>
            <w:right w:val="none" w:sz="0" w:space="0" w:color="auto"/>
          </w:divBdr>
        </w:div>
        <w:div w:id="1282348644">
          <w:marLeft w:val="1080"/>
          <w:marRight w:val="0"/>
          <w:marTop w:val="100"/>
          <w:marBottom w:val="0"/>
          <w:divBdr>
            <w:top w:val="none" w:sz="0" w:space="0" w:color="auto"/>
            <w:left w:val="none" w:sz="0" w:space="0" w:color="auto"/>
            <w:bottom w:val="none" w:sz="0" w:space="0" w:color="auto"/>
            <w:right w:val="none" w:sz="0" w:space="0" w:color="auto"/>
          </w:divBdr>
        </w:div>
        <w:div w:id="1223832140">
          <w:marLeft w:val="1080"/>
          <w:marRight w:val="0"/>
          <w:marTop w:val="100"/>
          <w:marBottom w:val="0"/>
          <w:divBdr>
            <w:top w:val="none" w:sz="0" w:space="0" w:color="auto"/>
            <w:left w:val="none" w:sz="0" w:space="0" w:color="auto"/>
            <w:bottom w:val="none" w:sz="0" w:space="0" w:color="auto"/>
            <w:right w:val="none" w:sz="0" w:space="0" w:color="auto"/>
          </w:divBdr>
        </w:div>
      </w:divsChild>
    </w:div>
    <w:div w:id="867647674">
      <w:bodyDiv w:val="1"/>
      <w:marLeft w:val="0"/>
      <w:marRight w:val="0"/>
      <w:marTop w:val="0"/>
      <w:marBottom w:val="0"/>
      <w:divBdr>
        <w:top w:val="none" w:sz="0" w:space="0" w:color="auto"/>
        <w:left w:val="none" w:sz="0" w:space="0" w:color="auto"/>
        <w:bottom w:val="none" w:sz="0" w:space="0" w:color="auto"/>
        <w:right w:val="none" w:sz="0" w:space="0" w:color="auto"/>
      </w:divBdr>
    </w:div>
    <w:div w:id="1237742973">
      <w:bodyDiv w:val="1"/>
      <w:marLeft w:val="0"/>
      <w:marRight w:val="0"/>
      <w:marTop w:val="0"/>
      <w:marBottom w:val="0"/>
      <w:divBdr>
        <w:top w:val="none" w:sz="0" w:space="0" w:color="auto"/>
        <w:left w:val="none" w:sz="0" w:space="0" w:color="auto"/>
        <w:bottom w:val="none" w:sz="0" w:space="0" w:color="auto"/>
        <w:right w:val="none" w:sz="0" w:space="0" w:color="auto"/>
      </w:divBdr>
    </w:div>
    <w:div w:id="1263344997">
      <w:bodyDiv w:val="1"/>
      <w:marLeft w:val="0"/>
      <w:marRight w:val="0"/>
      <w:marTop w:val="0"/>
      <w:marBottom w:val="0"/>
      <w:divBdr>
        <w:top w:val="none" w:sz="0" w:space="0" w:color="auto"/>
        <w:left w:val="none" w:sz="0" w:space="0" w:color="auto"/>
        <w:bottom w:val="none" w:sz="0" w:space="0" w:color="auto"/>
        <w:right w:val="none" w:sz="0" w:space="0" w:color="auto"/>
      </w:divBdr>
    </w:div>
    <w:div w:id="1761097203">
      <w:bodyDiv w:val="1"/>
      <w:marLeft w:val="0"/>
      <w:marRight w:val="0"/>
      <w:marTop w:val="0"/>
      <w:marBottom w:val="0"/>
      <w:divBdr>
        <w:top w:val="none" w:sz="0" w:space="0" w:color="auto"/>
        <w:left w:val="none" w:sz="0" w:space="0" w:color="auto"/>
        <w:bottom w:val="none" w:sz="0" w:space="0" w:color="auto"/>
        <w:right w:val="none" w:sz="0" w:space="0" w:color="auto"/>
      </w:divBdr>
    </w:div>
    <w:div w:id="1774082471">
      <w:bodyDiv w:val="1"/>
      <w:marLeft w:val="0"/>
      <w:marRight w:val="0"/>
      <w:marTop w:val="0"/>
      <w:marBottom w:val="0"/>
      <w:divBdr>
        <w:top w:val="none" w:sz="0" w:space="0" w:color="auto"/>
        <w:left w:val="none" w:sz="0" w:space="0" w:color="auto"/>
        <w:bottom w:val="none" w:sz="0" w:space="0" w:color="auto"/>
        <w:right w:val="none" w:sz="0" w:space="0" w:color="auto"/>
      </w:divBdr>
    </w:div>
    <w:div w:id="1788817096">
      <w:bodyDiv w:val="1"/>
      <w:marLeft w:val="0"/>
      <w:marRight w:val="0"/>
      <w:marTop w:val="0"/>
      <w:marBottom w:val="0"/>
      <w:divBdr>
        <w:top w:val="none" w:sz="0" w:space="0" w:color="auto"/>
        <w:left w:val="none" w:sz="0" w:space="0" w:color="auto"/>
        <w:bottom w:val="none" w:sz="0" w:space="0" w:color="auto"/>
        <w:right w:val="none" w:sz="0" w:space="0" w:color="auto"/>
      </w:divBdr>
      <w:divsChild>
        <w:div w:id="970287785">
          <w:marLeft w:val="0"/>
          <w:marRight w:val="0"/>
          <w:marTop w:val="0"/>
          <w:marBottom w:val="0"/>
          <w:divBdr>
            <w:top w:val="none" w:sz="0" w:space="0" w:color="auto"/>
            <w:left w:val="none" w:sz="0" w:space="0" w:color="auto"/>
            <w:bottom w:val="none" w:sz="0" w:space="0" w:color="auto"/>
            <w:right w:val="none" w:sz="0" w:space="0" w:color="auto"/>
          </w:divBdr>
        </w:div>
      </w:divsChild>
    </w:div>
    <w:div w:id="1801802797">
      <w:bodyDiv w:val="1"/>
      <w:marLeft w:val="0"/>
      <w:marRight w:val="0"/>
      <w:marTop w:val="0"/>
      <w:marBottom w:val="0"/>
      <w:divBdr>
        <w:top w:val="none" w:sz="0" w:space="0" w:color="auto"/>
        <w:left w:val="none" w:sz="0" w:space="0" w:color="auto"/>
        <w:bottom w:val="none" w:sz="0" w:space="0" w:color="auto"/>
        <w:right w:val="none" w:sz="0" w:space="0" w:color="auto"/>
      </w:divBdr>
    </w:div>
    <w:div w:id="1857185149">
      <w:bodyDiv w:val="1"/>
      <w:marLeft w:val="0"/>
      <w:marRight w:val="0"/>
      <w:marTop w:val="0"/>
      <w:marBottom w:val="0"/>
      <w:divBdr>
        <w:top w:val="none" w:sz="0" w:space="0" w:color="auto"/>
        <w:left w:val="none" w:sz="0" w:space="0" w:color="auto"/>
        <w:bottom w:val="none" w:sz="0" w:space="0" w:color="auto"/>
        <w:right w:val="none" w:sz="0" w:space="0" w:color="auto"/>
      </w:divBdr>
    </w:div>
    <w:div w:id="1984193325">
      <w:bodyDiv w:val="1"/>
      <w:marLeft w:val="0"/>
      <w:marRight w:val="0"/>
      <w:marTop w:val="0"/>
      <w:marBottom w:val="0"/>
      <w:divBdr>
        <w:top w:val="none" w:sz="0" w:space="0" w:color="auto"/>
        <w:left w:val="none" w:sz="0" w:space="0" w:color="auto"/>
        <w:bottom w:val="none" w:sz="0" w:space="0" w:color="auto"/>
        <w:right w:val="none" w:sz="0" w:space="0" w:color="auto"/>
      </w:divBdr>
    </w:div>
    <w:div w:id="2020160780">
      <w:bodyDiv w:val="1"/>
      <w:marLeft w:val="0"/>
      <w:marRight w:val="0"/>
      <w:marTop w:val="0"/>
      <w:marBottom w:val="0"/>
      <w:divBdr>
        <w:top w:val="none" w:sz="0" w:space="0" w:color="auto"/>
        <w:left w:val="none" w:sz="0" w:space="0" w:color="auto"/>
        <w:bottom w:val="none" w:sz="0" w:space="0" w:color="auto"/>
        <w:right w:val="none" w:sz="0" w:space="0" w:color="auto"/>
      </w:divBdr>
    </w:div>
    <w:div w:id="2059160516">
      <w:bodyDiv w:val="1"/>
      <w:marLeft w:val="0"/>
      <w:marRight w:val="0"/>
      <w:marTop w:val="0"/>
      <w:marBottom w:val="0"/>
      <w:divBdr>
        <w:top w:val="none" w:sz="0" w:space="0" w:color="auto"/>
        <w:left w:val="none" w:sz="0" w:space="0" w:color="auto"/>
        <w:bottom w:val="none" w:sz="0" w:space="0" w:color="auto"/>
        <w:right w:val="none" w:sz="0" w:space="0" w:color="auto"/>
      </w:divBdr>
    </w:div>
    <w:div w:id="2071533783">
      <w:bodyDiv w:val="1"/>
      <w:marLeft w:val="0"/>
      <w:marRight w:val="0"/>
      <w:marTop w:val="0"/>
      <w:marBottom w:val="0"/>
      <w:divBdr>
        <w:top w:val="none" w:sz="0" w:space="0" w:color="auto"/>
        <w:left w:val="none" w:sz="0" w:space="0" w:color="auto"/>
        <w:bottom w:val="none" w:sz="0" w:space="0" w:color="auto"/>
        <w:right w:val="none" w:sz="0" w:space="0" w:color="auto"/>
      </w:divBdr>
      <w:divsChild>
        <w:div w:id="1196700752">
          <w:marLeft w:val="1080"/>
          <w:marRight w:val="0"/>
          <w:marTop w:val="100"/>
          <w:marBottom w:val="0"/>
          <w:divBdr>
            <w:top w:val="none" w:sz="0" w:space="0" w:color="auto"/>
            <w:left w:val="none" w:sz="0" w:space="0" w:color="auto"/>
            <w:bottom w:val="none" w:sz="0" w:space="0" w:color="auto"/>
            <w:right w:val="none" w:sz="0" w:space="0" w:color="auto"/>
          </w:divBdr>
        </w:div>
        <w:div w:id="2083869697">
          <w:marLeft w:val="1080"/>
          <w:marRight w:val="0"/>
          <w:marTop w:val="100"/>
          <w:marBottom w:val="0"/>
          <w:divBdr>
            <w:top w:val="none" w:sz="0" w:space="0" w:color="auto"/>
            <w:left w:val="none" w:sz="0" w:space="0" w:color="auto"/>
            <w:bottom w:val="none" w:sz="0" w:space="0" w:color="auto"/>
            <w:right w:val="none" w:sz="0" w:space="0" w:color="auto"/>
          </w:divBdr>
        </w:div>
        <w:div w:id="410010762">
          <w:marLeft w:val="1080"/>
          <w:marRight w:val="0"/>
          <w:marTop w:val="100"/>
          <w:marBottom w:val="0"/>
          <w:divBdr>
            <w:top w:val="none" w:sz="0" w:space="0" w:color="auto"/>
            <w:left w:val="none" w:sz="0" w:space="0" w:color="auto"/>
            <w:bottom w:val="none" w:sz="0" w:space="0" w:color="auto"/>
            <w:right w:val="none" w:sz="0" w:space="0" w:color="auto"/>
          </w:divBdr>
        </w:div>
      </w:divsChild>
    </w:div>
    <w:div w:id="2145537385">
      <w:bodyDiv w:val="1"/>
      <w:marLeft w:val="0"/>
      <w:marRight w:val="0"/>
      <w:marTop w:val="0"/>
      <w:marBottom w:val="0"/>
      <w:divBdr>
        <w:top w:val="none" w:sz="0" w:space="0" w:color="auto"/>
        <w:left w:val="none" w:sz="0" w:space="0" w:color="auto"/>
        <w:bottom w:val="none" w:sz="0" w:space="0" w:color="auto"/>
        <w:right w:val="none" w:sz="0" w:space="0" w:color="auto"/>
      </w:divBdr>
      <w:divsChild>
        <w:div w:id="14955622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'[Des stat.xlsx]Feuil1'!$A$2</c:f>
              <c:strCache>
                <c:ptCount val="1"/>
                <c:pt idx="0">
                  <c:v>Population 50+ </c:v>
                </c:pt>
              </c:strCache>
            </c:strRef>
          </c:tx>
          <c:spPr>
            <a:pattFill prst="ltDnDiag">
              <a:fgClr>
                <a:schemeClr val="tx1"/>
              </a:fgClr>
              <a:bgClr>
                <a:schemeClr val="bg1"/>
              </a:bgClr>
            </a:pattFill>
            <a:ln w="6350">
              <a:solidFill>
                <a:schemeClr val="tx1"/>
              </a:solidFill>
            </a:ln>
            <a:effectLst/>
          </c:spPr>
          <c:invertIfNegative val="0"/>
          <c:cat>
            <c:numRef>
              <c:f>'[Des stat.xlsx]Feuil1'!$B$1:$L$1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'[Des stat.xlsx]Feuil1'!$B$2:$L$2</c:f>
              <c:numCache>
                <c:formatCode>General</c:formatCode>
                <c:ptCount val="11"/>
                <c:pt idx="0">
                  <c:v>0.56000000000000005</c:v>
                </c:pt>
                <c:pt idx="1">
                  <c:v>0.3</c:v>
                </c:pt>
                <c:pt idx="2">
                  <c:v>0.53</c:v>
                </c:pt>
                <c:pt idx="3">
                  <c:v>1.28</c:v>
                </c:pt>
                <c:pt idx="4">
                  <c:v>1.67</c:v>
                </c:pt>
                <c:pt idx="5">
                  <c:v>9.74</c:v>
                </c:pt>
                <c:pt idx="6">
                  <c:v>7.27</c:v>
                </c:pt>
                <c:pt idx="7">
                  <c:v>16.39</c:v>
                </c:pt>
                <c:pt idx="8">
                  <c:v>31.28</c:v>
                </c:pt>
                <c:pt idx="9">
                  <c:v>15.46</c:v>
                </c:pt>
                <c:pt idx="10">
                  <c:v>15.52</c:v>
                </c:pt>
              </c:numCache>
            </c:numRef>
          </c:val>
          <c:extLst xmlns:c16r2="http://schemas.microsoft.com/office/drawing/2015/06/chart">
            <c:ext xmlns:c16="http://schemas.microsoft.com/office/drawing/2014/chart" uri="{C3380CC4-5D6E-409C-BE32-E72D297353CC}">
              <c16:uniqueId val="{00000000-2EDB-450A-8FD0-BA0683D3E7D3}"/>
            </c:ext>
          </c:extLst>
        </c:ser>
        <c:ser>
          <c:idx val="1"/>
          <c:order val="1"/>
          <c:tx>
            <c:strRef>
              <c:f>'[Des stat.xlsx]Feuil1'!$A$3</c:f>
              <c:strCache>
                <c:ptCount val="1"/>
                <c:pt idx="0">
                  <c:v>Population sujette à GALI</c:v>
                </c:pt>
              </c:strCache>
            </c:strRef>
          </c:tx>
          <c:spPr>
            <a:solidFill>
              <a:schemeClr val="dk1">
                <a:tint val="55000"/>
              </a:schemeClr>
            </a:solidFill>
            <a:ln w="6350">
              <a:solidFill>
                <a:schemeClr val="tx1"/>
              </a:solidFill>
            </a:ln>
            <a:effectLst/>
          </c:spPr>
          <c:invertIfNegative val="0"/>
          <c:cat>
            <c:numRef>
              <c:f>'[Des stat.xlsx]Feuil1'!$B$1:$L$1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'[Des stat.xlsx]Feuil1'!$B$3:$L$3</c:f>
              <c:numCache>
                <c:formatCode>General</c:formatCode>
                <c:ptCount val="11"/>
                <c:pt idx="0">
                  <c:v>2</c:v>
                </c:pt>
                <c:pt idx="1">
                  <c:v>1.01</c:v>
                </c:pt>
                <c:pt idx="2">
                  <c:v>1.78</c:v>
                </c:pt>
                <c:pt idx="3">
                  <c:v>4.03</c:v>
                </c:pt>
                <c:pt idx="4">
                  <c:v>4.34</c:v>
                </c:pt>
                <c:pt idx="5">
                  <c:v>19.190000000000001</c:v>
                </c:pt>
                <c:pt idx="6">
                  <c:v>10.3</c:v>
                </c:pt>
                <c:pt idx="7">
                  <c:v>16.260000000000002</c:v>
                </c:pt>
                <c:pt idx="8">
                  <c:v>22.92</c:v>
                </c:pt>
                <c:pt idx="9">
                  <c:v>8.11</c:v>
                </c:pt>
                <c:pt idx="10">
                  <c:v>10.06</c:v>
                </c:pt>
              </c:numCache>
            </c:numRef>
          </c:val>
          <c:extLst xmlns:c16r2="http://schemas.microsoft.com/office/drawing/2015/06/chart">
            <c:ext xmlns:c16="http://schemas.microsoft.com/office/drawing/2014/chart" uri="{C3380CC4-5D6E-409C-BE32-E72D297353CC}">
              <c16:uniqueId val="{00000001-2EDB-450A-8FD0-BA0683D3E7D3}"/>
            </c:ext>
          </c:extLst>
        </c:ser>
        <c:ser>
          <c:idx val="2"/>
          <c:order val="2"/>
          <c:tx>
            <c:strRef>
              <c:f>'[Des stat.xlsx]Feuil1'!$A$4</c:f>
              <c:strCache>
                <c:ptCount val="1"/>
                <c:pt idx="0">
                  <c:v>Population sujette à ADL</c:v>
                </c:pt>
              </c:strCache>
            </c:strRef>
          </c:tx>
          <c:spPr>
            <a:solidFill>
              <a:schemeClr val="bg1">
                <a:lumMod val="95000"/>
              </a:schemeClr>
            </a:solidFill>
            <a:ln w="6350">
              <a:solidFill>
                <a:schemeClr val="tx1"/>
              </a:solidFill>
            </a:ln>
            <a:effectLst/>
          </c:spPr>
          <c:invertIfNegative val="0"/>
          <c:cat>
            <c:numRef>
              <c:f>'[Des stat.xlsx]Feuil1'!$B$1:$L$1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'[Des stat.xlsx]Feuil1'!$B$4:$L$4</c:f>
              <c:numCache>
                <c:formatCode>General</c:formatCode>
                <c:ptCount val="11"/>
                <c:pt idx="0">
                  <c:v>3.49</c:v>
                </c:pt>
                <c:pt idx="1">
                  <c:v>1.55</c:v>
                </c:pt>
                <c:pt idx="2">
                  <c:v>2.88</c:v>
                </c:pt>
                <c:pt idx="3">
                  <c:v>5.45</c:v>
                </c:pt>
                <c:pt idx="4">
                  <c:v>5.07</c:v>
                </c:pt>
                <c:pt idx="5">
                  <c:v>22.23</c:v>
                </c:pt>
                <c:pt idx="6">
                  <c:v>10.68</c:v>
                </c:pt>
                <c:pt idx="7">
                  <c:v>14.48</c:v>
                </c:pt>
                <c:pt idx="8">
                  <c:v>19.16</c:v>
                </c:pt>
                <c:pt idx="9">
                  <c:v>5.98</c:v>
                </c:pt>
                <c:pt idx="10">
                  <c:v>9.0299999999999994</c:v>
                </c:pt>
              </c:numCache>
            </c:numRef>
          </c:val>
          <c:extLst xmlns:c16r2="http://schemas.microsoft.com/office/drawing/2015/06/chart">
            <c:ext xmlns:c16="http://schemas.microsoft.com/office/drawing/2014/chart" uri="{C3380CC4-5D6E-409C-BE32-E72D297353CC}">
              <c16:uniqueId val="{00000002-2EDB-450A-8FD0-BA0683D3E7D3}"/>
            </c:ext>
          </c:extLst>
        </c:ser>
        <c:ser>
          <c:idx val="3"/>
          <c:order val="3"/>
          <c:tx>
            <c:strRef>
              <c:f>'[Des stat.xlsx]Feuil1'!$A$5</c:f>
              <c:strCache>
                <c:ptCount val="1"/>
                <c:pt idx="0">
                  <c:v>Population sujettte à CASP</c:v>
                </c:pt>
              </c:strCache>
            </c:strRef>
          </c:tx>
          <c:spPr>
            <a:solidFill>
              <a:schemeClr val="dk1">
                <a:tint val="98500"/>
              </a:schemeClr>
            </a:solidFill>
            <a:ln>
              <a:noFill/>
            </a:ln>
            <a:effectLst/>
          </c:spPr>
          <c:invertIfNegative val="0"/>
          <c:cat>
            <c:numRef>
              <c:f>'[Des stat.xlsx]Feuil1'!$B$1:$L$1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'[Des stat.xlsx]Feuil1'!$B$5:$L$5</c:f>
              <c:numCache>
                <c:formatCode>General</c:formatCode>
                <c:ptCount val="11"/>
                <c:pt idx="0">
                  <c:v>2.83</c:v>
                </c:pt>
                <c:pt idx="1">
                  <c:v>1.45</c:v>
                </c:pt>
                <c:pt idx="2">
                  <c:v>2.72</c:v>
                </c:pt>
                <c:pt idx="3">
                  <c:v>6.08</c:v>
                </c:pt>
                <c:pt idx="4">
                  <c:v>7.19</c:v>
                </c:pt>
                <c:pt idx="5">
                  <c:v>25.86</c:v>
                </c:pt>
                <c:pt idx="6">
                  <c:v>14.96</c:v>
                </c:pt>
                <c:pt idx="7">
                  <c:v>17.850000000000001</c:v>
                </c:pt>
                <c:pt idx="8">
                  <c:v>14.56</c:v>
                </c:pt>
                <c:pt idx="9">
                  <c:v>3.31</c:v>
                </c:pt>
                <c:pt idx="10">
                  <c:v>3.19</c:v>
                </c:pt>
              </c:numCache>
            </c:numRef>
          </c:val>
          <c:extLst xmlns:c16r2="http://schemas.microsoft.com/office/drawing/2015/06/chart">
            <c:ext xmlns:c16="http://schemas.microsoft.com/office/drawing/2014/chart" uri="{C3380CC4-5D6E-409C-BE32-E72D297353CC}">
              <c16:uniqueId val="{00000003-2EDB-450A-8FD0-BA0683D3E7D3}"/>
            </c:ext>
          </c:extLst>
        </c:ser>
        <c:dLbls>
          <c:showLegendKey val="0"/>
          <c:showVal val="0"/>
          <c:showCatName val="0"/>
          <c:showSerName val="0"/>
          <c:showPercent val="0"/>
          <c:showBubbleSize val="0"/>
        </c:dLbls>
        <c:gapWidth val="219"/>
        <c:overlap val="-27"/>
        <c:axId val="1057873424"/>
        <c:axId val="1057873968"/>
      </c:barChart>
      <c:catAx>
        <c:axId val="105787342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1057873968"/>
        <c:crosses val="autoZero"/>
        <c:auto val="1"/>
        <c:lblAlgn val="ctr"/>
        <c:lblOffset val="100"/>
        <c:noMultiLvlLbl val="0"/>
      </c:catAx>
      <c:valAx>
        <c:axId val="1057873968"/>
        <c:scaling>
          <c:orientation val="minMax"/>
        </c:scaling>
        <c:delete val="0"/>
        <c:axPos val="l"/>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057873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C4E0-3438-4677-A7C0-9F05AD12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6076</Words>
  <Characters>33420</Characters>
  <Application>Microsoft Office Word</Application>
  <DocSecurity>0</DocSecurity>
  <Lines>278</Lines>
  <Paragraphs>78</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Flawinne Xavier</dc:creator>
  <cp:keywords/>
  <dc:description/>
  <cp:lastModifiedBy>Jerome</cp:lastModifiedBy>
  <cp:revision>2</cp:revision>
  <cp:lastPrinted>2023-06-12T07:16:00Z</cp:lastPrinted>
  <dcterms:created xsi:type="dcterms:W3CDTF">2023-12-08T12:25:00Z</dcterms:created>
  <dcterms:modified xsi:type="dcterms:W3CDTF">2023-12-08T12:25:00Z</dcterms:modified>
</cp:coreProperties>
</file>