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3A462" w14:textId="3EEDD75F" w:rsidR="0069663B" w:rsidRPr="003D4CDA" w:rsidRDefault="772DE573" w:rsidP="772DE573">
      <w:pPr>
        <w:pStyle w:val="pf0"/>
        <w:spacing w:before="0" w:beforeAutospacing="0" w:after="120" w:afterAutospacing="0"/>
        <w:rPr>
          <w:b/>
          <w:bCs/>
          <w:sz w:val="32"/>
          <w:szCs w:val="32"/>
          <w:lang w:val="fr-BE"/>
        </w:rPr>
      </w:pPr>
      <w:r w:rsidRPr="003D4CDA">
        <w:rPr>
          <w:rStyle w:val="cf01"/>
          <w:rFonts w:ascii="Times New Roman" w:hAnsi="Times New Roman" w:cs="Times New Roman"/>
          <w:b/>
          <w:bCs/>
          <w:sz w:val="32"/>
          <w:szCs w:val="32"/>
          <w:lang w:val="fr-BE"/>
        </w:rPr>
        <w:t>Exposer par la littérature</w:t>
      </w:r>
      <w:r w:rsidR="00AB0965">
        <w:rPr>
          <w:rStyle w:val="cf01"/>
          <w:rFonts w:ascii="Times New Roman" w:hAnsi="Times New Roman" w:cs="Times New Roman"/>
          <w:b/>
          <w:bCs/>
          <w:sz w:val="32"/>
          <w:szCs w:val="32"/>
          <w:lang w:val="fr-BE"/>
        </w:rPr>
        <w:t xml:space="preserve"> I</w:t>
      </w:r>
    </w:p>
    <w:p w14:paraId="78D9835D" w14:textId="05DBE7C7" w:rsidR="00AE478C" w:rsidRPr="003D4CDA" w:rsidRDefault="772DE573" w:rsidP="772DE573">
      <w:pPr>
        <w:pStyle w:val="pf0"/>
        <w:spacing w:before="0" w:beforeAutospacing="0" w:after="120" w:afterAutospacing="0"/>
        <w:rPr>
          <w:b/>
          <w:bCs/>
          <w:lang w:val="fr-BE"/>
        </w:rPr>
      </w:pPr>
      <w:r w:rsidRPr="003D4CDA">
        <w:rPr>
          <w:rStyle w:val="cf01"/>
          <w:rFonts w:ascii="Times New Roman" w:hAnsi="Times New Roman" w:cs="Times New Roman"/>
          <w:b/>
          <w:bCs/>
          <w:sz w:val="24"/>
          <w:szCs w:val="24"/>
          <w:lang w:val="fr-BE"/>
        </w:rPr>
        <w:t>Les écrivains au service des arts visuels : de l’inspiration littéraire de l’exposition au regard des écrivains</w:t>
      </w:r>
    </w:p>
    <w:p w14:paraId="2B9C237B" w14:textId="690C1CB9" w:rsidR="00F27C93" w:rsidRPr="003D4CDA" w:rsidRDefault="00836EE7" w:rsidP="772DE573">
      <w:pPr>
        <w:spacing w:after="120" w:line="360" w:lineRule="auto"/>
        <w:rPr>
          <w:lang w:val="fr-BE"/>
        </w:rPr>
      </w:pPr>
      <w:r w:rsidRPr="003D4CDA">
        <w:rPr>
          <w:lang w:val="fr-BE"/>
        </w:rPr>
        <w:t>Julie Bawin</w:t>
      </w:r>
      <w:r w:rsidR="00E745CA" w:rsidRPr="003D4CDA">
        <w:rPr>
          <w:lang w:val="fr-BE"/>
        </w:rPr>
        <w:t xml:space="preserve"> (Université de Liège)</w:t>
      </w:r>
      <w:r w:rsidR="00104EDC" w:rsidRPr="003D4CDA">
        <w:rPr>
          <w:lang w:val="fr-BE"/>
        </w:rPr>
        <w:t xml:space="preserve"> &amp; David Martens</w:t>
      </w:r>
      <w:r w:rsidR="00E745CA" w:rsidRPr="003D4CDA">
        <w:rPr>
          <w:lang w:val="fr-BE"/>
        </w:rPr>
        <w:t xml:space="preserve"> (KU Leuven)</w:t>
      </w:r>
      <w:r w:rsidR="00F27C93" w:rsidRPr="003D4CDA">
        <w:rPr>
          <w:lang w:val="fr-BE"/>
        </w:rPr>
        <w:t>, pour les RIMELL</w:t>
      </w:r>
      <w:r w:rsidR="00B86134" w:rsidRPr="772DE573">
        <w:rPr>
          <w:rStyle w:val="Appelnotedebasdep"/>
          <w:lang w:val="fr-BE"/>
        </w:rPr>
        <w:footnoteReference w:id="1"/>
      </w:r>
      <w:r w:rsidR="00172492" w:rsidRPr="003D4CDA">
        <w:rPr>
          <w:lang w:val="fr-BE"/>
        </w:rPr>
        <w:t xml:space="preserve"> </w:t>
      </w:r>
    </w:p>
    <w:p w14:paraId="2A7C44AB" w14:textId="6F9E7AE5" w:rsidR="007C4BC9" w:rsidRDefault="772DE573" w:rsidP="772DE573">
      <w:pPr>
        <w:rPr>
          <w:lang w:val="fr-BE"/>
        </w:rPr>
      </w:pPr>
      <w:r w:rsidRPr="003D4CDA">
        <w:rPr>
          <w:lang w:val="fr-BE"/>
        </w:rPr>
        <w:t>Résumé:</w:t>
      </w:r>
      <w:r w:rsidRPr="772DE573">
        <w:rPr>
          <w:lang w:val="fr-BE"/>
        </w:rPr>
        <w:t xml:space="preserve"> au moins1000 caractères</w:t>
      </w:r>
    </w:p>
    <w:p w14:paraId="0258B06C" w14:textId="77777777" w:rsidR="003D4CDA" w:rsidRPr="00296E90" w:rsidRDefault="003D4CDA" w:rsidP="003D4CDA">
      <w:pPr>
        <w:jc w:val="both"/>
        <w:rPr>
          <w:lang w:val="fr-BE"/>
        </w:rPr>
      </w:pPr>
      <w:r w:rsidRPr="772DE573">
        <w:rPr>
          <w:lang w:val="fr-BE"/>
        </w:rPr>
        <w:t xml:space="preserve">L’une des principales idées reçues concernant l’exposition de la littérature réside dans le fait que celle-ci ne serait pas </w:t>
      </w:r>
      <w:proofErr w:type="spellStart"/>
      <w:r w:rsidRPr="772DE573">
        <w:rPr>
          <w:lang w:val="fr-BE"/>
        </w:rPr>
        <w:t>exposable</w:t>
      </w:r>
      <w:proofErr w:type="spellEnd"/>
      <w:r w:rsidRPr="772DE573">
        <w:rPr>
          <w:lang w:val="fr-BE"/>
        </w:rPr>
        <w:t xml:space="preserve"> ou le serait du moins difficilement.</w:t>
      </w:r>
      <w:r>
        <w:rPr>
          <w:lang w:val="fr-BE"/>
        </w:rPr>
        <w:t xml:space="preserve"> Pourtant, nombre d’expositions touchant à la littérature sont organisées, non seulement des expositions relatives à la littérature et à son histoire, mais aussi d’autres expositions, dont la littérature n’est pas le sujet, ou plus secondairement, mais dans lesquelles la littérature tient lieu d’adjuvant à la conception d’expositions d’arts visuels. Ainsi en va-t-il des expositions d’art contemporain qui se donnent un référence littéraire en guise d’opérateur de cohérence, c’est-à-dire afin de donner une lisibilité à des ensembles d’œuvres parfois hétéroclites, ou encore du recours à une figure d’écrivain critique d’art pour orienter le regard posé sur des œuvres d’arts plastiques. Ces deux tendances font l’objet de la présente étude, premier volet d’un diptyque dont le second portera sur les commissariats d’exposition confiés à des écrivains et les expositions consacrées aux œuvres visuelles des écrivains.</w:t>
      </w:r>
    </w:p>
    <w:p w14:paraId="04496958" w14:textId="77777777" w:rsidR="003D4CDA" w:rsidRDefault="003D4CDA" w:rsidP="772DE573">
      <w:pPr>
        <w:rPr>
          <w:lang w:val="fr-BE"/>
        </w:rPr>
      </w:pPr>
    </w:p>
    <w:p w14:paraId="2696D883" w14:textId="64E9EC7C" w:rsidR="772DE573" w:rsidRDefault="772DE573" w:rsidP="772DE573">
      <w:pPr>
        <w:rPr>
          <w:lang w:val="fr-BE"/>
        </w:rPr>
      </w:pPr>
      <w:r w:rsidRPr="003D4CDA">
        <w:rPr>
          <w:lang w:val="fr-BE"/>
        </w:rPr>
        <w:t>Mots-clés:</w:t>
      </w:r>
      <w:r w:rsidRPr="772DE573">
        <w:rPr>
          <w:lang w:val="fr-BE"/>
        </w:rPr>
        <w:t xml:space="preserve"> (5 à 10)</w:t>
      </w:r>
    </w:p>
    <w:p w14:paraId="3BB997FA" w14:textId="47584A12" w:rsidR="003D4CDA" w:rsidRDefault="003D4CDA" w:rsidP="772DE573">
      <w:pPr>
        <w:rPr>
          <w:lang w:val="fr-BE"/>
        </w:rPr>
      </w:pPr>
      <w:r>
        <w:rPr>
          <w:lang w:val="fr-BE"/>
        </w:rPr>
        <w:t>Exposition, littérature, arts visuels</w:t>
      </w:r>
    </w:p>
    <w:p w14:paraId="64F496FC" w14:textId="77777777" w:rsidR="003D4CDA" w:rsidRDefault="003D4CDA" w:rsidP="772DE573">
      <w:pPr>
        <w:rPr>
          <w:lang w:val="fr-BE"/>
        </w:rPr>
      </w:pPr>
    </w:p>
    <w:p w14:paraId="6BC678EA" w14:textId="77777777" w:rsidR="00F50BD8" w:rsidRDefault="00F50BD8" w:rsidP="772DE573">
      <w:pPr>
        <w:rPr>
          <w:lang w:val="fr-BE"/>
        </w:rPr>
      </w:pPr>
    </w:p>
    <w:p w14:paraId="064BE3AF" w14:textId="10243E1B" w:rsidR="00172492" w:rsidRDefault="00211114" w:rsidP="003D4CDA">
      <w:pPr>
        <w:spacing w:after="120" w:line="360" w:lineRule="auto"/>
        <w:jc w:val="both"/>
        <w:rPr>
          <w:lang w:val="fr-BE"/>
        </w:rPr>
      </w:pPr>
      <w:r w:rsidRPr="772DE573">
        <w:rPr>
          <w:lang w:val="fr-BE"/>
        </w:rPr>
        <w:t>L</w:t>
      </w:r>
      <w:r w:rsidR="006057AF" w:rsidRPr="772DE573">
        <w:rPr>
          <w:lang w:val="fr-BE"/>
        </w:rPr>
        <w:t>’</w:t>
      </w:r>
      <w:r w:rsidRPr="772DE573">
        <w:rPr>
          <w:lang w:val="fr-BE"/>
        </w:rPr>
        <w:t xml:space="preserve">une des principales idées </w:t>
      </w:r>
      <w:r w:rsidR="00DF5F0C" w:rsidRPr="772DE573">
        <w:rPr>
          <w:lang w:val="fr-BE"/>
        </w:rPr>
        <w:t>reçue</w:t>
      </w:r>
      <w:r w:rsidR="00670DDC" w:rsidRPr="772DE573">
        <w:rPr>
          <w:lang w:val="fr-BE"/>
        </w:rPr>
        <w:t>s</w:t>
      </w:r>
      <w:r w:rsidR="00DF5F0C" w:rsidRPr="772DE573">
        <w:rPr>
          <w:lang w:val="fr-BE"/>
        </w:rPr>
        <w:t xml:space="preserve"> concernant</w:t>
      </w:r>
      <w:r w:rsidRPr="772DE573">
        <w:rPr>
          <w:lang w:val="fr-BE"/>
        </w:rPr>
        <w:t xml:space="preserve"> l</w:t>
      </w:r>
      <w:r w:rsidR="006057AF" w:rsidRPr="772DE573">
        <w:rPr>
          <w:lang w:val="fr-BE"/>
        </w:rPr>
        <w:t>’</w:t>
      </w:r>
      <w:r w:rsidRPr="772DE573">
        <w:rPr>
          <w:lang w:val="fr-BE"/>
        </w:rPr>
        <w:t xml:space="preserve">exposition de la littérature réside dans le fait que celle-ci ne serait pas </w:t>
      </w:r>
      <w:proofErr w:type="spellStart"/>
      <w:r w:rsidRPr="772DE573">
        <w:rPr>
          <w:lang w:val="fr-BE"/>
        </w:rPr>
        <w:t>exposable</w:t>
      </w:r>
      <w:proofErr w:type="spellEnd"/>
      <w:r w:rsidRPr="772DE573">
        <w:rPr>
          <w:lang w:val="fr-BE"/>
        </w:rPr>
        <w:t xml:space="preserve"> ou </w:t>
      </w:r>
      <w:r w:rsidR="00FB0F70" w:rsidRPr="772DE573">
        <w:rPr>
          <w:lang w:val="fr-BE"/>
        </w:rPr>
        <w:t xml:space="preserve">le serait </w:t>
      </w:r>
      <w:r w:rsidRPr="772DE573">
        <w:rPr>
          <w:lang w:val="fr-BE"/>
        </w:rPr>
        <w:t>du moins difficilement</w:t>
      </w:r>
      <w:r w:rsidR="00394645" w:rsidRPr="772DE573">
        <w:rPr>
          <w:lang w:val="fr-BE"/>
        </w:rPr>
        <w:t>.</w:t>
      </w:r>
      <w:r w:rsidRPr="772DE573">
        <w:rPr>
          <w:lang w:val="fr-BE"/>
        </w:rPr>
        <w:t xml:space="preserve"> </w:t>
      </w:r>
      <w:r w:rsidR="004631BA" w:rsidRPr="772DE573">
        <w:rPr>
          <w:lang w:val="fr-BE"/>
        </w:rPr>
        <w:t xml:space="preserve">En 1999, Hubert Bari se demandait ainsi, de façon </w:t>
      </w:r>
      <w:r w:rsidR="00584E6E" w:rsidRPr="772DE573">
        <w:rPr>
          <w:lang w:val="fr-BE"/>
        </w:rPr>
        <w:t xml:space="preserve">un brin </w:t>
      </w:r>
      <w:r w:rsidR="004631BA" w:rsidRPr="772DE573">
        <w:rPr>
          <w:lang w:val="fr-BE"/>
        </w:rPr>
        <w:t>provocante : « Exposer le livre, est-ce imposer l’ennui ?</w:t>
      </w:r>
      <w:r w:rsidR="004631BA" w:rsidRPr="772DE573">
        <w:rPr>
          <w:rStyle w:val="Appelnotedebasdep"/>
          <w:lang w:val="fr-BE"/>
        </w:rPr>
        <w:footnoteReference w:id="2"/>
      </w:r>
      <w:r w:rsidR="7387BCA1" w:rsidRPr="7387BCA1">
        <w:rPr>
          <w:lang w:val="fr-BE"/>
        </w:rPr>
        <w:t> »</w:t>
      </w:r>
      <w:r w:rsidR="004631BA" w:rsidRPr="772DE573">
        <w:rPr>
          <w:lang w:val="fr-BE"/>
        </w:rPr>
        <w:t xml:space="preserve">. </w:t>
      </w:r>
      <w:r w:rsidR="002A0020" w:rsidRPr="772DE573">
        <w:rPr>
          <w:lang w:val="fr-BE"/>
        </w:rPr>
        <w:t xml:space="preserve">Cette </w:t>
      </w:r>
      <w:r w:rsidR="00670DDC" w:rsidRPr="772DE573">
        <w:rPr>
          <w:lang w:val="fr-BE"/>
        </w:rPr>
        <w:t>difficulté</w:t>
      </w:r>
      <w:r w:rsidR="00FA1717" w:rsidRPr="772DE573">
        <w:rPr>
          <w:lang w:val="fr-BE"/>
        </w:rPr>
        <w:t xml:space="preserve">, </w:t>
      </w:r>
      <w:r w:rsidR="00F759E8" w:rsidRPr="772DE573">
        <w:rPr>
          <w:lang w:val="fr-BE"/>
        </w:rPr>
        <w:t xml:space="preserve">confirmée </w:t>
      </w:r>
      <w:r w:rsidR="002A0020" w:rsidRPr="772DE573">
        <w:rPr>
          <w:lang w:val="fr-BE"/>
        </w:rPr>
        <w:t>par</w:t>
      </w:r>
      <w:r w:rsidR="00FA1717" w:rsidRPr="772DE573">
        <w:rPr>
          <w:lang w:val="fr-BE"/>
        </w:rPr>
        <w:t xml:space="preserve"> </w:t>
      </w:r>
      <w:r w:rsidR="00F70348" w:rsidRPr="772DE573">
        <w:rPr>
          <w:lang w:val="fr-BE"/>
        </w:rPr>
        <w:t>nombre</w:t>
      </w:r>
      <w:r w:rsidR="00FA1717" w:rsidRPr="772DE573">
        <w:rPr>
          <w:lang w:val="fr-BE"/>
        </w:rPr>
        <w:t xml:space="preserve"> </w:t>
      </w:r>
      <w:r w:rsidR="00E745CA" w:rsidRPr="772DE573">
        <w:rPr>
          <w:lang w:val="fr-BE"/>
        </w:rPr>
        <w:t>de concepteurs</w:t>
      </w:r>
      <w:r w:rsidR="00FA1717" w:rsidRPr="772DE573">
        <w:rPr>
          <w:lang w:val="fr-BE"/>
        </w:rPr>
        <w:t xml:space="preserve"> </w:t>
      </w:r>
      <w:r w:rsidR="008A4D9C" w:rsidRPr="772DE573">
        <w:rPr>
          <w:lang w:val="fr-BE"/>
        </w:rPr>
        <w:t>d’</w:t>
      </w:r>
      <w:r w:rsidR="00FA1717" w:rsidRPr="772DE573">
        <w:rPr>
          <w:lang w:val="fr-BE"/>
        </w:rPr>
        <w:t>expositions touchant à la littérature</w:t>
      </w:r>
      <w:r w:rsidR="00DE77D7" w:rsidRPr="772DE573">
        <w:rPr>
          <w:rStyle w:val="Appelnotedebasdep"/>
          <w:lang w:val="fr-BE"/>
        </w:rPr>
        <w:footnoteReference w:id="3"/>
      </w:r>
      <w:r w:rsidR="00FA1717" w:rsidRPr="772DE573">
        <w:rPr>
          <w:lang w:val="fr-BE"/>
        </w:rPr>
        <w:t>,</w:t>
      </w:r>
      <w:r w:rsidR="00693237" w:rsidRPr="772DE573">
        <w:rPr>
          <w:lang w:val="fr-BE"/>
        </w:rPr>
        <w:t xml:space="preserve"> réside</w:t>
      </w:r>
      <w:r w:rsidR="00FA1717" w:rsidRPr="772DE573">
        <w:rPr>
          <w:lang w:val="fr-BE"/>
        </w:rPr>
        <w:t xml:space="preserve"> dans le fait qu</w:t>
      </w:r>
      <w:r w:rsidR="005C4C38" w:rsidRPr="772DE573">
        <w:rPr>
          <w:lang w:val="fr-BE"/>
        </w:rPr>
        <w:t xml:space="preserve">e notre </w:t>
      </w:r>
      <w:r w:rsidR="004631BA" w:rsidRPr="772DE573">
        <w:rPr>
          <w:lang w:val="fr-BE"/>
        </w:rPr>
        <w:t>appréhension</w:t>
      </w:r>
      <w:r w:rsidR="005C4C38" w:rsidRPr="772DE573">
        <w:rPr>
          <w:lang w:val="fr-BE"/>
        </w:rPr>
        <w:t xml:space="preserve"> </w:t>
      </w:r>
      <w:r w:rsidR="00ED3808" w:rsidRPr="772DE573">
        <w:rPr>
          <w:lang w:val="fr-BE"/>
        </w:rPr>
        <w:t>du littéraire</w:t>
      </w:r>
      <w:r w:rsidR="00F66E89" w:rsidRPr="772DE573">
        <w:rPr>
          <w:lang w:val="fr-BE"/>
        </w:rPr>
        <w:t xml:space="preserve"> reste</w:t>
      </w:r>
      <w:r w:rsidR="00F759E8" w:rsidRPr="772DE573">
        <w:rPr>
          <w:lang w:val="fr-BE"/>
        </w:rPr>
        <w:t xml:space="preserve"> </w:t>
      </w:r>
      <w:r w:rsidR="00E745CA" w:rsidRPr="772DE573">
        <w:rPr>
          <w:lang w:val="fr-BE"/>
        </w:rPr>
        <w:t xml:space="preserve">principalement </w:t>
      </w:r>
      <w:r w:rsidR="009A4AA8" w:rsidRPr="772DE573">
        <w:rPr>
          <w:lang w:val="fr-BE"/>
        </w:rPr>
        <w:t xml:space="preserve">et naturellement </w:t>
      </w:r>
      <w:r w:rsidR="00F66E89" w:rsidRPr="772DE573">
        <w:rPr>
          <w:lang w:val="fr-BE"/>
        </w:rPr>
        <w:t>attachée à l</w:t>
      </w:r>
      <w:r w:rsidR="006057AF" w:rsidRPr="772DE573">
        <w:rPr>
          <w:lang w:val="fr-BE"/>
        </w:rPr>
        <w:t>’</w:t>
      </w:r>
      <w:r w:rsidR="00F66E89" w:rsidRPr="772DE573">
        <w:rPr>
          <w:lang w:val="fr-BE"/>
        </w:rPr>
        <w:t>écriture et à ses formes matérielles</w:t>
      </w:r>
      <w:r w:rsidR="005C4C38" w:rsidRPr="772DE573">
        <w:rPr>
          <w:lang w:val="fr-BE"/>
        </w:rPr>
        <w:t xml:space="preserve"> traditionnelles</w:t>
      </w:r>
      <w:r w:rsidR="00F66E89" w:rsidRPr="772DE573">
        <w:rPr>
          <w:lang w:val="fr-BE"/>
        </w:rPr>
        <w:t>. Qui visite une exposition dont le sujet est un écrivain ou une œuvre littéraire s</w:t>
      </w:r>
      <w:r w:rsidR="006057AF" w:rsidRPr="772DE573">
        <w:rPr>
          <w:lang w:val="fr-BE"/>
        </w:rPr>
        <w:t>’</w:t>
      </w:r>
      <w:r w:rsidR="00F66E89" w:rsidRPr="772DE573">
        <w:rPr>
          <w:lang w:val="fr-BE"/>
        </w:rPr>
        <w:t>attend</w:t>
      </w:r>
      <w:r w:rsidR="004631BA" w:rsidRPr="772DE573">
        <w:rPr>
          <w:lang w:val="fr-BE"/>
        </w:rPr>
        <w:t xml:space="preserve"> à bon droit</w:t>
      </w:r>
      <w:r w:rsidR="0032499E" w:rsidRPr="772DE573">
        <w:rPr>
          <w:lang w:val="fr-BE"/>
        </w:rPr>
        <w:t xml:space="preserve"> </w:t>
      </w:r>
      <w:r w:rsidR="00F66E89" w:rsidRPr="772DE573">
        <w:rPr>
          <w:lang w:val="fr-BE"/>
        </w:rPr>
        <w:t>à</w:t>
      </w:r>
      <w:r w:rsidR="005C4C38" w:rsidRPr="772DE573">
        <w:rPr>
          <w:lang w:val="fr-BE"/>
        </w:rPr>
        <w:t xml:space="preserve"> </w:t>
      </w:r>
      <w:r w:rsidR="00F66E89" w:rsidRPr="772DE573">
        <w:rPr>
          <w:lang w:val="fr-BE"/>
        </w:rPr>
        <w:t>voir des livres et des manuscrits.</w:t>
      </w:r>
      <w:r w:rsidR="00DC259E" w:rsidRPr="772DE573">
        <w:rPr>
          <w:lang w:val="fr-BE"/>
        </w:rPr>
        <w:t xml:space="preserve"> Or, à moins d</w:t>
      </w:r>
      <w:r w:rsidR="006057AF" w:rsidRPr="772DE573">
        <w:rPr>
          <w:lang w:val="fr-BE"/>
        </w:rPr>
        <w:t>’</w:t>
      </w:r>
      <w:r w:rsidR="00DC259E" w:rsidRPr="772DE573">
        <w:rPr>
          <w:lang w:val="fr-BE"/>
        </w:rPr>
        <w:t>avoir fait l</w:t>
      </w:r>
      <w:r w:rsidR="006057AF" w:rsidRPr="772DE573">
        <w:rPr>
          <w:lang w:val="fr-BE"/>
        </w:rPr>
        <w:t>’</w:t>
      </w:r>
      <w:r w:rsidR="00DC259E" w:rsidRPr="772DE573">
        <w:rPr>
          <w:lang w:val="fr-BE"/>
        </w:rPr>
        <w:t>objet d</w:t>
      </w:r>
      <w:r w:rsidR="006057AF" w:rsidRPr="772DE573">
        <w:rPr>
          <w:lang w:val="fr-BE"/>
        </w:rPr>
        <w:t>’</w:t>
      </w:r>
      <w:r w:rsidR="00DC259E" w:rsidRPr="772DE573">
        <w:rPr>
          <w:lang w:val="fr-BE"/>
        </w:rPr>
        <w:t>un travail graphique notable</w:t>
      </w:r>
      <w:r w:rsidR="004631BA" w:rsidRPr="772DE573">
        <w:rPr>
          <w:lang w:val="fr-BE"/>
        </w:rPr>
        <w:t xml:space="preserve"> – chez un Christian Dotremont ou une Etel Adnan, par exemple –,</w:t>
      </w:r>
      <w:r w:rsidR="00DC259E" w:rsidRPr="772DE573">
        <w:rPr>
          <w:lang w:val="fr-BE"/>
        </w:rPr>
        <w:t xml:space="preserve"> </w:t>
      </w:r>
      <w:r w:rsidR="00492AE1" w:rsidRPr="772DE573">
        <w:rPr>
          <w:lang w:val="fr-BE"/>
        </w:rPr>
        <w:t>l</w:t>
      </w:r>
      <w:r w:rsidR="006057AF" w:rsidRPr="772DE573">
        <w:rPr>
          <w:lang w:val="fr-BE"/>
        </w:rPr>
        <w:t>’</w:t>
      </w:r>
      <w:r w:rsidR="00492AE1" w:rsidRPr="772DE573">
        <w:rPr>
          <w:lang w:val="fr-BE"/>
        </w:rPr>
        <w:t>écrit</w:t>
      </w:r>
      <w:r w:rsidR="00844FF3" w:rsidRPr="772DE573">
        <w:rPr>
          <w:lang w:val="fr-BE"/>
        </w:rPr>
        <w:t xml:space="preserve"> </w:t>
      </w:r>
      <w:r w:rsidR="004631BA" w:rsidRPr="772DE573">
        <w:rPr>
          <w:lang w:val="fr-BE"/>
        </w:rPr>
        <w:t>se prête</w:t>
      </w:r>
      <w:r w:rsidR="009A4AA8" w:rsidRPr="772DE573">
        <w:rPr>
          <w:lang w:val="fr-BE"/>
        </w:rPr>
        <w:t xml:space="preserve"> généralement</w:t>
      </w:r>
      <w:r w:rsidR="004631BA" w:rsidRPr="772DE573">
        <w:rPr>
          <w:lang w:val="fr-BE"/>
        </w:rPr>
        <w:t xml:space="preserve"> mal</w:t>
      </w:r>
      <w:r w:rsidR="00844FF3" w:rsidRPr="772DE573">
        <w:rPr>
          <w:lang w:val="fr-BE"/>
        </w:rPr>
        <w:t xml:space="preserve"> à </w:t>
      </w:r>
      <w:r w:rsidR="004631BA" w:rsidRPr="772DE573">
        <w:rPr>
          <w:lang w:val="fr-BE"/>
        </w:rPr>
        <w:t>être exposé</w:t>
      </w:r>
      <w:r w:rsidR="00844FF3" w:rsidRPr="772DE573">
        <w:rPr>
          <w:lang w:val="fr-BE"/>
        </w:rPr>
        <w:t xml:space="preserve">, </w:t>
      </w:r>
      <w:r w:rsidR="0032499E" w:rsidRPr="772DE573">
        <w:rPr>
          <w:lang w:val="fr-BE"/>
        </w:rPr>
        <w:t>notamment parce que</w:t>
      </w:r>
      <w:r w:rsidR="00F759E8" w:rsidRPr="772DE573">
        <w:rPr>
          <w:lang w:val="fr-BE"/>
        </w:rPr>
        <w:t xml:space="preserve"> </w:t>
      </w:r>
      <w:r w:rsidR="00492AE1" w:rsidRPr="772DE573">
        <w:rPr>
          <w:lang w:val="fr-BE"/>
        </w:rPr>
        <w:t xml:space="preserve">la lecture requiert un temps </w:t>
      </w:r>
      <w:r w:rsidR="00394645" w:rsidRPr="772DE573">
        <w:rPr>
          <w:lang w:val="fr-BE"/>
        </w:rPr>
        <w:t xml:space="preserve">qui </w:t>
      </w:r>
      <w:r w:rsidR="004631BA" w:rsidRPr="772DE573">
        <w:rPr>
          <w:lang w:val="fr-BE"/>
        </w:rPr>
        <w:t xml:space="preserve">ne </w:t>
      </w:r>
      <w:r w:rsidR="00394645" w:rsidRPr="772DE573">
        <w:rPr>
          <w:lang w:val="fr-BE"/>
        </w:rPr>
        <w:t>s</w:t>
      </w:r>
      <w:r w:rsidR="006057AF" w:rsidRPr="772DE573">
        <w:rPr>
          <w:lang w:val="fr-BE"/>
        </w:rPr>
        <w:t>’</w:t>
      </w:r>
      <w:r w:rsidR="00394645" w:rsidRPr="772DE573">
        <w:rPr>
          <w:lang w:val="fr-BE"/>
        </w:rPr>
        <w:t xml:space="preserve">accommode </w:t>
      </w:r>
      <w:r w:rsidR="004631BA" w:rsidRPr="772DE573">
        <w:rPr>
          <w:lang w:val="fr-BE"/>
        </w:rPr>
        <w:t>guère</w:t>
      </w:r>
      <w:r w:rsidR="00394645" w:rsidRPr="772DE573">
        <w:rPr>
          <w:lang w:val="fr-BE"/>
        </w:rPr>
        <w:t xml:space="preserve"> avec le caractère </w:t>
      </w:r>
      <w:r w:rsidR="00394645" w:rsidRPr="772DE573">
        <w:rPr>
          <w:lang w:val="fr-BE"/>
        </w:rPr>
        <w:lastRenderedPageBreak/>
        <w:t xml:space="preserve">« péripatéticien » (dans le sens </w:t>
      </w:r>
      <w:r w:rsidR="0032499E" w:rsidRPr="772DE573">
        <w:rPr>
          <w:lang w:val="fr-BE"/>
        </w:rPr>
        <w:t>d’</w:t>
      </w:r>
      <w:r w:rsidR="00394645" w:rsidRPr="772DE573">
        <w:rPr>
          <w:lang w:val="fr-BE"/>
        </w:rPr>
        <w:t>Aristote) de l</w:t>
      </w:r>
      <w:r w:rsidR="006057AF" w:rsidRPr="772DE573">
        <w:rPr>
          <w:lang w:val="fr-BE"/>
        </w:rPr>
        <w:t>’</w:t>
      </w:r>
      <w:r w:rsidR="00394645" w:rsidRPr="772DE573">
        <w:rPr>
          <w:lang w:val="fr-BE"/>
        </w:rPr>
        <w:t>exposition</w:t>
      </w:r>
      <w:r w:rsidR="0032499E" w:rsidRPr="772DE573">
        <w:rPr>
          <w:lang w:val="fr-BE"/>
        </w:rPr>
        <w:t>. D</w:t>
      </w:r>
      <w:r w:rsidR="00F759E8" w:rsidRPr="772DE573">
        <w:rPr>
          <w:lang w:val="fr-BE"/>
        </w:rPr>
        <w:t>ans son format classique</w:t>
      </w:r>
      <w:r w:rsidR="0032499E" w:rsidRPr="772DE573">
        <w:rPr>
          <w:lang w:val="fr-BE"/>
        </w:rPr>
        <w:t>,</w:t>
      </w:r>
      <w:r w:rsidR="00F759E8" w:rsidRPr="772DE573">
        <w:rPr>
          <w:lang w:val="fr-BE"/>
        </w:rPr>
        <w:t xml:space="preserve"> dévolu aux arts visuels,</w:t>
      </w:r>
      <w:r w:rsidR="00DB4CEF" w:rsidRPr="772DE573">
        <w:rPr>
          <w:lang w:val="fr-BE"/>
        </w:rPr>
        <w:t xml:space="preserve"> </w:t>
      </w:r>
      <w:r w:rsidR="0032499E" w:rsidRPr="772DE573">
        <w:rPr>
          <w:lang w:val="fr-BE"/>
        </w:rPr>
        <w:t xml:space="preserve">elle </w:t>
      </w:r>
      <w:r w:rsidR="00DB4CEF" w:rsidRPr="772DE573">
        <w:rPr>
          <w:lang w:val="fr-BE"/>
        </w:rPr>
        <w:t>invite davantage à une déambulation</w:t>
      </w:r>
      <w:r w:rsidR="0032499E" w:rsidRPr="772DE573">
        <w:rPr>
          <w:lang w:val="fr-BE"/>
        </w:rPr>
        <w:t xml:space="preserve"> </w:t>
      </w:r>
      <w:r w:rsidR="00DB4CEF" w:rsidRPr="772DE573">
        <w:rPr>
          <w:lang w:val="fr-BE"/>
        </w:rPr>
        <w:t xml:space="preserve">qu’à </w:t>
      </w:r>
      <w:r w:rsidR="004631BA" w:rsidRPr="772DE573">
        <w:rPr>
          <w:lang w:val="fr-BE"/>
        </w:rPr>
        <w:t>c</w:t>
      </w:r>
      <w:r w:rsidR="0032499E" w:rsidRPr="772DE573">
        <w:rPr>
          <w:lang w:val="fr-BE"/>
        </w:rPr>
        <w:t>es</w:t>
      </w:r>
      <w:r w:rsidR="00DB4CEF" w:rsidRPr="772DE573">
        <w:rPr>
          <w:lang w:val="fr-BE"/>
        </w:rPr>
        <w:t xml:space="preserve"> temps d’arrêt </w:t>
      </w:r>
      <w:r w:rsidR="004631BA" w:rsidRPr="772DE573">
        <w:rPr>
          <w:lang w:val="fr-BE"/>
        </w:rPr>
        <w:t>qu’</w:t>
      </w:r>
      <w:r w:rsidR="00DB4CEF" w:rsidRPr="772DE573">
        <w:rPr>
          <w:lang w:val="fr-BE"/>
        </w:rPr>
        <w:t>impos</w:t>
      </w:r>
      <w:r w:rsidR="004631BA" w:rsidRPr="772DE573">
        <w:rPr>
          <w:lang w:val="fr-BE"/>
        </w:rPr>
        <w:t>e nécessairement</w:t>
      </w:r>
      <w:r w:rsidR="00DB4CEF" w:rsidRPr="772DE573">
        <w:rPr>
          <w:lang w:val="fr-BE"/>
        </w:rPr>
        <w:t xml:space="preserve"> la lecture. </w:t>
      </w:r>
      <w:r w:rsidR="00844FF3" w:rsidRPr="772DE573">
        <w:rPr>
          <w:lang w:val="fr-BE"/>
        </w:rPr>
        <w:t>U</w:t>
      </w:r>
      <w:r w:rsidR="00DF5F0C" w:rsidRPr="772DE573">
        <w:rPr>
          <w:lang w:val="fr-BE"/>
        </w:rPr>
        <w:t xml:space="preserve">n écrivain </w:t>
      </w:r>
      <w:r w:rsidR="008D7845" w:rsidRPr="772DE573">
        <w:rPr>
          <w:lang w:val="fr-BE"/>
        </w:rPr>
        <w:t xml:space="preserve">(et par conséquent un livre) </w:t>
      </w:r>
      <w:r w:rsidR="00844FF3" w:rsidRPr="772DE573">
        <w:rPr>
          <w:lang w:val="fr-BE"/>
        </w:rPr>
        <w:t xml:space="preserve">seraient </w:t>
      </w:r>
      <w:r w:rsidR="009A4AA8" w:rsidRPr="772DE573">
        <w:rPr>
          <w:lang w:val="fr-BE"/>
        </w:rPr>
        <w:t xml:space="preserve">ainsi </w:t>
      </w:r>
      <w:r w:rsidR="00DF5F0C" w:rsidRPr="772DE573">
        <w:rPr>
          <w:lang w:val="fr-BE"/>
        </w:rPr>
        <w:t>fait</w:t>
      </w:r>
      <w:r w:rsidR="00844FF3" w:rsidRPr="772DE573">
        <w:rPr>
          <w:lang w:val="fr-BE"/>
        </w:rPr>
        <w:t>s</w:t>
      </w:r>
      <w:r w:rsidR="00DF5F0C" w:rsidRPr="772DE573">
        <w:rPr>
          <w:lang w:val="fr-BE"/>
        </w:rPr>
        <w:t xml:space="preserve"> pour être « lu</w:t>
      </w:r>
      <w:r w:rsidR="00F257A6" w:rsidRPr="772DE573">
        <w:rPr>
          <w:lang w:val="fr-BE"/>
        </w:rPr>
        <w:t>s</w:t>
      </w:r>
      <w:r w:rsidR="00DF5F0C" w:rsidRPr="772DE573">
        <w:rPr>
          <w:lang w:val="fr-BE"/>
        </w:rPr>
        <w:t xml:space="preserve"> », </w:t>
      </w:r>
      <w:r w:rsidR="004631BA" w:rsidRPr="772DE573">
        <w:rPr>
          <w:lang w:val="fr-BE"/>
        </w:rPr>
        <w:t>davantage que</w:t>
      </w:r>
      <w:r w:rsidR="00DF5F0C" w:rsidRPr="772DE573">
        <w:rPr>
          <w:lang w:val="fr-BE"/>
        </w:rPr>
        <w:t xml:space="preserve"> pour être « vu</w:t>
      </w:r>
      <w:r w:rsidR="00F257A6" w:rsidRPr="772DE573">
        <w:rPr>
          <w:lang w:val="fr-BE"/>
        </w:rPr>
        <w:t>s</w:t>
      </w:r>
      <w:r w:rsidR="00DF5F0C" w:rsidRPr="772DE573">
        <w:rPr>
          <w:lang w:val="fr-BE"/>
        </w:rPr>
        <w:t> »</w:t>
      </w:r>
      <w:r w:rsidR="00F759E8" w:rsidRPr="772DE573">
        <w:rPr>
          <w:lang w:val="fr-BE"/>
        </w:rPr>
        <w:t>.</w:t>
      </w:r>
      <w:r w:rsidR="00844FF3" w:rsidRPr="772DE573">
        <w:rPr>
          <w:lang w:val="fr-BE"/>
        </w:rPr>
        <w:t xml:space="preserve"> </w:t>
      </w:r>
    </w:p>
    <w:p w14:paraId="53560B7F" w14:textId="0A9CBF52" w:rsidR="00A15ED5" w:rsidRPr="00AE29A3" w:rsidRDefault="00693237" w:rsidP="003D4CDA">
      <w:pPr>
        <w:spacing w:after="120" w:line="360" w:lineRule="auto"/>
        <w:jc w:val="both"/>
        <w:rPr>
          <w:lang w:val="fr-BE"/>
        </w:rPr>
      </w:pPr>
      <w:r w:rsidRPr="772DE573">
        <w:rPr>
          <w:lang w:val="fr-BE"/>
        </w:rPr>
        <w:t>Pourtant,</w:t>
      </w:r>
      <w:r w:rsidR="006A651A" w:rsidRPr="772DE573">
        <w:rPr>
          <w:lang w:val="fr-BE"/>
        </w:rPr>
        <w:t xml:space="preserve"> </w:t>
      </w:r>
      <w:r w:rsidR="00DF5F0C" w:rsidRPr="772DE573">
        <w:rPr>
          <w:lang w:val="fr-BE"/>
        </w:rPr>
        <w:t xml:space="preserve">force est de </w:t>
      </w:r>
      <w:r w:rsidR="0041163A" w:rsidRPr="772DE573">
        <w:rPr>
          <w:lang w:val="fr-BE"/>
        </w:rPr>
        <w:t>le constater,</w:t>
      </w:r>
      <w:r w:rsidR="00DF5F0C" w:rsidRPr="772DE573">
        <w:rPr>
          <w:lang w:val="fr-BE"/>
        </w:rPr>
        <w:t xml:space="preserve"> </w:t>
      </w:r>
      <w:r w:rsidR="00532E65" w:rsidRPr="772DE573">
        <w:rPr>
          <w:lang w:val="fr-BE"/>
        </w:rPr>
        <w:t>le nombre d</w:t>
      </w:r>
      <w:r w:rsidR="006057AF" w:rsidRPr="772DE573">
        <w:rPr>
          <w:lang w:val="fr-BE"/>
        </w:rPr>
        <w:t>’</w:t>
      </w:r>
      <w:r w:rsidR="00532E65" w:rsidRPr="772DE573">
        <w:rPr>
          <w:lang w:val="fr-BE"/>
        </w:rPr>
        <w:t>expositions portant d</w:t>
      </w:r>
      <w:r w:rsidR="006057AF" w:rsidRPr="772DE573">
        <w:rPr>
          <w:lang w:val="fr-BE"/>
        </w:rPr>
        <w:t>’</w:t>
      </w:r>
      <w:r w:rsidR="00532E65" w:rsidRPr="772DE573">
        <w:rPr>
          <w:lang w:val="fr-BE"/>
        </w:rPr>
        <w:t>une façon ou d</w:t>
      </w:r>
      <w:r w:rsidR="006057AF" w:rsidRPr="772DE573">
        <w:rPr>
          <w:lang w:val="fr-BE"/>
        </w:rPr>
        <w:t>’</w:t>
      </w:r>
      <w:r w:rsidR="00532E65" w:rsidRPr="772DE573">
        <w:rPr>
          <w:lang w:val="fr-BE"/>
        </w:rPr>
        <w:t>une autre sur la littérature se révèle absolument considérable</w:t>
      </w:r>
      <w:r w:rsidR="0032499E" w:rsidRPr="772DE573">
        <w:rPr>
          <w:rStyle w:val="Appelnotedebasdep"/>
          <w:lang w:val="fr-BE"/>
        </w:rPr>
        <w:footnoteReference w:id="4"/>
      </w:r>
      <w:r w:rsidR="00604EB0" w:rsidRPr="772DE573">
        <w:rPr>
          <w:lang w:val="fr-BE"/>
        </w:rPr>
        <w:t>.</w:t>
      </w:r>
      <w:r w:rsidR="0054384C" w:rsidRPr="772DE573">
        <w:rPr>
          <w:lang w:val="fr-BE"/>
        </w:rPr>
        <w:t xml:space="preserve"> </w:t>
      </w:r>
      <w:r w:rsidR="00A15ED5" w:rsidRPr="772DE573">
        <w:rPr>
          <w:lang w:val="fr-BE"/>
        </w:rPr>
        <w:t>Pour contourner le</w:t>
      </w:r>
      <w:r w:rsidR="0041163A" w:rsidRPr="772DE573">
        <w:rPr>
          <w:lang w:val="fr-BE"/>
        </w:rPr>
        <w:t>s</w:t>
      </w:r>
      <w:r w:rsidR="00A15ED5" w:rsidRPr="772DE573">
        <w:rPr>
          <w:lang w:val="fr-BE"/>
        </w:rPr>
        <w:t xml:space="preserve"> problème</w:t>
      </w:r>
      <w:r w:rsidR="0041163A" w:rsidRPr="772DE573">
        <w:rPr>
          <w:lang w:val="fr-BE"/>
        </w:rPr>
        <w:t>s soulevés par</w:t>
      </w:r>
      <w:r w:rsidR="00A15ED5" w:rsidRPr="772DE573">
        <w:rPr>
          <w:lang w:val="fr-BE"/>
        </w:rPr>
        <w:t xml:space="preserve"> l’exposition de la littérature, l’une des formules fréquemment adoptées consiste en effet à intégrer une part conséquente d’</w:t>
      </w:r>
      <w:proofErr w:type="spellStart"/>
      <w:r w:rsidR="00A15ED5" w:rsidRPr="772DE573">
        <w:rPr>
          <w:lang w:val="fr-BE"/>
        </w:rPr>
        <w:t>expôts</w:t>
      </w:r>
      <w:proofErr w:type="spellEnd"/>
      <w:r w:rsidR="00A15ED5" w:rsidRPr="772DE573">
        <w:rPr>
          <w:lang w:val="fr-BE"/>
        </w:rPr>
        <w:t xml:space="preserve"> émanant des arts visuels, censément plus commodes à appréhender dans un contexte d’exposition. Bien des expositions à sujets littéraires intègrent ainsi à leur </w:t>
      </w:r>
      <w:r w:rsidR="0041163A" w:rsidRPr="772DE573">
        <w:rPr>
          <w:lang w:val="fr-BE"/>
        </w:rPr>
        <w:t>parcours</w:t>
      </w:r>
      <w:r w:rsidR="00A15ED5" w:rsidRPr="772DE573">
        <w:rPr>
          <w:lang w:val="fr-BE"/>
        </w:rPr>
        <w:t xml:space="preserve"> des peintures ou des photographies, par exemple des portraits de l’écrivain lorsqu’il s’agit d’une exposition monographique</w:t>
      </w:r>
      <w:r w:rsidR="0041163A" w:rsidRPr="772DE573">
        <w:rPr>
          <w:lang w:val="fr-BE"/>
        </w:rPr>
        <w:t>, ou encore des images de lieux qui ont pu inspirer l’écrivain</w:t>
      </w:r>
      <w:r w:rsidR="00A15ED5" w:rsidRPr="772DE573">
        <w:rPr>
          <w:lang w:val="fr-BE"/>
        </w:rPr>
        <w:t xml:space="preserve">. </w:t>
      </w:r>
      <w:r w:rsidR="0041163A" w:rsidRPr="772DE573">
        <w:rPr>
          <w:lang w:val="fr-BE"/>
        </w:rPr>
        <w:t>M</w:t>
      </w:r>
      <w:r w:rsidR="00A15ED5" w:rsidRPr="772DE573">
        <w:rPr>
          <w:lang w:val="fr-BE"/>
        </w:rPr>
        <w:t>anière de varier la nature des artefacts et, ce faisant, de reposer le public de la part de lecture que tendent à imposer les expositions relatives à la littérature. Mais</w:t>
      </w:r>
      <w:r w:rsidR="003D4CDA">
        <w:rPr>
          <w:lang w:val="fr-BE"/>
        </w:rPr>
        <w:t>, aux côtés de</w:t>
      </w:r>
      <w:r w:rsidR="00A15ED5" w:rsidRPr="772DE573">
        <w:rPr>
          <w:lang w:val="fr-BE"/>
        </w:rPr>
        <w:t xml:space="preserve"> ce </w:t>
      </w:r>
      <w:r w:rsidR="0041163A" w:rsidRPr="772DE573">
        <w:rPr>
          <w:lang w:val="fr-BE"/>
        </w:rPr>
        <w:t>recours aux arts visuels dans le cadre d’expositions qui portent sur un sujet littéraire, la démarche inverse s’observe également, qui consiste à mobiliser le littéraire dans le contexte d’expositions qui n’ont pas pour sujet la littérature.</w:t>
      </w:r>
      <w:r w:rsidR="00A15ED5" w:rsidRPr="772DE573">
        <w:rPr>
          <w:lang w:val="fr-BE"/>
        </w:rPr>
        <w:t xml:space="preserve"> </w:t>
      </w:r>
    </w:p>
    <w:p w14:paraId="63E4154F" w14:textId="42C2B08A" w:rsidR="00F649BE" w:rsidRDefault="772DE573" w:rsidP="003D4CDA">
      <w:pPr>
        <w:spacing w:after="120" w:line="360" w:lineRule="auto"/>
        <w:jc w:val="both"/>
        <w:rPr>
          <w:lang w:val="fr-BE"/>
        </w:rPr>
      </w:pPr>
      <w:r w:rsidRPr="772DE573">
        <w:rPr>
          <w:lang w:val="fr-BE"/>
        </w:rPr>
        <w:t xml:space="preserve">Si la littérature a indéniablement perdu une part de son poids et de son prestige dans l’ordre des pratiques culturelles, elle reste dotée d’une valeur significative. Celle-ci tient notamment à sa charge patrimoniale, qui explique qu’elle se trouve fréquemment mobilisée dans l’organisation d’expositions portant sur d’autres sujets. Nombre d’expositions montrant essentiellement des œuvres issues des arts visuels – qu’il s’agisse de peinture ou d’art contemporain – se façonnent en effet en fonction d’une relation affichée à la littérature, qui peut prendre des formes diverses. Ainsi a-t-on vu, ces dernières années, de nombreuses expositions d’arts visuels </w:t>
      </w:r>
      <w:r w:rsidR="00AF2480">
        <w:rPr>
          <w:lang w:val="fr-BE"/>
        </w:rPr>
        <w:t>élaborées sur la base</w:t>
      </w:r>
      <w:r w:rsidRPr="772DE573">
        <w:rPr>
          <w:lang w:val="fr-BE"/>
        </w:rPr>
        <w:t xml:space="preserve"> d’une relation à la littérature ou de références à des œuvres littéraires qui peuvent revêtir différentes fonctions, mais ont en commun de modeler le regard posé sur les œuvres et sur l’exposition en fonction d’un intertexte littéraire. La littérature devient, à la faveur de ces initiatives, l’élément d’une offre encline à mobiliser des sources d’origines diverses, autrement dit à se livrer à une forme d’interdisciplinarité reposant, notamment, sur le recours à ce discours particulier que constitue la littérature. </w:t>
      </w:r>
    </w:p>
    <w:p w14:paraId="29DF685D" w14:textId="0B1D6C9D" w:rsidR="009A4AA8" w:rsidRDefault="0A8D9831" w:rsidP="003D4CDA">
      <w:pPr>
        <w:spacing w:after="120" w:line="360" w:lineRule="auto"/>
        <w:jc w:val="both"/>
        <w:rPr>
          <w:lang w:val="fr-BE"/>
        </w:rPr>
      </w:pPr>
      <w:r w:rsidRPr="0A8D9831">
        <w:rPr>
          <w:lang w:val="fr-BE"/>
        </w:rPr>
        <w:t xml:space="preserve">Ce recours au littéraire dans des expositions d’arts visuels se traduit à travers quatre grandes orientations prises au cours des dernières années par nombre d’institutions muséales et </w:t>
      </w:r>
      <w:r w:rsidRPr="0A8D9831">
        <w:rPr>
          <w:lang w:val="fr-BE"/>
        </w:rPr>
        <w:lastRenderedPageBreak/>
        <w:t>culturelles. En la matière, la gamme des formes d’expositions mises en œuvre recouvre un spectre qui confère aux référents littéraires des rôles aux degrés d’implication variables. Si certaines expositions, d’art contemporain en particulier, mobilisent un modèle littéraire (une œuvre ou, plus souvent encore, une figure d’écrivain), d’autres, de vocation plus patrimoniale, fondent leur discours et leur parcours sur des textes d’écrivains consacrés aux arts visuels, surtout lorsque les auteurs et autrices en question ont œuvré en tant que critiques d’art. Sollicitant des écrivains vivants, certaines institutions vont jusqu’à leur confier l’organisation d’expositions, à titre de commissaires, au point que certains deviennent des artistes à part entière. Enfin, les réalisations plastiques (dessins, peintures, photographies…) de certains d’entre eux apparaissent de ce point de vue comme l’acmé d’un répertoire des manières dont les arts visuels s’exposent en jouant d’une référence littéraire.</w:t>
      </w:r>
    </w:p>
    <w:p w14:paraId="17CB7BBB" w14:textId="4F324279" w:rsidR="00012138" w:rsidRDefault="1CE9138E" w:rsidP="003D4CDA">
      <w:pPr>
        <w:spacing w:after="120" w:line="360" w:lineRule="auto"/>
        <w:jc w:val="both"/>
        <w:rPr>
          <w:lang w:val="fr-BE"/>
        </w:rPr>
      </w:pPr>
      <w:r w:rsidRPr="1CE9138E">
        <w:rPr>
          <w:lang w:val="fr-BE"/>
        </w:rPr>
        <w:t>Les deux premières de ces tendances feront l’objet de la présente étude</w:t>
      </w:r>
      <w:r w:rsidR="003D4CDA">
        <w:rPr>
          <w:rStyle w:val="Appelnotedebasdep"/>
          <w:lang w:val="fr-BE"/>
        </w:rPr>
        <w:footnoteReference w:id="5"/>
      </w:r>
      <w:r w:rsidRPr="1CE9138E">
        <w:rPr>
          <w:lang w:val="fr-BE"/>
        </w:rPr>
        <w:t>.</w:t>
      </w:r>
    </w:p>
    <w:p w14:paraId="574208D2" w14:textId="77777777" w:rsidR="00290FBA" w:rsidRPr="005B04D5" w:rsidRDefault="00290FBA" w:rsidP="772DE573">
      <w:pPr>
        <w:spacing w:after="120" w:line="360" w:lineRule="auto"/>
        <w:ind w:firstLine="708"/>
        <w:jc w:val="both"/>
        <w:rPr>
          <w:lang w:val="fr-BE"/>
        </w:rPr>
      </w:pPr>
    </w:p>
    <w:p w14:paraId="70686E9D" w14:textId="5343E20C" w:rsidR="000E4856" w:rsidRPr="00711C82" w:rsidRDefault="772DE573" w:rsidP="772DE573">
      <w:pPr>
        <w:spacing w:after="120" w:line="360" w:lineRule="auto"/>
        <w:jc w:val="both"/>
        <w:rPr>
          <w:b/>
          <w:bCs/>
          <w:color w:val="FF0000"/>
          <w:lang w:val="fr-BE"/>
        </w:rPr>
      </w:pPr>
      <w:r w:rsidRPr="772DE573">
        <w:rPr>
          <w:b/>
          <w:bCs/>
          <w:lang w:val="fr-BE"/>
        </w:rPr>
        <w:t>Patronages littéraires</w:t>
      </w:r>
    </w:p>
    <w:p w14:paraId="389F0ABE" w14:textId="45ED803A" w:rsidR="00017BA6" w:rsidRDefault="0041744C" w:rsidP="003D4CDA">
      <w:pPr>
        <w:spacing w:after="120" w:line="360" w:lineRule="auto"/>
        <w:jc w:val="both"/>
        <w:rPr>
          <w:lang w:val="fr-BE"/>
        </w:rPr>
      </w:pPr>
      <w:r w:rsidRPr="772DE573">
        <w:rPr>
          <w:lang w:val="fr-BE"/>
        </w:rPr>
        <w:t>Une exposition ne se borne pas à un choix de pièces présent</w:t>
      </w:r>
      <w:r w:rsidR="005B04D5" w:rsidRPr="772DE573">
        <w:rPr>
          <w:lang w:val="fr-BE"/>
        </w:rPr>
        <w:t>é</w:t>
      </w:r>
      <w:r w:rsidRPr="772DE573">
        <w:rPr>
          <w:lang w:val="fr-BE"/>
        </w:rPr>
        <w:t xml:space="preserve">es dans un espace. Elle constitue également, à travers </w:t>
      </w:r>
      <w:r w:rsidR="00836604" w:rsidRPr="772DE573">
        <w:rPr>
          <w:lang w:val="fr-BE"/>
        </w:rPr>
        <w:t xml:space="preserve">les </w:t>
      </w:r>
      <w:proofErr w:type="spellStart"/>
      <w:r w:rsidR="00836604" w:rsidRPr="772DE573">
        <w:rPr>
          <w:lang w:val="fr-BE"/>
        </w:rPr>
        <w:t>expôts</w:t>
      </w:r>
      <w:proofErr w:type="spellEnd"/>
      <w:r w:rsidR="00836604" w:rsidRPr="772DE573">
        <w:rPr>
          <w:lang w:val="fr-BE"/>
        </w:rPr>
        <w:t xml:space="preserve"> qu’elle donne à voir, un discours</w:t>
      </w:r>
      <w:r w:rsidR="00137524" w:rsidRPr="772DE573">
        <w:rPr>
          <w:rStyle w:val="Appelnotedebasdep"/>
          <w:lang w:val="fr-BE"/>
        </w:rPr>
        <w:footnoteReference w:id="6"/>
      </w:r>
      <w:r w:rsidR="008C5F9C" w:rsidRPr="772DE573">
        <w:rPr>
          <w:lang w:val="fr-BE"/>
        </w:rPr>
        <w:t xml:space="preserve">, dont le fil conducteur n’est pas toujours simple à </w:t>
      </w:r>
      <w:r w:rsidR="007A5847" w:rsidRPr="772DE573">
        <w:rPr>
          <w:lang w:val="fr-BE"/>
        </w:rPr>
        <w:t xml:space="preserve">concevoir, notamment dans un domaine potentiellement </w:t>
      </w:r>
      <w:r w:rsidR="00373828" w:rsidRPr="772DE573">
        <w:rPr>
          <w:lang w:val="fr-BE"/>
        </w:rPr>
        <w:t xml:space="preserve">aussi hétérogène </w:t>
      </w:r>
      <w:r w:rsidR="0040107F" w:rsidRPr="772DE573">
        <w:rPr>
          <w:lang w:val="fr-BE"/>
        </w:rPr>
        <w:t>dans ses formes</w:t>
      </w:r>
      <w:r w:rsidR="007A5847" w:rsidRPr="772DE573">
        <w:rPr>
          <w:lang w:val="fr-BE"/>
        </w:rPr>
        <w:t xml:space="preserve"> que l’art contemporain,</w:t>
      </w:r>
      <w:r w:rsidR="005B04D5" w:rsidRPr="772DE573">
        <w:rPr>
          <w:lang w:val="fr-BE"/>
        </w:rPr>
        <w:t xml:space="preserve"> </w:t>
      </w:r>
      <w:r w:rsidR="007A5847" w:rsidRPr="772DE573">
        <w:rPr>
          <w:lang w:val="fr-BE"/>
        </w:rPr>
        <w:t>tout spécialement s’agissant d’expositions collectives. Pour pallier cette difficulté,</w:t>
      </w:r>
      <w:r w:rsidR="002E2E58" w:rsidRPr="772DE573">
        <w:rPr>
          <w:lang w:val="fr-BE"/>
        </w:rPr>
        <w:t xml:space="preserve"> certai</w:t>
      </w:r>
      <w:r w:rsidR="007A5847" w:rsidRPr="772DE573">
        <w:rPr>
          <w:lang w:val="fr-BE"/>
        </w:rPr>
        <w:t>ns</w:t>
      </w:r>
      <w:r w:rsidR="00373828" w:rsidRPr="772DE573">
        <w:rPr>
          <w:lang w:val="fr-BE"/>
        </w:rPr>
        <w:t xml:space="preserve"> curateurs et</w:t>
      </w:r>
      <w:r w:rsidR="007A5847" w:rsidRPr="772DE573">
        <w:rPr>
          <w:lang w:val="fr-BE"/>
        </w:rPr>
        <w:t xml:space="preserve"> </w:t>
      </w:r>
      <w:r w:rsidR="000E4856" w:rsidRPr="772DE573">
        <w:rPr>
          <w:lang w:val="fr-BE"/>
        </w:rPr>
        <w:t xml:space="preserve">institutions </w:t>
      </w:r>
      <w:r w:rsidR="00373828" w:rsidRPr="772DE573">
        <w:rPr>
          <w:lang w:val="fr-BE"/>
        </w:rPr>
        <w:t>jouent de</w:t>
      </w:r>
      <w:r w:rsidR="000E4856" w:rsidRPr="772DE573">
        <w:rPr>
          <w:lang w:val="fr-BE"/>
        </w:rPr>
        <w:t xml:space="preserve"> références littéraires</w:t>
      </w:r>
      <w:r w:rsidR="00373828" w:rsidRPr="772DE573">
        <w:rPr>
          <w:lang w:val="fr-BE"/>
        </w:rPr>
        <w:t xml:space="preserve">, qui tiennent lieu </w:t>
      </w:r>
      <w:r w:rsidR="000E4856" w:rsidRPr="772DE573">
        <w:rPr>
          <w:lang w:val="fr-BE"/>
        </w:rPr>
        <w:t xml:space="preserve">de modèles </w:t>
      </w:r>
      <w:r w:rsidR="00F32D0E" w:rsidRPr="772DE573">
        <w:rPr>
          <w:lang w:val="fr-BE"/>
        </w:rPr>
        <w:t>ou de matrices</w:t>
      </w:r>
      <w:r w:rsidR="000E4856" w:rsidRPr="772DE573">
        <w:rPr>
          <w:lang w:val="fr-BE"/>
        </w:rPr>
        <w:t xml:space="preserve"> de leurs propositions </w:t>
      </w:r>
      <w:proofErr w:type="spellStart"/>
      <w:r w:rsidR="000E4856" w:rsidRPr="772DE573">
        <w:rPr>
          <w:lang w:val="fr-BE"/>
        </w:rPr>
        <w:t>curatoriales</w:t>
      </w:r>
      <w:proofErr w:type="spellEnd"/>
      <w:r w:rsidR="000E4856" w:rsidRPr="772DE573">
        <w:rPr>
          <w:lang w:val="fr-BE"/>
        </w:rPr>
        <w:t>. Tout en tirant parti d</w:t>
      </w:r>
      <w:r w:rsidR="00373828" w:rsidRPr="772DE573">
        <w:rPr>
          <w:lang w:val="fr-BE"/>
        </w:rPr>
        <w:t>e l’</w:t>
      </w:r>
      <w:r w:rsidR="000E4856" w:rsidRPr="772DE573">
        <w:rPr>
          <w:lang w:val="fr-BE"/>
        </w:rPr>
        <w:t xml:space="preserve">effet d’affichage </w:t>
      </w:r>
      <w:r w:rsidR="00373828" w:rsidRPr="772DE573">
        <w:rPr>
          <w:lang w:val="fr-BE"/>
        </w:rPr>
        <w:t>découlant d</w:t>
      </w:r>
      <w:r w:rsidR="005B04D5" w:rsidRPr="772DE573">
        <w:rPr>
          <w:lang w:val="fr-BE"/>
        </w:rPr>
        <w:t>e</w:t>
      </w:r>
      <w:r w:rsidR="000E4856" w:rsidRPr="772DE573">
        <w:rPr>
          <w:lang w:val="fr-BE"/>
        </w:rPr>
        <w:t xml:space="preserve"> la notoriété</w:t>
      </w:r>
      <w:r w:rsidR="00F32D0E" w:rsidRPr="772DE573">
        <w:rPr>
          <w:lang w:val="fr-BE"/>
        </w:rPr>
        <w:t xml:space="preserve"> supposée</w:t>
      </w:r>
      <w:r w:rsidR="000E4856" w:rsidRPr="772DE573">
        <w:rPr>
          <w:lang w:val="fr-BE"/>
        </w:rPr>
        <w:t xml:space="preserve"> de certains écrivains et de certaines œuvres, il s’agit</w:t>
      </w:r>
      <w:r w:rsidR="00373828" w:rsidRPr="772DE573">
        <w:rPr>
          <w:lang w:val="fr-BE"/>
        </w:rPr>
        <w:t>,</w:t>
      </w:r>
      <w:r w:rsidR="000E4856" w:rsidRPr="772DE573">
        <w:rPr>
          <w:lang w:val="fr-BE"/>
        </w:rPr>
        <w:t xml:space="preserve"> </w:t>
      </w:r>
      <w:r w:rsidR="00F32D0E" w:rsidRPr="772DE573">
        <w:rPr>
          <w:lang w:val="fr-BE"/>
        </w:rPr>
        <w:t>à travers ces démarches</w:t>
      </w:r>
      <w:r w:rsidR="00373828" w:rsidRPr="772DE573">
        <w:rPr>
          <w:lang w:val="fr-BE"/>
        </w:rPr>
        <w:t>,</w:t>
      </w:r>
      <w:r w:rsidR="00F32D0E" w:rsidRPr="772DE573">
        <w:rPr>
          <w:lang w:val="fr-BE"/>
        </w:rPr>
        <w:t xml:space="preserve"> </w:t>
      </w:r>
      <w:r w:rsidR="000E4856" w:rsidRPr="772DE573">
        <w:rPr>
          <w:lang w:val="fr-BE"/>
        </w:rPr>
        <w:t>de conférer sens et cohérence au</w:t>
      </w:r>
      <w:r w:rsidR="005B04D5" w:rsidRPr="772DE573">
        <w:rPr>
          <w:lang w:val="fr-BE"/>
        </w:rPr>
        <w:t>x</w:t>
      </w:r>
      <w:r w:rsidR="000E4856" w:rsidRPr="772DE573">
        <w:rPr>
          <w:lang w:val="fr-BE"/>
        </w:rPr>
        <w:t xml:space="preserve"> choix d</w:t>
      </w:r>
      <w:r w:rsidR="00373828" w:rsidRPr="772DE573">
        <w:rPr>
          <w:lang w:val="fr-BE"/>
        </w:rPr>
        <w:t xml:space="preserve">’œuvres </w:t>
      </w:r>
      <w:r w:rsidR="000E4856" w:rsidRPr="772DE573">
        <w:rPr>
          <w:lang w:val="fr-BE"/>
        </w:rPr>
        <w:t xml:space="preserve">présentées sur la base d’une référence </w:t>
      </w:r>
      <w:r w:rsidR="00F32D0E" w:rsidRPr="772DE573">
        <w:rPr>
          <w:lang w:val="fr-BE"/>
        </w:rPr>
        <w:t>censément</w:t>
      </w:r>
      <w:r w:rsidR="000E4856" w:rsidRPr="772DE573">
        <w:rPr>
          <w:lang w:val="fr-BE"/>
        </w:rPr>
        <w:t xml:space="preserve"> partagée</w:t>
      </w:r>
      <w:r w:rsidR="0085354E" w:rsidRPr="772DE573">
        <w:rPr>
          <w:lang w:val="fr-BE"/>
        </w:rPr>
        <w:t>, et souvent explicitée</w:t>
      </w:r>
      <w:r w:rsidR="00373828" w:rsidRPr="772DE573">
        <w:rPr>
          <w:lang w:val="fr-BE"/>
        </w:rPr>
        <w:t xml:space="preserve">, </w:t>
      </w:r>
      <w:r w:rsidR="0085354E" w:rsidRPr="772DE573">
        <w:rPr>
          <w:lang w:val="fr-BE"/>
        </w:rPr>
        <w:t>de façon minimale</w:t>
      </w:r>
      <w:r w:rsidR="00373828" w:rsidRPr="772DE573">
        <w:rPr>
          <w:lang w:val="fr-BE"/>
        </w:rPr>
        <w:t xml:space="preserve"> au moins,</w:t>
      </w:r>
      <w:r w:rsidR="0085354E" w:rsidRPr="772DE573">
        <w:rPr>
          <w:lang w:val="fr-BE"/>
        </w:rPr>
        <w:t xml:space="preserve"> dans le discours d’escorte de ces expositions</w:t>
      </w:r>
      <w:r w:rsidR="000E4856" w:rsidRPr="772DE573">
        <w:rPr>
          <w:lang w:val="fr-BE"/>
        </w:rPr>
        <w:t xml:space="preserve">. </w:t>
      </w:r>
      <w:r w:rsidR="0040107F" w:rsidRPr="772DE573">
        <w:rPr>
          <w:lang w:val="fr-BE"/>
        </w:rPr>
        <w:t>Ainsi l</w:t>
      </w:r>
      <w:r w:rsidR="000E4856" w:rsidRPr="772DE573">
        <w:rPr>
          <w:lang w:val="fr-BE"/>
        </w:rPr>
        <w:t>’œuvre littéraire ou l’écrivain au</w:t>
      </w:r>
      <w:r w:rsidR="7387BCA1" w:rsidRPr="7387BCA1">
        <w:rPr>
          <w:lang w:val="fr-BE"/>
        </w:rPr>
        <w:t>x</w:t>
      </w:r>
      <w:r w:rsidR="000E4856" w:rsidRPr="772DE573">
        <w:rPr>
          <w:lang w:val="fr-BE"/>
        </w:rPr>
        <w:t>quel</w:t>
      </w:r>
      <w:r w:rsidR="7387BCA1" w:rsidRPr="7387BCA1">
        <w:rPr>
          <w:lang w:val="fr-BE"/>
        </w:rPr>
        <w:t>s</w:t>
      </w:r>
      <w:r w:rsidR="000E4856" w:rsidRPr="772DE573">
        <w:rPr>
          <w:lang w:val="fr-BE"/>
        </w:rPr>
        <w:t xml:space="preserve"> il est fait référence</w:t>
      </w:r>
      <w:r w:rsidR="00F32D0E" w:rsidRPr="772DE573">
        <w:rPr>
          <w:lang w:val="fr-BE"/>
        </w:rPr>
        <w:t xml:space="preserve"> dans l’exposition et son discours d’accompagnement</w:t>
      </w:r>
      <w:r w:rsidR="000E4856" w:rsidRPr="772DE573">
        <w:rPr>
          <w:lang w:val="fr-BE"/>
        </w:rPr>
        <w:t xml:space="preserve"> ser</w:t>
      </w:r>
      <w:r w:rsidR="0040107F" w:rsidRPr="772DE573">
        <w:rPr>
          <w:lang w:val="fr-BE"/>
        </w:rPr>
        <w:t>vent</w:t>
      </w:r>
      <w:r w:rsidR="005B04D5" w:rsidRPr="772DE573">
        <w:rPr>
          <w:lang w:val="fr-BE"/>
        </w:rPr>
        <w:t xml:space="preserve">-ils </w:t>
      </w:r>
      <w:r w:rsidR="000E4856" w:rsidRPr="772DE573">
        <w:rPr>
          <w:lang w:val="fr-BE"/>
        </w:rPr>
        <w:t>de clé de lecture pour l’appréhension d’ensembles parfois</w:t>
      </w:r>
      <w:r w:rsidR="7387BCA1" w:rsidRPr="7387BCA1">
        <w:rPr>
          <w:lang w:val="fr-BE"/>
        </w:rPr>
        <w:t>,</w:t>
      </w:r>
      <w:r w:rsidR="000E4856" w:rsidRPr="772DE573">
        <w:rPr>
          <w:lang w:val="fr-BE"/>
        </w:rPr>
        <w:t xml:space="preserve"> il est vrai</w:t>
      </w:r>
      <w:r w:rsidR="7387BCA1" w:rsidRPr="7387BCA1">
        <w:rPr>
          <w:lang w:val="fr-BE"/>
        </w:rPr>
        <w:t>,</w:t>
      </w:r>
      <w:r w:rsidR="000E4856" w:rsidRPr="772DE573">
        <w:rPr>
          <w:lang w:val="fr-BE"/>
        </w:rPr>
        <w:t xml:space="preserve"> passablement hétéroclites. </w:t>
      </w:r>
    </w:p>
    <w:p w14:paraId="4138B124" w14:textId="58177D0A" w:rsidR="006533CD" w:rsidRDefault="006533CD" w:rsidP="003D4CDA">
      <w:pPr>
        <w:spacing w:after="120" w:line="360" w:lineRule="auto"/>
        <w:jc w:val="both"/>
        <w:rPr>
          <w:color w:val="111111"/>
          <w:shd w:val="clear" w:color="auto" w:fill="FFFFFF"/>
          <w:lang w:val="fr-BE"/>
        </w:rPr>
      </w:pPr>
      <w:r w:rsidRPr="772DE573">
        <w:rPr>
          <w:lang w:val="fr-BE"/>
        </w:rPr>
        <w:lastRenderedPageBreak/>
        <w:t>Difficile de situer historiquement l’émergence de ce type de démarches. En l’état actuel des recherches menées sur la question, la première des expositions identifiée</w:t>
      </w:r>
      <w:r w:rsidR="00FC7219" w:rsidRPr="772DE573">
        <w:rPr>
          <w:lang w:val="fr-BE"/>
        </w:rPr>
        <w:t>s</w:t>
      </w:r>
      <w:r w:rsidRPr="772DE573">
        <w:rPr>
          <w:lang w:val="fr-BE"/>
        </w:rPr>
        <w:t xml:space="preserve"> jouant</w:t>
      </w:r>
      <w:r w:rsidR="00FC7219" w:rsidRPr="772DE573">
        <w:rPr>
          <w:lang w:val="fr-BE"/>
        </w:rPr>
        <w:t xml:space="preserve"> ainsi</w:t>
      </w:r>
      <w:r w:rsidRPr="772DE573">
        <w:rPr>
          <w:lang w:val="fr-BE"/>
        </w:rPr>
        <w:t xml:space="preserve"> la carte d’un modèle littéraire a été présentée en 199</w:t>
      </w:r>
      <w:r w:rsidR="0030401C" w:rsidRPr="772DE573">
        <w:rPr>
          <w:lang w:val="fr-BE"/>
        </w:rPr>
        <w:t>1</w:t>
      </w:r>
      <w:r w:rsidRPr="772DE573">
        <w:rPr>
          <w:lang w:val="fr-BE"/>
        </w:rPr>
        <w:t xml:space="preserve"> par le </w:t>
      </w:r>
      <w:r w:rsidRPr="772DE573">
        <w:rPr>
          <w:color w:val="111111"/>
          <w:shd w:val="clear" w:color="auto" w:fill="FFFFFF"/>
          <w:lang w:val="fr-BE"/>
        </w:rPr>
        <w:t xml:space="preserve">Centre régional d’art contemporain de Labège, près de Toulouse. </w:t>
      </w:r>
      <w:r w:rsidR="00FC7219" w:rsidRPr="772DE573">
        <w:rPr>
          <w:color w:val="111111"/>
          <w:shd w:val="clear" w:color="auto" w:fill="FFFFFF"/>
          <w:lang w:val="fr-BE"/>
        </w:rPr>
        <w:t xml:space="preserve">Due à </w:t>
      </w:r>
      <w:r w:rsidR="00FC7219" w:rsidRPr="00691F67">
        <w:rPr>
          <w:color w:val="111111"/>
          <w:shd w:val="clear" w:color="auto" w:fill="FFFFFF"/>
          <w:lang w:val="fr-BE"/>
        </w:rPr>
        <w:t xml:space="preserve">l’artiste </w:t>
      </w:r>
      <w:r w:rsidR="00691F67" w:rsidRPr="00691F67">
        <w:rPr>
          <w:color w:val="111111"/>
          <w:shd w:val="clear" w:color="auto" w:fill="FFFFFF"/>
          <w:lang w:val="fr-BE"/>
        </w:rPr>
        <w:t>D</w:t>
      </w:r>
      <w:r w:rsidR="00FC7219" w:rsidRPr="00691F67">
        <w:rPr>
          <w:color w:val="111111"/>
          <w:shd w:val="clear" w:color="auto" w:fill="FFFFFF"/>
          <w:lang w:val="fr-BE"/>
        </w:rPr>
        <w:t>riss Sans A</w:t>
      </w:r>
      <w:r w:rsidR="00691F67" w:rsidRPr="00691F67">
        <w:rPr>
          <w:color w:val="111111"/>
          <w:shd w:val="clear" w:color="auto" w:fill="FFFFFF"/>
          <w:lang w:val="fr-BE"/>
        </w:rPr>
        <w:t>rc</w:t>
      </w:r>
      <w:r w:rsidR="00FC7219" w:rsidRPr="00691F67">
        <w:rPr>
          <w:color w:val="111111"/>
          <w:shd w:val="clear" w:color="auto" w:fill="FFFFFF"/>
          <w:lang w:val="fr-BE"/>
        </w:rPr>
        <w:t>i</w:t>
      </w:r>
      <w:r w:rsidR="00691F67" w:rsidRPr="00691F67">
        <w:rPr>
          <w:color w:val="111111"/>
          <w:shd w:val="clear" w:color="auto" w:fill="FFFFFF"/>
          <w:lang w:val="fr-BE"/>
        </w:rPr>
        <w:t>d</w:t>
      </w:r>
      <w:r w:rsidR="00FC7219" w:rsidRPr="00691F67">
        <w:rPr>
          <w:color w:val="111111"/>
          <w:shd w:val="clear" w:color="auto" w:fill="FFFFFF"/>
          <w:lang w:val="fr-BE"/>
        </w:rPr>
        <w:t xml:space="preserve">et – de son vrai nom René Driss –, elle réunissait des </w:t>
      </w:r>
      <w:r w:rsidR="007C4BC9" w:rsidRPr="00691F67">
        <w:rPr>
          <w:color w:val="111111"/>
          <w:shd w:val="clear" w:color="auto" w:fill="FFFFFF"/>
          <w:lang w:val="fr-BE"/>
        </w:rPr>
        <w:t xml:space="preserve">œuvres plastiques et des </w:t>
      </w:r>
      <w:r w:rsidR="00FC7219" w:rsidRPr="00691F67">
        <w:rPr>
          <w:color w:val="111111"/>
          <w:shd w:val="clear" w:color="auto" w:fill="FFFFFF"/>
          <w:lang w:val="fr-BE"/>
        </w:rPr>
        <w:t xml:space="preserve">installations </w:t>
      </w:r>
      <w:r w:rsidR="003D4CDA" w:rsidRPr="00691F67">
        <w:rPr>
          <w:color w:val="111111"/>
          <w:shd w:val="clear" w:color="auto" w:fill="FFFFFF"/>
          <w:lang w:val="fr-BE"/>
        </w:rPr>
        <w:t>de sa</w:t>
      </w:r>
      <w:r w:rsidR="003D4CDA">
        <w:rPr>
          <w:color w:val="111111"/>
          <w:shd w:val="clear" w:color="auto" w:fill="FFFFFF"/>
          <w:lang w:val="fr-BE"/>
        </w:rPr>
        <w:t xml:space="preserve"> main </w:t>
      </w:r>
      <w:r w:rsidR="00FC7219" w:rsidRPr="772DE573">
        <w:rPr>
          <w:color w:val="111111"/>
          <w:shd w:val="clear" w:color="auto" w:fill="FFFFFF"/>
          <w:lang w:val="fr-BE"/>
        </w:rPr>
        <w:t>et</w:t>
      </w:r>
      <w:r w:rsidRPr="772DE573">
        <w:rPr>
          <w:color w:val="111111"/>
          <w:shd w:val="clear" w:color="auto" w:fill="FFFFFF"/>
          <w:lang w:val="fr-BE"/>
        </w:rPr>
        <w:t xml:space="preserve"> était fondée sur une référence </w:t>
      </w:r>
      <w:r w:rsidR="007C4BC9" w:rsidRPr="772DE573">
        <w:rPr>
          <w:color w:val="111111"/>
          <w:shd w:val="clear" w:color="auto" w:fill="FFFFFF"/>
          <w:lang w:val="fr-BE"/>
        </w:rPr>
        <w:t xml:space="preserve">centrale </w:t>
      </w:r>
      <w:r w:rsidRPr="772DE573">
        <w:rPr>
          <w:color w:val="111111"/>
          <w:shd w:val="clear" w:color="auto" w:fill="FFFFFF"/>
          <w:lang w:val="fr-BE"/>
        </w:rPr>
        <w:t xml:space="preserve">au </w:t>
      </w:r>
      <w:r w:rsidRPr="7387BCA1">
        <w:rPr>
          <w:i/>
          <w:iCs/>
          <w:color w:val="111111"/>
          <w:shd w:val="clear" w:color="auto" w:fill="FFFFFF"/>
          <w:lang w:val="fr-BE"/>
        </w:rPr>
        <w:t>Moby Dick</w:t>
      </w:r>
      <w:r w:rsidRPr="772DE573">
        <w:rPr>
          <w:color w:val="111111"/>
          <w:shd w:val="clear" w:color="auto" w:fill="FFFFFF"/>
          <w:lang w:val="fr-BE"/>
        </w:rPr>
        <w:t xml:space="preserve"> d’Herman Melville</w:t>
      </w:r>
      <w:r w:rsidR="00CE4929" w:rsidRPr="772DE573">
        <w:rPr>
          <w:rStyle w:val="Appelnotedebasdep"/>
          <w:color w:val="111111"/>
          <w:shd w:val="clear" w:color="auto" w:fill="FFFFFF"/>
          <w:lang w:val="fr-BE"/>
        </w:rPr>
        <w:footnoteReference w:id="7"/>
      </w:r>
      <w:r w:rsidR="00CE4929" w:rsidRPr="772DE573">
        <w:rPr>
          <w:color w:val="111111"/>
          <w:shd w:val="clear" w:color="auto" w:fill="FFFFFF"/>
          <w:lang w:val="fr-BE"/>
        </w:rPr>
        <w:t>, ainsi explicitée par Alain Mousseigne</w:t>
      </w:r>
      <w:r w:rsidR="00FC7219" w:rsidRPr="772DE573">
        <w:rPr>
          <w:color w:val="111111"/>
          <w:shd w:val="clear" w:color="auto" w:fill="FFFFFF"/>
          <w:lang w:val="fr-BE"/>
        </w:rPr>
        <w:t xml:space="preserve"> (</w:t>
      </w:r>
      <w:r w:rsidR="007C4BC9" w:rsidRPr="772DE573">
        <w:rPr>
          <w:color w:val="111111"/>
          <w:shd w:val="clear" w:color="auto" w:fill="FFFFFF"/>
          <w:lang w:val="fr-BE"/>
        </w:rPr>
        <w:t>qui serait ultérieurement directeur des Abattoirs de Toulouse</w:t>
      </w:r>
      <w:r w:rsidR="00FC7219" w:rsidRPr="772DE573">
        <w:rPr>
          <w:color w:val="111111"/>
          <w:shd w:val="clear" w:color="auto" w:fill="FFFFFF"/>
          <w:lang w:val="fr-BE"/>
        </w:rPr>
        <w:t>)</w:t>
      </w:r>
      <w:r w:rsidR="00CE4929" w:rsidRPr="772DE573">
        <w:rPr>
          <w:color w:val="111111"/>
          <w:shd w:val="clear" w:color="auto" w:fill="FFFFFF"/>
          <w:lang w:val="fr-BE"/>
        </w:rPr>
        <w:t xml:space="preserve"> à l’entame du livre ayant accompagné l’exposition :</w:t>
      </w:r>
      <w:r w:rsidRPr="772DE573">
        <w:rPr>
          <w:color w:val="111111"/>
          <w:shd w:val="clear" w:color="auto" w:fill="FFFFFF"/>
          <w:lang w:val="fr-BE"/>
        </w:rPr>
        <w:t xml:space="preserve"> </w:t>
      </w:r>
    </w:p>
    <w:p w14:paraId="29CBEB4D" w14:textId="1A45638F" w:rsidR="008100C3" w:rsidRPr="00CE4929" w:rsidRDefault="008100C3" w:rsidP="7387BCA1">
      <w:pPr>
        <w:spacing w:after="120"/>
        <w:ind w:left="708"/>
        <w:jc w:val="both"/>
        <w:rPr>
          <w:rStyle w:val="Appelnotedebasdep"/>
          <w:color w:val="111111"/>
          <w:shd w:val="clear" w:color="auto" w:fill="FFFFFF"/>
          <w:lang w:val="fr-BE"/>
        </w:rPr>
      </w:pPr>
      <w:r w:rsidRPr="772DE573">
        <w:rPr>
          <w:color w:val="111111"/>
          <w:shd w:val="clear" w:color="auto" w:fill="FFFFFF"/>
          <w:lang w:val="fr-BE"/>
        </w:rPr>
        <w:t xml:space="preserve">Driss […] invente ce qu’il ignore – (pourtant si peu) – pour créer la légende, imposer </w:t>
      </w:r>
      <w:r w:rsidRPr="7387BCA1">
        <w:rPr>
          <w:i/>
          <w:iCs/>
          <w:color w:val="111111"/>
          <w:shd w:val="clear" w:color="auto" w:fill="FFFFFF"/>
          <w:lang w:val="fr-BE"/>
        </w:rPr>
        <w:t>sa</w:t>
      </w:r>
      <w:r w:rsidRPr="772DE573">
        <w:rPr>
          <w:color w:val="111111"/>
          <w:shd w:val="clear" w:color="auto" w:fill="FFFFFF"/>
          <w:lang w:val="fr-BE"/>
        </w:rPr>
        <w:t xml:space="preserve"> légende […]. En témoignent bien sûr les grands livres de bord soigneusement tenus par l’artiste et les ouvrages eux-mêmes, mille et onze fois fignolés de sa main […]. De même les matériaux travaillés, assemblés, qu’ils soient les bois, le laiton, le verre, le chanvre la cire ou le corozo […] induisent-ils des potentiels énergétiques, psychologiques et symboliques qui […] donnent sens aux sentiments d’une matérialité de l’espace physique et mental propre à traduire ici la conquête inutile, la souffrance tragique du Moby Dick d’Herman Melville</w:t>
      </w:r>
      <w:r w:rsidR="00CE4929" w:rsidRPr="772DE573">
        <w:rPr>
          <w:rStyle w:val="Appelnotedebasdep"/>
          <w:color w:val="111111"/>
          <w:shd w:val="clear" w:color="auto" w:fill="FFFFFF"/>
          <w:lang w:val="fr-BE"/>
        </w:rPr>
        <w:footnoteReference w:id="8"/>
      </w:r>
      <w:r w:rsidR="7387BCA1" w:rsidRPr="7387BCA1">
        <w:rPr>
          <w:rStyle w:val="Appelnotedebasdep"/>
          <w:color w:val="111111"/>
          <w:vertAlign w:val="baseline"/>
          <w:lang w:val="fr-BE"/>
        </w:rPr>
        <w:t>.</w:t>
      </w:r>
    </w:p>
    <w:p w14:paraId="11A37F7E" w14:textId="776FE2A8" w:rsidR="00ED324D" w:rsidRDefault="772DE573" w:rsidP="003D4CDA">
      <w:pPr>
        <w:spacing w:after="120" w:line="360" w:lineRule="auto"/>
        <w:jc w:val="both"/>
        <w:rPr>
          <w:lang w:val="fr-BE"/>
        </w:rPr>
      </w:pPr>
      <w:r w:rsidRPr="772DE573">
        <w:rPr>
          <w:lang w:val="fr-BE"/>
        </w:rPr>
        <w:t xml:space="preserve">L’exposition est ainsi donnée à voir selon le paradigme de la traduction, en vertu duquel, en l’occurrence, la proposition de l’artiste rejouerait dans son exposition ce qui se joue dans le livre de Melville. </w:t>
      </w:r>
    </w:p>
    <w:p w14:paraId="1A57418B" w14:textId="422E4A63" w:rsidR="00ED324D" w:rsidRDefault="00ED324D" w:rsidP="772DE573">
      <w:pPr>
        <w:spacing w:after="120" w:line="360" w:lineRule="auto"/>
        <w:jc w:val="center"/>
        <w:rPr>
          <w:lang w:val="fr-BE"/>
        </w:rPr>
      </w:pPr>
      <w:r>
        <w:rPr>
          <w:noProof/>
        </w:rPr>
        <w:drawing>
          <wp:inline distT="0" distB="0" distL="0" distR="0" wp14:anchorId="039B1A42" wp14:editId="4F5D43E8">
            <wp:extent cx="4527464" cy="3201963"/>
            <wp:effectExtent l="0" t="0" r="6985" b="0"/>
            <wp:docPr id="1" name="Image 1" descr="Une image contenant peinture, art, intérieur,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8">
                      <a:extLst>
                        <a:ext uri="{28A0092B-C50C-407E-A947-70E740481C1C}">
                          <a14:useLocalDpi xmlns:a14="http://schemas.microsoft.com/office/drawing/2010/main" val="0"/>
                        </a:ext>
                      </a:extLst>
                    </a:blip>
                    <a:stretch>
                      <a:fillRect/>
                    </a:stretch>
                  </pic:blipFill>
                  <pic:spPr>
                    <a:xfrm>
                      <a:off x="0" y="0"/>
                      <a:ext cx="4527464" cy="3201963"/>
                    </a:xfrm>
                    <a:prstGeom prst="rect">
                      <a:avLst/>
                    </a:prstGeom>
                  </pic:spPr>
                </pic:pic>
              </a:graphicData>
            </a:graphic>
          </wp:inline>
        </w:drawing>
      </w:r>
    </w:p>
    <w:p w14:paraId="6405FAB5" w14:textId="6354D030" w:rsidR="00ED324D" w:rsidRDefault="00ED324D" w:rsidP="772DE573">
      <w:pPr>
        <w:spacing w:after="120" w:line="360" w:lineRule="auto"/>
        <w:jc w:val="center"/>
        <w:rPr>
          <w:lang w:val="fr-BE"/>
        </w:rPr>
      </w:pPr>
      <w:r>
        <w:rPr>
          <w:noProof/>
        </w:rPr>
        <w:lastRenderedPageBreak/>
        <w:drawing>
          <wp:inline distT="0" distB="0" distL="0" distR="0" wp14:anchorId="47C39BA7" wp14:editId="7450DB4F">
            <wp:extent cx="4543864" cy="3213562"/>
            <wp:effectExtent l="0" t="0" r="0" b="6350"/>
            <wp:docPr id="2" name="Image 2" descr="Une image contenant obscurité, bagage, nui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
                      <a:extLst>
                        <a:ext uri="{28A0092B-C50C-407E-A947-70E740481C1C}">
                          <a14:useLocalDpi xmlns:a14="http://schemas.microsoft.com/office/drawing/2010/main" val="0"/>
                        </a:ext>
                      </a:extLst>
                    </a:blip>
                    <a:stretch>
                      <a:fillRect/>
                    </a:stretch>
                  </pic:blipFill>
                  <pic:spPr>
                    <a:xfrm>
                      <a:off x="0" y="0"/>
                      <a:ext cx="4543864" cy="3213562"/>
                    </a:xfrm>
                    <a:prstGeom prst="rect">
                      <a:avLst/>
                    </a:prstGeom>
                  </pic:spPr>
                </pic:pic>
              </a:graphicData>
            </a:graphic>
          </wp:inline>
        </w:drawing>
      </w:r>
    </w:p>
    <w:p w14:paraId="4CF608CF" w14:textId="7A7B6DC8" w:rsidR="000E4856" w:rsidRPr="003D4CDA" w:rsidRDefault="00FE2157" w:rsidP="003D4CDA">
      <w:pPr>
        <w:spacing w:after="120" w:line="360" w:lineRule="auto"/>
        <w:jc w:val="both"/>
        <w:rPr>
          <w:lang w:val="fr-BE"/>
        </w:rPr>
      </w:pPr>
      <w:r w:rsidRPr="003D4CDA">
        <w:rPr>
          <w:lang w:val="fr-BE"/>
        </w:rPr>
        <w:t>De façon peu surprenante, certaines figures d’auteurs</w:t>
      </w:r>
      <w:r w:rsidR="0029678A" w:rsidRPr="003D4CDA">
        <w:rPr>
          <w:lang w:val="fr-BE"/>
        </w:rPr>
        <w:t xml:space="preserve"> et certaines œuvres</w:t>
      </w:r>
      <w:r w:rsidR="00AB28E0" w:rsidRPr="003D4CDA">
        <w:rPr>
          <w:lang w:val="fr-BE"/>
        </w:rPr>
        <w:t xml:space="preserve"> semblent</w:t>
      </w:r>
      <w:r w:rsidRPr="003D4CDA">
        <w:rPr>
          <w:lang w:val="fr-BE"/>
        </w:rPr>
        <w:t xml:space="preserve"> </w:t>
      </w:r>
      <w:r w:rsidR="00F32D0E" w:rsidRPr="003D4CDA">
        <w:rPr>
          <w:lang w:val="fr-BE"/>
        </w:rPr>
        <w:t xml:space="preserve">plus </w:t>
      </w:r>
      <w:r w:rsidRPr="003D4CDA">
        <w:rPr>
          <w:lang w:val="fr-BE"/>
        </w:rPr>
        <w:t xml:space="preserve">particulièrement </w:t>
      </w:r>
      <w:r w:rsidR="00F32D0E" w:rsidRPr="003D4CDA">
        <w:rPr>
          <w:lang w:val="fr-BE"/>
        </w:rPr>
        <w:t xml:space="preserve">à même de </w:t>
      </w:r>
      <w:r w:rsidRPr="003D4CDA">
        <w:rPr>
          <w:lang w:val="fr-BE"/>
        </w:rPr>
        <w:t>se prêter à de telles mises en œuvre, en raison de leur notoriété et de celle de leurs œuvres</w:t>
      </w:r>
      <w:r w:rsidR="0048728B" w:rsidRPr="003D4CDA">
        <w:rPr>
          <w:lang w:val="fr-BE"/>
        </w:rPr>
        <w:t>,</w:t>
      </w:r>
      <w:r w:rsidRPr="003D4CDA">
        <w:rPr>
          <w:lang w:val="fr-BE"/>
        </w:rPr>
        <w:t xml:space="preserve"> mais aussi en regard de certaines thématiques d’actualité, qui</w:t>
      </w:r>
      <w:r w:rsidR="0029678A" w:rsidRPr="003D4CDA">
        <w:rPr>
          <w:lang w:val="fr-BE"/>
        </w:rPr>
        <w:t xml:space="preserve"> contribuent à</w:t>
      </w:r>
      <w:r w:rsidRPr="003D4CDA">
        <w:rPr>
          <w:lang w:val="fr-BE"/>
        </w:rPr>
        <w:t xml:space="preserve"> assure</w:t>
      </w:r>
      <w:r w:rsidR="0029678A" w:rsidRPr="003D4CDA">
        <w:rPr>
          <w:lang w:val="fr-BE"/>
        </w:rPr>
        <w:t>r</w:t>
      </w:r>
      <w:r w:rsidRPr="003D4CDA">
        <w:rPr>
          <w:lang w:val="fr-BE"/>
        </w:rPr>
        <w:t xml:space="preserve"> une intelligibilité minimale de la référence</w:t>
      </w:r>
      <w:r w:rsidR="0029678A" w:rsidRPr="003D4CDA">
        <w:rPr>
          <w:lang w:val="fr-BE"/>
        </w:rPr>
        <w:t>, tout en confér</w:t>
      </w:r>
      <w:r w:rsidR="7387BCA1" w:rsidRPr="003D4CDA">
        <w:rPr>
          <w:lang w:val="fr-BE"/>
        </w:rPr>
        <w:t>a</w:t>
      </w:r>
      <w:r w:rsidR="0029678A" w:rsidRPr="003D4CDA">
        <w:rPr>
          <w:lang w:val="fr-BE"/>
        </w:rPr>
        <w:t xml:space="preserve">nt </w:t>
      </w:r>
      <w:r w:rsidR="0048728B" w:rsidRPr="003D4CDA">
        <w:rPr>
          <w:lang w:val="fr-BE"/>
        </w:rPr>
        <w:t xml:space="preserve">réciproquement </w:t>
      </w:r>
      <w:r w:rsidR="0029678A" w:rsidRPr="003D4CDA">
        <w:rPr>
          <w:lang w:val="fr-BE"/>
        </w:rPr>
        <w:t xml:space="preserve">une impression de pertinence à sa mobilisation </w:t>
      </w:r>
      <w:r w:rsidR="0048728B" w:rsidRPr="003D4CDA">
        <w:rPr>
          <w:lang w:val="fr-BE"/>
        </w:rPr>
        <w:t>dans un contexte qui n’est plus celui de sa création</w:t>
      </w:r>
      <w:r w:rsidRPr="003D4CDA">
        <w:rPr>
          <w:lang w:val="fr-BE"/>
        </w:rPr>
        <w:t xml:space="preserve">. </w:t>
      </w:r>
      <w:r w:rsidR="0048728B" w:rsidRPr="003D4CDA">
        <w:rPr>
          <w:color w:val="111111"/>
          <w:shd w:val="clear" w:color="auto" w:fill="FFFFFF"/>
          <w:lang w:val="fr-BE"/>
        </w:rPr>
        <w:t>Ainsi en va-t-il de</w:t>
      </w:r>
      <w:r w:rsidR="000E4856" w:rsidRPr="003D4CDA">
        <w:rPr>
          <w:lang w:val="fr-BE"/>
        </w:rPr>
        <w:t xml:space="preserve"> Virginia Woolf, dont le fameux </w:t>
      </w:r>
      <w:r w:rsidR="000E4856" w:rsidRPr="003D4CDA">
        <w:rPr>
          <w:i/>
          <w:iCs/>
          <w:lang w:val="fr-BE"/>
        </w:rPr>
        <w:t>Une chambre à soi</w:t>
      </w:r>
      <w:r w:rsidR="000E4856" w:rsidRPr="003D4CDA">
        <w:rPr>
          <w:lang w:val="fr-BE"/>
        </w:rPr>
        <w:t xml:space="preserve"> </w:t>
      </w:r>
      <w:r w:rsidR="000E4856" w:rsidRPr="772DE573">
        <w:rPr>
          <w:lang w:val="fr-BE"/>
        </w:rPr>
        <w:t xml:space="preserve">(1929) </w:t>
      </w:r>
      <w:r w:rsidR="000E4856" w:rsidRPr="003D4CDA">
        <w:rPr>
          <w:lang w:val="fr-BE"/>
        </w:rPr>
        <w:t>constitue une référence fréquente pour des expositions désireuses de mettre en valeur (et en question) la place des femmes artistes dans l’art et son histo</w:t>
      </w:r>
      <w:r w:rsidR="005D13D3" w:rsidRPr="003D4CDA">
        <w:rPr>
          <w:lang w:val="fr-BE"/>
        </w:rPr>
        <w:t>riographie traditionnelle</w:t>
      </w:r>
      <w:r w:rsidR="000E4856" w:rsidRPr="003D4CDA">
        <w:rPr>
          <w:lang w:val="fr-BE"/>
        </w:rPr>
        <w:t>, à l’instar de</w:t>
      </w:r>
      <w:r w:rsidR="000E4856" w:rsidRPr="003D4CDA">
        <w:rPr>
          <w:color w:val="111111"/>
          <w:shd w:val="clear" w:color="auto" w:fill="FFFFFF"/>
          <w:lang w:val="fr-BE"/>
        </w:rPr>
        <w:t xml:space="preserve"> </w:t>
      </w:r>
      <w:r w:rsidR="000E4856" w:rsidRPr="003D4CDA">
        <w:rPr>
          <w:rStyle w:val="Accentuation"/>
          <w:color w:val="111111"/>
          <w:shd w:val="clear" w:color="auto" w:fill="FFFFFF"/>
          <w:lang w:val="fr-BE"/>
        </w:rPr>
        <w:t>elles @ </w:t>
      </w:r>
      <w:proofErr w:type="spellStart"/>
      <w:r w:rsidR="000E4856" w:rsidRPr="003D4CDA">
        <w:rPr>
          <w:rStyle w:val="Accentuation"/>
          <w:color w:val="111111"/>
          <w:shd w:val="clear" w:color="auto" w:fill="FFFFFF"/>
          <w:lang w:val="fr-BE"/>
        </w:rPr>
        <w:t>centrepompidou</w:t>
      </w:r>
      <w:proofErr w:type="spellEnd"/>
      <w:r w:rsidR="00BB470F" w:rsidRPr="003D4CDA">
        <w:rPr>
          <w:color w:val="111111"/>
          <w:shd w:val="clear" w:color="auto" w:fill="FFFFFF"/>
          <w:lang w:val="fr-BE"/>
        </w:rPr>
        <w:t xml:space="preserve">, </w:t>
      </w:r>
      <w:r w:rsidR="005D13D3" w:rsidRPr="003D4CDA">
        <w:rPr>
          <w:color w:val="111111"/>
          <w:shd w:val="clear" w:color="auto" w:fill="FFFFFF"/>
          <w:lang w:val="fr-BE"/>
        </w:rPr>
        <w:t xml:space="preserve">accrochage </w:t>
      </w:r>
      <w:r w:rsidR="000E4856" w:rsidRPr="003D4CDA">
        <w:rPr>
          <w:color w:val="111111"/>
          <w:shd w:val="clear" w:color="auto" w:fill="FFFFFF"/>
          <w:lang w:val="fr-BE"/>
        </w:rPr>
        <w:t>présenté en</w:t>
      </w:r>
      <w:r w:rsidR="00104C31" w:rsidRPr="003D4CDA">
        <w:rPr>
          <w:color w:val="111111"/>
          <w:shd w:val="clear" w:color="auto" w:fill="FFFFFF"/>
          <w:lang w:val="fr-BE"/>
        </w:rPr>
        <w:t>tre</w:t>
      </w:r>
      <w:r w:rsidR="000E4856" w:rsidRPr="003D4CDA">
        <w:rPr>
          <w:color w:val="111111"/>
          <w:shd w:val="clear" w:color="auto" w:fill="FFFFFF"/>
          <w:lang w:val="fr-BE"/>
        </w:rPr>
        <w:t xml:space="preserve"> 2009 </w:t>
      </w:r>
      <w:r w:rsidR="00104C31" w:rsidRPr="003D4CDA">
        <w:rPr>
          <w:color w:val="111111"/>
          <w:shd w:val="clear" w:color="auto" w:fill="FFFFFF"/>
          <w:lang w:val="fr-BE"/>
        </w:rPr>
        <w:t xml:space="preserve">et 2011 </w:t>
      </w:r>
      <w:r w:rsidR="005B04D5" w:rsidRPr="003D4CDA">
        <w:rPr>
          <w:color w:val="111111"/>
          <w:shd w:val="clear" w:color="auto" w:fill="FFFFFF"/>
          <w:lang w:val="fr-BE"/>
        </w:rPr>
        <w:t>au</w:t>
      </w:r>
      <w:r w:rsidR="000E4856" w:rsidRPr="003D4CDA">
        <w:rPr>
          <w:color w:val="111111"/>
          <w:shd w:val="clear" w:color="auto" w:fill="FFFFFF"/>
          <w:lang w:val="fr-BE"/>
        </w:rPr>
        <w:t xml:space="preserve"> Centre Pompidou</w:t>
      </w:r>
      <w:r w:rsidR="00BB470F" w:rsidRPr="003D4CDA">
        <w:rPr>
          <w:color w:val="111111"/>
          <w:shd w:val="clear" w:color="auto" w:fill="FFFFFF"/>
          <w:lang w:val="fr-BE"/>
        </w:rPr>
        <w:t> :</w:t>
      </w:r>
    </w:p>
    <w:p w14:paraId="15BCC624" w14:textId="77CD78BC" w:rsidR="000E4856" w:rsidRPr="003D4CDA" w:rsidRDefault="772DE573" w:rsidP="772DE573">
      <w:pPr>
        <w:pStyle w:val="NormalWeb"/>
        <w:shd w:val="clear" w:color="auto" w:fill="FFFFFF" w:themeFill="background1"/>
        <w:spacing w:before="0" w:beforeAutospacing="0" w:after="0" w:afterAutospacing="0"/>
        <w:ind w:left="709"/>
        <w:jc w:val="both"/>
        <w:rPr>
          <w:sz w:val="22"/>
          <w:szCs w:val="22"/>
          <w:lang w:val="fr-BE"/>
        </w:rPr>
      </w:pPr>
      <w:r w:rsidRPr="003D4CDA">
        <w:rPr>
          <w:sz w:val="22"/>
          <w:szCs w:val="22"/>
          <w:lang w:val="fr-BE"/>
        </w:rPr>
        <w:t>« [T]</w:t>
      </w:r>
      <w:proofErr w:type="spellStart"/>
      <w:r w:rsidRPr="003D4CDA">
        <w:rPr>
          <w:sz w:val="22"/>
          <w:szCs w:val="22"/>
          <w:lang w:val="fr-BE"/>
        </w:rPr>
        <w:t>ous</w:t>
      </w:r>
      <w:proofErr w:type="spellEnd"/>
      <w:r w:rsidRPr="003D4CDA">
        <w:rPr>
          <w:sz w:val="22"/>
          <w:szCs w:val="22"/>
          <w:lang w:val="fr-BE"/>
        </w:rPr>
        <w:t xml:space="preserve"> les anciens genres littéraires s’étaient durci et avaient pris une forme définie avant que la femme devint écrivain. Seul le roman était assez jeune pour être malléable entre ses mains – autre raison peut-être qui lui fit écrire des romans », répond Virginia Woolf, sous forme de livre (</w:t>
      </w:r>
      <w:r w:rsidRPr="003D4CDA">
        <w:rPr>
          <w:rStyle w:val="Accentuation"/>
          <w:sz w:val="22"/>
          <w:szCs w:val="22"/>
          <w:lang w:val="fr-BE"/>
        </w:rPr>
        <w:t>Une chambre à soi</w:t>
      </w:r>
      <w:r w:rsidRPr="003D4CDA">
        <w:rPr>
          <w:sz w:val="22"/>
          <w:szCs w:val="22"/>
          <w:lang w:val="fr-BE"/>
        </w:rPr>
        <w:t>, 1929), à une question posée sur « les femmes et le roman » en 1929. Huit décennies plus tard ses réflexions n’ont pas perdu de leur mordant, notamment le parallèle qu’elle ébauche entre la modernité d’un genre et d’une technique – le roman – et son investissement par la femme.</w:t>
      </w:r>
    </w:p>
    <w:p w14:paraId="060A1DDC" w14:textId="209DC04E" w:rsidR="000E4856" w:rsidRPr="003D4CDA" w:rsidRDefault="000E4856" w:rsidP="7387BCA1">
      <w:pPr>
        <w:pStyle w:val="NormalWeb"/>
        <w:shd w:val="clear" w:color="auto" w:fill="FFFFFF" w:themeFill="background1"/>
        <w:spacing w:before="0" w:beforeAutospacing="0" w:after="120" w:afterAutospacing="0"/>
        <w:ind w:left="709"/>
        <w:jc w:val="both"/>
        <w:rPr>
          <w:rStyle w:val="Appelnotedebasdep"/>
          <w:lang w:val="fr-BE"/>
        </w:rPr>
      </w:pPr>
      <w:r w:rsidRPr="003D4CDA">
        <w:rPr>
          <w:sz w:val="22"/>
          <w:szCs w:val="22"/>
          <w:lang w:val="fr-BE"/>
        </w:rPr>
        <w:t>En consacrant l’étage de ses collections contemporaines aux artistes-femmes, ainsi qu’une partie de ses collections historiques, le Musée national d’art moderne prolonge cette réflexion inaugurale et lui donnant la forme, comme le faisait Virginia Woolf, d’une multiplicité de questions</w:t>
      </w:r>
      <w:r w:rsidRPr="772DE573">
        <w:rPr>
          <w:rStyle w:val="Appelnotedebasdep"/>
          <w:sz w:val="22"/>
          <w:szCs w:val="22"/>
          <w:lang w:val="fr-BE"/>
        </w:rPr>
        <w:footnoteReference w:id="9"/>
      </w:r>
      <w:r w:rsidR="7387BCA1" w:rsidRPr="7387BCA1">
        <w:rPr>
          <w:sz w:val="22"/>
          <w:szCs w:val="22"/>
          <w:lang w:val="fr-BE"/>
        </w:rPr>
        <w:t>.</w:t>
      </w:r>
    </w:p>
    <w:p w14:paraId="0A862FC2" w14:textId="77777777" w:rsidR="00ED324D" w:rsidRDefault="00ED324D" w:rsidP="772DE573">
      <w:pPr>
        <w:spacing w:after="120" w:line="360" w:lineRule="auto"/>
        <w:jc w:val="center"/>
        <w:rPr>
          <w:color w:val="111111"/>
          <w:shd w:val="clear" w:color="auto" w:fill="FFFFFF"/>
          <w:lang w:val="fr-BE"/>
        </w:rPr>
      </w:pPr>
      <w:r>
        <w:rPr>
          <w:noProof/>
        </w:rPr>
        <w:lastRenderedPageBreak/>
        <w:drawing>
          <wp:inline distT="0" distB="0" distL="0" distR="0" wp14:anchorId="210A111E" wp14:editId="11F56E5B">
            <wp:extent cx="4400193" cy="3300144"/>
            <wp:effectExtent l="0" t="0" r="635" b="0"/>
            <wp:docPr id="3" name="Image 3" descr="Une image contenant intérieur, galerie, pein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0193" cy="3300144"/>
                    </a:xfrm>
                    <a:prstGeom prst="rect">
                      <a:avLst/>
                    </a:prstGeom>
                  </pic:spPr>
                </pic:pic>
              </a:graphicData>
            </a:graphic>
          </wp:inline>
        </w:drawing>
      </w:r>
    </w:p>
    <w:p w14:paraId="052467F2" w14:textId="133EA282" w:rsidR="00755447" w:rsidRPr="009427B8" w:rsidRDefault="00755447" w:rsidP="772DE573">
      <w:pPr>
        <w:spacing w:after="120" w:line="360" w:lineRule="auto"/>
        <w:jc w:val="center"/>
        <w:rPr>
          <w:color w:val="111111"/>
          <w:shd w:val="clear" w:color="auto" w:fill="FFFFFF"/>
          <w:lang w:val="fr-BE"/>
        </w:rPr>
      </w:pPr>
      <w:r w:rsidRPr="00755447">
        <w:rPr>
          <w:color w:val="111111"/>
          <w:shd w:val="clear" w:color="auto" w:fill="FFFFFF"/>
          <w:lang w:val="fr-BE"/>
        </w:rPr>
        <w:t>https://agnesthurnauer.net/exhibitions/elles-at-centre-pompidou</w:t>
      </w:r>
    </w:p>
    <w:p w14:paraId="22196096" w14:textId="7E251ACA" w:rsidR="00BB470F" w:rsidRPr="003D4CDA" w:rsidRDefault="00194C2F" w:rsidP="7387BCA1">
      <w:pPr>
        <w:spacing w:after="120" w:line="360" w:lineRule="auto"/>
        <w:jc w:val="both"/>
        <w:rPr>
          <w:color w:val="111111"/>
          <w:shd w:val="clear" w:color="auto" w:fill="FFFFFF"/>
          <w:lang w:val="fr-BE"/>
        </w:rPr>
      </w:pPr>
      <w:r w:rsidRPr="003D4CDA">
        <w:rPr>
          <w:color w:val="111111"/>
          <w:shd w:val="clear" w:color="auto" w:fill="FFFFFF"/>
          <w:lang w:val="fr-BE"/>
        </w:rPr>
        <w:t>Au regard de</w:t>
      </w:r>
      <w:r w:rsidR="00494DCE" w:rsidRPr="003D4CDA">
        <w:rPr>
          <w:color w:val="111111"/>
          <w:shd w:val="clear" w:color="auto" w:fill="FFFFFF"/>
          <w:lang w:val="fr-BE"/>
        </w:rPr>
        <w:t xml:space="preserve"> la place conférée au cours des dernières années aux artistes femmes dans le monde de l’art au sens large, qu’il s’agisse de redécouvrir des œuvres négligées ou de </w:t>
      </w:r>
      <w:r w:rsidR="00891B3D" w:rsidRPr="003D4CDA">
        <w:rPr>
          <w:color w:val="111111"/>
          <w:shd w:val="clear" w:color="auto" w:fill="FFFFFF"/>
          <w:lang w:val="fr-BE"/>
        </w:rPr>
        <w:t>mettre en valeur des créatrices contemporaines,</w:t>
      </w:r>
      <w:r w:rsidR="00705CA9" w:rsidRPr="003D4CDA">
        <w:rPr>
          <w:color w:val="111111"/>
          <w:shd w:val="clear" w:color="auto" w:fill="FFFFFF"/>
          <w:lang w:val="fr-BE"/>
        </w:rPr>
        <w:t xml:space="preserve"> Virginia Woolf semble une « bonne cliente »</w:t>
      </w:r>
      <w:r w:rsidR="00705CA9" w:rsidRPr="003D4CDA">
        <w:rPr>
          <w:rStyle w:val="Appelnotedebasdep"/>
          <w:color w:val="111111"/>
          <w:shd w:val="clear" w:color="auto" w:fill="FFFFFF"/>
          <w:lang w:val="fr-BE"/>
        </w:rPr>
        <w:footnoteReference w:id="10"/>
      </w:r>
      <w:r w:rsidR="00705CA9" w:rsidRPr="003D4CDA">
        <w:rPr>
          <w:color w:val="111111"/>
          <w:shd w:val="clear" w:color="auto" w:fill="FFFFFF"/>
          <w:lang w:val="fr-BE"/>
        </w:rPr>
        <w:t>.</w:t>
      </w:r>
      <w:r w:rsidR="00662F86" w:rsidRPr="003D4CDA">
        <w:rPr>
          <w:color w:val="111111"/>
          <w:shd w:val="clear" w:color="auto" w:fill="FFFFFF"/>
          <w:lang w:val="fr-BE"/>
        </w:rPr>
        <w:t xml:space="preserve"> Reste qu’à trop faire office d’évidence incontournable, de telles références peuvent à l’occasion se réduire à un simple signe de reconnaissance, parfois quelque peu superficiel, comme dans l’exposition</w:t>
      </w:r>
      <w:r w:rsidR="002D6553" w:rsidRPr="003D4CDA">
        <w:rPr>
          <w:lang w:val="fr-BE"/>
        </w:rPr>
        <w:t xml:space="preserve"> </w:t>
      </w:r>
      <w:r w:rsidR="00662F86" w:rsidRPr="003D4CDA">
        <w:rPr>
          <w:rStyle w:val="Accentuation"/>
          <w:color w:val="111111"/>
          <w:shd w:val="clear" w:color="auto" w:fill="FFFFFF"/>
          <w:lang w:val="fr-BE"/>
        </w:rPr>
        <w:t xml:space="preserve">Qui a peur des femmes </w:t>
      </w:r>
      <w:bookmarkStart w:id="0" w:name="_Int_cih6Oliz"/>
      <w:r w:rsidR="00662F86" w:rsidRPr="003D4CDA">
        <w:rPr>
          <w:rStyle w:val="Accentuation"/>
          <w:color w:val="111111"/>
          <w:shd w:val="clear" w:color="auto" w:fill="FFFFFF"/>
          <w:lang w:val="fr-BE"/>
        </w:rPr>
        <w:t>photographes ?</w:t>
      </w:r>
      <w:r w:rsidR="00662F86" w:rsidRPr="003D4CDA">
        <w:rPr>
          <w:rStyle w:val="Accentuation"/>
          <w:i w:val="0"/>
          <w:iCs w:val="0"/>
          <w:color w:val="111111"/>
          <w:shd w:val="clear" w:color="auto" w:fill="FFFFFF"/>
          <w:lang w:val="fr-BE"/>
        </w:rPr>
        <w:t>,</w:t>
      </w:r>
      <w:bookmarkEnd w:id="0"/>
      <w:r w:rsidR="00662F86" w:rsidRPr="003D4CDA">
        <w:rPr>
          <w:i/>
          <w:iCs/>
          <w:color w:val="111111"/>
          <w:shd w:val="clear" w:color="auto" w:fill="FFFFFF"/>
          <w:lang w:val="fr-BE"/>
        </w:rPr>
        <w:t xml:space="preserve"> </w:t>
      </w:r>
      <w:r w:rsidR="00662F86" w:rsidRPr="003D4CDA">
        <w:rPr>
          <w:color w:val="111111"/>
          <w:shd w:val="clear" w:color="auto" w:fill="FFFFFF"/>
          <w:lang w:val="fr-BE"/>
        </w:rPr>
        <w:t xml:space="preserve">partagée entre le </w:t>
      </w:r>
      <w:r w:rsidR="7387BCA1" w:rsidRPr="003D4CDA">
        <w:rPr>
          <w:color w:val="111111"/>
          <w:lang w:val="fr-BE"/>
        </w:rPr>
        <w:t>m</w:t>
      </w:r>
      <w:r w:rsidR="00662F86" w:rsidRPr="003D4CDA">
        <w:rPr>
          <w:color w:val="111111"/>
          <w:shd w:val="clear" w:color="auto" w:fill="FFFFFF"/>
          <w:lang w:val="fr-BE"/>
        </w:rPr>
        <w:t xml:space="preserve">usée de l’Orangerie et le </w:t>
      </w:r>
      <w:r w:rsidR="7387BCA1" w:rsidRPr="003D4CDA">
        <w:rPr>
          <w:color w:val="111111"/>
          <w:lang w:val="fr-BE"/>
        </w:rPr>
        <w:t>m</w:t>
      </w:r>
      <w:r w:rsidR="00662F86" w:rsidRPr="003D4CDA">
        <w:rPr>
          <w:color w:val="111111"/>
          <w:shd w:val="clear" w:color="auto" w:fill="FFFFFF"/>
          <w:lang w:val="fr-BE"/>
        </w:rPr>
        <w:t>usée d’Orsay (2015-2016)</w:t>
      </w:r>
      <w:r w:rsidR="00662F86" w:rsidRPr="772DE573">
        <w:rPr>
          <w:rStyle w:val="Appelnotedebasdep"/>
          <w:color w:val="111111"/>
          <w:shd w:val="clear" w:color="auto" w:fill="FFFFFF"/>
          <w:lang w:val="fr-BE"/>
        </w:rPr>
        <w:footnoteReference w:id="11"/>
      </w:r>
      <w:r w:rsidR="00662F86" w:rsidRPr="003D4CDA">
        <w:rPr>
          <w:color w:val="111111"/>
          <w:shd w:val="clear" w:color="auto" w:fill="FFFFFF"/>
          <w:lang w:val="fr-BE"/>
        </w:rPr>
        <w:t xml:space="preserve">, qui se bornait au clin d’œil d’un titre </w:t>
      </w:r>
      <w:r w:rsidR="003744C1" w:rsidRPr="003D4CDA">
        <w:rPr>
          <w:color w:val="111111"/>
          <w:shd w:val="clear" w:color="auto" w:fill="FFFFFF"/>
          <w:lang w:val="fr-BE"/>
        </w:rPr>
        <w:t>(ce qui est déjà quelque chose, et en réalité peut suffire</w:t>
      </w:r>
      <w:r w:rsidR="00BB470F" w:rsidRPr="003D4CDA">
        <w:rPr>
          <w:color w:val="111111"/>
          <w:shd w:val="clear" w:color="auto" w:fill="FFFFFF"/>
          <w:lang w:val="fr-BE"/>
        </w:rPr>
        <w:t xml:space="preserve"> selon la finalité que l’on se donne</w:t>
      </w:r>
      <w:r w:rsidR="003744C1" w:rsidRPr="003D4CDA">
        <w:rPr>
          <w:color w:val="111111"/>
          <w:shd w:val="clear" w:color="auto" w:fill="FFFFFF"/>
          <w:lang w:val="fr-BE"/>
        </w:rPr>
        <w:t>)</w:t>
      </w:r>
      <w:r w:rsidR="00662F86" w:rsidRPr="003D4CDA">
        <w:rPr>
          <w:color w:val="111111"/>
          <w:shd w:val="clear" w:color="auto" w:fill="FFFFFF"/>
          <w:lang w:val="fr-BE"/>
        </w:rPr>
        <w:t>.</w:t>
      </w:r>
    </w:p>
    <w:p w14:paraId="2FFEEF7C" w14:textId="254D5096" w:rsidR="005D13D3" w:rsidRPr="003D4CDA" w:rsidRDefault="003744C1" w:rsidP="7387BCA1">
      <w:pPr>
        <w:spacing w:after="120" w:line="360" w:lineRule="auto"/>
        <w:jc w:val="both"/>
        <w:rPr>
          <w:color w:val="111111"/>
          <w:shd w:val="clear" w:color="auto" w:fill="FFFFFF"/>
          <w:lang w:val="fr-BE"/>
        </w:rPr>
      </w:pPr>
      <w:r w:rsidRPr="003D4CDA">
        <w:rPr>
          <w:lang w:val="fr-BE"/>
        </w:rPr>
        <w:t>Cet affichage paraît parfois être le seul bénéfice de l’opération, comme à l’occasion de l’exposition collective</w:t>
      </w:r>
      <w:r w:rsidR="002D6553" w:rsidRPr="003D4CDA">
        <w:rPr>
          <w:lang w:val="fr-BE"/>
        </w:rPr>
        <w:t xml:space="preserve"> </w:t>
      </w:r>
      <w:r w:rsidRPr="003D4CDA">
        <w:rPr>
          <w:i/>
          <w:iCs/>
          <w:lang w:val="fr-BE"/>
        </w:rPr>
        <w:t>La Vie matérielle</w:t>
      </w:r>
      <w:r w:rsidRPr="003D4CDA">
        <w:rPr>
          <w:lang w:val="fr-BE"/>
        </w:rPr>
        <w:t xml:space="preserve"> (2021-2022), organisée la Centrale for </w:t>
      </w:r>
      <w:proofErr w:type="spellStart"/>
      <w:r w:rsidRPr="003D4CDA">
        <w:rPr>
          <w:lang w:val="fr-BE"/>
        </w:rPr>
        <w:t>contemporary</w:t>
      </w:r>
      <w:proofErr w:type="spellEnd"/>
      <w:r w:rsidRPr="003D4CDA">
        <w:rPr>
          <w:lang w:val="fr-BE"/>
        </w:rPr>
        <w:t xml:space="preserve"> art de Bruxelles</w:t>
      </w:r>
      <w:r w:rsidR="007823F3" w:rsidRPr="003D4CDA">
        <w:rPr>
          <w:lang w:val="fr-BE"/>
        </w:rPr>
        <w:t>, avec un</w:t>
      </w:r>
      <w:r w:rsidRPr="003D4CDA">
        <w:rPr>
          <w:lang w:val="fr-BE"/>
        </w:rPr>
        <w:t xml:space="preserve"> clin d’œil durassien</w:t>
      </w:r>
      <w:r w:rsidR="007823F3" w:rsidRPr="003D4CDA">
        <w:rPr>
          <w:lang w:val="fr-BE"/>
        </w:rPr>
        <w:t xml:space="preserve"> qui, pour être </w:t>
      </w:r>
      <w:r w:rsidRPr="003D4CDA">
        <w:rPr>
          <w:lang w:val="fr-BE"/>
        </w:rPr>
        <w:t>explicité dans le texte de présentation de l’exposition</w:t>
      </w:r>
      <w:r w:rsidR="00AC4DB2" w:rsidRPr="772DE573">
        <w:rPr>
          <w:rStyle w:val="Appelnotedebasdep"/>
          <w:lang w:val="fr-BE"/>
        </w:rPr>
        <w:footnoteReference w:id="12"/>
      </w:r>
      <w:r w:rsidRPr="003D4CDA">
        <w:rPr>
          <w:lang w:val="fr-BE"/>
        </w:rPr>
        <w:t>, n</w:t>
      </w:r>
      <w:r w:rsidR="007823F3" w:rsidRPr="003D4CDA">
        <w:rPr>
          <w:lang w:val="fr-BE"/>
        </w:rPr>
        <w:t xml:space="preserve">’en </w:t>
      </w:r>
      <w:r w:rsidRPr="003D4CDA">
        <w:rPr>
          <w:lang w:val="fr-BE"/>
        </w:rPr>
        <w:t>sembl</w:t>
      </w:r>
      <w:r w:rsidR="007823F3" w:rsidRPr="003D4CDA">
        <w:rPr>
          <w:lang w:val="fr-BE"/>
        </w:rPr>
        <w:t>ait pas moins</w:t>
      </w:r>
      <w:r w:rsidRPr="003D4CDA">
        <w:rPr>
          <w:lang w:val="fr-BE"/>
        </w:rPr>
        <w:t xml:space="preserve"> un simple signe de connivence</w:t>
      </w:r>
      <w:r w:rsidR="00DA43C1" w:rsidRPr="003D4CDA">
        <w:rPr>
          <w:lang w:val="fr-BE"/>
        </w:rPr>
        <w:t>, destiné à situer le principe de cohérence de l’exposition : la matérialité</w:t>
      </w:r>
      <w:r w:rsidR="00AC4DB2" w:rsidRPr="003D4CDA">
        <w:rPr>
          <w:lang w:val="fr-BE"/>
        </w:rPr>
        <w:t xml:space="preserve"> du travail des femmes</w:t>
      </w:r>
      <w:r w:rsidRPr="003D4CDA">
        <w:rPr>
          <w:lang w:val="fr-BE"/>
        </w:rPr>
        <w:t>.</w:t>
      </w:r>
      <w:r w:rsidR="00532758" w:rsidRPr="003D4CDA">
        <w:rPr>
          <w:color w:val="111111"/>
          <w:shd w:val="clear" w:color="auto" w:fill="FFFFFF"/>
          <w:lang w:val="fr-BE"/>
        </w:rPr>
        <w:t xml:space="preserve"> </w:t>
      </w:r>
    </w:p>
    <w:p w14:paraId="309967D5" w14:textId="77777777" w:rsidR="005D13D3" w:rsidRPr="003D4CDA" w:rsidRDefault="005D13D3" w:rsidP="772DE573">
      <w:pPr>
        <w:ind w:left="709"/>
        <w:jc w:val="both"/>
        <w:rPr>
          <w:color w:val="111111"/>
          <w:shd w:val="clear" w:color="auto" w:fill="FFFFFF"/>
          <w:lang w:val="fr-BE"/>
        </w:rPr>
      </w:pPr>
      <w:r w:rsidRPr="003D4CDA">
        <w:rPr>
          <w:i/>
          <w:iCs/>
          <w:color w:val="111111"/>
          <w:shd w:val="clear" w:color="auto" w:fill="FFFFFF"/>
          <w:lang w:val="fr-BE"/>
        </w:rPr>
        <w:lastRenderedPageBreak/>
        <w:t>La Vie matérielle</w:t>
      </w:r>
      <w:r w:rsidRPr="003D4CDA">
        <w:rPr>
          <w:color w:val="111111"/>
          <w:shd w:val="clear" w:color="auto" w:fill="FFFFFF"/>
          <w:lang w:val="fr-BE"/>
        </w:rPr>
        <w:t>, intitulée ainsi en référence au recueil éponyme de Marguerite Duras, explore et relie cheminement artistique et expérience personnelle.</w:t>
      </w:r>
    </w:p>
    <w:p w14:paraId="08312F53" w14:textId="2107DB5E" w:rsidR="005D13D3" w:rsidRPr="00045A73" w:rsidRDefault="005D13D3" w:rsidP="772DE573">
      <w:pPr>
        <w:ind w:left="709"/>
        <w:jc w:val="both"/>
        <w:rPr>
          <w:color w:val="111111"/>
          <w:shd w:val="clear" w:color="auto" w:fill="FFFFFF"/>
          <w:lang w:val="fr-BE"/>
        </w:rPr>
      </w:pPr>
      <w:r w:rsidRPr="00045A73">
        <w:rPr>
          <w:color w:val="111111"/>
          <w:shd w:val="clear" w:color="auto" w:fill="FFFFFF"/>
          <w:lang w:val="fr-BE"/>
        </w:rPr>
        <w:t xml:space="preserve">Tant le livre de Duras que les œuvres de l’exposition se définissent par un dialogue constant entre le quotidien ordinaire </w:t>
      </w:r>
      <w:r w:rsidR="00BB470F" w:rsidRPr="00045A73">
        <w:rPr>
          <w:color w:val="111111"/>
          <w:shd w:val="clear" w:color="auto" w:fill="FFFFFF"/>
          <w:lang w:val="fr-BE"/>
        </w:rPr>
        <w:t>[…]</w:t>
      </w:r>
      <w:r w:rsidRPr="00045A73">
        <w:rPr>
          <w:color w:val="111111"/>
          <w:shd w:val="clear" w:color="auto" w:fill="FFFFFF"/>
          <w:lang w:val="fr-BE"/>
        </w:rPr>
        <w:t xml:space="preserve"> et la vie intérieure et intime</w:t>
      </w:r>
      <w:r w:rsidR="00BB470F" w:rsidRPr="00045A73">
        <w:rPr>
          <w:color w:val="111111"/>
          <w:shd w:val="clear" w:color="auto" w:fill="FFFFFF"/>
          <w:lang w:val="fr-BE"/>
        </w:rPr>
        <w:t xml:space="preserve"> […]</w:t>
      </w:r>
      <w:r w:rsidRPr="00045A73">
        <w:rPr>
          <w:color w:val="111111"/>
          <w:shd w:val="clear" w:color="auto" w:fill="FFFFFF"/>
          <w:lang w:val="fr-BE"/>
        </w:rPr>
        <w:t>.</w:t>
      </w:r>
    </w:p>
    <w:p w14:paraId="44BB7A8D" w14:textId="77777777" w:rsidR="00736687" w:rsidRPr="00045A73" w:rsidRDefault="00736687" w:rsidP="772DE573">
      <w:pPr>
        <w:ind w:left="709"/>
        <w:jc w:val="both"/>
        <w:rPr>
          <w:color w:val="111111"/>
          <w:shd w:val="clear" w:color="auto" w:fill="FFFFFF"/>
          <w:lang w:val="fr-BE"/>
        </w:rPr>
      </w:pPr>
      <w:r w:rsidRPr="00045A73">
        <w:rPr>
          <w:color w:val="111111"/>
          <w:shd w:val="clear" w:color="auto" w:fill="FFFFFF"/>
          <w:lang w:val="fr-BE"/>
        </w:rPr>
        <w:t>[…]</w:t>
      </w:r>
    </w:p>
    <w:p w14:paraId="0DB8D0FC" w14:textId="028CDAE3" w:rsidR="00736687" w:rsidRPr="00045A73" w:rsidRDefault="00736687" w:rsidP="772DE573">
      <w:pPr>
        <w:ind w:left="709"/>
        <w:jc w:val="both"/>
        <w:rPr>
          <w:color w:val="111111"/>
          <w:shd w:val="clear" w:color="auto" w:fill="FFFFFF"/>
          <w:lang w:val="fr-BE"/>
        </w:rPr>
      </w:pPr>
      <w:r w:rsidRPr="00045A73">
        <w:rPr>
          <w:color w:val="111111"/>
          <w:shd w:val="clear" w:color="auto" w:fill="FFFFFF"/>
          <w:lang w:val="fr-BE"/>
        </w:rPr>
        <w:t>À travers des narrations provocantes ou interrogatives, des mises en scène d’une grande fragilité ou pleines d’énergie, ces œuvres très diversifiées (assemblages, vidéos, dessins, sculptures, installations) mêlent le fini et l’inachevé, le vu et le ressenti.</w:t>
      </w:r>
    </w:p>
    <w:p w14:paraId="0DB55D00" w14:textId="0C178224" w:rsidR="005D13D3" w:rsidRPr="00045A73" w:rsidRDefault="00736687" w:rsidP="7387BCA1">
      <w:pPr>
        <w:spacing w:after="120"/>
        <w:ind w:left="709"/>
        <w:jc w:val="both"/>
        <w:rPr>
          <w:rStyle w:val="Appelnotedebasdep"/>
          <w:shd w:val="clear" w:color="auto" w:fill="FFFFFF"/>
          <w:lang w:val="fr-BE"/>
        </w:rPr>
      </w:pPr>
      <w:r w:rsidRPr="00045A73">
        <w:rPr>
          <w:color w:val="111111"/>
          <w:shd w:val="clear" w:color="auto" w:fill="FFFFFF"/>
          <w:lang w:val="fr-BE"/>
        </w:rPr>
        <w:t xml:space="preserve">L’exposition implique et interroge plusieurs sens, en particulier la vision et le toucher, à travers un parcours qui saisit le spectateur/la spectatrice à l’intérieur d’une sorte de toile d’araignée, émotionnelle et mentale, avec l’espoir qu’à la fin du parcours, s’ouvriront peut-être de nouvelles perspectives sur notre manière de percevoir et de lire notre </w:t>
      </w:r>
      <w:r w:rsidR="7387BCA1" w:rsidRPr="00045A73">
        <w:rPr>
          <w:color w:val="111111"/>
          <w:lang w:val="fr-BE"/>
        </w:rPr>
        <w:t>« </w:t>
      </w:r>
      <w:r w:rsidRPr="00045A73">
        <w:rPr>
          <w:color w:val="111111"/>
          <w:shd w:val="clear" w:color="auto" w:fill="FFFFFF"/>
          <w:lang w:val="fr-BE"/>
        </w:rPr>
        <w:t>vie matérielle</w:t>
      </w:r>
      <w:r w:rsidR="7387BCA1" w:rsidRPr="00045A73">
        <w:rPr>
          <w:color w:val="111111"/>
          <w:lang w:val="fr-BE"/>
        </w:rPr>
        <w:t> »</w:t>
      </w:r>
      <w:r w:rsidRPr="00045A73">
        <w:rPr>
          <w:color w:val="111111"/>
          <w:shd w:val="clear" w:color="auto" w:fill="FFFFFF"/>
          <w:lang w:val="fr-BE"/>
        </w:rPr>
        <w:t xml:space="preserve"> commune, et le lien que l’art permet de créer entre notre corps et notre vie intérieure</w:t>
      </w:r>
      <w:r w:rsidR="005D13D3" w:rsidRPr="772DE573">
        <w:rPr>
          <w:rStyle w:val="Appelnotedebasdep"/>
          <w:color w:val="111111"/>
          <w:shd w:val="clear" w:color="auto" w:fill="FFFFFF"/>
          <w:lang w:val="fr-BE"/>
        </w:rPr>
        <w:footnoteReference w:id="13"/>
      </w:r>
      <w:r w:rsidR="7387BCA1" w:rsidRPr="7387BCA1">
        <w:rPr>
          <w:color w:val="111111"/>
          <w:lang w:val="fr-BE"/>
        </w:rPr>
        <w:t>.</w:t>
      </w:r>
    </w:p>
    <w:p w14:paraId="2A11469B" w14:textId="52CB8FD7" w:rsidR="00ED324D" w:rsidRDefault="00ED324D" w:rsidP="772DE573">
      <w:pPr>
        <w:spacing w:after="120" w:line="360" w:lineRule="auto"/>
        <w:jc w:val="center"/>
        <w:rPr>
          <w:lang w:val="fr-BE"/>
        </w:rPr>
      </w:pPr>
      <w:r>
        <w:rPr>
          <w:noProof/>
        </w:rPr>
        <w:drawing>
          <wp:inline distT="0" distB="0" distL="0" distR="0" wp14:anchorId="665A0E3C" wp14:editId="5CD26F2F">
            <wp:extent cx="4472940" cy="2982453"/>
            <wp:effectExtent l="0" t="0" r="3810" b="8890"/>
            <wp:docPr id="4" name="Image 4" descr="Une image contenant intérieur, mur, ar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5721" cy="2984307"/>
                    </a:xfrm>
                    <a:prstGeom prst="rect">
                      <a:avLst/>
                    </a:prstGeom>
                  </pic:spPr>
                </pic:pic>
              </a:graphicData>
            </a:graphic>
          </wp:inline>
        </w:drawing>
      </w:r>
    </w:p>
    <w:p w14:paraId="650F0D89" w14:textId="77777777" w:rsidR="00755447" w:rsidRDefault="00755447" w:rsidP="00755447">
      <w:pPr>
        <w:shd w:val="clear" w:color="auto" w:fill="FFFFFF"/>
        <w:jc w:val="center"/>
        <w:rPr>
          <w:color w:val="111111"/>
          <w:sz w:val="20"/>
          <w:szCs w:val="20"/>
          <w:lang w:val="fr-BE"/>
        </w:rPr>
      </w:pPr>
      <w:r w:rsidRPr="00755447">
        <w:rPr>
          <w:color w:val="111111"/>
          <w:sz w:val="20"/>
          <w:szCs w:val="20"/>
          <w:lang w:val="fr-BE"/>
        </w:rPr>
        <w:t>Photographie prise lors de l’exposition </w:t>
      </w:r>
      <w:proofErr w:type="spellStart"/>
      <w:r w:rsidRPr="00755447">
        <w:rPr>
          <w:rStyle w:val="Accentuation"/>
          <w:color w:val="111111"/>
          <w:sz w:val="20"/>
          <w:szCs w:val="20"/>
          <w:lang w:val="fr-BE"/>
        </w:rPr>
        <w:t>Amberes</w:t>
      </w:r>
      <w:proofErr w:type="spellEnd"/>
      <w:r w:rsidRPr="00755447">
        <w:rPr>
          <w:color w:val="111111"/>
          <w:sz w:val="20"/>
          <w:szCs w:val="20"/>
          <w:lang w:val="fr-BE"/>
        </w:rPr>
        <w:t xml:space="preserve"> au M HKA </w:t>
      </w:r>
    </w:p>
    <w:p w14:paraId="6953EEEE" w14:textId="14483682" w:rsidR="00755447" w:rsidRPr="00755447" w:rsidRDefault="00755447" w:rsidP="00755447">
      <w:pPr>
        <w:shd w:val="clear" w:color="auto" w:fill="FFFFFF"/>
        <w:jc w:val="center"/>
        <w:rPr>
          <w:color w:val="111111"/>
          <w:sz w:val="20"/>
          <w:szCs w:val="20"/>
          <w:lang w:val="fr-BE"/>
        </w:rPr>
      </w:pPr>
      <w:r w:rsidRPr="00755447">
        <w:rPr>
          <w:color w:val="111111"/>
          <w:sz w:val="20"/>
          <w:szCs w:val="20"/>
          <w:lang w:val="fr-BE"/>
        </w:rPr>
        <w:t>(7 juin – 15 septembre 2019)</w:t>
      </w:r>
      <w:r>
        <w:rPr>
          <w:color w:val="111111"/>
          <w:sz w:val="20"/>
          <w:szCs w:val="20"/>
          <w:lang w:val="fr-BE"/>
        </w:rPr>
        <w:t xml:space="preserve"> </w:t>
      </w:r>
      <w:r w:rsidRPr="00DA3A6F">
        <w:rPr>
          <w:color w:val="111111"/>
          <w:sz w:val="20"/>
          <w:szCs w:val="20"/>
          <w:lang w:val="fr-BE"/>
        </w:rPr>
        <w:t>©M HKA</w:t>
      </w:r>
    </w:p>
    <w:p w14:paraId="53A92ADF" w14:textId="77777777" w:rsidR="00755447" w:rsidRPr="00755447" w:rsidRDefault="00755447" w:rsidP="772DE573">
      <w:pPr>
        <w:spacing w:after="120" w:line="360" w:lineRule="auto"/>
        <w:jc w:val="center"/>
        <w:rPr>
          <w:sz w:val="20"/>
          <w:szCs w:val="20"/>
          <w:lang w:val="fr-BE"/>
        </w:rPr>
      </w:pPr>
    </w:p>
    <w:p w14:paraId="49EEF531" w14:textId="5CAAE86C" w:rsidR="00736687" w:rsidRPr="00045A73" w:rsidRDefault="7387BCA1" w:rsidP="00045A73">
      <w:pPr>
        <w:spacing w:after="120" w:line="360" w:lineRule="auto"/>
        <w:jc w:val="both"/>
        <w:rPr>
          <w:lang w:val="fr-BE"/>
        </w:rPr>
      </w:pPr>
      <w:r w:rsidRPr="00045A73">
        <w:rPr>
          <w:lang w:val="fr-BE"/>
        </w:rPr>
        <w:t>Cette présentation de l’exposition paraît jouer pleinement la carte de la référence à Duras pour conférer une unité thématique (et matérielle) à une proposition dont le caractère éminemment hétéroclite est également noté. En somme, la référence à Duras paraît se concentrer dans la sémantique d’un titre dont il paraît n’être pas nécessaire d’avoir lu le livre pour comprendre la fonction dans le discours de l’exposition</w:t>
      </w:r>
      <w:r w:rsidR="00045A73">
        <w:rPr>
          <w:rStyle w:val="Appelnotedebasdep"/>
          <w:lang w:val="fr-BE"/>
        </w:rPr>
        <w:footnoteReference w:id="14"/>
      </w:r>
      <w:r w:rsidRPr="00045A73">
        <w:rPr>
          <w:lang w:val="fr-BE"/>
        </w:rPr>
        <w:t>.</w:t>
      </w:r>
    </w:p>
    <w:p w14:paraId="0C653C54" w14:textId="706A5F1A" w:rsidR="00101005" w:rsidRPr="00045A73" w:rsidRDefault="007823F3" w:rsidP="00045A73">
      <w:pPr>
        <w:spacing w:after="120" w:line="360" w:lineRule="auto"/>
        <w:jc w:val="both"/>
        <w:rPr>
          <w:shd w:val="clear" w:color="auto" w:fill="FFFFFF"/>
          <w:lang w:val="fr-BE"/>
        </w:rPr>
      </w:pPr>
      <w:r w:rsidRPr="00045A73">
        <w:rPr>
          <w:lang w:val="fr-BE"/>
        </w:rPr>
        <w:lastRenderedPageBreak/>
        <w:t>C</w:t>
      </w:r>
      <w:r w:rsidR="000E4856" w:rsidRPr="00045A73">
        <w:rPr>
          <w:lang w:val="fr-BE"/>
        </w:rPr>
        <w:t xml:space="preserve">ertaines de ces expositions sont </w:t>
      </w:r>
      <w:r w:rsidRPr="00045A73">
        <w:rPr>
          <w:lang w:val="fr-BE"/>
        </w:rPr>
        <w:t>toutefois fondées sur</w:t>
      </w:r>
      <w:r w:rsidR="000E4856" w:rsidRPr="00045A73">
        <w:rPr>
          <w:lang w:val="fr-BE"/>
        </w:rPr>
        <w:t xml:space="preserve"> un dialogue </w:t>
      </w:r>
      <w:r w:rsidR="005D13D3" w:rsidRPr="00045A73">
        <w:rPr>
          <w:lang w:val="fr-BE"/>
        </w:rPr>
        <w:t xml:space="preserve">plus approfondi </w:t>
      </w:r>
      <w:r w:rsidR="000E4856" w:rsidRPr="00045A73">
        <w:rPr>
          <w:lang w:val="fr-BE"/>
        </w:rPr>
        <w:t xml:space="preserve">avec la figure d’auteur ou l’œuvre à laquelle la fonction </w:t>
      </w:r>
      <w:r w:rsidR="002A1A9E" w:rsidRPr="00045A73">
        <w:rPr>
          <w:lang w:val="fr-BE"/>
        </w:rPr>
        <w:t>de matrice</w:t>
      </w:r>
      <w:r w:rsidR="000E4856" w:rsidRPr="00045A73">
        <w:rPr>
          <w:lang w:val="fr-BE"/>
        </w:rPr>
        <w:t xml:space="preserve"> de l’exposition est conférée. </w:t>
      </w:r>
      <w:r w:rsidR="000E4856" w:rsidRPr="00045A73">
        <w:rPr>
          <w:shd w:val="clear" w:color="auto" w:fill="FFFFFF"/>
          <w:lang w:val="fr-BE"/>
        </w:rPr>
        <w:t>En témoignent l’exposition collective</w:t>
      </w:r>
      <w:r w:rsidR="002D6553" w:rsidRPr="00045A73">
        <w:rPr>
          <w:lang w:val="fr-BE"/>
        </w:rPr>
        <w:t xml:space="preserve"> </w:t>
      </w:r>
      <w:r w:rsidR="000E4856" w:rsidRPr="00045A73">
        <w:rPr>
          <w:rStyle w:val="Accentuation"/>
          <w:shd w:val="clear" w:color="auto" w:fill="FFFFFF"/>
          <w:lang w:val="fr-BE"/>
        </w:rPr>
        <w:t>Dépenses</w:t>
      </w:r>
      <w:r w:rsidR="000E4856" w:rsidRPr="00045A73">
        <w:rPr>
          <w:shd w:val="clear" w:color="auto" w:fill="FFFFFF"/>
          <w:lang w:val="fr-BE"/>
        </w:rPr>
        <w:t> (2016-2017)</w:t>
      </w:r>
      <w:r w:rsidR="002A1A9E" w:rsidRPr="00045A73">
        <w:rPr>
          <w:shd w:val="clear" w:color="auto" w:fill="FFFFFF"/>
          <w:lang w:val="fr-BE"/>
        </w:rPr>
        <w:t>,</w:t>
      </w:r>
      <w:r w:rsidR="000E4856" w:rsidRPr="00045A73">
        <w:rPr>
          <w:shd w:val="clear" w:color="auto" w:fill="FFFFFF"/>
          <w:lang w:val="fr-BE"/>
        </w:rPr>
        <w:t xml:space="preserve"> présentée </w:t>
      </w:r>
      <w:r w:rsidR="00D85286" w:rsidRPr="00045A73">
        <w:rPr>
          <w:shd w:val="clear" w:color="auto" w:fill="FFFFFF"/>
          <w:lang w:val="fr-BE"/>
        </w:rPr>
        <w:t xml:space="preserve">à </w:t>
      </w:r>
      <w:hyperlink r:id="rId12" w:tgtFrame="_blank" w:history="1">
        <w:proofErr w:type="spellStart"/>
        <w:r w:rsidR="000E4856" w:rsidRPr="00045A73">
          <w:rPr>
            <w:rStyle w:val="Lienhypertexte"/>
            <w:color w:val="auto"/>
            <w:u w:val="none"/>
            <w:shd w:val="clear" w:color="auto" w:fill="FFFFFF"/>
            <w:lang w:val="fr-BE"/>
          </w:rPr>
          <w:t>Labanque</w:t>
        </w:r>
        <w:proofErr w:type="spellEnd"/>
      </w:hyperlink>
      <w:r w:rsidR="00D85286" w:rsidRPr="00045A73">
        <w:rPr>
          <w:shd w:val="clear" w:color="auto" w:fill="FFFFFF"/>
          <w:lang w:val="fr-BE"/>
        </w:rPr>
        <w:t xml:space="preserve"> </w:t>
      </w:r>
      <w:r w:rsidR="000E4856" w:rsidRPr="00045A73">
        <w:rPr>
          <w:shd w:val="clear" w:color="auto" w:fill="FFFFFF"/>
          <w:lang w:val="fr-BE"/>
        </w:rPr>
        <w:t>de Béthune</w:t>
      </w:r>
      <w:r w:rsidRPr="00045A73">
        <w:rPr>
          <w:shd w:val="clear" w:color="auto" w:fill="FFFFFF"/>
          <w:lang w:val="fr-BE"/>
        </w:rPr>
        <w:t xml:space="preserve"> en tant que </w:t>
      </w:r>
      <w:r w:rsidR="00562F6F" w:rsidRPr="00045A73">
        <w:rPr>
          <w:shd w:val="clear" w:color="auto" w:fill="FFFFFF"/>
          <w:lang w:val="fr-BE"/>
        </w:rPr>
        <w:t xml:space="preserve">« premier volet d’une trilogie d’expositions intitulée </w:t>
      </w:r>
      <w:r w:rsidR="00E47772" w:rsidRPr="00045A73">
        <w:rPr>
          <w:color w:val="000000"/>
          <w:shd w:val="clear" w:color="auto" w:fill="FFFFFF"/>
          <w:lang w:val="fr-BE"/>
        </w:rPr>
        <w:t>“</w:t>
      </w:r>
      <w:r w:rsidR="00562F6F" w:rsidRPr="00045A73">
        <w:rPr>
          <w:shd w:val="clear" w:color="auto" w:fill="FFFFFF"/>
          <w:lang w:val="fr-BE"/>
        </w:rPr>
        <w:t>La traversée des inquiétudes</w:t>
      </w:r>
      <w:r w:rsidR="00E47772" w:rsidRPr="00045A73">
        <w:rPr>
          <w:color w:val="000000"/>
          <w:shd w:val="clear" w:color="auto" w:fill="FFFFFF"/>
          <w:lang w:val="fr-BE"/>
        </w:rPr>
        <w:t>”</w:t>
      </w:r>
      <w:r w:rsidR="00562F6F" w:rsidRPr="00045A73">
        <w:rPr>
          <w:shd w:val="clear" w:color="auto" w:fill="FFFFFF"/>
          <w:lang w:val="fr-BE"/>
        </w:rPr>
        <w:t xml:space="preserve"> et inspirée par l’œuvre </w:t>
      </w:r>
      <w:r w:rsidR="00BB470F" w:rsidRPr="00045A73">
        <w:rPr>
          <w:shd w:val="clear" w:color="auto" w:fill="FFFFFF"/>
          <w:lang w:val="fr-BE"/>
        </w:rPr>
        <w:t>de</w:t>
      </w:r>
      <w:r w:rsidR="00562F6F" w:rsidRPr="00045A73">
        <w:rPr>
          <w:shd w:val="clear" w:color="auto" w:fill="FFFFFF"/>
          <w:lang w:val="fr-BE"/>
        </w:rPr>
        <w:t xml:space="preserve"> Georges Bataille. Sculptures, vidéos, photographies et installations explorent la notion de </w:t>
      </w:r>
      <w:r w:rsidR="00E47772" w:rsidRPr="00045A73">
        <w:rPr>
          <w:color w:val="000000"/>
          <w:shd w:val="clear" w:color="auto" w:fill="FFFFFF"/>
          <w:lang w:val="fr-BE"/>
        </w:rPr>
        <w:t>“</w:t>
      </w:r>
      <w:r w:rsidR="00562F6F" w:rsidRPr="00045A73">
        <w:rPr>
          <w:shd w:val="clear" w:color="auto" w:fill="FFFFFF"/>
          <w:lang w:val="fr-BE"/>
        </w:rPr>
        <w:t>dépense</w:t>
      </w:r>
      <w:r w:rsidR="00E47772" w:rsidRPr="00045A73">
        <w:rPr>
          <w:color w:val="000000"/>
          <w:shd w:val="clear" w:color="auto" w:fill="FFFFFF"/>
          <w:lang w:val="fr-BE"/>
        </w:rPr>
        <w:t>”</w:t>
      </w:r>
      <w:r w:rsidR="00562F6F" w:rsidRPr="00045A73">
        <w:rPr>
          <w:shd w:val="clear" w:color="auto" w:fill="FFFFFF"/>
          <w:lang w:val="fr-BE"/>
        </w:rPr>
        <w:t xml:space="preserve"> à la suite de l’ouvrage économique </w:t>
      </w:r>
      <w:r w:rsidR="00562F6F" w:rsidRPr="00045A73">
        <w:rPr>
          <w:i/>
          <w:iCs/>
          <w:shd w:val="clear" w:color="auto" w:fill="FFFFFF"/>
          <w:lang w:val="fr-BE"/>
        </w:rPr>
        <w:t>La Part maudite</w:t>
      </w:r>
      <w:r w:rsidR="00562F6F" w:rsidRPr="00045A73">
        <w:rPr>
          <w:shd w:val="clear" w:color="auto" w:fill="FFFFFF"/>
          <w:lang w:val="fr-BE"/>
        </w:rPr>
        <w:t xml:space="preserve"> publié par l’écrivain en 1949</w:t>
      </w:r>
      <w:r w:rsidR="00D46CD3" w:rsidRPr="772DE573">
        <w:rPr>
          <w:rStyle w:val="Appelnotedebasdep"/>
          <w:shd w:val="clear" w:color="auto" w:fill="FFFFFF"/>
          <w:lang w:val="fr-BE"/>
        </w:rPr>
        <w:footnoteReference w:id="15"/>
      </w:r>
      <w:r w:rsidR="7387BCA1" w:rsidRPr="7387BCA1">
        <w:rPr>
          <w:lang w:val="fr-BE"/>
        </w:rPr>
        <w:t> »</w:t>
      </w:r>
      <w:r w:rsidR="00562F6F" w:rsidRPr="00045A73">
        <w:rPr>
          <w:shd w:val="clear" w:color="auto" w:fill="FFFFFF"/>
          <w:lang w:val="fr-BE"/>
        </w:rPr>
        <w:t>.</w:t>
      </w:r>
      <w:r w:rsidR="00C83500" w:rsidRPr="00045A73">
        <w:rPr>
          <w:shd w:val="clear" w:color="auto" w:fill="FFFFFF"/>
          <w:lang w:val="fr-BE"/>
        </w:rPr>
        <w:t xml:space="preserve"> Et de préciser </w:t>
      </w:r>
      <w:r w:rsidR="00101005" w:rsidRPr="00045A73">
        <w:rPr>
          <w:shd w:val="clear" w:color="auto" w:fill="FFFFFF"/>
          <w:lang w:val="fr-BE"/>
        </w:rPr>
        <w:t xml:space="preserve">la relation de certaines propositions avec la pensée de l’auteur en les présentant comme des </w:t>
      </w:r>
      <w:r w:rsidR="00F045E7" w:rsidRPr="00045A73">
        <w:rPr>
          <w:shd w:val="clear" w:color="auto" w:fill="FFFFFF"/>
          <w:lang w:val="fr-BE"/>
        </w:rPr>
        <w:t xml:space="preserve">« symbolisations » ou des </w:t>
      </w:r>
      <w:r w:rsidR="00101005" w:rsidRPr="00045A73">
        <w:rPr>
          <w:shd w:val="clear" w:color="auto" w:fill="FFFFFF"/>
          <w:lang w:val="fr-BE"/>
        </w:rPr>
        <w:t xml:space="preserve">« illustrations » plastiques </w:t>
      </w:r>
      <w:r w:rsidRPr="00045A73">
        <w:rPr>
          <w:shd w:val="clear" w:color="auto" w:fill="FFFFFF"/>
          <w:lang w:val="fr-BE"/>
        </w:rPr>
        <w:t>de certaines notions</w:t>
      </w:r>
      <w:r w:rsidR="00BB470F" w:rsidRPr="00045A73">
        <w:rPr>
          <w:shd w:val="clear" w:color="auto" w:fill="FFFFFF"/>
          <w:lang w:val="fr-BE"/>
        </w:rPr>
        <w:t xml:space="preserve"> philosophiques à l’œuvre dans le livre de l’écrivain mis au centre de cette exposition due à la commissaire Léa Bismuth</w:t>
      </w:r>
      <w:r w:rsidR="00101005" w:rsidRPr="00045A73">
        <w:rPr>
          <w:shd w:val="clear" w:color="auto" w:fill="FFFFFF"/>
          <w:lang w:val="fr-BE"/>
        </w:rPr>
        <w:t> :</w:t>
      </w:r>
    </w:p>
    <w:p w14:paraId="2BED94E6" w14:textId="7865F2D3" w:rsidR="00AB10A0" w:rsidRPr="00DA3A6F" w:rsidRDefault="00AB10A0" w:rsidP="772DE573">
      <w:pPr>
        <w:ind w:left="709"/>
        <w:jc w:val="both"/>
        <w:rPr>
          <w:shd w:val="clear" w:color="auto" w:fill="FFFFFF"/>
          <w:lang w:val="fr-BE"/>
        </w:rPr>
      </w:pPr>
      <w:r w:rsidRPr="00045A73">
        <w:rPr>
          <w:shd w:val="clear" w:color="auto" w:fill="FFFFFF"/>
          <w:lang w:val="fr-BE"/>
        </w:rPr>
        <w:t xml:space="preserve">Dans le riche appartement du premier étage, ce que Georges Bataille nomme le « potlatch », à savoir un don total, qui serait guidé par un principe de dépense inconditionnelle et de perte intégrale, est mis en scène à travers des œuvres symbolisant cette </w:t>
      </w:r>
      <w:r w:rsidRPr="00DA3A6F">
        <w:rPr>
          <w:shd w:val="clear" w:color="auto" w:fill="FFFFFF"/>
          <w:lang w:val="fr-BE"/>
        </w:rPr>
        <w:t>dilapidation, cette largesse sans mesure.</w:t>
      </w:r>
    </w:p>
    <w:p w14:paraId="4E79E3A6" w14:textId="3BCF4D60" w:rsidR="00AB10A0" w:rsidRPr="00045A73" w:rsidRDefault="00AB10A0" w:rsidP="7387BCA1">
      <w:pPr>
        <w:spacing w:after="120"/>
        <w:ind w:left="709"/>
        <w:jc w:val="both"/>
        <w:rPr>
          <w:rStyle w:val="Appelnotedebasdep"/>
          <w:sz w:val="22"/>
          <w:szCs w:val="22"/>
          <w:shd w:val="clear" w:color="auto" w:fill="FFFFFF"/>
          <w:lang w:val="fr-BE"/>
        </w:rPr>
      </w:pPr>
      <w:r w:rsidRPr="00DA3A6F">
        <w:rPr>
          <w:shd w:val="clear" w:color="auto" w:fill="FFFFFF"/>
          <w:lang w:val="fr-BE"/>
        </w:rPr>
        <w:t xml:space="preserve">Les œuvres exposées au deuxième étage mettent un terme au parcours avec la section « Rituel ». La vidéo de Rebbecca Digne intitulée </w:t>
      </w:r>
      <w:r w:rsidRPr="00DA3A6F">
        <w:rPr>
          <w:i/>
          <w:iCs/>
          <w:shd w:val="clear" w:color="auto" w:fill="FFFFFF"/>
          <w:lang w:val="fr-BE"/>
        </w:rPr>
        <w:t xml:space="preserve">Sel </w:t>
      </w:r>
      <w:r w:rsidRPr="00DA3A6F">
        <w:rPr>
          <w:shd w:val="clear" w:color="auto" w:fill="FFFFFF"/>
          <w:lang w:val="fr-BE"/>
        </w:rPr>
        <w:t xml:space="preserve">ou encore la photographie d’Anne-Lise Broyer, </w:t>
      </w:r>
      <w:r w:rsidRPr="00DA3A6F">
        <w:rPr>
          <w:i/>
          <w:iCs/>
          <w:shd w:val="clear" w:color="auto" w:fill="FFFFFF"/>
          <w:lang w:val="fr-BE"/>
        </w:rPr>
        <w:t>Madrid, Plaza de toro</w:t>
      </w:r>
      <w:r w:rsidRPr="00DA3A6F">
        <w:rPr>
          <w:shd w:val="clear" w:color="auto" w:fill="FFFFFF"/>
          <w:lang w:val="fr-BE"/>
        </w:rPr>
        <w:t>, sur laquelle une large trace de sang s’étale sur un sol gris jusqu’à une lourde porte de garage close, illustrent une vision de la philosophie de Georges Bataille</w:t>
      </w:r>
      <w:r w:rsidR="007E1436" w:rsidRPr="00DA3A6F">
        <w:rPr>
          <w:rStyle w:val="Appelnotedebasdep"/>
          <w:shd w:val="clear" w:color="auto" w:fill="FFFFFF"/>
          <w:lang w:val="fr-BE"/>
        </w:rPr>
        <w:footnoteReference w:id="16"/>
      </w:r>
      <w:r w:rsidR="7387BCA1" w:rsidRPr="00DA3A6F">
        <w:rPr>
          <w:lang w:val="fr-BE"/>
        </w:rPr>
        <w:t>.</w:t>
      </w:r>
    </w:p>
    <w:p w14:paraId="0D4C6E63" w14:textId="05112ED1" w:rsidR="000E4856" w:rsidRPr="00045A73" w:rsidRDefault="00D85286" w:rsidP="00045A73">
      <w:pPr>
        <w:pStyle w:val="alinea"/>
        <w:shd w:val="clear" w:color="auto" w:fill="FFFFFF" w:themeFill="background1"/>
        <w:spacing w:before="0" w:beforeAutospacing="0" w:after="120" w:afterAutospacing="0" w:line="360" w:lineRule="auto"/>
        <w:jc w:val="both"/>
        <w:rPr>
          <w:color w:val="000000"/>
          <w:lang w:val="fr-BE"/>
        </w:rPr>
      </w:pPr>
      <w:r w:rsidRPr="00045A73">
        <w:rPr>
          <w:lang w:val="fr-BE"/>
        </w:rPr>
        <w:t xml:space="preserve">Un principe </w:t>
      </w:r>
      <w:r w:rsidR="00FD60F5" w:rsidRPr="00045A73">
        <w:rPr>
          <w:lang w:val="fr-BE"/>
        </w:rPr>
        <w:t>de relations analogue sous-tend également</w:t>
      </w:r>
      <w:r w:rsidR="002D6553" w:rsidRPr="00045A73">
        <w:rPr>
          <w:lang w:val="fr-BE"/>
        </w:rPr>
        <w:t xml:space="preserve"> </w:t>
      </w:r>
      <w:r w:rsidR="000E4856" w:rsidRPr="00045A73">
        <w:rPr>
          <w:lang w:val="fr-BE"/>
        </w:rPr>
        <w:t>une exposition présentée en 2019 au M HKA, le musée d’art contemporain d’Anvers</w:t>
      </w:r>
      <w:r w:rsidR="00FD60F5" w:rsidRPr="00045A73">
        <w:rPr>
          <w:lang w:val="fr-BE"/>
        </w:rPr>
        <w:t xml:space="preserve">. </w:t>
      </w:r>
      <w:r w:rsidR="002B575A" w:rsidRPr="00045A73">
        <w:rPr>
          <w:lang w:val="fr-BE"/>
        </w:rPr>
        <w:t xml:space="preserve">L’exposition </w:t>
      </w:r>
      <w:r w:rsidR="00736687" w:rsidRPr="00045A73">
        <w:rPr>
          <w:lang w:val="fr-BE"/>
        </w:rPr>
        <w:t>était</w:t>
      </w:r>
      <w:r w:rsidR="002B575A" w:rsidRPr="00045A73">
        <w:rPr>
          <w:lang w:val="fr-BE"/>
        </w:rPr>
        <w:t xml:space="preserve"> e</w:t>
      </w:r>
      <w:r w:rsidR="000E4856" w:rsidRPr="00045A73">
        <w:rPr>
          <w:lang w:val="fr-BE"/>
        </w:rPr>
        <w:t xml:space="preserve">ntièrement rapportée au premier roman </w:t>
      </w:r>
      <w:r w:rsidR="00FD60F5" w:rsidRPr="00045A73">
        <w:rPr>
          <w:lang w:val="fr-BE"/>
        </w:rPr>
        <w:t xml:space="preserve">de </w:t>
      </w:r>
      <w:r w:rsidR="000E4856" w:rsidRPr="00045A73">
        <w:rPr>
          <w:lang w:val="fr-BE"/>
        </w:rPr>
        <w:t>Roberto Bolaño</w:t>
      </w:r>
      <w:r w:rsidR="000E4856" w:rsidRPr="772DE573">
        <w:rPr>
          <w:rStyle w:val="Appelnotedebasdep"/>
          <w:lang w:val="fr-BE"/>
        </w:rPr>
        <w:footnoteReference w:id="17"/>
      </w:r>
      <w:r w:rsidR="00FD60F5" w:rsidRPr="00045A73">
        <w:rPr>
          <w:lang w:val="fr-BE"/>
        </w:rPr>
        <w:t>,</w:t>
      </w:r>
      <w:r w:rsidR="000E4856" w:rsidRPr="00045A73">
        <w:rPr>
          <w:lang w:val="fr-BE"/>
        </w:rPr>
        <w:t xml:space="preserve"> </w:t>
      </w:r>
      <w:r w:rsidR="000E4856" w:rsidRPr="00045A73">
        <w:rPr>
          <w:color w:val="000000"/>
          <w:lang w:val="fr-BE"/>
        </w:rPr>
        <w:t>achevé en 1980, mais seulement publié une vingtaine d’années plus tard. Intitulée </w:t>
      </w:r>
      <w:proofErr w:type="spellStart"/>
      <w:r w:rsidR="000E4856" w:rsidRPr="00045A73">
        <w:rPr>
          <w:rStyle w:val="Accentuation"/>
          <w:color w:val="000000"/>
          <w:lang w:val="fr-BE"/>
        </w:rPr>
        <w:t>Amberes</w:t>
      </w:r>
      <w:proofErr w:type="spellEnd"/>
      <w:r w:rsidR="000E4856" w:rsidRPr="00045A73">
        <w:rPr>
          <w:rStyle w:val="Accentuation"/>
          <w:color w:val="000000"/>
          <w:lang w:val="fr-BE"/>
        </w:rPr>
        <w:t>. L’Anvers de Roberto Bolaño</w:t>
      </w:r>
      <w:r w:rsidR="000E4856" w:rsidRPr="00045A73">
        <w:rPr>
          <w:color w:val="000000"/>
          <w:lang w:val="fr-BE"/>
        </w:rPr>
        <w:t xml:space="preserve">, cette exposition </w:t>
      </w:r>
      <w:proofErr w:type="spellStart"/>
      <w:r w:rsidR="007E1436" w:rsidRPr="00045A73">
        <w:rPr>
          <w:color w:val="000000"/>
          <w:lang w:val="fr-BE"/>
        </w:rPr>
        <w:t>curatée</w:t>
      </w:r>
      <w:proofErr w:type="spellEnd"/>
      <w:r w:rsidR="007E1436" w:rsidRPr="00045A73">
        <w:rPr>
          <w:color w:val="000000"/>
          <w:lang w:val="fr-BE"/>
        </w:rPr>
        <w:t xml:space="preserve"> par</w:t>
      </w:r>
      <w:r w:rsidR="000E4856" w:rsidRPr="00045A73">
        <w:rPr>
          <w:color w:val="000000"/>
          <w:lang w:val="fr-BE"/>
        </w:rPr>
        <w:t xml:space="preserve"> Nav Haq a réuni des œuvres relevant d’une grande variété de médiums (livres, dessins, peintures, sculptures, photographies, vidéos, installations…) et dues à des créateurs et créatrices (33 au total) aussi </w:t>
      </w:r>
      <w:proofErr w:type="spellStart"/>
      <w:r w:rsidR="000E4856" w:rsidRPr="00045A73">
        <w:rPr>
          <w:color w:val="000000"/>
          <w:lang w:val="fr-BE"/>
        </w:rPr>
        <w:t>différent</w:t>
      </w:r>
      <w:r w:rsidR="7387BCA1" w:rsidRPr="00045A73">
        <w:rPr>
          <w:color w:val="000000" w:themeColor="text1"/>
          <w:lang w:val="fr-BE"/>
        </w:rPr>
        <w:t>·</w:t>
      </w:r>
      <w:r w:rsidR="000E4856" w:rsidRPr="00045A73">
        <w:rPr>
          <w:color w:val="000000"/>
          <w:lang w:val="fr-BE"/>
        </w:rPr>
        <w:t>e</w:t>
      </w:r>
      <w:r w:rsidR="7387BCA1" w:rsidRPr="00045A73">
        <w:rPr>
          <w:color w:val="000000" w:themeColor="text1"/>
          <w:lang w:val="fr-BE"/>
        </w:rPr>
        <w:t>·</w:t>
      </w:r>
      <w:r w:rsidR="000E4856" w:rsidRPr="00045A73">
        <w:rPr>
          <w:color w:val="000000"/>
          <w:lang w:val="fr-BE"/>
        </w:rPr>
        <w:t>s</w:t>
      </w:r>
      <w:proofErr w:type="spellEnd"/>
      <w:r w:rsidR="000E4856" w:rsidRPr="00045A73">
        <w:rPr>
          <w:color w:val="000000"/>
          <w:lang w:val="fr-BE"/>
        </w:rPr>
        <w:t xml:space="preserve"> que</w:t>
      </w:r>
      <w:r w:rsidR="00E91917" w:rsidRPr="00045A73">
        <w:rPr>
          <w:lang w:val="fr-BE"/>
        </w:rPr>
        <w:t xml:space="preserve"> </w:t>
      </w:r>
      <w:r w:rsidR="000E4856" w:rsidRPr="00045A73">
        <w:rPr>
          <w:color w:val="000000"/>
          <w:lang w:val="fr-BE"/>
        </w:rPr>
        <w:t>Luc Tuymans, Allan Sekula, Anne-Mie Van Kerckhoven, Alain Robbe-Grillet, Sophie Podolski ou Nicolás Uriburu</w:t>
      </w:r>
      <w:r w:rsidR="0039257B" w:rsidRPr="00045A73">
        <w:rPr>
          <w:color w:val="000000"/>
          <w:lang w:val="fr-BE"/>
        </w:rPr>
        <w:t xml:space="preserve">, </w:t>
      </w:r>
      <w:r w:rsidR="000E4856" w:rsidRPr="00045A73">
        <w:rPr>
          <w:color w:val="000000"/>
          <w:lang w:val="fr-BE"/>
        </w:rPr>
        <w:t xml:space="preserve">soit un ensemble d’artistes, </w:t>
      </w:r>
      <w:proofErr w:type="spellStart"/>
      <w:r w:rsidR="000E4856" w:rsidRPr="00045A73">
        <w:rPr>
          <w:color w:val="000000"/>
          <w:lang w:val="fr-BE"/>
        </w:rPr>
        <w:t>flamand·e·s</w:t>
      </w:r>
      <w:proofErr w:type="spellEnd"/>
      <w:r w:rsidR="000E4856" w:rsidRPr="00045A73">
        <w:rPr>
          <w:color w:val="000000"/>
          <w:lang w:val="fr-BE"/>
        </w:rPr>
        <w:t xml:space="preserve"> et </w:t>
      </w:r>
      <w:proofErr w:type="spellStart"/>
      <w:r w:rsidR="000E4856" w:rsidRPr="00045A73">
        <w:rPr>
          <w:color w:val="000000"/>
          <w:lang w:val="fr-BE"/>
        </w:rPr>
        <w:t>étranger·e·s</w:t>
      </w:r>
      <w:proofErr w:type="spellEnd"/>
      <w:r w:rsidR="000E4856" w:rsidRPr="00045A73">
        <w:rPr>
          <w:color w:val="000000"/>
          <w:lang w:val="fr-BE"/>
        </w:rPr>
        <w:t xml:space="preserve">, dont les créations s’étendent des années 1960 à nos jours. </w:t>
      </w:r>
      <w:r w:rsidR="00161256" w:rsidRPr="00045A73">
        <w:rPr>
          <w:color w:val="000000"/>
          <w:lang w:val="fr-BE"/>
        </w:rPr>
        <w:t>L</w:t>
      </w:r>
      <w:r w:rsidR="000E4856" w:rsidRPr="00045A73">
        <w:rPr>
          <w:color w:val="000000"/>
          <w:lang w:val="fr-BE"/>
        </w:rPr>
        <w:t>e catalogue de l’exposition comme</w:t>
      </w:r>
      <w:r w:rsidR="00161256" w:rsidRPr="00045A73">
        <w:rPr>
          <w:color w:val="000000"/>
          <w:lang w:val="fr-BE"/>
        </w:rPr>
        <w:t xml:space="preserve"> </w:t>
      </w:r>
      <w:r w:rsidR="000E4856" w:rsidRPr="00045A73">
        <w:rPr>
          <w:color w:val="000000"/>
          <w:lang w:val="fr-BE"/>
        </w:rPr>
        <w:t xml:space="preserve">le texte de présentation qui accueillait le visiteur, </w:t>
      </w:r>
      <w:r w:rsidR="000E4856" w:rsidRPr="00045A73">
        <w:rPr>
          <w:color w:val="000000"/>
          <w:lang w:val="fr-BE"/>
        </w:rPr>
        <w:lastRenderedPageBreak/>
        <w:t>explicit</w:t>
      </w:r>
      <w:r w:rsidR="00161256" w:rsidRPr="00045A73">
        <w:rPr>
          <w:color w:val="000000"/>
          <w:lang w:val="fr-BE"/>
        </w:rPr>
        <w:t>aient</w:t>
      </w:r>
      <w:r w:rsidR="000E4856" w:rsidRPr="00045A73">
        <w:rPr>
          <w:color w:val="000000"/>
          <w:lang w:val="fr-BE"/>
        </w:rPr>
        <w:t xml:space="preserve"> la relation entre </w:t>
      </w:r>
      <w:r w:rsidR="00EE4C0B" w:rsidRPr="00045A73">
        <w:rPr>
          <w:color w:val="000000"/>
          <w:lang w:val="fr-BE"/>
        </w:rPr>
        <w:t>l</w:t>
      </w:r>
      <w:r w:rsidR="000E4856" w:rsidRPr="00045A73">
        <w:rPr>
          <w:color w:val="000000"/>
          <w:lang w:val="fr-BE"/>
        </w:rPr>
        <w:t>a proposition – qui peut à tout le moins désarçonner</w:t>
      </w:r>
      <w:r w:rsidR="00FD0169" w:rsidRPr="00045A73">
        <w:rPr>
          <w:color w:val="000000"/>
          <w:lang w:val="fr-BE"/>
        </w:rPr>
        <w:t xml:space="preserve"> (ça part vraiment dans tous les sens…)</w:t>
      </w:r>
      <w:r w:rsidR="000E4856" w:rsidRPr="00045A73">
        <w:rPr>
          <w:color w:val="000000"/>
          <w:lang w:val="fr-BE"/>
        </w:rPr>
        <w:t xml:space="preserve"> – et ce roman complexe de l’écrivain chilien :</w:t>
      </w:r>
    </w:p>
    <w:p w14:paraId="4833965E" w14:textId="7F3DB135" w:rsidR="000E4856" w:rsidRPr="00045A73" w:rsidRDefault="000E4856" w:rsidP="7387BCA1">
      <w:pPr>
        <w:pStyle w:val="alinea"/>
        <w:shd w:val="clear" w:color="auto" w:fill="FFFFFF" w:themeFill="background1"/>
        <w:spacing w:before="0" w:beforeAutospacing="0" w:after="120" w:afterAutospacing="0"/>
        <w:ind w:left="709"/>
        <w:jc w:val="both"/>
        <w:rPr>
          <w:rStyle w:val="Appelnotedebasdep"/>
          <w:color w:val="000000"/>
          <w:lang w:val="en-US"/>
        </w:rPr>
      </w:pPr>
      <w:r w:rsidRPr="00045A73">
        <w:rPr>
          <w:color w:val="000000"/>
          <w:sz w:val="22"/>
          <w:szCs w:val="22"/>
          <w:lang w:val="en-US"/>
        </w:rPr>
        <w:t>It is these themes [« crimes and corruption, sexual violence, relative truth, memory and erasure, marginality and urbanism »], character archetypes [« detectives, victims, artists, alter-egos, hunchbacks and vagabonds »], and the experimental structure of </w:t>
      </w:r>
      <w:proofErr w:type="spellStart"/>
      <w:r w:rsidRPr="00045A73">
        <w:rPr>
          <w:rStyle w:val="Accentuation"/>
          <w:color w:val="000000"/>
          <w:sz w:val="22"/>
          <w:szCs w:val="22"/>
          <w:lang w:val="en-US"/>
        </w:rPr>
        <w:t>Amberes</w:t>
      </w:r>
      <w:proofErr w:type="spellEnd"/>
      <w:r w:rsidRPr="00045A73">
        <w:rPr>
          <w:color w:val="000000"/>
          <w:sz w:val="22"/>
          <w:szCs w:val="22"/>
          <w:lang w:val="en-US"/>
        </w:rPr>
        <w:t> that we take our inspiration from </w:t>
      </w:r>
      <w:r w:rsidRPr="00045A73">
        <w:rPr>
          <w:rStyle w:val="Accentuation"/>
          <w:color w:val="000000"/>
          <w:sz w:val="22"/>
          <w:szCs w:val="22"/>
          <w:lang w:val="en-US"/>
        </w:rPr>
        <w:t>as modes of reflection in this group exhibition</w:t>
      </w:r>
      <w:r w:rsidRPr="00045A73">
        <w:rPr>
          <w:color w:val="000000"/>
          <w:sz w:val="22"/>
          <w:szCs w:val="22"/>
          <w:lang w:val="en-US"/>
        </w:rPr>
        <w:t>, which we also called </w:t>
      </w:r>
      <w:proofErr w:type="spellStart"/>
      <w:r w:rsidRPr="00045A73">
        <w:rPr>
          <w:rStyle w:val="Accentuation"/>
          <w:color w:val="000000"/>
          <w:sz w:val="22"/>
          <w:szCs w:val="22"/>
          <w:lang w:val="en-US"/>
        </w:rPr>
        <w:t>Amberes</w:t>
      </w:r>
      <w:proofErr w:type="spellEnd"/>
      <w:r w:rsidRPr="00045A73">
        <w:rPr>
          <w:color w:val="000000"/>
          <w:sz w:val="22"/>
          <w:szCs w:val="22"/>
          <w:lang w:val="en-US"/>
        </w:rPr>
        <w:t> — adopting the book’s title in its original Spanish</w:t>
      </w:r>
      <w:r w:rsidRPr="772DE573">
        <w:rPr>
          <w:rStyle w:val="Appelnotedebasdep"/>
          <w:color w:val="000000"/>
          <w:sz w:val="22"/>
          <w:szCs w:val="22"/>
          <w:lang w:val="en-US"/>
        </w:rPr>
        <w:footnoteReference w:id="18"/>
      </w:r>
      <w:r w:rsidR="7387BCA1" w:rsidRPr="7387BCA1">
        <w:rPr>
          <w:color w:val="000000" w:themeColor="text1"/>
          <w:sz w:val="22"/>
          <w:szCs w:val="22"/>
          <w:lang w:val="en-US"/>
        </w:rPr>
        <w:t>.</w:t>
      </w:r>
    </w:p>
    <w:p w14:paraId="6D1520B3" w14:textId="1CB458E2" w:rsidR="00ED324D" w:rsidRDefault="00ED324D" w:rsidP="772DE573">
      <w:pPr>
        <w:spacing w:after="120" w:line="360" w:lineRule="auto"/>
        <w:jc w:val="center"/>
        <w:rPr>
          <w:lang w:val="fr-BE"/>
        </w:rPr>
      </w:pPr>
      <w:r>
        <w:rPr>
          <w:noProof/>
        </w:rPr>
        <w:drawing>
          <wp:inline distT="0" distB="0" distL="0" distR="0" wp14:anchorId="7B81F918" wp14:editId="3E9F7409">
            <wp:extent cx="4827660" cy="2578410"/>
            <wp:effectExtent l="0" t="0" r="0" b="0"/>
            <wp:docPr id="5" name="Image 5" descr="Une image contenant intérieur, galerie, mur, Galerie d’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4553" cy="2582091"/>
                    </a:xfrm>
                    <a:prstGeom prst="rect">
                      <a:avLst/>
                    </a:prstGeom>
                  </pic:spPr>
                </pic:pic>
              </a:graphicData>
            </a:graphic>
          </wp:inline>
        </w:drawing>
      </w:r>
    </w:p>
    <w:p w14:paraId="585BB201" w14:textId="77777777" w:rsidR="00755447" w:rsidRDefault="00755447" w:rsidP="00755447">
      <w:pPr>
        <w:shd w:val="clear" w:color="auto" w:fill="FFFFFF"/>
        <w:jc w:val="center"/>
        <w:rPr>
          <w:color w:val="111111"/>
          <w:sz w:val="20"/>
          <w:szCs w:val="20"/>
          <w:lang w:val="fr-BE"/>
        </w:rPr>
      </w:pPr>
      <w:r w:rsidRPr="00755447">
        <w:rPr>
          <w:color w:val="111111"/>
          <w:sz w:val="20"/>
          <w:szCs w:val="20"/>
          <w:lang w:val="fr-BE"/>
        </w:rPr>
        <w:t>Photographie prise lors de l’exposition </w:t>
      </w:r>
      <w:proofErr w:type="spellStart"/>
      <w:r w:rsidRPr="00755447">
        <w:rPr>
          <w:rStyle w:val="Accentuation"/>
          <w:color w:val="111111"/>
          <w:sz w:val="20"/>
          <w:szCs w:val="20"/>
          <w:lang w:val="fr-BE"/>
        </w:rPr>
        <w:t>Amberes</w:t>
      </w:r>
      <w:proofErr w:type="spellEnd"/>
      <w:r w:rsidRPr="00755447">
        <w:rPr>
          <w:color w:val="111111"/>
          <w:sz w:val="20"/>
          <w:szCs w:val="20"/>
          <w:lang w:val="fr-BE"/>
        </w:rPr>
        <w:t xml:space="preserve"> au M HKA </w:t>
      </w:r>
    </w:p>
    <w:p w14:paraId="50C8C6F9" w14:textId="77777777" w:rsidR="00755447" w:rsidRDefault="00755447" w:rsidP="00755447">
      <w:pPr>
        <w:shd w:val="clear" w:color="auto" w:fill="FFFFFF"/>
        <w:jc w:val="center"/>
        <w:rPr>
          <w:color w:val="111111"/>
          <w:sz w:val="20"/>
          <w:szCs w:val="20"/>
        </w:rPr>
      </w:pPr>
      <w:r w:rsidRPr="00755447">
        <w:rPr>
          <w:color w:val="111111"/>
          <w:sz w:val="20"/>
          <w:szCs w:val="20"/>
          <w:lang w:val="fr-BE"/>
        </w:rPr>
        <w:t>(7 juin – 15 septembre 2019)</w:t>
      </w:r>
      <w:r>
        <w:rPr>
          <w:color w:val="111111"/>
          <w:sz w:val="20"/>
          <w:szCs w:val="20"/>
          <w:lang w:val="fr-BE"/>
        </w:rPr>
        <w:t xml:space="preserve"> </w:t>
      </w:r>
      <w:r w:rsidRPr="00755447">
        <w:rPr>
          <w:color w:val="111111"/>
          <w:sz w:val="20"/>
          <w:szCs w:val="20"/>
        </w:rPr>
        <w:t>©M HKA</w:t>
      </w:r>
    </w:p>
    <w:p w14:paraId="7389BC38" w14:textId="77777777" w:rsidR="00DA3A6F" w:rsidRPr="00755447" w:rsidRDefault="00DA3A6F" w:rsidP="00755447">
      <w:pPr>
        <w:shd w:val="clear" w:color="auto" w:fill="FFFFFF"/>
        <w:jc w:val="center"/>
        <w:rPr>
          <w:color w:val="111111"/>
          <w:sz w:val="20"/>
          <w:szCs w:val="20"/>
          <w:lang w:val="fr-BE"/>
        </w:rPr>
      </w:pPr>
    </w:p>
    <w:p w14:paraId="4DC29A10" w14:textId="2675D9A6" w:rsidR="00ED324D" w:rsidRDefault="00ED324D" w:rsidP="772DE573">
      <w:pPr>
        <w:spacing w:after="120" w:line="360" w:lineRule="auto"/>
        <w:jc w:val="center"/>
        <w:rPr>
          <w:lang w:val="fr-BE"/>
        </w:rPr>
      </w:pPr>
      <w:r>
        <w:rPr>
          <w:noProof/>
        </w:rPr>
        <w:drawing>
          <wp:inline distT="0" distB="0" distL="0" distR="0" wp14:anchorId="0106781B" wp14:editId="34BC80A1">
            <wp:extent cx="4797083" cy="3200815"/>
            <wp:effectExtent l="0" t="0" r="3810" b="0"/>
            <wp:docPr id="6" name="Image 6" descr="Une image contenant mur, intérieur, cadre photo,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2900" cy="3204697"/>
                    </a:xfrm>
                    <a:prstGeom prst="rect">
                      <a:avLst/>
                    </a:prstGeom>
                  </pic:spPr>
                </pic:pic>
              </a:graphicData>
            </a:graphic>
          </wp:inline>
        </w:drawing>
      </w:r>
    </w:p>
    <w:p w14:paraId="5A657C7A" w14:textId="77777777" w:rsidR="00755447" w:rsidRDefault="00755447" w:rsidP="00755447">
      <w:pPr>
        <w:shd w:val="clear" w:color="auto" w:fill="FFFFFF"/>
        <w:jc w:val="center"/>
        <w:rPr>
          <w:color w:val="111111"/>
          <w:sz w:val="20"/>
          <w:szCs w:val="20"/>
          <w:lang w:val="fr-BE"/>
        </w:rPr>
      </w:pPr>
      <w:r w:rsidRPr="00755447">
        <w:rPr>
          <w:color w:val="111111"/>
          <w:sz w:val="20"/>
          <w:szCs w:val="20"/>
          <w:lang w:val="fr-BE"/>
        </w:rPr>
        <w:t>Photographie prise lors de l’exposition </w:t>
      </w:r>
      <w:proofErr w:type="spellStart"/>
      <w:r w:rsidRPr="00755447">
        <w:rPr>
          <w:rStyle w:val="Accentuation"/>
          <w:color w:val="111111"/>
          <w:sz w:val="20"/>
          <w:szCs w:val="20"/>
          <w:lang w:val="fr-BE"/>
        </w:rPr>
        <w:t>Amberes</w:t>
      </w:r>
      <w:proofErr w:type="spellEnd"/>
      <w:r w:rsidRPr="00755447">
        <w:rPr>
          <w:color w:val="111111"/>
          <w:sz w:val="20"/>
          <w:szCs w:val="20"/>
          <w:lang w:val="fr-BE"/>
        </w:rPr>
        <w:t xml:space="preserve"> au M HKA </w:t>
      </w:r>
    </w:p>
    <w:p w14:paraId="15DA22A4" w14:textId="77D4ADFE" w:rsidR="00755447" w:rsidRPr="00DA3A6F" w:rsidRDefault="00755447" w:rsidP="00DA3A6F">
      <w:pPr>
        <w:shd w:val="clear" w:color="auto" w:fill="FFFFFF"/>
        <w:jc w:val="center"/>
        <w:rPr>
          <w:color w:val="111111"/>
          <w:sz w:val="20"/>
          <w:szCs w:val="20"/>
          <w:lang w:val="fr-BE"/>
        </w:rPr>
      </w:pPr>
      <w:r w:rsidRPr="00755447">
        <w:rPr>
          <w:color w:val="111111"/>
          <w:sz w:val="20"/>
          <w:szCs w:val="20"/>
          <w:lang w:val="fr-BE"/>
        </w:rPr>
        <w:t>(7 juin – 15 septembre 2019)</w:t>
      </w:r>
      <w:r>
        <w:rPr>
          <w:color w:val="111111"/>
          <w:sz w:val="20"/>
          <w:szCs w:val="20"/>
          <w:lang w:val="fr-BE"/>
        </w:rPr>
        <w:t xml:space="preserve"> </w:t>
      </w:r>
      <w:r w:rsidRPr="00DA3A6F">
        <w:rPr>
          <w:color w:val="111111"/>
          <w:sz w:val="20"/>
          <w:szCs w:val="20"/>
          <w:lang w:val="fr-BE"/>
        </w:rPr>
        <w:t>©M HKA</w:t>
      </w:r>
    </w:p>
    <w:p w14:paraId="0B00D7BD" w14:textId="00DC1339" w:rsidR="000E4856" w:rsidRPr="009427B8" w:rsidRDefault="000E0780" w:rsidP="009427B8">
      <w:pPr>
        <w:spacing w:after="120" w:line="360" w:lineRule="auto"/>
        <w:jc w:val="both"/>
        <w:rPr>
          <w:lang w:val="fr-BE"/>
        </w:rPr>
      </w:pPr>
      <w:r w:rsidRPr="009427B8">
        <w:rPr>
          <w:lang w:val="fr-BE"/>
        </w:rPr>
        <w:lastRenderedPageBreak/>
        <w:t>Cette mise</w:t>
      </w:r>
      <w:r w:rsidR="000E4856" w:rsidRPr="009427B8">
        <w:rPr>
          <w:lang w:val="fr-BE"/>
        </w:rPr>
        <w:t xml:space="preserve"> en exergue de références littéraires par le discours d’escorte </w:t>
      </w:r>
      <w:r w:rsidR="0059083D" w:rsidRPr="009427B8">
        <w:rPr>
          <w:lang w:val="fr-BE"/>
        </w:rPr>
        <w:t>de ces expositions collectives</w:t>
      </w:r>
      <w:r w:rsidR="0059083D" w:rsidRPr="009427B8">
        <w:rPr>
          <w:rStyle w:val="Appelnotedebasdep"/>
          <w:lang w:val="fr-BE"/>
        </w:rPr>
        <w:footnoteReference w:id="19"/>
      </w:r>
      <w:r w:rsidRPr="009427B8">
        <w:rPr>
          <w:lang w:val="fr-BE"/>
        </w:rPr>
        <w:t xml:space="preserve"> revient à les placer</w:t>
      </w:r>
      <w:r w:rsidR="0059083D" w:rsidRPr="009427B8">
        <w:rPr>
          <w:lang w:val="fr-BE"/>
        </w:rPr>
        <w:t xml:space="preserve"> </w:t>
      </w:r>
      <w:r w:rsidR="001A5135" w:rsidRPr="009427B8">
        <w:rPr>
          <w:lang w:val="fr-BE"/>
        </w:rPr>
        <w:t>en</w:t>
      </w:r>
      <w:r w:rsidR="000E4856" w:rsidRPr="009427B8">
        <w:rPr>
          <w:lang w:val="fr-BE"/>
        </w:rPr>
        <w:t xml:space="preserve"> position </w:t>
      </w:r>
      <w:r w:rsidR="00CE238A" w:rsidRPr="009427B8">
        <w:rPr>
          <w:lang w:val="fr-BE"/>
        </w:rPr>
        <w:t>de matrice intertextuelle</w:t>
      </w:r>
      <w:r w:rsidRPr="009427B8">
        <w:rPr>
          <w:lang w:val="fr-BE"/>
        </w:rPr>
        <w:t xml:space="preserve">. </w:t>
      </w:r>
      <w:r w:rsidR="000D5E9C" w:rsidRPr="009427B8">
        <w:rPr>
          <w:lang w:val="fr-BE"/>
        </w:rPr>
        <w:t>Elles</w:t>
      </w:r>
      <w:r w:rsidR="000E7600" w:rsidRPr="009427B8">
        <w:rPr>
          <w:lang w:val="fr-BE"/>
        </w:rPr>
        <w:t xml:space="preserve"> </w:t>
      </w:r>
      <w:r w:rsidR="00453604" w:rsidRPr="009427B8">
        <w:rPr>
          <w:lang w:val="fr-BE"/>
        </w:rPr>
        <w:t>arrime</w:t>
      </w:r>
      <w:r w:rsidRPr="009427B8">
        <w:rPr>
          <w:lang w:val="fr-BE"/>
        </w:rPr>
        <w:t>nt</w:t>
      </w:r>
      <w:r w:rsidR="00453604" w:rsidRPr="009427B8">
        <w:rPr>
          <w:lang w:val="fr-BE"/>
        </w:rPr>
        <w:t xml:space="preserve"> </w:t>
      </w:r>
      <w:r w:rsidR="00BC4381" w:rsidRPr="009427B8">
        <w:rPr>
          <w:lang w:val="fr-BE"/>
        </w:rPr>
        <w:t xml:space="preserve">ces expositions à </w:t>
      </w:r>
      <w:r w:rsidR="007A398F" w:rsidRPr="009427B8">
        <w:rPr>
          <w:lang w:val="fr-BE"/>
        </w:rPr>
        <w:t xml:space="preserve">une </w:t>
      </w:r>
      <w:r w:rsidR="00BC4381" w:rsidRPr="009427B8">
        <w:rPr>
          <w:lang w:val="fr-BE"/>
        </w:rPr>
        <w:t>œuvre littéraire</w:t>
      </w:r>
      <w:r w:rsidR="007A398F" w:rsidRPr="009427B8">
        <w:rPr>
          <w:lang w:val="fr-BE"/>
        </w:rPr>
        <w:t xml:space="preserve"> (ou plutôt à un ou plusieurs de ses aspects)</w:t>
      </w:r>
      <w:r w:rsidR="000D5E9C" w:rsidRPr="009427B8">
        <w:rPr>
          <w:lang w:val="fr-BE"/>
        </w:rPr>
        <w:t>,</w:t>
      </w:r>
      <w:r w:rsidR="00BC4381" w:rsidRPr="009427B8">
        <w:rPr>
          <w:lang w:val="fr-BE"/>
        </w:rPr>
        <w:t xml:space="preserve"> sur deux plans</w:t>
      </w:r>
      <w:r w:rsidR="007A398F" w:rsidRPr="009427B8">
        <w:rPr>
          <w:lang w:val="fr-BE"/>
        </w:rPr>
        <w:t xml:space="preserve"> au moins</w:t>
      </w:r>
      <w:r w:rsidR="00BC4381" w:rsidRPr="009427B8">
        <w:rPr>
          <w:lang w:val="fr-BE"/>
        </w:rPr>
        <w:t xml:space="preserve"> : d’une part, celui de </w:t>
      </w:r>
      <w:r w:rsidR="00453604" w:rsidRPr="009427B8">
        <w:rPr>
          <w:lang w:val="fr-BE"/>
        </w:rPr>
        <w:t xml:space="preserve">la proposition </w:t>
      </w:r>
      <w:proofErr w:type="spellStart"/>
      <w:r w:rsidR="00453604" w:rsidRPr="009427B8">
        <w:rPr>
          <w:lang w:val="fr-BE"/>
        </w:rPr>
        <w:t>curatoriale</w:t>
      </w:r>
      <w:proofErr w:type="spellEnd"/>
      <w:r w:rsidR="00BC4381" w:rsidRPr="009427B8">
        <w:rPr>
          <w:lang w:val="fr-BE"/>
        </w:rPr>
        <w:t xml:space="preserve"> prise dans sa globalité</w:t>
      </w:r>
      <w:r w:rsidR="00BA286D" w:rsidRPr="009427B8">
        <w:rPr>
          <w:lang w:val="fr-BE"/>
        </w:rPr>
        <w:t xml:space="preserve"> ; d’autre part, celui de chaque œuvre prise individuellement, </w:t>
      </w:r>
      <w:r w:rsidR="004428D3" w:rsidRPr="009427B8">
        <w:rPr>
          <w:lang w:val="fr-BE"/>
        </w:rPr>
        <w:t xml:space="preserve">les œuvres et artistes ayant été retenus par le ou la commissaire de l’exposition en fonction de l’identification d’un lien avec un aspect de l’œuvre littéraire-modèle, ou </w:t>
      </w:r>
      <w:r w:rsidR="00944226" w:rsidRPr="009427B8">
        <w:rPr>
          <w:lang w:val="fr-BE"/>
        </w:rPr>
        <w:t xml:space="preserve">ayant été commandés en fonction du projet (les deux cas de figure se retrouvent aussi bien dans </w:t>
      </w:r>
      <w:r w:rsidR="00944226" w:rsidRPr="009427B8">
        <w:rPr>
          <w:i/>
          <w:iCs/>
          <w:lang w:val="fr-BE"/>
        </w:rPr>
        <w:t>Dépenses</w:t>
      </w:r>
      <w:r w:rsidR="00944226" w:rsidRPr="009427B8">
        <w:rPr>
          <w:lang w:val="fr-BE"/>
        </w:rPr>
        <w:t xml:space="preserve"> qu’à l’occasion d’</w:t>
      </w:r>
      <w:proofErr w:type="spellStart"/>
      <w:r w:rsidR="00944226" w:rsidRPr="009427B8">
        <w:rPr>
          <w:i/>
          <w:iCs/>
          <w:lang w:val="fr-BE"/>
        </w:rPr>
        <w:t>Amberes</w:t>
      </w:r>
      <w:proofErr w:type="spellEnd"/>
      <w:r w:rsidR="00944226" w:rsidRPr="009427B8">
        <w:rPr>
          <w:lang w:val="fr-BE"/>
        </w:rPr>
        <w:t xml:space="preserve">). </w:t>
      </w:r>
      <w:r w:rsidR="00967277" w:rsidRPr="009427B8">
        <w:rPr>
          <w:lang w:val="fr-BE"/>
        </w:rPr>
        <w:t>Correspondant à une forme de délégation d’</w:t>
      </w:r>
      <w:proofErr w:type="spellStart"/>
      <w:r w:rsidR="00967277" w:rsidRPr="009427B8">
        <w:rPr>
          <w:lang w:val="fr-BE"/>
        </w:rPr>
        <w:t>auctorialité</w:t>
      </w:r>
      <w:proofErr w:type="spellEnd"/>
      <w:r w:rsidR="00967277" w:rsidRPr="009427B8">
        <w:rPr>
          <w:lang w:val="fr-BE"/>
        </w:rPr>
        <w:t xml:space="preserve"> lorsqu’ils confèrent ce droit de regard sur une œuvre littéraire à des artistes (dans le cadre d’une exposition collective), </w:t>
      </w:r>
      <w:r w:rsidR="00C515C8" w:rsidRPr="009427B8">
        <w:rPr>
          <w:lang w:val="fr-BE"/>
        </w:rPr>
        <w:t>d</w:t>
      </w:r>
      <w:r w:rsidRPr="009427B8">
        <w:rPr>
          <w:lang w:val="fr-BE"/>
        </w:rPr>
        <w:t>e tels g</w:t>
      </w:r>
      <w:r w:rsidR="00D47FF1" w:rsidRPr="009427B8">
        <w:rPr>
          <w:lang w:val="fr-BE"/>
        </w:rPr>
        <w:t>este</w:t>
      </w:r>
      <w:r w:rsidRPr="009427B8">
        <w:rPr>
          <w:lang w:val="fr-BE"/>
        </w:rPr>
        <w:t>s</w:t>
      </w:r>
      <w:r w:rsidR="006A2E2A" w:rsidRPr="009427B8">
        <w:rPr>
          <w:lang w:val="fr-BE"/>
        </w:rPr>
        <w:t xml:space="preserve"> </w:t>
      </w:r>
      <w:proofErr w:type="spellStart"/>
      <w:r w:rsidR="000D5E9C" w:rsidRPr="009427B8">
        <w:rPr>
          <w:lang w:val="fr-BE"/>
        </w:rPr>
        <w:t>curatoriaux</w:t>
      </w:r>
      <w:proofErr w:type="spellEnd"/>
      <w:r w:rsidR="00D47FF1" w:rsidRPr="009427B8">
        <w:rPr>
          <w:lang w:val="fr-BE"/>
        </w:rPr>
        <w:t xml:space="preserve"> </w:t>
      </w:r>
      <w:r w:rsidR="00C515C8" w:rsidRPr="009427B8">
        <w:rPr>
          <w:lang w:val="fr-BE"/>
        </w:rPr>
        <w:t>peuvent pousser plus loin encore cette instrumentalisation d’une œuvre littéraire en mobilisant</w:t>
      </w:r>
      <w:r w:rsidR="006A2E2A" w:rsidRPr="009427B8">
        <w:rPr>
          <w:lang w:val="fr-BE"/>
        </w:rPr>
        <w:t xml:space="preserve"> </w:t>
      </w:r>
      <w:r w:rsidR="00C515C8" w:rsidRPr="009427B8">
        <w:rPr>
          <w:lang w:val="fr-BE"/>
        </w:rPr>
        <w:t>le regard d’</w:t>
      </w:r>
      <w:r w:rsidR="006A2E2A" w:rsidRPr="009427B8">
        <w:rPr>
          <w:lang w:val="fr-BE"/>
        </w:rPr>
        <w:t>écrivain</w:t>
      </w:r>
      <w:r w:rsidR="00C515C8" w:rsidRPr="009427B8">
        <w:rPr>
          <w:lang w:val="fr-BE"/>
        </w:rPr>
        <w:t>s</w:t>
      </w:r>
      <w:r w:rsidR="00D47FF1" w:rsidRPr="009427B8">
        <w:rPr>
          <w:lang w:val="fr-BE"/>
        </w:rPr>
        <w:t>, défunt</w:t>
      </w:r>
      <w:r w:rsidR="00C515C8" w:rsidRPr="009427B8">
        <w:rPr>
          <w:lang w:val="fr-BE"/>
        </w:rPr>
        <w:t>s</w:t>
      </w:r>
      <w:r w:rsidR="00D47FF1" w:rsidRPr="009427B8">
        <w:rPr>
          <w:lang w:val="fr-BE"/>
        </w:rPr>
        <w:t xml:space="preserve"> le plus souvent,</w:t>
      </w:r>
      <w:r w:rsidR="006A2E2A" w:rsidRPr="009427B8">
        <w:rPr>
          <w:lang w:val="fr-BE"/>
        </w:rPr>
        <w:t xml:space="preserve"> </w:t>
      </w:r>
      <w:r w:rsidR="00C515C8" w:rsidRPr="009427B8">
        <w:rPr>
          <w:lang w:val="fr-BE"/>
        </w:rPr>
        <w:t>lorsqu’ils ont entretenu une</w:t>
      </w:r>
      <w:r w:rsidR="00D47FF1" w:rsidRPr="009427B8">
        <w:rPr>
          <w:lang w:val="fr-BE"/>
        </w:rPr>
        <w:t xml:space="preserve"> relation particulière aux arts </w:t>
      </w:r>
      <w:r w:rsidR="000D5E9C" w:rsidRPr="009427B8">
        <w:rPr>
          <w:lang w:val="fr-BE"/>
        </w:rPr>
        <w:t>visuels</w:t>
      </w:r>
      <w:r w:rsidR="00D47FF1" w:rsidRPr="009427B8">
        <w:rPr>
          <w:lang w:val="fr-BE"/>
        </w:rPr>
        <w:t>.</w:t>
      </w:r>
    </w:p>
    <w:p w14:paraId="451F6740" w14:textId="77777777" w:rsidR="00CE238A" w:rsidRPr="009427B8" w:rsidRDefault="00CE238A" w:rsidP="772DE573">
      <w:pPr>
        <w:spacing w:after="120" w:line="360" w:lineRule="auto"/>
        <w:jc w:val="both"/>
        <w:rPr>
          <w:lang w:val="fr-BE"/>
        </w:rPr>
      </w:pPr>
    </w:p>
    <w:p w14:paraId="0EA8842A" w14:textId="70DD8A37" w:rsidR="00A7651D" w:rsidRPr="009427B8" w:rsidRDefault="772DE573" w:rsidP="772DE573">
      <w:pPr>
        <w:spacing w:after="120" w:line="360" w:lineRule="auto"/>
        <w:jc w:val="both"/>
        <w:rPr>
          <w:b/>
          <w:bCs/>
          <w:color w:val="FF0000"/>
          <w:lang w:val="fr-BE"/>
        </w:rPr>
      </w:pPr>
      <w:r w:rsidRPr="009427B8">
        <w:rPr>
          <w:b/>
          <w:bCs/>
          <w:lang w:val="fr-BE"/>
        </w:rPr>
        <w:t>L’œil des écrivains</w:t>
      </w:r>
    </w:p>
    <w:p w14:paraId="2236F72D" w14:textId="11C7829E" w:rsidR="00E21BBC" w:rsidRPr="009427B8" w:rsidRDefault="772DE573" w:rsidP="009427B8">
      <w:pPr>
        <w:spacing w:after="120" w:line="360" w:lineRule="auto"/>
        <w:jc w:val="both"/>
        <w:rPr>
          <w:lang w:val="fr-BE"/>
        </w:rPr>
      </w:pPr>
      <w:r w:rsidRPr="009427B8">
        <w:rPr>
          <w:lang w:val="fr-BE"/>
        </w:rPr>
        <w:t xml:space="preserve">L’appel aux œuvres d’art dans une exposition à vocation littéraire est particulièrement favorisé lorsqu’il s’agit de traiter d’écrivains qui ont entretenu une relation prononcée avec les arts picturaux, notamment en écrivant à leur sujet. Les commémorations du centenaire de la disparition de Marcel Proust en 2022 ont ainsi donné lieu à plusieurs expositions dont trois, de taille significative, rien qu’à Paris : la première au Musée Carnavalet – Ville de Paris, avec une attention aux relations de Proust avec la ville ; la seconde au Musée d’art et d’histoire du judaïsme, centrée sur les liens avec le monde juif du côté maternel ; et, enfin, une exposition centrée sur les manuscrits du grand-œuvre à la Bibliothèque nationale de France (BnF). Sans </w:t>
      </w:r>
      <w:r w:rsidRPr="009427B8">
        <w:rPr>
          <w:lang w:val="fr-BE"/>
        </w:rPr>
        <w:lastRenderedPageBreak/>
        <w:t>surprises, toutes trois présentaient, dans des propositions diverses, des tableaux, dessins et photographies, non seulement des portraits de l’écrivain, mais aussi de personnages dont il a proposé des transpositions dans ses œuvres : par exemple ses parents, mais aussi le comte de Montesquiou, modèle du baron de Charlus, ainsi que des éditions illustrées de l’œuvre.</w:t>
      </w:r>
    </w:p>
    <w:p w14:paraId="1E7A4594" w14:textId="2DED34A9" w:rsidR="00194C2B" w:rsidRPr="00DA3A6F" w:rsidRDefault="00745403" w:rsidP="00194C2B">
      <w:pPr>
        <w:spacing w:after="120" w:line="360" w:lineRule="auto"/>
        <w:jc w:val="both"/>
        <w:rPr>
          <w:lang w:val="fr-BE"/>
        </w:rPr>
      </w:pPr>
      <w:r w:rsidRPr="009427B8">
        <w:rPr>
          <w:lang w:val="fr-BE"/>
        </w:rPr>
        <w:t>À l</w:t>
      </w:r>
      <w:r w:rsidR="006057AF" w:rsidRPr="009427B8">
        <w:rPr>
          <w:lang w:val="fr-BE"/>
        </w:rPr>
        <w:t>’</w:t>
      </w:r>
      <w:r w:rsidRPr="009427B8">
        <w:rPr>
          <w:lang w:val="fr-BE"/>
        </w:rPr>
        <w:t xml:space="preserve">évidence, </w:t>
      </w:r>
      <w:r w:rsidR="002C6053" w:rsidRPr="009427B8">
        <w:rPr>
          <w:lang w:val="fr-BE"/>
        </w:rPr>
        <w:t xml:space="preserve">ce recours </w:t>
      </w:r>
      <w:r w:rsidR="001D3A5E" w:rsidRPr="009427B8">
        <w:rPr>
          <w:lang w:val="fr-BE"/>
        </w:rPr>
        <w:t>aux</w:t>
      </w:r>
      <w:r w:rsidRPr="009427B8">
        <w:rPr>
          <w:lang w:val="fr-BE"/>
        </w:rPr>
        <w:t xml:space="preserve"> arts visuels dans de telles expositions monographiques </w:t>
      </w:r>
      <w:r w:rsidR="002C6053" w:rsidRPr="009427B8">
        <w:rPr>
          <w:lang w:val="fr-BE"/>
        </w:rPr>
        <w:t>a</w:t>
      </w:r>
      <w:r w:rsidRPr="009427B8">
        <w:rPr>
          <w:lang w:val="fr-BE"/>
        </w:rPr>
        <w:t xml:space="preserve"> pour fin </w:t>
      </w:r>
      <w:r w:rsidR="002C6053" w:rsidRPr="009427B8">
        <w:rPr>
          <w:lang w:val="fr-BE"/>
        </w:rPr>
        <w:t>d</w:t>
      </w:r>
      <w:r w:rsidR="006057AF" w:rsidRPr="009427B8">
        <w:rPr>
          <w:lang w:val="fr-BE"/>
        </w:rPr>
        <w:t>’</w:t>
      </w:r>
      <w:r w:rsidR="002C6053" w:rsidRPr="009427B8">
        <w:rPr>
          <w:lang w:val="fr-BE"/>
        </w:rPr>
        <w:t>instituer</w:t>
      </w:r>
      <w:r w:rsidRPr="009427B8">
        <w:rPr>
          <w:lang w:val="fr-BE"/>
        </w:rPr>
        <w:t xml:space="preserve"> un rapport, </w:t>
      </w:r>
      <w:r w:rsidR="00AA07CD">
        <w:rPr>
          <w:lang w:val="fr-BE"/>
        </w:rPr>
        <w:t>c</w:t>
      </w:r>
      <w:r w:rsidRPr="009427B8">
        <w:rPr>
          <w:lang w:val="fr-BE"/>
        </w:rPr>
        <w:t>ensément plus sensible, entre le texte et ses sources (iconographiques ou réelles) ou</w:t>
      </w:r>
      <w:r w:rsidR="0069248B" w:rsidRPr="009427B8">
        <w:rPr>
          <w:lang w:val="fr-BE"/>
        </w:rPr>
        <w:t>,</w:t>
      </w:r>
      <w:r w:rsidRPr="009427B8">
        <w:rPr>
          <w:lang w:val="fr-BE"/>
        </w:rPr>
        <w:t xml:space="preserve"> inversement</w:t>
      </w:r>
      <w:r w:rsidR="0069248B" w:rsidRPr="009427B8">
        <w:rPr>
          <w:lang w:val="fr-BE"/>
        </w:rPr>
        <w:t>,</w:t>
      </w:r>
      <w:r w:rsidRPr="009427B8">
        <w:rPr>
          <w:lang w:val="fr-BE"/>
        </w:rPr>
        <w:t xml:space="preserve"> entre les images et leurs sources textuelles (</w:t>
      </w:r>
      <w:r w:rsidR="0069248B" w:rsidRPr="009427B8">
        <w:rPr>
          <w:lang w:val="fr-BE"/>
        </w:rPr>
        <w:t>s</w:t>
      </w:r>
      <w:r w:rsidR="006057AF" w:rsidRPr="009427B8">
        <w:rPr>
          <w:lang w:val="fr-BE"/>
        </w:rPr>
        <w:t>’</w:t>
      </w:r>
      <w:r w:rsidR="0069248B" w:rsidRPr="009427B8">
        <w:rPr>
          <w:lang w:val="fr-BE"/>
        </w:rPr>
        <w:t>agissant des éditions</w:t>
      </w:r>
      <w:r w:rsidRPr="009427B8">
        <w:rPr>
          <w:lang w:val="fr-BE"/>
        </w:rPr>
        <w:t xml:space="preserve"> illustrées). Il s</w:t>
      </w:r>
      <w:r w:rsidR="006057AF" w:rsidRPr="009427B8">
        <w:rPr>
          <w:lang w:val="fr-BE"/>
        </w:rPr>
        <w:t>’</w:t>
      </w:r>
      <w:r w:rsidRPr="009427B8">
        <w:rPr>
          <w:lang w:val="fr-BE"/>
        </w:rPr>
        <w:t xml:space="preserve">agit </w:t>
      </w:r>
      <w:r w:rsidR="00424A16" w:rsidRPr="009427B8">
        <w:rPr>
          <w:lang w:val="fr-BE"/>
        </w:rPr>
        <w:t>d</w:t>
      </w:r>
      <w:r w:rsidRPr="009427B8">
        <w:rPr>
          <w:lang w:val="fr-BE"/>
        </w:rPr>
        <w:t xml:space="preserve">e placer le visiteur </w:t>
      </w:r>
      <w:r w:rsidR="00BB32D6" w:rsidRPr="009427B8">
        <w:rPr>
          <w:lang w:val="fr-BE"/>
        </w:rPr>
        <w:t>devant un objet qui l’invite à contempler</w:t>
      </w:r>
      <w:r w:rsidRPr="009427B8">
        <w:rPr>
          <w:lang w:val="fr-BE"/>
        </w:rPr>
        <w:t xml:space="preserve"> ce que Marcel Proust </w:t>
      </w:r>
      <w:r w:rsidRPr="00194C2B">
        <w:rPr>
          <w:lang w:val="fr-BE"/>
        </w:rPr>
        <w:t>a lui-même pu voir</w:t>
      </w:r>
      <w:r w:rsidR="002559B3" w:rsidRPr="00194C2B">
        <w:rPr>
          <w:lang w:val="fr-BE"/>
        </w:rPr>
        <w:t xml:space="preserve"> (et qui a pu l</w:t>
      </w:r>
      <w:r w:rsidR="006057AF" w:rsidRPr="00194C2B">
        <w:rPr>
          <w:lang w:val="fr-BE"/>
        </w:rPr>
        <w:t>’</w:t>
      </w:r>
      <w:r w:rsidR="002559B3" w:rsidRPr="00194C2B">
        <w:rPr>
          <w:lang w:val="fr-BE"/>
        </w:rPr>
        <w:t>inspirer)</w:t>
      </w:r>
      <w:r w:rsidR="00BB32D6" w:rsidRPr="00194C2B">
        <w:rPr>
          <w:lang w:val="fr-BE"/>
        </w:rPr>
        <w:t xml:space="preserve"> – telle personne à travers tel tableau –</w:t>
      </w:r>
      <w:r w:rsidRPr="00194C2B">
        <w:rPr>
          <w:lang w:val="fr-BE"/>
        </w:rPr>
        <w:t xml:space="preserve">, selon un dispositif </w:t>
      </w:r>
      <w:r w:rsidR="002559B3" w:rsidRPr="00194C2B">
        <w:rPr>
          <w:lang w:val="fr-BE"/>
        </w:rPr>
        <w:t xml:space="preserve">qui </w:t>
      </w:r>
      <w:r w:rsidRPr="00194C2B">
        <w:rPr>
          <w:lang w:val="fr-BE"/>
        </w:rPr>
        <w:t>joue</w:t>
      </w:r>
      <w:r w:rsidR="002559B3" w:rsidRPr="00194C2B">
        <w:rPr>
          <w:lang w:val="fr-BE"/>
        </w:rPr>
        <w:t xml:space="preserve"> en plein</w:t>
      </w:r>
      <w:r w:rsidRPr="00194C2B">
        <w:rPr>
          <w:lang w:val="fr-BE"/>
        </w:rPr>
        <w:t xml:space="preserve"> la carte de la patrimonialisation </w:t>
      </w:r>
      <w:r w:rsidR="00646EEC" w:rsidRPr="00194C2B">
        <w:rPr>
          <w:lang w:val="fr-BE"/>
        </w:rPr>
        <w:t>en mettant matériellement</w:t>
      </w:r>
      <w:r w:rsidR="001D3A5E" w:rsidRPr="00194C2B">
        <w:rPr>
          <w:lang w:val="fr-BE"/>
        </w:rPr>
        <w:t xml:space="preserve"> </w:t>
      </w:r>
      <w:r w:rsidR="00EC75EC" w:rsidRPr="00194C2B">
        <w:rPr>
          <w:lang w:val="fr-BE"/>
        </w:rPr>
        <w:t xml:space="preserve">au </w:t>
      </w:r>
      <w:r w:rsidR="00646EEC" w:rsidRPr="00194C2B">
        <w:rPr>
          <w:lang w:val="fr-BE"/>
        </w:rPr>
        <w:t>contact d’un « monde » ancien (en l’occurrence celui dépeint par Marcel Proust)</w:t>
      </w:r>
      <w:r w:rsidR="00646EEC" w:rsidRPr="772DE573">
        <w:rPr>
          <w:rStyle w:val="Appelnotedebasdep"/>
          <w:lang w:val="fr-BE"/>
        </w:rPr>
        <w:footnoteReference w:id="20"/>
      </w:r>
      <w:r w:rsidRPr="00194C2B">
        <w:rPr>
          <w:lang w:val="fr-BE"/>
        </w:rPr>
        <w:t>. Nombre d</w:t>
      </w:r>
      <w:r w:rsidR="006057AF" w:rsidRPr="00194C2B">
        <w:rPr>
          <w:lang w:val="fr-BE"/>
        </w:rPr>
        <w:t>’</w:t>
      </w:r>
      <w:r w:rsidRPr="00194C2B">
        <w:rPr>
          <w:lang w:val="fr-BE"/>
        </w:rPr>
        <w:t xml:space="preserve">expositions monographiques </w:t>
      </w:r>
      <w:r w:rsidR="00646EEC" w:rsidRPr="00194C2B">
        <w:rPr>
          <w:lang w:val="fr-BE"/>
        </w:rPr>
        <w:t xml:space="preserve">consacrées à un écrivain </w:t>
      </w:r>
      <w:r w:rsidRPr="00194C2B">
        <w:rPr>
          <w:lang w:val="fr-BE"/>
        </w:rPr>
        <w:t>présentent ce type d</w:t>
      </w:r>
      <w:r w:rsidR="006057AF" w:rsidRPr="00194C2B">
        <w:rPr>
          <w:lang w:val="fr-BE"/>
        </w:rPr>
        <w:t>’</w:t>
      </w:r>
      <w:proofErr w:type="spellStart"/>
      <w:r w:rsidRPr="00194C2B">
        <w:rPr>
          <w:lang w:val="fr-BE"/>
        </w:rPr>
        <w:t>expôts</w:t>
      </w:r>
      <w:proofErr w:type="spellEnd"/>
      <w:r w:rsidRPr="00194C2B">
        <w:rPr>
          <w:lang w:val="fr-BE"/>
        </w:rPr>
        <w:t xml:space="preserve"> en lien avec les </w:t>
      </w:r>
      <w:r w:rsidR="00646EEC" w:rsidRPr="00194C2B">
        <w:rPr>
          <w:lang w:val="fr-BE"/>
        </w:rPr>
        <w:t>figures</w:t>
      </w:r>
      <w:r w:rsidRPr="00194C2B">
        <w:rPr>
          <w:lang w:val="fr-BE"/>
        </w:rPr>
        <w:t xml:space="preserve"> auxquel</w:t>
      </w:r>
      <w:r w:rsidR="00AF236B" w:rsidRPr="00194C2B">
        <w:rPr>
          <w:lang w:val="fr-BE"/>
        </w:rPr>
        <w:t>le</w:t>
      </w:r>
      <w:r w:rsidRPr="00194C2B">
        <w:rPr>
          <w:lang w:val="fr-BE"/>
        </w:rPr>
        <w:t>s elles sont consacrées</w:t>
      </w:r>
      <w:r w:rsidR="00DF092A" w:rsidRPr="772DE573">
        <w:rPr>
          <w:rStyle w:val="Appelnotedebasdep"/>
          <w:lang w:val="fr-BE"/>
        </w:rPr>
        <w:footnoteReference w:id="21"/>
      </w:r>
      <w:r w:rsidRPr="00194C2B">
        <w:rPr>
          <w:lang w:val="fr-BE"/>
        </w:rPr>
        <w:t>, selon des modalités variables en fonction de la focale retenue par les commissaires</w:t>
      </w:r>
      <w:r w:rsidR="00F7642D" w:rsidRPr="00194C2B">
        <w:rPr>
          <w:lang w:val="fr-BE"/>
        </w:rPr>
        <w:t>, et ce même lorsque l</w:t>
      </w:r>
      <w:r w:rsidR="006057AF" w:rsidRPr="00194C2B">
        <w:rPr>
          <w:lang w:val="fr-BE"/>
        </w:rPr>
        <w:t>’</w:t>
      </w:r>
      <w:r w:rsidR="00F7642D" w:rsidRPr="00194C2B">
        <w:rPr>
          <w:lang w:val="fr-BE"/>
        </w:rPr>
        <w:t xml:space="preserve">exposition prend le parti de </w:t>
      </w:r>
      <w:r w:rsidR="00DB4CEF" w:rsidRPr="00194C2B">
        <w:rPr>
          <w:lang w:val="fr-BE"/>
        </w:rPr>
        <w:t>s</w:t>
      </w:r>
      <w:r w:rsidR="00F7642D" w:rsidRPr="00194C2B">
        <w:rPr>
          <w:lang w:val="fr-BE"/>
        </w:rPr>
        <w:t>e centrer sur les manuscrits de l</w:t>
      </w:r>
      <w:r w:rsidR="006057AF" w:rsidRPr="00194C2B">
        <w:rPr>
          <w:lang w:val="fr-BE"/>
        </w:rPr>
        <w:t>’</w:t>
      </w:r>
      <w:r w:rsidR="00F7642D" w:rsidRPr="00194C2B">
        <w:rPr>
          <w:lang w:val="fr-BE"/>
        </w:rPr>
        <w:t xml:space="preserve">œuvre et </w:t>
      </w:r>
      <w:r w:rsidR="00D428BD" w:rsidRPr="00194C2B">
        <w:rPr>
          <w:lang w:val="fr-BE"/>
        </w:rPr>
        <w:t>le</w:t>
      </w:r>
      <w:r w:rsidR="00F7642D" w:rsidRPr="00194C2B">
        <w:rPr>
          <w:lang w:val="fr-BE"/>
        </w:rPr>
        <w:t xml:space="preserve"> travail de gestation</w:t>
      </w:r>
      <w:r w:rsidR="00D428BD" w:rsidRPr="00194C2B">
        <w:rPr>
          <w:lang w:val="fr-BE"/>
        </w:rPr>
        <w:t xml:space="preserve"> qu’</w:t>
      </w:r>
      <w:r w:rsidR="1CE9138E" w:rsidRPr="00194C2B">
        <w:rPr>
          <w:lang w:val="fr-BE"/>
        </w:rPr>
        <w:t>ils</w:t>
      </w:r>
      <w:r w:rsidR="00D428BD" w:rsidRPr="00194C2B">
        <w:rPr>
          <w:lang w:val="fr-BE"/>
        </w:rPr>
        <w:t xml:space="preserve"> permettent de suivre</w:t>
      </w:r>
      <w:r w:rsidR="00C646B2" w:rsidRPr="00194C2B">
        <w:rPr>
          <w:lang w:val="fr-BE"/>
        </w:rPr>
        <w:t>.</w:t>
      </w:r>
      <w:r w:rsidR="00E91917" w:rsidRPr="00194C2B">
        <w:rPr>
          <w:lang w:val="fr-BE"/>
        </w:rPr>
        <w:t xml:space="preserve"> </w:t>
      </w:r>
      <w:r w:rsidR="00C646B2" w:rsidRPr="00194C2B">
        <w:rPr>
          <w:lang w:val="fr-BE"/>
        </w:rPr>
        <w:t>Ainsi en va-t-il</w:t>
      </w:r>
      <w:r w:rsidR="00F7642D" w:rsidRPr="00194C2B">
        <w:rPr>
          <w:lang w:val="fr-BE"/>
        </w:rPr>
        <w:t xml:space="preserve"> de la Bn</w:t>
      </w:r>
      <w:r w:rsidR="1CE9138E" w:rsidRPr="00194C2B">
        <w:rPr>
          <w:lang w:val="fr-BE"/>
        </w:rPr>
        <w:t>F</w:t>
      </w:r>
      <w:r w:rsidR="00F7642D" w:rsidRPr="00194C2B">
        <w:rPr>
          <w:lang w:val="fr-BE"/>
        </w:rPr>
        <w:t xml:space="preserve">, </w:t>
      </w:r>
      <w:r w:rsidR="00F7642D" w:rsidRPr="00DA3A6F">
        <w:rPr>
          <w:lang w:val="fr-BE"/>
        </w:rPr>
        <w:t xml:space="preserve">qui </w:t>
      </w:r>
      <w:r w:rsidR="00D428BD" w:rsidRPr="00DA3A6F">
        <w:rPr>
          <w:lang w:val="fr-BE"/>
        </w:rPr>
        <w:t xml:space="preserve">en 2022 </w:t>
      </w:r>
      <w:r w:rsidR="00F7642D" w:rsidRPr="00DA3A6F">
        <w:rPr>
          <w:lang w:val="fr-BE"/>
        </w:rPr>
        <w:t>met</w:t>
      </w:r>
      <w:r w:rsidR="00D428BD" w:rsidRPr="00DA3A6F">
        <w:rPr>
          <w:lang w:val="fr-BE"/>
        </w:rPr>
        <w:t xml:space="preserve"> résolument</w:t>
      </w:r>
      <w:r w:rsidR="00F7642D" w:rsidRPr="00DA3A6F">
        <w:rPr>
          <w:lang w:val="fr-BE"/>
        </w:rPr>
        <w:t xml:space="preserve"> l</w:t>
      </w:r>
      <w:r w:rsidR="006057AF" w:rsidRPr="00DA3A6F">
        <w:rPr>
          <w:lang w:val="fr-BE"/>
        </w:rPr>
        <w:t>’</w:t>
      </w:r>
      <w:r w:rsidR="00F7642D" w:rsidRPr="00DA3A6F">
        <w:rPr>
          <w:lang w:val="fr-BE"/>
        </w:rPr>
        <w:t xml:space="preserve">accent </w:t>
      </w:r>
      <w:r w:rsidR="001D3A5E" w:rsidRPr="00DA3A6F">
        <w:rPr>
          <w:lang w:val="fr-BE"/>
        </w:rPr>
        <w:t>sur</w:t>
      </w:r>
      <w:r w:rsidR="00F7642D" w:rsidRPr="00DA3A6F">
        <w:rPr>
          <w:lang w:val="fr-BE"/>
        </w:rPr>
        <w:t xml:space="preserve"> les manuscrits de </w:t>
      </w:r>
      <w:r w:rsidR="004970FF" w:rsidRPr="00DA3A6F">
        <w:rPr>
          <w:i/>
          <w:iCs/>
          <w:lang w:val="fr-BE"/>
        </w:rPr>
        <w:t>La</w:t>
      </w:r>
      <w:r w:rsidR="00F7642D" w:rsidRPr="00DA3A6F">
        <w:rPr>
          <w:i/>
          <w:iCs/>
          <w:lang w:val="fr-BE"/>
        </w:rPr>
        <w:t xml:space="preserve"> Recherche</w:t>
      </w:r>
      <w:r w:rsidR="004970FF" w:rsidRPr="00DA3A6F">
        <w:rPr>
          <w:lang w:val="fr-BE"/>
        </w:rPr>
        <w:t xml:space="preserve">, </w:t>
      </w:r>
      <w:r w:rsidR="00194C2B" w:rsidRPr="00DA3A6F">
        <w:rPr>
          <w:lang w:val="fr-BE"/>
        </w:rPr>
        <w:t xml:space="preserve">tout en intégrant des tableaux dans le parcours, </w:t>
      </w:r>
      <w:r w:rsidR="004970FF" w:rsidRPr="00DA3A6F">
        <w:rPr>
          <w:lang w:val="fr-BE"/>
        </w:rPr>
        <w:t>plus que probablement parce que la présentation de ce type d</w:t>
      </w:r>
      <w:r w:rsidR="006057AF" w:rsidRPr="00DA3A6F">
        <w:rPr>
          <w:lang w:val="fr-BE"/>
        </w:rPr>
        <w:t>’</w:t>
      </w:r>
      <w:proofErr w:type="spellStart"/>
      <w:r w:rsidR="004970FF" w:rsidRPr="00DA3A6F">
        <w:rPr>
          <w:lang w:val="fr-BE"/>
        </w:rPr>
        <w:t>expôts</w:t>
      </w:r>
      <w:proofErr w:type="spellEnd"/>
      <w:r w:rsidR="004970FF" w:rsidRPr="00DA3A6F">
        <w:rPr>
          <w:lang w:val="fr-BE"/>
        </w:rPr>
        <w:t xml:space="preserve"> assure une diversité requise </w:t>
      </w:r>
      <w:r w:rsidR="00EF2F4C" w:rsidRPr="00DA3A6F">
        <w:rPr>
          <w:lang w:val="fr-BE"/>
        </w:rPr>
        <w:t>permettant de</w:t>
      </w:r>
      <w:r w:rsidR="004970FF" w:rsidRPr="00DA3A6F">
        <w:rPr>
          <w:lang w:val="fr-BE"/>
        </w:rPr>
        <w:t xml:space="preserve"> rompre avec la monotonie d</w:t>
      </w:r>
      <w:r w:rsidR="006057AF" w:rsidRPr="00DA3A6F">
        <w:rPr>
          <w:lang w:val="fr-BE"/>
        </w:rPr>
        <w:t>’</w:t>
      </w:r>
      <w:r w:rsidR="00C84689" w:rsidRPr="00DA3A6F">
        <w:rPr>
          <w:lang w:val="fr-BE"/>
        </w:rPr>
        <w:t>une litanie de</w:t>
      </w:r>
      <w:r w:rsidR="004970FF" w:rsidRPr="00DA3A6F">
        <w:rPr>
          <w:lang w:val="fr-BE"/>
        </w:rPr>
        <w:t xml:space="preserve"> pages manuscrit</w:t>
      </w:r>
      <w:r w:rsidR="00C84689" w:rsidRPr="00DA3A6F">
        <w:rPr>
          <w:lang w:val="fr-BE"/>
        </w:rPr>
        <w:t>e</w:t>
      </w:r>
      <w:r w:rsidR="004970FF" w:rsidRPr="00DA3A6F">
        <w:rPr>
          <w:lang w:val="fr-BE"/>
        </w:rPr>
        <w:t xml:space="preserve">s, aussi éblouissantes </w:t>
      </w:r>
      <w:r w:rsidR="00C84689" w:rsidRPr="00DA3A6F">
        <w:rPr>
          <w:lang w:val="fr-BE"/>
        </w:rPr>
        <w:t xml:space="preserve">et intéressantes </w:t>
      </w:r>
      <w:r w:rsidR="004970FF" w:rsidRPr="00DA3A6F">
        <w:rPr>
          <w:lang w:val="fr-BE"/>
        </w:rPr>
        <w:t>soient-elles.</w:t>
      </w:r>
      <w:r w:rsidR="00194C2B" w:rsidRPr="00DA3A6F">
        <w:rPr>
          <w:lang w:val="fr-BE"/>
        </w:rPr>
        <w:t xml:space="preserve"> Alors que les ensembles </w:t>
      </w:r>
      <w:r w:rsidR="00A90D86" w:rsidRPr="00DA3A6F">
        <w:rPr>
          <w:lang w:val="fr-BE"/>
        </w:rPr>
        <w:t>d’</w:t>
      </w:r>
      <w:r w:rsidR="00194C2B" w:rsidRPr="00DA3A6F">
        <w:rPr>
          <w:lang w:val="fr-BE"/>
        </w:rPr>
        <w:t>œuvres ou</w:t>
      </w:r>
      <w:r w:rsidR="00A90D86" w:rsidRPr="00DA3A6F">
        <w:rPr>
          <w:lang w:val="fr-BE"/>
        </w:rPr>
        <w:t xml:space="preserve"> les</w:t>
      </w:r>
      <w:r w:rsidR="00194C2B" w:rsidRPr="00DA3A6F">
        <w:rPr>
          <w:lang w:val="fr-BE"/>
        </w:rPr>
        <w:t xml:space="preserve"> propositions </w:t>
      </w:r>
      <w:proofErr w:type="spellStart"/>
      <w:r w:rsidR="00194C2B" w:rsidRPr="00DA3A6F">
        <w:rPr>
          <w:lang w:val="fr-BE"/>
        </w:rPr>
        <w:t>curatoriales</w:t>
      </w:r>
      <w:proofErr w:type="spellEnd"/>
      <w:r w:rsidR="00194C2B" w:rsidRPr="00DA3A6F">
        <w:rPr>
          <w:lang w:val="fr-BE"/>
        </w:rPr>
        <w:t xml:space="preserve"> rapportées à une œuvre littéraire relèvent d’un geste </w:t>
      </w:r>
      <w:proofErr w:type="spellStart"/>
      <w:r w:rsidR="00194C2B" w:rsidRPr="00DA3A6F">
        <w:rPr>
          <w:lang w:val="fr-BE"/>
        </w:rPr>
        <w:t>curatorial</w:t>
      </w:r>
      <w:proofErr w:type="spellEnd"/>
      <w:r w:rsidR="00194C2B" w:rsidRPr="00DA3A6F">
        <w:rPr>
          <w:lang w:val="fr-BE"/>
        </w:rPr>
        <w:t xml:space="preserve">, en l’espèce, il s’agit, plus classiquement, de faire valoir la relation de l’œuvre visuelle avec un écrivain et son œuvre selon des modalités plus documentaires, en raison de la relation que l’écrivain a pu avoir avec le peintre, parce qu’il s’agit d’un portrait de l’écrivain ou d’une personne (ou d’un lieu) qui a pu compter pour lui. </w:t>
      </w:r>
    </w:p>
    <w:p w14:paraId="6F4B3802" w14:textId="453B055E" w:rsidR="009E06AB" w:rsidRPr="00194C2B" w:rsidRDefault="001D088F" w:rsidP="772DE573">
      <w:pPr>
        <w:spacing w:after="120" w:line="360" w:lineRule="auto"/>
        <w:jc w:val="both"/>
        <w:rPr>
          <w:lang w:val="fr-BE"/>
        </w:rPr>
      </w:pPr>
      <w:r w:rsidRPr="00DA3A6F">
        <w:rPr>
          <w:lang w:val="fr-BE"/>
        </w:rPr>
        <w:t xml:space="preserve">Tout naturellement, </w:t>
      </w:r>
      <w:r w:rsidR="00395ACC">
        <w:rPr>
          <w:lang w:val="fr-BE"/>
        </w:rPr>
        <w:t>il est des</w:t>
      </w:r>
      <w:r w:rsidR="008D4561" w:rsidRPr="00DA3A6F">
        <w:rPr>
          <w:lang w:val="fr-BE"/>
        </w:rPr>
        <w:t xml:space="preserve"> écrivains </w:t>
      </w:r>
      <w:r w:rsidR="00395ACC">
        <w:rPr>
          <w:lang w:val="fr-BE"/>
        </w:rPr>
        <w:t xml:space="preserve">qui </w:t>
      </w:r>
      <w:r w:rsidR="008D4561" w:rsidRPr="00DA3A6F">
        <w:rPr>
          <w:lang w:val="fr-BE"/>
        </w:rPr>
        <w:t xml:space="preserve">se montrent plus particulièrement propices </w:t>
      </w:r>
      <w:r w:rsidR="00CD71F5" w:rsidRPr="00DA3A6F">
        <w:rPr>
          <w:lang w:val="fr-BE"/>
        </w:rPr>
        <w:t>à un tel</w:t>
      </w:r>
      <w:r w:rsidR="008D4561" w:rsidRPr="00DA3A6F">
        <w:rPr>
          <w:lang w:val="fr-BE"/>
        </w:rPr>
        <w:t xml:space="preserve"> recours aux arts visuels</w:t>
      </w:r>
      <w:r w:rsidRPr="00DA3A6F">
        <w:rPr>
          <w:lang w:val="fr-BE"/>
        </w:rPr>
        <w:t xml:space="preserve">, certains jusqu’à </w:t>
      </w:r>
      <w:r w:rsidR="00CD71F5" w:rsidRPr="00DA3A6F">
        <w:rPr>
          <w:lang w:val="fr-BE"/>
        </w:rPr>
        <w:t>permett</w:t>
      </w:r>
      <w:r w:rsidRPr="00DA3A6F">
        <w:rPr>
          <w:lang w:val="fr-BE"/>
        </w:rPr>
        <w:t>re</w:t>
      </w:r>
      <w:r w:rsidR="00CD71F5" w:rsidRPr="00194C2B">
        <w:rPr>
          <w:lang w:val="fr-BE"/>
        </w:rPr>
        <w:t xml:space="preserve"> de </w:t>
      </w:r>
      <w:r w:rsidR="00151A83" w:rsidRPr="00194C2B">
        <w:rPr>
          <w:lang w:val="fr-BE"/>
        </w:rPr>
        <w:t>concevoir des expositions</w:t>
      </w:r>
      <w:r w:rsidR="0017478D" w:rsidRPr="00194C2B">
        <w:rPr>
          <w:lang w:val="fr-BE"/>
        </w:rPr>
        <w:t xml:space="preserve"> d</w:t>
      </w:r>
      <w:r w:rsidR="006057AF" w:rsidRPr="00194C2B">
        <w:rPr>
          <w:lang w:val="fr-BE"/>
        </w:rPr>
        <w:t>’</w:t>
      </w:r>
      <w:r w:rsidR="0017478D" w:rsidRPr="00194C2B">
        <w:rPr>
          <w:lang w:val="fr-BE"/>
        </w:rPr>
        <w:t>art à travers le prisme de leur regard</w:t>
      </w:r>
      <w:r w:rsidR="00193D07" w:rsidRPr="00194C2B">
        <w:rPr>
          <w:lang w:val="fr-BE"/>
        </w:rPr>
        <w:t>, lorsqu</w:t>
      </w:r>
      <w:r w:rsidR="006057AF" w:rsidRPr="00194C2B">
        <w:rPr>
          <w:lang w:val="fr-BE"/>
        </w:rPr>
        <w:t>’</w:t>
      </w:r>
      <w:r w:rsidR="00193D07" w:rsidRPr="00194C2B">
        <w:rPr>
          <w:lang w:val="fr-BE"/>
        </w:rPr>
        <w:t>ils ont fait œuvre de critiques en particulier.</w:t>
      </w:r>
      <w:r w:rsidR="008D4561" w:rsidRPr="00194C2B">
        <w:rPr>
          <w:lang w:val="fr-BE"/>
        </w:rPr>
        <w:t xml:space="preserve"> </w:t>
      </w:r>
      <w:r w:rsidR="00A7651D" w:rsidRPr="00194C2B">
        <w:rPr>
          <w:lang w:val="fr-BE"/>
        </w:rPr>
        <w:t xml:space="preserve">Ainsi </w:t>
      </w:r>
      <w:r w:rsidR="0052596C" w:rsidRPr="00194C2B">
        <w:rPr>
          <w:lang w:val="fr-BE"/>
        </w:rPr>
        <w:t xml:space="preserve">le </w:t>
      </w:r>
      <w:r w:rsidR="772DE573" w:rsidRPr="00194C2B">
        <w:rPr>
          <w:lang w:val="fr-BE"/>
        </w:rPr>
        <w:t>m</w:t>
      </w:r>
      <w:r w:rsidR="0052596C" w:rsidRPr="00194C2B">
        <w:rPr>
          <w:lang w:val="fr-BE"/>
        </w:rPr>
        <w:t xml:space="preserve">usée de la </w:t>
      </w:r>
      <w:r w:rsidR="772DE573" w:rsidRPr="00194C2B">
        <w:rPr>
          <w:lang w:val="fr-BE"/>
        </w:rPr>
        <w:t>V</w:t>
      </w:r>
      <w:r w:rsidR="0052596C" w:rsidRPr="00194C2B">
        <w:rPr>
          <w:lang w:val="fr-BE"/>
        </w:rPr>
        <w:t xml:space="preserve">ie romantique </w:t>
      </w:r>
      <w:r w:rsidR="009E06AB" w:rsidRPr="00194C2B">
        <w:rPr>
          <w:lang w:val="fr-BE"/>
        </w:rPr>
        <w:t xml:space="preserve">a-t-il </w:t>
      </w:r>
      <w:r w:rsidR="00A7651D" w:rsidRPr="00194C2B">
        <w:rPr>
          <w:lang w:val="fr-BE"/>
        </w:rPr>
        <w:t>organis</w:t>
      </w:r>
      <w:r w:rsidR="009E06AB" w:rsidRPr="00194C2B">
        <w:rPr>
          <w:lang w:val="fr-BE"/>
        </w:rPr>
        <w:t>é</w:t>
      </w:r>
      <w:r w:rsidR="00A7651D" w:rsidRPr="00194C2B">
        <w:rPr>
          <w:lang w:val="fr-BE"/>
        </w:rPr>
        <w:t xml:space="preserve"> en 2016 une exposition intitulée</w:t>
      </w:r>
      <w:r w:rsidR="00E91917" w:rsidRPr="00194C2B">
        <w:rPr>
          <w:lang w:val="fr-BE"/>
        </w:rPr>
        <w:t xml:space="preserve"> </w:t>
      </w:r>
      <w:r w:rsidR="00A7651D" w:rsidRPr="00194C2B">
        <w:rPr>
          <w:i/>
          <w:iCs/>
          <w:lang w:val="fr-BE"/>
        </w:rPr>
        <w:t>L</w:t>
      </w:r>
      <w:r w:rsidR="006057AF" w:rsidRPr="00194C2B">
        <w:rPr>
          <w:i/>
          <w:iCs/>
          <w:lang w:val="fr-BE"/>
        </w:rPr>
        <w:t>’</w:t>
      </w:r>
      <w:r w:rsidR="00A7651D" w:rsidRPr="00194C2B">
        <w:rPr>
          <w:i/>
          <w:iCs/>
          <w:lang w:val="fr-BE"/>
        </w:rPr>
        <w:t>Œil de Baudelaire</w:t>
      </w:r>
      <w:r w:rsidR="772DE573" w:rsidRPr="00194C2B">
        <w:rPr>
          <w:i/>
          <w:iCs/>
          <w:lang w:val="fr-BE"/>
        </w:rPr>
        <w:t xml:space="preserve">, </w:t>
      </w:r>
      <w:r w:rsidR="00A7651D" w:rsidRPr="00194C2B">
        <w:rPr>
          <w:lang w:val="fr-BE"/>
        </w:rPr>
        <w:t>réunissant des œuvres commentées</w:t>
      </w:r>
      <w:r w:rsidR="009E06AB" w:rsidRPr="00194C2B">
        <w:rPr>
          <w:lang w:val="fr-BE"/>
        </w:rPr>
        <w:t xml:space="preserve"> ou à tout le moins évoquées</w:t>
      </w:r>
      <w:r w:rsidR="00A7651D" w:rsidRPr="00194C2B">
        <w:rPr>
          <w:lang w:val="fr-BE"/>
        </w:rPr>
        <w:t xml:space="preserve"> par l</w:t>
      </w:r>
      <w:r w:rsidR="006057AF" w:rsidRPr="00194C2B">
        <w:rPr>
          <w:lang w:val="fr-BE"/>
        </w:rPr>
        <w:t>’</w:t>
      </w:r>
      <w:r w:rsidR="00A7651D" w:rsidRPr="00194C2B">
        <w:rPr>
          <w:lang w:val="fr-BE"/>
        </w:rPr>
        <w:t>auteur, ainsi qu</w:t>
      </w:r>
      <w:r w:rsidR="008E0AED" w:rsidRPr="00194C2B">
        <w:rPr>
          <w:lang w:val="fr-BE"/>
        </w:rPr>
        <w:t>’une part</w:t>
      </w:r>
      <w:r w:rsidR="00A7651D" w:rsidRPr="00194C2B">
        <w:rPr>
          <w:lang w:val="fr-BE"/>
        </w:rPr>
        <w:t xml:space="preserve"> </w:t>
      </w:r>
      <w:r w:rsidR="009E06AB" w:rsidRPr="00194C2B">
        <w:rPr>
          <w:lang w:val="fr-BE"/>
        </w:rPr>
        <w:lastRenderedPageBreak/>
        <w:t xml:space="preserve">de </w:t>
      </w:r>
      <w:r w:rsidR="00A7651D" w:rsidRPr="00194C2B">
        <w:rPr>
          <w:lang w:val="fr-BE"/>
        </w:rPr>
        <w:t xml:space="preserve">sa production écrite sur le sujet. </w:t>
      </w:r>
      <w:r w:rsidR="009E06AB" w:rsidRPr="00194C2B">
        <w:rPr>
          <w:lang w:val="fr-BE"/>
        </w:rPr>
        <w:t>Et la quatrième de couverture de l’ouvrage publié pour l’occasion de placer l’initiative sous le signe de l’invitation non pas aux voyages, mais aux « croisements » :</w:t>
      </w:r>
    </w:p>
    <w:p w14:paraId="746C4125" w14:textId="6DE10167" w:rsidR="009E06AB" w:rsidRPr="00194C2B" w:rsidRDefault="009E06AB" w:rsidP="772DE573">
      <w:pPr>
        <w:spacing w:after="120"/>
        <w:ind w:left="708"/>
        <w:jc w:val="both"/>
        <w:rPr>
          <w:lang w:val="fr-BE"/>
        </w:rPr>
      </w:pPr>
      <w:r w:rsidRPr="00194C2B">
        <w:rPr>
          <w:lang w:val="fr-BE"/>
        </w:rPr>
        <w:t>Le premier ouvrage que signe le jeune Charles Baudelaire est le Salon de 1845. Il nous propose, au travers des écrits esthétiques qu’il publie jusqu’en 1863, de parcourir le paysage artistique d’une période qui voit l’apparition de nouvelles formes concomitamment à la permanence des grands maîtres. […] C’est à la découverte de ces nombreux croisements que nous invite ce livre</w:t>
      </w:r>
      <w:r w:rsidRPr="772DE573">
        <w:rPr>
          <w:rStyle w:val="Appelnotedebasdep"/>
          <w:lang w:val="fr-BE"/>
        </w:rPr>
        <w:footnoteReference w:id="22"/>
      </w:r>
      <w:r w:rsidR="7387BCA1" w:rsidRPr="7387BCA1">
        <w:rPr>
          <w:rStyle w:val="Appelnotedebasdep"/>
          <w:vertAlign w:val="baseline"/>
          <w:lang w:val="fr-BE"/>
        </w:rPr>
        <w:t>.</w:t>
      </w:r>
    </w:p>
    <w:p w14:paraId="5B2E16E2" w14:textId="54058E47" w:rsidR="00925F93" w:rsidRPr="00194C2B" w:rsidRDefault="1CE9138E" w:rsidP="00194C2B">
      <w:pPr>
        <w:spacing w:after="120" w:line="360" w:lineRule="auto"/>
        <w:jc w:val="both"/>
        <w:rPr>
          <w:lang w:val="fr-BE"/>
        </w:rPr>
      </w:pPr>
      <w:r w:rsidRPr="00194C2B">
        <w:rPr>
          <w:lang w:val="fr-BE"/>
        </w:rPr>
        <w:t>Baudelaire se voit en quelque sorte placé dans le cadre de cette exposition en position de commissaire par procuration. C’est son regard qui est mis à l’avant-plan – et à ce titre l’exposition et le livre qui l’accompagne apportent indéniablement à la connaissance de son œuvre et de la période –, sous la forme de la « proposition », alors même qu’il est évident que l’écrivain n’a nullement écrit les textes qu’il a écrits sur la peinture pour « proposer » un « parcours » à travers « le paysage artistique d’une période ». Un tel parti pris, et sa mise en œuvre dans le cas de l’exposition, est bien entendu le fait des commissaires effectifs (il s’agissait d’un commissariat collectif), ainsi que le laisse entendre –, mais en demeurant dans l’anonymat –, le glissement de la « proposition » baudelairienne à l’invitation attribuée à cette entité que constitue le livre issu de l’exposition.</w:t>
      </w:r>
    </w:p>
    <w:p w14:paraId="02BE17FC" w14:textId="4FEA8E4D" w:rsidR="005F7715" w:rsidRDefault="00755447" w:rsidP="772DE573">
      <w:pPr>
        <w:spacing w:after="120" w:line="360" w:lineRule="auto"/>
        <w:jc w:val="center"/>
        <w:rPr>
          <w:lang w:val="fr-BE"/>
        </w:rPr>
      </w:pPr>
      <w:r>
        <w:rPr>
          <w:noProof/>
          <w:lang w:val="fr-BE"/>
        </w:rPr>
        <w:drawing>
          <wp:inline distT="0" distB="0" distL="0" distR="0" wp14:anchorId="74620220" wp14:editId="1E1DA618">
            <wp:extent cx="2249479" cy="3298287"/>
            <wp:effectExtent l="0" t="0" r="0" b="0"/>
            <wp:docPr id="11" name="Image 11" descr="Une image contenant texte, Visage humain, habits,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Visage humain, habits, affich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251341" cy="3301018"/>
                    </a:xfrm>
                    <a:prstGeom prst="rect">
                      <a:avLst/>
                    </a:prstGeom>
                  </pic:spPr>
                </pic:pic>
              </a:graphicData>
            </a:graphic>
          </wp:inline>
        </w:drawing>
      </w:r>
    </w:p>
    <w:p w14:paraId="35842A07" w14:textId="6CE24279" w:rsidR="00755447" w:rsidRPr="00755447" w:rsidRDefault="00755447" w:rsidP="772DE573">
      <w:pPr>
        <w:spacing w:after="120" w:line="360" w:lineRule="auto"/>
        <w:jc w:val="center"/>
        <w:rPr>
          <w:sz w:val="20"/>
          <w:szCs w:val="20"/>
          <w:lang w:val="fr-BE"/>
        </w:rPr>
      </w:pPr>
      <w:r w:rsidRPr="00755447">
        <w:rPr>
          <w:i/>
          <w:iCs/>
          <w:sz w:val="20"/>
          <w:szCs w:val="20"/>
          <w:lang w:val="fr-BE"/>
        </w:rPr>
        <w:t>L’Œil de Baudelaire</w:t>
      </w:r>
      <w:r w:rsidRPr="00755447">
        <w:rPr>
          <w:sz w:val="20"/>
          <w:szCs w:val="20"/>
          <w:lang w:val="fr-BE"/>
        </w:rPr>
        <w:t>, Musée de la vie romantique, 2016-2017. Affiche de l’exposition.</w:t>
      </w:r>
    </w:p>
    <w:p w14:paraId="00CEB748" w14:textId="58613E93" w:rsidR="00755447" w:rsidRPr="00194C2B" w:rsidRDefault="00755447" w:rsidP="772DE573">
      <w:pPr>
        <w:spacing w:after="120" w:line="360" w:lineRule="auto"/>
        <w:jc w:val="center"/>
        <w:rPr>
          <w:lang w:val="fr-BE"/>
        </w:rPr>
      </w:pPr>
    </w:p>
    <w:p w14:paraId="7ED07C97" w14:textId="040B96BB" w:rsidR="00A7651D" w:rsidRPr="00194C2B" w:rsidRDefault="1CE9138E" w:rsidP="00194C2B">
      <w:pPr>
        <w:spacing w:after="120" w:line="360" w:lineRule="auto"/>
        <w:jc w:val="both"/>
        <w:rPr>
          <w:lang w:val="fr-BE"/>
        </w:rPr>
      </w:pPr>
      <w:r w:rsidRPr="00194C2B">
        <w:rPr>
          <w:lang w:val="fr-BE"/>
        </w:rPr>
        <w:t>Critique d’art désormais en vue eu égard à sa place dans le canon de la littérature, Baudelaire fait à l’évidence partie des auteurs les plus susceptibles de ce type d</w:t>
      </w:r>
      <w:r w:rsidR="00110FA1">
        <w:rPr>
          <w:lang w:val="fr-BE"/>
        </w:rPr>
        <w:t>e mobilisations</w:t>
      </w:r>
      <w:r w:rsidRPr="00194C2B">
        <w:rPr>
          <w:lang w:val="fr-BE"/>
        </w:rPr>
        <w:t xml:space="preserve">. En 2021, tirant parti de l’actualité dont le même Baudelaire faisait l’objet (il s’agissait du bicentenaire de sa naissance), le musée d’Orsay a à son tour convoqué le poète des </w:t>
      </w:r>
      <w:r w:rsidRPr="00194C2B">
        <w:rPr>
          <w:i/>
          <w:iCs/>
          <w:lang w:val="fr-BE"/>
        </w:rPr>
        <w:t>Fleurs du mal</w:t>
      </w:r>
      <w:r w:rsidRPr="00194C2B">
        <w:rPr>
          <w:lang w:val="fr-BE"/>
        </w:rPr>
        <w:t xml:space="preserve"> à l’occasion d’un accrochage (</w:t>
      </w:r>
      <w:r w:rsidRPr="00194C2B">
        <w:rPr>
          <w:i/>
          <w:iCs/>
          <w:lang w:val="fr-BE"/>
        </w:rPr>
        <w:t>Charles Baudelaire et Constantin Guys. Le Peintre de la vie moderne</w:t>
      </w:r>
      <w:r w:rsidRPr="00194C2B">
        <w:rPr>
          <w:lang w:val="fr-BE"/>
        </w:rPr>
        <w:t xml:space="preserve">) permettant de donner à voir certaines </w:t>
      </w:r>
      <w:r w:rsidRPr="00110FA1">
        <w:rPr>
          <w:lang w:val="fr-BE"/>
        </w:rPr>
        <w:t xml:space="preserve">pièces de ses collections. Manifestement enclin à ce type d’opérations convoquant des écrivains, le musée reprenait une formule déjà adoptée quelques années auparavant avec </w:t>
      </w:r>
      <w:r w:rsidRPr="00110FA1">
        <w:rPr>
          <w:i/>
          <w:iCs/>
          <w:lang w:val="fr-BE"/>
        </w:rPr>
        <w:t>Degas danse dessin</w:t>
      </w:r>
      <w:r w:rsidRPr="00110FA1">
        <w:rPr>
          <w:lang w:val="fr-BE"/>
        </w:rPr>
        <w:t xml:space="preserve">, exposition au sous-titre explicite concernant l’usage fait des écrits d’un auteur : </w:t>
      </w:r>
      <w:r w:rsidRPr="00110FA1">
        <w:rPr>
          <w:i/>
          <w:iCs/>
          <w:lang w:val="fr-BE"/>
        </w:rPr>
        <w:t>Hommage à Degas avec</w:t>
      </w:r>
      <w:r w:rsidRPr="00194C2B">
        <w:rPr>
          <w:i/>
          <w:iCs/>
          <w:lang w:val="fr-BE"/>
        </w:rPr>
        <w:t xml:space="preserve"> Paul Valéry </w:t>
      </w:r>
      <w:r w:rsidRPr="00194C2B">
        <w:rPr>
          <w:lang w:val="fr-BE"/>
        </w:rPr>
        <w:t>:</w:t>
      </w:r>
    </w:p>
    <w:p w14:paraId="23049D55" w14:textId="03322EE2" w:rsidR="00C567A2" w:rsidRPr="00194C2B" w:rsidRDefault="003519B5" w:rsidP="772DE573">
      <w:pPr>
        <w:ind w:left="709"/>
        <w:jc w:val="both"/>
        <w:rPr>
          <w:color w:val="1C1C1C"/>
          <w:lang w:val="fr-BE"/>
        </w:rPr>
      </w:pPr>
      <w:r w:rsidRPr="00194C2B">
        <w:rPr>
          <w:color w:val="1C1C1C"/>
          <w:shd w:val="clear" w:color="auto" w:fill="FFFFFF"/>
          <w:lang w:val="fr-BE"/>
        </w:rPr>
        <w:t>À</w:t>
      </w:r>
      <w:r w:rsidR="00C567A2" w:rsidRPr="00194C2B">
        <w:rPr>
          <w:color w:val="1C1C1C"/>
          <w:shd w:val="clear" w:color="auto" w:fill="FFFFFF"/>
          <w:lang w:val="fr-BE"/>
        </w:rPr>
        <w:t xml:space="preserve"> l</w:t>
      </w:r>
      <w:r w:rsidR="006057AF" w:rsidRPr="00194C2B">
        <w:rPr>
          <w:color w:val="1C1C1C"/>
          <w:shd w:val="clear" w:color="auto" w:fill="FFFFFF"/>
          <w:lang w:val="fr-BE"/>
        </w:rPr>
        <w:t>’</w:t>
      </w:r>
      <w:r w:rsidR="00C567A2" w:rsidRPr="00194C2B">
        <w:rPr>
          <w:color w:val="1C1C1C"/>
          <w:shd w:val="clear" w:color="auto" w:fill="FFFFFF"/>
          <w:lang w:val="fr-BE"/>
        </w:rPr>
        <w:t>occasion du centenaire de sa mort, le musée d</w:t>
      </w:r>
      <w:r w:rsidR="006057AF" w:rsidRPr="00194C2B">
        <w:rPr>
          <w:color w:val="1C1C1C"/>
          <w:shd w:val="clear" w:color="auto" w:fill="FFFFFF"/>
          <w:lang w:val="fr-BE"/>
        </w:rPr>
        <w:t>’</w:t>
      </w:r>
      <w:r w:rsidR="00C567A2" w:rsidRPr="00194C2B">
        <w:rPr>
          <w:color w:val="1C1C1C"/>
          <w:shd w:val="clear" w:color="auto" w:fill="FFFFFF"/>
          <w:lang w:val="fr-BE"/>
        </w:rPr>
        <w:t>Orsay rend hommage à Edgar Degas (1834-1917) avec une exposition dont le fil conducteur est l</w:t>
      </w:r>
      <w:r w:rsidR="006057AF" w:rsidRPr="00194C2B">
        <w:rPr>
          <w:color w:val="1C1C1C"/>
          <w:shd w:val="clear" w:color="auto" w:fill="FFFFFF"/>
          <w:lang w:val="fr-BE"/>
        </w:rPr>
        <w:t>’</w:t>
      </w:r>
      <w:r w:rsidR="00C567A2" w:rsidRPr="00194C2B">
        <w:rPr>
          <w:color w:val="1C1C1C"/>
          <w:shd w:val="clear" w:color="auto" w:fill="FFFFFF"/>
          <w:lang w:val="fr-BE"/>
        </w:rPr>
        <w:t>ouvrage méconnu de l</w:t>
      </w:r>
      <w:r w:rsidR="006057AF" w:rsidRPr="00194C2B">
        <w:rPr>
          <w:color w:val="1C1C1C"/>
          <w:shd w:val="clear" w:color="auto" w:fill="FFFFFF"/>
          <w:lang w:val="fr-BE"/>
        </w:rPr>
        <w:t>’</w:t>
      </w:r>
      <w:r w:rsidR="00C567A2" w:rsidRPr="00194C2B">
        <w:rPr>
          <w:color w:val="1C1C1C"/>
          <w:shd w:val="clear" w:color="auto" w:fill="FFFFFF"/>
          <w:lang w:val="fr-BE"/>
        </w:rPr>
        <w:t>écrivain, poète et penseur Paul Valéry (1871-1945). L</w:t>
      </w:r>
      <w:r w:rsidR="006057AF" w:rsidRPr="00194C2B">
        <w:rPr>
          <w:color w:val="1C1C1C"/>
          <w:shd w:val="clear" w:color="auto" w:fill="FFFFFF"/>
          <w:lang w:val="fr-BE"/>
        </w:rPr>
        <w:t>’</w:t>
      </w:r>
      <w:r w:rsidR="00C567A2" w:rsidRPr="00194C2B">
        <w:rPr>
          <w:color w:val="1C1C1C"/>
          <w:shd w:val="clear" w:color="auto" w:fill="FFFFFF"/>
          <w:lang w:val="fr-BE"/>
        </w:rPr>
        <w:t>amitié de plus de vingt ans de Degas et de Valéry a, en effet, donné lieu à un texte publié aux éditions Vollard en 1937, </w:t>
      </w:r>
      <w:r w:rsidR="00C567A2" w:rsidRPr="00194C2B">
        <w:rPr>
          <w:rStyle w:val="Accentuation"/>
          <w:color w:val="1C1C1C"/>
          <w:shd w:val="clear" w:color="auto" w:fill="FFFFFF"/>
          <w:lang w:val="fr-BE"/>
        </w:rPr>
        <w:t>Degas Danse Dessin</w:t>
      </w:r>
      <w:r w:rsidR="00C567A2" w:rsidRPr="00194C2B">
        <w:rPr>
          <w:color w:val="1C1C1C"/>
          <w:shd w:val="clear" w:color="auto" w:fill="FFFFFF"/>
          <w:lang w:val="fr-BE"/>
        </w:rPr>
        <w:t>. Tout à la fois intime et universel, il offre une évocation poétique et fragmentaire de la personnalité du peintre et de son art, et comme une méditation sur la création.</w:t>
      </w:r>
    </w:p>
    <w:p w14:paraId="03148892" w14:textId="7E699283" w:rsidR="00C567A2" w:rsidRPr="00194C2B" w:rsidRDefault="00C567A2" w:rsidP="772DE573">
      <w:pPr>
        <w:ind w:left="709"/>
        <w:jc w:val="both"/>
        <w:rPr>
          <w:color w:val="1C1C1C"/>
          <w:lang w:val="fr-BE"/>
        </w:rPr>
      </w:pPr>
      <w:r w:rsidRPr="00194C2B">
        <w:rPr>
          <w:color w:val="1C1C1C"/>
          <w:shd w:val="clear" w:color="auto" w:fill="FFFFFF"/>
          <w:lang w:val="fr-BE"/>
        </w:rPr>
        <w:t>Dans l</w:t>
      </w:r>
      <w:r w:rsidR="006057AF" w:rsidRPr="00194C2B">
        <w:rPr>
          <w:color w:val="1C1C1C"/>
          <w:shd w:val="clear" w:color="auto" w:fill="FFFFFF"/>
          <w:lang w:val="fr-BE"/>
        </w:rPr>
        <w:t>’</w:t>
      </w:r>
      <w:r w:rsidRPr="00194C2B">
        <w:rPr>
          <w:color w:val="1C1C1C"/>
          <w:shd w:val="clear" w:color="auto" w:fill="FFFFFF"/>
          <w:lang w:val="fr-BE"/>
        </w:rPr>
        <w:t>exposition, documents figurés et documents d</w:t>
      </w:r>
      <w:r w:rsidR="006057AF" w:rsidRPr="00194C2B">
        <w:rPr>
          <w:color w:val="1C1C1C"/>
          <w:shd w:val="clear" w:color="auto" w:fill="FFFFFF"/>
          <w:lang w:val="fr-BE"/>
        </w:rPr>
        <w:t>’</w:t>
      </w:r>
      <w:r w:rsidRPr="00194C2B">
        <w:rPr>
          <w:color w:val="1C1C1C"/>
          <w:shd w:val="clear" w:color="auto" w:fill="FFFFFF"/>
          <w:lang w:val="fr-BE"/>
        </w:rPr>
        <w:t>archive donnent à voir ces hommes et leurs sociabilités. Les nombreux dessins du premier et les fameux carnets du second montrent l</w:t>
      </w:r>
      <w:r w:rsidR="006057AF" w:rsidRPr="00194C2B">
        <w:rPr>
          <w:color w:val="1C1C1C"/>
          <w:shd w:val="clear" w:color="auto" w:fill="FFFFFF"/>
          <w:lang w:val="fr-BE"/>
        </w:rPr>
        <w:t>’</w:t>
      </w:r>
      <w:r w:rsidRPr="00194C2B">
        <w:rPr>
          <w:color w:val="1C1C1C"/>
          <w:shd w:val="clear" w:color="auto" w:fill="FFFFFF"/>
          <w:lang w:val="fr-BE"/>
        </w:rPr>
        <w:t>importance de ces productions qui ont été, pour l</w:t>
      </w:r>
      <w:r w:rsidR="006057AF" w:rsidRPr="00194C2B">
        <w:rPr>
          <w:color w:val="1C1C1C"/>
          <w:shd w:val="clear" w:color="auto" w:fill="FFFFFF"/>
          <w:lang w:val="fr-BE"/>
        </w:rPr>
        <w:t>’</w:t>
      </w:r>
      <w:r w:rsidRPr="00194C2B">
        <w:rPr>
          <w:color w:val="1C1C1C"/>
          <w:shd w:val="clear" w:color="auto" w:fill="FFFFFF"/>
          <w:lang w:val="fr-BE"/>
        </w:rPr>
        <w:t>un et l</w:t>
      </w:r>
      <w:r w:rsidR="006057AF" w:rsidRPr="00194C2B">
        <w:rPr>
          <w:color w:val="1C1C1C"/>
          <w:shd w:val="clear" w:color="auto" w:fill="FFFFFF"/>
          <w:lang w:val="fr-BE"/>
        </w:rPr>
        <w:t>’</w:t>
      </w:r>
      <w:r w:rsidRPr="00194C2B">
        <w:rPr>
          <w:color w:val="1C1C1C"/>
          <w:shd w:val="clear" w:color="auto" w:fill="FFFFFF"/>
          <w:lang w:val="fr-BE"/>
        </w:rPr>
        <w:t>autre, le creuset de leur art.</w:t>
      </w:r>
    </w:p>
    <w:p w14:paraId="6D73CDC1" w14:textId="7F342CA8" w:rsidR="005F7715" w:rsidRPr="00194C2B" w:rsidRDefault="00C567A2" w:rsidP="7387BCA1">
      <w:pPr>
        <w:spacing w:after="120"/>
        <w:ind w:left="709"/>
        <w:jc w:val="both"/>
        <w:rPr>
          <w:rStyle w:val="Appelnotedebasdep"/>
          <w:color w:val="1C1C1C"/>
          <w:sz w:val="22"/>
          <w:szCs w:val="22"/>
          <w:lang w:val="fr-BE"/>
        </w:rPr>
      </w:pPr>
      <w:r w:rsidRPr="00194C2B">
        <w:rPr>
          <w:color w:val="1C1C1C"/>
          <w:shd w:val="clear" w:color="auto" w:fill="FFFFFF"/>
          <w:lang w:val="fr-BE"/>
        </w:rPr>
        <w:t>Les thèmes majeurs explorés dans </w:t>
      </w:r>
      <w:r w:rsidRPr="00194C2B">
        <w:rPr>
          <w:rStyle w:val="Accentuation"/>
          <w:color w:val="1C1C1C"/>
          <w:shd w:val="clear" w:color="auto" w:fill="FFFFFF"/>
          <w:lang w:val="fr-BE"/>
        </w:rPr>
        <w:t>Degas Danse Dessin</w:t>
      </w:r>
      <w:r w:rsidRPr="00194C2B">
        <w:rPr>
          <w:color w:val="1C1C1C"/>
          <w:shd w:val="clear" w:color="auto" w:fill="FFFFFF"/>
          <w:lang w:val="fr-BE"/>
        </w:rPr>
        <w:t> sont évoqués en associant des extraits du texte de Valéry à des œuvres graphiques, des peintures et des sculptures de Degas</w:t>
      </w:r>
      <w:r w:rsidRPr="772DE573">
        <w:rPr>
          <w:rStyle w:val="Appelnotedebasdep"/>
          <w:color w:val="1C1C1C"/>
          <w:shd w:val="clear" w:color="auto" w:fill="FFFFFF"/>
          <w:lang w:val="fr-BE"/>
        </w:rPr>
        <w:footnoteReference w:id="23"/>
      </w:r>
      <w:r w:rsidR="7387BCA1" w:rsidRPr="7387BCA1">
        <w:rPr>
          <w:color w:val="1C1C1C"/>
          <w:lang w:val="fr-BE"/>
        </w:rPr>
        <w:t>.</w:t>
      </w:r>
    </w:p>
    <w:p w14:paraId="2C430BBB" w14:textId="3D7F28F3" w:rsidR="00E41199" w:rsidRPr="00194C2B" w:rsidRDefault="005F7715" w:rsidP="00DA3A6F">
      <w:pPr>
        <w:spacing w:after="120" w:line="360" w:lineRule="auto"/>
        <w:jc w:val="center"/>
        <w:rPr>
          <w:lang w:val="fr-BE"/>
        </w:rPr>
      </w:pPr>
      <w:r>
        <w:rPr>
          <w:noProof/>
        </w:rPr>
        <w:lastRenderedPageBreak/>
        <w:drawing>
          <wp:inline distT="0" distB="0" distL="0" distR="0" wp14:anchorId="6DB0C60F" wp14:editId="27B317E6">
            <wp:extent cx="4731476" cy="3151163"/>
            <wp:effectExtent l="0" t="0" r="0" b="0"/>
            <wp:docPr id="8" name="Image 8" descr="Une image contenant galerie, mur, intérieur,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6">
                      <a:extLst>
                        <a:ext uri="{28A0092B-C50C-407E-A947-70E740481C1C}">
                          <a14:useLocalDpi xmlns:a14="http://schemas.microsoft.com/office/drawing/2010/main" val="0"/>
                        </a:ext>
                      </a:extLst>
                    </a:blip>
                    <a:stretch>
                      <a:fillRect/>
                    </a:stretch>
                  </pic:blipFill>
                  <pic:spPr>
                    <a:xfrm>
                      <a:off x="0" y="0"/>
                      <a:ext cx="4731476" cy="3151163"/>
                    </a:xfrm>
                    <a:prstGeom prst="rect">
                      <a:avLst/>
                    </a:prstGeom>
                  </pic:spPr>
                </pic:pic>
              </a:graphicData>
            </a:graphic>
          </wp:inline>
        </w:drawing>
      </w:r>
    </w:p>
    <w:p w14:paraId="5929CDE3" w14:textId="4C72DD08" w:rsidR="00ED3EC9" w:rsidRPr="00DE2AFA" w:rsidRDefault="00424A16" w:rsidP="00194C2B">
      <w:pPr>
        <w:spacing w:after="120" w:line="360" w:lineRule="auto"/>
        <w:jc w:val="both"/>
        <w:rPr>
          <w:lang w:val="fr-BE"/>
        </w:rPr>
      </w:pPr>
      <w:r w:rsidRPr="00194C2B">
        <w:rPr>
          <w:lang w:val="fr-BE"/>
        </w:rPr>
        <w:t>À l’instar de celle que l</w:t>
      </w:r>
      <w:r w:rsidR="00ED3EC9" w:rsidRPr="00194C2B">
        <w:rPr>
          <w:lang w:val="fr-BE"/>
        </w:rPr>
        <w:t xml:space="preserve">e même </w:t>
      </w:r>
      <w:r w:rsidR="1CE9138E" w:rsidRPr="00194C2B">
        <w:rPr>
          <w:lang w:val="fr-BE"/>
        </w:rPr>
        <w:t>m</w:t>
      </w:r>
      <w:r w:rsidR="00ED3EC9" w:rsidRPr="00194C2B">
        <w:rPr>
          <w:lang w:val="fr-BE"/>
        </w:rPr>
        <w:t xml:space="preserve">usée d’Orsay </w:t>
      </w:r>
      <w:r w:rsidRPr="00194C2B">
        <w:rPr>
          <w:lang w:val="fr-BE"/>
        </w:rPr>
        <w:t xml:space="preserve">présente </w:t>
      </w:r>
      <w:r w:rsidR="00ED3EC9" w:rsidRPr="00194C2B">
        <w:rPr>
          <w:lang w:val="fr-BE"/>
        </w:rPr>
        <w:t>avec l’exposition</w:t>
      </w:r>
      <w:r w:rsidR="00110FA1">
        <w:rPr>
          <w:lang w:val="fr-BE"/>
        </w:rPr>
        <w:t xml:space="preserve"> </w:t>
      </w:r>
      <w:r w:rsidR="00110FA1" w:rsidRPr="00755447">
        <w:rPr>
          <w:i/>
          <w:iCs/>
          <w:lang w:val="fr-BE"/>
        </w:rPr>
        <w:t>H</w:t>
      </w:r>
      <w:r w:rsidR="00110FA1" w:rsidRPr="00110FA1">
        <w:rPr>
          <w:i/>
          <w:iCs/>
          <w:lang w:val="fr-BE"/>
        </w:rPr>
        <w:t>uysmans. De Degas à Grünewald. Sous le regard de Francesco Vezzoli</w:t>
      </w:r>
      <w:r w:rsidR="00E91917" w:rsidRPr="00110FA1">
        <w:rPr>
          <w:lang w:val="fr-BE"/>
        </w:rPr>
        <w:t xml:space="preserve"> </w:t>
      </w:r>
      <w:r w:rsidR="00110FA1" w:rsidRPr="00110FA1">
        <w:rPr>
          <w:lang w:val="fr-BE"/>
        </w:rPr>
        <w:t>– elle sera reprise à Strasbourg sous le titre</w:t>
      </w:r>
      <w:r w:rsidR="00110FA1">
        <w:rPr>
          <w:i/>
          <w:iCs/>
          <w:lang w:val="fr-BE"/>
        </w:rPr>
        <w:t xml:space="preserve"> </w:t>
      </w:r>
      <w:r w:rsidR="00ED3EC9" w:rsidRPr="00194C2B">
        <w:rPr>
          <w:i/>
          <w:iCs/>
          <w:lang w:val="fr-BE"/>
        </w:rPr>
        <w:t>L’Œil de Huysmans</w:t>
      </w:r>
      <w:r w:rsidR="00ED3EC9" w:rsidRPr="00194C2B">
        <w:rPr>
          <w:lang w:val="fr-BE"/>
        </w:rPr>
        <w:t>,</w:t>
      </w:r>
      <w:r w:rsidR="000612EF" w:rsidRPr="00194C2B">
        <w:rPr>
          <w:lang w:val="fr-BE"/>
        </w:rPr>
        <w:t xml:space="preserve"> qui </w:t>
      </w:r>
      <w:r w:rsidR="00110FA1">
        <w:rPr>
          <w:lang w:val="fr-BE"/>
        </w:rPr>
        <w:t>correspond à</w:t>
      </w:r>
      <w:r w:rsidR="000612EF" w:rsidRPr="00194C2B">
        <w:rPr>
          <w:lang w:val="fr-BE"/>
        </w:rPr>
        <w:t xml:space="preserve"> une formule </w:t>
      </w:r>
      <w:r w:rsidR="00110FA1">
        <w:rPr>
          <w:lang w:val="fr-BE"/>
        </w:rPr>
        <w:t>semblant</w:t>
      </w:r>
      <w:r w:rsidR="000612EF" w:rsidRPr="00194C2B">
        <w:rPr>
          <w:lang w:val="fr-BE"/>
        </w:rPr>
        <w:t xml:space="preserve"> avoir valeur de topos</w:t>
      </w:r>
      <w:r w:rsidR="00110FA1">
        <w:rPr>
          <w:lang w:val="fr-BE"/>
        </w:rPr>
        <w:t xml:space="preserve"> – </w:t>
      </w:r>
      <w:r w:rsidR="000612EF" w:rsidRPr="00194C2B">
        <w:rPr>
          <w:lang w:val="fr-BE"/>
        </w:rPr>
        <w:t>concernant</w:t>
      </w:r>
      <w:r w:rsidR="00ED3EC9" w:rsidRPr="00194C2B">
        <w:rPr>
          <w:lang w:val="fr-BE"/>
        </w:rPr>
        <w:t xml:space="preserve"> </w:t>
      </w:r>
      <w:r w:rsidR="000612EF" w:rsidRPr="00194C2B">
        <w:rPr>
          <w:lang w:val="fr-BE"/>
        </w:rPr>
        <w:t xml:space="preserve">à nouveau </w:t>
      </w:r>
      <w:r w:rsidR="00C71025">
        <w:rPr>
          <w:lang w:val="fr-BE"/>
        </w:rPr>
        <w:t>un</w:t>
      </w:r>
      <w:r w:rsidR="00ED3EC9" w:rsidRPr="00194C2B">
        <w:rPr>
          <w:lang w:val="fr-BE"/>
        </w:rPr>
        <w:t xml:space="preserve"> écrivain </w:t>
      </w:r>
      <w:r w:rsidR="000612EF" w:rsidRPr="00194C2B">
        <w:rPr>
          <w:lang w:val="fr-BE"/>
        </w:rPr>
        <w:t>qui a entretenu des liens étroits</w:t>
      </w:r>
      <w:r w:rsidR="00ED3EC9" w:rsidRPr="00194C2B">
        <w:rPr>
          <w:lang w:val="fr-BE"/>
        </w:rPr>
        <w:t xml:space="preserve"> </w:t>
      </w:r>
      <w:r w:rsidR="000612EF" w:rsidRPr="00194C2B">
        <w:rPr>
          <w:lang w:val="fr-BE"/>
        </w:rPr>
        <w:t>avec</w:t>
      </w:r>
      <w:r w:rsidR="00ED3EC9" w:rsidRPr="00194C2B">
        <w:rPr>
          <w:lang w:val="fr-BE"/>
        </w:rPr>
        <w:t xml:space="preserve"> la peintur</w:t>
      </w:r>
      <w:r w:rsidRPr="00194C2B">
        <w:rPr>
          <w:lang w:val="fr-BE"/>
        </w:rPr>
        <w:t>e</w:t>
      </w:r>
      <w:r w:rsidR="000612EF" w:rsidRPr="00194C2B">
        <w:rPr>
          <w:lang w:val="fr-BE"/>
        </w:rPr>
        <w:t xml:space="preserve">, de son temps comme </w:t>
      </w:r>
      <w:r w:rsidR="0086364B" w:rsidRPr="00194C2B">
        <w:rPr>
          <w:lang w:val="fr-BE"/>
        </w:rPr>
        <w:t>d</w:t>
      </w:r>
      <w:r w:rsidR="000612EF" w:rsidRPr="00194C2B">
        <w:rPr>
          <w:lang w:val="fr-BE"/>
        </w:rPr>
        <w:t>u passé</w:t>
      </w:r>
      <w:r w:rsidR="0086364B" w:rsidRPr="772DE573">
        <w:rPr>
          <w:rStyle w:val="Appelnotedebasdep"/>
          <w:lang w:val="fr-BE"/>
        </w:rPr>
        <w:footnoteReference w:id="24"/>
      </w:r>
      <w:r w:rsidRPr="00194C2B">
        <w:rPr>
          <w:lang w:val="fr-BE"/>
        </w:rPr>
        <w:t>, de telles expositions</w:t>
      </w:r>
      <w:r w:rsidR="00732A9F" w:rsidRPr="00194C2B">
        <w:rPr>
          <w:lang w:val="fr-BE"/>
        </w:rPr>
        <w:t xml:space="preserve"> mettent certes en avant un </w:t>
      </w:r>
      <w:r w:rsidR="00732A9F" w:rsidRPr="009427B8">
        <w:rPr>
          <w:lang w:val="fr-BE"/>
        </w:rPr>
        <w:t xml:space="preserve">écrivain, et présentent des documents </w:t>
      </w:r>
      <w:r w:rsidR="00732A9F" w:rsidRPr="00DE2AFA">
        <w:rPr>
          <w:lang w:val="fr-BE"/>
        </w:rPr>
        <w:t xml:space="preserve">qui relèvent de la panoplie des </w:t>
      </w:r>
      <w:proofErr w:type="spellStart"/>
      <w:r w:rsidR="00732A9F" w:rsidRPr="00DE2AFA">
        <w:rPr>
          <w:lang w:val="fr-BE"/>
        </w:rPr>
        <w:t>expôts</w:t>
      </w:r>
      <w:proofErr w:type="spellEnd"/>
      <w:r w:rsidR="00732A9F" w:rsidRPr="00DE2AFA">
        <w:rPr>
          <w:lang w:val="fr-BE"/>
        </w:rPr>
        <w:t xml:space="preserve"> attendus le concernant (livres, manuscrits, objets…)</w:t>
      </w:r>
      <w:r w:rsidR="000612EF" w:rsidRPr="00DE2AFA">
        <w:rPr>
          <w:lang w:val="fr-BE"/>
        </w:rPr>
        <w:t xml:space="preserve">. À telle enseigne que </w:t>
      </w:r>
      <w:r w:rsidR="00732A9F" w:rsidRPr="00DE2AFA">
        <w:rPr>
          <w:lang w:val="fr-BE"/>
        </w:rPr>
        <w:t xml:space="preserve">l’on peut à bon droit </w:t>
      </w:r>
      <w:r w:rsidR="000612EF" w:rsidRPr="00DE2AFA">
        <w:rPr>
          <w:lang w:val="fr-BE"/>
        </w:rPr>
        <w:t xml:space="preserve">les </w:t>
      </w:r>
      <w:r w:rsidR="00732A9F" w:rsidRPr="00DE2AFA">
        <w:rPr>
          <w:lang w:val="fr-BE"/>
        </w:rPr>
        <w:t>tenir pour des expositions également consacrées à ces écrivains</w:t>
      </w:r>
      <w:r w:rsidR="000612EF" w:rsidRPr="00DE2AFA">
        <w:rPr>
          <w:lang w:val="fr-BE"/>
        </w:rPr>
        <w:t xml:space="preserve"> : comme celle organisée autour de Baudelaire par le </w:t>
      </w:r>
      <w:r w:rsidR="1CE9138E" w:rsidRPr="00DE2AFA">
        <w:rPr>
          <w:lang w:val="fr-BE"/>
        </w:rPr>
        <w:t>m</w:t>
      </w:r>
      <w:r w:rsidR="000612EF" w:rsidRPr="00DE2AFA">
        <w:rPr>
          <w:lang w:val="fr-BE"/>
        </w:rPr>
        <w:t xml:space="preserve">usée de la </w:t>
      </w:r>
      <w:r w:rsidR="1CE9138E" w:rsidRPr="00DE2AFA">
        <w:rPr>
          <w:lang w:val="fr-BE"/>
        </w:rPr>
        <w:t>V</w:t>
      </w:r>
      <w:r w:rsidR="000612EF" w:rsidRPr="00DE2AFA">
        <w:rPr>
          <w:lang w:val="fr-BE"/>
        </w:rPr>
        <w:t>ie romantique, elle donne lieu à un ouvrage scientifique réunissant des spécialistes de l’écrivain d’une part, de certains peintres concernés d’autre part. Pour autant,</w:t>
      </w:r>
      <w:r w:rsidR="00732A9F" w:rsidRPr="00DE2AFA">
        <w:rPr>
          <w:lang w:val="fr-BE"/>
        </w:rPr>
        <w:t xml:space="preserve"> </w:t>
      </w:r>
      <w:r w:rsidR="000612EF" w:rsidRPr="00DE2AFA">
        <w:rPr>
          <w:lang w:val="fr-BE"/>
        </w:rPr>
        <w:t>ces expositions</w:t>
      </w:r>
      <w:r w:rsidR="00732A9F" w:rsidRPr="00DE2AFA">
        <w:rPr>
          <w:lang w:val="fr-BE"/>
        </w:rPr>
        <w:t xml:space="preserve"> n’en restent pas moins </w:t>
      </w:r>
      <w:r w:rsidR="00D95E03">
        <w:rPr>
          <w:lang w:val="fr-BE"/>
        </w:rPr>
        <w:t>dans le même temps</w:t>
      </w:r>
      <w:r w:rsidR="00732A9F" w:rsidRPr="00DE2AFA">
        <w:rPr>
          <w:lang w:val="fr-BE"/>
        </w:rPr>
        <w:t>, et sans doute plus lorsqu’elles sont organisées dans des musées d’art, des expositions de peinture.</w:t>
      </w:r>
    </w:p>
    <w:p w14:paraId="76E146AE" w14:textId="65247859" w:rsidR="005567FF" w:rsidRPr="00DE2AFA" w:rsidRDefault="772DE573" w:rsidP="00DE2AFA">
      <w:pPr>
        <w:spacing w:after="120" w:line="360" w:lineRule="auto"/>
        <w:jc w:val="both"/>
        <w:rPr>
          <w:lang w:val="fr-BE"/>
        </w:rPr>
      </w:pPr>
      <w:r w:rsidRPr="00DE2AFA">
        <w:rPr>
          <w:lang w:val="fr-BE"/>
        </w:rPr>
        <w:t xml:space="preserve">Pour les commissaires et les institutions qui se livrent à ce type d’approche, l’attrait de la formule est triple (au moins). D’une part, en amont même de la visite à l’exposition, un tel geste </w:t>
      </w:r>
      <w:proofErr w:type="spellStart"/>
      <w:r w:rsidRPr="00DE2AFA">
        <w:rPr>
          <w:lang w:val="fr-BE"/>
        </w:rPr>
        <w:t>curatorial</w:t>
      </w:r>
      <w:proofErr w:type="spellEnd"/>
      <w:r w:rsidRPr="00DE2AFA">
        <w:rPr>
          <w:lang w:val="fr-BE"/>
        </w:rPr>
        <w:t xml:space="preserve"> conjugue plusieurs notoriétés, celle de l’écrivain mis en vedette, et celle des peintres dont il a pu commenter le travail. Sont ainsi conjugués </w:t>
      </w:r>
      <w:r w:rsidR="00DE2AFA" w:rsidRPr="00DE2AFA">
        <w:rPr>
          <w:lang w:val="fr-BE"/>
        </w:rPr>
        <w:t>d</w:t>
      </w:r>
      <w:r w:rsidRPr="00DE2AFA">
        <w:rPr>
          <w:lang w:val="fr-BE"/>
        </w:rPr>
        <w:t xml:space="preserve">eux vecteurs d’intérêt potentiels au lieu </w:t>
      </w:r>
      <w:r w:rsidRPr="00DE2AFA">
        <w:rPr>
          <w:lang w:val="fr-BE"/>
        </w:rPr>
        <w:lastRenderedPageBreak/>
        <w:t xml:space="preserve">d’un seul : en somme, les amateurs de peinture sont conviés à venir voir les peintures dont Baudelaire, Huysmans ou Valéry ont pu parler (Delacroix, Constantin Guy, Gustave Moreau ou Odilon Redon et enfin Degas…), tandis que les lecteurs des écrivains viennent découvrir l’exposition consacrée, au moins en partie, au poète des </w:t>
      </w:r>
      <w:r w:rsidRPr="00DE2AFA">
        <w:rPr>
          <w:i/>
          <w:iCs/>
          <w:lang w:val="fr-BE"/>
        </w:rPr>
        <w:t>Fleurs du mal</w:t>
      </w:r>
      <w:r w:rsidRPr="00DE2AFA">
        <w:rPr>
          <w:lang w:val="fr-BE"/>
        </w:rPr>
        <w:t>, au romancier d’</w:t>
      </w:r>
      <w:r w:rsidRPr="00DE2AFA">
        <w:rPr>
          <w:i/>
          <w:iCs/>
          <w:lang w:val="fr-BE"/>
        </w:rPr>
        <w:t xml:space="preserve">À rebours </w:t>
      </w:r>
      <w:r w:rsidRPr="00DE2AFA">
        <w:rPr>
          <w:lang w:val="fr-BE"/>
        </w:rPr>
        <w:t xml:space="preserve">– qui a été critique d’art mais a également fréquemment évoqué des peintures (anciennes et contemporaines) dans ses romans – ou encore à l’essayiste de </w:t>
      </w:r>
      <w:r w:rsidRPr="00DE2AFA">
        <w:rPr>
          <w:i/>
          <w:iCs/>
          <w:lang w:val="fr-BE"/>
        </w:rPr>
        <w:t>Variétés</w:t>
      </w:r>
      <w:r w:rsidRPr="00DE2AFA">
        <w:rPr>
          <w:lang w:val="fr-BE"/>
        </w:rPr>
        <w:t>. En somme, il y va d’un renforcement réciproque de capital symbolique, en même temps que d’une délégation (feinte bien sûr) du regard du ou des commissaire(s), qui construit son propos en en passant par celui d’un tiers.</w:t>
      </w:r>
    </w:p>
    <w:p w14:paraId="0686521D" w14:textId="1A06C0D8" w:rsidR="005F7715" w:rsidRDefault="00DE2AFA" w:rsidP="772DE573">
      <w:pPr>
        <w:spacing w:after="120" w:line="360" w:lineRule="auto"/>
        <w:jc w:val="center"/>
        <w:rPr>
          <w:lang w:val="fr-BE"/>
        </w:rPr>
      </w:pPr>
      <w:r>
        <w:rPr>
          <w:noProof/>
        </w:rPr>
        <w:drawing>
          <wp:inline distT="0" distB="0" distL="0" distR="0" wp14:anchorId="1020CCC7" wp14:editId="49BAC756">
            <wp:extent cx="3952875" cy="5762625"/>
            <wp:effectExtent l="0" t="0" r="9525" b="9525"/>
            <wp:docPr id="10" name="Image 10" descr="Une image contenant texte, Visage humain, habits,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Visage humain, habits, affich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952875" cy="5762625"/>
                    </a:xfrm>
                    <a:prstGeom prst="rect">
                      <a:avLst/>
                    </a:prstGeom>
                  </pic:spPr>
                </pic:pic>
              </a:graphicData>
            </a:graphic>
          </wp:inline>
        </w:drawing>
      </w:r>
    </w:p>
    <w:p w14:paraId="0EB8A659" w14:textId="77777777" w:rsidR="00755447" w:rsidRDefault="00755447" w:rsidP="772DE573">
      <w:pPr>
        <w:spacing w:after="120" w:line="360" w:lineRule="auto"/>
        <w:jc w:val="center"/>
        <w:rPr>
          <w:sz w:val="20"/>
          <w:szCs w:val="20"/>
          <w:lang w:val="fr-BE"/>
        </w:rPr>
      </w:pPr>
      <w:r w:rsidRPr="00755447">
        <w:rPr>
          <w:i/>
          <w:iCs/>
          <w:sz w:val="20"/>
          <w:szCs w:val="20"/>
          <w:lang w:val="fr-BE"/>
        </w:rPr>
        <w:t>Huysmans. De Degas à Grünewald. Sous le regard de Francesco Vezzoli</w:t>
      </w:r>
      <w:r w:rsidRPr="00755447">
        <w:rPr>
          <w:sz w:val="20"/>
          <w:szCs w:val="20"/>
          <w:lang w:val="fr-BE"/>
        </w:rPr>
        <w:t xml:space="preserve">, Musée d’Orsay, 2019-2020. </w:t>
      </w:r>
    </w:p>
    <w:p w14:paraId="3AA363AC" w14:textId="67504D76" w:rsidR="00755447" w:rsidRPr="00755447" w:rsidRDefault="00755447" w:rsidP="772DE573">
      <w:pPr>
        <w:spacing w:after="120" w:line="360" w:lineRule="auto"/>
        <w:jc w:val="center"/>
        <w:rPr>
          <w:sz w:val="20"/>
          <w:szCs w:val="20"/>
          <w:lang w:val="fr-BE"/>
        </w:rPr>
      </w:pPr>
      <w:r w:rsidRPr="00755447">
        <w:rPr>
          <w:sz w:val="20"/>
          <w:szCs w:val="20"/>
          <w:lang w:val="fr-BE"/>
        </w:rPr>
        <w:t>Affiche de l’exposition</w:t>
      </w:r>
    </w:p>
    <w:p w14:paraId="0715B869" w14:textId="77777777" w:rsidR="00755447" w:rsidRPr="00755447" w:rsidRDefault="00755447" w:rsidP="772DE573">
      <w:pPr>
        <w:spacing w:after="120" w:line="360" w:lineRule="auto"/>
        <w:jc w:val="center"/>
        <w:rPr>
          <w:lang w:val="fr-BE"/>
        </w:rPr>
      </w:pPr>
    </w:p>
    <w:p w14:paraId="2B818293" w14:textId="39BDAE06" w:rsidR="005567FF" w:rsidRPr="00DE2AFA" w:rsidRDefault="772DE573" w:rsidP="00DE2AFA">
      <w:pPr>
        <w:spacing w:after="120" w:line="360" w:lineRule="auto"/>
        <w:jc w:val="both"/>
        <w:rPr>
          <w:lang w:val="fr-BE"/>
        </w:rPr>
      </w:pPr>
      <w:r w:rsidRPr="00DE2AFA">
        <w:rPr>
          <w:lang w:val="fr-BE"/>
        </w:rPr>
        <w:t xml:space="preserve">Inscrits dans un secteur éminemment concurrentiel, en particulier dans une ville de musées telle que Paris, les musées et autres institutions culturelles sont soumis à un impératif événementiel dont les expositions qu’elles organisent constituent l’un des principaux ressorts. Ceci impose, lorsqu’il s’agit d’exposer des créateurs qui se sont déjà vu consacrer nombre d’expositions, d’inventer des manières d’assurer un renouvellement des regards sur l’œuvre, sinon sur les pièces présentées. Mobiliser comme le font ces expositions le regard qu’un écrivain a pu poser sur la peinture en général et sur certaines œuvres picturales en particulier, revient fondamentalement à proposer un angle d’approche inédit, que la finalité soit, comme au musée de la Vie romantique, de proposer une exposition sur Baudelaire ou, comme au musée d’Orsay, de présenter des œuvres picturales (au moins partiellement) issues des collections, en leur adjoignant, dans un cas comme dans l’autre, un regard tiers, en réalité un discours, qui tout à la fois fait l’objet de l’exposition et sur lequel, dans le même temps, s’appuie le discours </w:t>
      </w:r>
      <w:proofErr w:type="spellStart"/>
      <w:r w:rsidRPr="00DE2AFA">
        <w:rPr>
          <w:lang w:val="fr-BE"/>
        </w:rPr>
        <w:t>curatorial</w:t>
      </w:r>
      <w:proofErr w:type="spellEnd"/>
      <w:r w:rsidRPr="00DE2AFA">
        <w:rPr>
          <w:lang w:val="fr-BE"/>
        </w:rPr>
        <w:t xml:space="preserve">. </w:t>
      </w:r>
    </w:p>
    <w:p w14:paraId="67B636F4" w14:textId="69621BDB" w:rsidR="008F0441" w:rsidRPr="00DE2AFA" w:rsidRDefault="1CE9138E" w:rsidP="00DE2AFA">
      <w:pPr>
        <w:spacing w:after="120" w:line="360" w:lineRule="auto"/>
        <w:jc w:val="both"/>
        <w:rPr>
          <w:lang w:val="fr-BE"/>
        </w:rPr>
      </w:pPr>
      <w:r w:rsidRPr="00DE2AFA">
        <w:rPr>
          <w:lang w:val="fr-BE"/>
        </w:rPr>
        <w:t xml:space="preserve">Une telle mobilisation d’une figure d’écrivain et des textes qu’il a pu consacrer à la peinture en général ou à un peintre en particulier, permet de mettre en avant des relations qui ont en effet bel et bien existé et qui appartiennent à l’histoire des relations entre les arts. Les institutions accomplissent ainsi leur mission de diffusion de connaissances relatives à l’histoire de l’art, à la faveur d’expositions dans lesquelles les écrivains se voient conférer un rôle plus central que dans les expositions à l’occasion desquelles leurs œuvres sont convoquées à titre de simple référence contextuelle, par une citation sur un mur ou un cartel par exemple. Ces expositions portent aussi peu ou prou sur leurs propres œuvres aussi bien qu’aux peintures qu’elles donnent l’occasion de présenter, selon des valences vraisemblablement variables : une exposition Baudelaire à la BnF </w:t>
      </w:r>
      <w:r w:rsidR="006C643C">
        <w:rPr>
          <w:lang w:val="fr-BE"/>
        </w:rPr>
        <w:t>apparaît</w:t>
      </w:r>
      <w:r w:rsidRPr="00DE2AFA">
        <w:rPr>
          <w:lang w:val="fr-BE"/>
        </w:rPr>
        <w:t xml:space="preserve"> en première instance</w:t>
      </w:r>
      <w:r w:rsidR="006C643C">
        <w:rPr>
          <w:lang w:val="fr-BE"/>
        </w:rPr>
        <w:t xml:space="preserve"> comme</w:t>
      </w:r>
      <w:r w:rsidRPr="00DE2AFA">
        <w:rPr>
          <w:lang w:val="fr-BE"/>
        </w:rPr>
        <w:t xml:space="preserve"> une exposition consacrée à l’auteur des </w:t>
      </w:r>
      <w:r w:rsidRPr="00DE2AFA">
        <w:rPr>
          <w:i/>
          <w:iCs/>
          <w:lang w:val="fr-BE"/>
        </w:rPr>
        <w:t>Fleurs du mal</w:t>
      </w:r>
      <w:r w:rsidRPr="00DE2AFA">
        <w:rPr>
          <w:lang w:val="fr-BE"/>
        </w:rPr>
        <w:t xml:space="preserve"> tandis que </w:t>
      </w:r>
      <w:r w:rsidRPr="00DE2AFA">
        <w:rPr>
          <w:i/>
          <w:iCs/>
          <w:lang w:val="fr-BE"/>
        </w:rPr>
        <w:t>Degas danse dessin</w:t>
      </w:r>
      <w:r w:rsidRPr="00DE2AFA">
        <w:rPr>
          <w:lang w:val="fr-BE"/>
        </w:rPr>
        <w:t xml:space="preserve">, présentée dans un musée des beaux-arts, </w:t>
      </w:r>
      <w:r w:rsidR="001611EB">
        <w:rPr>
          <w:lang w:val="fr-BE"/>
        </w:rPr>
        <w:t xml:space="preserve">sera probablement </w:t>
      </w:r>
      <w:r w:rsidRPr="00DE2AFA">
        <w:rPr>
          <w:lang w:val="fr-BE"/>
        </w:rPr>
        <w:t>avant tout</w:t>
      </w:r>
      <w:r w:rsidR="001611EB">
        <w:rPr>
          <w:lang w:val="fr-BE"/>
        </w:rPr>
        <w:t xml:space="preserve"> perçue comme</w:t>
      </w:r>
      <w:r w:rsidRPr="00DE2AFA">
        <w:rPr>
          <w:lang w:val="fr-BE"/>
        </w:rPr>
        <w:t xml:space="preserve"> consacrée à Degas.</w:t>
      </w:r>
    </w:p>
    <w:p w14:paraId="75CEE4E5" w14:textId="7075B375" w:rsidR="000703EF" w:rsidRPr="00DE2AFA" w:rsidRDefault="0052174B" w:rsidP="00DE2AFA">
      <w:pPr>
        <w:spacing w:after="120" w:line="360" w:lineRule="auto"/>
        <w:jc w:val="both"/>
        <w:rPr>
          <w:lang w:val="fr-BE"/>
        </w:rPr>
      </w:pPr>
      <w:r w:rsidRPr="00DE2AFA">
        <w:rPr>
          <w:lang w:val="fr-BE"/>
        </w:rPr>
        <w:t>C</w:t>
      </w:r>
      <w:r w:rsidR="00E31700" w:rsidRPr="00DE2AFA">
        <w:rPr>
          <w:lang w:val="fr-BE"/>
        </w:rPr>
        <w:t xml:space="preserve">ette focale sur </w:t>
      </w:r>
      <w:r w:rsidR="006C6DB3" w:rsidRPr="00DE2AFA">
        <w:rPr>
          <w:lang w:val="fr-BE"/>
        </w:rPr>
        <w:t>d</w:t>
      </w:r>
      <w:r w:rsidR="00E31700" w:rsidRPr="00DE2AFA">
        <w:rPr>
          <w:lang w:val="fr-BE"/>
        </w:rPr>
        <w:t>es pans d</w:t>
      </w:r>
      <w:r w:rsidR="006C6DB3" w:rsidRPr="00DE2AFA">
        <w:rPr>
          <w:lang w:val="fr-BE"/>
        </w:rPr>
        <w:t>’</w:t>
      </w:r>
      <w:r w:rsidR="00E31700" w:rsidRPr="00DE2AFA">
        <w:rPr>
          <w:lang w:val="fr-BE"/>
        </w:rPr>
        <w:t xml:space="preserve">œuvres littéraires consacrées aux arts </w:t>
      </w:r>
      <w:r w:rsidR="00333823" w:rsidRPr="00DE2AFA">
        <w:rPr>
          <w:lang w:val="fr-BE"/>
        </w:rPr>
        <w:t>visuels</w:t>
      </w:r>
      <w:r w:rsidR="00E31700" w:rsidRPr="00DE2AFA">
        <w:rPr>
          <w:lang w:val="fr-BE"/>
        </w:rPr>
        <w:t xml:space="preserve"> paraît bénéfique aux deux domaines, en permettant non seulement une meilleure connaissance de leurs relations, mais aussi s’agissant de leur mise en valeur</w:t>
      </w:r>
      <w:r w:rsidR="006C6DB3" w:rsidRPr="00DE2AFA">
        <w:rPr>
          <w:lang w:val="fr-BE"/>
        </w:rPr>
        <w:t xml:space="preserve"> </w:t>
      </w:r>
      <w:r w:rsidR="0091412C" w:rsidRPr="00DE2AFA">
        <w:rPr>
          <w:lang w:val="fr-BE"/>
        </w:rPr>
        <w:t xml:space="preserve">respective </w:t>
      </w:r>
      <w:r w:rsidR="006C6DB3" w:rsidRPr="00DE2AFA">
        <w:rPr>
          <w:lang w:val="fr-BE"/>
        </w:rPr>
        <w:t>par un truchement déjà doté d’un capital symbolique (et de notoriété) conséquent</w:t>
      </w:r>
      <w:r w:rsidR="00E31700" w:rsidRPr="772DE573">
        <w:rPr>
          <w:rStyle w:val="Appelnotedebasdep"/>
          <w:lang w:val="fr-BE"/>
        </w:rPr>
        <w:footnoteReference w:id="25"/>
      </w:r>
      <w:r w:rsidR="0091412C" w:rsidRPr="00DE2AFA">
        <w:rPr>
          <w:lang w:val="fr-BE"/>
        </w:rPr>
        <w:t xml:space="preserve">. </w:t>
      </w:r>
      <w:r w:rsidR="0045418B" w:rsidRPr="00DE2AFA">
        <w:rPr>
          <w:lang w:val="fr-BE"/>
        </w:rPr>
        <w:t xml:space="preserve">Sans doute est-ce pour cette raison que, si elle </w:t>
      </w:r>
      <w:r w:rsidR="00417A9E" w:rsidRPr="00DE2AFA">
        <w:rPr>
          <w:lang w:val="fr-BE"/>
        </w:rPr>
        <w:lastRenderedPageBreak/>
        <w:t xml:space="preserve">s’inscrivait à bien des égards dans une approche comparable, l’exposition </w:t>
      </w:r>
      <w:r w:rsidR="00417A9E" w:rsidRPr="00DE2AFA">
        <w:rPr>
          <w:i/>
          <w:iCs/>
          <w:lang w:val="fr-BE"/>
        </w:rPr>
        <w:t>Senghor et les arts</w:t>
      </w:r>
      <w:r w:rsidR="00417A9E" w:rsidRPr="00DE2AFA">
        <w:rPr>
          <w:lang w:val="fr-BE"/>
        </w:rPr>
        <w:t xml:space="preserve">, présentée au </w:t>
      </w:r>
      <w:r w:rsidR="1CE9138E" w:rsidRPr="00DE2AFA">
        <w:rPr>
          <w:lang w:val="fr-BE"/>
        </w:rPr>
        <w:t>m</w:t>
      </w:r>
      <w:r w:rsidR="00417A9E" w:rsidRPr="00DE2AFA">
        <w:rPr>
          <w:lang w:val="fr-BE"/>
        </w:rPr>
        <w:t xml:space="preserve">usée du </w:t>
      </w:r>
      <w:r w:rsidR="1CE9138E" w:rsidRPr="00DE2AFA">
        <w:rPr>
          <w:lang w:val="fr-BE"/>
        </w:rPr>
        <w:t>Q</w:t>
      </w:r>
      <w:r w:rsidR="00417A9E" w:rsidRPr="00DE2AFA">
        <w:rPr>
          <w:lang w:val="fr-BE"/>
        </w:rPr>
        <w:t xml:space="preserve">uai Branly (7 février – 19 novembre 2023), dans sa perspective large (« et les arts ») se focalisait sur l’action de l’écrivain et homme d’état sénégalais concernant les arts, et non un seul artiste (ou une série de grands noms). </w:t>
      </w:r>
      <w:r w:rsidR="0091412C" w:rsidRPr="00DE2AFA">
        <w:rPr>
          <w:lang w:val="fr-BE"/>
        </w:rPr>
        <w:t>Mettant conjointement en jeu des figures de l’histoire littéraire et de l’histoire de l’art, le</w:t>
      </w:r>
      <w:r w:rsidR="006C6DB3" w:rsidRPr="00DE2AFA">
        <w:rPr>
          <w:lang w:val="fr-BE"/>
        </w:rPr>
        <w:t xml:space="preserve"> procédé</w:t>
      </w:r>
      <w:r w:rsidR="00E31700" w:rsidRPr="00DE2AFA">
        <w:rPr>
          <w:lang w:val="fr-BE"/>
        </w:rPr>
        <w:t xml:space="preserve"> </w:t>
      </w:r>
      <w:r w:rsidR="0091412C" w:rsidRPr="00DE2AFA">
        <w:rPr>
          <w:lang w:val="fr-BE"/>
        </w:rPr>
        <w:t>peut</w:t>
      </w:r>
      <w:r w:rsidR="006C6DB3" w:rsidRPr="00DE2AFA">
        <w:rPr>
          <w:lang w:val="fr-BE"/>
        </w:rPr>
        <w:t xml:space="preserve"> à l’occasion</w:t>
      </w:r>
      <w:r w:rsidR="0091412C" w:rsidRPr="00DE2AFA">
        <w:rPr>
          <w:lang w:val="fr-BE"/>
        </w:rPr>
        <w:t xml:space="preserve"> être poussé plus loin encore, et aller</w:t>
      </w:r>
      <w:r w:rsidR="006C6DB3" w:rsidRPr="00DE2AFA">
        <w:rPr>
          <w:lang w:val="fr-BE"/>
        </w:rPr>
        <w:t xml:space="preserve"> jusqu’à la</w:t>
      </w:r>
      <w:r w:rsidR="006168DA" w:rsidRPr="00DE2AFA">
        <w:rPr>
          <w:lang w:val="fr-BE"/>
        </w:rPr>
        <w:t xml:space="preserve"> </w:t>
      </w:r>
      <w:r w:rsidR="00186165" w:rsidRPr="00DE2AFA">
        <w:rPr>
          <w:lang w:val="fr-BE"/>
        </w:rPr>
        <w:t>sollicitation d</w:t>
      </w:r>
      <w:r w:rsidR="006057AF" w:rsidRPr="00DE2AFA">
        <w:rPr>
          <w:lang w:val="fr-BE"/>
        </w:rPr>
        <w:t>’</w:t>
      </w:r>
      <w:r w:rsidR="00186165" w:rsidRPr="00DE2AFA">
        <w:rPr>
          <w:lang w:val="fr-BE"/>
        </w:rPr>
        <w:t>auteurs</w:t>
      </w:r>
      <w:r w:rsidR="006C6DB3" w:rsidRPr="00DE2AFA">
        <w:rPr>
          <w:lang w:val="fr-BE"/>
        </w:rPr>
        <w:t xml:space="preserve"> ou d’autrices</w:t>
      </w:r>
      <w:r w:rsidR="00186165" w:rsidRPr="00DE2AFA">
        <w:rPr>
          <w:lang w:val="fr-BE"/>
        </w:rPr>
        <w:t xml:space="preserve"> encore bien </w:t>
      </w:r>
      <w:proofErr w:type="spellStart"/>
      <w:r w:rsidR="00186165" w:rsidRPr="00DE2AFA">
        <w:rPr>
          <w:lang w:val="fr-BE"/>
        </w:rPr>
        <w:t>vivant</w:t>
      </w:r>
      <w:r w:rsidR="1CE9138E" w:rsidRPr="00DE2AFA">
        <w:rPr>
          <w:lang w:val="fr-BE"/>
        </w:rPr>
        <w:t>·</w:t>
      </w:r>
      <w:r w:rsidR="006C6DB3" w:rsidRPr="00DE2AFA">
        <w:rPr>
          <w:lang w:val="fr-BE"/>
        </w:rPr>
        <w:t>e</w:t>
      </w:r>
      <w:r w:rsidR="1CE9138E" w:rsidRPr="00DE2AFA">
        <w:rPr>
          <w:lang w:val="fr-BE"/>
        </w:rPr>
        <w:t>·</w:t>
      </w:r>
      <w:r w:rsidR="00186165" w:rsidRPr="00DE2AFA">
        <w:rPr>
          <w:lang w:val="fr-BE"/>
        </w:rPr>
        <w:t>s</w:t>
      </w:r>
      <w:proofErr w:type="spellEnd"/>
      <w:r w:rsidR="00186165" w:rsidRPr="00DE2AFA">
        <w:rPr>
          <w:lang w:val="fr-BE"/>
        </w:rPr>
        <w:t xml:space="preserve">, </w:t>
      </w:r>
      <w:proofErr w:type="spellStart"/>
      <w:r w:rsidR="00186165" w:rsidRPr="00DE2AFA">
        <w:rPr>
          <w:lang w:val="fr-BE"/>
        </w:rPr>
        <w:t>auxquel</w:t>
      </w:r>
      <w:r w:rsidR="1CE9138E" w:rsidRPr="00DE2AFA">
        <w:rPr>
          <w:lang w:val="fr-BE"/>
        </w:rPr>
        <w:t>·</w:t>
      </w:r>
      <w:r w:rsidR="006C6DB3" w:rsidRPr="00DE2AFA">
        <w:rPr>
          <w:lang w:val="fr-BE"/>
        </w:rPr>
        <w:t>le</w:t>
      </w:r>
      <w:r w:rsidR="1CE9138E" w:rsidRPr="00DE2AFA">
        <w:rPr>
          <w:lang w:val="fr-BE"/>
        </w:rPr>
        <w:t>·</w:t>
      </w:r>
      <w:r w:rsidR="00186165" w:rsidRPr="00DE2AFA">
        <w:rPr>
          <w:lang w:val="fr-BE"/>
        </w:rPr>
        <w:t>s</w:t>
      </w:r>
      <w:proofErr w:type="spellEnd"/>
      <w:r w:rsidR="00186165" w:rsidRPr="00DE2AFA">
        <w:rPr>
          <w:lang w:val="fr-BE"/>
        </w:rPr>
        <w:t xml:space="preserve"> </w:t>
      </w:r>
      <w:r w:rsidRPr="00DE2AFA">
        <w:rPr>
          <w:lang w:val="fr-BE"/>
        </w:rPr>
        <w:t>les institutions</w:t>
      </w:r>
      <w:r w:rsidR="00186165" w:rsidRPr="00DE2AFA">
        <w:rPr>
          <w:lang w:val="fr-BE"/>
        </w:rPr>
        <w:t xml:space="preserve"> délèguent une partie de leurs prérogatives</w:t>
      </w:r>
      <w:r w:rsidR="0091412C" w:rsidRPr="00DE2AFA">
        <w:rPr>
          <w:lang w:val="fr-BE"/>
        </w:rPr>
        <w:t xml:space="preserve"> pour présenter leurs collections (le plus souvent) ou un sujet qui relève de leurs missions en matière de diffusion des connaissances</w:t>
      </w:r>
      <w:r w:rsidR="00186165" w:rsidRPr="00DE2AFA">
        <w:rPr>
          <w:lang w:val="fr-BE"/>
        </w:rPr>
        <w:t>.</w:t>
      </w:r>
      <w:r w:rsidR="006168DA" w:rsidRPr="00DE2AFA">
        <w:rPr>
          <w:lang w:val="fr-BE"/>
        </w:rPr>
        <w:t xml:space="preserve"> </w:t>
      </w:r>
      <w:r w:rsidR="000703EF" w:rsidRPr="00DE2AFA">
        <w:rPr>
          <w:lang w:val="fr-BE"/>
        </w:rPr>
        <w:t xml:space="preserve">C’est ainsi que l’on a </w:t>
      </w:r>
      <w:r w:rsidR="0091412C" w:rsidRPr="00DE2AFA">
        <w:rPr>
          <w:lang w:val="fr-BE"/>
        </w:rPr>
        <w:t xml:space="preserve">pu </w:t>
      </w:r>
      <w:r w:rsidR="000703EF" w:rsidRPr="00DE2AFA">
        <w:rPr>
          <w:lang w:val="fr-BE"/>
        </w:rPr>
        <w:t>v</w:t>
      </w:r>
      <w:r w:rsidR="0091412C" w:rsidRPr="00DE2AFA">
        <w:rPr>
          <w:lang w:val="fr-BE"/>
        </w:rPr>
        <w:t>oir certains</w:t>
      </w:r>
      <w:r w:rsidR="000703EF" w:rsidRPr="00DE2AFA">
        <w:rPr>
          <w:lang w:val="fr-BE"/>
        </w:rPr>
        <w:t xml:space="preserve"> écrivains invités à </w:t>
      </w:r>
      <w:r w:rsidR="006C6DB3" w:rsidRPr="00DE2AFA">
        <w:rPr>
          <w:lang w:val="fr-BE"/>
        </w:rPr>
        <w:t>concevoir</w:t>
      </w:r>
      <w:r w:rsidR="000703EF" w:rsidRPr="00DE2AFA">
        <w:rPr>
          <w:lang w:val="fr-BE"/>
        </w:rPr>
        <w:t xml:space="preserve"> des expositions</w:t>
      </w:r>
      <w:r w:rsidR="008F0441" w:rsidRPr="00DE2AFA">
        <w:rPr>
          <w:lang w:val="fr-BE"/>
        </w:rPr>
        <w:t xml:space="preserve"> </w:t>
      </w:r>
      <w:r w:rsidR="006C6DB3" w:rsidRPr="00DE2AFA">
        <w:rPr>
          <w:lang w:val="fr-BE"/>
        </w:rPr>
        <w:t>en tant que</w:t>
      </w:r>
      <w:r w:rsidR="008F0441" w:rsidRPr="00DE2AFA">
        <w:rPr>
          <w:lang w:val="fr-BE"/>
        </w:rPr>
        <w:t xml:space="preserve"> commissaires</w:t>
      </w:r>
      <w:r w:rsidR="00333823" w:rsidRPr="00DE2AFA">
        <w:rPr>
          <w:lang w:val="fr-BE"/>
        </w:rPr>
        <w:t xml:space="preserve"> à part entière</w:t>
      </w:r>
      <w:r w:rsidR="000703EF" w:rsidRPr="00DE2AFA">
        <w:rPr>
          <w:lang w:val="fr-BE"/>
        </w:rPr>
        <w:t>.</w:t>
      </w:r>
    </w:p>
    <w:p w14:paraId="0B896D00" w14:textId="77777777" w:rsidR="00510196" w:rsidRPr="00DE2AFA" w:rsidRDefault="00510196" w:rsidP="772DE573">
      <w:pPr>
        <w:spacing w:after="120" w:line="360" w:lineRule="auto"/>
        <w:ind w:firstLine="708"/>
        <w:jc w:val="both"/>
        <w:rPr>
          <w:lang w:val="fr-BE"/>
        </w:rPr>
      </w:pPr>
    </w:p>
    <w:p w14:paraId="3DEF5D9E" w14:textId="0C5BDC9F" w:rsidR="00670297" w:rsidRPr="00DE2AFA" w:rsidRDefault="772DE573" w:rsidP="772DE573">
      <w:pPr>
        <w:spacing w:after="120" w:line="360" w:lineRule="auto"/>
        <w:rPr>
          <w:b/>
          <w:bCs/>
          <w:lang w:val="fr-BE"/>
        </w:rPr>
      </w:pPr>
      <w:r w:rsidRPr="00DE2AFA">
        <w:rPr>
          <w:b/>
          <w:bCs/>
          <w:lang w:val="fr-BE"/>
        </w:rPr>
        <w:t>Vers une</w:t>
      </w:r>
      <w:r w:rsidRPr="00DE2AFA">
        <w:rPr>
          <w:b/>
          <w:bCs/>
          <w:lang w:val="fr-FR"/>
        </w:rPr>
        <w:t xml:space="preserve"> délégation d’</w:t>
      </w:r>
      <w:proofErr w:type="spellStart"/>
      <w:r w:rsidRPr="00DE2AFA">
        <w:rPr>
          <w:b/>
          <w:bCs/>
          <w:lang w:val="fr-FR"/>
        </w:rPr>
        <w:t>auctorialité</w:t>
      </w:r>
      <w:proofErr w:type="spellEnd"/>
    </w:p>
    <w:p w14:paraId="66E85ADC" w14:textId="0C3C1203" w:rsidR="00DE74FA" w:rsidRPr="00DE2AFA" w:rsidRDefault="000C725B" w:rsidP="772DE573">
      <w:pPr>
        <w:spacing w:after="120" w:line="360" w:lineRule="auto"/>
        <w:jc w:val="both"/>
        <w:rPr>
          <w:lang w:val="fr-BE"/>
        </w:rPr>
      </w:pPr>
      <w:r w:rsidRPr="00DE2AFA">
        <w:rPr>
          <w:lang w:val="fr-BE"/>
        </w:rPr>
        <w:t xml:space="preserve">Dans chacune </w:t>
      </w:r>
      <w:r w:rsidR="000F6EF7" w:rsidRPr="00DE2AFA">
        <w:rPr>
          <w:lang w:val="fr-BE"/>
        </w:rPr>
        <w:t xml:space="preserve">des </w:t>
      </w:r>
      <w:r w:rsidR="007F7340" w:rsidRPr="00DE2AFA">
        <w:rPr>
          <w:lang w:val="fr-BE"/>
        </w:rPr>
        <w:t xml:space="preserve">deux </w:t>
      </w:r>
      <w:r w:rsidRPr="00DE2AFA">
        <w:rPr>
          <w:lang w:val="fr-BE"/>
        </w:rPr>
        <w:t xml:space="preserve">tendances </w:t>
      </w:r>
      <w:r w:rsidR="005A7802" w:rsidRPr="00DE2AFA">
        <w:rPr>
          <w:lang w:val="fr-BE"/>
        </w:rPr>
        <w:t>envisagées</w:t>
      </w:r>
      <w:r w:rsidRPr="00DE2AFA">
        <w:rPr>
          <w:lang w:val="fr-BE"/>
        </w:rPr>
        <w:t xml:space="preserve">, il </w:t>
      </w:r>
      <w:r w:rsidR="009D75B3" w:rsidRPr="00DE2AFA">
        <w:rPr>
          <w:lang w:val="fr-BE"/>
        </w:rPr>
        <w:t>en</w:t>
      </w:r>
      <w:r w:rsidRPr="00DE2AFA">
        <w:rPr>
          <w:lang w:val="fr-BE"/>
        </w:rPr>
        <w:t xml:space="preserve"> va d</w:t>
      </w:r>
      <w:r w:rsidR="006057AF" w:rsidRPr="00DE2AFA">
        <w:rPr>
          <w:lang w:val="fr-BE"/>
        </w:rPr>
        <w:t>’</w:t>
      </w:r>
      <w:r w:rsidRPr="00DE2AFA">
        <w:rPr>
          <w:lang w:val="fr-BE"/>
        </w:rPr>
        <w:t>une mise en œuvre d</w:t>
      </w:r>
      <w:r w:rsidR="006057AF" w:rsidRPr="00DE2AFA">
        <w:rPr>
          <w:lang w:val="fr-BE"/>
        </w:rPr>
        <w:t>’</w:t>
      </w:r>
      <w:r w:rsidRPr="00DE2AFA">
        <w:rPr>
          <w:lang w:val="fr-BE"/>
        </w:rPr>
        <w:t xml:space="preserve">un </w:t>
      </w:r>
      <w:r w:rsidRPr="00DE2AFA">
        <w:rPr>
          <w:i/>
          <w:iCs/>
          <w:lang w:val="fr-BE"/>
        </w:rPr>
        <w:t>regard</w:t>
      </w:r>
      <w:r w:rsidRPr="00DE2AFA">
        <w:rPr>
          <w:lang w:val="fr-BE"/>
        </w:rPr>
        <w:t xml:space="preserve"> </w:t>
      </w:r>
      <w:r w:rsidR="008F0441" w:rsidRPr="00DE2AFA">
        <w:rPr>
          <w:lang w:val="fr-BE"/>
        </w:rPr>
        <w:t xml:space="preserve">rapporté d’une façon ou d’une autre à la </w:t>
      </w:r>
      <w:r w:rsidRPr="00DE2AFA">
        <w:rPr>
          <w:lang w:val="fr-BE"/>
        </w:rPr>
        <w:t>littéra</w:t>
      </w:r>
      <w:r w:rsidR="008F0441" w:rsidRPr="00DE2AFA">
        <w:rPr>
          <w:lang w:val="fr-BE"/>
        </w:rPr>
        <w:t>ture</w:t>
      </w:r>
      <w:r w:rsidRPr="00DE2AFA">
        <w:rPr>
          <w:lang w:val="fr-BE"/>
        </w:rPr>
        <w:t>. S</w:t>
      </w:r>
      <w:r w:rsidR="006057AF" w:rsidRPr="00DE2AFA">
        <w:rPr>
          <w:lang w:val="fr-BE"/>
        </w:rPr>
        <w:t>’</w:t>
      </w:r>
      <w:r w:rsidRPr="00DE2AFA">
        <w:rPr>
          <w:lang w:val="fr-BE"/>
        </w:rPr>
        <w:t xml:space="preserve">agissant des expositions fondées sur un modèle littéraire, souvent </w:t>
      </w:r>
      <w:r w:rsidR="004F5A3C" w:rsidRPr="00DE2AFA">
        <w:rPr>
          <w:lang w:val="fr-BE"/>
        </w:rPr>
        <w:t>un texte</w:t>
      </w:r>
      <w:r w:rsidRPr="00DE2AFA">
        <w:rPr>
          <w:lang w:val="fr-BE"/>
        </w:rPr>
        <w:t xml:space="preserve"> particulier, </w:t>
      </w:r>
      <w:r w:rsidR="009D75B3" w:rsidRPr="00DE2AFA">
        <w:rPr>
          <w:lang w:val="fr-BE"/>
        </w:rPr>
        <w:t>l’opération</w:t>
      </w:r>
      <w:r w:rsidRPr="00DE2AFA">
        <w:rPr>
          <w:lang w:val="fr-BE"/>
        </w:rPr>
        <w:t xml:space="preserve"> </w:t>
      </w:r>
      <w:r w:rsidR="009D75B3" w:rsidRPr="00DE2AFA">
        <w:rPr>
          <w:lang w:val="fr-BE"/>
        </w:rPr>
        <w:t>se</w:t>
      </w:r>
      <w:r w:rsidRPr="00DE2AFA">
        <w:rPr>
          <w:lang w:val="fr-BE"/>
        </w:rPr>
        <w:t xml:space="preserve"> présente comme la résultante d</w:t>
      </w:r>
      <w:r w:rsidR="006057AF" w:rsidRPr="00DE2AFA">
        <w:rPr>
          <w:lang w:val="fr-BE"/>
        </w:rPr>
        <w:t>’</w:t>
      </w:r>
      <w:r w:rsidRPr="00DE2AFA">
        <w:rPr>
          <w:lang w:val="fr-BE"/>
        </w:rPr>
        <w:t xml:space="preserve">un geste </w:t>
      </w:r>
      <w:proofErr w:type="spellStart"/>
      <w:r w:rsidRPr="00DE2AFA">
        <w:rPr>
          <w:lang w:val="fr-BE"/>
        </w:rPr>
        <w:t>curatorial</w:t>
      </w:r>
      <w:proofErr w:type="spellEnd"/>
      <w:r w:rsidRPr="00DE2AFA">
        <w:rPr>
          <w:lang w:val="fr-BE"/>
        </w:rPr>
        <w:t xml:space="preserve"> </w:t>
      </w:r>
      <w:r w:rsidR="004F5A3C" w:rsidRPr="00DE2AFA">
        <w:rPr>
          <w:lang w:val="fr-BE"/>
        </w:rPr>
        <w:t xml:space="preserve">censément </w:t>
      </w:r>
      <w:r w:rsidRPr="00DE2AFA">
        <w:rPr>
          <w:lang w:val="fr-BE"/>
        </w:rPr>
        <w:t>in</w:t>
      </w:r>
      <w:r w:rsidRPr="00DE2AFA">
        <w:rPr>
          <w:i/>
          <w:iCs/>
          <w:lang w:val="fr-BE"/>
        </w:rPr>
        <w:t>formé</w:t>
      </w:r>
      <w:r w:rsidR="009D75B3" w:rsidRPr="00DE2AFA">
        <w:rPr>
          <w:lang w:val="fr-BE"/>
        </w:rPr>
        <w:t xml:space="preserve"> par une œuvre littéraire</w:t>
      </w:r>
      <w:r w:rsidR="00DA666B">
        <w:rPr>
          <w:lang w:val="fr-BE"/>
        </w:rPr>
        <w:t>, que ce soit</w:t>
      </w:r>
      <w:r w:rsidR="008F0441" w:rsidRPr="00DE2AFA">
        <w:rPr>
          <w:lang w:val="fr-BE"/>
        </w:rPr>
        <w:t xml:space="preserve"> dan</w:t>
      </w:r>
      <w:r w:rsidR="009D75B3" w:rsidRPr="00DE2AFA">
        <w:rPr>
          <w:lang w:val="fr-BE"/>
        </w:rPr>
        <w:t>s</w:t>
      </w:r>
      <w:r w:rsidR="008F0441" w:rsidRPr="00DE2AFA">
        <w:rPr>
          <w:lang w:val="fr-BE"/>
        </w:rPr>
        <w:t xml:space="preserve"> </w:t>
      </w:r>
      <w:r w:rsidR="009D75B3" w:rsidRPr="00DE2AFA">
        <w:rPr>
          <w:lang w:val="fr-BE"/>
        </w:rPr>
        <w:t>certains de ses</w:t>
      </w:r>
      <w:r w:rsidR="008F0441" w:rsidRPr="00DE2AFA">
        <w:rPr>
          <w:lang w:val="fr-BE"/>
        </w:rPr>
        <w:t xml:space="preserve"> aspects, dans sa forme</w:t>
      </w:r>
      <w:r w:rsidR="009D75B3" w:rsidRPr="00DE2AFA">
        <w:rPr>
          <w:lang w:val="fr-BE"/>
        </w:rPr>
        <w:t xml:space="preserve">, </w:t>
      </w:r>
      <w:r w:rsidR="008F0441" w:rsidRPr="00DE2AFA">
        <w:rPr>
          <w:lang w:val="fr-BE"/>
        </w:rPr>
        <w:t>ses thèmes</w:t>
      </w:r>
      <w:r w:rsidRPr="00DE2AFA">
        <w:rPr>
          <w:lang w:val="fr-BE"/>
        </w:rPr>
        <w:t xml:space="preserve"> ou </w:t>
      </w:r>
      <w:r w:rsidR="008F0441" w:rsidRPr="00DE2AFA">
        <w:rPr>
          <w:lang w:val="fr-BE"/>
        </w:rPr>
        <w:t xml:space="preserve">par </w:t>
      </w:r>
      <w:proofErr w:type="spellStart"/>
      <w:r w:rsidRPr="00DE2AFA">
        <w:rPr>
          <w:lang w:val="fr-BE"/>
        </w:rPr>
        <w:t>un</w:t>
      </w:r>
      <w:r w:rsidR="772DE573" w:rsidRPr="00DE2AFA">
        <w:rPr>
          <w:lang w:val="fr-BE"/>
        </w:rPr>
        <w:t>·</w:t>
      </w:r>
      <w:r w:rsidRPr="00DE2AFA">
        <w:rPr>
          <w:lang w:val="fr-BE"/>
        </w:rPr>
        <w:t>e</w:t>
      </w:r>
      <w:proofErr w:type="spellEnd"/>
      <w:r w:rsidRPr="00DE2AFA">
        <w:rPr>
          <w:lang w:val="fr-BE"/>
        </w:rPr>
        <w:t xml:space="preserve"> </w:t>
      </w:r>
      <w:proofErr w:type="spellStart"/>
      <w:r w:rsidR="772DE573" w:rsidRPr="00DE2AFA">
        <w:rPr>
          <w:lang w:val="fr-BE"/>
        </w:rPr>
        <w:t>auteur·rice</w:t>
      </w:r>
      <w:proofErr w:type="spellEnd"/>
      <w:r w:rsidR="772DE573" w:rsidRPr="00DE2AFA">
        <w:rPr>
          <w:lang w:val="fr-BE"/>
        </w:rPr>
        <w:t xml:space="preserve"> </w:t>
      </w:r>
      <w:r w:rsidR="00532F3D" w:rsidRPr="00DE2AFA">
        <w:rPr>
          <w:lang w:val="fr-BE"/>
        </w:rPr>
        <w:t>et une part de son travail</w:t>
      </w:r>
      <w:r w:rsidR="00FA0C93">
        <w:rPr>
          <w:lang w:val="fr-BE"/>
        </w:rPr>
        <w:t>, plus ou moins explicitement mise en avant par le discours qui cadre l’exposition</w:t>
      </w:r>
      <w:r w:rsidRPr="00DE2AFA">
        <w:rPr>
          <w:lang w:val="fr-BE"/>
        </w:rPr>
        <w:t xml:space="preserve">. Elle invite </w:t>
      </w:r>
      <w:r w:rsidR="006057AF" w:rsidRPr="00DE2AFA">
        <w:rPr>
          <w:lang w:val="fr-BE"/>
        </w:rPr>
        <w:t>ainsi</w:t>
      </w:r>
      <w:r w:rsidRPr="00DE2AFA">
        <w:rPr>
          <w:lang w:val="fr-BE"/>
        </w:rPr>
        <w:t xml:space="preserve"> à voir l</w:t>
      </w:r>
      <w:r w:rsidR="005A7802" w:rsidRPr="00DE2AFA">
        <w:rPr>
          <w:lang w:val="fr-BE"/>
        </w:rPr>
        <w:t>’</w:t>
      </w:r>
      <w:r w:rsidRPr="00DE2AFA">
        <w:rPr>
          <w:lang w:val="fr-BE"/>
        </w:rPr>
        <w:t>exposition en fonction de ce patronage</w:t>
      </w:r>
      <w:r w:rsidR="006057AF" w:rsidRPr="00DE2AFA">
        <w:rPr>
          <w:lang w:val="fr-BE"/>
        </w:rPr>
        <w:t>, plus ou moins consistant</w:t>
      </w:r>
      <w:r w:rsidR="00E011D6">
        <w:rPr>
          <w:lang w:val="fr-BE"/>
        </w:rPr>
        <w:t xml:space="preserve"> et explicité, notamment quant à sa dimension littéraire</w:t>
      </w:r>
      <w:r w:rsidRPr="00DE2AFA">
        <w:rPr>
          <w:lang w:val="fr-BE"/>
        </w:rPr>
        <w:t>. Il en va de même lorsqu</w:t>
      </w:r>
      <w:r w:rsidR="00A144FF" w:rsidRPr="00DE2AFA">
        <w:rPr>
          <w:lang w:val="fr-BE"/>
        </w:rPr>
        <w:t>’un Baudelaire ou un Huysmans voient leurs regards de critiques d</w:t>
      </w:r>
      <w:r w:rsidRPr="00DE2AFA">
        <w:rPr>
          <w:lang w:val="fr-BE"/>
        </w:rPr>
        <w:t>’</w:t>
      </w:r>
      <w:r w:rsidR="009D75B3" w:rsidRPr="00DE2AFA">
        <w:rPr>
          <w:lang w:val="fr-BE"/>
        </w:rPr>
        <w:t xml:space="preserve">art </w:t>
      </w:r>
      <w:r w:rsidRPr="00DE2AFA">
        <w:rPr>
          <w:lang w:val="fr-BE"/>
        </w:rPr>
        <w:t xml:space="preserve">empruntés </w:t>
      </w:r>
      <w:r w:rsidR="00AE648F">
        <w:rPr>
          <w:lang w:val="fr-BE"/>
        </w:rPr>
        <w:t>à l’occasion d’</w:t>
      </w:r>
      <w:r w:rsidRPr="00DE2AFA">
        <w:rPr>
          <w:lang w:val="fr-BE"/>
        </w:rPr>
        <w:t xml:space="preserve">expositions </w:t>
      </w:r>
      <w:r w:rsidR="009D75B3" w:rsidRPr="00DE2AFA">
        <w:rPr>
          <w:lang w:val="fr-BE"/>
        </w:rPr>
        <w:t>patrimoniales qui portent au</w:t>
      </w:r>
      <w:r w:rsidRPr="00DE2AFA">
        <w:rPr>
          <w:lang w:val="fr-BE"/>
        </w:rPr>
        <w:t xml:space="preserve">tant </w:t>
      </w:r>
      <w:r w:rsidR="009D75B3" w:rsidRPr="00DE2AFA">
        <w:rPr>
          <w:lang w:val="fr-BE"/>
        </w:rPr>
        <w:t>sur</w:t>
      </w:r>
      <w:r w:rsidRPr="00DE2AFA">
        <w:rPr>
          <w:lang w:val="fr-BE"/>
        </w:rPr>
        <w:t xml:space="preserve"> la peinture que </w:t>
      </w:r>
      <w:r w:rsidR="00BD2EC8" w:rsidRPr="00DE2AFA">
        <w:rPr>
          <w:lang w:val="fr-BE"/>
        </w:rPr>
        <w:t>sur</w:t>
      </w:r>
      <w:r w:rsidR="00B21DB9" w:rsidRPr="00DE2AFA">
        <w:rPr>
          <w:lang w:val="fr-BE"/>
        </w:rPr>
        <w:t xml:space="preserve"> la littérature</w:t>
      </w:r>
      <w:r w:rsidR="00AE648F">
        <w:rPr>
          <w:lang w:val="fr-BE"/>
        </w:rPr>
        <w:t>, selon des modalités diverses.</w:t>
      </w:r>
      <w:r w:rsidR="00B21DB9" w:rsidRPr="00DE2AFA">
        <w:rPr>
          <w:lang w:val="fr-BE"/>
        </w:rPr>
        <w:t xml:space="preserve"> </w:t>
      </w:r>
      <w:r w:rsidR="006057AF" w:rsidRPr="00DE2AFA">
        <w:rPr>
          <w:lang w:val="fr-BE"/>
        </w:rPr>
        <w:t>À travers ces différentes façons de m</w:t>
      </w:r>
      <w:r w:rsidR="00B21DB9" w:rsidRPr="00DE2AFA">
        <w:rPr>
          <w:lang w:val="fr-BE"/>
        </w:rPr>
        <w:t>obiliser le domaine littéraire dans le cadre d</w:t>
      </w:r>
      <w:r w:rsidR="00DE74FA" w:rsidRPr="00DE2AFA">
        <w:rPr>
          <w:lang w:val="fr-BE"/>
        </w:rPr>
        <w:t>’</w:t>
      </w:r>
      <w:r w:rsidR="00521E4B" w:rsidRPr="00DE2AFA">
        <w:rPr>
          <w:lang w:val="fr-BE"/>
        </w:rPr>
        <w:t xml:space="preserve">expositions </w:t>
      </w:r>
      <w:r w:rsidR="00DE74FA" w:rsidRPr="00DE2AFA">
        <w:rPr>
          <w:lang w:val="fr-BE"/>
        </w:rPr>
        <w:t>qui relèvent en définitive essentiellement (et de façon plus ou moins prononcée) des arts visuels,</w:t>
      </w:r>
      <w:r w:rsidR="00BC04EF">
        <w:rPr>
          <w:lang w:val="fr-BE"/>
        </w:rPr>
        <w:t xml:space="preserve"> contemporains ou anciens,</w:t>
      </w:r>
      <w:r w:rsidR="00DE74FA" w:rsidRPr="00DE2AFA">
        <w:rPr>
          <w:lang w:val="fr-BE"/>
        </w:rPr>
        <w:t xml:space="preserve"> et dont la part littéraire est parfois</w:t>
      </w:r>
      <w:r w:rsidR="00521E4B" w:rsidRPr="00DE2AFA">
        <w:rPr>
          <w:lang w:val="fr-BE"/>
        </w:rPr>
        <w:t xml:space="preserve"> quelque peu</w:t>
      </w:r>
      <w:r w:rsidR="00DE74FA" w:rsidRPr="00DE2AFA">
        <w:rPr>
          <w:lang w:val="fr-BE"/>
        </w:rPr>
        <w:t xml:space="preserve"> ténue</w:t>
      </w:r>
      <w:r w:rsidR="00B21DB9" w:rsidRPr="00DE2AFA">
        <w:rPr>
          <w:lang w:val="fr-BE"/>
        </w:rPr>
        <w:t xml:space="preserve"> en réalité</w:t>
      </w:r>
      <w:r w:rsidR="00334739" w:rsidRPr="00DE2AFA">
        <w:rPr>
          <w:lang w:val="fr-BE"/>
        </w:rPr>
        <w:t>,</w:t>
      </w:r>
      <w:r w:rsidR="00467DAC" w:rsidRPr="00DE2AFA">
        <w:rPr>
          <w:lang w:val="fr-BE"/>
        </w:rPr>
        <w:t xml:space="preserve"> </w:t>
      </w:r>
      <w:r w:rsidR="00334739" w:rsidRPr="00DE2AFA">
        <w:rPr>
          <w:lang w:val="fr-BE"/>
        </w:rPr>
        <w:t>les concepteurs de ces projet</w:t>
      </w:r>
      <w:r w:rsidR="772DE573" w:rsidRPr="00DE2AFA">
        <w:rPr>
          <w:lang w:val="fr-BE"/>
        </w:rPr>
        <w:t xml:space="preserve">s – </w:t>
      </w:r>
      <w:r w:rsidR="00334739" w:rsidRPr="00DE2AFA">
        <w:rPr>
          <w:lang w:val="fr-BE"/>
        </w:rPr>
        <w:t>leurs commissaires en particulier</w:t>
      </w:r>
      <w:r w:rsidR="772DE573" w:rsidRPr="00DE2AFA">
        <w:rPr>
          <w:lang w:val="fr-BE"/>
        </w:rPr>
        <w:t xml:space="preserve"> –</w:t>
      </w:r>
      <w:r w:rsidR="00334739" w:rsidRPr="00DE2AFA">
        <w:rPr>
          <w:lang w:val="fr-BE"/>
        </w:rPr>
        <w:t>, mais aussi les responsables des institutions présentant leur travail</w:t>
      </w:r>
      <w:r w:rsidR="00CA7F99" w:rsidRPr="00DE2AFA">
        <w:rPr>
          <w:lang w:val="fr-BE"/>
        </w:rPr>
        <w:t>,</w:t>
      </w:r>
      <w:r w:rsidR="006057AF" w:rsidRPr="00DE2AFA">
        <w:rPr>
          <w:lang w:val="fr-BE"/>
        </w:rPr>
        <w:t xml:space="preserve"> </w:t>
      </w:r>
      <w:r w:rsidR="00CA7F99" w:rsidRPr="00DE2AFA">
        <w:rPr>
          <w:lang w:val="fr-BE"/>
        </w:rPr>
        <w:t>s</w:t>
      </w:r>
      <w:r w:rsidR="000F1F79" w:rsidRPr="00DE2AFA">
        <w:rPr>
          <w:lang w:val="fr-BE"/>
        </w:rPr>
        <w:t>’</w:t>
      </w:r>
      <w:r w:rsidR="0029633A" w:rsidRPr="00DE2AFA">
        <w:rPr>
          <w:lang w:val="fr-BE"/>
        </w:rPr>
        <w:t xml:space="preserve">emploient à </w:t>
      </w:r>
      <w:r w:rsidR="00CA7F99" w:rsidRPr="00DE2AFA">
        <w:rPr>
          <w:lang w:val="fr-BE"/>
        </w:rPr>
        <w:t xml:space="preserve">répondre </w:t>
      </w:r>
      <w:r w:rsidR="00BF6A97" w:rsidRPr="00DE2AFA">
        <w:rPr>
          <w:lang w:val="fr-BE"/>
        </w:rPr>
        <w:t xml:space="preserve">à </w:t>
      </w:r>
      <w:r w:rsidR="00CA7F99" w:rsidRPr="00DE2AFA">
        <w:rPr>
          <w:lang w:val="fr-BE"/>
        </w:rPr>
        <w:t>plusieurs injonctions conjointes</w:t>
      </w:r>
      <w:r w:rsidR="2A483CFA" w:rsidRPr="00DE2AFA">
        <w:rPr>
          <w:lang w:val="fr-BE"/>
        </w:rPr>
        <w:t>, et plus ou moins convergentes</w:t>
      </w:r>
      <w:r w:rsidR="00BC04EF">
        <w:rPr>
          <w:lang w:val="fr-BE"/>
        </w:rPr>
        <w:t xml:space="preserve">, qui pèsent sur le secteur </w:t>
      </w:r>
      <w:r w:rsidR="009E7DCA">
        <w:rPr>
          <w:lang w:val="fr-BE"/>
        </w:rPr>
        <w:t xml:space="preserve">des institutions </w:t>
      </w:r>
      <w:proofErr w:type="spellStart"/>
      <w:r w:rsidR="009E7DCA">
        <w:rPr>
          <w:lang w:val="fr-BE"/>
        </w:rPr>
        <w:t>acceuillant</w:t>
      </w:r>
      <w:proofErr w:type="spellEnd"/>
      <w:r w:rsidR="009E7DCA">
        <w:rPr>
          <w:lang w:val="fr-BE"/>
        </w:rPr>
        <w:t xml:space="preserve"> des expositions (musées aussi bien que centres d’art contemporain). </w:t>
      </w:r>
    </w:p>
    <w:p w14:paraId="1F07D291" w14:textId="7A9D9C7E" w:rsidR="00BF2BAE" w:rsidRPr="00DE2AFA" w:rsidRDefault="772DE573" w:rsidP="00DE2AFA">
      <w:pPr>
        <w:spacing w:after="120" w:line="360" w:lineRule="auto"/>
        <w:jc w:val="both"/>
        <w:rPr>
          <w:lang w:val="fr-BE"/>
        </w:rPr>
      </w:pPr>
      <w:r w:rsidRPr="00DE2AFA">
        <w:rPr>
          <w:lang w:val="fr-BE"/>
        </w:rPr>
        <w:lastRenderedPageBreak/>
        <w:t xml:space="preserve">D’une part, </w:t>
      </w:r>
      <w:r w:rsidR="00B8466E">
        <w:rPr>
          <w:lang w:val="fr-BE"/>
        </w:rPr>
        <w:t>pour ce qui concerne l</w:t>
      </w:r>
      <w:r w:rsidRPr="00DE2AFA">
        <w:rPr>
          <w:lang w:val="fr-BE"/>
        </w:rPr>
        <w:t>es expositions consacrées à des écrivains, ces procédés</w:t>
      </w:r>
      <w:r w:rsidR="00B8466E">
        <w:rPr>
          <w:lang w:val="fr-BE"/>
        </w:rPr>
        <w:t xml:space="preserve"> permettent de</w:t>
      </w:r>
      <w:r w:rsidRPr="00DE2AFA">
        <w:rPr>
          <w:lang w:val="fr-BE"/>
        </w:rPr>
        <w:t xml:space="preserve"> varie</w:t>
      </w:r>
      <w:r w:rsidR="00B8466E">
        <w:rPr>
          <w:lang w:val="fr-BE"/>
        </w:rPr>
        <w:t>r</w:t>
      </w:r>
      <w:r w:rsidRPr="00DE2AFA">
        <w:rPr>
          <w:lang w:val="fr-BE"/>
        </w:rPr>
        <w:t xml:space="preserve"> autant que possible les </w:t>
      </w:r>
      <w:proofErr w:type="spellStart"/>
      <w:r w:rsidRPr="00DE2AFA">
        <w:rPr>
          <w:lang w:val="fr-BE"/>
        </w:rPr>
        <w:t>expôts</w:t>
      </w:r>
      <w:proofErr w:type="spellEnd"/>
      <w:r w:rsidRPr="00DE2AFA">
        <w:rPr>
          <w:lang w:val="fr-BE"/>
        </w:rPr>
        <w:t xml:space="preserve"> donnés à voir, ce qui semble requis concernant un domaine (la littérature) </w:t>
      </w:r>
      <w:r w:rsidR="00B8466E">
        <w:rPr>
          <w:lang w:val="fr-BE"/>
        </w:rPr>
        <w:t xml:space="preserve">réputé comme </w:t>
      </w:r>
      <w:r w:rsidRPr="00DE2AFA">
        <w:rPr>
          <w:lang w:val="fr-BE"/>
        </w:rPr>
        <w:t>quelque peu ingrat s’agissant de</w:t>
      </w:r>
      <w:r w:rsidR="00B8466E">
        <w:rPr>
          <w:lang w:val="fr-BE"/>
        </w:rPr>
        <w:t>s</w:t>
      </w:r>
      <w:r w:rsidRPr="00DE2AFA">
        <w:rPr>
          <w:lang w:val="fr-BE"/>
        </w:rPr>
        <w:t xml:space="preserve"> documents les plus coutumiers</w:t>
      </w:r>
      <w:r w:rsidR="00B8466E">
        <w:rPr>
          <w:lang w:val="fr-BE"/>
        </w:rPr>
        <w:t xml:space="preserve"> ou attendus</w:t>
      </w:r>
      <w:r w:rsidR="005C2B94">
        <w:rPr>
          <w:lang w:val="fr-BE"/>
        </w:rPr>
        <w:t xml:space="preserve"> le concernant</w:t>
      </w:r>
      <w:r w:rsidRPr="00DE2AFA">
        <w:rPr>
          <w:lang w:val="fr-BE"/>
        </w:rPr>
        <w:t xml:space="preserve"> (livres, manuscrits…), tandis que du côté des expositions d’art, qu’il s’agisse d’expositions collectives ou monographiques, la référence littéraire permet de doter les choix</w:t>
      </w:r>
      <w:r w:rsidR="005C2B94">
        <w:rPr>
          <w:lang w:val="fr-BE"/>
        </w:rPr>
        <w:t xml:space="preserve"> </w:t>
      </w:r>
      <w:proofErr w:type="spellStart"/>
      <w:r w:rsidR="005C2B94">
        <w:rPr>
          <w:lang w:val="fr-BE"/>
        </w:rPr>
        <w:t>curatoriaux</w:t>
      </w:r>
      <w:proofErr w:type="spellEnd"/>
      <w:r w:rsidRPr="00DE2AFA">
        <w:rPr>
          <w:lang w:val="fr-BE"/>
        </w:rPr>
        <w:t xml:space="preserve"> d’un fil conducteur lisible et, ce faisant, d’une</w:t>
      </w:r>
      <w:r w:rsidR="005C2B94">
        <w:rPr>
          <w:lang w:val="fr-BE"/>
        </w:rPr>
        <w:t xml:space="preserve"> certaine</w:t>
      </w:r>
      <w:r w:rsidRPr="00DE2AFA">
        <w:rPr>
          <w:lang w:val="fr-BE"/>
        </w:rPr>
        <w:t xml:space="preserve"> cohérence</w:t>
      </w:r>
      <w:r w:rsidR="004C4CED">
        <w:rPr>
          <w:lang w:val="fr-BE"/>
        </w:rPr>
        <w:t>, reconnaissable qui plus est par une part du public.</w:t>
      </w:r>
    </w:p>
    <w:p w14:paraId="050E1441" w14:textId="73AC8D8D" w:rsidR="00BF2BAE" w:rsidRPr="00DE2AFA" w:rsidRDefault="772DE573" w:rsidP="00DE2AFA">
      <w:pPr>
        <w:spacing w:after="120" w:line="360" w:lineRule="auto"/>
        <w:jc w:val="both"/>
        <w:rPr>
          <w:lang w:val="fr-BE"/>
        </w:rPr>
      </w:pPr>
      <w:r w:rsidRPr="00DE2AFA">
        <w:rPr>
          <w:lang w:val="fr-BE"/>
        </w:rPr>
        <w:t xml:space="preserve">D’autre part, par la convergence de figures (écrivains/artistes) et de discours et pratiques (littérature/arts), ces expositions </w:t>
      </w:r>
      <w:r w:rsidR="004C4CED">
        <w:rPr>
          <w:lang w:val="fr-BE"/>
        </w:rPr>
        <w:t xml:space="preserve">consacrées aux </w:t>
      </w:r>
      <w:r w:rsidRPr="00DE2AFA">
        <w:rPr>
          <w:lang w:val="fr-BE"/>
        </w:rPr>
        <w:t xml:space="preserve">arts visuels </w:t>
      </w:r>
      <w:r w:rsidR="00050B1C">
        <w:rPr>
          <w:lang w:val="fr-BE"/>
        </w:rPr>
        <w:t>s’emploient à</w:t>
      </w:r>
      <w:r w:rsidRPr="00DE2AFA">
        <w:rPr>
          <w:lang w:val="fr-BE"/>
        </w:rPr>
        <w:t xml:space="preserve"> </w:t>
      </w:r>
      <w:r w:rsidR="00050B1C">
        <w:rPr>
          <w:lang w:val="fr-BE"/>
        </w:rPr>
        <w:t>mobiliser</w:t>
      </w:r>
      <w:r w:rsidR="00C26C6C">
        <w:rPr>
          <w:lang w:val="fr-BE"/>
        </w:rPr>
        <w:t>, pour leur propre profit,</w:t>
      </w:r>
      <w:r w:rsidRPr="00DE2AFA">
        <w:rPr>
          <w:lang w:val="fr-BE"/>
        </w:rPr>
        <w:t xml:space="preserve"> le pouvoir de visibilité</w:t>
      </w:r>
      <w:r w:rsidR="004251C2">
        <w:rPr>
          <w:lang w:val="fr-BE"/>
        </w:rPr>
        <w:t xml:space="preserve"> médiatique</w:t>
      </w:r>
      <w:r w:rsidRPr="00DE2AFA">
        <w:rPr>
          <w:lang w:val="fr-BE"/>
        </w:rPr>
        <w:t xml:space="preserve"> que confèrent des figures à la notoriété bien établie</w:t>
      </w:r>
      <w:r w:rsidR="00B7246A">
        <w:rPr>
          <w:lang w:val="fr-BE"/>
        </w:rPr>
        <w:t xml:space="preserve"> </w:t>
      </w:r>
      <w:r w:rsidR="004251C2">
        <w:rPr>
          <w:lang w:val="fr-BE"/>
        </w:rPr>
        <w:t>dans leur propre secteur</w:t>
      </w:r>
      <w:r w:rsidR="00276BFF">
        <w:rPr>
          <w:lang w:val="fr-BE"/>
        </w:rPr>
        <w:t> : la littérature</w:t>
      </w:r>
      <w:r w:rsidRPr="00DE2AFA">
        <w:rPr>
          <w:lang w:val="fr-BE"/>
        </w:rPr>
        <w:t xml:space="preserve">. Ce faisant, </w:t>
      </w:r>
      <w:r w:rsidR="004251C2">
        <w:rPr>
          <w:lang w:val="fr-BE"/>
        </w:rPr>
        <w:t>elles</w:t>
      </w:r>
      <w:r w:rsidRPr="00DE2AFA">
        <w:rPr>
          <w:lang w:val="fr-BE"/>
        </w:rPr>
        <w:t xml:space="preserve"> organisent une captation du capital symbolique d’un autre domaine</w:t>
      </w:r>
      <w:r w:rsidR="00276BFF">
        <w:rPr>
          <w:lang w:val="fr-BE"/>
        </w:rPr>
        <w:t>,</w:t>
      </w:r>
      <w:r w:rsidRPr="00DE2AFA">
        <w:rPr>
          <w:lang w:val="fr-BE"/>
        </w:rPr>
        <w:t xml:space="preserve"> </w:t>
      </w:r>
      <w:r w:rsidR="00276BFF">
        <w:rPr>
          <w:lang w:val="fr-BE"/>
        </w:rPr>
        <w:t xml:space="preserve">les commissaires de telles expositions </w:t>
      </w:r>
      <w:r w:rsidRPr="00DE2AFA">
        <w:rPr>
          <w:lang w:val="fr-BE"/>
        </w:rPr>
        <w:t xml:space="preserve">feignant de déléguer </w:t>
      </w:r>
      <w:r w:rsidR="00276BFF">
        <w:rPr>
          <w:lang w:val="fr-BE"/>
        </w:rPr>
        <w:t xml:space="preserve">au littéraire (le plus souvent à tel écrivain) </w:t>
      </w:r>
      <w:r w:rsidRPr="00DE2AFA">
        <w:rPr>
          <w:lang w:val="fr-BE"/>
        </w:rPr>
        <w:t xml:space="preserve">une part de leur </w:t>
      </w:r>
      <w:proofErr w:type="spellStart"/>
      <w:r w:rsidRPr="00DE2AFA">
        <w:rPr>
          <w:lang w:val="fr-BE"/>
        </w:rPr>
        <w:t>auctorialité</w:t>
      </w:r>
      <w:proofErr w:type="spellEnd"/>
      <w:r w:rsidR="003A5874">
        <w:rPr>
          <w:lang w:val="fr-BE"/>
        </w:rPr>
        <w:t xml:space="preserve"> et du discours de l’exposition.</w:t>
      </w:r>
    </w:p>
    <w:p w14:paraId="6AB80907" w14:textId="5C8A359E" w:rsidR="00C27DBB" w:rsidRPr="00DE2AFA" w:rsidRDefault="772DE573" w:rsidP="00DE2AFA">
      <w:pPr>
        <w:spacing w:after="120" w:line="360" w:lineRule="auto"/>
        <w:jc w:val="both"/>
        <w:rPr>
          <w:lang w:val="fr-BE"/>
        </w:rPr>
      </w:pPr>
      <w:r w:rsidRPr="00DE2AFA">
        <w:rPr>
          <w:lang w:val="fr-BE"/>
        </w:rPr>
        <w:t xml:space="preserve">Enfin – </w:t>
      </w:r>
      <w:r w:rsidR="00276BFF">
        <w:rPr>
          <w:lang w:val="fr-BE"/>
        </w:rPr>
        <w:t xml:space="preserve">et </w:t>
      </w:r>
      <w:r w:rsidRPr="00DE2AFA">
        <w:rPr>
          <w:lang w:val="fr-BE"/>
        </w:rPr>
        <w:t>il s’agit encore d’une question de variation… –, ces procédés permettent une convergence des disciplines permettant de conjuguer les impératifs événementiels auxquels sont soumis les musées, à travers des expositions qui tendent à quelque peu sortir leurs lieux d’accueil (et les expositions consacrées à un sujet ou un créateur) de leur ordinaire,</w:t>
      </w:r>
      <w:r w:rsidR="00BF6A23">
        <w:rPr>
          <w:lang w:val="fr-BE"/>
        </w:rPr>
        <w:t xml:space="preserve"> aussi bien en</w:t>
      </w:r>
      <w:r w:rsidRPr="00DE2AFA">
        <w:rPr>
          <w:lang w:val="fr-BE"/>
        </w:rPr>
        <w:t xml:space="preserve"> propos</w:t>
      </w:r>
      <w:r w:rsidR="00BF6A23">
        <w:rPr>
          <w:lang w:val="fr-BE"/>
        </w:rPr>
        <w:t>ant</w:t>
      </w:r>
      <w:r w:rsidRPr="00DE2AFA">
        <w:rPr>
          <w:lang w:val="fr-BE"/>
        </w:rPr>
        <w:t xml:space="preserve"> un regard sur une œuvre ou un ensemble d’œuvres visuelles </w:t>
      </w:r>
      <w:r w:rsidR="00BF6A23">
        <w:rPr>
          <w:lang w:val="fr-BE"/>
        </w:rPr>
        <w:t>qu’</w:t>
      </w:r>
      <w:r w:rsidRPr="00DE2AFA">
        <w:rPr>
          <w:lang w:val="fr-BE"/>
        </w:rPr>
        <w:t>en passant par le prisme d’une œuvre littéraire ou par celui du regard qu’un écrivain a jadis pu formuler sur des œuvres au sujet desquelles il a écrit.</w:t>
      </w:r>
    </w:p>
    <w:p w14:paraId="6956B213" w14:textId="78A258E6" w:rsidR="0034407D" w:rsidRPr="00DE2AFA" w:rsidRDefault="00724FAF" w:rsidP="00DE2AFA">
      <w:pPr>
        <w:spacing w:after="120" w:line="360" w:lineRule="auto"/>
        <w:jc w:val="both"/>
        <w:rPr>
          <w:lang w:val="fr-BE"/>
        </w:rPr>
      </w:pPr>
      <w:r w:rsidRPr="00DE2AFA">
        <w:rPr>
          <w:lang w:val="fr-BE"/>
        </w:rPr>
        <w:t>Une étape supplémentaire dans ce répertoire de convergences entre expositions conjuguant arts visuels et littérature correspond à</w:t>
      </w:r>
      <w:r w:rsidR="0034407D" w:rsidRPr="00DE2AFA">
        <w:rPr>
          <w:lang w:val="fr-BE"/>
        </w:rPr>
        <w:t>, d’une part, le fait de confier des commissariats d’exposition à des écrivains</w:t>
      </w:r>
      <w:r w:rsidR="001544E6" w:rsidRPr="772DE573">
        <w:rPr>
          <w:rStyle w:val="Appelnotedebasdep"/>
          <w:lang w:val="fr-BE"/>
        </w:rPr>
        <w:footnoteReference w:id="26"/>
      </w:r>
      <w:r w:rsidR="0034407D" w:rsidRPr="00DE2AFA">
        <w:rPr>
          <w:lang w:val="fr-BE"/>
        </w:rPr>
        <w:t>.</w:t>
      </w:r>
      <w:r w:rsidRPr="00DE2AFA">
        <w:rPr>
          <w:lang w:val="fr-BE"/>
        </w:rPr>
        <w:t xml:space="preserve"> </w:t>
      </w:r>
      <w:r w:rsidR="001749ED" w:rsidRPr="00DE2AFA">
        <w:rPr>
          <w:lang w:val="fr-FR"/>
        </w:rPr>
        <w:t xml:space="preserve">Depuis l’invitation faite à Alain Robbe-Grillet à l’orée de l’an 2000 par le </w:t>
      </w:r>
      <w:proofErr w:type="spellStart"/>
      <w:r w:rsidR="001749ED" w:rsidRPr="00DE2AFA">
        <w:rPr>
          <w:lang w:val="fr-FR"/>
        </w:rPr>
        <w:t>Kunstmuseum</w:t>
      </w:r>
      <w:proofErr w:type="spellEnd"/>
      <w:r w:rsidR="001749ED" w:rsidRPr="00DE2AFA">
        <w:rPr>
          <w:lang w:val="fr-FR"/>
        </w:rPr>
        <w:t xml:space="preserve"> de Bergen </w:t>
      </w:r>
      <w:r w:rsidR="008E29CB">
        <w:rPr>
          <w:lang w:val="fr-FR"/>
        </w:rPr>
        <w:t>en Norvège</w:t>
      </w:r>
      <w:r w:rsidR="001749ED" w:rsidRPr="772DE573">
        <w:rPr>
          <w:rStyle w:val="Appelnotedebasdep"/>
          <w:lang w:val="fr-FR"/>
        </w:rPr>
        <w:footnoteReference w:id="27"/>
      </w:r>
      <w:r w:rsidR="001749ED" w:rsidRPr="00DE2AFA">
        <w:rPr>
          <w:lang w:val="fr-FR"/>
        </w:rPr>
        <w:t xml:space="preserve">, nombre de musées et institutions (centres d’art, bibliothèques…) font régulièrement appel à des </w:t>
      </w:r>
      <w:proofErr w:type="spellStart"/>
      <w:r w:rsidR="001749ED" w:rsidRPr="00DE2AFA">
        <w:rPr>
          <w:lang w:val="fr-FR"/>
        </w:rPr>
        <w:t>écrivain</w:t>
      </w:r>
      <w:r w:rsidR="7387BCA1" w:rsidRPr="00DE2AFA">
        <w:rPr>
          <w:lang w:val="fr-FR"/>
        </w:rPr>
        <w:t>·</w:t>
      </w:r>
      <w:r w:rsidR="001749ED" w:rsidRPr="00DE2AFA">
        <w:rPr>
          <w:lang w:val="fr-FR"/>
        </w:rPr>
        <w:t>e</w:t>
      </w:r>
      <w:r w:rsidR="7387BCA1" w:rsidRPr="00DE2AFA">
        <w:rPr>
          <w:lang w:val="fr-FR"/>
        </w:rPr>
        <w:t>·</w:t>
      </w:r>
      <w:r w:rsidR="001749ED" w:rsidRPr="00DE2AFA">
        <w:rPr>
          <w:lang w:val="fr-FR"/>
        </w:rPr>
        <w:t>s</w:t>
      </w:r>
      <w:proofErr w:type="spellEnd"/>
      <w:r w:rsidR="001749ED" w:rsidRPr="00DE2AFA">
        <w:rPr>
          <w:lang w:val="fr-FR"/>
        </w:rPr>
        <w:t xml:space="preserve"> pour leur confier le commissariat d’expositions, que celles-ci portent sur la littérature ou les arts plastiques. Alors que </w:t>
      </w:r>
      <w:r w:rsidR="001749ED" w:rsidRPr="00DE2AFA">
        <w:rPr>
          <w:lang w:val="fr-BE"/>
        </w:rPr>
        <w:t xml:space="preserve">Le Louvre </w:t>
      </w:r>
      <w:r w:rsidR="001749ED" w:rsidRPr="00DE2AFA">
        <w:rPr>
          <w:lang w:val="fr-BE"/>
        </w:rPr>
        <w:lastRenderedPageBreak/>
        <w:t>a ainsi offert ses cimaises à des auteurs tels qu’Umberto Eco, Toni Morrison, Jean-Marie Gustave Le Clézio, Jean-Philippe Toussaint</w:t>
      </w:r>
      <w:r w:rsidR="008B7FCC">
        <w:rPr>
          <w:rStyle w:val="Appelnotedebasdep"/>
          <w:lang w:val="fr-BE"/>
        </w:rPr>
        <w:footnoteReference w:id="28"/>
      </w:r>
      <w:r w:rsidR="001749ED" w:rsidRPr="00DE2AFA">
        <w:rPr>
          <w:lang w:val="fr-BE"/>
        </w:rPr>
        <w:t>, ou encore Philippe Djian, un</w:t>
      </w:r>
      <w:r w:rsidR="001749ED" w:rsidRPr="00DE2AFA">
        <w:rPr>
          <w:lang w:val="fr-FR"/>
        </w:rPr>
        <w:t>e Marie Darrieussecq (Musée des Beaux-Arts de Paris, 2016) et une Christine Angot (Musée Delacroix, 2017) se sont vu confier un rôle dans l’organisation d’expositions consacrées à des peintres (Paul M. Becker et Delacroix). Un Michel Houellebecq a de son côté été accueilli par le Palais de Tokyo (2006), dans un registre plus directement lié à l’histoire littéraire, le MUCEM a, à deux reprises, accueilli Emmanuelle Lambert pour des expositions consacrées à Jean Genet (2016) et à Jean Giono (2019), tandis que l’Institut Mémoire de l’édition contemporaine (IMEC) convie depuis 2016 auteurs et artistes à mettre en valeur ses collections dans le cadre d’un programme intitulé « Le Lieu de l’archive »</w:t>
      </w:r>
      <w:r w:rsidR="001749ED" w:rsidRPr="772DE573">
        <w:rPr>
          <w:rStyle w:val="Appelnotedebasdep"/>
          <w:lang w:val="fr-FR"/>
        </w:rPr>
        <w:footnoteReference w:id="29"/>
      </w:r>
      <w:r w:rsidR="001749ED" w:rsidRPr="00DE2AFA">
        <w:rPr>
          <w:lang w:val="fr-FR"/>
        </w:rPr>
        <w:t>.</w:t>
      </w:r>
    </w:p>
    <w:p w14:paraId="61A708BE" w14:textId="202596CF" w:rsidR="00724FAF" w:rsidRPr="00DE2AFA" w:rsidRDefault="0034407D" w:rsidP="00DE2AFA">
      <w:pPr>
        <w:spacing w:after="120" w:line="360" w:lineRule="auto"/>
        <w:jc w:val="both"/>
        <w:rPr>
          <w:lang w:val="fr-BE"/>
        </w:rPr>
      </w:pPr>
      <w:r w:rsidRPr="00DE2AFA">
        <w:rPr>
          <w:lang w:val="fr-BE"/>
        </w:rPr>
        <w:t xml:space="preserve">Une </w:t>
      </w:r>
      <w:r w:rsidR="008F6291" w:rsidRPr="00DE2AFA">
        <w:rPr>
          <w:lang w:val="fr-BE"/>
        </w:rPr>
        <w:t xml:space="preserve">autre option est </w:t>
      </w:r>
      <w:r w:rsidR="00724FAF" w:rsidRPr="00DE2AFA">
        <w:rPr>
          <w:lang w:val="fr-BE"/>
        </w:rPr>
        <w:t xml:space="preserve">celle présentant des œuvres d’écrivains relevant des arts visuels. S’agissant d’auteurs qui ont effectivement et publiquement œuvré dans le domaine visuel, à l’instar d’un Cocteau, d’un Michaux ou d’un </w:t>
      </w:r>
      <w:proofErr w:type="spellStart"/>
      <w:r w:rsidR="00724FAF" w:rsidRPr="00DE2AFA">
        <w:rPr>
          <w:lang w:val="fr-BE"/>
        </w:rPr>
        <w:t>Dotremont</w:t>
      </w:r>
      <w:proofErr w:type="spellEnd"/>
      <w:r w:rsidR="00724FAF" w:rsidRPr="00DE2AFA">
        <w:rPr>
          <w:lang w:val="fr-BE"/>
        </w:rPr>
        <w:t>, le fait n’est somme toute pas surprenant. Il l’est davantage lorsqu’il permet de découvrir une production jusqu’alors restée privée ou du moins confidentielle. Aussi le Centre Pompidou a-t-il consacré</w:t>
      </w:r>
      <w:r w:rsidR="009A0115">
        <w:rPr>
          <w:lang w:val="fr-BE"/>
        </w:rPr>
        <w:t xml:space="preserve"> en 2014</w:t>
      </w:r>
      <w:r w:rsidR="00724FAF" w:rsidRPr="00DE2AFA">
        <w:rPr>
          <w:lang w:val="fr-BE"/>
        </w:rPr>
        <w:t xml:space="preserve"> une exposition aux photographies de Claude Simon, qu’il conserve, sous le titre </w:t>
      </w:r>
      <w:r w:rsidR="00724FAF" w:rsidRPr="00DE2AFA">
        <w:rPr>
          <w:i/>
          <w:iCs/>
          <w:lang w:val="fr-BE"/>
        </w:rPr>
        <w:t>L’Inépuisable chaos du monde</w:t>
      </w:r>
      <w:r w:rsidR="00724FAF" w:rsidRPr="772DE573">
        <w:rPr>
          <w:rStyle w:val="Appelnotedebasdep"/>
          <w:lang w:val="fr-BE"/>
        </w:rPr>
        <w:footnoteReference w:id="30"/>
      </w:r>
      <w:r w:rsidR="00724FAF" w:rsidRPr="00DE2AFA">
        <w:rPr>
          <w:lang w:val="fr-BE"/>
        </w:rPr>
        <w:t>. Plus récemment, le même auteur a fait l’objet d’une exposition sur trois sites, sur un sujet comparable (en incluant des œuvres plastiques de l’auteur – notamment des paravents – à ses photographies)</w:t>
      </w:r>
      <w:r w:rsidR="00724FAF" w:rsidRPr="772DE573">
        <w:rPr>
          <w:rStyle w:val="Appelnotedebasdep"/>
          <w:lang w:val="fr-BE"/>
        </w:rPr>
        <w:footnoteReference w:id="31"/>
      </w:r>
      <w:r w:rsidR="00724FAF" w:rsidRPr="00DE2AFA">
        <w:rPr>
          <w:lang w:val="fr-BE"/>
        </w:rPr>
        <w:t xml:space="preserve">. De même, l’Archipel Butor de Lucinges présentait </w:t>
      </w:r>
      <w:r w:rsidR="009A0115">
        <w:rPr>
          <w:lang w:val="fr-BE"/>
        </w:rPr>
        <w:t xml:space="preserve">en 2021 </w:t>
      </w:r>
      <w:r w:rsidR="00724FAF" w:rsidRPr="00DE2AFA">
        <w:rPr>
          <w:lang w:val="fr-BE"/>
        </w:rPr>
        <w:t>une exposition conjuguant les photographies prises par l’auteur avec celles de l’auteur prises par d’autres photographes et évoquant ses relations avec les photographes</w:t>
      </w:r>
      <w:r w:rsidR="00724FAF" w:rsidRPr="772DE573">
        <w:rPr>
          <w:rStyle w:val="Appelnotedebasdep"/>
          <w:lang w:val="fr-BE"/>
        </w:rPr>
        <w:footnoteReference w:id="32"/>
      </w:r>
      <w:r w:rsidR="00724FAF" w:rsidRPr="00DE2AFA">
        <w:rPr>
          <w:lang w:val="fr-BE"/>
        </w:rPr>
        <w:t xml:space="preserve">. Enfin, le Grand Curtius de </w:t>
      </w:r>
      <w:r w:rsidR="00724FAF" w:rsidRPr="00DE2AFA">
        <w:rPr>
          <w:lang w:val="fr-BE"/>
        </w:rPr>
        <w:lastRenderedPageBreak/>
        <w:t>Liège propos</w:t>
      </w:r>
      <w:r w:rsidR="7387BCA1" w:rsidRPr="00DE2AFA">
        <w:rPr>
          <w:lang w:val="fr-BE"/>
        </w:rPr>
        <w:t>ait</w:t>
      </w:r>
      <w:r w:rsidR="00724FAF" w:rsidRPr="00DE2AFA">
        <w:rPr>
          <w:lang w:val="fr-BE"/>
        </w:rPr>
        <w:t xml:space="preserve"> </w:t>
      </w:r>
      <w:r w:rsidR="009A0115">
        <w:rPr>
          <w:lang w:val="fr-BE"/>
        </w:rPr>
        <w:t xml:space="preserve">en 2023 </w:t>
      </w:r>
      <w:r w:rsidR="00724FAF" w:rsidRPr="00DE2AFA">
        <w:rPr>
          <w:lang w:val="fr-BE"/>
        </w:rPr>
        <w:t>une exposition consacrée aux photographies prises par Georges Simenon à l’occasion de ses voyages et reportages</w:t>
      </w:r>
      <w:r w:rsidR="00724FAF" w:rsidRPr="772DE573">
        <w:rPr>
          <w:rStyle w:val="Appelnotedebasdep"/>
          <w:lang w:val="fr-BE"/>
        </w:rPr>
        <w:footnoteReference w:id="33"/>
      </w:r>
      <w:r w:rsidR="00724FAF" w:rsidRPr="00DE2AFA">
        <w:rPr>
          <w:lang w:val="fr-BE"/>
        </w:rPr>
        <w:t>.</w:t>
      </w:r>
    </w:p>
    <w:p w14:paraId="0F510C33" w14:textId="0F7051C7" w:rsidR="00CE4929" w:rsidRPr="009E7DCA" w:rsidRDefault="772DE573" w:rsidP="772DE573">
      <w:pPr>
        <w:spacing w:after="120" w:line="360" w:lineRule="auto"/>
        <w:jc w:val="both"/>
        <w:rPr>
          <w:lang w:val="fr-BE"/>
        </w:rPr>
      </w:pPr>
      <w:r w:rsidRPr="00DE2AFA">
        <w:rPr>
          <w:lang w:val="fr-BE"/>
        </w:rPr>
        <w:t>Comme le montrent ces deux autres tendances</w:t>
      </w:r>
      <w:r w:rsidR="007C44D0">
        <w:rPr>
          <w:lang w:val="fr-BE"/>
        </w:rPr>
        <w:t xml:space="preserve"> – qui feront l’objet d’un article spécifique prenant la suite logique de celui-ci –</w:t>
      </w:r>
      <w:r w:rsidRPr="772DE573">
        <w:rPr>
          <w:lang w:val="fr-BE"/>
        </w:rPr>
        <w:t>, si elle a la réputation de s’exposer relativement mal, la littérature n’en constitue pas moins un adjuvant propice en différents domaines, pour contribuer à des expositions portant sur des sujets parfois plus proches des arts visuels que de la littérature elle-même, quitte à faire des écrivains des artistes eux-mêmes, à leur initiative le cas échéant, ou avec du moins leur plein consentement (Toussaint, Houellebecq…), ou une fois ceux-ci disparus (Butor, Simon, Simenon…).</w:t>
      </w:r>
    </w:p>
    <w:sectPr w:rsidR="00CE4929" w:rsidRPr="009E7DCA">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B4082" w14:textId="77777777" w:rsidR="00F132ED" w:rsidRDefault="00F132ED" w:rsidP="00C231D6">
      <w:r>
        <w:separator/>
      </w:r>
    </w:p>
  </w:endnote>
  <w:endnote w:type="continuationSeparator" w:id="0">
    <w:p w14:paraId="2C568626" w14:textId="77777777" w:rsidR="00F132ED" w:rsidRDefault="00F132ED" w:rsidP="00C2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296265"/>
      <w:docPartObj>
        <w:docPartGallery w:val="Page Numbers (Bottom of Page)"/>
        <w:docPartUnique/>
      </w:docPartObj>
    </w:sdtPr>
    <w:sdtEndPr/>
    <w:sdtContent>
      <w:p w14:paraId="058B8E55" w14:textId="62B6CF53" w:rsidR="00844FF3" w:rsidRDefault="00844FF3">
        <w:pPr>
          <w:pStyle w:val="Pieddepage"/>
          <w:jc w:val="right"/>
        </w:pPr>
        <w:r>
          <w:fldChar w:fldCharType="begin"/>
        </w:r>
        <w:r>
          <w:instrText>PAGE   \* MERGEFORMAT</w:instrText>
        </w:r>
        <w:r>
          <w:fldChar w:fldCharType="separate"/>
        </w:r>
        <w:r>
          <w:rPr>
            <w:lang w:val="fr-FR"/>
          </w:rPr>
          <w:t>2</w:t>
        </w:r>
        <w:r>
          <w:fldChar w:fldCharType="end"/>
        </w:r>
      </w:p>
    </w:sdtContent>
  </w:sdt>
  <w:p w14:paraId="2486F9D3" w14:textId="77777777" w:rsidR="00844FF3" w:rsidRDefault="00844F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2373E" w14:textId="77777777" w:rsidR="00F132ED" w:rsidRDefault="00F132ED" w:rsidP="00C231D6">
      <w:r>
        <w:separator/>
      </w:r>
    </w:p>
  </w:footnote>
  <w:footnote w:type="continuationSeparator" w:id="0">
    <w:p w14:paraId="26257160" w14:textId="77777777" w:rsidR="00F132ED" w:rsidRDefault="00F132ED" w:rsidP="00C231D6">
      <w:r>
        <w:continuationSeparator/>
      </w:r>
    </w:p>
  </w:footnote>
  <w:footnote w:id="1">
    <w:p w14:paraId="707A502C" w14:textId="6899C05E" w:rsidR="00B86134" w:rsidRPr="009427B8" w:rsidRDefault="00B86134" w:rsidP="009427B8">
      <w:pPr>
        <w:pStyle w:val="Notedebasdepage"/>
        <w:jc w:val="both"/>
        <w:rPr>
          <w:rFonts w:ascii="Times New Roman" w:hAnsi="Times New Roman" w:cs="Times New Roman"/>
          <w:lang w:val="fr-FR"/>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Pr="009427B8">
        <w:rPr>
          <w:rFonts w:ascii="Times New Roman" w:hAnsi="Times New Roman" w:cs="Times New Roman"/>
          <w:lang w:val="fr-FR"/>
        </w:rPr>
        <w:t>Ce travail s</w:t>
      </w:r>
      <w:r w:rsidR="006057AF" w:rsidRPr="009427B8">
        <w:rPr>
          <w:rFonts w:ascii="Times New Roman" w:hAnsi="Times New Roman" w:cs="Times New Roman"/>
          <w:lang w:val="fr-FR"/>
        </w:rPr>
        <w:t>’</w:t>
      </w:r>
      <w:r w:rsidRPr="009427B8">
        <w:rPr>
          <w:rFonts w:ascii="Times New Roman" w:hAnsi="Times New Roman" w:cs="Times New Roman"/>
          <w:lang w:val="fr-FR"/>
        </w:rPr>
        <w:t>inscrit dans le</w:t>
      </w:r>
      <w:r w:rsidR="00323D11" w:rsidRPr="009427B8">
        <w:rPr>
          <w:rFonts w:ascii="Times New Roman" w:hAnsi="Times New Roman" w:cs="Times New Roman"/>
          <w:lang w:val="fr-FR"/>
        </w:rPr>
        <w:t xml:space="preserve"> cadre des chantiers de</w:t>
      </w:r>
      <w:r w:rsidRPr="009427B8">
        <w:rPr>
          <w:rFonts w:ascii="Times New Roman" w:hAnsi="Times New Roman" w:cs="Times New Roman"/>
          <w:lang w:val="fr-FR"/>
        </w:rPr>
        <w:t xml:space="preserve"> recherch</w:t>
      </w:r>
      <w:r w:rsidR="00323D11" w:rsidRPr="009427B8">
        <w:rPr>
          <w:rFonts w:ascii="Times New Roman" w:hAnsi="Times New Roman" w:cs="Times New Roman"/>
          <w:lang w:val="fr-FR"/>
        </w:rPr>
        <w:t>e</w:t>
      </w:r>
      <w:r w:rsidRPr="009427B8">
        <w:rPr>
          <w:rFonts w:ascii="Times New Roman" w:hAnsi="Times New Roman" w:cs="Times New Roman"/>
          <w:lang w:val="fr-FR"/>
        </w:rPr>
        <w:t xml:space="preserve"> </w:t>
      </w:r>
      <w:r w:rsidR="00323D11" w:rsidRPr="009427B8">
        <w:rPr>
          <w:rFonts w:ascii="Times New Roman" w:hAnsi="Times New Roman" w:cs="Times New Roman"/>
          <w:lang w:val="fr-FR"/>
        </w:rPr>
        <w:t>initiés</w:t>
      </w:r>
      <w:r w:rsidRPr="009427B8">
        <w:rPr>
          <w:rFonts w:ascii="Times New Roman" w:hAnsi="Times New Roman" w:cs="Times New Roman"/>
          <w:lang w:val="fr-FR"/>
        </w:rPr>
        <w:t xml:space="preserve"> par les RIMELL, </w:t>
      </w:r>
      <w:r w:rsidR="00323D11" w:rsidRPr="009427B8">
        <w:rPr>
          <w:rFonts w:ascii="Times New Roman" w:hAnsi="Times New Roman" w:cs="Times New Roman"/>
          <w:lang w:val="fr-FR"/>
        </w:rPr>
        <w:t xml:space="preserve">le </w:t>
      </w:r>
      <w:r w:rsidR="00010705">
        <w:rPr>
          <w:rFonts w:ascii="Times New Roman" w:hAnsi="Times New Roman" w:cs="Times New Roman"/>
          <w:lang w:val="fr-FR"/>
        </w:rPr>
        <w:t>r</w:t>
      </w:r>
      <w:r w:rsidRPr="009427B8">
        <w:rPr>
          <w:rFonts w:ascii="Times New Roman" w:hAnsi="Times New Roman" w:cs="Times New Roman"/>
          <w:lang w:val="fr-FR"/>
        </w:rPr>
        <w:t xml:space="preserve">éseau de Recherches interdisciplinaires sur la </w:t>
      </w:r>
      <w:proofErr w:type="spellStart"/>
      <w:r w:rsidRPr="009427B8">
        <w:rPr>
          <w:rFonts w:ascii="Times New Roman" w:hAnsi="Times New Roman" w:cs="Times New Roman"/>
          <w:lang w:val="fr-FR"/>
        </w:rPr>
        <w:t>muséalisation</w:t>
      </w:r>
      <w:proofErr w:type="spellEnd"/>
      <w:r w:rsidRPr="009427B8">
        <w:rPr>
          <w:rFonts w:ascii="Times New Roman" w:hAnsi="Times New Roman" w:cs="Times New Roman"/>
          <w:lang w:val="fr-FR"/>
        </w:rPr>
        <w:t xml:space="preserve"> et l</w:t>
      </w:r>
      <w:r w:rsidR="006057AF" w:rsidRPr="009427B8">
        <w:rPr>
          <w:rFonts w:ascii="Times New Roman" w:hAnsi="Times New Roman" w:cs="Times New Roman"/>
          <w:lang w:val="fr-FR"/>
        </w:rPr>
        <w:t>’</w:t>
      </w:r>
      <w:r w:rsidRPr="009427B8">
        <w:rPr>
          <w:rFonts w:ascii="Times New Roman" w:hAnsi="Times New Roman" w:cs="Times New Roman"/>
          <w:lang w:val="fr-FR"/>
        </w:rPr>
        <w:t xml:space="preserve">exposition de la littérature et du livre </w:t>
      </w:r>
      <w:r w:rsidR="005C439B" w:rsidRPr="009427B8">
        <w:rPr>
          <w:rFonts w:ascii="Times New Roman" w:hAnsi="Times New Roman" w:cs="Times New Roman"/>
          <w:lang w:val="fr-FR"/>
        </w:rPr>
        <w:t>(</w:t>
      </w:r>
      <w:hyperlink r:id="rId1" w:history="1">
        <w:r w:rsidR="005C439B" w:rsidRPr="009427B8">
          <w:rPr>
            <w:rStyle w:val="Lienhypertexte"/>
            <w:rFonts w:ascii="Times New Roman" w:hAnsi="Times New Roman" w:cs="Times New Roman"/>
            <w:color w:val="auto"/>
            <w:u w:val="none"/>
            <w:lang w:val="fr-FR"/>
          </w:rPr>
          <w:t>http://www.litteraturesmodesdemploi.org/presentation-2</w:t>
        </w:r>
      </w:hyperlink>
      <w:r w:rsidR="005C439B" w:rsidRPr="009427B8">
        <w:rPr>
          <w:rFonts w:ascii="Times New Roman" w:hAnsi="Times New Roman" w:cs="Times New Roman"/>
          <w:lang w:val="fr-FR"/>
        </w:rPr>
        <w:t xml:space="preserve">). </w:t>
      </w:r>
      <w:r w:rsidR="00541367" w:rsidRPr="009427B8">
        <w:rPr>
          <w:rFonts w:ascii="Times New Roman" w:hAnsi="Times New Roman" w:cs="Times New Roman"/>
          <w:lang w:val="fr-FR"/>
        </w:rPr>
        <w:t>Il repose sur une première approche de la question (voir David Martens, « </w:t>
      </w:r>
      <w:r w:rsidR="00541367" w:rsidRPr="009427B8">
        <w:rPr>
          <w:rFonts w:ascii="Times New Roman" w:hAnsi="Times New Roman" w:cs="Times New Roman"/>
          <w:color w:val="000000"/>
          <w:lang w:val="fr-BE"/>
        </w:rPr>
        <w:t xml:space="preserve">Littératures exposées : dans le regard des écrivains », dans </w:t>
      </w:r>
      <w:r w:rsidR="00541367" w:rsidRPr="009427B8">
        <w:rPr>
          <w:rFonts w:ascii="Times New Roman" w:hAnsi="Times New Roman" w:cs="Times New Roman"/>
          <w:i/>
          <w:iCs/>
          <w:color w:val="000000"/>
          <w:lang w:val="fr-BE"/>
        </w:rPr>
        <w:t>La Lettre de l</w:t>
      </w:r>
      <w:r w:rsidR="004631BA" w:rsidRPr="009427B8">
        <w:rPr>
          <w:rFonts w:ascii="Times New Roman" w:hAnsi="Times New Roman" w:cs="Times New Roman"/>
          <w:i/>
          <w:iCs/>
          <w:color w:val="000000"/>
          <w:lang w:val="fr-BE"/>
        </w:rPr>
        <w:t>’</w:t>
      </w:r>
      <w:proofErr w:type="spellStart"/>
      <w:r w:rsidR="00541367" w:rsidRPr="009427B8">
        <w:rPr>
          <w:rFonts w:ascii="Times New Roman" w:hAnsi="Times New Roman" w:cs="Times New Roman"/>
          <w:i/>
          <w:iCs/>
          <w:color w:val="000000"/>
          <w:lang w:val="fr-BE"/>
        </w:rPr>
        <w:t>Ocim</w:t>
      </w:r>
      <w:proofErr w:type="spellEnd"/>
      <w:r w:rsidR="00541367" w:rsidRPr="009427B8">
        <w:rPr>
          <w:rFonts w:ascii="Times New Roman" w:hAnsi="Times New Roman" w:cs="Times New Roman"/>
          <w:color w:val="000000"/>
          <w:lang w:val="fr-BE"/>
        </w:rPr>
        <w:t>, n° 200, 2022, p. 52-55).</w:t>
      </w:r>
    </w:p>
  </w:footnote>
  <w:footnote w:id="2">
    <w:p w14:paraId="53F5BD15" w14:textId="469B2C76" w:rsidR="004631BA" w:rsidRPr="009427B8" w:rsidRDefault="004631BA"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007C4BC9" w:rsidRPr="009427B8">
        <w:rPr>
          <w:rFonts w:ascii="Times New Roman" w:hAnsi="Times New Roman" w:cs="Times New Roman"/>
          <w:bdr w:val="none" w:sz="0" w:space="0" w:color="auto" w:frame="1"/>
          <w:shd w:val="clear" w:color="auto" w:fill="FAFAFA"/>
          <w:lang w:val="fr-BE"/>
        </w:rPr>
        <w:t xml:space="preserve">Hubert Bari, « Exposer le livre, est-ce imposer l’ennui ? », dans </w:t>
      </w:r>
      <w:r w:rsidR="007C4BC9" w:rsidRPr="009427B8">
        <w:rPr>
          <w:rFonts w:ascii="Times New Roman" w:hAnsi="Times New Roman" w:cs="Times New Roman"/>
          <w:i/>
          <w:iCs/>
          <w:bdr w:val="none" w:sz="0" w:space="0" w:color="auto" w:frame="1"/>
          <w:shd w:val="clear" w:color="auto" w:fill="FFFFFF"/>
          <w:lang w:val="fr-BE"/>
        </w:rPr>
        <w:t>Le Livre exposé : enjeux et méthodes d’une muséographie de l’écrit</w:t>
      </w:r>
      <w:r w:rsidR="007C4BC9" w:rsidRPr="009427B8">
        <w:rPr>
          <w:rFonts w:ascii="Times New Roman" w:hAnsi="Times New Roman" w:cs="Times New Roman"/>
          <w:bdr w:val="none" w:sz="0" w:space="0" w:color="auto" w:frame="1"/>
          <w:shd w:val="clear" w:color="auto" w:fill="FAFAFA"/>
          <w:lang w:val="fr-BE"/>
        </w:rPr>
        <w:t>, journée d’étude de novembre, Lyon, Enssib / Bibliothèque municipale de Lyon / Conseil de l’Europe, 1999,</w:t>
      </w:r>
      <w:r w:rsidR="009F56F2" w:rsidRPr="009427B8">
        <w:rPr>
          <w:rFonts w:ascii="Times New Roman" w:hAnsi="Times New Roman" w:cs="Times New Roman"/>
          <w:bdr w:val="none" w:sz="0" w:space="0" w:color="auto" w:frame="1"/>
          <w:shd w:val="clear" w:color="auto" w:fill="FAFAFA"/>
          <w:lang w:val="fr-BE"/>
        </w:rPr>
        <w:t xml:space="preserve"> </w:t>
      </w:r>
      <w:r w:rsidR="007C4BC9" w:rsidRPr="009427B8">
        <w:rPr>
          <w:rFonts w:ascii="Times New Roman" w:hAnsi="Times New Roman" w:cs="Times New Roman"/>
          <w:bdr w:val="none" w:sz="0" w:space="0" w:color="auto" w:frame="1"/>
          <w:shd w:val="clear" w:color="auto" w:fill="FAFAFA"/>
          <w:lang w:val="fr-BE"/>
        </w:rPr>
        <w:t xml:space="preserve">p. 4-6. </w:t>
      </w:r>
    </w:p>
  </w:footnote>
  <w:footnote w:id="3">
    <w:p w14:paraId="28C6873E" w14:textId="7C23DB6F" w:rsidR="00DE77D7" w:rsidRPr="009427B8" w:rsidRDefault="00DE77D7"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Voir à ce propos les différents entretiens réalisés pour le compte des RIMELL dans le cadre du projet MELL (Mémoire </w:t>
      </w:r>
      <w:proofErr w:type="spellStart"/>
      <w:r w:rsidRPr="009427B8">
        <w:rPr>
          <w:rFonts w:ascii="Times New Roman" w:hAnsi="Times New Roman" w:cs="Times New Roman"/>
          <w:lang w:val="fr-BE"/>
        </w:rPr>
        <w:t>expographique</w:t>
      </w:r>
      <w:proofErr w:type="spellEnd"/>
      <w:r w:rsidRPr="009427B8">
        <w:rPr>
          <w:rFonts w:ascii="Times New Roman" w:hAnsi="Times New Roman" w:cs="Times New Roman"/>
          <w:lang w:val="fr-BE"/>
        </w:rPr>
        <w:t xml:space="preserve"> de la littérature et du livre : </w:t>
      </w:r>
      <w:r w:rsidR="0032499E" w:rsidRPr="009427B8">
        <w:rPr>
          <w:rFonts w:ascii="Times New Roman" w:hAnsi="Times New Roman" w:cs="Times New Roman"/>
          <w:lang w:val="fr-BE"/>
        </w:rPr>
        <w:t>https://www.litteraturesmodesdemploi.org/amell-archives-de-la-memoire-expographique-de-la-litterature-et-du-livre/).</w:t>
      </w:r>
    </w:p>
  </w:footnote>
  <w:footnote w:id="4">
    <w:p w14:paraId="0FB3FE27" w14:textId="608E1390" w:rsidR="0032499E" w:rsidRPr="009427B8" w:rsidRDefault="0032499E"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Le site </w:t>
      </w:r>
      <w:r w:rsidR="005C439B" w:rsidRPr="009427B8">
        <w:rPr>
          <w:rFonts w:ascii="Times New Roman" w:hAnsi="Times New Roman" w:cs="Times New Roman"/>
          <w:lang w:val="fr-BE"/>
        </w:rPr>
        <w:t>www.litteraturesmodesdemploi.org</w:t>
      </w:r>
      <w:r w:rsidRPr="009427B8">
        <w:rPr>
          <w:rStyle w:val="Lienhypertexte"/>
          <w:rFonts w:ascii="Times New Roman" w:hAnsi="Times New Roman" w:cs="Times New Roman"/>
          <w:color w:val="auto"/>
          <w:u w:val="none"/>
          <w:lang w:val="fr-BE"/>
        </w:rPr>
        <w:t xml:space="preserve"> </w:t>
      </w:r>
      <w:r w:rsidRPr="009427B8">
        <w:rPr>
          <w:rFonts w:ascii="Times New Roman" w:hAnsi="Times New Roman" w:cs="Times New Roman"/>
          <w:lang w:val="fr-BE"/>
        </w:rPr>
        <w:t>ne cesse de le montrer, depuis sa création en 2015, en particulier à travers la tenue d’un agenda des expositions organisées dans l’espace francophone.</w:t>
      </w:r>
    </w:p>
  </w:footnote>
  <w:footnote w:id="5">
    <w:p w14:paraId="562CFEA3" w14:textId="462AA810" w:rsidR="003D4CDA" w:rsidRPr="009427B8" w:rsidRDefault="003D4CDA"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Une seconde étude, en préparation, portera </w:t>
      </w:r>
      <w:r w:rsidRPr="009427B8">
        <w:rPr>
          <w:rFonts w:ascii="Times New Roman" w:eastAsia="Times New Roman" w:hAnsi="Times New Roman" w:cs="Times New Roman"/>
          <w:lang w:val="fr-BE"/>
        </w:rPr>
        <w:t xml:space="preserve"> les commissariats d’exposition confiés à des écrivains et les expositions consacrées aux œuvres visuelles des écrivains</w:t>
      </w:r>
    </w:p>
  </w:footnote>
  <w:footnote w:id="6">
    <w:p w14:paraId="2923B95B" w14:textId="5D3729C2" w:rsidR="00137524" w:rsidRPr="009427B8" w:rsidRDefault="00137524" w:rsidP="009427B8">
      <w:pPr>
        <w:pStyle w:val="Titre2"/>
        <w:shd w:val="clear" w:color="auto" w:fill="FFFFFF" w:themeFill="background1"/>
        <w:spacing w:before="0" w:beforeAutospacing="0" w:after="0" w:afterAutospacing="0"/>
        <w:jc w:val="both"/>
        <w:rPr>
          <w:b w:val="0"/>
          <w:bCs w:val="0"/>
          <w:color w:val="1A4874"/>
          <w:sz w:val="20"/>
          <w:szCs w:val="20"/>
          <w:lang w:val="en-US"/>
        </w:rPr>
      </w:pPr>
      <w:r w:rsidRPr="009427B8">
        <w:rPr>
          <w:rStyle w:val="Appelnotedebasdep"/>
          <w:b w:val="0"/>
          <w:bCs w:val="0"/>
          <w:sz w:val="20"/>
          <w:szCs w:val="20"/>
        </w:rPr>
        <w:footnoteRef/>
      </w:r>
      <w:r w:rsidRPr="009427B8">
        <w:rPr>
          <w:b w:val="0"/>
          <w:bCs w:val="0"/>
          <w:sz w:val="20"/>
          <w:szCs w:val="20"/>
          <w:lang w:val="en-US"/>
        </w:rPr>
        <w:t xml:space="preserve"> Voir </w:t>
      </w:r>
      <w:proofErr w:type="spellStart"/>
      <w:r w:rsidRPr="009427B8">
        <w:rPr>
          <w:b w:val="0"/>
          <w:bCs w:val="0"/>
          <w:sz w:val="20"/>
          <w:szCs w:val="20"/>
          <w:lang w:val="en-US"/>
        </w:rPr>
        <w:t>notamment</w:t>
      </w:r>
      <w:proofErr w:type="spellEnd"/>
      <w:r w:rsidRPr="009427B8">
        <w:rPr>
          <w:b w:val="0"/>
          <w:bCs w:val="0"/>
          <w:sz w:val="20"/>
          <w:szCs w:val="20"/>
          <w:lang w:val="en-US"/>
        </w:rPr>
        <w:t xml:space="preserve"> Reesa Greenberg, « The Exhibition as Discursive Event », dans </w:t>
      </w:r>
      <w:r w:rsidRPr="009427B8">
        <w:rPr>
          <w:b w:val="0"/>
          <w:bCs w:val="0"/>
          <w:i/>
          <w:iCs/>
          <w:sz w:val="20"/>
          <w:szCs w:val="20"/>
          <w:lang w:val="en-US"/>
        </w:rPr>
        <w:t>Longing and Belonging. From the Faraway Nearby</w:t>
      </w:r>
      <w:r w:rsidRPr="009427B8">
        <w:rPr>
          <w:b w:val="0"/>
          <w:bCs w:val="0"/>
          <w:sz w:val="20"/>
          <w:szCs w:val="20"/>
          <w:lang w:val="en-US"/>
        </w:rPr>
        <w:t xml:space="preserve">, </w:t>
      </w:r>
      <w:r w:rsidR="7387BCA1" w:rsidRPr="009427B8">
        <w:rPr>
          <w:b w:val="0"/>
          <w:bCs w:val="0"/>
          <w:sz w:val="20"/>
          <w:szCs w:val="20"/>
          <w:lang w:val="en-US"/>
        </w:rPr>
        <w:t xml:space="preserve">Santa Fe, </w:t>
      </w:r>
      <w:r w:rsidR="0030401C" w:rsidRPr="009427B8">
        <w:rPr>
          <w:b w:val="0"/>
          <w:bCs w:val="0"/>
          <w:sz w:val="20"/>
          <w:szCs w:val="20"/>
          <w:lang w:val="en-US"/>
        </w:rPr>
        <w:t>Museum of Fine Arts/SITE Santa Fe,</w:t>
      </w:r>
      <w:r w:rsidRPr="009427B8">
        <w:rPr>
          <w:b w:val="0"/>
          <w:bCs w:val="0"/>
          <w:sz w:val="20"/>
          <w:szCs w:val="20"/>
          <w:lang w:val="en-US"/>
        </w:rPr>
        <w:t xml:space="preserve">1995, p. 118-125, </w:t>
      </w:r>
      <w:proofErr w:type="spellStart"/>
      <w:r w:rsidRPr="009427B8">
        <w:rPr>
          <w:b w:val="0"/>
          <w:bCs w:val="0"/>
          <w:sz w:val="20"/>
          <w:szCs w:val="20"/>
          <w:lang w:val="en-US"/>
        </w:rPr>
        <w:t>ainsi</w:t>
      </w:r>
      <w:proofErr w:type="spellEnd"/>
      <w:r w:rsidRPr="009427B8">
        <w:rPr>
          <w:b w:val="0"/>
          <w:bCs w:val="0"/>
          <w:sz w:val="20"/>
          <w:szCs w:val="20"/>
          <w:lang w:val="en-US"/>
        </w:rPr>
        <w:t xml:space="preserve"> </w:t>
      </w:r>
      <w:proofErr w:type="spellStart"/>
      <w:r w:rsidRPr="009427B8">
        <w:rPr>
          <w:b w:val="0"/>
          <w:bCs w:val="0"/>
          <w:sz w:val="20"/>
          <w:szCs w:val="20"/>
          <w:lang w:val="en-US"/>
        </w:rPr>
        <w:t>que</w:t>
      </w:r>
      <w:proofErr w:type="spellEnd"/>
      <w:r w:rsidRPr="009427B8">
        <w:rPr>
          <w:b w:val="0"/>
          <w:bCs w:val="0"/>
          <w:sz w:val="20"/>
          <w:szCs w:val="20"/>
          <w:lang w:val="en-US"/>
        </w:rPr>
        <w:t xml:space="preserve"> Mieke Bal, </w:t>
      </w:r>
      <w:r w:rsidRPr="009427B8">
        <w:rPr>
          <w:b w:val="0"/>
          <w:bCs w:val="0"/>
          <w:i/>
          <w:iCs/>
          <w:color w:val="202122"/>
          <w:sz w:val="20"/>
          <w:szCs w:val="20"/>
          <w:shd w:val="clear" w:color="auto" w:fill="FFFFFF"/>
          <w:lang w:val="en-US"/>
        </w:rPr>
        <w:t>Double Exposures</w:t>
      </w:r>
      <w:r w:rsidR="0030401C" w:rsidRPr="009427B8">
        <w:rPr>
          <w:b w:val="0"/>
          <w:bCs w:val="0"/>
          <w:i/>
          <w:iCs/>
          <w:color w:val="202122"/>
          <w:sz w:val="20"/>
          <w:szCs w:val="20"/>
          <w:shd w:val="clear" w:color="auto" w:fill="FFFFFF"/>
          <w:lang w:val="en-US"/>
        </w:rPr>
        <w:t> </w:t>
      </w:r>
      <w:r w:rsidRPr="009427B8">
        <w:rPr>
          <w:b w:val="0"/>
          <w:bCs w:val="0"/>
          <w:i/>
          <w:iCs/>
          <w:color w:val="202122"/>
          <w:sz w:val="20"/>
          <w:szCs w:val="20"/>
          <w:shd w:val="clear" w:color="auto" w:fill="FFFFFF"/>
          <w:lang w:val="en-US"/>
        </w:rPr>
        <w:t>: The Subject of Cultural Analysis</w:t>
      </w:r>
      <w:r w:rsidRPr="009427B8">
        <w:rPr>
          <w:b w:val="0"/>
          <w:bCs w:val="0"/>
          <w:color w:val="202122"/>
          <w:sz w:val="20"/>
          <w:szCs w:val="20"/>
          <w:shd w:val="clear" w:color="auto" w:fill="FFFFFF"/>
          <w:lang w:val="en-US"/>
        </w:rPr>
        <w:t xml:space="preserve">, </w:t>
      </w:r>
      <w:r w:rsidR="00F32D0E" w:rsidRPr="009427B8">
        <w:rPr>
          <w:b w:val="0"/>
          <w:bCs w:val="0"/>
          <w:color w:val="202122"/>
          <w:sz w:val="20"/>
          <w:szCs w:val="20"/>
          <w:shd w:val="clear" w:color="auto" w:fill="FFFFFF"/>
          <w:lang w:val="en-US"/>
        </w:rPr>
        <w:t>New York</w:t>
      </w:r>
      <w:r w:rsidRPr="009427B8">
        <w:rPr>
          <w:b w:val="0"/>
          <w:bCs w:val="0"/>
          <w:color w:val="202122"/>
          <w:sz w:val="20"/>
          <w:szCs w:val="20"/>
          <w:shd w:val="clear" w:color="auto" w:fill="FFFFFF"/>
          <w:lang w:val="en-US"/>
        </w:rPr>
        <w:t>, Routledge, 1996.</w:t>
      </w:r>
    </w:p>
  </w:footnote>
  <w:footnote w:id="7">
    <w:p w14:paraId="65CE340D" w14:textId="33B96613" w:rsidR="00CE4929" w:rsidRPr="009427B8" w:rsidRDefault="00CE4929"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Nous remercions </w:t>
      </w:r>
      <w:r w:rsidR="007C4BC9" w:rsidRPr="009427B8">
        <w:rPr>
          <w:rFonts w:ascii="Times New Roman" w:hAnsi="Times New Roman" w:cs="Times New Roman"/>
          <w:lang w:val="fr-BE"/>
        </w:rPr>
        <w:t>Julien Michel</w:t>
      </w:r>
      <w:r w:rsidRPr="009427B8">
        <w:rPr>
          <w:rFonts w:ascii="Times New Roman" w:hAnsi="Times New Roman" w:cs="Times New Roman"/>
          <w:lang w:val="fr-BE"/>
        </w:rPr>
        <w:t xml:space="preserve"> d’avoir attiré notre attention sur cette exposition (</w:t>
      </w:r>
      <w:r w:rsidRPr="009427B8">
        <w:rPr>
          <w:rFonts w:ascii="Times New Roman" w:hAnsi="Times New Roman" w:cs="Times New Roman"/>
          <w:i/>
          <w:iCs/>
          <w:lang w:val="fr-BE"/>
        </w:rPr>
        <w:t xml:space="preserve">C – W – F. </w:t>
      </w:r>
      <w:proofErr w:type="spellStart"/>
      <w:r w:rsidRPr="009427B8">
        <w:rPr>
          <w:rFonts w:ascii="Times New Roman" w:hAnsi="Times New Roman" w:cs="Times New Roman"/>
          <w:i/>
          <w:iCs/>
          <w:lang w:val="fr-BE"/>
        </w:rPr>
        <w:t>Cetus</w:t>
      </w:r>
      <w:proofErr w:type="spellEnd"/>
      <w:r w:rsidRPr="009427B8">
        <w:rPr>
          <w:rFonts w:ascii="Times New Roman" w:hAnsi="Times New Roman" w:cs="Times New Roman"/>
          <w:i/>
          <w:iCs/>
          <w:lang w:val="fr-BE"/>
        </w:rPr>
        <w:t>, Whale &amp; Fish</w:t>
      </w:r>
      <w:r w:rsidRPr="009427B8">
        <w:rPr>
          <w:rFonts w:ascii="Times New Roman" w:hAnsi="Times New Roman" w:cs="Times New Roman"/>
          <w:lang w:val="fr-BE"/>
        </w:rPr>
        <w:t xml:space="preserve">, Musée </w:t>
      </w:r>
      <w:proofErr w:type="spellStart"/>
      <w:r w:rsidRPr="009427B8">
        <w:rPr>
          <w:rFonts w:ascii="Times New Roman" w:hAnsi="Times New Roman" w:cs="Times New Roman"/>
          <w:lang w:val="fr-BE"/>
        </w:rPr>
        <w:t>Khômbol</w:t>
      </w:r>
      <w:proofErr w:type="spellEnd"/>
      <w:r w:rsidRPr="009427B8">
        <w:rPr>
          <w:rFonts w:ascii="Times New Roman" w:hAnsi="Times New Roman" w:cs="Times New Roman"/>
          <w:lang w:val="fr-BE"/>
        </w:rPr>
        <w:t>, 28 septembre – 24 novembre 1991) et de nous en avoir procuré le catalogue</w:t>
      </w:r>
      <w:r w:rsidR="007C4BC9" w:rsidRPr="009427B8">
        <w:rPr>
          <w:rFonts w:ascii="Times New Roman" w:hAnsi="Times New Roman" w:cs="Times New Roman"/>
          <w:lang w:val="fr-BE"/>
        </w:rPr>
        <w:t>.</w:t>
      </w:r>
    </w:p>
  </w:footnote>
  <w:footnote w:id="8">
    <w:p w14:paraId="5D6ED470" w14:textId="42EC15E1" w:rsidR="00CE4929" w:rsidRPr="009427B8" w:rsidRDefault="00CE4929"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00691F67" w:rsidRPr="009427B8">
        <w:rPr>
          <w:rFonts w:ascii="Times New Roman" w:hAnsi="Times New Roman" w:cs="Times New Roman"/>
          <w:lang w:val="fr-BE"/>
        </w:rPr>
        <w:t xml:space="preserve">Alain Mousseigne, sans titre, dans </w:t>
      </w:r>
      <w:r w:rsidRPr="009427B8">
        <w:rPr>
          <w:rFonts w:ascii="Times New Roman" w:hAnsi="Times New Roman" w:cs="Times New Roman"/>
          <w:i/>
          <w:iCs/>
          <w:lang w:val="fr-BE"/>
        </w:rPr>
        <w:t xml:space="preserve">C – W – F. </w:t>
      </w:r>
      <w:proofErr w:type="spellStart"/>
      <w:r w:rsidRPr="009427B8">
        <w:rPr>
          <w:rFonts w:ascii="Times New Roman" w:hAnsi="Times New Roman" w:cs="Times New Roman"/>
          <w:i/>
          <w:iCs/>
          <w:lang w:val="fr-BE"/>
        </w:rPr>
        <w:t>Cetus</w:t>
      </w:r>
      <w:proofErr w:type="spellEnd"/>
      <w:r w:rsidRPr="009427B8">
        <w:rPr>
          <w:rFonts w:ascii="Times New Roman" w:hAnsi="Times New Roman" w:cs="Times New Roman"/>
          <w:i/>
          <w:iCs/>
          <w:lang w:val="fr-BE"/>
        </w:rPr>
        <w:t>, Whale &amp; Fish</w:t>
      </w:r>
      <w:r w:rsidRPr="009427B8">
        <w:rPr>
          <w:rFonts w:ascii="Times New Roman" w:hAnsi="Times New Roman" w:cs="Times New Roman"/>
          <w:lang w:val="fr-BE"/>
        </w:rPr>
        <w:t xml:space="preserve">, </w:t>
      </w:r>
      <w:r w:rsidR="7387BCA1" w:rsidRPr="009427B8">
        <w:rPr>
          <w:rFonts w:ascii="Times New Roman" w:hAnsi="Times New Roman" w:cs="Times New Roman"/>
          <w:lang w:val="fr-BE"/>
        </w:rPr>
        <w:t xml:space="preserve">Toulouse, </w:t>
      </w:r>
      <w:r w:rsidRPr="009427B8">
        <w:rPr>
          <w:rFonts w:ascii="Times New Roman" w:hAnsi="Times New Roman" w:cs="Times New Roman"/>
          <w:lang w:val="fr-BE"/>
        </w:rPr>
        <w:t xml:space="preserve">Éditions </w:t>
      </w:r>
      <w:proofErr w:type="spellStart"/>
      <w:r w:rsidRPr="009427B8">
        <w:rPr>
          <w:rFonts w:ascii="Times New Roman" w:hAnsi="Times New Roman" w:cs="Times New Roman"/>
          <w:lang w:val="fr-BE"/>
        </w:rPr>
        <w:t>Arpap</w:t>
      </w:r>
      <w:proofErr w:type="spellEnd"/>
      <w:r w:rsidRPr="009427B8">
        <w:rPr>
          <w:rFonts w:ascii="Times New Roman" w:hAnsi="Times New Roman" w:cs="Times New Roman"/>
          <w:lang w:val="fr-BE"/>
        </w:rPr>
        <w:t>,</w:t>
      </w:r>
      <w:r w:rsidR="0030401C" w:rsidRPr="009427B8">
        <w:rPr>
          <w:rFonts w:ascii="Times New Roman" w:hAnsi="Times New Roman" w:cs="Times New Roman"/>
          <w:lang w:val="fr-BE"/>
        </w:rPr>
        <w:t xml:space="preserve"> 1991</w:t>
      </w:r>
      <w:r w:rsidR="7387BCA1" w:rsidRPr="009427B8">
        <w:rPr>
          <w:rFonts w:ascii="Times New Roman" w:hAnsi="Times New Roman" w:cs="Times New Roman"/>
          <w:lang w:val="fr-BE"/>
        </w:rPr>
        <w:t>, p.</w:t>
      </w:r>
      <w:r w:rsidR="00691F67" w:rsidRPr="009427B8">
        <w:rPr>
          <w:rFonts w:ascii="Times New Roman" w:hAnsi="Times New Roman" w:cs="Times New Roman"/>
          <w:lang w:val="fr-BE"/>
        </w:rPr>
        <w:t> 3</w:t>
      </w:r>
      <w:r w:rsidR="0030401C" w:rsidRPr="009427B8">
        <w:rPr>
          <w:rFonts w:ascii="Times New Roman" w:hAnsi="Times New Roman" w:cs="Times New Roman"/>
          <w:lang w:val="fr-BE"/>
        </w:rPr>
        <w:t>.</w:t>
      </w:r>
    </w:p>
  </w:footnote>
  <w:footnote w:id="9">
    <w:p w14:paraId="4B369531" w14:textId="19666A68" w:rsidR="000E4856" w:rsidRPr="009427B8" w:rsidRDefault="000E4856"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D’après </w:t>
      </w:r>
      <w:hyperlink r:id="rId2" w:history="1">
        <w:r w:rsidR="7387BCA1" w:rsidRPr="009427B8">
          <w:rPr>
            <w:rStyle w:val="Lienhypertexte"/>
            <w:rFonts w:ascii="Times New Roman" w:hAnsi="Times New Roman" w:cs="Times New Roman"/>
            <w:lang w:val="fr-BE"/>
          </w:rPr>
          <w:t>https://www.centrepompidou.fr/fr/programme/agenda/evenement/c9jjjgM</w:t>
        </w:r>
      </w:hyperlink>
      <w:r w:rsidRPr="009427B8">
        <w:rPr>
          <w:rFonts w:ascii="Times New Roman" w:hAnsi="Times New Roman" w:cs="Times New Roman"/>
          <w:lang w:val="fr-BE"/>
        </w:rPr>
        <w:t xml:space="preserve"> (page consultée le ?).</w:t>
      </w:r>
    </w:p>
  </w:footnote>
  <w:footnote w:id="10">
    <w:p w14:paraId="0FBF7BC8" w14:textId="0BE9E62E" w:rsidR="00705CA9" w:rsidRPr="009427B8" w:rsidRDefault="00705CA9"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Pr="009427B8">
        <w:rPr>
          <w:rFonts w:ascii="Times New Roman" w:hAnsi="Times New Roman" w:cs="Times New Roman"/>
          <w:color w:val="111111"/>
          <w:shd w:val="clear" w:color="auto" w:fill="FFFFFF"/>
          <w:lang w:val="fr-BE"/>
        </w:rPr>
        <w:t xml:space="preserve">Plus récemment, en Norvège cette fois, une Virginia Woolf décidément bien inspirante se trouve à nouveau mobilisée, dans le cadre cette fois de l’exposition </w:t>
      </w:r>
      <w:r w:rsidRPr="009427B8">
        <w:rPr>
          <w:rStyle w:val="Accentuation"/>
          <w:rFonts w:ascii="Times New Roman" w:hAnsi="Times New Roman" w:cs="Times New Roman"/>
          <w:color w:val="111111"/>
          <w:shd w:val="clear" w:color="auto" w:fill="FFFFFF"/>
          <w:lang w:val="fr-BE"/>
        </w:rPr>
        <w:t xml:space="preserve">Fire </w:t>
      </w:r>
      <w:proofErr w:type="spellStart"/>
      <w:r w:rsidRPr="009427B8">
        <w:rPr>
          <w:rStyle w:val="Accentuation"/>
          <w:rFonts w:ascii="Times New Roman" w:hAnsi="Times New Roman" w:cs="Times New Roman"/>
          <w:color w:val="111111"/>
          <w:shd w:val="clear" w:color="auto" w:fill="FFFFFF"/>
          <w:lang w:val="fr-BE"/>
        </w:rPr>
        <w:t>hus</w:t>
      </w:r>
      <w:proofErr w:type="spellEnd"/>
      <w:r w:rsidRPr="009427B8">
        <w:rPr>
          <w:rStyle w:val="Accentuation"/>
          <w:rFonts w:ascii="Times New Roman" w:hAnsi="Times New Roman" w:cs="Times New Roman"/>
          <w:color w:val="111111"/>
          <w:shd w:val="clear" w:color="auto" w:fill="FFFFFF"/>
          <w:lang w:val="fr-BE"/>
        </w:rPr>
        <w:t xml:space="preserve">. Fire </w:t>
      </w:r>
      <w:proofErr w:type="spellStart"/>
      <w:r w:rsidRPr="009427B8">
        <w:rPr>
          <w:rStyle w:val="Accentuation"/>
          <w:rFonts w:ascii="Times New Roman" w:hAnsi="Times New Roman" w:cs="Times New Roman"/>
          <w:color w:val="111111"/>
          <w:shd w:val="clear" w:color="auto" w:fill="FFFFFF"/>
          <w:lang w:val="fr-BE"/>
        </w:rPr>
        <w:t>kvinner</w:t>
      </w:r>
      <w:proofErr w:type="spellEnd"/>
      <w:r w:rsidRPr="009427B8">
        <w:rPr>
          <w:rStyle w:val="Accentuation"/>
          <w:rFonts w:ascii="Times New Roman" w:hAnsi="Times New Roman" w:cs="Times New Roman"/>
          <w:color w:val="111111"/>
          <w:shd w:val="clear" w:color="auto" w:fill="FFFFFF"/>
          <w:lang w:val="fr-BE"/>
        </w:rPr>
        <w:t xml:space="preserve">. Beate </w:t>
      </w:r>
      <w:proofErr w:type="spellStart"/>
      <w:r w:rsidRPr="009427B8">
        <w:rPr>
          <w:rStyle w:val="Accentuation"/>
          <w:rFonts w:ascii="Times New Roman" w:hAnsi="Times New Roman" w:cs="Times New Roman"/>
          <w:color w:val="111111"/>
          <w:shd w:val="clear" w:color="auto" w:fill="FFFFFF"/>
          <w:lang w:val="fr-BE"/>
        </w:rPr>
        <w:t>Hølmebakks</w:t>
      </w:r>
      <w:proofErr w:type="spellEnd"/>
      <w:r w:rsidRPr="009427B8">
        <w:rPr>
          <w:rStyle w:val="Accentuation"/>
          <w:rFonts w:ascii="Times New Roman" w:hAnsi="Times New Roman" w:cs="Times New Roman"/>
          <w:color w:val="111111"/>
          <w:shd w:val="clear" w:color="auto" w:fill="FFFFFF"/>
          <w:lang w:val="fr-BE"/>
        </w:rPr>
        <w:t> </w:t>
      </w:r>
      <w:r w:rsidRPr="009427B8">
        <w:rPr>
          <w:rFonts w:ascii="Times New Roman" w:hAnsi="Times New Roman" w:cs="Times New Roman"/>
          <w:color w:val="111111"/>
          <w:shd w:val="clear" w:color="auto" w:fill="FFFFFF"/>
          <w:lang w:val="fr-BE"/>
        </w:rPr>
        <w:t>Virginia-</w:t>
      </w:r>
      <w:proofErr w:type="spellStart"/>
      <w:r w:rsidRPr="009427B8">
        <w:rPr>
          <w:rFonts w:ascii="Times New Roman" w:hAnsi="Times New Roman" w:cs="Times New Roman"/>
          <w:color w:val="111111"/>
          <w:shd w:val="clear" w:color="auto" w:fill="FFFFFF"/>
          <w:lang w:val="fr-BE"/>
        </w:rPr>
        <w:t>serie</w:t>
      </w:r>
      <w:proofErr w:type="spellEnd"/>
      <w:r w:rsidRPr="009427B8">
        <w:rPr>
          <w:rFonts w:ascii="Times New Roman" w:hAnsi="Times New Roman" w:cs="Times New Roman"/>
          <w:color w:val="111111"/>
          <w:shd w:val="clear" w:color="auto" w:fill="FFFFFF"/>
          <w:lang w:val="fr-BE"/>
        </w:rPr>
        <w:t> (</w:t>
      </w:r>
      <w:r w:rsidRPr="009427B8">
        <w:rPr>
          <w:rStyle w:val="Accentuation"/>
          <w:rFonts w:ascii="Times New Roman" w:hAnsi="Times New Roman" w:cs="Times New Roman"/>
          <w:color w:val="111111"/>
          <w:shd w:val="clear" w:color="auto" w:fill="FFFFFF"/>
          <w:lang w:val="fr-BE"/>
        </w:rPr>
        <w:t>1995-2000),</w:t>
      </w:r>
      <w:r w:rsidRPr="009427B8">
        <w:rPr>
          <w:rStyle w:val="Accentuation"/>
          <w:rFonts w:ascii="Times New Roman" w:hAnsi="Times New Roman" w:cs="Times New Roman"/>
          <w:i w:val="0"/>
          <w:iCs w:val="0"/>
          <w:color w:val="111111"/>
          <w:shd w:val="clear" w:color="auto" w:fill="FFFFFF"/>
          <w:lang w:val="fr-BE"/>
        </w:rPr>
        <w:t xml:space="preserve"> </w:t>
      </w:r>
      <w:proofErr w:type="spellStart"/>
      <w:r w:rsidR="2534117F" w:rsidRPr="009427B8">
        <w:rPr>
          <w:rStyle w:val="Accentuation"/>
          <w:rFonts w:ascii="Times New Roman" w:hAnsi="Times New Roman" w:cs="Times New Roman"/>
          <w:i w:val="0"/>
          <w:iCs w:val="0"/>
          <w:color w:val="111111"/>
          <w:lang w:val="fr-BE"/>
        </w:rPr>
        <w:t>Nasjonalmuseet</w:t>
      </w:r>
      <w:proofErr w:type="spellEnd"/>
      <w:r w:rsidR="2534117F" w:rsidRPr="009427B8">
        <w:rPr>
          <w:rStyle w:val="Accentuation"/>
          <w:rFonts w:ascii="Times New Roman" w:hAnsi="Times New Roman" w:cs="Times New Roman"/>
          <w:i w:val="0"/>
          <w:iCs w:val="0"/>
          <w:color w:val="111111"/>
          <w:lang w:val="fr-BE"/>
        </w:rPr>
        <w:t xml:space="preserve"> – </w:t>
      </w:r>
      <w:proofErr w:type="spellStart"/>
      <w:r w:rsidR="2534117F" w:rsidRPr="009427B8">
        <w:rPr>
          <w:rStyle w:val="Accentuation"/>
          <w:rFonts w:ascii="Times New Roman" w:hAnsi="Times New Roman" w:cs="Times New Roman"/>
          <w:i w:val="0"/>
          <w:iCs w:val="0"/>
          <w:color w:val="111111"/>
          <w:lang w:val="fr-BE"/>
        </w:rPr>
        <w:t>Arkitektur</w:t>
      </w:r>
      <w:proofErr w:type="spellEnd"/>
      <w:r w:rsidR="2534117F" w:rsidRPr="009427B8">
        <w:rPr>
          <w:rStyle w:val="Accentuation"/>
          <w:rFonts w:ascii="Times New Roman" w:hAnsi="Times New Roman" w:cs="Times New Roman"/>
          <w:i w:val="0"/>
          <w:iCs w:val="0"/>
          <w:color w:val="111111"/>
          <w:lang w:val="fr-BE"/>
        </w:rPr>
        <w:t>, Oslo</w:t>
      </w:r>
      <w:r w:rsidRPr="009427B8">
        <w:rPr>
          <w:rFonts w:ascii="Times New Roman" w:hAnsi="Times New Roman" w:cs="Times New Roman"/>
          <w:color w:val="111111"/>
          <w:shd w:val="clear" w:color="auto" w:fill="FFFFFF"/>
          <w:lang w:val="fr-BE"/>
        </w:rPr>
        <w:t xml:space="preserve"> (2021).</w:t>
      </w:r>
    </w:p>
  </w:footnote>
  <w:footnote w:id="11">
    <w:p w14:paraId="543F7FC5" w14:textId="36C1FFB6" w:rsidR="00662F86" w:rsidRPr="009427B8" w:rsidRDefault="00662F86"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Pr="009427B8">
        <w:rPr>
          <w:rFonts w:ascii="Times New Roman" w:hAnsi="Times New Roman" w:cs="Times New Roman"/>
          <w:shd w:val="clear" w:color="auto" w:fill="FFFFFF"/>
          <w:lang w:val="fr-BE"/>
        </w:rPr>
        <w:t xml:space="preserve">Voir à ce sujet Hélène Orain, « D’une chambre à soi au musée. Virginia Woolf comme symbole d’une légitimation institutionnelle des artistes », </w:t>
      </w:r>
      <w:r w:rsidR="00BB470F" w:rsidRPr="009427B8">
        <w:rPr>
          <w:rFonts w:ascii="Times New Roman" w:hAnsi="Times New Roman" w:cs="Times New Roman"/>
          <w:shd w:val="clear" w:color="auto" w:fill="FFFFFF"/>
          <w:lang w:val="fr-BE"/>
        </w:rPr>
        <w:t xml:space="preserve">dans </w:t>
      </w:r>
      <w:r w:rsidR="7387BCA1" w:rsidRPr="009427B8">
        <w:rPr>
          <w:rFonts w:ascii="Times New Roman" w:hAnsi="Times New Roman" w:cs="Times New Roman"/>
          <w:lang w:val="fr-BE"/>
        </w:rPr>
        <w:t xml:space="preserve">Corentin </w:t>
      </w:r>
      <w:proofErr w:type="spellStart"/>
      <w:r w:rsidR="7387BCA1" w:rsidRPr="009427B8">
        <w:rPr>
          <w:rFonts w:ascii="Times New Roman" w:hAnsi="Times New Roman" w:cs="Times New Roman"/>
          <w:lang w:val="fr-BE"/>
        </w:rPr>
        <w:t>Lahouste</w:t>
      </w:r>
      <w:proofErr w:type="spellEnd"/>
      <w:r w:rsidR="7387BCA1" w:rsidRPr="009427B8">
        <w:rPr>
          <w:rFonts w:ascii="Times New Roman" w:hAnsi="Times New Roman" w:cs="Times New Roman"/>
          <w:lang w:val="fr-BE"/>
        </w:rPr>
        <w:t xml:space="preserve"> &amp; David Martens</w:t>
      </w:r>
      <w:r w:rsidR="7387BCA1" w:rsidRPr="009427B8">
        <w:rPr>
          <w:rStyle w:val="Accentuation"/>
          <w:rFonts w:ascii="Times New Roman" w:hAnsi="Times New Roman" w:cs="Times New Roman"/>
          <w:lang w:val="fr-BE"/>
        </w:rPr>
        <w:t xml:space="preserve"> </w:t>
      </w:r>
      <w:r w:rsidR="7387BCA1" w:rsidRPr="009427B8">
        <w:rPr>
          <w:rStyle w:val="Accentuation"/>
          <w:rFonts w:ascii="Times New Roman" w:hAnsi="Times New Roman" w:cs="Times New Roman"/>
          <w:i w:val="0"/>
          <w:iCs w:val="0"/>
          <w:lang w:val="fr-BE"/>
        </w:rPr>
        <w:t>(</w:t>
      </w:r>
      <w:proofErr w:type="spellStart"/>
      <w:r w:rsidR="7387BCA1" w:rsidRPr="009427B8">
        <w:rPr>
          <w:rStyle w:val="Accentuation"/>
          <w:rFonts w:ascii="Times New Roman" w:hAnsi="Times New Roman" w:cs="Times New Roman"/>
          <w:i w:val="0"/>
          <w:iCs w:val="0"/>
          <w:lang w:val="fr-BE"/>
        </w:rPr>
        <w:t>dir</w:t>
      </w:r>
      <w:proofErr w:type="spellEnd"/>
      <w:r w:rsidR="7387BCA1" w:rsidRPr="009427B8">
        <w:rPr>
          <w:rStyle w:val="Accentuation"/>
          <w:rFonts w:ascii="Times New Roman" w:hAnsi="Times New Roman" w:cs="Times New Roman"/>
          <w:i w:val="0"/>
          <w:iCs w:val="0"/>
          <w:lang w:val="fr-BE"/>
        </w:rPr>
        <w:t xml:space="preserve">.), </w:t>
      </w:r>
      <w:r w:rsidR="00BB470F" w:rsidRPr="009427B8">
        <w:rPr>
          <w:rStyle w:val="Accentuation"/>
          <w:rFonts w:ascii="Times New Roman" w:hAnsi="Times New Roman" w:cs="Times New Roman"/>
          <w:shd w:val="clear" w:color="auto" w:fill="FFFFFF"/>
          <w:lang w:val="fr-BE"/>
        </w:rPr>
        <w:t>Captures</w:t>
      </w:r>
      <w:r w:rsidR="00BB470F" w:rsidRPr="009427B8">
        <w:rPr>
          <w:rFonts w:ascii="Times New Roman" w:hAnsi="Times New Roman" w:cs="Times New Roman"/>
          <w:shd w:val="clear" w:color="auto" w:fill="FFFFFF"/>
          <w:lang w:val="fr-BE"/>
        </w:rPr>
        <w:t>, vol. 6, n° 2</w:t>
      </w:r>
      <w:r w:rsidR="7387BCA1" w:rsidRPr="009427B8">
        <w:rPr>
          <w:rFonts w:ascii="Times New Roman" w:hAnsi="Times New Roman" w:cs="Times New Roman"/>
          <w:lang w:val="fr-BE"/>
        </w:rPr>
        <w:t>:</w:t>
      </w:r>
      <w:r w:rsidR="00AF4ECA" w:rsidRPr="009427B8">
        <w:rPr>
          <w:rFonts w:ascii="Times New Roman" w:hAnsi="Times New Roman" w:cs="Times New Roman"/>
          <w:shd w:val="clear" w:color="auto" w:fill="FFFFFF"/>
          <w:lang w:val="fr-BE"/>
        </w:rPr>
        <w:t xml:space="preserve">« Inspirations littéraires de l’exposition. D’une matrice </w:t>
      </w:r>
      <w:proofErr w:type="spellStart"/>
      <w:r w:rsidR="00AF4ECA" w:rsidRPr="009427B8">
        <w:rPr>
          <w:rFonts w:ascii="Times New Roman" w:hAnsi="Times New Roman" w:cs="Times New Roman"/>
          <w:shd w:val="clear" w:color="auto" w:fill="FFFFFF"/>
          <w:lang w:val="fr-BE"/>
        </w:rPr>
        <w:t>curatoriale</w:t>
      </w:r>
      <w:proofErr w:type="spellEnd"/>
      <w:r w:rsidR="00BB470F" w:rsidRPr="009427B8">
        <w:rPr>
          <w:rFonts w:ascii="Times New Roman" w:hAnsi="Times New Roman" w:cs="Times New Roman"/>
          <w:shd w:val="clear" w:color="auto" w:fill="FFFFFF"/>
          <w:lang w:val="fr-BE"/>
        </w:rPr>
        <w:t xml:space="preserve"> contemporaine »,</w:t>
      </w:r>
      <w:r w:rsidRPr="009427B8">
        <w:rPr>
          <w:rFonts w:ascii="Times New Roman" w:hAnsi="Times New Roman" w:cs="Times New Roman"/>
          <w:shd w:val="clear" w:color="auto" w:fill="FFFFFF"/>
          <w:lang w:val="fr-BE"/>
        </w:rPr>
        <w:t>, novembre 2021</w:t>
      </w:r>
      <w:r w:rsidR="7387BCA1" w:rsidRPr="009427B8">
        <w:rPr>
          <w:rFonts w:ascii="Times New Roman" w:hAnsi="Times New Roman" w:cs="Times New Roman"/>
          <w:lang w:val="fr-BE"/>
        </w:rPr>
        <w:t>, disponible e</w:t>
      </w:r>
      <w:r w:rsidR="2534117F" w:rsidRPr="009427B8">
        <w:rPr>
          <w:rFonts w:ascii="Times New Roman" w:hAnsi="Times New Roman" w:cs="Times New Roman"/>
          <w:lang w:val="fr-BE"/>
        </w:rPr>
        <w:t>n ligne sur </w:t>
      </w:r>
      <w:r w:rsidR="2534117F" w:rsidRPr="009427B8">
        <w:rPr>
          <w:rStyle w:val="Lienhypertexte"/>
          <w:rFonts w:ascii="Times New Roman" w:hAnsi="Times New Roman" w:cs="Times New Roman"/>
          <w:color w:val="auto"/>
          <w:u w:val="none"/>
          <w:lang w:val="fr-BE"/>
        </w:rPr>
        <w:t>http://www.revuecaptures.org/node/5524/.</w:t>
      </w:r>
    </w:p>
  </w:footnote>
  <w:footnote w:id="12">
    <w:p w14:paraId="46B0D808" w14:textId="236D90F4" w:rsidR="00AC4DB2" w:rsidRPr="009427B8" w:rsidRDefault="00AC4DB2" w:rsidP="009427B8">
      <w:pPr>
        <w:pStyle w:val="Notedebasdepage"/>
        <w:jc w:val="both"/>
        <w:rPr>
          <w:rFonts w:ascii="Times New Roman" w:hAnsi="Times New Roman" w:cs="Times New Roman"/>
          <w:b/>
          <w:bCs/>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005D13D3" w:rsidRPr="009427B8">
        <w:rPr>
          <w:rStyle w:val="Accentuation"/>
          <w:rFonts w:ascii="Times New Roman" w:hAnsi="Times New Roman" w:cs="Times New Roman"/>
          <w:color w:val="1D1D1B"/>
          <w:bdr w:val="single" w:sz="2" w:space="0" w:color="E6E6E6" w:frame="1"/>
          <w:shd w:val="clear" w:color="auto" w:fill="FFFFFF"/>
          <w:lang w:val="fr-BE"/>
        </w:rPr>
        <w:t>La Vie matérielle</w:t>
      </w:r>
      <w:r w:rsidR="005D13D3" w:rsidRPr="009427B8">
        <w:rPr>
          <w:rStyle w:val="lev"/>
          <w:rFonts w:ascii="Times New Roman" w:hAnsi="Times New Roman" w:cs="Times New Roman"/>
          <w:b w:val="0"/>
          <w:bCs w:val="0"/>
          <w:color w:val="1D1D1B"/>
          <w:bdr w:val="single" w:sz="2" w:space="0" w:color="E6E6E6" w:frame="1"/>
          <w:shd w:val="clear" w:color="auto" w:fill="FFFFFF"/>
          <w:lang w:val="fr-BE"/>
        </w:rPr>
        <w:t xml:space="preserve">, </w:t>
      </w:r>
      <w:r w:rsidR="005D13D3" w:rsidRPr="009427B8">
        <w:rPr>
          <w:rFonts w:ascii="Times New Roman" w:hAnsi="Times New Roman" w:cs="Times New Roman"/>
          <w:lang w:val="fr-BE"/>
        </w:rPr>
        <w:t xml:space="preserve">Centrale for </w:t>
      </w:r>
      <w:proofErr w:type="spellStart"/>
      <w:r w:rsidR="005D13D3" w:rsidRPr="009427B8">
        <w:rPr>
          <w:rFonts w:ascii="Times New Roman" w:hAnsi="Times New Roman" w:cs="Times New Roman"/>
          <w:lang w:val="fr-BE"/>
        </w:rPr>
        <w:t>contemporary</w:t>
      </w:r>
      <w:proofErr w:type="spellEnd"/>
      <w:r w:rsidR="005D13D3" w:rsidRPr="009427B8">
        <w:rPr>
          <w:rFonts w:ascii="Times New Roman" w:hAnsi="Times New Roman" w:cs="Times New Roman"/>
          <w:lang w:val="fr-BE"/>
        </w:rPr>
        <w:t xml:space="preserve"> art</w:t>
      </w:r>
      <w:r w:rsidR="005D13D3" w:rsidRPr="009427B8">
        <w:rPr>
          <w:rStyle w:val="lev"/>
          <w:rFonts w:ascii="Times New Roman" w:hAnsi="Times New Roman" w:cs="Times New Roman"/>
          <w:b w:val="0"/>
          <w:bCs w:val="0"/>
          <w:color w:val="1D1D1B"/>
          <w:bdr w:val="single" w:sz="2" w:space="0" w:color="E6E6E6" w:frame="1"/>
          <w:shd w:val="clear" w:color="auto" w:fill="FFFFFF"/>
          <w:lang w:val="fr-BE"/>
        </w:rPr>
        <w:t xml:space="preserve">, Bruxelles, commissariat de </w:t>
      </w:r>
      <w:r w:rsidR="005D13D3" w:rsidRPr="009427B8">
        <w:rPr>
          <w:rFonts w:ascii="Times New Roman" w:hAnsi="Times New Roman" w:cs="Times New Roman"/>
          <w:color w:val="1D1D1B"/>
          <w:shd w:val="clear" w:color="auto" w:fill="FFFFFF"/>
          <w:lang w:val="fr-BE"/>
        </w:rPr>
        <w:t>Marina Dacci &amp; Carine Fol</w:t>
      </w:r>
      <w:r w:rsidR="005D13D3" w:rsidRPr="009427B8">
        <w:rPr>
          <w:rStyle w:val="lev"/>
          <w:rFonts w:ascii="Times New Roman" w:hAnsi="Times New Roman" w:cs="Times New Roman"/>
          <w:b w:val="0"/>
          <w:bCs w:val="0"/>
          <w:color w:val="1D1D1B"/>
          <w:bdr w:val="single" w:sz="2" w:space="0" w:color="E6E6E6" w:frame="1"/>
          <w:shd w:val="clear" w:color="auto" w:fill="FFFFFF"/>
          <w:lang w:val="fr-BE"/>
        </w:rPr>
        <w:t xml:space="preserve"> – </w:t>
      </w:r>
      <w:r w:rsidR="00BB470F" w:rsidRPr="009427B8">
        <w:rPr>
          <w:rStyle w:val="lev"/>
          <w:rFonts w:ascii="Times New Roman" w:hAnsi="Times New Roman" w:cs="Times New Roman"/>
          <w:b w:val="0"/>
          <w:bCs w:val="0"/>
          <w:color w:val="1D1D1B"/>
          <w:bdr w:val="single" w:sz="2" w:space="0" w:color="E6E6E6" w:frame="1"/>
          <w:shd w:val="clear" w:color="auto" w:fill="FFFFFF"/>
          <w:lang w:val="fr-BE"/>
        </w:rPr>
        <w:t>9 </w:t>
      </w:r>
      <w:r w:rsidR="005D13D3" w:rsidRPr="009427B8">
        <w:rPr>
          <w:rStyle w:val="lev"/>
          <w:rFonts w:ascii="Times New Roman" w:hAnsi="Times New Roman" w:cs="Times New Roman"/>
          <w:b w:val="0"/>
          <w:bCs w:val="0"/>
          <w:color w:val="1D1D1B"/>
          <w:bdr w:val="single" w:sz="2" w:space="0" w:color="E6E6E6" w:frame="1"/>
          <w:shd w:val="clear" w:color="auto" w:fill="FFFFFF"/>
          <w:lang w:val="fr-BE"/>
        </w:rPr>
        <w:t>décembre 2021</w:t>
      </w:r>
      <w:r w:rsidR="00BB470F" w:rsidRPr="009427B8">
        <w:rPr>
          <w:rStyle w:val="lev"/>
          <w:rFonts w:ascii="Times New Roman" w:hAnsi="Times New Roman" w:cs="Times New Roman"/>
          <w:b w:val="0"/>
          <w:bCs w:val="0"/>
          <w:color w:val="1D1D1B"/>
          <w:bdr w:val="single" w:sz="2" w:space="0" w:color="E6E6E6" w:frame="1"/>
          <w:shd w:val="clear" w:color="auto" w:fill="FFFFFF"/>
          <w:lang w:val="fr-BE"/>
        </w:rPr>
        <w:t xml:space="preserve"> – </w:t>
      </w:r>
      <w:r w:rsidR="005D13D3" w:rsidRPr="009427B8">
        <w:rPr>
          <w:rStyle w:val="lev"/>
          <w:rFonts w:ascii="Times New Roman" w:hAnsi="Times New Roman" w:cs="Times New Roman"/>
          <w:b w:val="0"/>
          <w:bCs w:val="0"/>
          <w:color w:val="1D1D1B"/>
          <w:bdr w:val="single" w:sz="2" w:space="0" w:color="E6E6E6" w:frame="1"/>
          <w:shd w:val="clear" w:color="auto" w:fill="FFFFFF"/>
          <w:lang w:val="fr-BE"/>
        </w:rPr>
        <w:t>13 mars 2022.</w:t>
      </w:r>
    </w:p>
  </w:footnote>
  <w:footnote w:id="13">
    <w:p w14:paraId="1BDB506C" w14:textId="00420F9C" w:rsidR="005D13D3" w:rsidRPr="009427B8" w:rsidRDefault="005D13D3"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D’après </w:t>
      </w:r>
      <w:hyperlink r:id="rId3" w:history="1">
        <w:r w:rsidR="7387BCA1" w:rsidRPr="009427B8">
          <w:rPr>
            <w:rStyle w:val="Lienhypertexte"/>
            <w:rFonts w:ascii="Times New Roman" w:hAnsi="Times New Roman" w:cs="Times New Roman"/>
            <w:lang w:val="fr-BE"/>
          </w:rPr>
          <w:t>https://centrale.brussels/expos/la-vie-materielle/</w:t>
        </w:r>
      </w:hyperlink>
      <w:r w:rsidRPr="009427B8">
        <w:rPr>
          <w:rFonts w:ascii="Times New Roman" w:hAnsi="Times New Roman" w:cs="Times New Roman"/>
          <w:lang w:val="fr-BE"/>
        </w:rPr>
        <w:t xml:space="preserve"> (page consultée le ?).</w:t>
      </w:r>
    </w:p>
  </w:footnote>
  <w:footnote w:id="14">
    <w:p w14:paraId="23A35A84" w14:textId="7618BEFE" w:rsidR="00045A73" w:rsidRPr="009427B8" w:rsidRDefault="00045A73" w:rsidP="009427B8">
      <w:pPr>
        <w:pStyle w:val="titre-numero"/>
        <w:shd w:val="clear" w:color="auto" w:fill="FFFFFF"/>
        <w:spacing w:before="0" w:beforeAutospacing="0" w:after="0" w:afterAutospacing="0"/>
        <w:jc w:val="both"/>
        <w:rPr>
          <w:color w:val="323232"/>
          <w:sz w:val="20"/>
          <w:szCs w:val="20"/>
          <w:lang w:val="fr-BE"/>
        </w:rPr>
      </w:pPr>
      <w:r w:rsidRPr="009427B8">
        <w:rPr>
          <w:rStyle w:val="Appelnotedebasdep"/>
          <w:sz w:val="20"/>
          <w:szCs w:val="20"/>
        </w:rPr>
        <w:footnoteRef/>
      </w:r>
      <w:r w:rsidRPr="009427B8">
        <w:rPr>
          <w:sz w:val="20"/>
          <w:szCs w:val="20"/>
          <w:lang w:val="fr-BE"/>
        </w:rPr>
        <w:t xml:space="preserve"> Voir à ce propos Jean-Max Collard, « Quand la littérature fait exposition », dans </w:t>
      </w:r>
      <w:r w:rsidRPr="009427B8">
        <w:rPr>
          <w:i/>
          <w:iCs/>
          <w:sz w:val="20"/>
          <w:szCs w:val="20"/>
          <w:lang w:val="fr-BE"/>
        </w:rPr>
        <w:t>Littérature</w:t>
      </w:r>
      <w:r w:rsidRPr="009427B8">
        <w:rPr>
          <w:sz w:val="20"/>
          <w:szCs w:val="20"/>
          <w:lang w:val="fr-BE"/>
        </w:rPr>
        <w:t>, n° 160, vol. 4, « </w:t>
      </w:r>
      <w:r w:rsidRPr="009427B8">
        <w:rPr>
          <w:color w:val="323232"/>
          <w:sz w:val="20"/>
          <w:szCs w:val="20"/>
          <w:lang w:val="fr-BE"/>
        </w:rPr>
        <w:t xml:space="preserve">La littérature exposée. Les écritures contemporaines hors du livre », s. </w:t>
      </w:r>
      <w:proofErr w:type="spellStart"/>
      <w:r w:rsidRPr="009427B8">
        <w:rPr>
          <w:color w:val="323232"/>
          <w:sz w:val="20"/>
          <w:szCs w:val="20"/>
          <w:lang w:val="fr-BE"/>
        </w:rPr>
        <w:t>dir</w:t>
      </w:r>
      <w:proofErr w:type="spellEnd"/>
      <w:r w:rsidRPr="009427B8">
        <w:rPr>
          <w:color w:val="323232"/>
          <w:sz w:val="20"/>
          <w:szCs w:val="20"/>
          <w:lang w:val="fr-BE"/>
        </w:rPr>
        <w:t xml:space="preserve">. Lionel Ruffel &amp; Olivier Rosenthal, 2010, p. 75 </w:t>
      </w:r>
      <w:r w:rsidRPr="009427B8">
        <w:rPr>
          <w:i/>
          <w:iCs/>
          <w:color w:val="323232"/>
          <w:sz w:val="20"/>
          <w:szCs w:val="20"/>
          <w:lang w:val="fr-BE"/>
        </w:rPr>
        <w:t>et sq.</w:t>
      </w:r>
    </w:p>
  </w:footnote>
  <w:footnote w:id="15">
    <w:p w14:paraId="432E26E8" w14:textId="77607517" w:rsidR="00D46CD3" w:rsidRPr="009427B8" w:rsidRDefault="00D46CD3"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D’après </w:t>
      </w:r>
      <w:hyperlink r:id="rId4" w:history="1">
        <w:r w:rsidR="7387BCA1" w:rsidRPr="009427B8">
          <w:rPr>
            <w:rStyle w:val="Lienhypertexte"/>
            <w:rFonts w:ascii="Times New Roman" w:hAnsi="Times New Roman" w:cs="Times New Roman"/>
            <w:lang w:val="fr-BE"/>
          </w:rPr>
          <w:t>https://www.paris-art.com/depenses/</w:t>
        </w:r>
      </w:hyperlink>
      <w:r w:rsidR="009F0738" w:rsidRPr="009427B8">
        <w:rPr>
          <w:rFonts w:ascii="Times New Roman" w:hAnsi="Times New Roman" w:cs="Times New Roman"/>
          <w:lang w:val="fr-BE"/>
        </w:rPr>
        <w:t xml:space="preserve"> (page consultée le ?).</w:t>
      </w:r>
    </w:p>
  </w:footnote>
  <w:footnote w:id="16">
    <w:p w14:paraId="102DB7C7" w14:textId="0403E886" w:rsidR="007E1436" w:rsidRPr="009427B8" w:rsidRDefault="007E1436"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Pr="009427B8">
        <w:rPr>
          <w:rFonts w:ascii="Times New Roman" w:hAnsi="Times New Roman" w:cs="Times New Roman"/>
          <w:i/>
          <w:iCs/>
          <w:lang w:val="fr-BE"/>
        </w:rPr>
        <w:t>Ibid.</w:t>
      </w:r>
      <w:r w:rsidR="00BB470F" w:rsidRPr="009427B8">
        <w:rPr>
          <w:rFonts w:ascii="Times New Roman" w:hAnsi="Times New Roman" w:cs="Times New Roman"/>
          <w:lang w:val="fr-BE"/>
        </w:rPr>
        <w:t xml:space="preserve"> Plus récemment, Yannick Haenel, qui a contribué à cette exposition par une installation, en a puisé la matière d’un roman, dans lequel il relate notamment quelques épisodes de la préparation de cette exposition collective (</w:t>
      </w:r>
      <w:r w:rsidR="00BB470F" w:rsidRPr="009427B8">
        <w:rPr>
          <w:rFonts w:ascii="Times New Roman" w:hAnsi="Times New Roman" w:cs="Times New Roman"/>
          <w:i/>
          <w:iCs/>
          <w:lang w:val="fr-BE"/>
        </w:rPr>
        <w:t>Le Trésorier payeur</w:t>
      </w:r>
      <w:r w:rsidR="00BB470F" w:rsidRPr="009427B8">
        <w:rPr>
          <w:rFonts w:ascii="Times New Roman" w:hAnsi="Times New Roman" w:cs="Times New Roman"/>
          <w:lang w:val="fr-BE"/>
        </w:rPr>
        <w:t>, Paris, Gallimard, 2022).</w:t>
      </w:r>
    </w:p>
  </w:footnote>
  <w:footnote w:id="17">
    <w:p w14:paraId="4B789195" w14:textId="3AF324F7" w:rsidR="000E4856" w:rsidRPr="009427B8" w:rsidRDefault="000E4856"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Voir</w:t>
      </w:r>
      <w:r w:rsidR="00BB470F" w:rsidRPr="009427B8">
        <w:rPr>
          <w:rFonts w:ascii="Times New Roman" w:hAnsi="Times New Roman" w:cs="Times New Roman"/>
          <w:lang w:val="fr-BE"/>
        </w:rPr>
        <w:t xml:space="preserve"> au sujet de cette exposition</w:t>
      </w:r>
      <w:r w:rsidRPr="009427B8">
        <w:rPr>
          <w:rFonts w:ascii="Times New Roman" w:hAnsi="Times New Roman" w:cs="Times New Roman"/>
          <w:lang w:val="fr-BE"/>
        </w:rPr>
        <w:t xml:space="preserve"> </w:t>
      </w:r>
      <w:r w:rsidRPr="009427B8">
        <w:rPr>
          <w:rFonts w:ascii="Times New Roman" w:hAnsi="Times New Roman" w:cs="Times New Roman"/>
          <w:shd w:val="clear" w:color="auto" w:fill="FFFFFF"/>
          <w:lang w:val="fr-BE"/>
        </w:rPr>
        <w:t xml:space="preserve">Corentin </w:t>
      </w:r>
      <w:proofErr w:type="spellStart"/>
      <w:r w:rsidRPr="009427B8">
        <w:rPr>
          <w:rFonts w:ascii="Times New Roman" w:hAnsi="Times New Roman" w:cs="Times New Roman"/>
          <w:shd w:val="clear" w:color="auto" w:fill="FFFFFF"/>
          <w:lang w:val="fr-BE"/>
        </w:rPr>
        <w:t>Lahouste</w:t>
      </w:r>
      <w:proofErr w:type="spellEnd"/>
      <w:r w:rsidRPr="009427B8">
        <w:rPr>
          <w:rFonts w:ascii="Times New Roman" w:hAnsi="Times New Roman" w:cs="Times New Roman"/>
          <w:shd w:val="clear" w:color="auto" w:fill="FFFFFF"/>
          <w:lang w:val="fr-BE"/>
        </w:rPr>
        <w:t xml:space="preserve">, David Martens &amp; Perrine Estienne, « Une exposition sous influences. </w:t>
      </w:r>
      <w:proofErr w:type="spellStart"/>
      <w:r w:rsidRPr="009427B8">
        <w:rPr>
          <w:rStyle w:val="Accentuation"/>
          <w:rFonts w:ascii="Times New Roman" w:hAnsi="Times New Roman" w:cs="Times New Roman"/>
          <w:shd w:val="clear" w:color="auto" w:fill="FFFFFF"/>
          <w:lang w:val="fr-BE"/>
        </w:rPr>
        <w:t>Amberes</w:t>
      </w:r>
      <w:proofErr w:type="spellEnd"/>
      <w:r w:rsidRPr="009427B8">
        <w:rPr>
          <w:rFonts w:ascii="Times New Roman" w:hAnsi="Times New Roman" w:cs="Times New Roman"/>
          <w:shd w:val="clear" w:color="auto" w:fill="FFFFFF"/>
          <w:lang w:val="fr-BE"/>
        </w:rPr>
        <w:t xml:space="preserve"> au M HKA d’Anvers, d’après le roman éponyme de Roberto Bolaño », </w:t>
      </w:r>
      <w:r w:rsidR="00BB470F" w:rsidRPr="009427B8">
        <w:rPr>
          <w:rFonts w:ascii="Times New Roman" w:hAnsi="Times New Roman" w:cs="Times New Roman"/>
          <w:shd w:val="clear" w:color="auto" w:fill="FFFFFF"/>
          <w:lang w:val="fr-BE"/>
        </w:rPr>
        <w:t xml:space="preserve">dans </w:t>
      </w:r>
      <w:r w:rsidR="7387BCA1" w:rsidRPr="009427B8">
        <w:rPr>
          <w:rFonts w:ascii="Times New Roman" w:hAnsi="Times New Roman" w:cs="Times New Roman"/>
          <w:lang w:val="fr-BE"/>
        </w:rPr>
        <w:t xml:space="preserve">Corentin </w:t>
      </w:r>
      <w:proofErr w:type="spellStart"/>
      <w:r w:rsidR="7387BCA1" w:rsidRPr="009427B8">
        <w:rPr>
          <w:rFonts w:ascii="Times New Roman" w:hAnsi="Times New Roman" w:cs="Times New Roman"/>
          <w:lang w:val="fr-BE"/>
        </w:rPr>
        <w:t>Lahouste</w:t>
      </w:r>
      <w:proofErr w:type="spellEnd"/>
      <w:r w:rsidR="7387BCA1" w:rsidRPr="009427B8">
        <w:rPr>
          <w:rFonts w:ascii="Times New Roman" w:hAnsi="Times New Roman" w:cs="Times New Roman"/>
          <w:lang w:val="fr-BE"/>
        </w:rPr>
        <w:t xml:space="preserve"> &amp; David Martens</w:t>
      </w:r>
      <w:r w:rsidR="7387BCA1" w:rsidRPr="009427B8">
        <w:rPr>
          <w:rStyle w:val="Accentuation"/>
          <w:rFonts w:ascii="Times New Roman" w:hAnsi="Times New Roman" w:cs="Times New Roman"/>
          <w:lang w:val="fr-BE"/>
        </w:rPr>
        <w:t xml:space="preserve"> </w:t>
      </w:r>
      <w:r w:rsidR="7387BCA1" w:rsidRPr="009427B8">
        <w:rPr>
          <w:rStyle w:val="Accentuation"/>
          <w:rFonts w:ascii="Times New Roman" w:hAnsi="Times New Roman" w:cs="Times New Roman"/>
          <w:i w:val="0"/>
          <w:iCs w:val="0"/>
          <w:lang w:val="fr-BE"/>
        </w:rPr>
        <w:t>(</w:t>
      </w:r>
      <w:proofErr w:type="spellStart"/>
      <w:r w:rsidR="7387BCA1" w:rsidRPr="009427B8">
        <w:rPr>
          <w:rStyle w:val="Accentuation"/>
          <w:rFonts w:ascii="Times New Roman" w:hAnsi="Times New Roman" w:cs="Times New Roman"/>
          <w:i w:val="0"/>
          <w:iCs w:val="0"/>
          <w:lang w:val="fr-BE"/>
        </w:rPr>
        <w:t>dir</w:t>
      </w:r>
      <w:proofErr w:type="spellEnd"/>
      <w:r w:rsidR="7387BCA1" w:rsidRPr="009427B8">
        <w:rPr>
          <w:rStyle w:val="Accentuation"/>
          <w:rFonts w:ascii="Times New Roman" w:hAnsi="Times New Roman" w:cs="Times New Roman"/>
          <w:i w:val="0"/>
          <w:iCs w:val="0"/>
          <w:lang w:val="fr-BE"/>
        </w:rPr>
        <w:t>.),</w:t>
      </w:r>
      <w:r w:rsidR="7387BCA1" w:rsidRPr="009427B8">
        <w:rPr>
          <w:rStyle w:val="Accentuation"/>
          <w:rFonts w:ascii="Times New Roman" w:hAnsi="Times New Roman" w:cs="Times New Roman"/>
          <w:lang w:val="fr-BE"/>
        </w:rPr>
        <w:t xml:space="preserve"> </w:t>
      </w:r>
      <w:r w:rsidRPr="009427B8">
        <w:rPr>
          <w:rStyle w:val="Accentuation"/>
          <w:rFonts w:ascii="Times New Roman" w:hAnsi="Times New Roman" w:cs="Times New Roman"/>
          <w:shd w:val="clear" w:color="auto" w:fill="FFFFFF"/>
          <w:lang w:val="fr-BE"/>
        </w:rPr>
        <w:t>Captures</w:t>
      </w:r>
      <w:r w:rsidRPr="009427B8">
        <w:rPr>
          <w:rFonts w:ascii="Times New Roman" w:hAnsi="Times New Roman" w:cs="Times New Roman"/>
          <w:shd w:val="clear" w:color="auto" w:fill="FFFFFF"/>
          <w:lang w:val="fr-BE"/>
        </w:rPr>
        <w:t xml:space="preserve">, </w:t>
      </w:r>
      <w:r w:rsidR="00BB470F" w:rsidRPr="009427B8">
        <w:rPr>
          <w:rFonts w:ascii="Times New Roman" w:hAnsi="Times New Roman" w:cs="Times New Roman"/>
          <w:i/>
          <w:iCs/>
          <w:shd w:val="clear" w:color="auto" w:fill="FFFFFF"/>
          <w:lang w:val="fr-BE"/>
        </w:rPr>
        <w:t>op. cit.</w:t>
      </w:r>
      <w:r w:rsidR="7387BCA1" w:rsidRPr="009427B8">
        <w:rPr>
          <w:rFonts w:ascii="Times New Roman" w:hAnsi="Times New Roman" w:cs="Times New Roman"/>
          <w:i/>
          <w:iCs/>
          <w:lang w:val="fr-BE"/>
        </w:rPr>
        <w:t xml:space="preserve">, </w:t>
      </w:r>
      <w:r w:rsidR="7387BCA1" w:rsidRPr="009427B8">
        <w:rPr>
          <w:rFonts w:ascii="Times New Roman" w:hAnsi="Times New Roman" w:cs="Times New Roman"/>
          <w:lang w:val="fr-BE"/>
        </w:rPr>
        <w:t>disponible e</w:t>
      </w:r>
      <w:r w:rsidRPr="009427B8">
        <w:rPr>
          <w:rFonts w:ascii="Times New Roman" w:hAnsi="Times New Roman" w:cs="Times New Roman"/>
          <w:shd w:val="clear" w:color="auto" w:fill="FFFFFF"/>
          <w:lang w:val="fr-BE"/>
        </w:rPr>
        <w:t xml:space="preserve">n ligne sur </w:t>
      </w:r>
      <w:r w:rsidR="00736687" w:rsidRPr="009427B8">
        <w:rPr>
          <w:rFonts w:ascii="Times New Roman" w:hAnsi="Times New Roman" w:cs="Times New Roman"/>
          <w:lang w:val="fr-BE"/>
        </w:rPr>
        <w:t>https://www.erudit.org/fr/revues/captures/2021-v6-n2-captures06942/1088409ar.pdf</w:t>
      </w:r>
      <w:r w:rsidR="7387BCA1" w:rsidRPr="009427B8">
        <w:rPr>
          <w:rFonts w:ascii="Times New Roman" w:hAnsi="Times New Roman" w:cs="Times New Roman"/>
          <w:lang w:val="fr-BE"/>
        </w:rPr>
        <w:t>.</w:t>
      </w:r>
    </w:p>
  </w:footnote>
  <w:footnote w:id="18">
    <w:p w14:paraId="6B75CB88" w14:textId="486F58CD" w:rsidR="000E4856" w:rsidRPr="009427B8" w:rsidRDefault="000E4856" w:rsidP="009427B8">
      <w:pPr>
        <w:shd w:val="clear" w:color="auto" w:fill="FFFFFF"/>
        <w:jc w:val="both"/>
        <w:rPr>
          <w:sz w:val="20"/>
          <w:szCs w:val="20"/>
        </w:rPr>
      </w:pPr>
      <w:r w:rsidRPr="009427B8">
        <w:rPr>
          <w:rStyle w:val="Appelnotedebasdep"/>
          <w:sz w:val="20"/>
          <w:szCs w:val="20"/>
        </w:rPr>
        <w:footnoteRef/>
      </w:r>
      <w:r w:rsidRPr="009427B8">
        <w:rPr>
          <w:sz w:val="20"/>
          <w:szCs w:val="20"/>
        </w:rPr>
        <w:t xml:space="preserve"> </w:t>
      </w:r>
      <w:r w:rsidR="00736687" w:rsidRPr="009427B8">
        <w:rPr>
          <w:i/>
          <w:iCs/>
          <w:sz w:val="20"/>
          <w:szCs w:val="20"/>
        </w:rPr>
        <w:t>Amberes. Roberto Bolaño’s Antwerpen</w:t>
      </w:r>
      <w:r w:rsidR="00736687" w:rsidRPr="009427B8">
        <w:rPr>
          <w:sz w:val="20"/>
          <w:szCs w:val="20"/>
        </w:rPr>
        <w:t xml:space="preserve">, Anvers, M HKA, </w:t>
      </w:r>
      <w:r w:rsidRPr="009427B8">
        <w:rPr>
          <w:rStyle w:val="CitationHTML"/>
          <w:i w:val="0"/>
          <w:iCs w:val="0"/>
          <w:sz w:val="20"/>
          <w:szCs w:val="20"/>
        </w:rPr>
        <w:t>2019</w:t>
      </w:r>
      <w:r w:rsidR="00736687" w:rsidRPr="009427B8">
        <w:rPr>
          <w:rStyle w:val="CitationHTML"/>
          <w:i w:val="0"/>
          <w:iCs w:val="0"/>
          <w:sz w:val="20"/>
          <w:szCs w:val="20"/>
        </w:rPr>
        <w:t>, p. </w:t>
      </w:r>
      <w:r w:rsidRPr="009427B8">
        <w:rPr>
          <w:rStyle w:val="CitationHTML"/>
          <w:i w:val="0"/>
          <w:iCs w:val="0"/>
          <w:sz w:val="20"/>
          <w:szCs w:val="20"/>
        </w:rPr>
        <w:t>14</w:t>
      </w:r>
      <w:r w:rsidR="00736687" w:rsidRPr="009427B8">
        <w:rPr>
          <w:rStyle w:val="CitationHTML"/>
          <w:i w:val="0"/>
          <w:iCs w:val="0"/>
          <w:sz w:val="20"/>
          <w:szCs w:val="20"/>
        </w:rPr>
        <w:t>.</w:t>
      </w:r>
    </w:p>
  </w:footnote>
  <w:footnote w:id="19">
    <w:p w14:paraId="272A1246" w14:textId="4716B3A8" w:rsidR="0059083D" w:rsidRPr="009427B8" w:rsidRDefault="0059083D" w:rsidP="009427B8">
      <w:pPr>
        <w:jc w:val="both"/>
        <w:rPr>
          <w:sz w:val="20"/>
          <w:szCs w:val="20"/>
          <w:lang w:val="fr-BE"/>
        </w:rPr>
      </w:pPr>
      <w:r w:rsidRPr="009427B8">
        <w:rPr>
          <w:rStyle w:val="Appelnotedebasdep"/>
          <w:sz w:val="20"/>
          <w:szCs w:val="20"/>
        </w:rPr>
        <w:footnoteRef/>
      </w:r>
      <w:r w:rsidRPr="009427B8">
        <w:rPr>
          <w:sz w:val="20"/>
          <w:szCs w:val="20"/>
          <w:lang w:val="fr-BE"/>
        </w:rPr>
        <w:t xml:space="preserve"> </w:t>
      </w:r>
      <w:r w:rsidR="00BB470F" w:rsidRPr="009427B8">
        <w:rPr>
          <w:sz w:val="20"/>
          <w:szCs w:val="20"/>
          <w:lang w:val="fr-BE"/>
        </w:rPr>
        <w:t xml:space="preserve">Comme le montrait l’exposition </w:t>
      </w:r>
      <w:r w:rsidR="00BB470F" w:rsidRPr="009427B8">
        <w:rPr>
          <w:i/>
          <w:iCs/>
          <w:sz w:val="20"/>
          <w:szCs w:val="20"/>
          <w:lang w:val="fr-BE"/>
        </w:rPr>
        <w:t>C – W – F</w:t>
      </w:r>
      <w:r w:rsidR="00BB470F" w:rsidRPr="009427B8">
        <w:rPr>
          <w:sz w:val="20"/>
          <w:szCs w:val="20"/>
          <w:lang w:val="fr-BE"/>
        </w:rPr>
        <w:t xml:space="preserve"> </w:t>
      </w:r>
      <w:r w:rsidR="000D5E9C" w:rsidRPr="009427B8">
        <w:rPr>
          <w:sz w:val="20"/>
          <w:szCs w:val="20"/>
          <w:lang w:val="fr-BE"/>
        </w:rPr>
        <w:t>d</w:t>
      </w:r>
      <w:r w:rsidR="00691F67" w:rsidRPr="009427B8">
        <w:rPr>
          <w:sz w:val="20"/>
          <w:szCs w:val="20"/>
          <w:lang w:val="fr-BE"/>
        </w:rPr>
        <w:t xml:space="preserve">e </w:t>
      </w:r>
      <w:proofErr w:type="spellStart"/>
      <w:r w:rsidR="00691F67" w:rsidRPr="009427B8">
        <w:rPr>
          <w:sz w:val="20"/>
          <w:szCs w:val="20"/>
          <w:lang w:val="fr-BE"/>
        </w:rPr>
        <w:t>D</w:t>
      </w:r>
      <w:r w:rsidR="000D5E9C" w:rsidRPr="009427B8">
        <w:rPr>
          <w:sz w:val="20"/>
          <w:szCs w:val="20"/>
          <w:lang w:val="fr-BE"/>
        </w:rPr>
        <w:t>driss</w:t>
      </w:r>
      <w:proofErr w:type="spellEnd"/>
      <w:r w:rsidR="000D5E9C" w:rsidRPr="009427B8">
        <w:rPr>
          <w:sz w:val="20"/>
          <w:szCs w:val="20"/>
          <w:lang w:val="fr-BE"/>
        </w:rPr>
        <w:t xml:space="preserve"> Sans A</w:t>
      </w:r>
      <w:r w:rsidR="00691F67" w:rsidRPr="009427B8">
        <w:rPr>
          <w:sz w:val="20"/>
          <w:szCs w:val="20"/>
          <w:lang w:val="fr-BE"/>
        </w:rPr>
        <w:t>rc</w:t>
      </w:r>
      <w:r w:rsidR="000D5E9C" w:rsidRPr="009427B8">
        <w:rPr>
          <w:sz w:val="20"/>
          <w:szCs w:val="20"/>
          <w:lang w:val="fr-BE"/>
        </w:rPr>
        <w:t>i</w:t>
      </w:r>
      <w:r w:rsidR="00691F67" w:rsidRPr="009427B8">
        <w:rPr>
          <w:sz w:val="20"/>
          <w:szCs w:val="20"/>
          <w:lang w:val="fr-BE"/>
        </w:rPr>
        <w:t>d</w:t>
      </w:r>
      <w:r w:rsidR="000D5E9C" w:rsidRPr="009427B8">
        <w:rPr>
          <w:sz w:val="20"/>
          <w:szCs w:val="20"/>
          <w:lang w:val="fr-BE"/>
        </w:rPr>
        <w:t>et,</w:t>
      </w:r>
      <w:r w:rsidR="000E0780" w:rsidRPr="009427B8">
        <w:rPr>
          <w:sz w:val="20"/>
          <w:szCs w:val="20"/>
          <w:lang w:val="fr-BE"/>
        </w:rPr>
        <w:t xml:space="preserve"> c</w:t>
      </w:r>
      <w:r w:rsidRPr="009427B8">
        <w:rPr>
          <w:sz w:val="20"/>
          <w:szCs w:val="20"/>
          <w:lang w:val="fr-BE"/>
        </w:rPr>
        <w:t xml:space="preserve">e geste ne concerne pas exclusivement des expositions ou des accrochages collectifs, c’est-à-dire réunissant plusieurs artistes. Elles peuvent également être mises en œuvre par un artiste. L’exposition </w:t>
      </w:r>
      <w:r w:rsidRPr="009427B8">
        <w:rPr>
          <w:i/>
          <w:iCs/>
          <w:sz w:val="20"/>
          <w:szCs w:val="20"/>
          <w:lang w:val="fr-BE"/>
        </w:rPr>
        <w:t>Degré Est</w:t>
      </w:r>
      <w:r w:rsidRPr="009427B8">
        <w:rPr>
          <w:sz w:val="20"/>
          <w:szCs w:val="20"/>
          <w:lang w:val="fr-BE"/>
        </w:rPr>
        <w:t xml:space="preserve"> de Paul Heinz au Frac Lorraine de Metz (2021-2022) se présentait comme « </w:t>
      </w:r>
      <w:r w:rsidRPr="009427B8">
        <w:rPr>
          <w:sz w:val="20"/>
          <w:szCs w:val="20"/>
          <w:shd w:val="clear" w:color="auto" w:fill="FFFFFF"/>
          <w:lang w:val="fr-BE"/>
        </w:rPr>
        <w:t>[p]</w:t>
      </w:r>
      <w:proofErr w:type="spellStart"/>
      <w:r w:rsidRPr="009427B8">
        <w:rPr>
          <w:sz w:val="20"/>
          <w:szCs w:val="20"/>
          <w:shd w:val="clear" w:color="auto" w:fill="FFFFFF"/>
          <w:lang w:val="fr-BE"/>
        </w:rPr>
        <w:t>renant</w:t>
      </w:r>
      <w:proofErr w:type="spellEnd"/>
      <w:r w:rsidRPr="009427B8">
        <w:rPr>
          <w:sz w:val="20"/>
          <w:szCs w:val="20"/>
          <w:shd w:val="clear" w:color="auto" w:fill="FFFFFF"/>
          <w:lang w:val="fr-BE"/>
        </w:rPr>
        <w:t xml:space="preserve"> pour point d’appui le roman dystopique </w:t>
      </w:r>
      <w:r w:rsidRPr="009427B8">
        <w:rPr>
          <w:rStyle w:val="Accentuation"/>
          <w:sz w:val="20"/>
          <w:szCs w:val="20"/>
          <w:shd w:val="clear" w:color="auto" w:fill="FFFFFF"/>
          <w:lang w:val="fr-BE"/>
        </w:rPr>
        <w:t>1984</w:t>
      </w:r>
      <w:r w:rsidRPr="009427B8">
        <w:rPr>
          <w:sz w:val="20"/>
          <w:szCs w:val="20"/>
          <w:shd w:val="clear" w:color="auto" w:fill="FFFFFF"/>
          <w:lang w:val="fr-BE"/>
        </w:rPr>
        <w:t> de George Orwell »</w:t>
      </w:r>
      <w:r w:rsidRPr="009427B8">
        <w:rPr>
          <w:sz w:val="20"/>
          <w:szCs w:val="20"/>
          <w:lang w:val="fr-BE"/>
        </w:rPr>
        <w:t xml:space="preserve">. L’artiste y présentait des traces d’une enquête qu’il a conduite pour retrouver et rencontrer en Angleterre une série d’homonymes contemporains du personnage principal du récit d’Orwell. Ce n’est donc pas tant tel ou tel principe du roman qui régit un travail </w:t>
      </w:r>
      <w:proofErr w:type="spellStart"/>
      <w:r w:rsidRPr="009427B8">
        <w:rPr>
          <w:sz w:val="20"/>
          <w:szCs w:val="20"/>
          <w:lang w:val="fr-BE"/>
        </w:rPr>
        <w:t>curatorial</w:t>
      </w:r>
      <w:proofErr w:type="spellEnd"/>
      <w:r w:rsidRPr="009427B8">
        <w:rPr>
          <w:sz w:val="20"/>
          <w:szCs w:val="20"/>
          <w:lang w:val="fr-BE"/>
        </w:rPr>
        <w:t xml:space="preserve"> d’artiste consistant en la monstration de traces de l’enquête elle-même, à travers l’installation qu’a constituée l’exposition (et qui était accompagnée d’un film et d’un journal d’enquête). Le roman d’Orwell se présente plutôt comme le point de départ d’une enquête sur les relations entre réalité et fiction en même temps que concernant les enjeux de surveillance contemporains et la possibilité d’une révolte politique</w:t>
      </w:r>
      <w:r w:rsidR="00736687" w:rsidRPr="009427B8">
        <w:rPr>
          <w:sz w:val="20"/>
          <w:szCs w:val="20"/>
          <w:lang w:val="fr-BE"/>
        </w:rPr>
        <w:t xml:space="preserve"> (voir « </w:t>
      </w:r>
      <w:r w:rsidR="00736687" w:rsidRPr="009427B8">
        <w:rPr>
          <w:color w:val="000000"/>
          <w:sz w:val="20"/>
          <w:szCs w:val="20"/>
          <w:lang w:val="fr-BE"/>
        </w:rPr>
        <w:t xml:space="preserve">Une esthétique de la rencontre. Entretien avec Paul Heintz, à propos de son projet </w:t>
      </w:r>
      <w:r w:rsidR="00736687" w:rsidRPr="009427B8">
        <w:rPr>
          <w:i/>
          <w:iCs/>
          <w:color w:val="000000"/>
          <w:sz w:val="20"/>
          <w:szCs w:val="20"/>
          <w:lang w:val="fr-BE"/>
        </w:rPr>
        <w:t>Character</w:t>
      </w:r>
      <w:r w:rsidR="00736687" w:rsidRPr="009427B8">
        <w:rPr>
          <w:color w:val="000000"/>
          <w:sz w:val="20"/>
          <w:szCs w:val="20"/>
          <w:lang w:val="fr-BE"/>
        </w:rPr>
        <w:t xml:space="preserve"> (2021) », propos recueillis par Corentin Lahouste et David Martens, dans</w:t>
      </w:r>
      <w:r w:rsidR="00E041EC" w:rsidRPr="009427B8">
        <w:rPr>
          <w:color w:val="000000"/>
          <w:sz w:val="20"/>
          <w:szCs w:val="20"/>
          <w:lang w:val="fr-BE"/>
        </w:rPr>
        <w:t xml:space="preserve"> </w:t>
      </w:r>
      <w:r w:rsidR="00736687" w:rsidRPr="009427B8">
        <w:rPr>
          <w:i/>
          <w:iCs/>
          <w:color w:val="000000"/>
          <w:sz w:val="20"/>
          <w:szCs w:val="20"/>
          <w:lang w:val="fr-BE"/>
        </w:rPr>
        <w:t>Marge. Revue d'art contemporain</w:t>
      </w:r>
      <w:r w:rsidR="00736687" w:rsidRPr="009427B8">
        <w:rPr>
          <w:color w:val="000000"/>
          <w:sz w:val="20"/>
          <w:szCs w:val="20"/>
          <w:lang w:val="fr-BE"/>
        </w:rPr>
        <w:t>, n</w:t>
      </w:r>
      <w:r w:rsidR="00E041EC" w:rsidRPr="009427B8">
        <w:rPr>
          <w:color w:val="000000"/>
          <w:sz w:val="20"/>
          <w:szCs w:val="20"/>
          <w:lang w:val="fr-BE"/>
        </w:rPr>
        <w:t>° </w:t>
      </w:r>
      <w:r w:rsidR="00736687" w:rsidRPr="009427B8">
        <w:rPr>
          <w:color w:val="000000"/>
          <w:sz w:val="20"/>
          <w:szCs w:val="20"/>
          <w:lang w:val="fr-BE"/>
        </w:rPr>
        <w:t>36, 2023, p. 134-147, ainsi que Corentin Lahouste, David Martens</w:t>
      </w:r>
      <w:r w:rsidR="00E041EC" w:rsidRPr="009427B8">
        <w:rPr>
          <w:color w:val="000000"/>
          <w:sz w:val="20"/>
          <w:szCs w:val="20"/>
          <w:lang w:val="fr-BE"/>
        </w:rPr>
        <w:t xml:space="preserve"> </w:t>
      </w:r>
      <w:r w:rsidR="00736687" w:rsidRPr="009427B8">
        <w:rPr>
          <w:color w:val="000000"/>
          <w:sz w:val="20"/>
          <w:szCs w:val="20"/>
          <w:lang w:val="fr-BE"/>
        </w:rPr>
        <w:t>et</w:t>
      </w:r>
      <w:r w:rsidR="00E041EC" w:rsidRPr="009427B8">
        <w:rPr>
          <w:color w:val="000000"/>
          <w:sz w:val="20"/>
          <w:szCs w:val="20"/>
          <w:lang w:val="fr-BE"/>
        </w:rPr>
        <w:t xml:space="preserve"> </w:t>
      </w:r>
      <w:r w:rsidR="00736687" w:rsidRPr="009427B8">
        <w:rPr>
          <w:color w:val="000000"/>
          <w:sz w:val="20"/>
          <w:szCs w:val="20"/>
          <w:lang w:val="fr-BE"/>
        </w:rPr>
        <w:t xml:space="preserve">René Audet, « Quand Paul Heintz rencontre Winston Smith. Appareillages livresques et débordements fictionnels dans le projet multimodal </w:t>
      </w:r>
      <w:r w:rsidR="00736687" w:rsidRPr="009427B8">
        <w:rPr>
          <w:i/>
          <w:iCs/>
          <w:color w:val="000000"/>
          <w:sz w:val="20"/>
          <w:szCs w:val="20"/>
          <w:lang w:val="fr-BE"/>
        </w:rPr>
        <w:t>Character</w:t>
      </w:r>
      <w:r w:rsidR="007F49F0" w:rsidRPr="009427B8">
        <w:rPr>
          <w:i/>
          <w:iCs/>
          <w:color w:val="000000"/>
          <w:sz w:val="20"/>
          <w:szCs w:val="20"/>
          <w:lang w:val="fr-BE"/>
        </w:rPr>
        <w:t> </w:t>
      </w:r>
      <w:r w:rsidR="007F49F0" w:rsidRPr="009427B8">
        <w:rPr>
          <w:color w:val="000000"/>
          <w:sz w:val="20"/>
          <w:szCs w:val="20"/>
          <w:lang w:val="fr-BE"/>
        </w:rPr>
        <w:t>», dans</w:t>
      </w:r>
      <w:r w:rsidR="00736687" w:rsidRPr="009427B8">
        <w:rPr>
          <w:color w:val="000000"/>
          <w:sz w:val="20"/>
          <w:szCs w:val="20"/>
          <w:lang w:val="fr-BE"/>
        </w:rPr>
        <w:t xml:space="preserve"> </w:t>
      </w:r>
      <w:r w:rsidR="00736687" w:rsidRPr="009427B8">
        <w:rPr>
          <w:i/>
          <w:iCs/>
          <w:color w:val="000000"/>
          <w:sz w:val="20"/>
          <w:szCs w:val="20"/>
          <w:lang w:val="fr-BE"/>
        </w:rPr>
        <w:t>Appareil</w:t>
      </w:r>
      <w:r w:rsidR="007F49F0" w:rsidRPr="009427B8">
        <w:rPr>
          <w:color w:val="000000"/>
          <w:sz w:val="20"/>
          <w:szCs w:val="20"/>
          <w:lang w:val="fr-BE"/>
        </w:rPr>
        <w:t xml:space="preserve"> (à paraître en 2024).</w:t>
      </w:r>
    </w:p>
  </w:footnote>
  <w:footnote w:id="20">
    <w:p w14:paraId="2B3B4500" w14:textId="30E34EA4" w:rsidR="00646EEC" w:rsidRPr="009427B8" w:rsidRDefault="00646EEC"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Sur la patrimonialisation, voir </w:t>
      </w:r>
      <w:r w:rsidR="00807C5F" w:rsidRPr="009427B8">
        <w:rPr>
          <w:rFonts w:ascii="Times New Roman" w:hAnsi="Times New Roman" w:cs="Times New Roman"/>
          <w:lang w:val="fr-BE"/>
        </w:rPr>
        <w:t xml:space="preserve">Jean </w:t>
      </w:r>
      <w:r w:rsidRPr="009427B8">
        <w:rPr>
          <w:rFonts w:ascii="Times New Roman" w:hAnsi="Times New Roman" w:cs="Times New Roman"/>
          <w:lang w:val="fr-BE"/>
        </w:rPr>
        <w:t>Davallon</w:t>
      </w:r>
      <w:r w:rsidR="00807C5F" w:rsidRPr="009427B8">
        <w:rPr>
          <w:rFonts w:ascii="Times New Roman" w:hAnsi="Times New Roman" w:cs="Times New Roman"/>
          <w:lang w:val="fr-BE"/>
        </w:rPr>
        <w:t xml:space="preserve">, </w:t>
      </w:r>
      <w:r w:rsidR="00807C5F" w:rsidRPr="009427B8">
        <w:rPr>
          <w:rFonts w:ascii="Times New Roman" w:hAnsi="Times New Roman" w:cs="Times New Roman"/>
          <w:i/>
          <w:iCs/>
          <w:lang w:val="fr-BE"/>
        </w:rPr>
        <w:t>Le Don du patrimoine. Une approche communicationnelle de la patrimonialisation</w:t>
      </w:r>
      <w:r w:rsidR="00807C5F" w:rsidRPr="009427B8">
        <w:rPr>
          <w:rFonts w:ascii="Times New Roman" w:hAnsi="Times New Roman" w:cs="Times New Roman"/>
          <w:lang w:val="fr-BE"/>
        </w:rPr>
        <w:t>, Paris, Hermès-Lavoisier, 2006.</w:t>
      </w:r>
    </w:p>
  </w:footnote>
  <w:footnote w:id="21">
    <w:p w14:paraId="4D7530B2" w14:textId="02C30A46" w:rsidR="00DF092A" w:rsidRPr="009427B8" w:rsidRDefault="00DF092A"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Sur ce plan, le recours à l’iconographie relative à un écrivain dans une exposition qui lui est consacrée ne change pas fondamentalement de </w:t>
      </w:r>
      <w:r w:rsidR="00E041EC" w:rsidRPr="009427B8">
        <w:rPr>
          <w:rFonts w:ascii="Times New Roman" w:hAnsi="Times New Roman" w:cs="Times New Roman"/>
          <w:lang w:val="fr-BE"/>
        </w:rPr>
        <w:t xml:space="preserve">son </w:t>
      </w:r>
      <w:r w:rsidRPr="009427B8">
        <w:rPr>
          <w:rFonts w:ascii="Times New Roman" w:hAnsi="Times New Roman" w:cs="Times New Roman"/>
          <w:lang w:val="fr-BE"/>
        </w:rPr>
        <w:t xml:space="preserve">usage dans des ouvrages monographiques (voir en particulier, sur ces questions : </w:t>
      </w:r>
      <w:r w:rsidR="2A483CFA" w:rsidRPr="009427B8">
        <w:rPr>
          <w:rFonts w:ascii="Times New Roman" w:hAnsi="Times New Roman" w:cs="Times New Roman"/>
          <w:lang w:val="fr-BE"/>
        </w:rPr>
        <w:t>David Martens, Jean-Pierre Montier et Anne Reverseau (</w:t>
      </w:r>
      <w:proofErr w:type="spellStart"/>
      <w:r w:rsidR="2A483CFA" w:rsidRPr="009427B8">
        <w:rPr>
          <w:rFonts w:ascii="Times New Roman" w:hAnsi="Times New Roman" w:cs="Times New Roman"/>
          <w:lang w:val="fr-BE"/>
        </w:rPr>
        <w:t>dir</w:t>
      </w:r>
      <w:proofErr w:type="spellEnd"/>
      <w:r w:rsidR="2A483CFA" w:rsidRPr="009427B8">
        <w:rPr>
          <w:rFonts w:ascii="Times New Roman" w:hAnsi="Times New Roman" w:cs="Times New Roman"/>
          <w:lang w:val="fr-BE"/>
        </w:rPr>
        <w:t>.),</w:t>
      </w:r>
      <w:r w:rsidRPr="009427B8">
        <w:rPr>
          <w:rFonts w:ascii="Times New Roman" w:hAnsi="Times New Roman" w:cs="Times New Roman"/>
          <w:i/>
          <w:iCs/>
          <w:lang w:val="fr-BE"/>
        </w:rPr>
        <w:t xml:space="preserve"> L’Écrivains vu par la photographie. Formes, usages &amp; enjeux</w:t>
      </w:r>
      <w:r w:rsidRPr="009427B8">
        <w:rPr>
          <w:rFonts w:ascii="Times New Roman" w:hAnsi="Times New Roman" w:cs="Times New Roman"/>
          <w:lang w:val="fr-BE"/>
        </w:rPr>
        <w:t xml:space="preserve">, </w:t>
      </w:r>
      <w:r w:rsidR="2A483CFA" w:rsidRPr="009427B8">
        <w:rPr>
          <w:rFonts w:ascii="Times New Roman" w:hAnsi="Times New Roman" w:cs="Times New Roman"/>
          <w:lang w:val="fr-BE"/>
        </w:rPr>
        <w:t>, Rennes, Presses universitaires de Rennes, 2017).</w:t>
      </w:r>
    </w:p>
  </w:footnote>
  <w:footnote w:id="22">
    <w:p w14:paraId="139B61A0" w14:textId="0F6DDB4D" w:rsidR="009E06AB" w:rsidRPr="009427B8" w:rsidRDefault="009E06AB"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J</w:t>
      </w:r>
      <w:r w:rsidR="7387BCA1" w:rsidRPr="009427B8">
        <w:rPr>
          <w:rFonts w:ascii="Times New Roman" w:hAnsi="Times New Roman" w:cs="Times New Roman"/>
          <w:lang w:val="fr-BE"/>
        </w:rPr>
        <w:t>érôme Farigoule et Charlotte Manzini (</w:t>
      </w:r>
      <w:proofErr w:type="spellStart"/>
      <w:r w:rsidR="7387BCA1" w:rsidRPr="009427B8">
        <w:rPr>
          <w:rFonts w:ascii="Times New Roman" w:hAnsi="Times New Roman" w:cs="Times New Roman"/>
          <w:lang w:val="fr-BE"/>
        </w:rPr>
        <w:t>dir</w:t>
      </w:r>
      <w:proofErr w:type="spellEnd"/>
      <w:r w:rsidR="7387BCA1" w:rsidRPr="009427B8">
        <w:rPr>
          <w:rFonts w:ascii="Times New Roman" w:hAnsi="Times New Roman" w:cs="Times New Roman"/>
          <w:lang w:val="fr-BE"/>
        </w:rPr>
        <w:t xml:space="preserve">.), </w:t>
      </w:r>
      <w:r w:rsidRPr="009427B8">
        <w:rPr>
          <w:rFonts w:ascii="Times New Roman" w:hAnsi="Times New Roman" w:cs="Times New Roman"/>
          <w:i/>
          <w:iCs/>
          <w:lang w:val="fr-BE"/>
        </w:rPr>
        <w:t>L’Œil de Baudelaire</w:t>
      </w:r>
      <w:r w:rsidR="7387BCA1" w:rsidRPr="009427B8">
        <w:rPr>
          <w:rFonts w:ascii="Times New Roman" w:hAnsi="Times New Roman" w:cs="Times New Roman"/>
          <w:lang w:val="fr-BE"/>
        </w:rPr>
        <w:t xml:space="preserve">, Paris, Paris Musées / Musée de la Vie romantique, 2016, quatrième de couverture. </w:t>
      </w:r>
    </w:p>
  </w:footnote>
  <w:footnote w:id="23">
    <w:p w14:paraId="4BE7628B" w14:textId="7AEBBC38" w:rsidR="00C567A2" w:rsidRPr="009427B8" w:rsidRDefault="00C567A2"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D’après le site du </w:t>
      </w:r>
      <w:r w:rsidR="7387BCA1" w:rsidRPr="009427B8">
        <w:rPr>
          <w:rFonts w:ascii="Times New Roman" w:hAnsi="Times New Roman" w:cs="Times New Roman"/>
          <w:lang w:val="fr-BE"/>
        </w:rPr>
        <w:t>m</w:t>
      </w:r>
      <w:r w:rsidRPr="009427B8">
        <w:rPr>
          <w:rFonts w:ascii="Times New Roman" w:hAnsi="Times New Roman" w:cs="Times New Roman"/>
          <w:lang w:val="fr-BE"/>
        </w:rPr>
        <w:t>usée d</w:t>
      </w:r>
      <w:r w:rsidR="006057AF" w:rsidRPr="009427B8">
        <w:rPr>
          <w:rFonts w:ascii="Times New Roman" w:hAnsi="Times New Roman" w:cs="Times New Roman"/>
          <w:lang w:val="fr-BE"/>
        </w:rPr>
        <w:t>’</w:t>
      </w:r>
      <w:r w:rsidRPr="009427B8">
        <w:rPr>
          <w:rFonts w:ascii="Times New Roman" w:hAnsi="Times New Roman" w:cs="Times New Roman"/>
          <w:lang w:val="fr-BE"/>
        </w:rPr>
        <w:t xml:space="preserve">Orsay : </w:t>
      </w:r>
      <w:hyperlink r:id="rId5" w:history="1">
        <w:r w:rsidR="7387BCA1" w:rsidRPr="009427B8">
          <w:rPr>
            <w:rStyle w:val="Lienhypertexte"/>
            <w:rFonts w:ascii="Times New Roman" w:hAnsi="Times New Roman" w:cs="Times New Roman"/>
            <w:lang w:val="fr-BE"/>
          </w:rPr>
          <w:t>https://www.musee-orsay.fr/fr/expositions/degas-danse-dessin-hommage-degas-avec-paul-valery-196084</w:t>
        </w:r>
      </w:hyperlink>
      <w:r w:rsidRPr="009427B8">
        <w:rPr>
          <w:rFonts w:ascii="Times New Roman" w:hAnsi="Times New Roman" w:cs="Times New Roman"/>
          <w:lang w:val="fr-BE"/>
        </w:rPr>
        <w:t xml:space="preserve"> (page consultée le ?).</w:t>
      </w:r>
    </w:p>
  </w:footnote>
  <w:footnote w:id="24">
    <w:p w14:paraId="6617642A" w14:textId="28D96B35" w:rsidR="0086364B" w:rsidRPr="009427B8" w:rsidRDefault="0086364B"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Le communiqué de presse présente ainsi l’exposition : « Le public est ainsi invité à reprendre pied dans un moment particulier de la sensibilité moderne, à la croisée de la poussée naturaliste des années 1870, du décadentisme des années 1880-1890 et du </w:t>
      </w:r>
      <w:r w:rsidR="00187AA2" w:rsidRPr="009427B8">
        <w:rPr>
          <w:rFonts w:ascii="Times New Roman" w:hAnsi="Times New Roman" w:cs="Times New Roman"/>
          <w:lang w:val="fr-BE"/>
        </w:rPr>
        <w:t>“</w:t>
      </w:r>
      <w:r w:rsidRPr="009427B8">
        <w:rPr>
          <w:rFonts w:ascii="Times New Roman" w:hAnsi="Times New Roman" w:cs="Times New Roman"/>
          <w:lang w:val="fr-BE"/>
        </w:rPr>
        <w:t>retour</w:t>
      </w:r>
      <w:r w:rsidR="00187AA2" w:rsidRPr="009427B8">
        <w:rPr>
          <w:rFonts w:ascii="Times New Roman" w:hAnsi="Times New Roman" w:cs="Times New Roman"/>
          <w:lang w:val="fr-BE"/>
        </w:rPr>
        <w:t>”</w:t>
      </w:r>
      <w:r w:rsidRPr="009427B8">
        <w:rPr>
          <w:rFonts w:ascii="Times New Roman" w:hAnsi="Times New Roman" w:cs="Times New Roman"/>
          <w:lang w:val="fr-BE"/>
        </w:rPr>
        <w:t xml:space="preserve"> aux Primitifs sur fond de renaissance catholique, vers 1900. Peu de grands écrivains contribuèrent autant à ce vaste mouvement d’époque, peu l’éclairent avec une telle vigueur descriptive et analytique » (https://www.musee-orsay.fr/sites/default/files/exposition/booklet/2021-07/CP_huysmans_de_degas_a_grunewald.pdf).</w:t>
      </w:r>
    </w:p>
  </w:footnote>
  <w:footnote w:id="25">
    <w:p w14:paraId="61DCD462" w14:textId="673DC7F0" w:rsidR="00E31700" w:rsidRPr="009427B8" w:rsidRDefault="00E31700"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Pour autant, d’autres angles d’approche sont envisageables que la seule perspective monographique (croisée ou non). Ainsi, lorsque le Centre Pompidou organise l’exposition </w:t>
      </w:r>
      <w:r w:rsidRPr="009427B8">
        <w:rPr>
          <w:rFonts w:ascii="Times New Roman" w:hAnsi="Times New Roman" w:cs="Times New Roman"/>
          <w:i/>
          <w:iCs/>
          <w:lang w:val="fr-BE"/>
        </w:rPr>
        <w:t xml:space="preserve">Bacon en toutes lettres </w:t>
      </w:r>
      <w:r w:rsidRPr="009427B8">
        <w:rPr>
          <w:rFonts w:ascii="Times New Roman" w:hAnsi="Times New Roman" w:cs="Times New Roman"/>
          <w:lang w:val="fr-BE"/>
        </w:rPr>
        <w:t>(2019-2020), l’approche se révèle sensiblement différente</w:t>
      </w:r>
      <w:r w:rsidR="00E91917" w:rsidRPr="009427B8">
        <w:rPr>
          <w:rFonts w:ascii="Times New Roman" w:hAnsi="Times New Roman" w:cs="Times New Roman"/>
          <w:lang w:val="fr-BE"/>
        </w:rPr>
        <w:t xml:space="preserve"> : </w:t>
      </w:r>
      <w:r w:rsidRPr="009427B8">
        <w:rPr>
          <w:rFonts w:ascii="Times New Roman" w:hAnsi="Times New Roman" w:cs="Times New Roman"/>
          <w:lang w:val="fr-BE"/>
        </w:rPr>
        <w:t>ce n’est plus l’écrivain qui se trouve mis au centre de l’exposition, mais bien un peintre. En l’espèce, les œuvres de Francis Bacon étaient présentées au prisme des livres figurant dans la bibliothèque de l’artiste. Il en allait donc cette fois non pas tant du regard des écrivains posé sur la peinture et mis en œuvre dans une exposition de façon à orienter les regards des visiteurs sur les œuvres, mais bien plutôt de la façon dont certaines œuvres écrites avaient pu marquer le travail d’un peintre ayant déjà fait l’objet d’un nombre considérable d’expositions et dont cette option ambitionnait de renouveler l’appréhension. Il s’agit encore d’orienter le point de vue des visiteurs en mobilisant la littérature, en l’occurrence en cherchant à faire apparaître les influences potentielles</w:t>
      </w:r>
      <w:r w:rsidR="00E91917" w:rsidRPr="009427B8">
        <w:rPr>
          <w:rFonts w:ascii="Times New Roman" w:hAnsi="Times New Roman" w:cs="Times New Roman"/>
          <w:lang w:val="fr-BE"/>
        </w:rPr>
        <w:t xml:space="preserve"> issues de</w:t>
      </w:r>
      <w:r w:rsidRPr="009427B8">
        <w:rPr>
          <w:rFonts w:ascii="Times New Roman" w:hAnsi="Times New Roman" w:cs="Times New Roman"/>
          <w:lang w:val="fr-BE"/>
        </w:rPr>
        <w:t xml:space="preserve"> dans le travail pictural.</w:t>
      </w:r>
    </w:p>
  </w:footnote>
  <w:footnote w:id="26">
    <w:p w14:paraId="4BB73301" w14:textId="25C5367C" w:rsidR="001544E6" w:rsidRPr="009427B8" w:rsidRDefault="001544E6" w:rsidP="009427B8">
      <w:pPr>
        <w:pStyle w:val="Notedebasdepage"/>
        <w:jc w:val="both"/>
        <w:rPr>
          <w:rFonts w:ascii="Times New Roman" w:hAnsi="Times New Roman" w:cs="Times New Roman"/>
          <w:lang w:val="fr-BE"/>
        </w:rPr>
      </w:pPr>
      <w:r w:rsidRPr="009427B8">
        <w:rPr>
          <w:rStyle w:val="Appelnotedebasdep"/>
          <w:rFonts w:ascii="Times New Roman" w:hAnsi="Times New Roman" w:cs="Times New Roman"/>
        </w:rPr>
        <w:footnoteRef/>
      </w:r>
      <w:r w:rsidRPr="009427B8">
        <w:rPr>
          <w:rFonts w:ascii="Times New Roman" w:hAnsi="Times New Roman" w:cs="Times New Roman"/>
          <w:lang w:val="fr-BE"/>
        </w:rPr>
        <w:t xml:space="preserve"> </w:t>
      </w:r>
      <w:r w:rsidRPr="009427B8">
        <w:rPr>
          <w:rFonts w:ascii="Times New Roman" w:hAnsi="Times New Roman" w:cs="Times New Roman"/>
          <w:lang w:val="fr-FR"/>
        </w:rPr>
        <w:t xml:space="preserve">Conduit pour les RIMELL, ce travail relève d’une enquête en cours sur la figure de l’écrivain commissaire (voir la journée d’étude </w:t>
      </w:r>
      <w:r w:rsidR="009427B8">
        <w:rPr>
          <w:rFonts w:ascii="Times New Roman" w:hAnsi="Times New Roman" w:cs="Times New Roman"/>
          <w:lang w:val="fr-FR"/>
        </w:rPr>
        <w:t>« </w:t>
      </w:r>
      <w:r w:rsidRPr="009427B8">
        <w:rPr>
          <w:rFonts w:ascii="Times New Roman" w:hAnsi="Times New Roman" w:cs="Times New Roman"/>
          <w:lang w:val="fr-FR"/>
        </w:rPr>
        <w:t>L’écrivain commissaire</w:t>
      </w:r>
      <w:r w:rsidR="009427B8">
        <w:rPr>
          <w:rFonts w:ascii="Times New Roman" w:hAnsi="Times New Roman" w:cs="Times New Roman"/>
          <w:lang w:val="fr-FR"/>
        </w:rPr>
        <w:t> »</w:t>
      </w:r>
      <w:r w:rsidRPr="009427B8">
        <w:rPr>
          <w:rFonts w:ascii="Times New Roman" w:hAnsi="Times New Roman" w:cs="Times New Roman"/>
          <w:lang w:val="fr-FR"/>
        </w:rPr>
        <w:t>, organisée le 19 mai 201</w:t>
      </w:r>
      <w:r w:rsidR="00C26187" w:rsidRPr="009427B8">
        <w:rPr>
          <w:rFonts w:ascii="Times New Roman" w:hAnsi="Times New Roman" w:cs="Times New Roman"/>
          <w:lang w:val="fr-FR"/>
        </w:rPr>
        <w:t>9</w:t>
      </w:r>
      <w:r w:rsidRPr="009427B8">
        <w:rPr>
          <w:rFonts w:ascii="Times New Roman" w:hAnsi="Times New Roman" w:cs="Times New Roman"/>
          <w:lang w:val="fr-FR"/>
        </w:rPr>
        <w:t xml:space="preserve"> à </w:t>
      </w:r>
      <w:proofErr w:type="spellStart"/>
      <w:r w:rsidRPr="009427B8">
        <w:rPr>
          <w:rFonts w:ascii="Times New Roman" w:hAnsi="Times New Roman" w:cs="Times New Roman"/>
          <w:lang w:val="fr-FR"/>
        </w:rPr>
        <w:t>Bozar</w:t>
      </w:r>
      <w:proofErr w:type="spellEnd"/>
      <w:r w:rsidRPr="009427B8">
        <w:rPr>
          <w:rFonts w:ascii="Times New Roman" w:hAnsi="Times New Roman" w:cs="Times New Roman"/>
          <w:lang w:val="fr-FR"/>
        </w:rPr>
        <w:t xml:space="preserve">, Bruxelles, dont les vidéos sont disponibles en ligne sur </w:t>
      </w:r>
      <w:hyperlink r:id="rId6" w:history="1">
        <w:r w:rsidRPr="009427B8">
          <w:rPr>
            <w:rStyle w:val="Lienhypertexte"/>
            <w:rFonts w:ascii="Times New Roman" w:hAnsi="Times New Roman" w:cs="Times New Roman"/>
            <w:color w:val="auto"/>
            <w:u w:val="none"/>
            <w:lang w:val="fr-FR"/>
          </w:rPr>
          <w:t>www.litteraturesmodesdemploi.org/rencontres-a-venir/rencontres-anterieures/lecrivain-commissaire</w:t>
        </w:r>
      </w:hyperlink>
      <w:r w:rsidRPr="009427B8">
        <w:rPr>
          <w:rFonts w:ascii="Times New Roman" w:hAnsi="Times New Roman" w:cs="Times New Roman"/>
          <w:lang w:val="fr-FR"/>
        </w:rPr>
        <w:t xml:space="preserve">. </w:t>
      </w:r>
    </w:p>
  </w:footnote>
  <w:footnote w:id="27">
    <w:p w14:paraId="4C523352" w14:textId="5E511436" w:rsidR="001749ED" w:rsidRPr="009427B8" w:rsidRDefault="001749ED" w:rsidP="009427B8">
      <w:pPr>
        <w:pStyle w:val="Notedebasdepage"/>
        <w:jc w:val="both"/>
        <w:rPr>
          <w:rFonts w:ascii="Times New Roman" w:hAnsi="Times New Roman" w:cs="Times New Roman"/>
          <w:lang w:val="fr-FR"/>
        </w:rPr>
      </w:pPr>
      <w:r w:rsidRPr="009427B8">
        <w:rPr>
          <w:rStyle w:val="Appelnotedebasdep"/>
          <w:rFonts w:ascii="Times New Roman" w:hAnsi="Times New Roman" w:cs="Times New Roman"/>
        </w:rPr>
        <w:footnoteRef/>
      </w:r>
      <w:r w:rsidRPr="009427B8">
        <w:rPr>
          <w:rFonts w:ascii="Times New Roman" w:hAnsi="Times New Roman" w:cs="Times New Roman"/>
          <w:lang w:val="fr-FR"/>
        </w:rPr>
        <w:t xml:space="preserve"> Voir Jean-Max </w:t>
      </w:r>
      <w:r w:rsidRPr="009427B8">
        <w:rPr>
          <w:rFonts w:ascii="Times New Roman" w:hAnsi="Times New Roman" w:cs="Times New Roman"/>
          <w:shd w:val="clear" w:color="auto" w:fill="FFFFFF"/>
          <w:lang w:val="fr-FR"/>
        </w:rPr>
        <w:t xml:space="preserve">Colard, « Une exposition d’auteur : Alain Robbe-Grillet au </w:t>
      </w:r>
      <w:proofErr w:type="spellStart"/>
      <w:r w:rsidRPr="009427B8">
        <w:rPr>
          <w:rFonts w:ascii="Times New Roman" w:hAnsi="Times New Roman" w:cs="Times New Roman"/>
          <w:shd w:val="clear" w:color="auto" w:fill="FFFFFF"/>
          <w:lang w:val="fr-FR"/>
        </w:rPr>
        <w:t>Kunstmuseum</w:t>
      </w:r>
      <w:proofErr w:type="spellEnd"/>
      <w:r w:rsidRPr="009427B8">
        <w:rPr>
          <w:rFonts w:ascii="Times New Roman" w:hAnsi="Times New Roman" w:cs="Times New Roman"/>
          <w:shd w:val="clear" w:color="auto" w:fill="FFFFFF"/>
          <w:lang w:val="fr-FR"/>
        </w:rPr>
        <w:t xml:space="preserve"> de Bergen », dans </w:t>
      </w:r>
      <w:r w:rsidRPr="009427B8">
        <w:rPr>
          <w:rStyle w:val="Accentuation"/>
          <w:rFonts w:ascii="Times New Roman" w:hAnsi="Times New Roman" w:cs="Times New Roman"/>
          <w:shd w:val="clear" w:color="auto" w:fill="FFFFFF"/>
          <w:lang w:val="fr-FR"/>
        </w:rPr>
        <w:t>Cahiers du Musée national d’art moderne</w:t>
      </w:r>
      <w:r w:rsidRPr="009427B8">
        <w:rPr>
          <w:rFonts w:ascii="Times New Roman" w:hAnsi="Times New Roman" w:cs="Times New Roman"/>
          <w:shd w:val="clear" w:color="auto" w:fill="FFFFFF"/>
          <w:lang w:val="fr-FR"/>
        </w:rPr>
        <w:t>, n° 118, hiver 2011-2012, pp. 102-114.</w:t>
      </w:r>
      <w:r w:rsidR="008E29CB">
        <w:rPr>
          <w:rFonts w:ascii="Times New Roman" w:hAnsi="Times New Roman" w:cs="Times New Roman"/>
          <w:shd w:val="clear" w:color="auto" w:fill="FFFFFF"/>
          <w:lang w:val="fr-FR"/>
        </w:rPr>
        <w:t xml:space="preserve"> Voir également le chapitre consacré à cette exposition dans David Martens, </w:t>
      </w:r>
      <w:r w:rsidR="008E29CB" w:rsidRPr="0026188F">
        <w:rPr>
          <w:rFonts w:ascii="Times New Roman" w:hAnsi="Times New Roman" w:cs="Times New Roman"/>
          <w:i/>
          <w:iCs/>
          <w:shd w:val="clear" w:color="auto" w:fill="FFFFFF"/>
          <w:lang w:val="fr-FR"/>
        </w:rPr>
        <w:t xml:space="preserve">L’Écrivain commissaire. </w:t>
      </w:r>
      <w:r w:rsidR="0026188F" w:rsidRPr="0026188F">
        <w:rPr>
          <w:rFonts w:ascii="Times New Roman" w:hAnsi="Times New Roman" w:cs="Times New Roman"/>
          <w:i/>
          <w:iCs/>
          <w:shd w:val="clear" w:color="auto" w:fill="FFFFFF"/>
          <w:lang w:val="fr-FR"/>
        </w:rPr>
        <w:t>La littérature au service des musées</w:t>
      </w:r>
      <w:r w:rsidR="0026188F">
        <w:rPr>
          <w:rFonts w:ascii="Times New Roman" w:hAnsi="Times New Roman" w:cs="Times New Roman"/>
          <w:shd w:val="clear" w:color="auto" w:fill="FFFFFF"/>
          <w:lang w:val="fr-FR"/>
        </w:rPr>
        <w:t>, Dijon, Les Presses du réel, à paraître en 2026.</w:t>
      </w:r>
    </w:p>
  </w:footnote>
  <w:footnote w:id="28">
    <w:p w14:paraId="073979F3" w14:textId="34654E46" w:rsidR="008B7FCC" w:rsidRPr="00AA072A" w:rsidRDefault="008B7FCC" w:rsidP="00AA072A">
      <w:pPr>
        <w:jc w:val="both"/>
        <w:rPr>
          <w:color w:val="000000" w:themeColor="text1"/>
          <w:sz w:val="20"/>
          <w:szCs w:val="20"/>
          <w:lang w:val="fr-BE"/>
        </w:rPr>
      </w:pPr>
      <w:r w:rsidRPr="00AA072A">
        <w:rPr>
          <w:rStyle w:val="Appelnotedebasdep"/>
          <w:sz w:val="20"/>
          <w:szCs w:val="20"/>
        </w:rPr>
        <w:footnoteRef/>
      </w:r>
      <w:r w:rsidRPr="00AA072A">
        <w:rPr>
          <w:sz w:val="20"/>
          <w:szCs w:val="20"/>
          <w:lang w:val="fr-BE"/>
        </w:rPr>
        <w:t xml:space="preserve"> </w:t>
      </w:r>
      <w:r w:rsidR="006A4FF3" w:rsidRPr="00AA072A">
        <w:rPr>
          <w:sz w:val="20"/>
          <w:szCs w:val="20"/>
          <w:lang w:val="fr-BE"/>
        </w:rPr>
        <w:t xml:space="preserve">Sur ces expositions organisées par le Louvre, voir David Martens, </w:t>
      </w:r>
      <w:r w:rsidR="006A4FF3" w:rsidRPr="00AA072A">
        <w:rPr>
          <w:sz w:val="20"/>
          <w:szCs w:val="20"/>
          <w:lang w:val="fr-BE"/>
        </w:rPr>
        <w:t xml:space="preserve">« Un écrivain dans les couloirs du Louvre. Les pas de côté du commissaire Toussaint », in </w:t>
      </w:r>
      <w:r w:rsidR="006A4FF3" w:rsidRPr="00AA072A">
        <w:rPr>
          <w:i/>
          <w:iCs/>
          <w:sz w:val="20"/>
          <w:szCs w:val="20"/>
          <w:lang w:val="fr-BE"/>
        </w:rPr>
        <w:t>Recherches &amp; Travaux</w:t>
      </w:r>
      <w:r w:rsidR="006A4FF3" w:rsidRPr="00AA072A">
        <w:rPr>
          <w:sz w:val="20"/>
          <w:szCs w:val="20"/>
          <w:lang w:val="fr-BE"/>
        </w:rPr>
        <w:t xml:space="preserve">, n° 100, « Les arts littéraires :  transmédialité et dispositifs convergents », </w:t>
      </w:r>
      <w:r w:rsidR="00AA072A" w:rsidRPr="00AA072A">
        <w:rPr>
          <w:sz w:val="20"/>
          <w:szCs w:val="20"/>
          <w:lang w:val="fr-BE"/>
        </w:rPr>
        <w:t xml:space="preserve">s. </w:t>
      </w:r>
      <w:proofErr w:type="spellStart"/>
      <w:r w:rsidR="00AA072A" w:rsidRPr="00AA072A">
        <w:rPr>
          <w:sz w:val="20"/>
          <w:szCs w:val="20"/>
          <w:lang w:val="fr-BE"/>
        </w:rPr>
        <w:t>dir</w:t>
      </w:r>
      <w:proofErr w:type="spellEnd"/>
      <w:r w:rsidR="00AA072A" w:rsidRPr="00AA072A">
        <w:rPr>
          <w:sz w:val="20"/>
          <w:szCs w:val="20"/>
          <w:lang w:val="fr-BE"/>
        </w:rPr>
        <w:t xml:space="preserve"> Carole </w:t>
      </w:r>
      <w:r w:rsidR="00AA072A" w:rsidRPr="00AA072A">
        <w:rPr>
          <w:sz w:val="20"/>
          <w:szCs w:val="20"/>
          <w:lang w:val="fr-BE"/>
        </w:rPr>
        <w:t xml:space="preserve">Bisénius-Penin Carole, René Audet &amp; Bertrand Gervais, </w:t>
      </w:r>
      <w:r w:rsidR="006A4FF3" w:rsidRPr="00AA072A">
        <w:rPr>
          <w:sz w:val="20"/>
          <w:szCs w:val="20"/>
          <w:lang w:val="fr-BE"/>
        </w:rPr>
        <w:t xml:space="preserve">2022. [En ligne] : </w:t>
      </w:r>
      <w:hyperlink r:id="rId7" w:history="1">
        <w:r w:rsidR="006A4FF3" w:rsidRPr="00AA072A">
          <w:rPr>
            <w:rStyle w:val="Lienhypertexte"/>
            <w:color w:val="000000" w:themeColor="text1"/>
            <w:sz w:val="20"/>
            <w:szCs w:val="20"/>
            <w:u w:val="none"/>
            <w:lang w:val="fr-BE"/>
          </w:rPr>
          <w:t>https://journals.openedition.org/recherchestravaux/5094</w:t>
        </w:r>
      </w:hyperlink>
      <w:r w:rsidR="006A4FF3" w:rsidRPr="00AA072A">
        <w:rPr>
          <w:color w:val="000000" w:themeColor="text1"/>
          <w:sz w:val="20"/>
          <w:szCs w:val="20"/>
          <w:lang w:val="fr-BE"/>
        </w:rPr>
        <w:t xml:space="preserve">; ainsi que </w:t>
      </w:r>
      <w:r w:rsidR="006A4FF3" w:rsidRPr="00AA072A">
        <w:rPr>
          <w:color w:val="000000" w:themeColor="text1"/>
          <w:sz w:val="20"/>
          <w:szCs w:val="20"/>
          <w:lang w:val="fr-BE"/>
        </w:rPr>
        <w:t xml:space="preserve">« “Où l’érudition ne cède en rien aux puissances de l’imagination”. Quand les écrivains contemporains deviennent commissaires au Louvre », </w:t>
      </w:r>
      <w:r w:rsidR="006A4FF3" w:rsidRPr="00AA072A">
        <w:rPr>
          <w:color w:val="000000" w:themeColor="text1"/>
          <w:sz w:val="20"/>
          <w:szCs w:val="20"/>
          <w:lang w:val="fr-BE"/>
        </w:rPr>
        <w:t>dans</w:t>
      </w:r>
      <w:r w:rsidR="006A4FF3" w:rsidRPr="00AA072A">
        <w:rPr>
          <w:color w:val="000000" w:themeColor="text1"/>
          <w:sz w:val="20"/>
          <w:szCs w:val="20"/>
          <w:lang w:val="fr-BE"/>
        </w:rPr>
        <w:t xml:space="preserve"> </w:t>
      </w:r>
      <w:r w:rsidR="006A4FF3" w:rsidRPr="00AA072A">
        <w:rPr>
          <w:i/>
          <w:iCs/>
          <w:color w:val="000000" w:themeColor="text1"/>
          <w:sz w:val="20"/>
          <w:szCs w:val="20"/>
          <w:lang w:val="fr-BE"/>
        </w:rPr>
        <w:t>Le Musée imaginaire des écrivains contemporains</w:t>
      </w:r>
      <w:r w:rsidR="006A4FF3" w:rsidRPr="00AA072A">
        <w:rPr>
          <w:color w:val="000000" w:themeColor="text1"/>
          <w:sz w:val="20"/>
          <w:szCs w:val="20"/>
          <w:lang w:val="fr-BE"/>
        </w:rPr>
        <w:t xml:space="preserve">, </w:t>
      </w:r>
      <w:r w:rsidR="006A4FF3" w:rsidRPr="00AA072A">
        <w:rPr>
          <w:color w:val="000000" w:themeColor="text1"/>
          <w:sz w:val="20"/>
          <w:szCs w:val="20"/>
          <w:lang w:val="fr-BE"/>
        </w:rPr>
        <w:t xml:space="preserve">s. </w:t>
      </w:r>
      <w:proofErr w:type="spellStart"/>
      <w:r w:rsidR="006A4FF3" w:rsidRPr="00AA072A">
        <w:rPr>
          <w:color w:val="000000" w:themeColor="text1"/>
          <w:sz w:val="20"/>
          <w:szCs w:val="20"/>
          <w:lang w:val="fr-BE"/>
        </w:rPr>
        <w:t>dir</w:t>
      </w:r>
      <w:proofErr w:type="spellEnd"/>
      <w:r w:rsidR="006A4FF3" w:rsidRPr="00AA072A">
        <w:rPr>
          <w:color w:val="000000" w:themeColor="text1"/>
          <w:sz w:val="20"/>
          <w:szCs w:val="20"/>
          <w:lang w:val="fr-BE"/>
        </w:rPr>
        <w:t xml:space="preserve">. Laurent </w:t>
      </w:r>
      <w:r w:rsidR="006A4FF3" w:rsidRPr="00AA072A">
        <w:rPr>
          <w:color w:val="000000" w:themeColor="text1"/>
          <w:sz w:val="20"/>
          <w:szCs w:val="20"/>
          <w:lang w:val="fr-BE"/>
        </w:rPr>
        <w:t>Demanz</w:t>
      </w:r>
      <w:r w:rsidR="006A4FF3" w:rsidRPr="00AA072A">
        <w:rPr>
          <w:color w:val="000000" w:themeColor="text1"/>
          <w:sz w:val="20"/>
          <w:szCs w:val="20"/>
          <w:lang w:val="fr-BE"/>
        </w:rPr>
        <w:t>e</w:t>
      </w:r>
      <w:r w:rsidR="006A4FF3" w:rsidRPr="00AA072A">
        <w:rPr>
          <w:color w:val="000000" w:themeColor="text1"/>
          <w:sz w:val="20"/>
          <w:szCs w:val="20"/>
          <w:lang w:val="fr-BE"/>
        </w:rPr>
        <w:t xml:space="preserve">, Macerata, </w:t>
      </w:r>
      <w:proofErr w:type="spellStart"/>
      <w:r w:rsidR="006A4FF3" w:rsidRPr="00AA072A">
        <w:rPr>
          <w:color w:val="000000" w:themeColor="text1"/>
          <w:sz w:val="20"/>
          <w:szCs w:val="20"/>
          <w:lang w:val="fr-BE"/>
        </w:rPr>
        <w:t>Quodlibet</w:t>
      </w:r>
      <w:proofErr w:type="spellEnd"/>
      <w:r w:rsidR="006A4FF3" w:rsidRPr="00AA072A">
        <w:rPr>
          <w:color w:val="000000" w:themeColor="text1"/>
          <w:sz w:val="20"/>
          <w:szCs w:val="20"/>
          <w:lang w:val="fr-BE"/>
        </w:rPr>
        <w:t xml:space="preserve">, coll. </w:t>
      </w:r>
      <w:proofErr w:type="spellStart"/>
      <w:r w:rsidR="006A4FF3" w:rsidRPr="00AA072A">
        <w:rPr>
          <w:color w:val="000000" w:themeColor="text1"/>
          <w:sz w:val="20"/>
          <w:szCs w:val="20"/>
          <w:lang w:val="fr-BE"/>
        </w:rPr>
        <w:t>Ultracontemporanea</w:t>
      </w:r>
      <w:proofErr w:type="spellEnd"/>
      <w:r w:rsidR="006A4FF3" w:rsidRPr="00AA072A">
        <w:rPr>
          <w:color w:val="000000" w:themeColor="text1"/>
          <w:sz w:val="20"/>
          <w:szCs w:val="20"/>
          <w:lang w:val="fr-BE"/>
        </w:rPr>
        <w:t>, 2025, p. 67-87.</w:t>
      </w:r>
    </w:p>
  </w:footnote>
  <w:footnote w:id="29">
    <w:p w14:paraId="0887B9FE" w14:textId="2DF4218F" w:rsidR="001749ED" w:rsidRPr="00AA072A" w:rsidRDefault="001749ED" w:rsidP="00AA072A">
      <w:pPr>
        <w:pStyle w:val="Notedebasdepage"/>
        <w:jc w:val="both"/>
        <w:rPr>
          <w:rFonts w:ascii="Times New Roman" w:hAnsi="Times New Roman" w:cs="Times New Roman"/>
          <w:color w:val="000000" w:themeColor="text1"/>
          <w:lang w:val="fr-FR"/>
        </w:rPr>
      </w:pPr>
      <w:r w:rsidRPr="00AA072A">
        <w:rPr>
          <w:rStyle w:val="Appelnotedebasdep"/>
          <w:rFonts w:ascii="Times New Roman" w:hAnsi="Times New Roman" w:cs="Times New Roman"/>
          <w:color w:val="000000" w:themeColor="text1"/>
        </w:rPr>
        <w:footnoteRef/>
      </w:r>
      <w:r w:rsidRPr="00AA072A">
        <w:rPr>
          <w:rFonts w:ascii="Times New Roman" w:hAnsi="Times New Roman" w:cs="Times New Roman"/>
          <w:color w:val="000000" w:themeColor="text1"/>
          <w:lang w:val="fr-FR"/>
        </w:rPr>
        <w:t xml:space="preserve"> </w:t>
      </w:r>
      <w:r w:rsidRPr="00AA072A">
        <w:rPr>
          <w:rFonts w:ascii="Times New Roman" w:eastAsia="Times New Roman" w:hAnsi="Times New Roman" w:cs="Times New Roman"/>
          <w:color w:val="000000" w:themeColor="text1"/>
          <w:lang w:val="fr-FR"/>
        </w:rPr>
        <w:t>Sur cette programmation, voir David Martens, « </w:t>
      </w:r>
      <w:r w:rsidRPr="00AA072A">
        <w:rPr>
          <w:rFonts w:ascii="Times New Roman" w:eastAsia="Times New Roman" w:hAnsi="Times New Roman" w:cs="Times New Roman"/>
          <w:color w:val="000000" w:themeColor="text1"/>
          <w:shd w:val="clear" w:color="auto" w:fill="FFFFFF"/>
          <w:lang w:val="fr-FR"/>
        </w:rPr>
        <w:t>“</w:t>
      </w:r>
      <w:r w:rsidRPr="00AA072A">
        <w:rPr>
          <w:rFonts w:ascii="Times New Roman" w:eastAsia="Times New Roman" w:hAnsi="Times New Roman" w:cs="Times New Roman"/>
          <w:color w:val="000000" w:themeColor="text1"/>
          <w:lang w:val="fr-FR"/>
        </w:rPr>
        <w:t>Ouvrir une boîte comme on ouvre la bouche</w:t>
      </w:r>
      <w:r w:rsidRPr="00AA072A">
        <w:rPr>
          <w:rFonts w:ascii="Times New Roman" w:eastAsia="Times New Roman" w:hAnsi="Times New Roman" w:cs="Times New Roman"/>
          <w:color w:val="000000" w:themeColor="text1"/>
          <w:shd w:val="clear" w:color="auto" w:fill="FFFFFF"/>
          <w:lang w:val="fr-FR"/>
        </w:rPr>
        <w:t>”.</w:t>
      </w:r>
      <w:r w:rsidRPr="00AA072A">
        <w:rPr>
          <w:rFonts w:ascii="Times New Roman" w:eastAsia="Times New Roman" w:hAnsi="Times New Roman" w:cs="Times New Roman"/>
          <w:color w:val="000000" w:themeColor="text1"/>
          <w:lang w:val="fr-FR"/>
        </w:rPr>
        <w:t xml:space="preserve"> L’écrivain-commissaire dans les cartes blanches de l’IMEC », dans </w:t>
      </w:r>
      <w:r w:rsidRPr="00AA072A">
        <w:rPr>
          <w:rFonts w:ascii="Times New Roman" w:eastAsia="Times New Roman" w:hAnsi="Times New Roman" w:cs="Times New Roman"/>
          <w:i/>
          <w:iCs/>
          <w:color w:val="000000" w:themeColor="text1"/>
          <w:lang w:val="fr-FR"/>
        </w:rPr>
        <w:t>Littérature</w:t>
      </w:r>
      <w:r w:rsidRPr="00AA072A">
        <w:rPr>
          <w:rFonts w:ascii="Times New Roman" w:eastAsia="Times New Roman" w:hAnsi="Times New Roman" w:cs="Times New Roman"/>
          <w:color w:val="000000" w:themeColor="text1"/>
          <w:lang w:val="fr-FR"/>
        </w:rPr>
        <w:t>, n° 203, 2021, p. 118-136, ainsi que D.</w:t>
      </w:r>
      <w:r w:rsidR="009427B8" w:rsidRPr="00AA072A">
        <w:rPr>
          <w:rFonts w:ascii="Times New Roman" w:eastAsia="Times New Roman" w:hAnsi="Times New Roman" w:cs="Times New Roman"/>
          <w:color w:val="000000" w:themeColor="text1"/>
          <w:lang w:val="fr-FR"/>
        </w:rPr>
        <w:t> </w:t>
      </w:r>
      <w:r w:rsidRPr="00AA072A">
        <w:rPr>
          <w:rFonts w:ascii="Times New Roman" w:eastAsia="Times New Roman" w:hAnsi="Times New Roman" w:cs="Times New Roman"/>
          <w:color w:val="000000" w:themeColor="text1"/>
          <w:lang w:val="fr-FR"/>
        </w:rPr>
        <w:t>Martens, « </w:t>
      </w:r>
      <w:r w:rsidRPr="00AA072A">
        <w:rPr>
          <w:rFonts w:ascii="Times New Roman" w:eastAsia="Times New Roman" w:hAnsi="Times New Roman" w:cs="Times New Roman"/>
          <w:color w:val="000000" w:themeColor="text1"/>
          <w:shd w:val="clear" w:color="auto" w:fill="FFFFFF"/>
          <w:lang w:val="fr-FR"/>
        </w:rPr>
        <w:t>“</w:t>
      </w:r>
      <w:r w:rsidRPr="00AA072A">
        <w:rPr>
          <w:rFonts w:ascii="Times New Roman" w:eastAsia="Times New Roman" w:hAnsi="Times New Roman" w:cs="Times New Roman"/>
          <w:color w:val="000000" w:themeColor="text1"/>
          <w:lang w:val="fr-FR"/>
        </w:rPr>
        <w:t>Le Lieu de l’archive</w:t>
      </w:r>
      <w:r w:rsidRPr="00AA072A">
        <w:rPr>
          <w:rFonts w:ascii="Times New Roman" w:eastAsia="Times New Roman" w:hAnsi="Times New Roman" w:cs="Times New Roman"/>
          <w:color w:val="000000" w:themeColor="text1"/>
          <w:shd w:val="clear" w:color="auto" w:fill="FFFFFF"/>
          <w:lang w:val="fr-FR"/>
        </w:rPr>
        <w:t>”</w:t>
      </w:r>
      <w:r w:rsidRPr="00AA072A">
        <w:rPr>
          <w:rFonts w:ascii="Times New Roman" w:eastAsia="Times New Roman" w:hAnsi="Times New Roman" w:cs="Times New Roman"/>
          <w:color w:val="000000" w:themeColor="text1"/>
          <w:lang w:val="fr-FR"/>
        </w:rPr>
        <w:t xml:space="preserve">. Entretien avec Nathalie Léger </w:t>
      </w:r>
      <w:r w:rsidR="7387BCA1" w:rsidRPr="00AA072A">
        <w:rPr>
          <w:rFonts w:ascii="Times New Roman" w:eastAsia="Times New Roman" w:hAnsi="Times New Roman" w:cs="Times New Roman"/>
          <w:color w:val="000000" w:themeColor="text1"/>
          <w:lang w:val="fr-FR"/>
        </w:rPr>
        <w:t>»</w:t>
      </w:r>
      <w:r w:rsidRPr="00AA072A">
        <w:rPr>
          <w:rFonts w:ascii="Times New Roman" w:eastAsia="Times New Roman" w:hAnsi="Times New Roman" w:cs="Times New Roman"/>
          <w:color w:val="000000" w:themeColor="text1"/>
          <w:lang w:val="fr-FR"/>
        </w:rPr>
        <w:t xml:space="preserve">, dans </w:t>
      </w:r>
      <w:r w:rsidRPr="00AA072A">
        <w:rPr>
          <w:rFonts w:ascii="Times New Roman" w:eastAsia="Times New Roman" w:hAnsi="Times New Roman" w:cs="Times New Roman"/>
          <w:i/>
          <w:iCs/>
          <w:color w:val="000000" w:themeColor="text1"/>
          <w:lang w:val="fr-FR"/>
        </w:rPr>
        <w:t>Marges. Revue d’art contemporain</w:t>
      </w:r>
      <w:r w:rsidRPr="00AA072A">
        <w:rPr>
          <w:rFonts w:ascii="Times New Roman" w:eastAsia="Times New Roman" w:hAnsi="Times New Roman" w:cs="Times New Roman"/>
          <w:color w:val="000000" w:themeColor="text1"/>
          <w:lang w:val="fr-FR"/>
        </w:rPr>
        <w:t xml:space="preserve"> vol. 34, 2022, disponible en ligne sur </w:t>
      </w:r>
      <w:hyperlink r:id="rId8" w:history="1">
        <w:r w:rsidR="7387BCA1" w:rsidRPr="00AA072A">
          <w:rPr>
            <w:rStyle w:val="Lienhypertexte"/>
            <w:rFonts w:ascii="Times New Roman" w:eastAsia="Times New Roman" w:hAnsi="Times New Roman" w:cs="Times New Roman"/>
            <w:color w:val="000000" w:themeColor="text1"/>
            <w:u w:val="none"/>
            <w:lang w:val="fr-BE"/>
          </w:rPr>
          <w:t>https://doi.org/10.4000/marges.2920</w:t>
        </w:r>
      </w:hyperlink>
      <w:r w:rsidR="7387BCA1" w:rsidRPr="00AA072A">
        <w:rPr>
          <w:rFonts w:ascii="Times New Roman" w:eastAsia="Times New Roman" w:hAnsi="Times New Roman" w:cs="Times New Roman"/>
          <w:color w:val="000000" w:themeColor="text1"/>
          <w:lang w:val="fr-FR"/>
        </w:rPr>
        <w:t xml:space="preserve">. </w:t>
      </w:r>
    </w:p>
  </w:footnote>
  <w:footnote w:id="30">
    <w:p w14:paraId="600753A9" w14:textId="1954062D" w:rsidR="00724FAF" w:rsidRPr="00AA072A" w:rsidRDefault="00724FAF" w:rsidP="00AA072A">
      <w:pPr>
        <w:pStyle w:val="Notedebasdepage"/>
        <w:jc w:val="both"/>
        <w:rPr>
          <w:rFonts w:ascii="Times New Roman" w:hAnsi="Times New Roman" w:cs="Times New Roman"/>
          <w:lang w:val="fr-BE"/>
        </w:rPr>
      </w:pPr>
      <w:r w:rsidRPr="00AA072A">
        <w:rPr>
          <w:rStyle w:val="Appelnotedebasdep"/>
          <w:rFonts w:ascii="Times New Roman" w:hAnsi="Times New Roman" w:cs="Times New Roman"/>
        </w:rPr>
        <w:footnoteRef/>
      </w:r>
      <w:r w:rsidRPr="00AA072A">
        <w:rPr>
          <w:rFonts w:ascii="Times New Roman" w:hAnsi="Times New Roman" w:cs="Times New Roman"/>
          <w:lang w:val="fr-BE"/>
        </w:rPr>
        <w:t xml:space="preserve"> </w:t>
      </w:r>
      <w:r w:rsidRPr="00AA072A">
        <w:rPr>
          <w:rFonts w:ascii="Times New Roman" w:hAnsi="Times New Roman" w:cs="Times New Roman"/>
          <w:i/>
          <w:iCs/>
          <w:lang w:val="fr-BE"/>
        </w:rPr>
        <w:t>L’Inépuisable chaos du monde</w:t>
      </w:r>
      <w:r w:rsidRPr="00AA072A">
        <w:rPr>
          <w:rFonts w:ascii="Times New Roman" w:hAnsi="Times New Roman" w:cs="Times New Roman"/>
          <w:lang w:val="fr-BE"/>
        </w:rPr>
        <w:t>, Musée national d’art moderne, Centre Pompidou, Paris – 2 octobre 2013 – 6 janvier 2014.</w:t>
      </w:r>
    </w:p>
  </w:footnote>
  <w:footnote w:id="31">
    <w:p w14:paraId="14217727" w14:textId="373E39C3" w:rsidR="00724FAF" w:rsidRPr="00AA072A" w:rsidRDefault="00724FAF" w:rsidP="00AA072A">
      <w:pPr>
        <w:pStyle w:val="Notedebasdepage"/>
        <w:jc w:val="both"/>
        <w:rPr>
          <w:rFonts w:ascii="Times New Roman" w:hAnsi="Times New Roman" w:cs="Times New Roman"/>
          <w:lang w:val="fr-BE"/>
        </w:rPr>
      </w:pPr>
      <w:r w:rsidRPr="00AA072A">
        <w:rPr>
          <w:rStyle w:val="Appelnotedebasdep"/>
          <w:rFonts w:ascii="Times New Roman" w:hAnsi="Times New Roman" w:cs="Times New Roman"/>
        </w:rPr>
        <w:footnoteRef/>
      </w:r>
      <w:r w:rsidRPr="00AA072A">
        <w:rPr>
          <w:rFonts w:ascii="Times New Roman" w:hAnsi="Times New Roman" w:cs="Times New Roman"/>
          <w:lang w:val="fr-BE"/>
        </w:rPr>
        <w:t xml:space="preserve"> </w:t>
      </w:r>
      <w:r w:rsidRPr="00AA072A">
        <w:rPr>
          <w:rFonts w:ascii="Times New Roman" w:hAnsi="Times New Roman" w:cs="Times New Roman"/>
          <w:i/>
          <w:iCs/>
          <w:lang w:val="fr-BE"/>
        </w:rPr>
        <w:t>Claude Simon sur la route des Flandres. Peintre et écrivain</w:t>
      </w:r>
      <w:r w:rsidRPr="00AA072A">
        <w:rPr>
          <w:rFonts w:ascii="Times New Roman" w:hAnsi="Times New Roman" w:cs="Times New Roman"/>
          <w:lang w:val="fr-BE"/>
        </w:rPr>
        <w:t>, Musée  La Piscine (Roubaix), Villa Marguerite Yourcenar (Saint-Jans-Cappel), Château Coquelle (</w:t>
      </w:r>
      <w:proofErr w:type="spellStart"/>
      <w:r w:rsidRPr="00AA072A">
        <w:rPr>
          <w:rFonts w:ascii="Times New Roman" w:hAnsi="Times New Roman" w:cs="Times New Roman"/>
          <w:lang w:val="fr-BE"/>
        </w:rPr>
        <w:t>Dunkerke</w:t>
      </w:r>
      <w:proofErr w:type="spellEnd"/>
      <w:r w:rsidRPr="00AA072A">
        <w:rPr>
          <w:rFonts w:ascii="Times New Roman" w:hAnsi="Times New Roman" w:cs="Times New Roman"/>
          <w:lang w:val="fr-BE"/>
        </w:rPr>
        <w:t>) – 7 octobre 2023 – 7 janvier 2024.</w:t>
      </w:r>
    </w:p>
  </w:footnote>
  <w:footnote w:id="32">
    <w:p w14:paraId="62E4D733" w14:textId="77777777" w:rsidR="00724FAF" w:rsidRPr="00AA072A" w:rsidRDefault="00724FAF" w:rsidP="009427B8">
      <w:pPr>
        <w:pStyle w:val="Notedebasdepage"/>
        <w:jc w:val="both"/>
        <w:rPr>
          <w:rFonts w:ascii="Times New Roman" w:hAnsi="Times New Roman" w:cs="Times New Roman"/>
          <w:lang w:val="fr-BE"/>
        </w:rPr>
      </w:pPr>
      <w:r w:rsidRPr="00AA072A">
        <w:rPr>
          <w:rStyle w:val="Appelnotedebasdep"/>
          <w:rFonts w:ascii="Times New Roman" w:hAnsi="Times New Roman" w:cs="Times New Roman"/>
        </w:rPr>
        <w:footnoteRef/>
      </w:r>
      <w:r w:rsidRPr="00AA072A">
        <w:rPr>
          <w:rFonts w:ascii="Times New Roman" w:hAnsi="Times New Roman" w:cs="Times New Roman"/>
          <w:lang w:val="fr-BE"/>
        </w:rPr>
        <w:t xml:space="preserve"> </w:t>
      </w:r>
      <w:r w:rsidRPr="00AA072A">
        <w:rPr>
          <w:rFonts w:ascii="Times New Roman" w:hAnsi="Times New Roman" w:cs="Times New Roman"/>
          <w:i/>
          <w:iCs/>
          <w:lang w:val="fr-BE"/>
        </w:rPr>
        <w:t>Michel Butor et ses collaborateurs. « La photographie est une fenêtre »</w:t>
      </w:r>
      <w:r w:rsidRPr="00AA072A">
        <w:rPr>
          <w:rFonts w:ascii="Times New Roman" w:hAnsi="Times New Roman" w:cs="Times New Roman"/>
          <w:lang w:val="fr-BE"/>
        </w:rPr>
        <w:t>, Archipel Butor (Lucinges) – 26 juin – 27 novembre 2021.</w:t>
      </w:r>
    </w:p>
  </w:footnote>
  <w:footnote w:id="33">
    <w:p w14:paraId="0020BD09" w14:textId="77777777" w:rsidR="00724FAF" w:rsidRPr="00AA072A" w:rsidRDefault="00724FAF" w:rsidP="009427B8">
      <w:pPr>
        <w:pStyle w:val="Notedebasdepage"/>
        <w:jc w:val="both"/>
        <w:rPr>
          <w:rFonts w:ascii="Times New Roman" w:hAnsi="Times New Roman" w:cs="Times New Roman"/>
          <w:lang w:val="fr-BE"/>
        </w:rPr>
      </w:pPr>
      <w:r w:rsidRPr="00AA072A">
        <w:rPr>
          <w:rStyle w:val="Appelnotedebasdep"/>
          <w:rFonts w:ascii="Times New Roman" w:hAnsi="Times New Roman" w:cs="Times New Roman"/>
        </w:rPr>
        <w:footnoteRef/>
      </w:r>
      <w:r w:rsidRPr="00AA072A">
        <w:rPr>
          <w:rFonts w:ascii="Times New Roman" w:hAnsi="Times New Roman" w:cs="Times New Roman"/>
          <w:lang w:val="fr-BE"/>
        </w:rPr>
        <w:t xml:space="preserve"> </w:t>
      </w:r>
      <w:r w:rsidRPr="00AA072A">
        <w:rPr>
          <w:rFonts w:ascii="Times New Roman" w:hAnsi="Times New Roman" w:cs="Times New Roman"/>
          <w:i/>
          <w:iCs/>
          <w:lang w:val="fr-BE"/>
        </w:rPr>
        <w:t>Simenon, images d’un monde en crise</w:t>
      </w:r>
      <w:r w:rsidRPr="00AA072A">
        <w:rPr>
          <w:rFonts w:ascii="Times New Roman" w:hAnsi="Times New Roman" w:cs="Times New Roman"/>
          <w:lang w:val="fr-BE"/>
        </w:rPr>
        <w:t>, Grand Curtius (Liège) – 8 mars – 27 août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Layout w:type="fixed"/>
      <w:tblLook w:val="06A0" w:firstRow="1" w:lastRow="0" w:firstColumn="1" w:lastColumn="0" w:noHBand="1" w:noVBand="1"/>
    </w:tblPr>
    <w:tblGrid>
      <w:gridCol w:w="3020"/>
      <w:gridCol w:w="3020"/>
      <w:gridCol w:w="3020"/>
    </w:tblGrid>
    <w:tr w:rsidR="2534117F" w14:paraId="7C9783F7" w14:textId="77777777" w:rsidTr="2A483CFA">
      <w:trPr>
        <w:trHeight w:val="300"/>
      </w:trPr>
      <w:tc>
        <w:tcPr>
          <w:tcW w:w="3020" w:type="dxa"/>
        </w:tcPr>
        <w:p w14:paraId="27DCE693" w14:textId="758C8C5D" w:rsidR="2534117F" w:rsidRDefault="2534117F" w:rsidP="2A483CFA"/>
      </w:tc>
      <w:tc>
        <w:tcPr>
          <w:tcW w:w="3020" w:type="dxa"/>
        </w:tcPr>
        <w:p w14:paraId="76C1B01D" w14:textId="5EC0C44B" w:rsidR="2534117F" w:rsidRDefault="2534117F" w:rsidP="009427B8">
          <w:pPr>
            <w:pStyle w:val="En-tte"/>
            <w:jc w:val="center"/>
          </w:pPr>
        </w:p>
      </w:tc>
      <w:tc>
        <w:tcPr>
          <w:tcW w:w="3020" w:type="dxa"/>
        </w:tcPr>
        <w:p w14:paraId="06734CE2" w14:textId="32A5F23A" w:rsidR="2534117F" w:rsidRDefault="2534117F" w:rsidP="009427B8">
          <w:pPr>
            <w:pStyle w:val="En-tte"/>
            <w:ind w:right="-115"/>
            <w:jc w:val="right"/>
          </w:pPr>
        </w:p>
      </w:tc>
    </w:tr>
  </w:tbl>
  <w:p w14:paraId="691BB0CA" w14:textId="7ECC6152" w:rsidR="2534117F" w:rsidRDefault="2534117F" w:rsidP="009427B8">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cih6Oliz" int2:invalidationBookmarkName="" int2:hashCode="nNLyoU1/LTDuID" int2:id="2jgvDLq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35C9"/>
    <w:multiLevelType w:val="hybridMultilevel"/>
    <w:tmpl w:val="638C5D60"/>
    <w:lvl w:ilvl="0" w:tplc="603AFCAE">
      <w:start w:val="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B44917"/>
    <w:multiLevelType w:val="hybridMultilevel"/>
    <w:tmpl w:val="AC583434"/>
    <w:lvl w:ilvl="0" w:tplc="F8A46900">
      <w:start w:val="3"/>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2E2982"/>
    <w:multiLevelType w:val="multilevel"/>
    <w:tmpl w:val="56B6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5264F"/>
    <w:multiLevelType w:val="multilevel"/>
    <w:tmpl w:val="D44E2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8B1F29"/>
    <w:multiLevelType w:val="hybridMultilevel"/>
    <w:tmpl w:val="F836B0E2"/>
    <w:lvl w:ilvl="0" w:tplc="552CE57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1971961">
    <w:abstractNumId w:val="3"/>
  </w:num>
  <w:num w:numId="2" w16cid:durableId="1120997186">
    <w:abstractNumId w:val="4"/>
  </w:num>
  <w:num w:numId="3" w16cid:durableId="107093257">
    <w:abstractNumId w:val="1"/>
  </w:num>
  <w:num w:numId="4" w16cid:durableId="1454977095">
    <w:abstractNumId w:val="0"/>
  </w:num>
  <w:num w:numId="5" w16cid:durableId="2018655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78C"/>
    <w:rsid w:val="00003DC3"/>
    <w:rsid w:val="00006DE6"/>
    <w:rsid w:val="00010705"/>
    <w:rsid w:val="000116CF"/>
    <w:rsid w:val="00012138"/>
    <w:rsid w:val="00013CFA"/>
    <w:rsid w:val="000171E1"/>
    <w:rsid w:val="00017BA6"/>
    <w:rsid w:val="00020799"/>
    <w:rsid w:val="00021DAE"/>
    <w:rsid w:val="0002204B"/>
    <w:rsid w:val="0002234D"/>
    <w:rsid w:val="000228D7"/>
    <w:rsid w:val="00024F68"/>
    <w:rsid w:val="000275C6"/>
    <w:rsid w:val="000307F7"/>
    <w:rsid w:val="000322B0"/>
    <w:rsid w:val="00033DE4"/>
    <w:rsid w:val="00034C43"/>
    <w:rsid w:val="00036C10"/>
    <w:rsid w:val="00045170"/>
    <w:rsid w:val="00045A73"/>
    <w:rsid w:val="00050B1C"/>
    <w:rsid w:val="000531B4"/>
    <w:rsid w:val="000612EF"/>
    <w:rsid w:val="000703EF"/>
    <w:rsid w:val="00071504"/>
    <w:rsid w:val="00071C66"/>
    <w:rsid w:val="00072524"/>
    <w:rsid w:val="000725D6"/>
    <w:rsid w:val="00073BCE"/>
    <w:rsid w:val="00074596"/>
    <w:rsid w:val="00080A2B"/>
    <w:rsid w:val="0008529F"/>
    <w:rsid w:val="00090845"/>
    <w:rsid w:val="00095E17"/>
    <w:rsid w:val="000A1C1A"/>
    <w:rsid w:val="000A32D1"/>
    <w:rsid w:val="000A3683"/>
    <w:rsid w:val="000A7375"/>
    <w:rsid w:val="000B0B24"/>
    <w:rsid w:val="000B246D"/>
    <w:rsid w:val="000C31A5"/>
    <w:rsid w:val="000C3741"/>
    <w:rsid w:val="000C725B"/>
    <w:rsid w:val="000D0372"/>
    <w:rsid w:val="000D5A3D"/>
    <w:rsid w:val="000D5E9C"/>
    <w:rsid w:val="000E04A4"/>
    <w:rsid w:val="000E0780"/>
    <w:rsid w:val="000E15A3"/>
    <w:rsid w:val="000E2C2C"/>
    <w:rsid w:val="000E391C"/>
    <w:rsid w:val="000E4856"/>
    <w:rsid w:val="000E712E"/>
    <w:rsid w:val="000E7600"/>
    <w:rsid w:val="000E7947"/>
    <w:rsid w:val="000F1F79"/>
    <w:rsid w:val="000F2935"/>
    <w:rsid w:val="000F3869"/>
    <w:rsid w:val="000F6EF7"/>
    <w:rsid w:val="00101005"/>
    <w:rsid w:val="0010383C"/>
    <w:rsid w:val="00104C31"/>
    <w:rsid w:val="00104EDC"/>
    <w:rsid w:val="00104FF0"/>
    <w:rsid w:val="00106C2E"/>
    <w:rsid w:val="00106D32"/>
    <w:rsid w:val="0010777D"/>
    <w:rsid w:val="00110FA1"/>
    <w:rsid w:val="001118FC"/>
    <w:rsid w:val="00112B8D"/>
    <w:rsid w:val="00112ED4"/>
    <w:rsid w:val="00113F42"/>
    <w:rsid w:val="00120534"/>
    <w:rsid w:val="00121377"/>
    <w:rsid w:val="001335AB"/>
    <w:rsid w:val="00136BC0"/>
    <w:rsid w:val="00136FF3"/>
    <w:rsid w:val="00137524"/>
    <w:rsid w:val="00141325"/>
    <w:rsid w:val="00141881"/>
    <w:rsid w:val="00141F30"/>
    <w:rsid w:val="00143CE1"/>
    <w:rsid w:val="00151498"/>
    <w:rsid w:val="00151A83"/>
    <w:rsid w:val="001522AB"/>
    <w:rsid w:val="001532CF"/>
    <w:rsid w:val="001543CE"/>
    <w:rsid w:val="001544E6"/>
    <w:rsid w:val="00154F8D"/>
    <w:rsid w:val="00157E58"/>
    <w:rsid w:val="00160EDC"/>
    <w:rsid w:val="001611EB"/>
    <w:rsid w:val="00161256"/>
    <w:rsid w:val="00166186"/>
    <w:rsid w:val="001668C3"/>
    <w:rsid w:val="00170001"/>
    <w:rsid w:val="00172492"/>
    <w:rsid w:val="0017478D"/>
    <w:rsid w:val="001749ED"/>
    <w:rsid w:val="001758BD"/>
    <w:rsid w:val="00176061"/>
    <w:rsid w:val="00177BFF"/>
    <w:rsid w:val="00182A5E"/>
    <w:rsid w:val="0018443B"/>
    <w:rsid w:val="0018446B"/>
    <w:rsid w:val="00186165"/>
    <w:rsid w:val="00187AA2"/>
    <w:rsid w:val="00192235"/>
    <w:rsid w:val="00193C31"/>
    <w:rsid w:val="00193D07"/>
    <w:rsid w:val="00194126"/>
    <w:rsid w:val="00194C2B"/>
    <w:rsid w:val="00194C2F"/>
    <w:rsid w:val="001952FB"/>
    <w:rsid w:val="001956FA"/>
    <w:rsid w:val="00197DCE"/>
    <w:rsid w:val="00197E79"/>
    <w:rsid w:val="001A1C81"/>
    <w:rsid w:val="001A2B39"/>
    <w:rsid w:val="001A33B9"/>
    <w:rsid w:val="001A49FD"/>
    <w:rsid w:val="001A5135"/>
    <w:rsid w:val="001A6F33"/>
    <w:rsid w:val="001B1B8B"/>
    <w:rsid w:val="001B2CCE"/>
    <w:rsid w:val="001B3798"/>
    <w:rsid w:val="001B5654"/>
    <w:rsid w:val="001B566F"/>
    <w:rsid w:val="001B664D"/>
    <w:rsid w:val="001B777B"/>
    <w:rsid w:val="001D06B4"/>
    <w:rsid w:val="001D088F"/>
    <w:rsid w:val="001D2F04"/>
    <w:rsid w:val="001D3094"/>
    <w:rsid w:val="001D3A5E"/>
    <w:rsid w:val="001D3B42"/>
    <w:rsid w:val="001D53E1"/>
    <w:rsid w:val="001D7828"/>
    <w:rsid w:val="001E25F3"/>
    <w:rsid w:val="001E644B"/>
    <w:rsid w:val="001E7057"/>
    <w:rsid w:val="001F5859"/>
    <w:rsid w:val="001F7153"/>
    <w:rsid w:val="002012D0"/>
    <w:rsid w:val="0020183A"/>
    <w:rsid w:val="002053CD"/>
    <w:rsid w:val="00207AF5"/>
    <w:rsid w:val="00210870"/>
    <w:rsid w:val="00211114"/>
    <w:rsid w:val="00212D7D"/>
    <w:rsid w:val="002137D7"/>
    <w:rsid w:val="00214979"/>
    <w:rsid w:val="00216141"/>
    <w:rsid w:val="002168B2"/>
    <w:rsid w:val="002215BD"/>
    <w:rsid w:val="002234EB"/>
    <w:rsid w:val="00223513"/>
    <w:rsid w:val="00240047"/>
    <w:rsid w:val="00242C5E"/>
    <w:rsid w:val="00243B41"/>
    <w:rsid w:val="00245281"/>
    <w:rsid w:val="00246ECE"/>
    <w:rsid w:val="0025315E"/>
    <w:rsid w:val="002559B3"/>
    <w:rsid w:val="00256448"/>
    <w:rsid w:val="00257A67"/>
    <w:rsid w:val="0026188F"/>
    <w:rsid w:val="00262D0B"/>
    <w:rsid w:val="00265FA2"/>
    <w:rsid w:val="00267063"/>
    <w:rsid w:val="00270AB0"/>
    <w:rsid w:val="00276BFF"/>
    <w:rsid w:val="00285605"/>
    <w:rsid w:val="00287468"/>
    <w:rsid w:val="00290FBA"/>
    <w:rsid w:val="0029589A"/>
    <w:rsid w:val="0029633A"/>
    <w:rsid w:val="0029678A"/>
    <w:rsid w:val="00296B18"/>
    <w:rsid w:val="002A0020"/>
    <w:rsid w:val="002A1A9E"/>
    <w:rsid w:val="002A1E0A"/>
    <w:rsid w:val="002A2333"/>
    <w:rsid w:val="002A342E"/>
    <w:rsid w:val="002A7B9E"/>
    <w:rsid w:val="002B3DEF"/>
    <w:rsid w:val="002B575A"/>
    <w:rsid w:val="002C0F76"/>
    <w:rsid w:val="002C5392"/>
    <w:rsid w:val="002C6053"/>
    <w:rsid w:val="002C7AEF"/>
    <w:rsid w:val="002D0BE0"/>
    <w:rsid w:val="002D13C4"/>
    <w:rsid w:val="002D2484"/>
    <w:rsid w:val="002D6553"/>
    <w:rsid w:val="002E198E"/>
    <w:rsid w:val="002E2E58"/>
    <w:rsid w:val="002F4ED3"/>
    <w:rsid w:val="00302D39"/>
    <w:rsid w:val="0030401C"/>
    <w:rsid w:val="003153FD"/>
    <w:rsid w:val="00316243"/>
    <w:rsid w:val="00317DF7"/>
    <w:rsid w:val="00323D11"/>
    <w:rsid w:val="0032499E"/>
    <w:rsid w:val="003267EF"/>
    <w:rsid w:val="003270B3"/>
    <w:rsid w:val="00333823"/>
    <w:rsid w:val="00333DE2"/>
    <w:rsid w:val="00334739"/>
    <w:rsid w:val="00335FA1"/>
    <w:rsid w:val="00336F85"/>
    <w:rsid w:val="003421A9"/>
    <w:rsid w:val="003421CD"/>
    <w:rsid w:val="0034407D"/>
    <w:rsid w:val="003443A4"/>
    <w:rsid w:val="00347689"/>
    <w:rsid w:val="0035041D"/>
    <w:rsid w:val="003519B5"/>
    <w:rsid w:val="0035342F"/>
    <w:rsid w:val="003541CD"/>
    <w:rsid w:val="003569AB"/>
    <w:rsid w:val="00357569"/>
    <w:rsid w:val="003611B8"/>
    <w:rsid w:val="00361BC4"/>
    <w:rsid w:val="003637D6"/>
    <w:rsid w:val="0037059C"/>
    <w:rsid w:val="00373828"/>
    <w:rsid w:val="003744C1"/>
    <w:rsid w:val="00375201"/>
    <w:rsid w:val="0037521B"/>
    <w:rsid w:val="0037720D"/>
    <w:rsid w:val="00382BB4"/>
    <w:rsid w:val="00386332"/>
    <w:rsid w:val="00387D8F"/>
    <w:rsid w:val="00390AB1"/>
    <w:rsid w:val="0039139D"/>
    <w:rsid w:val="00391F50"/>
    <w:rsid w:val="0039257B"/>
    <w:rsid w:val="00392F77"/>
    <w:rsid w:val="00394645"/>
    <w:rsid w:val="00395ACC"/>
    <w:rsid w:val="00397BCF"/>
    <w:rsid w:val="003A0329"/>
    <w:rsid w:val="003A03AB"/>
    <w:rsid w:val="003A0EAC"/>
    <w:rsid w:val="003A1A52"/>
    <w:rsid w:val="003A1A89"/>
    <w:rsid w:val="003A5874"/>
    <w:rsid w:val="003A77AC"/>
    <w:rsid w:val="003B26CC"/>
    <w:rsid w:val="003B6D34"/>
    <w:rsid w:val="003C0F14"/>
    <w:rsid w:val="003C25FD"/>
    <w:rsid w:val="003C26B3"/>
    <w:rsid w:val="003C2AB7"/>
    <w:rsid w:val="003C2B2C"/>
    <w:rsid w:val="003C2B9A"/>
    <w:rsid w:val="003C2D9C"/>
    <w:rsid w:val="003C3A5D"/>
    <w:rsid w:val="003D2498"/>
    <w:rsid w:val="003D262F"/>
    <w:rsid w:val="003D32E5"/>
    <w:rsid w:val="003D4CDA"/>
    <w:rsid w:val="003D6D4D"/>
    <w:rsid w:val="003E1694"/>
    <w:rsid w:val="003E7F53"/>
    <w:rsid w:val="003F03ED"/>
    <w:rsid w:val="003F1F1A"/>
    <w:rsid w:val="0040107F"/>
    <w:rsid w:val="0040210D"/>
    <w:rsid w:val="004028CF"/>
    <w:rsid w:val="0040346F"/>
    <w:rsid w:val="00403B43"/>
    <w:rsid w:val="0040781E"/>
    <w:rsid w:val="0041163A"/>
    <w:rsid w:val="00412B00"/>
    <w:rsid w:val="00414005"/>
    <w:rsid w:val="004141BE"/>
    <w:rsid w:val="004159EB"/>
    <w:rsid w:val="00415EC6"/>
    <w:rsid w:val="0041744C"/>
    <w:rsid w:val="00417A9E"/>
    <w:rsid w:val="0042181F"/>
    <w:rsid w:val="00422514"/>
    <w:rsid w:val="0042351C"/>
    <w:rsid w:val="00424A16"/>
    <w:rsid w:val="004251C2"/>
    <w:rsid w:val="00425AEA"/>
    <w:rsid w:val="00431D83"/>
    <w:rsid w:val="00435515"/>
    <w:rsid w:val="004428D3"/>
    <w:rsid w:val="00451466"/>
    <w:rsid w:val="00453604"/>
    <w:rsid w:val="0045418B"/>
    <w:rsid w:val="00455314"/>
    <w:rsid w:val="004553DB"/>
    <w:rsid w:val="00455A49"/>
    <w:rsid w:val="0046180F"/>
    <w:rsid w:val="004631BA"/>
    <w:rsid w:val="0046430A"/>
    <w:rsid w:val="00467DAC"/>
    <w:rsid w:val="00472E1F"/>
    <w:rsid w:val="0048216B"/>
    <w:rsid w:val="0048249E"/>
    <w:rsid w:val="004843E5"/>
    <w:rsid w:val="00484DE5"/>
    <w:rsid w:val="004854EF"/>
    <w:rsid w:val="004855A2"/>
    <w:rsid w:val="00486E3C"/>
    <w:rsid w:val="004871B9"/>
    <w:rsid w:val="0048728B"/>
    <w:rsid w:val="004905E6"/>
    <w:rsid w:val="00490DEE"/>
    <w:rsid w:val="00491182"/>
    <w:rsid w:val="00492AE1"/>
    <w:rsid w:val="00493094"/>
    <w:rsid w:val="00494DCE"/>
    <w:rsid w:val="00495842"/>
    <w:rsid w:val="004970FF"/>
    <w:rsid w:val="004979CC"/>
    <w:rsid w:val="004A4328"/>
    <w:rsid w:val="004A47F4"/>
    <w:rsid w:val="004A4FE9"/>
    <w:rsid w:val="004B058A"/>
    <w:rsid w:val="004B22B7"/>
    <w:rsid w:val="004B23A5"/>
    <w:rsid w:val="004B30EF"/>
    <w:rsid w:val="004B5F58"/>
    <w:rsid w:val="004C1640"/>
    <w:rsid w:val="004C3921"/>
    <w:rsid w:val="004C4CED"/>
    <w:rsid w:val="004C5796"/>
    <w:rsid w:val="004C7CB5"/>
    <w:rsid w:val="004D7C48"/>
    <w:rsid w:val="004E25B4"/>
    <w:rsid w:val="004E2BAE"/>
    <w:rsid w:val="004F5A3C"/>
    <w:rsid w:val="00501864"/>
    <w:rsid w:val="00502FB1"/>
    <w:rsid w:val="00503C22"/>
    <w:rsid w:val="00505441"/>
    <w:rsid w:val="00506E58"/>
    <w:rsid w:val="0050705B"/>
    <w:rsid w:val="00507AFF"/>
    <w:rsid w:val="00507E14"/>
    <w:rsid w:val="00507E91"/>
    <w:rsid w:val="00510196"/>
    <w:rsid w:val="005111D4"/>
    <w:rsid w:val="0051182A"/>
    <w:rsid w:val="00515E8C"/>
    <w:rsid w:val="00520D6C"/>
    <w:rsid w:val="0052174B"/>
    <w:rsid w:val="00521A5D"/>
    <w:rsid w:val="00521E4B"/>
    <w:rsid w:val="0052596C"/>
    <w:rsid w:val="00527588"/>
    <w:rsid w:val="00532758"/>
    <w:rsid w:val="00532E65"/>
    <w:rsid w:val="00532F3D"/>
    <w:rsid w:val="00535EA6"/>
    <w:rsid w:val="00540505"/>
    <w:rsid w:val="00541344"/>
    <w:rsid w:val="00541367"/>
    <w:rsid w:val="00542933"/>
    <w:rsid w:val="00542A6C"/>
    <w:rsid w:val="0054384C"/>
    <w:rsid w:val="005448D4"/>
    <w:rsid w:val="00545A43"/>
    <w:rsid w:val="00546C94"/>
    <w:rsid w:val="0055102D"/>
    <w:rsid w:val="00553682"/>
    <w:rsid w:val="005567FF"/>
    <w:rsid w:val="0055714B"/>
    <w:rsid w:val="00560799"/>
    <w:rsid w:val="00562F6F"/>
    <w:rsid w:val="00563F44"/>
    <w:rsid w:val="00565AD4"/>
    <w:rsid w:val="00567303"/>
    <w:rsid w:val="0057237E"/>
    <w:rsid w:val="005727B5"/>
    <w:rsid w:val="00572AF0"/>
    <w:rsid w:val="00572D3E"/>
    <w:rsid w:val="0057394A"/>
    <w:rsid w:val="00575FE3"/>
    <w:rsid w:val="00577B20"/>
    <w:rsid w:val="00580414"/>
    <w:rsid w:val="00584A8D"/>
    <w:rsid w:val="00584E6E"/>
    <w:rsid w:val="0059083D"/>
    <w:rsid w:val="00597084"/>
    <w:rsid w:val="00597091"/>
    <w:rsid w:val="005A0504"/>
    <w:rsid w:val="005A123D"/>
    <w:rsid w:val="005A1A9B"/>
    <w:rsid w:val="005A3927"/>
    <w:rsid w:val="005A546E"/>
    <w:rsid w:val="005A58B2"/>
    <w:rsid w:val="005A5B59"/>
    <w:rsid w:val="005A601F"/>
    <w:rsid w:val="005A6429"/>
    <w:rsid w:val="005A7802"/>
    <w:rsid w:val="005B04D5"/>
    <w:rsid w:val="005B16ED"/>
    <w:rsid w:val="005B3840"/>
    <w:rsid w:val="005C0C61"/>
    <w:rsid w:val="005C2B94"/>
    <w:rsid w:val="005C3BDC"/>
    <w:rsid w:val="005C439B"/>
    <w:rsid w:val="005C4C38"/>
    <w:rsid w:val="005C5665"/>
    <w:rsid w:val="005C6C7D"/>
    <w:rsid w:val="005D0813"/>
    <w:rsid w:val="005D0E1E"/>
    <w:rsid w:val="005D13D3"/>
    <w:rsid w:val="005D244B"/>
    <w:rsid w:val="005D7A26"/>
    <w:rsid w:val="005E171F"/>
    <w:rsid w:val="005E2564"/>
    <w:rsid w:val="005E47AF"/>
    <w:rsid w:val="005F041E"/>
    <w:rsid w:val="005F1F05"/>
    <w:rsid w:val="005F4E79"/>
    <w:rsid w:val="005F696D"/>
    <w:rsid w:val="005F7715"/>
    <w:rsid w:val="00603BED"/>
    <w:rsid w:val="00604EB0"/>
    <w:rsid w:val="006050C6"/>
    <w:rsid w:val="006057AF"/>
    <w:rsid w:val="00605ADF"/>
    <w:rsid w:val="0061435B"/>
    <w:rsid w:val="006168DA"/>
    <w:rsid w:val="00617C22"/>
    <w:rsid w:val="00623EB2"/>
    <w:rsid w:val="00624855"/>
    <w:rsid w:val="006357B1"/>
    <w:rsid w:val="00637D86"/>
    <w:rsid w:val="006400A1"/>
    <w:rsid w:val="00641248"/>
    <w:rsid w:val="00643E4A"/>
    <w:rsid w:val="00646EEC"/>
    <w:rsid w:val="00651E28"/>
    <w:rsid w:val="00651F78"/>
    <w:rsid w:val="00651FC9"/>
    <w:rsid w:val="006533CD"/>
    <w:rsid w:val="006542E2"/>
    <w:rsid w:val="0066295A"/>
    <w:rsid w:val="00662F86"/>
    <w:rsid w:val="006630E4"/>
    <w:rsid w:val="00664A6D"/>
    <w:rsid w:val="00665FFE"/>
    <w:rsid w:val="00667CA9"/>
    <w:rsid w:val="00667D8B"/>
    <w:rsid w:val="00670297"/>
    <w:rsid w:val="00670DDC"/>
    <w:rsid w:val="00672D69"/>
    <w:rsid w:val="0067338A"/>
    <w:rsid w:val="0067355B"/>
    <w:rsid w:val="00674769"/>
    <w:rsid w:val="006756C8"/>
    <w:rsid w:val="00675E6C"/>
    <w:rsid w:val="00675FB0"/>
    <w:rsid w:val="006778CF"/>
    <w:rsid w:val="00682175"/>
    <w:rsid w:val="0068585E"/>
    <w:rsid w:val="0068789E"/>
    <w:rsid w:val="00691F67"/>
    <w:rsid w:val="0069248B"/>
    <w:rsid w:val="0069255F"/>
    <w:rsid w:val="00692AA7"/>
    <w:rsid w:val="00693237"/>
    <w:rsid w:val="00694F8D"/>
    <w:rsid w:val="0069663B"/>
    <w:rsid w:val="006A137E"/>
    <w:rsid w:val="006A2E2A"/>
    <w:rsid w:val="006A48D5"/>
    <w:rsid w:val="006A4FF3"/>
    <w:rsid w:val="006A651A"/>
    <w:rsid w:val="006B039D"/>
    <w:rsid w:val="006B059C"/>
    <w:rsid w:val="006B28DA"/>
    <w:rsid w:val="006B3819"/>
    <w:rsid w:val="006B4A54"/>
    <w:rsid w:val="006B662A"/>
    <w:rsid w:val="006B6AB0"/>
    <w:rsid w:val="006B74FC"/>
    <w:rsid w:val="006C3CEB"/>
    <w:rsid w:val="006C643C"/>
    <w:rsid w:val="006C6647"/>
    <w:rsid w:val="006C6DB3"/>
    <w:rsid w:val="006C7C2F"/>
    <w:rsid w:val="006D593B"/>
    <w:rsid w:val="006D6AFC"/>
    <w:rsid w:val="006E0D5E"/>
    <w:rsid w:val="006E2620"/>
    <w:rsid w:val="006E5842"/>
    <w:rsid w:val="006E6643"/>
    <w:rsid w:val="006F1A22"/>
    <w:rsid w:val="006F2378"/>
    <w:rsid w:val="006F7E58"/>
    <w:rsid w:val="0070129F"/>
    <w:rsid w:val="00702D7D"/>
    <w:rsid w:val="007032E1"/>
    <w:rsid w:val="00704566"/>
    <w:rsid w:val="00705865"/>
    <w:rsid w:val="00705CA9"/>
    <w:rsid w:val="00711C82"/>
    <w:rsid w:val="00713066"/>
    <w:rsid w:val="00713C4F"/>
    <w:rsid w:val="00713FB3"/>
    <w:rsid w:val="007145F3"/>
    <w:rsid w:val="007177E5"/>
    <w:rsid w:val="007202FF"/>
    <w:rsid w:val="00724FAF"/>
    <w:rsid w:val="00731BD6"/>
    <w:rsid w:val="0073219F"/>
    <w:rsid w:val="00732A9F"/>
    <w:rsid w:val="00736687"/>
    <w:rsid w:val="00737931"/>
    <w:rsid w:val="00741097"/>
    <w:rsid w:val="007422B6"/>
    <w:rsid w:val="007424B0"/>
    <w:rsid w:val="00745403"/>
    <w:rsid w:val="00745EF4"/>
    <w:rsid w:val="00747CD7"/>
    <w:rsid w:val="00750A1C"/>
    <w:rsid w:val="007516D2"/>
    <w:rsid w:val="00752C3D"/>
    <w:rsid w:val="00754FBE"/>
    <w:rsid w:val="00755447"/>
    <w:rsid w:val="00755AA5"/>
    <w:rsid w:val="0077275B"/>
    <w:rsid w:val="00773618"/>
    <w:rsid w:val="00773D63"/>
    <w:rsid w:val="00776FFF"/>
    <w:rsid w:val="007823F3"/>
    <w:rsid w:val="00782739"/>
    <w:rsid w:val="0078301E"/>
    <w:rsid w:val="00783112"/>
    <w:rsid w:val="00784A86"/>
    <w:rsid w:val="00791558"/>
    <w:rsid w:val="007971DD"/>
    <w:rsid w:val="007A398F"/>
    <w:rsid w:val="007A5847"/>
    <w:rsid w:val="007A5C6E"/>
    <w:rsid w:val="007A6FBF"/>
    <w:rsid w:val="007B0DE0"/>
    <w:rsid w:val="007B207B"/>
    <w:rsid w:val="007B2671"/>
    <w:rsid w:val="007B2E26"/>
    <w:rsid w:val="007B52C8"/>
    <w:rsid w:val="007B7D24"/>
    <w:rsid w:val="007C372F"/>
    <w:rsid w:val="007C44D0"/>
    <w:rsid w:val="007C4BC9"/>
    <w:rsid w:val="007D17C0"/>
    <w:rsid w:val="007D23E8"/>
    <w:rsid w:val="007D2F65"/>
    <w:rsid w:val="007E0F8F"/>
    <w:rsid w:val="007E1436"/>
    <w:rsid w:val="007E2B03"/>
    <w:rsid w:val="007E611C"/>
    <w:rsid w:val="007E7209"/>
    <w:rsid w:val="007F147A"/>
    <w:rsid w:val="007F49F0"/>
    <w:rsid w:val="007F7340"/>
    <w:rsid w:val="008048B5"/>
    <w:rsid w:val="00807A01"/>
    <w:rsid w:val="00807C5F"/>
    <w:rsid w:val="008100C3"/>
    <w:rsid w:val="008211EB"/>
    <w:rsid w:val="00821B04"/>
    <w:rsid w:val="00825EF3"/>
    <w:rsid w:val="0082655B"/>
    <w:rsid w:val="008273AA"/>
    <w:rsid w:val="00833930"/>
    <w:rsid w:val="00834819"/>
    <w:rsid w:val="00835748"/>
    <w:rsid w:val="0083612B"/>
    <w:rsid w:val="00836604"/>
    <w:rsid w:val="00836EE7"/>
    <w:rsid w:val="00840BBB"/>
    <w:rsid w:val="0084214D"/>
    <w:rsid w:val="00842FAC"/>
    <w:rsid w:val="00844FF3"/>
    <w:rsid w:val="0085354E"/>
    <w:rsid w:val="00861464"/>
    <w:rsid w:val="0086364B"/>
    <w:rsid w:val="00864F1D"/>
    <w:rsid w:val="008744FC"/>
    <w:rsid w:val="008858CB"/>
    <w:rsid w:val="00886093"/>
    <w:rsid w:val="00890FFE"/>
    <w:rsid w:val="00891B3D"/>
    <w:rsid w:val="0089217B"/>
    <w:rsid w:val="00893BE0"/>
    <w:rsid w:val="008A1490"/>
    <w:rsid w:val="008A3E30"/>
    <w:rsid w:val="008A4D9C"/>
    <w:rsid w:val="008B1946"/>
    <w:rsid w:val="008B3EF5"/>
    <w:rsid w:val="008B5F09"/>
    <w:rsid w:val="008B7FCC"/>
    <w:rsid w:val="008C0691"/>
    <w:rsid w:val="008C2500"/>
    <w:rsid w:val="008C2C15"/>
    <w:rsid w:val="008C5F9C"/>
    <w:rsid w:val="008C6587"/>
    <w:rsid w:val="008D1438"/>
    <w:rsid w:val="008D19B0"/>
    <w:rsid w:val="008D4561"/>
    <w:rsid w:val="008D7845"/>
    <w:rsid w:val="008D7A68"/>
    <w:rsid w:val="008E0AED"/>
    <w:rsid w:val="008E231F"/>
    <w:rsid w:val="008E29CB"/>
    <w:rsid w:val="008E2AC7"/>
    <w:rsid w:val="008E4AB5"/>
    <w:rsid w:val="008E78ED"/>
    <w:rsid w:val="008F0441"/>
    <w:rsid w:val="008F0A6E"/>
    <w:rsid w:val="008F2346"/>
    <w:rsid w:val="008F6291"/>
    <w:rsid w:val="008F72B0"/>
    <w:rsid w:val="009040B3"/>
    <w:rsid w:val="00906560"/>
    <w:rsid w:val="00907E18"/>
    <w:rsid w:val="009121D5"/>
    <w:rsid w:val="0091412C"/>
    <w:rsid w:val="00915292"/>
    <w:rsid w:val="00916997"/>
    <w:rsid w:val="00921EAD"/>
    <w:rsid w:val="00925F93"/>
    <w:rsid w:val="00926A5B"/>
    <w:rsid w:val="0093057A"/>
    <w:rsid w:val="00933EEA"/>
    <w:rsid w:val="009372D0"/>
    <w:rsid w:val="00937AD8"/>
    <w:rsid w:val="009411EF"/>
    <w:rsid w:val="0094246F"/>
    <w:rsid w:val="009427B8"/>
    <w:rsid w:val="00944226"/>
    <w:rsid w:val="00945D16"/>
    <w:rsid w:val="00946F4B"/>
    <w:rsid w:val="009478B3"/>
    <w:rsid w:val="009500CB"/>
    <w:rsid w:val="00956C8D"/>
    <w:rsid w:val="00957A01"/>
    <w:rsid w:val="00960B6F"/>
    <w:rsid w:val="0096257F"/>
    <w:rsid w:val="00962FBF"/>
    <w:rsid w:val="009637FD"/>
    <w:rsid w:val="00967160"/>
    <w:rsid w:val="00967277"/>
    <w:rsid w:val="009703F6"/>
    <w:rsid w:val="00970C31"/>
    <w:rsid w:val="0097107A"/>
    <w:rsid w:val="00972A32"/>
    <w:rsid w:val="00973824"/>
    <w:rsid w:val="009742BD"/>
    <w:rsid w:val="0097553E"/>
    <w:rsid w:val="00975CDB"/>
    <w:rsid w:val="00981825"/>
    <w:rsid w:val="00985815"/>
    <w:rsid w:val="0099145D"/>
    <w:rsid w:val="00991CB4"/>
    <w:rsid w:val="00994337"/>
    <w:rsid w:val="00997DBA"/>
    <w:rsid w:val="009A0115"/>
    <w:rsid w:val="009A4AA8"/>
    <w:rsid w:val="009A6F07"/>
    <w:rsid w:val="009B2EA3"/>
    <w:rsid w:val="009B711B"/>
    <w:rsid w:val="009C0CED"/>
    <w:rsid w:val="009C3493"/>
    <w:rsid w:val="009C5532"/>
    <w:rsid w:val="009D0D0B"/>
    <w:rsid w:val="009D3442"/>
    <w:rsid w:val="009D67ED"/>
    <w:rsid w:val="009D75B3"/>
    <w:rsid w:val="009E06AB"/>
    <w:rsid w:val="009E7DCA"/>
    <w:rsid w:val="009E7FE7"/>
    <w:rsid w:val="009F0738"/>
    <w:rsid w:val="009F2D0C"/>
    <w:rsid w:val="009F56F2"/>
    <w:rsid w:val="00A02559"/>
    <w:rsid w:val="00A060A2"/>
    <w:rsid w:val="00A063AA"/>
    <w:rsid w:val="00A078D8"/>
    <w:rsid w:val="00A07C98"/>
    <w:rsid w:val="00A12209"/>
    <w:rsid w:val="00A12816"/>
    <w:rsid w:val="00A144FF"/>
    <w:rsid w:val="00A14ECD"/>
    <w:rsid w:val="00A15ED5"/>
    <w:rsid w:val="00A17BBA"/>
    <w:rsid w:val="00A31EAA"/>
    <w:rsid w:val="00A3264C"/>
    <w:rsid w:val="00A33523"/>
    <w:rsid w:val="00A37345"/>
    <w:rsid w:val="00A419AC"/>
    <w:rsid w:val="00A424C6"/>
    <w:rsid w:val="00A42EBF"/>
    <w:rsid w:val="00A4524F"/>
    <w:rsid w:val="00A455A1"/>
    <w:rsid w:val="00A47970"/>
    <w:rsid w:val="00A50F0F"/>
    <w:rsid w:val="00A52CA9"/>
    <w:rsid w:val="00A530F6"/>
    <w:rsid w:val="00A5392C"/>
    <w:rsid w:val="00A5576A"/>
    <w:rsid w:val="00A66274"/>
    <w:rsid w:val="00A72ADA"/>
    <w:rsid w:val="00A7549F"/>
    <w:rsid w:val="00A75BE8"/>
    <w:rsid w:val="00A7651D"/>
    <w:rsid w:val="00A76DD5"/>
    <w:rsid w:val="00A81032"/>
    <w:rsid w:val="00A8278B"/>
    <w:rsid w:val="00A82FE6"/>
    <w:rsid w:val="00A83457"/>
    <w:rsid w:val="00A836CB"/>
    <w:rsid w:val="00A90D86"/>
    <w:rsid w:val="00A92143"/>
    <w:rsid w:val="00A92A5E"/>
    <w:rsid w:val="00A96E90"/>
    <w:rsid w:val="00A97A27"/>
    <w:rsid w:val="00A97CD5"/>
    <w:rsid w:val="00AA072A"/>
    <w:rsid w:val="00AA07CD"/>
    <w:rsid w:val="00AA6428"/>
    <w:rsid w:val="00AB0965"/>
    <w:rsid w:val="00AB0F8B"/>
    <w:rsid w:val="00AB10A0"/>
    <w:rsid w:val="00AB1536"/>
    <w:rsid w:val="00AB28E0"/>
    <w:rsid w:val="00AB7C6F"/>
    <w:rsid w:val="00AC187A"/>
    <w:rsid w:val="00AC1880"/>
    <w:rsid w:val="00AC4DB2"/>
    <w:rsid w:val="00AC5960"/>
    <w:rsid w:val="00AD1BC7"/>
    <w:rsid w:val="00AD2E3F"/>
    <w:rsid w:val="00AD3918"/>
    <w:rsid w:val="00AD58F5"/>
    <w:rsid w:val="00AD5DAC"/>
    <w:rsid w:val="00AD6E77"/>
    <w:rsid w:val="00AE02B9"/>
    <w:rsid w:val="00AE0933"/>
    <w:rsid w:val="00AE29A3"/>
    <w:rsid w:val="00AE3D50"/>
    <w:rsid w:val="00AE478C"/>
    <w:rsid w:val="00AE648F"/>
    <w:rsid w:val="00AE7C24"/>
    <w:rsid w:val="00AF232F"/>
    <w:rsid w:val="00AF236B"/>
    <w:rsid w:val="00AF2480"/>
    <w:rsid w:val="00AF421F"/>
    <w:rsid w:val="00AF4ACD"/>
    <w:rsid w:val="00AF4ECA"/>
    <w:rsid w:val="00B02A3F"/>
    <w:rsid w:val="00B02B54"/>
    <w:rsid w:val="00B0776E"/>
    <w:rsid w:val="00B12DEF"/>
    <w:rsid w:val="00B157F9"/>
    <w:rsid w:val="00B17533"/>
    <w:rsid w:val="00B21DB9"/>
    <w:rsid w:val="00B24CF0"/>
    <w:rsid w:val="00B26452"/>
    <w:rsid w:val="00B26E86"/>
    <w:rsid w:val="00B2723A"/>
    <w:rsid w:val="00B27F4E"/>
    <w:rsid w:val="00B307A8"/>
    <w:rsid w:val="00B30EC2"/>
    <w:rsid w:val="00B37217"/>
    <w:rsid w:val="00B40684"/>
    <w:rsid w:val="00B45D05"/>
    <w:rsid w:val="00B45EB9"/>
    <w:rsid w:val="00B517BC"/>
    <w:rsid w:val="00B6136C"/>
    <w:rsid w:val="00B7246A"/>
    <w:rsid w:val="00B74672"/>
    <w:rsid w:val="00B75C44"/>
    <w:rsid w:val="00B76675"/>
    <w:rsid w:val="00B8452A"/>
    <w:rsid w:val="00B8466E"/>
    <w:rsid w:val="00B86134"/>
    <w:rsid w:val="00B92463"/>
    <w:rsid w:val="00B93A7C"/>
    <w:rsid w:val="00B95E14"/>
    <w:rsid w:val="00B97D58"/>
    <w:rsid w:val="00BA286D"/>
    <w:rsid w:val="00BA616A"/>
    <w:rsid w:val="00BB0D9D"/>
    <w:rsid w:val="00BB1D17"/>
    <w:rsid w:val="00BB2872"/>
    <w:rsid w:val="00BB32D6"/>
    <w:rsid w:val="00BB470F"/>
    <w:rsid w:val="00BB71B6"/>
    <w:rsid w:val="00BC04EF"/>
    <w:rsid w:val="00BC0F02"/>
    <w:rsid w:val="00BC133A"/>
    <w:rsid w:val="00BC2AC5"/>
    <w:rsid w:val="00BC3872"/>
    <w:rsid w:val="00BC39CC"/>
    <w:rsid w:val="00BC4381"/>
    <w:rsid w:val="00BD2EC8"/>
    <w:rsid w:val="00BE1846"/>
    <w:rsid w:val="00BE371A"/>
    <w:rsid w:val="00BE521E"/>
    <w:rsid w:val="00BE7805"/>
    <w:rsid w:val="00BF084C"/>
    <w:rsid w:val="00BF2BAE"/>
    <w:rsid w:val="00BF34B2"/>
    <w:rsid w:val="00BF6A23"/>
    <w:rsid w:val="00BF6A97"/>
    <w:rsid w:val="00BF77A7"/>
    <w:rsid w:val="00C0363D"/>
    <w:rsid w:val="00C03B67"/>
    <w:rsid w:val="00C04EA4"/>
    <w:rsid w:val="00C116D4"/>
    <w:rsid w:val="00C15046"/>
    <w:rsid w:val="00C212BE"/>
    <w:rsid w:val="00C231D6"/>
    <w:rsid w:val="00C2411A"/>
    <w:rsid w:val="00C253E7"/>
    <w:rsid w:val="00C26187"/>
    <w:rsid w:val="00C26C6C"/>
    <w:rsid w:val="00C27DBB"/>
    <w:rsid w:val="00C33D6D"/>
    <w:rsid w:val="00C40C90"/>
    <w:rsid w:val="00C4224D"/>
    <w:rsid w:val="00C43353"/>
    <w:rsid w:val="00C47DA6"/>
    <w:rsid w:val="00C515C8"/>
    <w:rsid w:val="00C52383"/>
    <w:rsid w:val="00C54973"/>
    <w:rsid w:val="00C567A2"/>
    <w:rsid w:val="00C646B2"/>
    <w:rsid w:val="00C662FF"/>
    <w:rsid w:val="00C71025"/>
    <w:rsid w:val="00C727E5"/>
    <w:rsid w:val="00C7470F"/>
    <w:rsid w:val="00C76E5A"/>
    <w:rsid w:val="00C77A1F"/>
    <w:rsid w:val="00C83500"/>
    <w:rsid w:val="00C83F78"/>
    <w:rsid w:val="00C84689"/>
    <w:rsid w:val="00C90BEB"/>
    <w:rsid w:val="00C90C4A"/>
    <w:rsid w:val="00C95070"/>
    <w:rsid w:val="00CA1B3F"/>
    <w:rsid w:val="00CA29A7"/>
    <w:rsid w:val="00CA448B"/>
    <w:rsid w:val="00CA4686"/>
    <w:rsid w:val="00CA604A"/>
    <w:rsid w:val="00CA650F"/>
    <w:rsid w:val="00CA6611"/>
    <w:rsid w:val="00CA7F99"/>
    <w:rsid w:val="00CB10BA"/>
    <w:rsid w:val="00CC1069"/>
    <w:rsid w:val="00CC2FA6"/>
    <w:rsid w:val="00CC4EEE"/>
    <w:rsid w:val="00CC741C"/>
    <w:rsid w:val="00CD16E9"/>
    <w:rsid w:val="00CD218D"/>
    <w:rsid w:val="00CD3E64"/>
    <w:rsid w:val="00CD62C4"/>
    <w:rsid w:val="00CD71F5"/>
    <w:rsid w:val="00CE1E78"/>
    <w:rsid w:val="00CE238A"/>
    <w:rsid w:val="00CE4929"/>
    <w:rsid w:val="00CE67FC"/>
    <w:rsid w:val="00CF3FB6"/>
    <w:rsid w:val="00CF6725"/>
    <w:rsid w:val="00D022B6"/>
    <w:rsid w:val="00D03368"/>
    <w:rsid w:val="00D04315"/>
    <w:rsid w:val="00D04EAF"/>
    <w:rsid w:val="00D11F57"/>
    <w:rsid w:val="00D21205"/>
    <w:rsid w:val="00D21C10"/>
    <w:rsid w:val="00D26854"/>
    <w:rsid w:val="00D308F7"/>
    <w:rsid w:val="00D35E14"/>
    <w:rsid w:val="00D35E42"/>
    <w:rsid w:val="00D36C70"/>
    <w:rsid w:val="00D37F7E"/>
    <w:rsid w:val="00D40ABA"/>
    <w:rsid w:val="00D41A5F"/>
    <w:rsid w:val="00D42009"/>
    <w:rsid w:val="00D428BD"/>
    <w:rsid w:val="00D43248"/>
    <w:rsid w:val="00D4400B"/>
    <w:rsid w:val="00D4496A"/>
    <w:rsid w:val="00D46CD3"/>
    <w:rsid w:val="00D47FF1"/>
    <w:rsid w:val="00D5255C"/>
    <w:rsid w:val="00D539BB"/>
    <w:rsid w:val="00D553D6"/>
    <w:rsid w:val="00D56C8E"/>
    <w:rsid w:val="00D60D07"/>
    <w:rsid w:val="00D6415C"/>
    <w:rsid w:val="00D7310B"/>
    <w:rsid w:val="00D7554B"/>
    <w:rsid w:val="00D76EA4"/>
    <w:rsid w:val="00D814A8"/>
    <w:rsid w:val="00D81CDF"/>
    <w:rsid w:val="00D8271E"/>
    <w:rsid w:val="00D85286"/>
    <w:rsid w:val="00D878B7"/>
    <w:rsid w:val="00D90290"/>
    <w:rsid w:val="00D90D83"/>
    <w:rsid w:val="00D95E03"/>
    <w:rsid w:val="00D965B9"/>
    <w:rsid w:val="00DA2CE9"/>
    <w:rsid w:val="00DA3A6F"/>
    <w:rsid w:val="00DA43C1"/>
    <w:rsid w:val="00DA4F74"/>
    <w:rsid w:val="00DA666B"/>
    <w:rsid w:val="00DB0099"/>
    <w:rsid w:val="00DB337A"/>
    <w:rsid w:val="00DB4CEF"/>
    <w:rsid w:val="00DB67F2"/>
    <w:rsid w:val="00DB6966"/>
    <w:rsid w:val="00DB7762"/>
    <w:rsid w:val="00DC13BD"/>
    <w:rsid w:val="00DC259E"/>
    <w:rsid w:val="00DC50AE"/>
    <w:rsid w:val="00DC56BD"/>
    <w:rsid w:val="00DC73E1"/>
    <w:rsid w:val="00DE2AFA"/>
    <w:rsid w:val="00DE6B2B"/>
    <w:rsid w:val="00DE74FA"/>
    <w:rsid w:val="00DE7662"/>
    <w:rsid w:val="00DE77D7"/>
    <w:rsid w:val="00DF0503"/>
    <w:rsid w:val="00DF092A"/>
    <w:rsid w:val="00DF0C9F"/>
    <w:rsid w:val="00DF0D0F"/>
    <w:rsid w:val="00DF10CA"/>
    <w:rsid w:val="00DF2887"/>
    <w:rsid w:val="00DF4702"/>
    <w:rsid w:val="00DF5F0C"/>
    <w:rsid w:val="00E011D6"/>
    <w:rsid w:val="00E041EC"/>
    <w:rsid w:val="00E05E3C"/>
    <w:rsid w:val="00E05EA5"/>
    <w:rsid w:val="00E10095"/>
    <w:rsid w:val="00E10DB6"/>
    <w:rsid w:val="00E11288"/>
    <w:rsid w:val="00E14D12"/>
    <w:rsid w:val="00E20694"/>
    <w:rsid w:val="00E21BBC"/>
    <w:rsid w:val="00E31700"/>
    <w:rsid w:val="00E32CAC"/>
    <w:rsid w:val="00E3402D"/>
    <w:rsid w:val="00E35603"/>
    <w:rsid w:val="00E36C00"/>
    <w:rsid w:val="00E36CF8"/>
    <w:rsid w:val="00E37555"/>
    <w:rsid w:val="00E41199"/>
    <w:rsid w:val="00E45848"/>
    <w:rsid w:val="00E47772"/>
    <w:rsid w:val="00E47D89"/>
    <w:rsid w:val="00E5139B"/>
    <w:rsid w:val="00E531B7"/>
    <w:rsid w:val="00E56B56"/>
    <w:rsid w:val="00E6376D"/>
    <w:rsid w:val="00E64CDE"/>
    <w:rsid w:val="00E7213F"/>
    <w:rsid w:val="00E745CA"/>
    <w:rsid w:val="00E75AAC"/>
    <w:rsid w:val="00E83E5C"/>
    <w:rsid w:val="00E853BF"/>
    <w:rsid w:val="00E87AF4"/>
    <w:rsid w:val="00E91143"/>
    <w:rsid w:val="00E91917"/>
    <w:rsid w:val="00E921B2"/>
    <w:rsid w:val="00E97B3B"/>
    <w:rsid w:val="00EA033C"/>
    <w:rsid w:val="00EA1ACC"/>
    <w:rsid w:val="00EA21A8"/>
    <w:rsid w:val="00EA6737"/>
    <w:rsid w:val="00EA7854"/>
    <w:rsid w:val="00EB1896"/>
    <w:rsid w:val="00EB1C5B"/>
    <w:rsid w:val="00EB2AD0"/>
    <w:rsid w:val="00EB3CB1"/>
    <w:rsid w:val="00EB61CB"/>
    <w:rsid w:val="00EB7996"/>
    <w:rsid w:val="00EC5668"/>
    <w:rsid w:val="00EC75EC"/>
    <w:rsid w:val="00ED0BA9"/>
    <w:rsid w:val="00ED1990"/>
    <w:rsid w:val="00ED324D"/>
    <w:rsid w:val="00ED3808"/>
    <w:rsid w:val="00ED3EC9"/>
    <w:rsid w:val="00ED42FD"/>
    <w:rsid w:val="00EE047C"/>
    <w:rsid w:val="00EE36C4"/>
    <w:rsid w:val="00EE3CE7"/>
    <w:rsid w:val="00EE4C0B"/>
    <w:rsid w:val="00EF2F4C"/>
    <w:rsid w:val="00EF49FE"/>
    <w:rsid w:val="00EF7455"/>
    <w:rsid w:val="00F00453"/>
    <w:rsid w:val="00F00A34"/>
    <w:rsid w:val="00F02162"/>
    <w:rsid w:val="00F045E7"/>
    <w:rsid w:val="00F04DDA"/>
    <w:rsid w:val="00F051C0"/>
    <w:rsid w:val="00F132ED"/>
    <w:rsid w:val="00F17B66"/>
    <w:rsid w:val="00F223FF"/>
    <w:rsid w:val="00F233D0"/>
    <w:rsid w:val="00F257A6"/>
    <w:rsid w:val="00F27C93"/>
    <w:rsid w:val="00F300E5"/>
    <w:rsid w:val="00F30CA1"/>
    <w:rsid w:val="00F32D0E"/>
    <w:rsid w:val="00F33D42"/>
    <w:rsid w:val="00F34A0B"/>
    <w:rsid w:val="00F36549"/>
    <w:rsid w:val="00F3732C"/>
    <w:rsid w:val="00F405D0"/>
    <w:rsid w:val="00F40D91"/>
    <w:rsid w:val="00F50BD8"/>
    <w:rsid w:val="00F536C3"/>
    <w:rsid w:val="00F54882"/>
    <w:rsid w:val="00F5693F"/>
    <w:rsid w:val="00F56E9F"/>
    <w:rsid w:val="00F62912"/>
    <w:rsid w:val="00F649BE"/>
    <w:rsid w:val="00F65CB2"/>
    <w:rsid w:val="00F66736"/>
    <w:rsid w:val="00F66E89"/>
    <w:rsid w:val="00F674F5"/>
    <w:rsid w:val="00F67E35"/>
    <w:rsid w:val="00F70348"/>
    <w:rsid w:val="00F759E8"/>
    <w:rsid w:val="00F7642D"/>
    <w:rsid w:val="00F773A7"/>
    <w:rsid w:val="00F77D26"/>
    <w:rsid w:val="00F8392F"/>
    <w:rsid w:val="00F842D6"/>
    <w:rsid w:val="00F876D1"/>
    <w:rsid w:val="00F93785"/>
    <w:rsid w:val="00F95401"/>
    <w:rsid w:val="00F955F0"/>
    <w:rsid w:val="00F9647B"/>
    <w:rsid w:val="00FA042D"/>
    <w:rsid w:val="00FA0C93"/>
    <w:rsid w:val="00FA1717"/>
    <w:rsid w:val="00FA3030"/>
    <w:rsid w:val="00FA643F"/>
    <w:rsid w:val="00FB019C"/>
    <w:rsid w:val="00FB0F70"/>
    <w:rsid w:val="00FB2015"/>
    <w:rsid w:val="00FB2A6F"/>
    <w:rsid w:val="00FB3058"/>
    <w:rsid w:val="00FC01C1"/>
    <w:rsid w:val="00FC219F"/>
    <w:rsid w:val="00FC3CD4"/>
    <w:rsid w:val="00FC5CE0"/>
    <w:rsid w:val="00FC7219"/>
    <w:rsid w:val="00FD0169"/>
    <w:rsid w:val="00FD01CC"/>
    <w:rsid w:val="00FD1984"/>
    <w:rsid w:val="00FD3F1F"/>
    <w:rsid w:val="00FD60F5"/>
    <w:rsid w:val="00FD688C"/>
    <w:rsid w:val="00FD694C"/>
    <w:rsid w:val="00FE165D"/>
    <w:rsid w:val="00FE2157"/>
    <w:rsid w:val="00FE2780"/>
    <w:rsid w:val="00FE6B4D"/>
    <w:rsid w:val="00FE7EAA"/>
    <w:rsid w:val="00FF1D38"/>
    <w:rsid w:val="00FF2C22"/>
    <w:rsid w:val="00FF3239"/>
    <w:rsid w:val="00FF47A6"/>
    <w:rsid w:val="0A8D9831"/>
    <w:rsid w:val="0C4DA397"/>
    <w:rsid w:val="1CE9138E"/>
    <w:rsid w:val="2534117F"/>
    <w:rsid w:val="2A483CFA"/>
    <w:rsid w:val="5CC9C822"/>
    <w:rsid w:val="7387BCA1"/>
    <w:rsid w:val="772DE573"/>
    <w:rsid w:val="7A7625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85964"/>
  <w15:chartTrackingRefBased/>
  <w15:docId w15:val="{CFE5C761-26C4-4244-A4A6-3BB1D5B3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447"/>
    <w:pPr>
      <w:spacing w:after="0" w:line="240" w:lineRule="auto"/>
    </w:pPr>
    <w:rPr>
      <w:rFonts w:ascii="Times New Roman" w:eastAsia="Times New Roman" w:hAnsi="Times New Roman" w:cs="Times New Roman"/>
      <w:sz w:val="24"/>
      <w:szCs w:val="24"/>
      <w:lang w:eastAsia="nl-BE"/>
    </w:rPr>
  </w:style>
  <w:style w:type="paragraph" w:styleId="Titre2">
    <w:name w:val="heading 2"/>
    <w:basedOn w:val="Normal"/>
    <w:link w:val="Titre2Car"/>
    <w:uiPriority w:val="9"/>
    <w:qFormat/>
    <w:rsid w:val="0030401C"/>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4384C"/>
    <w:rPr>
      <w:color w:val="0563C1" w:themeColor="hyperlink"/>
      <w:u w:val="single"/>
    </w:rPr>
  </w:style>
  <w:style w:type="character" w:styleId="Mentionnonrsolue">
    <w:name w:val="Unresolved Mention"/>
    <w:basedOn w:val="Policepardfaut"/>
    <w:uiPriority w:val="99"/>
    <w:semiHidden/>
    <w:unhideWhenUsed/>
    <w:rsid w:val="0054384C"/>
    <w:rPr>
      <w:color w:val="605E5C"/>
      <w:shd w:val="clear" w:color="auto" w:fill="E1DFDD"/>
    </w:rPr>
  </w:style>
  <w:style w:type="paragraph" w:styleId="Notedebasdepage">
    <w:name w:val="footnote text"/>
    <w:aliases w:val="nbp"/>
    <w:basedOn w:val="Normal"/>
    <w:link w:val="NotedebasdepageCar"/>
    <w:unhideWhenUsed/>
    <w:rsid w:val="00C231D6"/>
    <w:rPr>
      <w:rFonts w:asciiTheme="minorHAnsi" w:eastAsiaTheme="minorHAnsi" w:hAnsiTheme="minorHAnsi" w:cstheme="minorBidi"/>
      <w:sz w:val="20"/>
      <w:szCs w:val="20"/>
      <w:lang w:eastAsia="en-US"/>
    </w:rPr>
  </w:style>
  <w:style w:type="character" w:customStyle="1" w:styleId="NotedebasdepageCar">
    <w:name w:val="Note de bas de page Car"/>
    <w:aliases w:val="nbp Car"/>
    <w:basedOn w:val="Policepardfaut"/>
    <w:link w:val="Notedebasdepage"/>
    <w:rsid w:val="00C231D6"/>
    <w:rPr>
      <w:sz w:val="20"/>
      <w:szCs w:val="20"/>
    </w:rPr>
  </w:style>
  <w:style w:type="character" w:styleId="Appelnotedebasdep">
    <w:name w:val="footnote reference"/>
    <w:basedOn w:val="Policepardfaut"/>
    <w:uiPriority w:val="99"/>
    <w:unhideWhenUsed/>
    <w:rsid w:val="00C231D6"/>
    <w:rPr>
      <w:vertAlign w:val="superscript"/>
    </w:rPr>
  </w:style>
  <w:style w:type="character" w:styleId="Accentuation">
    <w:name w:val="Emphasis"/>
    <w:basedOn w:val="Policepardfaut"/>
    <w:uiPriority w:val="20"/>
    <w:qFormat/>
    <w:rsid w:val="00B86134"/>
    <w:rPr>
      <w:i/>
      <w:iCs/>
    </w:rPr>
  </w:style>
  <w:style w:type="character" w:styleId="Marquedecommentaire">
    <w:name w:val="annotation reference"/>
    <w:basedOn w:val="Policepardfaut"/>
    <w:uiPriority w:val="99"/>
    <w:semiHidden/>
    <w:unhideWhenUsed/>
    <w:rsid w:val="007032E1"/>
    <w:rPr>
      <w:sz w:val="16"/>
      <w:szCs w:val="16"/>
    </w:rPr>
  </w:style>
  <w:style w:type="paragraph" w:styleId="Commentaire">
    <w:name w:val="annotation text"/>
    <w:basedOn w:val="Normal"/>
    <w:link w:val="CommentaireCar"/>
    <w:uiPriority w:val="99"/>
    <w:unhideWhenUsed/>
    <w:rsid w:val="007032E1"/>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7032E1"/>
    <w:rPr>
      <w:sz w:val="20"/>
      <w:szCs w:val="20"/>
    </w:rPr>
  </w:style>
  <w:style w:type="paragraph" w:styleId="Objetducommentaire">
    <w:name w:val="annotation subject"/>
    <w:basedOn w:val="Commentaire"/>
    <w:next w:val="Commentaire"/>
    <w:link w:val="ObjetducommentaireCar"/>
    <w:uiPriority w:val="99"/>
    <w:semiHidden/>
    <w:unhideWhenUsed/>
    <w:rsid w:val="007032E1"/>
    <w:rPr>
      <w:b/>
      <w:bCs/>
    </w:rPr>
  </w:style>
  <w:style w:type="character" w:customStyle="1" w:styleId="ObjetducommentaireCar">
    <w:name w:val="Objet du commentaire Car"/>
    <w:basedOn w:val="CommentaireCar"/>
    <w:link w:val="Objetducommentaire"/>
    <w:uiPriority w:val="99"/>
    <w:semiHidden/>
    <w:rsid w:val="007032E1"/>
    <w:rPr>
      <w:b/>
      <w:bCs/>
      <w:sz w:val="20"/>
      <w:szCs w:val="20"/>
    </w:rPr>
  </w:style>
  <w:style w:type="paragraph" w:styleId="Paragraphedeliste">
    <w:name w:val="List Paragraph"/>
    <w:basedOn w:val="Normal"/>
    <w:uiPriority w:val="34"/>
    <w:qFormat/>
    <w:rsid w:val="008A3E30"/>
    <w:pPr>
      <w:ind w:left="720"/>
      <w:contextualSpacing/>
    </w:pPr>
    <w:rPr>
      <w:rFonts w:asciiTheme="minorHAnsi" w:eastAsiaTheme="minorHAnsi" w:hAnsiTheme="minorHAnsi" w:cstheme="minorBidi"/>
      <w:lang w:val="fr-FR" w:eastAsia="en-US"/>
    </w:rPr>
  </w:style>
  <w:style w:type="character" w:styleId="Lienhypertextesuivivisit">
    <w:name w:val="FollowedHyperlink"/>
    <w:basedOn w:val="Policepardfaut"/>
    <w:uiPriority w:val="99"/>
    <w:semiHidden/>
    <w:unhideWhenUsed/>
    <w:rsid w:val="006A651A"/>
    <w:rPr>
      <w:color w:val="954F72" w:themeColor="followedHyperlink"/>
      <w:u w:val="single"/>
    </w:rPr>
  </w:style>
  <w:style w:type="paragraph" w:styleId="Rvision">
    <w:name w:val="Revision"/>
    <w:hidden/>
    <w:uiPriority w:val="99"/>
    <w:semiHidden/>
    <w:rsid w:val="007B207B"/>
    <w:pPr>
      <w:spacing w:after="0" w:line="240" w:lineRule="auto"/>
    </w:pPr>
  </w:style>
  <w:style w:type="paragraph" w:styleId="En-tte">
    <w:name w:val="header"/>
    <w:basedOn w:val="Normal"/>
    <w:link w:val="En-tteCar"/>
    <w:uiPriority w:val="99"/>
    <w:unhideWhenUsed/>
    <w:rsid w:val="00844FF3"/>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844FF3"/>
  </w:style>
  <w:style w:type="paragraph" w:styleId="Pieddepage">
    <w:name w:val="footer"/>
    <w:basedOn w:val="Normal"/>
    <w:link w:val="PieddepageCar"/>
    <w:uiPriority w:val="99"/>
    <w:unhideWhenUsed/>
    <w:rsid w:val="00844FF3"/>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844FF3"/>
  </w:style>
  <w:style w:type="paragraph" w:customStyle="1" w:styleId="alinea">
    <w:name w:val="alinea"/>
    <w:basedOn w:val="Normal"/>
    <w:rsid w:val="001A2B39"/>
    <w:pPr>
      <w:spacing w:before="100" w:beforeAutospacing="1" w:after="100" w:afterAutospacing="1"/>
    </w:pPr>
  </w:style>
  <w:style w:type="character" w:styleId="CitationHTML">
    <w:name w:val="HTML Cite"/>
    <w:basedOn w:val="Policepardfaut"/>
    <w:uiPriority w:val="99"/>
    <w:semiHidden/>
    <w:unhideWhenUsed/>
    <w:rsid w:val="001A2B39"/>
    <w:rPr>
      <w:i/>
      <w:iCs/>
    </w:rPr>
  </w:style>
  <w:style w:type="paragraph" w:styleId="NormalWeb">
    <w:name w:val="Normal (Web)"/>
    <w:basedOn w:val="Normal"/>
    <w:uiPriority w:val="99"/>
    <w:semiHidden/>
    <w:unhideWhenUsed/>
    <w:rsid w:val="006057AF"/>
    <w:pPr>
      <w:spacing w:before="100" w:beforeAutospacing="1" w:after="100" w:afterAutospacing="1"/>
    </w:pPr>
  </w:style>
  <w:style w:type="character" w:styleId="lev">
    <w:name w:val="Strong"/>
    <w:basedOn w:val="Policepardfaut"/>
    <w:uiPriority w:val="22"/>
    <w:qFormat/>
    <w:rsid w:val="00A8278B"/>
    <w:rPr>
      <w:b/>
      <w:bCs/>
    </w:rPr>
  </w:style>
  <w:style w:type="character" w:customStyle="1" w:styleId="familyname">
    <w:name w:val="familyname"/>
    <w:basedOn w:val="Policepardfaut"/>
    <w:rsid w:val="00F773A7"/>
  </w:style>
  <w:style w:type="paragraph" w:customStyle="1" w:styleId="pf0">
    <w:name w:val="pf0"/>
    <w:basedOn w:val="Normal"/>
    <w:rsid w:val="0069663B"/>
    <w:pPr>
      <w:spacing w:before="100" w:beforeAutospacing="1" w:after="100" w:afterAutospacing="1"/>
    </w:pPr>
  </w:style>
  <w:style w:type="character" w:customStyle="1" w:styleId="cf01">
    <w:name w:val="cf01"/>
    <w:basedOn w:val="Policepardfaut"/>
    <w:rsid w:val="0069663B"/>
    <w:rPr>
      <w:rFonts w:ascii="Segoe UI" w:hAnsi="Segoe UI" w:cs="Segoe UI" w:hint="default"/>
      <w:sz w:val="18"/>
      <w:szCs w:val="18"/>
    </w:rPr>
  </w:style>
  <w:style w:type="character" w:customStyle="1" w:styleId="Titre2Car">
    <w:name w:val="Titre 2 Car"/>
    <w:basedOn w:val="Policepardfaut"/>
    <w:link w:val="Titre2"/>
    <w:uiPriority w:val="9"/>
    <w:rsid w:val="0030401C"/>
    <w:rPr>
      <w:rFonts w:ascii="Times New Roman" w:eastAsia="Times New Roman" w:hAnsi="Times New Roman" w:cs="Times New Roman"/>
      <w:b/>
      <w:bCs/>
      <w:sz w:val="36"/>
      <w:szCs w:val="36"/>
      <w:lang w:eastAsia="nl-B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numero">
    <w:name w:val="titre-numero"/>
    <w:basedOn w:val="Normal"/>
    <w:rsid w:val="00045A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3681">
      <w:bodyDiv w:val="1"/>
      <w:marLeft w:val="0"/>
      <w:marRight w:val="0"/>
      <w:marTop w:val="0"/>
      <w:marBottom w:val="0"/>
      <w:divBdr>
        <w:top w:val="none" w:sz="0" w:space="0" w:color="auto"/>
        <w:left w:val="none" w:sz="0" w:space="0" w:color="auto"/>
        <w:bottom w:val="none" w:sz="0" w:space="0" w:color="auto"/>
        <w:right w:val="none" w:sz="0" w:space="0" w:color="auto"/>
      </w:divBdr>
    </w:div>
    <w:div w:id="528222863">
      <w:bodyDiv w:val="1"/>
      <w:marLeft w:val="0"/>
      <w:marRight w:val="0"/>
      <w:marTop w:val="0"/>
      <w:marBottom w:val="0"/>
      <w:divBdr>
        <w:top w:val="none" w:sz="0" w:space="0" w:color="auto"/>
        <w:left w:val="none" w:sz="0" w:space="0" w:color="auto"/>
        <w:bottom w:val="none" w:sz="0" w:space="0" w:color="auto"/>
        <w:right w:val="none" w:sz="0" w:space="0" w:color="auto"/>
      </w:divBdr>
    </w:div>
    <w:div w:id="712316827">
      <w:bodyDiv w:val="1"/>
      <w:marLeft w:val="0"/>
      <w:marRight w:val="0"/>
      <w:marTop w:val="0"/>
      <w:marBottom w:val="0"/>
      <w:divBdr>
        <w:top w:val="none" w:sz="0" w:space="0" w:color="auto"/>
        <w:left w:val="none" w:sz="0" w:space="0" w:color="auto"/>
        <w:bottom w:val="none" w:sz="0" w:space="0" w:color="auto"/>
        <w:right w:val="none" w:sz="0" w:space="0" w:color="auto"/>
      </w:divBdr>
      <w:divsChild>
        <w:div w:id="1574511059">
          <w:marLeft w:val="0"/>
          <w:marRight w:val="0"/>
          <w:marTop w:val="0"/>
          <w:marBottom w:val="0"/>
          <w:divBdr>
            <w:top w:val="none" w:sz="0" w:space="0" w:color="auto"/>
            <w:left w:val="none" w:sz="0" w:space="0" w:color="auto"/>
            <w:bottom w:val="none" w:sz="0" w:space="0" w:color="auto"/>
            <w:right w:val="none" w:sz="0" w:space="0" w:color="auto"/>
          </w:divBdr>
        </w:div>
        <w:div w:id="853764401">
          <w:marLeft w:val="0"/>
          <w:marRight w:val="0"/>
          <w:marTop w:val="0"/>
          <w:marBottom w:val="0"/>
          <w:divBdr>
            <w:top w:val="none" w:sz="0" w:space="0" w:color="auto"/>
            <w:left w:val="none" w:sz="0" w:space="0" w:color="auto"/>
            <w:bottom w:val="none" w:sz="0" w:space="0" w:color="auto"/>
            <w:right w:val="none" w:sz="0" w:space="0" w:color="auto"/>
          </w:divBdr>
        </w:div>
      </w:divsChild>
    </w:div>
    <w:div w:id="734087886">
      <w:bodyDiv w:val="1"/>
      <w:marLeft w:val="0"/>
      <w:marRight w:val="0"/>
      <w:marTop w:val="0"/>
      <w:marBottom w:val="0"/>
      <w:divBdr>
        <w:top w:val="none" w:sz="0" w:space="0" w:color="auto"/>
        <w:left w:val="none" w:sz="0" w:space="0" w:color="auto"/>
        <w:bottom w:val="none" w:sz="0" w:space="0" w:color="auto"/>
        <w:right w:val="none" w:sz="0" w:space="0" w:color="auto"/>
      </w:divBdr>
    </w:div>
    <w:div w:id="874854044">
      <w:bodyDiv w:val="1"/>
      <w:marLeft w:val="0"/>
      <w:marRight w:val="0"/>
      <w:marTop w:val="0"/>
      <w:marBottom w:val="0"/>
      <w:divBdr>
        <w:top w:val="none" w:sz="0" w:space="0" w:color="auto"/>
        <w:left w:val="none" w:sz="0" w:space="0" w:color="auto"/>
        <w:bottom w:val="none" w:sz="0" w:space="0" w:color="auto"/>
        <w:right w:val="none" w:sz="0" w:space="0" w:color="auto"/>
      </w:divBdr>
    </w:div>
    <w:div w:id="1260869619">
      <w:bodyDiv w:val="1"/>
      <w:marLeft w:val="0"/>
      <w:marRight w:val="0"/>
      <w:marTop w:val="0"/>
      <w:marBottom w:val="0"/>
      <w:divBdr>
        <w:top w:val="none" w:sz="0" w:space="0" w:color="auto"/>
        <w:left w:val="none" w:sz="0" w:space="0" w:color="auto"/>
        <w:bottom w:val="none" w:sz="0" w:space="0" w:color="auto"/>
        <w:right w:val="none" w:sz="0" w:space="0" w:color="auto"/>
      </w:divBdr>
    </w:div>
    <w:div w:id="1714690356">
      <w:bodyDiv w:val="1"/>
      <w:marLeft w:val="0"/>
      <w:marRight w:val="0"/>
      <w:marTop w:val="0"/>
      <w:marBottom w:val="0"/>
      <w:divBdr>
        <w:top w:val="none" w:sz="0" w:space="0" w:color="auto"/>
        <w:left w:val="none" w:sz="0" w:space="0" w:color="auto"/>
        <w:bottom w:val="none" w:sz="0" w:space="0" w:color="auto"/>
        <w:right w:val="none" w:sz="0" w:space="0" w:color="auto"/>
      </w:divBdr>
      <w:divsChild>
        <w:div w:id="1900245993">
          <w:blockQuote w:val="1"/>
          <w:marLeft w:val="230"/>
          <w:marRight w:val="0"/>
          <w:marTop w:val="413"/>
          <w:marBottom w:val="413"/>
          <w:divBdr>
            <w:top w:val="none" w:sz="0" w:space="0" w:color="auto"/>
            <w:left w:val="single" w:sz="6" w:space="31" w:color="CCCCCC"/>
            <w:bottom w:val="none" w:sz="0" w:space="0" w:color="auto"/>
            <w:right w:val="none" w:sz="0" w:space="0" w:color="auto"/>
          </w:divBdr>
        </w:div>
      </w:divsChild>
    </w:div>
    <w:div w:id="1817913545">
      <w:bodyDiv w:val="1"/>
      <w:marLeft w:val="0"/>
      <w:marRight w:val="0"/>
      <w:marTop w:val="0"/>
      <w:marBottom w:val="0"/>
      <w:divBdr>
        <w:top w:val="none" w:sz="0" w:space="0" w:color="auto"/>
        <w:left w:val="none" w:sz="0" w:space="0" w:color="auto"/>
        <w:bottom w:val="none" w:sz="0" w:space="0" w:color="auto"/>
        <w:right w:val="none" w:sz="0" w:space="0" w:color="auto"/>
      </w:divBdr>
    </w:div>
    <w:div w:id="2005276273">
      <w:bodyDiv w:val="1"/>
      <w:marLeft w:val="0"/>
      <w:marRight w:val="0"/>
      <w:marTop w:val="0"/>
      <w:marBottom w:val="0"/>
      <w:divBdr>
        <w:top w:val="none" w:sz="0" w:space="0" w:color="auto"/>
        <w:left w:val="none" w:sz="0" w:space="0" w:color="auto"/>
        <w:bottom w:val="none" w:sz="0" w:space="0" w:color="auto"/>
        <w:right w:val="none" w:sz="0" w:space="0" w:color="auto"/>
      </w:divBdr>
    </w:div>
    <w:div w:id="206729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ethunebruay.fr/fr/labanque"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4000/marges.2920" TargetMode="External"/><Relationship Id="rId3" Type="http://schemas.openxmlformats.org/officeDocument/2006/relationships/hyperlink" Target="https://centrale.brussels/expos/la-vie-materielle/" TargetMode="External"/><Relationship Id="rId7" Type="http://schemas.openxmlformats.org/officeDocument/2006/relationships/hyperlink" Target="https://journals.openedition.org/recherchestravaux/5094" TargetMode="External"/><Relationship Id="rId2" Type="http://schemas.openxmlformats.org/officeDocument/2006/relationships/hyperlink" Target="https://www.centrepompidou.fr/fr/programme/agenda/evenement/c9jjjgM" TargetMode="External"/><Relationship Id="rId1" Type="http://schemas.openxmlformats.org/officeDocument/2006/relationships/hyperlink" Target="http://www.litteraturesmodesdemploi.org/presentation-2" TargetMode="External"/><Relationship Id="rId6" Type="http://schemas.openxmlformats.org/officeDocument/2006/relationships/hyperlink" Target="http://www.litteraturesmodesdemploi.org/rencontres-a-venir/rencontres-anterieures/lecrivain-commissaire" TargetMode="External"/><Relationship Id="rId5" Type="http://schemas.openxmlformats.org/officeDocument/2006/relationships/hyperlink" Target="https://www.musee-orsay.fr/fr/expositions/degas-danse-dessin-hommage-degas-avec-paul-valery-196084" TargetMode="External"/><Relationship Id="rId4" Type="http://schemas.openxmlformats.org/officeDocument/2006/relationships/hyperlink" Target="https://www.paris-art.com/depen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2171C-C1EB-4ED6-8C28-FD9EDB382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5737</Words>
  <Characters>31504</Characters>
  <Application>Microsoft Office Word</Application>
  <DocSecurity>0</DocSecurity>
  <Lines>453</Lines>
  <Paragraphs>67</Paragraphs>
  <ScaleCrop>false</ScaleCrop>
  <HeadingPairs>
    <vt:vector size="2" baseType="variant">
      <vt:variant>
        <vt:lpstr>Titre</vt:lpstr>
      </vt:variant>
      <vt:variant>
        <vt:i4>1</vt:i4>
      </vt:variant>
    </vt:vector>
  </HeadingPairs>
  <TitlesOfParts>
    <vt:vector size="1" baseType="lpstr">
      <vt:lpstr/>
    </vt:vector>
  </TitlesOfParts>
  <Company>KU Leuven</Company>
  <LinksUpToDate>false</LinksUpToDate>
  <CharactersWithSpaces>37188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Martens</dc:creator>
  <cp:keywords/>
  <dc:description/>
  <cp:lastModifiedBy>Évaluateur secret</cp:lastModifiedBy>
  <cp:revision>46</cp:revision>
  <cp:lastPrinted>2023-05-16T08:25:00Z</cp:lastPrinted>
  <dcterms:created xsi:type="dcterms:W3CDTF">2026-02-12T06:57:00Z</dcterms:created>
  <dcterms:modified xsi:type="dcterms:W3CDTF">2026-02-12T08:26:00Z</dcterms:modified>
</cp:coreProperties>
</file>