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7D31F" w14:textId="77777777" w:rsidR="00CA4283" w:rsidRPr="00FC0063" w:rsidRDefault="00CA4283" w:rsidP="00CA4283">
      <w:pPr>
        <w:pStyle w:val="Titre1"/>
        <w:rPr>
          <w:rFonts w:ascii="Times New Roman" w:hAnsi="Times New Roman" w:cs="Times New Roman"/>
          <w:b/>
          <w:color w:val="000000" w:themeColor="text1"/>
          <w:szCs w:val="28"/>
        </w:rPr>
      </w:pPr>
      <w:bookmarkStart w:id="0" w:name="_Toc153187501"/>
      <w:r w:rsidRPr="00FC0063">
        <w:rPr>
          <w:rFonts w:ascii="Times New Roman" w:hAnsi="Times New Roman" w:cs="Times New Roman"/>
          <w:b/>
          <w:color w:val="000000" w:themeColor="text1"/>
          <w:szCs w:val="28"/>
        </w:rPr>
        <w:t>How can metabolomics help the follow-up management of kidney transplantation recipients? An untargeted based-metabolomics multiplatform study.</w:t>
      </w:r>
      <w:bookmarkEnd w:id="0"/>
    </w:p>
    <w:p w14:paraId="641B007C" w14:textId="77777777" w:rsidR="00CA4283" w:rsidRPr="00FC0063" w:rsidRDefault="00CA4283" w:rsidP="00CA4283">
      <w:pPr>
        <w:spacing w:line="360" w:lineRule="auto"/>
        <w:jc w:val="both"/>
        <w:rPr>
          <w:b/>
          <w:bCs/>
          <w:sz w:val="22"/>
          <w:szCs w:val="22"/>
          <w:lang w:val="en-US"/>
        </w:rPr>
      </w:pPr>
      <w:commentRangeStart w:id="1"/>
    </w:p>
    <w:p w14:paraId="7AEE860A" w14:textId="77777777" w:rsidR="00CA4283" w:rsidRPr="00D41ED4" w:rsidRDefault="00CA4283" w:rsidP="00CA4283">
      <w:pPr>
        <w:pStyle w:val="Standard"/>
        <w:rPr>
          <w:rFonts w:ascii="Times New Roman" w:hAnsi="Times New Roman" w:cs="Times New Roman"/>
          <w:sz w:val="22"/>
          <w:szCs w:val="22"/>
          <w:lang w:val="en-US"/>
        </w:rPr>
      </w:pPr>
      <w:r w:rsidRPr="00D41ED4">
        <w:rPr>
          <w:rFonts w:ascii="Times New Roman" w:hAnsi="Times New Roman" w:cs="Times New Roman"/>
          <w:bCs/>
          <w:sz w:val="22"/>
          <w:szCs w:val="22"/>
          <w:lang w:val="en-US"/>
        </w:rPr>
        <w:t xml:space="preserve">Cirillo A.¹, </w:t>
      </w:r>
      <w:proofErr w:type="spellStart"/>
      <w:r w:rsidRPr="00D41ED4">
        <w:rPr>
          <w:rFonts w:ascii="Times New Roman" w:hAnsi="Times New Roman" w:cs="Times New Roman"/>
          <w:bCs/>
          <w:sz w:val="22"/>
          <w:szCs w:val="22"/>
          <w:lang w:val="en-US"/>
        </w:rPr>
        <w:t>Resimont</w:t>
      </w:r>
      <w:proofErr w:type="spellEnd"/>
      <w:r w:rsidRPr="00D41ED4">
        <w:rPr>
          <w:rFonts w:ascii="Times New Roman" w:hAnsi="Times New Roman" w:cs="Times New Roman"/>
          <w:bCs/>
          <w:sz w:val="22"/>
          <w:szCs w:val="22"/>
          <w:lang w:val="en-US"/>
        </w:rPr>
        <w:t xml:space="preserve"> </w:t>
      </w:r>
      <w:proofErr w:type="gramStart"/>
      <w:r w:rsidRPr="00D41ED4">
        <w:rPr>
          <w:rFonts w:ascii="Times New Roman" w:hAnsi="Times New Roman" w:cs="Times New Roman"/>
          <w:bCs/>
          <w:sz w:val="22"/>
          <w:szCs w:val="22"/>
          <w:lang w:val="en-US"/>
        </w:rPr>
        <w:t>G.</w:t>
      </w:r>
      <w:r w:rsidRPr="00D41ED4">
        <w:rPr>
          <w:rFonts w:ascii="Times New Roman" w:hAnsi="Times New Roman" w:cs="Times New Roman"/>
          <w:bCs/>
          <w:sz w:val="22"/>
          <w:szCs w:val="22"/>
          <w:vertAlign w:val="superscript"/>
          <w:lang w:val="en-US"/>
        </w:rPr>
        <w:t>2</w:t>
      </w:r>
      <w:r w:rsidRPr="00D41ED4">
        <w:rPr>
          <w:rFonts w:ascii="Times New Roman" w:hAnsi="Times New Roman" w:cs="Times New Roman"/>
          <w:bCs/>
          <w:sz w:val="22"/>
          <w:szCs w:val="22"/>
          <w:lang w:val="en-US"/>
        </w:rPr>
        <w:t xml:space="preserve"> ,</w:t>
      </w:r>
      <w:proofErr w:type="gramEnd"/>
      <w:r w:rsidRPr="00D41ED4">
        <w:rPr>
          <w:rFonts w:ascii="Times New Roman" w:hAnsi="Times New Roman" w:cs="Times New Roman"/>
          <w:bCs/>
          <w:sz w:val="22"/>
          <w:szCs w:val="22"/>
          <w:lang w:val="en-US"/>
        </w:rPr>
        <w:t xml:space="preserve"> </w:t>
      </w:r>
      <w:proofErr w:type="spellStart"/>
      <w:r w:rsidRPr="00D41ED4">
        <w:rPr>
          <w:rFonts w:ascii="Times New Roman" w:hAnsi="Times New Roman" w:cs="Times New Roman"/>
          <w:bCs/>
          <w:sz w:val="22"/>
          <w:szCs w:val="22"/>
          <w:lang w:val="en-US"/>
        </w:rPr>
        <w:t>Jouret</w:t>
      </w:r>
      <w:proofErr w:type="spellEnd"/>
      <w:r w:rsidRPr="00D41ED4">
        <w:rPr>
          <w:rFonts w:ascii="Times New Roman" w:hAnsi="Times New Roman" w:cs="Times New Roman"/>
          <w:bCs/>
          <w:sz w:val="22"/>
          <w:szCs w:val="22"/>
          <w:lang w:val="en-US"/>
        </w:rPr>
        <w:t xml:space="preserve"> F.</w:t>
      </w:r>
      <w:r w:rsidRPr="00D41ED4">
        <w:rPr>
          <w:rFonts w:ascii="Times New Roman" w:hAnsi="Times New Roman" w:cs="Times New Roman"/>
          <w:bCs/>
          <w:sz w:val="22"/>
          <w:szCs w:val="22"/>
          <w:vertAlign w:val="superscript"/>
          <w:lang w:val="en-US"/>
        </w:rPr>
        <w:t>2,3</w:t>
      </w:r>
      <w:r w:rsidRPr="00D41ED4">
        <w:rPr>
          <w:rFonts w:ascii="Times New Roman" w:hAnsi="Times New Roman" w:cs="Times New Roman"/>
          <w:bCs/>
          <w:sz w:val="22"/>
          <w:szCs w:val="22"/>
          <w:lang w:val="en-US"/>
        </w:rPr>
        <w:t>*, Vidal-</w:t>
      </w:r>
      <w:proofErr w:type="spellStart"/>
      <w:r w:rsidRPr="00D41ED4">
        <w:rPr>
          <w:rFonts w:ascii="Times New Roman" w:hAnsi="Times New Roman" w:cs="Times New Roman"/>
          <w:bCs/>
          <w:sz w:val="22"/>
          <w:szCs w:val="22"/>
          <w:lang w:val="en-US"/>
        </w:rPr>
        <w:t>Petiot</w:t>
      </w:r>
      <w:proofErr w:type="spellEnd"/>
      <w:r w:rsidRPr="00D41ED4">
        <w:rPr>
          <w:rFonts w:ascii="Times New Roman" w:hAnsi="Times New Roman" w:cs="Times New Roman"/>
          <w:bCs/>
          <w:sz w:val="22"/>
          <w:szCs w:val="22"/>
          <w:lang w:val="en-US"/>
        </w:rPr>
        <w:t xml:space="preserve">  E.</w:t>
      </w:r>
      <w:r w:rsidRPr="00D41ED4">
        <w:rPr>
          <w:rFonts w:ascii="Times New Roman" w:hAnsi="Times New Roman" w:cs="Times New Roman"/>
          <w:bCs/>
          <w:sz w:val="22"/>
          <w:szCs w:val="22"/>
          <w:vertAlign w:val="superscript"/>
          <w:lang w:val="en-US"/>
        </w:rPr>
        <w:t>4</w:t>
      </w:r>
      <w:r w:rsidRPr="00D41ED4">
        <w:rPr>
          <w:rFonts w:ascii="Times New Roman" w:hAnsi="Times New Roman" w:cs="Times New Roman"/>
          <w:bCs/>
          <w:sz w:val="22"/>
          <w:szCs w:val="22"/>
          <w:lang w:val="en-US"/>
        </w:rPr>
        <w:t xml:space="preserve">, </w:t>
      </w:r>
      <w:proofErr w:type="spellStart"/>
      <w:r w:rsidRPr="00D41ED4">
        <w:rPr>
          <w:rFonts w:ascii="Times New Roman" w:hAnsi="Times New Roman" w:cs="Times New Roman"/>
          <w:bCs/>
          <w:sz w:val="22"/>
          <w:szCs w:val="22"/>
          <w:lang w:val="en-US"/>
        </w:rPr>
        <w:t>Flamant</w:t>
      </w:r>
      <w:proofErr w:type="spellEnd"/>
      <w:r w:rsidRPr="00D41ED4">
        <w:rPr>
          <w:rFonts w:ascii="Times New Roman" w:hAnsi="Times New Roman" w:cs="Times New Roman"/>
          <w:bCs/>
          <w:sz w:val="22"/>
          <w:szCs w:val="22"/>
          <w:lang w:val="en-US"/>
        </w:rPr>
        <w:t xml:space="preserve"> M.</w:t>
      </w:r>
      <w:r w:rsidRPr="00D41ED4">
        <w:rPr>
          <w:rFonts w:ascii="Times New Roman" w:hAnsi="Times New Roman" w:cs="Times New Roman"/>
          <w:bCs/>
          <w:sz w:val="22"/>
          <w:szCs w:val="22"/>
          <w:vertAlign w:val="superscript"/>
          <w:lang w:val="en-US"/>
        </w:rPr>
        <w:t>4</w:t>
      </w:r>
      <w:r w:rsidRPr="00D41ED4">
        <w:rPr>
          <w:rFonts w:ascii="Times New Roman" w:hAnsi="Times New Roman" w:cs="Times New Roman"/>
          <w:bCs/>
          <w:sz w:val="22"/>
          <w:szCs w:val="22"/>
          <w:lang w:val="en-US"/>
        </w:rPr>
        <w:t xml:space="preserve"> , </w:t>
      </w:r>
      <w:proofErr w:type="spellStart"/>
      <w:r w:rsidRPr="00D41ED4">
        <w:rPr>
          <w:rFonts w:ascii="Times New Roman" w:hAnsi="Times New Roman" w:cs="Times New Roman"/>
          <w:bCs/>
          <w:sz w:val="22"/>
          <w:szCs w:val="22"/>
          <w:lang w:val="en-US"/>
        </w:rPr>
        <w:t>Delanaye</w:t>
      </w:r>
      <w:proofErr w:type="spellEnd"/>
      <w:r w:rsidRPr="00D41ED4">
        <w:rPr>
          <w:rFonts w:ascii="Times New Roman" w:hAnsi="Times New Roman" w:cs="Times New Roman"/>
          <w:bCs/>
          <w:sz w:val="22"/>
          <w:szCs w:val="22"/>
          <w:lang w:val="en-US"/>
        </w:rPr>
        <w:t xml:space="preserve"> P.</w:t>
      </w:r>
      <w:r w:rsidRPr="00D41ED4">
        <w:rPr>
          <w:rFonts w:ascii="Times New Roman" w:hAnsi="Times New Roman" w:cs="Times New Roman"/>
          <w:bCs/>
          <w:sz w:val="22"/>
          <w:szCs w:val="22"/>
          <w:vertAlign w:val="superscript"/>
          <w:lang w:val="en-US"/>
        </w:rPr>
        <w:t>3</w:t>
      </w:r>
      <w:r w:rsidRPr="00D41ED4">
        <w:rPr>
          <w:rFonts w:ascii="Times New Roman" w:hAnsi="Times New Roman" w:cs="Times New Roman"/>
          <w:bCs/>
          <w:sz w:val="22"/>
          <w:szCs w:val="22"/>
          <w:lang w:val="en-US"/>
        </w:rPr>
        <w:t xml:space="preserve"> , de </w:t>
      </w:r>
      <w:proofErr w:type="spellStart"/>
      <w:r w:rsidRPr="00D41ED4">
        <w:rPr>
          <w:rFonts w:ascii="Times New Roman" w:hAnsi="Times New Roman" w:cs="Times New Roman"/>
          <w:bCs/>
          <w:sz w:val="22"/>
          <w:szCs w:val="22"/>
          <w:lang w:val="en-US"/>
        </w:rPr>
        <w:t>Tullio</w:t>
      </w:r>
      <w:proofErr w:type="spellEnd"/>
      <w:r w:rsidRPr="00D41ED4">
        <w:rPr>
          <w:rFonts w:ascii="Times New Roman" w:hAnsi="Times New Roman" w:cs="Times New Roman"/>
          <w:bCs/>
          <w:sz w:val="22"/>
          <w:szCs w:val="22"/>
          <w:lang w:val="en-US"/>
        </w:rPr>
        <w:t xml:space="preserve"> P.¹</w:t>
      </w:r>
    </w:p>
    <w:p w14:paraId="2B991B2E" w14:textId="77777777" w:rsidR="00CA4283" w:rsidRPr="00D41ED4" w:rsidRDefault="00CA4283" w:rsidP="00CA4283">
      <w:pPr>
        <w:spacing w:line="360" w:lineRule="auto"/>
        <w:jc w:val="both"/>
        <w:rPr>
          <w:b/>
          <w:bCs/>
          <w:sz w:val="22"/>
          <w:szCs w:val="22"/>
          <w:lang w:val="en-US"/>
        </w:rPr>
      </w:pPr>
    </w:p>
    <w:p w14:paraId="2BB47C9E" w14:textId="77777777" w:rsidR="00CA4283" w:rsidRPr="00FC0063" w:rsidRDefault="00CA4283" w:rsidP="00CA4283">
      <w:pPr>
        <w:pStyle w:val="Standard"/>
        <w:numPr>
          <w:ilvl w:val="0"/>
          <w:numId w:val="2"/>
        </w:numPr>
        <w:rPr>
          <w:rFonts w:ascii="Times New Roman" w:hAnsi="Times New Roman" w:cs="Times New Roman"/>
          <w:bCs/>
          <w:sz w:val="22"/>
          <w:szCs w:val="22"/>
          <w:lang w:val="en-US"/>
        </w:rPr>
      </w:pPr>
      <w:r w:rsidRPr="00FC0063">
        <w:rPr>
          <w:rFonts w:ascii="Times New Roman" w:hAnsi="Times New Roman" w:cs="Times New Roman"/>
          <w:bCs/>
          <w:sz w:val="22"/>
          <w:szCs w:val="22"/>
          <w:lang w:val="en-US"/>
        </w:rPr>
        <w:t>Clinical Metabolomics Group, Center for Interdisciplinary Research on Medicines (CIRM), University of Liège, Liège, Belgium.</w:t>
      </w:r>
    </w:p>
    <w:p w14:paraId="461D891F" w14:textId="77777777" w:rsidR="00CA4283" w:rsidRPr="00FC0063" w:rsidRDefault="00CA4283" w:rsidP="00CA4283">
      <w:pPr>
        <w:pStyle w:val="Paragraphedeliste"/>
        <w:numPr>
          <w:ilvl w:val="0"/>
          <w:numId w:val="1"/>
        </w:numPr>
        <w:jc w:val="both"/>
        <w:rPr>
          <w:sz w:val="22"/>
          <w:szCs w:val="22"/>
        </w:rPr>
      </w:pPr>
      <w:r w:rsidRPr="00FC0063">
        <w:rPr>
          <w:sz w:val="22"/>
          <w:szCs w:val="22"/>
        </w:rPr>
        <w:t xml:space="preserve">Department of Nephrology-Dialysis-Transplantation, University of Liege, CHU </w:t>
      </w:r>
      <w:proofErr w:type="spellStart"/>
      <w:r w:rsidRPr="00FC0063">
        <w:rPr>
          <w:sz w:val="22"/>
          <w:szCs w:val="22"/>
        </w:rPr>
        <w:t>Sart</w:t>
      </w:r>
      <w:proofErr w:type="spellEnd"/>
      <w:r w:rsidRPr="00FC0063">
        <w:rPr>
          <w:sz w:val="22"/>
          <w:szCs w:val="22"/>
        </w:rPr>
        <w:t>-Tilman, Liege, Belgium</w:t>
      </w:r>
    </w:p>
    <w:p w14:paraId="76224E4A" w14:textId="77777777" w:rsidR="00CA4283" w:rsidRPr="00FC0063" w:rsidRDefault="00CA4283" w:rsidP="00CA4283">
      <w:pPr>
        <w:pStyle w:val="Standard"/>
        <w:numPr>
          <w:ilvl w:val="0"/>
          <w:numId w:val="1"/>
        </w:numPr>
        <w:rPr>
          <w:rFonts w:ascii="Times New Roman" w:hAnsi="Times New Roman" w:cs="Times New Roman"/>
          <w:bCs/>
          <w:sz w:val="22"/>
          <w:szCs w:val="22"/>
        </w:rPr>
      </w:pPr>
      <w:r w:rsidRPr="00FC0063">
        <w:rPr>
          <w:rFonts w:ascii="Times New Roman" w:hAnsi="Times New Roman" w:cs="Times New Roman"/>
          <w:bCs/>
          <w:sz w:val="22"/>
          <w:szCs w:val="22"/>
        </w:rPr>
        <w:t xml:space="preserve">Groupe Interdisciplinaire de </w:t>
      </w:r>
      <w:proofErr w:type="spellStart"/>
      <w:r w:rsidRPr="00FC0063">
        <w:rPr>
          <w:rFonts w:ascii="Times New Roman" w:hAnsi="Times New Roman" w:cs="Times New Roman"/>
          <w:bCs/>
          <w:sz w:val="22"/>
          <w:szCs w:val="22"/>
        </w:rPr>
        <w:t>Génoprotéomique</w:t>
      </w:r>
      <w:proofErr w:type="spellEnd"/>
      <w:r w:rsidRPr="00FC0063">
        <w:rPr>
          <w:rFonts w:ascii="Times New Roman" w:hAnsi="Times New Roman" w:cs="Times New Roman"/>
          <w:bCs/>
          <w:sz w:val="22"/>
          <w:szCs w:val="22"/>
        </w:rPr>
        <w:t xml:space="preserve"> Appliquée (GIGA), </w:t>
      </w:r>
      <w:proofErr w:type="spellStart"/>
      <w:r w:rsidRPr="00FC0063">
        <w:rPr>
          <w:rFonts w:ascii="Times New Roman" w:hAnsi="Times New Roman" w:cs="Times New Roman"/>
          <w:bCs/>
          <w:sz w:val="22"/>
          <w:szCs w:val="22"/>
        </w:rPr>
        <w:t>Cardiovascular</w:t>
      </w:r>
      <w:proofErr w:type="spellEnd"/>
      <w:r w:rsidRPr="00FC0063">
        <w:rPr>
          <w:rFonts w:ascii="Times New Roman" w:hAnsi="Times New Roman" w:cs="Times New Roman"/>
          <w:bCs/>
          <w:sz w:val="22"/>
          <w:szCs w:val="22"/>
        </w:rPr>
        <w:t xml:space="preserve"> Sciences, </w:t>
      </w:r>
      <w:proofErr w:type="spellStart"/>
      <w:r w:rsidRPr="00FC0063">
        <w:rPr>
          <w:rFonts w:ascii="Times New Roman" w:hAnsi="Times New Roman" w:cs="Times New Roman"/>
          <w:bCs/>
          <w:sz w:val="22"/>
          <w:szCs w:val="22"/>
        </w:rPr>
        <w:t>University</w:t>
      </w:r>
      <w:proofErr w:type="spellEnd"/>
      <w:r w:rsidRPr="00FC0063">
        <w:rPr>
          <w:rFonts w:ascii="Times New Roman" w:hAnsi="Times New Roman" w:cs="Times New Roman"/>
          <w:bCs/>
          <w:sz w:val="22"/>
          <w:szCs w:val="22"/>
        </w:rPr>
        <w:t xml:space="preserve"> of Liège, Liège, </w:t>
      </w:r>
      <w:proofErr w:type="spellStart"/>
      <w:r w:rsidRPr="00FC0063">
        <w:rPr>
          <w:rFonts w:ascii="Times New Roman" w:hAnsi="Times New Roman" w:cs="Times New Roman"/>
          <w:bCs/>
          <w:sz w:val="22"/>
          <w:szCs w:val="22"/>
        </w:rPr>
        <w:t>Belgium</w:t>
      </w:r>
      <w:proofErr w:type="spellEnd"/>
      <w:r w:rsidRPr="00FC0063">
        <w:rPr>
          <w:rFonts w:ascii="Times New Roman" w:hAnsi="Times New Roman" w:cs="Times New Roman"/>
          <w:bCs/>
          <w:sz w:val="22"/>
          <w:szCs w:val="22"/>
        </w:rPr>
        <w:t>.</w:t>
      </w:r>
    </w:p>
    <w:p w14:paraId="1D225988" w14:textId="77777777" w:rsidR="00CA4283" w:rsidRPr="00FC0063" w:rsidRDefault="00CA4283" w:rsidP="00CA4283">
      <w:pPr>
        <w:pStyle w:val="Paragraphedeliste"/>
        <w:numPr>
          <w:ilvl w:val="0"/>
          <w:numId w:val="1"/>
        </w:numPr>
        <w:jc w:val="both"/>
        <w:rPr>
          <w:sz w:val="22"/>
          <w:szCs w:val="22"/>
          <w:lang w:val="fr-BE"/>
        </w:rPr>
      </w:pPr>
      <w:r w:rsidRPr="00FC0063">
        <w:rPr>
          <w:sz w:val="22"/>
          <w:szCs w:val="22"/>
          <w:lang w:val="fr-BE"/>
        </w:rPr>
        <w:t xml:space="preserve">Assistance Publique-Hôpitaux de Paris, </w:t>
      </w:r>
      <w:proofErr w:type="spellStart"/>
      <w:r w:rsidRPr="00FC0063">
        <w:rPr>
          <w:sz w:val="22"/>
          <w:szCs w:val="22"/>
          <w:lang w:val="fr-BE"/>
        </w:rPr>
        <w:t>Renal</w:t>
      </w:r>
      <w:proofErr w:type="spellEnd"/>
      <w:r w:rsidRPr="00FC0063">
        <w:rPr>
          <w:sz w:val="22"/>
          <w:szCs w:val="22"/>
          <w:lang w:val="fr-BE"/>
        </w:rPr>
        <w:t xml:space="preserve"> </w:t>
      </w:r>
      <w:proofErr w:type="spellStart"/>
      <w:r w:rsidRPr="00FC0063">
        <w:rPr>
          <w:sz w:val="22"/>
          <w:szCs w:val="22"/>
          <w:lang w:val="fr-BE"/>
        </w:rPr>
        <w:t>Physiology</w:t>
      </w:r>
      <w:proofErr w:type="spellEnd"/>
      <w:r w:rsidRPr="00FC0063">
        <w:rPr>
          <w:sz w:val="22"/>
          <w:szCs w:val="22"/>
          <w:lang w:val="fr-BE"/>
        </w:rPr>
        <w:t xml:space="preserve"> Unit, Bichat Hospital Paris, France</w:t>
      </w:r>
      <w:commentRangeEnd w:id="1"/>
      <w:r w:rsidRPr="00FC0063">
        <w:rPr>
          <w:rStyle w:val="Marquedecommentaire"/>
          <w:lang w:val="fr-BE"/>
        </w:rPr>
        <w:commentReference w:id="1"/>
      </w:r>
    </w:p>
    <w:p w14:paraId="49D1786B" w14:textId="77777777" w:rsidR="00CA4283" w:rsidRPr="00FC0063" w:rsidRDefault="00CA4283" w:rsidP="00CA4283">
      <w:pPr>
        <w:spacing w:line="360" w:lineRule="auto"/>
        <w:jc w:val="both"/>
        <w:rPr>
          <w:b/>
          <w:bCs/>
          <w:sz w:val="26"/>
          <w:szCs w:val="26"/>
        </w:rPr>
      </w:pPr>
    </w:p>
    <w:p w14:paraId="04057BB0" w14:textId="77777777" w:rsidR="00CA4283" w:rsidRPr="00FC0063" w:rsidRDefault="00CA4283" w:rsidP="00CA4283">
      <w:pPr>
        <w:spacing w:line="360" w:lineRule="auto"/>
        <w:jc w:val="both"/>
        <w:rPr>
          <w:b/>
          <w:bCs/>
          <w:sz w:val="26"/>
          <w:szCs w:val="26"/>
          <w:lang w:val="en-US"/>
        </w:rPr>
      </w:pPr>
      <w:r w:rsidRPr="00FC0063">
        <w:rPr>
          <w:b/>
          <w:bCs/>
          <w:sz w:val="26"/>
          <w:szCs w:val="26"/>
          <w:lang w:val="en-US"/>
        </w:rPr>
        <w:t>Abstract</w:t>
      </w:r>
    </w:p>
    <w:p w14:paraId="6166C81B" w14:textId="77777777" w:rsidR="00CA4283" w:rsidRPr="00C82085" w:rsidRDefault="00CA4283" w:rsidP="00CA4283">
      <w:pPr>
        <w:spacing w:line="360" w:lineRule="auto"/>
        <w:jc w:val="both"/>
        <w:rPr>
          <w:sz w:val="26"/>
          <w:szCs w:val="26"/>
          <w:lang w:val="en-US"/>
        </w:rPr>
      </w:pPr>
      <w:r w:rsidRPr="00C82085">
        <w:rPr>
          <w:b/>
          <w:bCs/>
          <w:sz w:val="26"/>
          <w:szCs w:val="26"/>
          <w:lang w:val="en-US"/>
        </w:rPr>
        <w:t>Introduction:</w:t>
      </w:r>
      <w:r w:rsidRPr="00C82085">
        <w:rPr>
          <w:sz w:val="26"/>
          <w:szCs w:val="26"/>
          <w:lang w:val="en-US"/>
        </w:rPr>
        <w:t xml:space="preserve"> In the context of chronic kidney disease (CKD), kidney transplantation (</w:t>
      </w:r>
      <w:proofErr w:type="spellStart"/>
      <w:r w:rsidRPr="00C82085">
        <w:rPr>
          <w:sz w:val="26"/>
          <w:szCs w:val="26"/>
          <w:lang w:val="en-US"/>
        </w:rPr>
        <w:t>Ktx</w:t>
      </w:r>
      <w:proofErr w:type="spellEnd"/>
      <w:r w:rsidRPr="00C82085">
        <w:rPr>
          <w:sz w:val="26"/>
          <w:szCs w:val="26"/>
          <w:lang w:val="en-US"/>
        </w:rPr>
        <w:t xml:space="preserve">) represents the most favorable solution in terms of quality of life, morbidity and mortality for patients affected by end-stage renal disease (ESRD). However, </w:t>
      </w:r>
      <w:proofErr w:type="spellStart"/>
      <w:r w:rsidRPr="00C82085">
        <w:rPr>
          <w:sz w:val="26"/>
          <w:szCs w:val="26"/>
          <w:lang w:val="en-US"/>
        </w:rPr>
        <w:t>KTx</w:t>
      </w:r>
      <w:proofErr w:type="spellEnd"/>
      <w:r w:rsidRPr="00C82085">
        <w:rPr>
          <w:sz w:val="26"/>
          <w:szCs w:val="26"/>
          <w:lang w:val="en-US"/>
        </w:rPr>
        <w:t xml:space="preserve"> is not devoid of risks and the follow-up of kidney graft function is crucial in the management of kidney transplantation recipients (KTRs). Currently used techniques for monitoring kidney function remains rather imprecise in the case of its estimation (eGFR) or time-consuming and rarely performed in case of its measurement (</w:t>
      </w:r>
      <w:proofErr w:type="spellStart"/>
      <w:r w:rsidRPr="00C82085">
        <w:rPr>
          <w:sz w:val="26"/>
          <w:szCs w:val="26"/>
          <w:lang w:val="en-US"/>
        </w:rPr>
        <w:t>mGFR</w:t>
      </w:r>
      <w:proofErr w:type="spellEnd"/>
      <w:r w:rsidRPr="00C82085">
        <w:rPr>
          <w:sz w:val="26"/>
          <w:szCs w:val="26"/>
          <w:lang w:val="en-US"/>
        </w:rPr>
        <w:t>). Because of these limits the need of new biomarkers able to precisely reflect the renal function or even predict its evolution in KTRs is a key challenge to improve patients’ management.</w:t>
      </w:r>
    </w:p>
    <w:p w14:paraId="3F17A45A" w14:textId="77777777" w:rsidR="00CA4283" w:rsidRPr="00C82085" w:rsidRDefault="00CA4283" w:rsidP="00CA4283">
      <w:pPr>
        <w:spacing w:line="360" w:lineRule="auto"/>
        <w:jc w:val="both"/>
        <w:rPr>
          <w:sz w:val="26"/>
          <w:szCs w:val="26"/>
          <w:lang w:val="en-US"/>
        </w:rPr>
      </w:pPr>
      <w:r w:rsidRPr="00C82085">
        <w:rPr>
          <w:b/>
          <w:bCs/>
          <w:sz w:val="26"/>
          <w:szCs w:val="26"/>
          <w:lang w:val="en-US"/>
        </w:rPr>
        <w:t>Objective:</w:t>
      </w:r>
      <w:r w:rsidRPr="00C82085">
        <w:rPr>
          <w:sz w:val="26"/>
          <w:szCs w:val="26"/>
          <w:lang w:val="en-US"/>
        </w:rPr>
        <w:t xml:space="preserve"> This study aims to identify a new panel of biomarkers able to predict kidney function and </w:t>
      </w:r>
      <w:proofErr w:type="spellStart"/>
      <w:r w:rsidRPr="00C82085">
        <w:rPr>
          <w:sz w:val="26"/>
          <w:szCs w:val="26"/>
          <w:lang w:val="en-US"/>
        </w:rPr>
        <w:t>KTx</w:t>
      </w:r>
      <w:proofErr w:type="spellEnd"/>
      <w:r w:rsidRPr="00C82085">
        <w:rPr>
          <w:sz w:val="26"/>
          <w:szCs w:val="26"/>
          <w:lang w:val="en-US"/>
        </w:rPr>
        <w:t xml:space="preserve"> evolution.</w:t>
      </w:r>
    </w:p>
    <w:p w14:paraId="0908E3CB" w14:textId="47216CA9" w:rsidR="00CA4283" w:rsidRPr="00C82085" w:rsidRDefault="00CA4283" w:rsidP="00CA4283">
      <w:pPr>
        <w:spacing w:line="360" w:lineRule="auto"/>
        <w:jc w:val="both"/>
        <w:rPr>
          <w:sz w:val="26"/>
          <w:szCs w:val="26"/>
          <w:lang w:val="en-US"/>
        </w:rPr>
      </w:pPr>
      <w:r w:rsidRPr="00C82085">
        <w:rPr>
          <w:b/>
          <w:bCs/>
          <w:sz w:val="26"/>
          <w:szCs w:val="26"/>
          <w:lang w:val="en-US"/>
        </w:rPr>
        <w:t>Methods:</w:t>
      </w:r>
      <w:r w:rsidRPr="00C82085">
        <w:rPr>
          <w:sz w:val="26"/>
          <w:szCs w:val="26"/>
          <w:lang w:val="en-US"/>
        </w:rPr>
        <w:t xml:space="preserve"> </w:t>
      </w:r>
      <w:r w:rsidR="00AF7586">
        <w:rPr>
          <w:sz w:val="26"/>
          <w:szCs w:val="26"/>
          <w:lang w:val="en-US"/>
        </w:rPr>
        <w:t xml:space="preserve">56 Patients </w:t>
      </w:r>
      <w:r w:rsidRPr="00C82085">
        <w:rPr>
          <w:sz w:val="26"/>
          <w:szCs w:val="26"/>
          <w:lang w:val="en-US"/>
        </w:rPr>
        <w:t xml:space="preserve">from a well </w:t>
      </w:r>
      <w:proofErr w:type="spellStart"/>
      <w:r w:rsidRPr="00C82085">
        <w:rPr>
          <w:sz w:val="26"/>
          <w:szCs w:val="26"/>
          <w:lang w:val="en-US"/>
        </w:rPr>
        <w:t>phenotyped</w:t>
      </w:r>
      <w:proofErr w:type="spellEnd"/>
      <w:r w:rsidRPr="00C82085">
        <w:rPr>
          <w:sz w:val="26"/>
          <w:szCs w:val="26"/>
          <w:lang w:val="en-US"/>
        </w:rPr>
        <w:t xml:space="preserve"> French KTRs cohort has been followed for </w:t>
      </w:r>
      <w:proofErr w:type="gramStart"/>
      <w:r w:rsidRPr="00C82085">
        <w:rPr>
          <w:sz w:val="26"/>
          <w:szCs w:val="26"/>
          <w:lang w:val="en-US"/>
        </w:rPr>
        <w:t>1 year</w:t>
      </w:r>
      <w:proofErr w:type="gramEnd"/>
      <w:r w:rsidRPr="00C82085">
        <w:rPr>
          <w:sz w:val="26"/>
          <w:szCs w:val="26"/>
          <w:lang w:val="en-US"/>
        </w:rPr>
        <w:t xml:space="preserve"> post-transplantation. </w:t>
      </w:r>
      <w:r w:rsidR="00AF7586">
        <w:rPr>
          <w:sz w:val="26"/>
          <w:szCs w:val="26"/>
          <w:lang w:val="en-US"/>
        </w:rPr>
        <w:t>U</w:t>
      </w:r>
      <w:r w:rsidR="00AF7586" w:rsidRPr="00C82085">
        <w:rPr>
          <w:sz w:val="26"/>
          <w:szCs w:val="26"/>
          <w:lang w:val="en-US"/>
        </w:rPr>
        <w:t xml:space="preserve">rinary samples </w:t>
      </w:r>
      <w:r w:rsidR="00AF7586">
        <w:rPr>
          <w:sz w:val="26"/>
          <w:szCs w:val="26"/>
          <w:lang w:val="en-US"/>
        </w:rPr>
        <w:t xml:space="preserve">have been </w:t>
      </w:r>
      <w:r w:rsidR="00AF7586" w:rsidRPr="00C82085">
        <w:rPr>
          <w:sz w:val="26"/>
          <w:szCs w:val="26"/>
          <w:lang w:val="en-US"/>
        </w:rPr>
        <w:t>collected</w:t>
      </w:r>
      <w:r w:rsidR="00AF7586">
        <w:rPr>
          <w:sz w:val="26"/>
          <w:szCs w:val="26"/>
          <w:lang w:val="en-US"/>
        </w:rPr>
        <w:t xml:space="preserve"> at 3 and 12 month and</w:t>
      </w:r>
      <w:r w:rsidR="00AF7586" w:rsidRPr="00C82085">
        <w:rPr>
          <w:sz w:val="26"/>
          <w:szCs w:val="26"/>
          <w:lang w:val="en-US"/>
        </w:rPr>
        <w:t xml:space="preserve"> </w:t>
      </w:r>
      <w:r w:rsidR="00AF7586">
        <w:rPr>
          <w:sz w:val="26"/>
          <w:szCs w:val="26"/>
          <w:lang w:val="en-US"/>
        </w:rPr>
        <w:t>the p</w:t>
      </w:r>
      <w:r w:rsidRPr="00C82085">
        <w:rPr>
          <w:sz w:val="26"/>
          <w:szCs w:val="26"/>
          <w:lang w:val="en-US"/>
        </w:rPr>
        <w:t xml:space="preserve">atients </w:t>
      </w:r>
      <w:r w:rsidR="00AF7586">
        <w:rPr>
          <w:sz w:val="26"/>
          <w:szCs w:val="26"/>
          <w:lang w:val="en-US"/>
        </w:rPr>
        <w:t>have been</w:t>
      </w:r>
      <w:r w:rsidR="00AF7586" w:rsidRPr="00C82085">
        <w:rPr>
          <w:sz w:val="26"/>
          <w:szCs w:val="26"/>
          <w:lang w:val="en-US"/>
        </w:rPr>
        <w:t xml:space="preserve"> </w:t>
      </w:r>
      <w:r w:rsidRPr="00C82085">
        <w:rPr>
          <w:sz w:val="26"/>
          <w:szCs w:val="26"/>
          <w:lang w:val="en-US"/>
        </w:rPr>
        <w:t xml:space="preserve">stratified as “decrease” or “stable” based on the decline or the stability of their kidney function </w:t>
      </w:r>
      <w:r w:rsidR="00AF7586">
        <w:rPr>
          <w:sz w:val="26"/>
          <w:szCs w:val="26"/>
          <w:lang w:val="en-US"/>
        </w:rPr>
        <w:t>after 1 year</w:t>
      </w:r>
      <w:r w:rsidRPr="00C82085">
        <w:rPr>
          <w:sz w:val="26"/>
          <w:szCs w:val="26"/>
          <w:lang w:val="en-US"/>
        </w:rPr>
        <w:t xml:space="preserve">. Untargeted NMR- and MS-based metabolomic approaches were applied to the cohort followed by </w:t>
      </w:r>
      <w:r w:rsidR="00D41ED4">
        <w:rPr>
          <w:sz w:val="26"/>
          <w:szCs w:val="26"/>
          <w:lang w:val="en-US"/>
        </w:rPr>
        <w:t>integration of results coming from this dual-method.</w:t>
      </w:r>
    </w:p>
    <w:p w14:paraId="3517A715" w14:textId="6C09C756" w:rsidR="00CA4283" w:rsidRPr="00C82085" w:rsidRDefault="00CA4283" w:rsidP="00CA4283">
      <w:pPr>
        <w:spacing w:line="360" w:lineRule="auto"/>
        <w:jc w:val="both"/>
        <w:rPr>
          <w:sz w:val="26"/>
          <w:szCs w:val="26"/>
          <w:lang w:val="en-US"/>
        </w:rPr>
      </w:pPr>
      <w:r w:rsidRPr="00C82085">
        <w:rPr>
          <w:b/>
          <w:bCs/>
          <w:sz w:val="26"/>
          <w:szCs w:val="26"/>
          <w:lang w:val="en-US"/>
        </w:rPr>
        <w:t>Results:</w:t>
      </w:r>
      <w:r w:rsidRPr="00C82085">
        <w:rPr>
          <w:sz w:val="26"/>
          <w:szCs w:val="26"/>
          <w:lang w:val="en-US"/>
        </w:rPr>
        <w:t xml:space="preserve"> Multivariate analysis deriving by both techniques allowed the identification of panels of biomarkers that could be linked to a GFR evolution and used as predictive markers. Merged results from the dual approach, enabled an increase of discrimination </w:t>
      </w:r>
      <w:r w:rsidRPr="00C82085">
        <w:rPr>
          <w:sz w:val="26"/>
          <w:szCs w:val="26"/>
          <w:lang w:val="en-US"/>
        </w:rPr>
        <w:lastRenderedPageBreak/>
        <w:t xml:space="preserve">and predictive performances delineating a metabolomic signature that </w:t>
      </w:r>
      <w:r w:rsidR="00D41ED4">
        <w:rPr>
          <w:sz w:val="26"/>
          <w:szCs w:val="26"/>
          <w:lang w:val="en-US"/>
        </w:rPr>
        <w:t>may</w:t>
      </w:r>
      <w:r w:rsidR="00D41ED4" w:rsidRPr="00C82085">
        <w:rPr>
          <w:sz w:val="26"/>
          <w:szCs w:val="26"/>
          <w:lang w:val="en-US"/>
        </w:rPr>
        <w:t xml:space="preserve"> </w:t>
      </w:r>
      <w:r w:rsidRPr="00C82085">
        <w:rPr>
          <w:sz w:val="26"/>
          <w:szCs w:val="26"/>
          <w:lang w:val="en-US"/>
        </w:rPr>
        <w:t>forecast kidney function decline</w:t>
      </w:r>
      <w:r w:rsidR="00D41ED4">
        <w:rPr>
          <w:sz w:val="26"/>
          <w:szCs w:val="26"/>
          <w:lang w:val="en-US"/>
        </w:rPr>
        <w:t xml:space="preserve"> at </w:t>
      </w:r>
      <w:proofErr w:type="gramStart"/>
      <w:r w:rsidR="00D41ED4">
        <w:rPr>
          <w:sz w:val="26"/>
          <w:szCs w:val="26"/>
          <w:lang w:val="en-US"/>
        </w:rPr>
        <w:t>12 month</w:t>
      </w:r>
      <w:proofErr w:type="gramEnd"/>
      <w:r w:rsidR="00D41ED4">
        <w:rPr>
          <w:sz w:val="26"/>
          <w:szCs w:val="26"/>
          <w:lang w:val="en-US"/>
        </w:rPr>
        <w:t xml:space="preserve"> post-</w:t>
      </w:r>
      <w:proofErr w:type="spellStart"/>
      <w:r w:rsidR="00D41ED4">
        <w:rPr>
          <w:sz w:val="26"/>
          <w:szCs w:val="26"/>
          <w:lang w:val="en-US"/>
        </w:rPr>
        <w:t>Ktx</w:t>
      </w:r>
      <w:proofErr w:type="spellEnd"/>
      <w:r w:rsidR="00D41ED4">
        <w:rPr>
          <w:sz w:val="26"/>
          <w:szCs w:val="26"/>
          <w:lang w:val="en-US"/>
        </w:rPr>
        <w:t xml:space="preserve"> though analysis of urinary sample at 3 months.</w:t>
      </w:r>
    </w:p>
    <w:p w14:paraId="67719D47" w14:textId="77777777" w:rsidR="00CA4283" w:rsidRPr="00C82085" w:rsidRDefault="00CA4283" w:rsidP="00CA4283">
      <w:pPr>
        <w:spacing w:line="360" w:lineRule="auto"/>
        <w:jc w:val="both"/>
        <w:rPr>
          <w:sz w:val="26"/>
          <w:szCs w:val="26"/>
          <w:lang w:val="en-US"/>
        </w:rPr>
      </w:pPr>
      <w:r w:rsidRPr="00C82085">
        <w:rPr>
          <w:b/>
          <w:bCs/>
          <w:sz w:val="26"/>
          <w:szCs w:val="26"/>
          <w:lang w:val="en-US"/>
        </w:rPr>
        <w:t>Conclusions:</w:t>
      </w:r>
      <w:r w:rsidRPr="00C82085">
        <w:rPr>
          <w:sz w:val="26"/>
          <w:szCs w:val="26"/>
          <w:lang w:val="en-US"/>
        </w:rPr>
        <w:t xml:space="preserve"> Analysis of urinary metabolome of KTR patients in early post- transplantation shows the possibility to predict GFR evolution at 1 year. These findings may represent an innovative and helpful tool for clinicians to enhance patient care in post-transplantation period.</w:t>
      </w:r>
    </w:p>
    <w:p w14:paraId="76F75C02" w14:textId="77777777" w:rsidR="00811585" w:rsidRPr="00CA4283" w:rsidRDefault="00811585">
      <w:pPr>
        <w:rPr>
          <w:lang w:val="en-US"/>
        </w:rPr>
      </w:pPr>
    </w:p>
    <w:sectPr w:rsidR="00811585" w:rsidRPr="00CA428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irillo Arianna" w:date="2023-12-12T10:54:00Z" w:initials="CA">
    <w:p w14:paraId="0CABA608" w14:textId="77777777" w:rsidR="00CA4283" w:rsidRDefault="00CA4283" w:rsidP="00CA4283">
      <w:r>
        <w:rPr>
          <w:rStyle w:val="Marquedecommentaire"/>
        </w:rPr>
        <w:annotationRef/>
      </w:r>
      <w:r>
        <w:rPr>
          <w:color w:val="000000"/>
          <w:sz w:val="20"/>
          <w:szCs w:val="20"/>
        </w:rPr>
        <w:t>Not sure about authors’ position/ affiliations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ABA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9C0C62" w16cex:dateUtc="2023-12-12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ABA608" w16cid:durableId="599C0C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 Sans">
    <w:altName w:val="Verdana"/>
    <w:panose1 w:val="020B06040202020202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A43F8"/>
    <w:multiLevelType w:val="multilevel"/>
    <w:tmpl w:val="752C7696"/>
    <w:styleLink w:val="WWNum3"/>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1983071486">
    <w:abstractNumId w:val="0"/>
  </w:num>
  <w:num w:numId="2" w16cid:durableId="450712998">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rillo Arianna">
    <w15:presenceInfo w15:providerId="AD" w15:userId="S::arianna.cirillo@uliege.be::68e6739f-686b-495a-aa3f-38f024f326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83"/>
    <w:rsid w:val="00321B2B"/>
    <w:rsid w:val="00811585"/>
    <w:rsid w:val="00876751"/>
    <w:rsid w:val="008823CC"/>
    <w:rsid w:val="00A8260D"/>
    <w:rsid w:val="00AF7586"/>
    <w:rsid w:val="00CA4283"/>
    <w:rsid w:val="00D41ED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15A19E7"/>
  <w15:chartTrackingRefBased/>
  <w15:docId w15:val="{D08E0078-ED53-E948-A636-F3ECEBF5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83"/>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CA4283"/>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4283"/>
    <w:rPr>
      <w:rFonts w:asciiTheme="majorHAnsi" w:eastAsiaTheme="majorEastAsia" w:hAnsiTheme="majorHAnsi" w:cstheme="majorBidi"/>
      <w:color w:val="2F5496" w:themeColor="accent1" w:themeShade="BF"/>
      <w:kern w:val="0"/>
      <w:sz w:val="32"/>
      <w:szCs w:val="32"/>
      <w:lang w:val="en-US" w:eastAsia="fr-FR"/>
      <w14:ligatures w14:val="none"/>
    </w:rPr>
  </w:style>
  <w:style w:type="paragraph" w:styleId="Paragraphedeliste">
    <w:name w:val="List Paragraph"/>
    <w:basedOn w:val="Normal"/>
    <w:link w:val="ParagraphedelisteCar"/>
    <w:uiPriority w:val="34"/>
    <w:qFormat/>
    <w:rsid w:val="00CA4283"/>
    <w:pPr>
      <w:ind w:left="720"/>
      <w:contextualSpacing/>
    </w:pPr>
    <w:rPr>
      <w:lang w:val="en-US"/>
    </w:rPr>
  </w:style>
  <w:style w:type="character" w:customStyle="1" w:styleId="ParagraphedelisteCar">
    <w:name w:val="Paragraphe de liste Car"/>
    <w:link w:val="Paragraphedeliste"/>
    <w:uiPriority w:val="34"/>
    <w:qFormat/>
    <w:locked/>
    <w:rsid w:val="00CA4283"/>
    <w:rPr>
      <w:rFonts w:ascii="Times New Roman" w:eastAsia="Times New Roman" w:hAnsi="Times New Roman" w:cs="Times New Roman"/>
      <w:kern w:val="0"/>
      <w:lang w:val="en-US" w:eastAsia="fr-FR"/>
      <w14:ligatures w14:val="none"/>
    </w:rPr>
  </w:style>
  <w:style w:type="paragraph" w:customStyle="1" w:styleId="Standard">
    <w:name w:val="Standard"/>
    <w:rsid w:val="00CA4283"/>
    <w:pPr>
      <w:suppressAutoHyphens/>
      <w:autoSpaceDN w:val="0"/>
      <w:textAlignment w:val="baseline"/>
    </w:pPr>
    <w:rPr>
      <w:rFonts w:ascii="Calibri" w:eastAsia="Calibri" w:hAnsi="Calibri" w:cs="DejaVu Sans"/>
      <w:kern w:val="3"/>
      <w14:ligatures w14:val="none"/>
    </w:rPr>
  </w:style>
  <w:style w:type="numbering" w:customStyle="1" w:styleId="WWNum3">
    <w:name w:val="WWNum3"/>
    <w:basedOn w:val="Aucuneliste"/>
    <w:rsid w:val="00CA4283"/>
    <w:pPr>
      <w:numPr>
        <w:numId w:val="1"/>
      </w:numPr>
    </w:pPr>
  </w:style>
  <w:style w:type="character" w:styleId="Marquedecommentaire">
    <w:name w:val="annotation reference"/>
    <w:basedOn w:val="Policepardfaut"/>
    <w:rsid w:val="00CA4283"/>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Times New Roman" w:eastAsia="Times New Roman" w:hAnsi="Times New Roman" w:cs="Times New Roman"/>
      <w:kern w:val="0"/>
      <w:sz w:val="20"/>
      <w:szCs w:val="20"/>
      <w:lang w:eastAsia="fr-FR"/>
      <w14:ligatures w14:val="none"/>
    </w:rPr>
  </w:style>
  <w:style w:type="paragraph" w:styleId="Rvision">
    <w:name w:val="Revision"/>
    <w:hidden/>
    <w:uiPriority w:val="99"/>
    <w:semiHidden/>
    <w:rsid w:val="00AF7586"/>
    <w:rPr>
      <w:rFonts w:ascii="Times New Roman" w:eastAsia="Times New Roman" w:hAnsi="Times New Roman" w:cs="Times New Roman"/>
      <w:kern w:val="0"/>
      <w:lang w:eastAsia="fr-FR"/>
      <w14:ligatures w14:val="none"/>
    </w:rPr>
  </w:style>
  <w:style w:type="paragraph" w:styleId="Objetducommentaire">
    <w:name w:val="annotation subject"/>
    <w:basedOn w:val="Commentaire"/>
    <w:next w:val="Commentaire"/>
    <w:link w:val="ObjetducommentaireCar"/>
    <w:uiPriority w:val="99"/>
    <w:semiHidden/>
    <w:unhideWhenUsed/>
    <w:rsid w:val="00AF7586"/>
    <w:rPr>
      <w:b/>
      <w:bCs/>
    </w:rPr>
  </w:style>
  <w:style w:type="character" w:customStyle="1" w:styleId="ObjetducommentaireCar">
    <w:name w:val="Objet du commentaire Car"/>
    <w:basedOn w:val="CommentaireCar"/>
    <w:link w:val="Objetducommentaire"/>
    <w:uiPriority w:val="99"/>
    <w:semiHidden/>
    <w:rsid w:val="00AF7586"/>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2338</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Cirillo Arianna</dc:creator>
  <cp:keywords/>
  <dc:description/>
  <cp:lastModifiedBy>Cirillo Arianna</cp:lastModifiedBy>
  <cp:revision>2</cp:revision>
  <dcterms:created xsi:type="dcterms:W3CDTF">2023-12-14T09:21:00Z</dcterms:created>
  <dcterms:modified xsi:type="dcterms:W3CDTF">2023-12-14T09:21:00Z</dcterms:modified>
</cp:coreProperties>
</file>