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BD36DD" w:rsidRDefault="00654E8F" w:rsidP="0001436A">
      <w:pPr>
        <w:pStyle w:val="SupplementaryMaterial"/>
        <w:rPr>
          <w:b w:val="0"/>
          <w:color w:val="000000" w:themeColor="text1"/>
        </w:rPr>
      </w:pPr>
      <w:r w:rsidRPr="00BD36DD">
        <w:rPr>
          <w:color w:val="000000" w:themeColor="text1"/>
        </w:rPr>
        <w:t>Supplementary Material</w:t>
      </w:r>
    </w:p>
    <w:p w14:paraId="35959CE4" w14:textId="77777777" w:rsidR="00F36685" w:rsidRPr="00BD36DD" w:rsidRDefault="00F36685" w:rsidP="0001436A">
      <w:pPr>
        <w:pStyle w:val="AuthorList"/>
        <w:rPr>
          <w:color w:val="000000" w:themeColor="text1"/>
          <w:sz w:val="32"/>
          <w:szCs w:val="32"/>
        </w:rPr>
      </w:pPr>
      <w:r w:rsidRPr="00BD36DD">
        <w:rPr>
          <w:color w:val="000000" w:themeColor="text1"/>
          <w:sz w:val="32"/>
          <w:szCs w:val="32"/>
        </w:rPr>
        <w:t>A carbonate system time series in the Eastern Mediterranean Sea. Two years of high-frequency in-situ observations and remote sensing</w:t>
      </w:r>
    </w:p>
    <w:p w14:paraId="12822370" w14:textId="1E10023A" w:rsidR="00F36685" w:rsidRPr="00BD36DD" w:rsidRDefault="00F36685" w:rsidP="00F65629">
      <w:pPr>
        <w:spacing w:before="240" w:after="0"/>
        <w:rPr>
          <w:rFonts w:cs="Times New Roman"/>
          <w:b/>
          <w:color w:val="000000" w:themeColor="text1"/>
          <w:szCs w:val="24"/>
        </w:rPr>
      </w:pPr>
      <w:r w:rsidRPr="00BD36DD">
        <w:rPr>
          <w:rFonts w:cs="Times New Roman"/>
          <w:b/>
          <w:color w:val="000000" w:themeColor="text1"/>
          <w:szCs w:val="24"/>
        </w:rPr>
        <w:t xml:space="preserve">Frangoulis C.*, </w:t>
      </w:r>
      <w:proofErr w:type="spellStart"/>
      <w:r w:rsidRPr="00BD36DD">
        <w:rPr>
          <w:rFonts w:cs="Times New Roman"/>
          <w:b/>
          <w:color w:val="000000" w:themeColor="text1"/>
          <w:szCs w:val="24"/>
        </w:rPr>
        <w:t>Stamataki</w:t>
      </w:r>
      <w:proofErr w:type="spellEnd"/>
      <w:r w:rsidRPr="00BD36DD">
        <w:rPr>
          <w:rFonts w:cs="Times New Roman"/>
          <w:b/>
          <w:color w:val="000000" w:themeColor="text1"/>
          <w:szCs w:val="24"/>
        </w:rPr>
        <w:t xml:space="preserve"> N., </w:t>
      </w:r>
      <w:proofErr w:type="spellStart"/>
      <w:r w:rsidRPr="00BD36DD">
        <w:rPr>
          <w:rFonts w:cs="Times New Roman"/>
          <w:b/>
          <w:color w:val="000000" w:themeColor="text1"/>
          <w:szCs w:val="24"/>
        </w:rPr>
        <w:t>Pettas</w:t>
      </w:r>
      <w:proofErr w:type="spellEnd"/>
      <w:r w:rsidRPr="00BD36DD">
        <w:rPr>
          <w:rFonts w:cs="Times New Roman"/>
          <w:b/>
          <w:color w:val="000000" w:themeColor="text1"/>
          <w:szCs w:val="24"/>
        </w:rPr>
        <w:t xml:space="preserve"> M., </w:t>
      </w:r>
      <w:proofErr w:type="spellStart"/>
      <w:r w:rsidRPr="00BD36DD">
        <w:rPr>
          <w:rFonts w:cs="Times New Roman"/>
          <w:b/>
          <w:color w:val="000000" w:themeColor="text1"/>
          <w:szCs w:val="24"/>
        </w:rPr>
        <w:t>Michelinakis</w:t>
      </w:r>
      <w:proofErr w:type="spellEnd"/>
      <w:r w:rsidRPr="00BD36DD">
        <w:rPr>
          <w:rFonts w:cs="Times New Roman"/>
          <w:b/>
          <w:color w:val="000000" w:themeColor="text1"/>
          <w:szCs w:val="24"/>
        </w:rPr>
        <w:t xml:space="preserve"> S., King A. L., </w:t>
      </w:r>
      <w:proofErr w:type="spellStart"/>
      <w:r w:rsidRPr="00BD36DD">
        <w:rPr>
          <w:rFonts w:cs="Times New Roman"/>
          <w:b/>
          <w:color w:val="000000" w:themeColor="text1"/>
          <w:szCs w:val="24"/>
        </w:rPr>
        <w:t>Giannoudi</w:t>
      </w:r>
      <w:proofErr w:type="spellEnd"/>
      <w:r w:rsidRPr="00BD36DD">
        <w:rPr>
          <w:rFonts w:cs="Times New Roman"/>
          <w:b/>
          <w:color w:val="000000" w:themeColor="text1"/>
          <w:szCs w:val="24"/>
        </w:rPr>
        <w:t xml:space="preserve"> L., Tsiaras K., Christodoulaki S., </w:t>
      </w:r>
      <w:proofErr w:type="spellStart"/>
      <w:r w:rsidRPr="00BD36DD">
        <w:rPr>
          <w:rFonts w:cs="Times New Roman"/>
          <w:b/>
          <w:color w:val="000000" w:themeColor="text1"/>
          <w:szCs w:val="24"/>
        </w:rPr>
        <w:t>Seppälä</w:t>
      </w:r>
      <w:proofErr w:type="spellEnd"/>
      <w:r w:rsidRPr="00BD36DD">
        <w:rPr>
          <w:rFonts w:cs="Times New Roman"/>
          <w:b/>
          <w:color w:val="000000" w:themeColor="text1"/>
          <w:szCs w:val="24"/>
        </w:rPr>
        <w:t xml:space="preserve"> J., Thyssen M., Borges A.V., </w:t>
      </w:r>
      <w:proofErr w:type="spellStart"/>
      <w:r w:rsidRPr="00BD36DD">
        <w:rPr>
          <w:rFonts w:cs="Times New Roman"/>
          <w:b/>
          <w:color w:val="000000" w:themeColor="text1"/>
          <w:szCs w:val="24"/>
        </w:rPr>
        <w:t>Krasakopoulou</w:t>
      </w:r>
      <w:proofErr w:type="spellEnd"/>
      <w:r w:rsidRPr="00BD36DD">
        <w:rPr>
          <w:rFonts w:cs="Times New Roman"/>
          <w:b/>
          <w:color w:val="000000" w:themeColor="text1"/>
          <w:szCs w:val="24"/>
        </w:rPr>
        <w:t xml:space="preserve"> E.</w:t>
      </w:r>
    </w:p>
    <w:p w14:paraId="217F3AE0" w14:textId="440BC49A" w:rsidR="002868E2" w:rsidRPr="00BD36DD" w:rsidRDefault="002868E2" w:rsidP="00F65629">
      <w:pPr>
        <w:spacing w:before="240" w:after="0"/>
        <w:rPr>
          <w:rFonts w:cs="Times New Roman"/>
          <w:color w:val="000000" w:themeColor="text1"/>
          <w:lang w:val="fr-FR"/>
        </w:rPr>
      </w:pPr>
      <w:r w:rsidRPr="00BD36DD">
        <w:rPr>
          <w:rFonts w:cs="Times New Roman"/>
          <w:b/>
          <w:color w:val="000000" w:themeColor="text1"/>
          <w:lang w:val="fr-FR"/>
        </w:rPr>
        <w:t xml:space="preserve">* </w:t>
      </w:r>
      <w:proofErr w:type="spellStart"/>
      <w:proofErr w:type="gramStart"/>
      <w:r w:rsidRPr="00BD36DD">
        <w:rPr>
          <w:rFonts w:cs="Times New Roman"/>
          <w:b/>
          <w:color w:val="000000" w:themeColor="text1"/>
          <w:lang w:val="fr-FR"/>
        </w:rPr>
        <w:t>Correspondence</w:t>
      </w:r>
      <w:proofErr w:type="spellEnd"/>
      <w:r w:rsidRPr="00BD36DD">
        <w:rPr>
          <w:rFonts w:cs="Times New Roman"/>
          <w:b/>
          <w:color w:val="000000" w:themeColor="text1"/>
          <w:lang w:val="fr-FR"/>
        </w:rPr>
        <w:t>:</w:t>
      </w:r>
      <w:proofErr w:type="gramEnd"/>
      <w:r w:rsidRPr="00BD36DD">
        <w:rPr>
          <w:rFonts w:cs="Times New Roman"/>
          <w:b/>
          <w:color w:val="000000" w:themeColor="text1"/>
          <w:lang w:val="fr-FR"/>
        </w:rPr>
        <w:t xml:space="preserve"> </w:t>
      </w:r>
      <w:r w:rsidR="00F65629" w:rsidRPr="00BD36DD">
        <w:rPr>
          <w:rFonts w:cs="Times New Roman"/>
          <w:color w:val="000000" w:themeColor="text1"/>
          <w:lang w:val="fr-FR"/>
        </w:rPr>
        <w:t>Frangoulis Constantin : cfrangoulis@hcmr.gr</w:t>
      </w:r>
    </w:p>
    <w:p w14:paraId="29026311" w14:textId="7A30784F" w:rsidR="00EA3D3C" w:rsidRPr="00BD36DD" w:rsidRDefault="00654E8F" w:rsidP="0001436A">
      <w:pPr>
        <w:pStyle w:val="Heading1"/>
        <w:rPr>
          <w:color w:val="000000" w:themeColor="text1"/>
        </w:rPr>
      </w:pPr>
      <w:r w:rsidRPr="00BD36DD">
        <w:rPr>
          <w:color w:val="000000" w:themeColor="text1"/>
        </w:rPr>
        <w:t xml:space="preserve">Supplementary </w:t>
      </w:r>
      <w:r w:rsidR="00B15DAE" w:rsidRPr="00BD36DD">
        <w:rPr>
          <w:color w:val="000000" w:themeColor="text1"/>
        </w:rPr>
        <w:t xml:space="preserve">material concerning internal </w:t>
      </w:r>
      <w:proofErr w:type="gramStart"/>
      <w:r w:rsidR="00B15DAE" w:rsidRPr="00BD36DD">
        <w:rPr>
          <w:color w:val="000000" w:themeColor="text1"/>
        </w:rPr>
        <w:t>consistency</w:t>
      </w:r>
      <w:proofErr w:type="gramEnd"/>
    </w:p>
    <w:p w14:paraId="46495EF6" w14:textId="77777777" w:rsidR="00B15DAE" w:rsidRPr="00BD36DD" w:rsidRDefault="00B15DAE" w:rsidP="00994A3D">
      <w:pPr>
        <w:jc w:val="both"/>
        <w:rPr>
          <w:color w:val="000000" w:themeColor="text1"/>
        </w:rPr>
      </w:pPr>
      <w:r w:rsidRPr="00BD36DD">
        <w:rPr>
          <w:color w:val="000000" w:themeColor="text1"/>
        </w:rPr>
        <w:t>For the Mediterranean Sea, to our knowledge, there is only one study examining the internal consistency of CO</w:t>
      </w:r>
      <w:r w:rsidRPr="00BD36DD">
        <w:rPr>
          <w:color w:val="000000" w:themeColor="text1"/>
          <w:vertAlign w:val="subscript"/>
        </w:rPr>
        <w:t>2</w:t>
      </w:r>
      <w:r w:rsidRPr="00BD36DD">
        <w:rPr>
          <w:color w:val="000000" w:themeColor="text1"/>
        </w:rPr>
        <w:t xml:space="preserve"> analysis in seawater and its dissociation constants. This study by Alvarez et al. (2014) using three measured variables AT, </w:t>
      </w:r>
      <w:proofErr w:type="gramStart"/>
      <w:r w:rsidRPr="00BD36DD">
        <w:rPr>
          <w:color w:val="000000" w:themeColor="text1"/>
        </w:rPr>
        <w:t>CT</w:t>
      </w:r>
      <w:proofErr w:type="gramEnd"/>
      <w:r w:rsidRPr="00BD36DD">
        <w:rPr>
          <w:color w:val="000000" w:themeColor="text1"/>
        </w:rPr>
        <w:t xml:space="preserve"> and pH, stressed the need of studies with an additional fourth measurement to confirm the internal consistency of K1 and K2. The present study is the first in the Mediterranean Sea measuring four variables: AT, CT, pH (bottle data) and CO</w:t>
      </w:r>
      <w:r w:rsidRPr="00BD36DD">
        <w:rPr>
          <w:color w:val="000000" w:themeColor="text1"/>
          <w:vertAlign w:val="subscript"/>
        </w:rPr>
        <w:t>2</w:t>
      </w:r>
      <w:r w:rsidRPr="00BD36DD">
        <w:rPr>
          <w:color w:val="000000" w:themeColor="text1"/>
        </w:rPr>
        <w:t xml:space="preserve"> (sensor data), and thus could be used to examine internal consistency. For estimations of pCO</w:t>
      </w:r>
      <w:r w:rsidRPr="00BD36DD">
        <w:rPr>
          <w:color w:val="000000" w:themeColor="text1"/>
          <w:vertAlign w:val="subscript"/>
        </w:rPr>
        <w:t>2</w:t>
      </w:r>
      <w:r w:rsidRPr="00BD36DD">
        <w:rPr>
          <w:color w:val="000000" w:themeColor="text1"/>
        </w:rPr>
        <w:t xml:space="preserve"> (using AT&amp;CT, </w:t>
      </w:r>
      <w:proofErr w:type="spellStart"/>
      <w:r w:rsidRPr="00BD36DD">
        <w:rPr>
          <w:color w:val="000000" w:themeColor="text1"/>
        </w:rPr>
        <w:t>pH&amp;AT</w:t>
      </w:r>
      <w:proofErr w:type="spellEnd"/>
      <w:r w:rsidRPr="00BD36DD">
        <w:rPr>
          <w:color w:val="000000" w:themeColor="text1"/>
        </w:rPr>
        <w:t xml:space="preserve">, </w:t>
      </w:r>
      <w:proofErr w:type="spellStart"/>
      <w:r w:rsidRPr="00BD36DD">
        <w:rPr>
          <w:color w:val="000000" w:themeColor="text1"/>
        </w:rPr>
        <w:t>pH&amp;CT</w:t>
      </w:r>
      <w:proofErr w:type="spellEnd"/>
      <w:r w:rsidRPr="00BD36DD">
        <w:rPr>
          <w:color w:val="000000" w:themeColor="text1"/>
        </w:rPr>
        <w:t>) we tested various CO2SYS program combinations of dissociation constants to identify the K1, K2 option giving lowest ΔCO</w:t>
      </w:r>
      <w:r w:rsidRPr="00BD36DD">
        <w:rPr>
          <w:color w:val="000000" w:themeColor="text1"/>
          <w:vertAlign w:val="subscript"/>
        </w:rPr>
        <w:t xml:space="preserve">2 </w:t>
      </w:r>
      <w:proofErr w:type="spellStart"/>
      <w:r w:rsidRPr="00BD36DD">
        <w:rPr>
          <w:color w:val="000000" w:themeColor="text1"/>
          <w:vertAlign w:val="subscript"/>
        </w:rPr>
        <w:t>obs</w:t>
      </w:r>
      <w:proofErr w:type="spellEnd"/>
      <w:r w:rsidRPr="00BD36DD">
        <w:rPr>
          <w:color w:val="000000" w:themeColor="text1"/>
          <w:vertAlign w:val="subscript"/>
        </w:rPr>
        <w:t>-est</w:t>
      </w:r>
      <w:r w:rsidRPr="00BD36DD">
        <w:rPr>
          <w:color w:val="000000" w:themeColor="text1"/>
        </w:rPr>
        <w:t>. This test was abandoned, as it showed high sensitivity (i.e. change in optimum K1, K2 set) when removing a few data. This sensitivity was probably due to the combination of a) the available dataset having all four variables being small (31 values), b) the uncertainty of the CO</w:t>
      </w:r>
      <w:r w:rsidRPr="00BD36DD">
        <w:rPr>
          <w:color w:val="000000" w:themeColor="text1"/>
          <w:vertAlign w:val="subscript"/>
        </w:rPr>
        <w:t>2</w:t>
      </w:r>
      <w:r w:rsidRPr="00BD36DD">
        <w:rPr>
          <w:color w:val="000000" w:themeColor="text1"/>
        </w:rPr>
        <w:t xml:space="preserve"> sensor (9 μatm±14 </w:t>
      </w:r>
      <w:proofErr w:type="spellStart"/>
      <w:r w:rsidRPr="00BD36DD">
        <w:rPr>
          <w:color w:val="000000" w:themeColor="text1"/>
        </w:rPr>
        <w:t>μatm</w:t>
      </w:r>
      <w:proofErr w:type="spellEnd"/>
      <w:r w:rsidRPr="00BD36DD">
        <w:rPr>
          <w:color w:val="000000" w:themeColor="text1"/>
        </w:rPr>
        <w:t xml:space="preserve"> when operating on a mooring, including uncertainties of the reference gases, Jiang et al., 2014) and c) the fact that some data were not well collocated in time. The latter occurred when the CO</w:t>
      </w:r>
      <w:r w:rsidRPr="00BD36DD">
        <w:rPr>
          <w:color w:val="000000" w:themeColor="text1"/>
          <w:vertAlign w:val="subscript"/>
        </w:rPr>
        <w:t>2</w:t>
      </w:r>
      <w:r w:rsidRPr="00BD36DD">
        <w:rPr>
          <w:color w:val="000000" w:themeColor="text1"/>
        </w:rPr>
        <w:t xml:space="preserve"> sensor was not well operating during the discrete sampling time (of </w:t>
      </w:r>
      <w:proofErr w:type="spellStart"/>
      <w:r w:rsidRPr="00BD36DD">
        <w:rPr>
          <w:color w:val="000000" w:themeColor="text1"/>
        </w:rPr>
        <w:t>AT&amp;CT&amp;pH</w:t>
      </w:r>
      <w:proofErr w:type="spellEnd"/>
      <w:r w:rsidRPr="00BD36DD">
        <w:rPr>
          <w:color w:val="000000" w:themeColor="text1"/>
        </w:rPr>
        <w:t>), so the data were flagged bad and the closest in time and temperature good value was taken. We also examined which pairs gave better estimates. For estimating pCO</w:t>
      </w:r>
      <w:r w:rsidRPr="00BD36DD">
        <w:rPr>
          <w:color w:val="000000" w:themeColor="text1"/>
          <w:vertAlign w:val="subscript"/>
        </w:rPr>
        <w:t>2,</w:t>
      </w:r>
      <w:r w:rsidRPr="00BD36DD">
        <w:rPr>
          <w:color w:val="000000" w:themeColor="text1"/>
        </w:rPr>
        <w:t xml:space="preserve"> the pH-AT pair performed better. This was expected as this combines one temperature and pressure independent measurement (CT or AT) with a temperature and pressure dependent measurement (pH or fCO</w:t>
      </w:r>
      <w:r w:rsidRPr="00BD36DD">
        <w:rPr>
          <w:color w:val="000000" w:themeColor="text1"/>
          <w:vertAlign w:val="subscript"/>
        </w:rPr>
        <w:t>2</w:t>
      </w:r>
      <w:r w:rsidRPr="00BD36DD">
        <w:rPr>
          <w:color w:val="000000" w:themeColor="text1"/>
        </w:rPr>
        <w:t>) (</w:t>
      </w:r>
      <w:proofErr w:type="spellStart"/>
      <w:r w:rsidRPr="00BD36DD">
        <w:rPr>
          <w:color w:val="000000" w:themeColor="text1"/>
        </w:rPr>
        <w:t>Woosley</w:t>
      </w:r>
      <w:proofErr w:type="spellEnd"/>
      <w:r w:rsidRPr="00BD36DD">
        <w:rPr>
          <w:color w:val="000000" w:themeColor="text1"/>
        </w:rPr>
        <w:t xml:space="preserve">, 2021). The pH-AT pair was the most consistent pair, compared to CT-AT and pH-CT, due to the higher precision of AT vs CT measurements (respectively &lt;2 </w:t>
      </w:r>
      <w:proofErr w:type="spellStart"/>
      <w:r w:rsidRPr="00BD36DD">
        <w:rPr>
          <w:color w:val="000000" w:themeColor="text1"/>
        </w:rPr>
        <w:t>μmol</w:t>
      </w:r>
      <w:proofErr w:type="spellEnd"/>
      <w:r w:rsidRPr="00BD36DD">
        <w:rPr>
          <w:color w:val="000000" w:themeColor="text1"/>
        </w:rPr>
        <w:t xml:space="preserve"> kg</w:t>
      </w:r>
      <w:r w:rsidRPr="00BD36DD">
        <w:rPr>
          <w:color w:val="000000" w:themeColor="text1"/>
          <w:vertAlign w:val="superscript"/>
        </w:rPr>
        <w:t>-1</w:t>
      </w:r>
      <w:r w:rsidRPr="00BD36DD">
        <w:rPr>
          <w:color w:val="000000" w:themeColor="text1"/>
        </w:rPr>
        <w:t xml:space="preserve"> and &lt;5 </w:t>
      </w:r>
      <w:proofErr w:type="spellStart"/>
      <w:r w:rsidRPr="00BD36DD">
        <w:rPr>
          <w:color w:val="000000" w:themeColor="text1"/>
        </w:rPr>
        <w:t>μmol</w:t>
      </w:r>
      <w:proofErr w:type="spellEnd"/>
      <w:r w:rsidRPr="00BD36DD">
        <w:rPr>
          <w:color w:val="000000" w:themeColor="text1"/>
        </w:rPr>
        <w:t xml:space="preserve"> kg</w:t>
      </w:r>
      <w:r w:rsidRPr="00BD36DD">
        <w:rPr>
          <w:color w:val="000000" w:themeColor="text1"/>
          <w:vertAlign w:val="superscript"/>
        </w:rPr>
        <w:t>-1</w:t>
      </w:r>
      <w:r w:rsidRPr="00BD36DD">
        <w:rPr>
          <w:color w:val="000000" w:themeColor="text1"/>
        </w:rPr>
        <w:t>) and not due to the choice of K1, K2 since this choice affects pCO</w:t>
      </w:r>
      <w:r w:rsidRPr="00BD36DD">
        <w:rPr>
          <w:color w:val="000000" w:themeColor="text1"/>
          <w:vertAlign w:val="subscript"/>
        </w:rPr>
        <w:t>2</w:t>
      </w:r>
      <w:r w:rsidRPr="00BD36DD">
        <w:rPr>
          <w:color w:val="000000" w:themeColor="text1"/>
        </w:rPr>
        <w:t xml:space="preserve"> estimations from AT and CT in the same way. </w:t>
      </w:r>
    </w:p>
    <w:p w14:paraId="215FDEB9" w14:textId="0EA66107" w:rsidR="00B15DAE" w:rsidRPr="00BD36DD" w:rsidRDefault="00B15DAE" w:rsidP="00B15DAE">
      <w:pPr>
        <w:rPr>
          <w:rFonts w:eastAsia="Calibri"/>
          <w:color w:val="000000" w:themeColor="text1"/>
        </w:rPr>
      </w:pPr>
      <w:r w:rsidRPr="00BD36DD">
        <w:rPr>
          <w:rFonts w:eastAsia="Calibri"/>
          <w:color w:val="000000" w:themeColor="text1"/>
        </w:rPr>
        <w:t xml:space="preserve">Jiang, Z., </w:t>
      </w:r>
      <w:proofErr w:type="spellStart"/>
      <w:r w:rsidRPr="00BD36DD">
        <w:rPr>
          <w:rFonts w:eastAsia="Calibri"/>
          <w:color w:val="000000" w:themeColor="text1"/>
        </w:rPr>
        <w:t>Hydes</w:t>
      </w:r>
      <w:proofErr w:type="spellEnd"/>
      <w:r w:rsidRPr="00BD36DD">
        <w:rPr>
          <w:rFonts w:eastAsia="Calibri"/>
          <w:color w:val="000000" w:themeColor="text1"/>
        </w:rPr>
        <w:t>, D. J., Hartman, S. E., Hartman, M. C., Campbell, J. M., Johnson, B. D., et al. (2014). Application and assessment of a membrane‐based pCO</w:t>
      </w:r>
      <w:r w:rsidRPr="00BD36DD">
        <w:rPr>
          <w:rFonts w:eastAsia="Calibri"/>
          <w:color w:val="000000" w:themeColor="text1"/>
          <w:vertAlign w:val="subscript"/>
        </w:rPr>
        <w:t>2</w:t>
      </w:r>
      <w:r w:rsidRPr="00BD36DD">
        <w:rPr>
          <w:rFonts w:eastAsia="Calibri"/>
          <w:color w:val="000000" w:themeColor="text1"/>
        </w:rPr>
        <w:t xml:space="preserve"> sensor under field and laboratory conditions. </w:t>
      </w:r>
      <w:proofErr w:type="spellStart"/>
      <w:r w:rsidRPr="00BD36DD">
        <w:rPr>
          <w:rFonts w:eastAsia="Calibri"/>
          <w:color w:val="000000" w:themeColor="text1"/>
        </w:rPr>
        <w:t>Limnol</w:t>
      </w:r>
      <w:proofErr w:type="spellEnd"/>
      <w:r w:rsidRPr="00BD36DD">
        <w:rPr>
          <w:rFonts w:eastAsia="Calibri"/>
          <w:color w:val="000000" w:themeColor="text1"/>
        </w:rPr>
        <w:t xml:space="preserve">. </w:t>
      </w:r>
      <w:proofErr w:type="spellStart"/>
      <w:r w:rsidRPr="00BD36DD">
        <w:rPr>
          <w:rFonts w:eastAsia="Calibri"/>
          <w:color w:val="000000" w:themeColor="text1"/>
        </w:rPr>
        <w:t>Oceanogr</w:t>
      </w:r>
      <w:proofErr w:type="spellEnd"/>
      <w:r w:rsidRPr="00BD36DD">
        <w:rPr>
          <w:rFonts w:eastAsia="Calibri"/>
          <w:color w:val="000000" w:themeColor="text1"/>
        </w:rPr>
        <w:t xml:space="preserve">. Methods12, 264–280. </w:t>
      </w:r>
      <w:proofErr w:type="spellStart"/>
      <w:r w:rsidRPr="00BD36DD">
        <w:rPr>
          <w:rFonts w:eastAsia="Calibri"/>
          <w:color w:val="000000" w:themeColor="text1"/>
        </w:rPr>
        <w:t>doi</w:t>
      </w:r>
      <w:proofErr w:type="spellEnd"/>
      <w:r w:rsidRPr="00BD36DD">
        <w:rPr>
          <w:rFonts w:eastAsia="Calibri"/>
          <w:color w:val="000000" w:themeColor="text1"/>
        </w:rPr>
        <w:t>:</w:t>
      </w:r>
      <w:r w:rsidRPr="00BD36DD">
        <w:rPr>
          <w:color w:val="000000" w:themeColor="text1"/>
        </w:rPr>
        <w:t xml:space="preserve"> </w:t>
      </w:r>
      <w:r w:rsidRPr="00BD36DD">
        <w:rPr>
          <w:rFonts w:eastAsia="Calibri"/>
          <w:color w:val="000000" w:themeColor="text1"/>
        </w:rPr>
        <w:t>10.4319/lom.2014.12.264</w:t>
      </w:r>
    </w:p>
    <w:p w14:paraId="7CC99E9D" w14:textId="77777777" w:rsidR="00B15DAE" w:rsidRPr="00BD36DD" w:rsidRDefault="00B15DAE" w:rsidP="00B15DAE">
      <w:pPr>
        <w:rPr>
          <w:rFonts w:eastAsia="Calibri"/>
          <w:color w:val="000000" w:themeColor="text1"/>
          <w:lang w:val="fr-FR"/>
        </w:rPr>
      </w:pPr>
      <w:proofErr w:type="spellStart"/>
      <w:r w:rsidRPr="00BD36DD">
        <w:rPr>
          <w:rFonts w:eastAsia="Calibri"/>
          <w:color w:val="000000" w:themeColor="text1"/>
        </w:rPr>
        <w:t>Woosley</w:t>
      </w:r>
      <w:proofErr w:type="spellEnd"/>
      <w:r w:rsidRPr="00BD36DD">
        <w:rPr>
          <w:rFonts w:eastAsia="Calibri"/>
          <w:color w:val="000000" w:themeColor="text1"/>
        </w:rPr>
        <w:t xml:space="preserve">, R. J. (2021). Evaluation of the temperature dependence of dissociation constants for the marine carbon system using pH and certified reference materials. </w:t>
      </w:r>
      <w:r w:rsidRPr="00BD36DD">
        <w:rPr>
          <w:rFonts w:eastAsia="Calibri"/>
          <w:color w:val="000000" w:themeColor="text1"/>
          <w:lang w:val="fr-FR"/>
        </w:rPr>
        <w:t xml:space="preserve">Mar. </w:t>
      </w:r>
      <w:proofErr w:type="spellStart"/>
      <w:r w:rsidRPr="00BD36DD">
        <w:rPr>
          <w:rFonts w:eastAsia="Calibri"/>
          <w:color w:val="000000" w:themeColor="text1"/>
          <w:lang w:val="fr-FR"/>
        </w:rPr>
        <w:t>Chem</w:t>
      </w:r>
      <w:proofErr w:type="spellEnd"/>
      <w:r w:rsidRPr="00BD36DD">
        <w:rPr>
          <w:rFonts w:eastAsia="Calibri"/>
          <w:color w:val="000000" w:themeColor="text1"/>
          <w:lang w:val="fr-FR"/>
        </w:rPr>
        <w:t xml:space="preserve">. 229, 103914. </w:t>
      </w:r>
      <w:proofErr w:type="spellStart"/>
      <w:proofErr w:type="gramStart"/>
      <w:r w:rsidRPr="00BD36DD">
        <w:rPr>
          <w:rFonts w:eastAsia="Calibri"/>
          <w:color w:val="000000" w:themeColor="text1"/>
          <w:lang w:val="fr-FR"/>
        </w:rPr>
        <w:t>doi</w:t>
      </w:r>
      <w:proofErr w:type="spellEnd"/>
      <w:r w:rsidRPr="00BD36DD">
        <w:rPr>
          <w:rFonts w:eastAsia="Calibri"/>
          <w:color w:val="000000" w:themeColor="text1"/>
          <w:lang w:val="fr-FR"/>
        </w:rPr>
        <w:t>:</w:t>
      </w:r>
      <w:proofErr w:type="gramEnd"/>
      <w:r w:rsidRPr="00BD36DD">
        <w:rPr>
          <w:rFonts w:eastAsia="Calibri"/>
          <w:color w:val="000000" w:themeColor="text1"/>
          <w:lang w:val="fr-FR"/>
        </w:rPr>
        <w:t xml:space="preserve"> 10.1016/j.marchem.2020.103914.</w:t>
      </w:r>
    </w:p>
    <w:p w14:paraId="16880F8F" w14:textId="77777777" w:rsidR="00B15DAE" w:rsidRPr="00BD36DD" w:rsidRDefault="00B15DAE" w:rsidP="00994A3D">
      <w:pPr>
        <w:jc w:val="both"/>
        <w:rPr>
          <w:color w:val="000000" w:themeColor="text1"/>
        </w:rPr>
      </w:pPr>
    </w:p>
    <w:p w14:paraId="3F22DE4E" w14:textId="77777777" w:rsidR="00B15DAE" w:rsidRPr="00BD36DD" w:rsidRDefault="00B15DAE" w:rsidP="00994A3D">
      <w:pPr>
        <w:jc w:val="both"/>
        <w:rPr>
          <w:color w:val="000000" w:themeColor="text1"/>
        </w:rPr>
      </w:pPr>
    </w:p>
    <w:p w14:paraId="557A0B5E" w14:textId="77777777" w:rsidR="00EB6DE1" w:rsidRPr="00BD36DD" w:rsidRDefault="00654E8F" w:rsidP="0001436A">
      <w:pPr>
        <w:pStyle w:val="Heading1"/>
        <w:rPr>
          <w:color w:val="000000" w:themeColor="text1"/>
        </w:rPr>
      </w:pPr>
      <w:r w:rsidRPr="00BD36DD">
        <w:rPr>
          <w:color w:val="000000" w:themeColor="text1"/>
        </w:rPr>
        <w:lastRenderedPageBreak/>
        <w:t xml:space="preserve">Supplementary Figures </w:t>
      </w:r>
    </w:p>
    <w:p w14:paraId="5E584EE8" w14:textId="51D8EE87" w:rsidR="00994A3D" w:rsidRPr="00BD36DD" w:rsidRDefault="00EB6DE1" w:rsidP="00EB6DE1">
      <w:pPr>
        <w:pStyle w:val="Heading1"/>
        <w:numPr>
          <w:ilvl w:val="0"/>
          <w:numId w:val="0"/>
        </w:numPr>
        <w:ind w:left="567"/>
        <w:jc w:val="center"/>
        <w:rPr>
          <w:color w:val="000000" w:themeColor="text1"/>
        </w:rPr>
      </w:pPr>
      <w:r w:rsidRPr="00BD36DD">
        <w:rPr>
          <w:noProof/>
          <w:color w:val="000000" w:themeColor="text1"/>
        </w:rPr>
        <w:drawing>
          <wp:inline distT="0" distB="0" distL="0" distR="0" wp14:anchorId="0A438963" wp14:editId="1EB15341">
            <wp:extent cx="3502660" cy="7152978"/>
            <wp:effectExtent l="0" t="0" r="2540" b="0"/>
            <wp:docPr id="1523121741" name="Picture 2" descr="A graph of a number of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21741" name="Picture 2" descr="A graph of a number of tim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2565" cy="7193627"/>
                    </a:xfrm>
                    <a:prstGeom prst="rect">
                      <a:avLst/>
                    </a:prstGeom>
                  </pic:spPr>
                </pic:pic>
              </a:graphicData>
            </a:graphic>
          </wp:inline>
        </w:drawing>
      </w:r>
    </w:p>
    <w:p w14:paraId="7D09D434" w14:textId="77777777" w:rsidR="00EB6DE1" w:rsidRPr="00BD36DD" w:rsidRDefault="00EB6DE1" w:rsidP="00EB6DE1">
      <w:pPr>
        <w:keepNext/>
        <w:rPr>
          <w:rFonts w:cs="Times New Roman"/>
          <w:color w:val="000000" w:themeColor="text1"/>
          <w:szCs w:val="24"/>
        </w:rPr>
      </w:pPr>
      <w:r w:rsidRPr="00BD36DD">
        <w:rPr>
          <w:rFonts w:cs="Times New Roman"/>
          <w:b/>
          <w:bCs/>
          <w:color w:val="000000" w:themeColor="text1"/>
          <w:szCs w:val="24"/>
        </w:rPr>
        <w:t>Supplementary Figure 1</w:t>
      </w:r>
      <w:r w:rsidRPr="00BD36DD">
        <w:rPr>
          <w:rFonts w:cs="Times New Roman"/>
          <w:color w:val="000000" w:themeColor="text1"/>
          <w:szCs w:val="24"/>
        </w:rPr>
        <w:t>. Time series of dissolved inorganic nutrients from discrete measurements at HCB.</w:t>
      </w:r>
    </w:p>
    <w:p w14:paraId="44445FA1" w14:textId="77777777" w:rsidR="00EB6DE1" w:rsidRPr="00BD36DD" w:rsidRDefault="00EB6DE1" w:rsidP="00EB6DE1">
      <w:pPr>
        <w:rPr>
          <w:color w:val="000000" w:themeColor="text1"/>
        </w:rPr>
      </w:pPr>
    </w:p>
    <w:p w14:paraId="1DF782B1" w14:textId="13053BC8" w:rsidR="00EB6DE1" w:rsidRPr="00BD36DD" w:rsidRDefault="00182442" w:rsidP="00182442">
      <w:pPr>
        <w:jc w:val="center"/>
        <w:rPr>
          <w:color w:val="000000" w:themeColor="text1"/>
        </w:rPr>
      </w:pPr>
      <w:r w:rsidRPr="00BD36DD">
        <w:rPr>
          <w:noProof/>
          <w:color w:val="000000" w:themeColor="text1"/>
        </w:rPr>
        <w:lastRenderedPageBreak/>
        <w:drawing>
          <wp:inline distT="0" distB="0" distL="0" distR="0" wp14:anchorId="4AD317D6" wp14:editId="389B0F3A">
            <wp:extent cx="5176911" cy="3385743"/>
            <wp:effectExtent l="0" t="0" r="5080" b="5715"/>
            <wp:docPr id="1621577538" name="Picture 3" descr="A graph showing the difference between salinity and sali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77538" name="Picture 3" descr="A graph showing the difference between salinity and salinit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9953" cy="3387732"/>
                    </a:xfrm>
                    <a:prstGeom prst="rect">
                      <a:avLst/>
                    </a:prstGeom>
                  </pic:spPr>
                </pic:pic>
              </a:graphicData>
            </a:graphic>
          </wp:inline>
        </w:drawing>
      </w:r>
    </w:p>
    <w:p w14:paraId="117217D5" w14:textId="66ABB30A" w:rsidR="00EB6DE1" w:rsidRPr="00BD36DD" w:rsidRDefault="00EB6DE1" w:rsidP="00EB6DE1">
      <w:pPr>
        <w:keepNext/>
        <w:rPr>
          <w:rFonts w:cs="Times New Roman"/>
          <w:color w:val="000000" w:themeColor="text1"/>
          <w:szCs w:val="24"/>
        </w:rPr>
      </w:pPr>
      <w:r w:rsidRPr="00BD36DD">
        <w:rPr>
          <w:rFonts w:cs="Times New Roman"/>
          <w:b/>
          <w:bCs/>
          <w:color w:val="000000" w:themeColor="text1"/>
          <w:szCs w:val="24"/>
        </w:rPr>
        <w:t>Supplementary Figure 2</w:t>
      </w:r>
      <w:r w:rsidRPr="00BD36DD">
        <w:rPr>
          <w:rFonts w:cs="Times New Roman"/>
          <w:color w:val="000000" w:themeColor="text1"/>
          <w:szCs w:val="24"/>
        </w:rPr>
        <w:t>. Relationship between salinity and AT (equation 5) obtained from discrete measurements at HCB (data from December 2020 shown as white points, were excluded for the relationship).</w:t>
      </w:r>
    </w:p>
    <w:p w14:paraId="28331F39" w14:textId="7B7D9F5B" w:rsidR="00182442" w:rsidRPr="00BD36DD" w:rsidRDefault="00182442" w:rsidP="00EB6DE1">
      <w:pPr>
        <w:keepNext/>
        <w:rPr>
          <w:rFonts w:cs="Times New Roman"/>
          <w:color w:val="000000" w:themeColor="text1"/>
          <w:szCs w:val="24"/>
        </w:rPr>
      </w:pPr>
      <w:r w:rsidRPr="00BD36DD">
        <w:rPr>
          <w:rFonts w:cs="Times New Roman"/>
          <w:noProof/>
          <w:color w:val="000000" w:themeColor="text1"/>
          <w:szCs w:val="24"/>
        </w:rPr>
        <w:drawing>
          <wp:inline distT="0" distB="0" distL="0" distR="0" wp14:anchorId="1D5765AA" wp14:editId="13D39F83">
            <wp:extent cx="6208395" cy="3265170"/>
            <wp:effectExtent l="0" t="0" r="1905" b="0"/>
            <wp:docPr id="1928988005" name="Picture 4" descr="A graph showing the time and mon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88005" name="Picture 4" descr="A graph showing the time and month of the ye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3265170"/>
                    </a:xfrm>
                    <a:prstGeom prst="rect">
                      <a:avLst/>
                    </a:prstGeom>
                  </pic:spPr>
                </pic:pic>
              </a:graphicData>
            </a:graphic>
          </wp:inline>
        </w:drawing>
      </w:r>
    </w:p>
    <w:p w14:paraId="3B020E77" w14:textId="6109119B" w:rsidR="00994A3D" w:rsidRPr="00BD36DD" w:rsidRDefault="00EB6DE1" w:rsidP="00EB6DE1">
      <w:pPr>
        <w:keepNext/>
        <w:rPr>
          <w:rFonts w:cs="Times New Roman"/>
          <w:b/>
          <w:color w:val="000000" w:themeColor="text1"/>
          <w:szCs w:val="24"/>
        </w:rPr>
      </w:pPr>
      <w:r w:rsidRPr="00BD36DD">
        <w:rPr>
          <w:rFonts w:cs="Times New Roman"/>
          <w:b/>
          <w:bCs/>
          <w:color w:val="000000" w:themeColor="text1"/>
          <w:szCs w:val="24"/>
        </w:rPr>
        <w:t>Supplementary Figure 3</w:t>
      </w:r>
      <w:r w:rsidRPr="00BD36DD">
        <w:rPr>
          <w:rFonts w:cs="Times New Roman"/>
          <w:color w:val="000000" w:themeColor="text1"/>
          <w:szCs w:val="24"/>
        </w:rPr>
        <w:t>. Ratio between the thermal and non-thermal of pCO</w:t>
      </w:r>
      <w:r w:rsidRPr="00BD36DD">
        <w:rPr>
          <w:rFonts w:cs="Times New Roman"/>
          <w:color w:val="000000" w:themeColor="text1"/>
          <w:szCs w:val="24"/>
          <w:vertAlign w:val="subscript"/>
        </w:rPr>
        <w:t>2</w:t>
      </w:r>
      <w:r w:rsidRPr="00BD36DD">
        <w:rPr>
          <w:rFonts w:cs="Times New Roman"/>
          <w:color w:val="000000" w:themeColor="text1"/>
          <w:szCs w:val="24"/>
        </w:rPr>
        <w:t xml:space="preserve"> (</w:t>
      </w:r>
      <w:proofErr w:type="spellStart"/>
      <w:r w:rsidRPr="00BD36DD">
        <w:rPr>
          <w:rFonts w:cs="Times New Roman"/>
          <w:color w:val="000000" w:themeColor="text1"/>
          <w:szCs w:val="24"/>
        </w:rPr>
        <w:t>μatm</w:t>
      </w:r>
      <w:proofErr w:type="spellEnd"/>
      <w:r w:rsidRPr="00BD36DD">
        <w:rPr>
          <w:rFonts w:cs="Times New Roman"/>
          <w:color w:val="000000" w:themeColor="text1"/>
          <w:szCs w:val="24"/>
        </w:rPr>
        <w:t>) calculated respectively from equations 1 and 2 (shown independently on Fig. 6).</w:t>
      </w:r>
    </w:p>
    <w:p w14:paraId="58F1AED1" w14:textId="77777777" w:rsidR="00DE23E8" w:rsidRPr="00BD36DD" w:rsidRDefault="00DE23E8" w:rsidP="00654E8F">
      <w:pPr>
        <w:spacing w:before="240"/>
        <w:rPr>
          <w:color w:val="000000" w:themeColor="text1"/>
        </w:rPr>
      </w:pPr>
    </w:p>
    <w:sectPr w:rsidR="00DE23E8" w:rsidRPr="00BD36DD" w:rsidSect="00806AD7">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11F9E" w14:textId="77777777" w:rsidR="00806AD7" w:rsidRDefault="00806AD7" w:rsidP="00117666">
      <w:pPr>
        <w:spacing w:after="0"/>
      </w:pPr>
      <w:r>
        <w:separator/>
      </w:r>
    </w:p>
  </w:endnote>
  <w:endnote w:type="continuationSeparator" w:id="0">
    <w:p w14:paraId="67ED70C6" w14:textId="77777777" w:rsidR="00806AD7" w:rsidRDefault="00806AD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5E2B2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E2B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5E2B2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E2B2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5FFB6" w14:textId="77777777" w:rsidR="00806AD7" w:rsidRDefault="00806AD7" w:rsidP="00117666">
      <w:pPr>
        <w:spacing w:after="0"/>
      </w:pPr>
      <w:r>
        <w:separator/>
      </w:r>
    </w:p>
  </w:footnote>
  <w:footnote w:type="continuationSeparator" w:id="0">
    <w:p w14:paraId="36BC0BE0" w14:textId="77777777" w:rsidR="00806AD7" w:rsidRDefault="00806AD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5E2B2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5E2B2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0E3B"/>
    <w:rsid w:val="00105FD9"/>
    <w:rsid w:val="00117666"/>
    <w:rsid w:val="001549D3"/>
    <w:rsid w:val="00160065"/>
    <w:rsid w:val="00177D84"/>
    <w:rsid w:val="00182442"/>
    <w:rsid w:val="001B5224"/>
    <w:rsid w:val="00267D18"/>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93EEA"/>
    <w:rsid w:val="005A5EEE"/>
    <w:rsid w:val="005E2B22"/>
    <w:rsid w:val="006375C7"/>
    <w:rsid w:val="00654E8F"/>
    <w:rsid w:val="00660D05"/>
    <w:rsid w:val="006820B1"/>
    <w:rsid w:val="006B7D14"/>
    <w:rsid w:val="00701727"/>
    <w:rsid w:val="0070566C"/>
    <w:rsid w:val="00714C50"/>
    <w:rsid w:val="00725A7D"/>
    <w:rsid w:val="007501BE"/>
    <w:rsid w:val="00790BB3"/>
    <w:rsid w:val="007C206C"/>
    <w:rsid w:val="00803D24"/>
    <w:rsid w:val="00806AD7"/>
    <w:rsid w:val="00817DD6"/>
    <w:rsid w:val="00885156"/>
    <w:rsid w:val="009151AA"/>
    <w:rsid w:val="0093429D"/>
    <w:rsid w:val="00943573"/>
    <w:rsid w:val="00970F7D"/>
    <w:rsid w:val="00994A3D"/>
    <w:rsid w:val="009C2B12"/>
    <w:rsid w:val="009C506E"/>
    <w:rsid w:val="009C70F3"/>
    <w:rsid w:val="00A174D9"/>
    <w:rsid w:val="00A22492"/>
    <w:rsid w:val="00A569CD"/>
    <w:rsid w:val="00AB6715"/>
    <w:rsid w:val="00B15DAE"/>
    <w:rsid w:val="00B1671E"/>
    <w:rsid w:val="00B25EB8"/>
    <w:rsid w:val="00B354E1"/>
    <w:rsid w:val="00B37F4D"/>
    <w:rsid w:val="00BD36DD"/>
    <w:rsid w:val="00C52A7B"/>
    <w:rsid w:val="00C56BAF"/>
    <w:rsid w:val="00C679AA"/>
    <w:rsid w:val="00C75972"/>
    <w:rsid w:val="00CC0A3A"/>
    <w:rsid w:val="00CD066B"/>
    <w:rsid w:val="00CE4FEE"/>
    <w:rsid w:val="00D96EF3"/>
    <w:rsid w:val="00DB59C3"/>
    <w:rsid w:val="00DC259A"/>
    <w:rsid w:val="00DE23E8"/>
    <w:rsid w:val="00E52377"/>
    <w:rsid w:val="00E64E17"/>
    <w:rsid w:val="00E866C9"/>
    <w:rsid w:val="00EA3D3C"/>
    <w:rsid w:val="00EB6DE1"/>
    <w:rsid w:val="00F36685"/>
    <w:rsid w:val="00F46900"/>
    <w:rsid w:val="00F61D89"/>
    <w:rsid w:val="00F65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7</TotalTime>
  <Pages>3</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Costa Frangoulis</cp:lastModifiedBy>
  <cp:revision>9</cp:revision>
  <cp:lastPrinted>2013-10-03T12:51:00Z</cp:lastPrinted>
  <dcterms:created xsi:type="dcterms:W3CDTF">2024-01-17T13:40:00Z</dcterms:created>
  <dcterms:modified xsi:type="dcterms:W3CDTF">2024-01-31T12:13:00Z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