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74755" w14:textId="02F90D4E" w:rsidR="005038B7" w:rsidRDefault="00831CB7" w:rsidP="00D66B89">
      <w:pPr>
        <w:jc w:val="center"/>
        <w:rPr>
          <w:rFonts w:ascii="Times New Roman" w:hAnsi="Times New Roman" w:cs="Times New Roman"/>
          <w:b/>
          <w:bCs/>
          <w:lang w:val="fr-FR"/>
        </w:rPr>
      </w:pPr>
      <w:r>
        <w:rPr>
          <w:rFonts w:ascii="Times New Roman" w:hAnsi="Times New Roman" w:cs="Times New Roman"/>
          <w:b/>
          <w:bCs/>
          <w:lang w:val="fr-FR"/>
        </w:rPr>
        <w:t>Les droits des créanciers sur l</w:t>
      </w:r>
      <w:r w:rsidR="008663CE">
        <w:rPr>
          <w:rFonts w:ascii="Times New Roman" w:hAnsi="Times New Roman" w:cs="Times New Roman"/>
          <w:b/>
          <w:bCs/>
          <w:lang w:val="fr-FR"/>
        </w:rPr>
        <w:t>’</w:t>
      </w:r>
      <w:r>
        <w:rPr>
          <w:rFonts w:ascii="Times New Roman" w:hAnsi="Times New Roman" w:cs="Times New Roman"/>
          <w:b/>
          <w:bCs/>
          <w:lang w:val="fr-FR"/>
        </w:rPr>
        <w:t>indemnité d’assurance </w:t>
      </w:r>
      <w:r w:rsidR="008663CE">
        <w:rPr>
          <w:rFonts w:ascii="Times New Roman" w:hAnsi="Times New Roman" w:cs="Times New Roman"/>
          <w:b/>
          <w:bCs/>
          <w:lang w:val="fr-FR"/>
        </w:rPr>
        <w:t>(art. 112 de la loi du 4 avril 2014 relative aux assurances</w:t>
      </w:r>
      <w:r>
        <w:rPr>
          <w:rFonts w:ascii="Times New Roman" w:hAnsi="Times New Roman" w:cs="Times New Roman"/>
          <w:b/>
          <w:bCs/>
          <w:lang w:val="fr-FR"/>
        </w:rPr>
        <w:t>)</w:t>
      </w:r>
      <w:r w:rsidR="008663CE">
        <w:rPr>
          <w:rFonts w:ascii="Times New Roman" w:hAnsi="Times New Roman" w:cs="Times New Roman"/>
          <w:b/>
          <w:bCs/>
          <w:lang w:val="fr-FR"/>
        </w:rPr>
        <w:t> </w:t>
      </w:r>
    </w:p>
    <w:p w14:paraId="01592387" w14:textId="77777777" w:rsidR="004D143E" w:rsidRDefault="004D143E" w:rsidP="00D66B89">
      <w:pPr>
        <w:jc w:val="center"/>
        <w:rPr>
          <w:rFonts w:ascii="Times New Roman" w:hAnsi="Times New Roman" w:cs="Times New Roman"/>
          <w:b/>
          <w:bCs/>
          <w:lang w:val="fr-FR"/>
        </w:rPr>
      </w:pPr>
    </w:p>
    <w:p w14:paraId="64A97AA4" w14:textId="77777777" w:rsidR="00774981" w:rsidRDefault="00774981" w:rsidP="00E36A76">
      <w:pPr>
        <w:spacing w:line="276" w:lineRule="auto"/>
        <w:rPr>
          <w:rFonts w:ascii="Times New Roman" w:hAnsi="Times New Roman" w:cs="Times New Roman"/>
          <w:lang w:val="fr-FR"/>
        </w:rPr>
      </w:pPr>
    </w:p>
    <w:p w14:paraId="37843553" w14:textId="4D901942" w:rsidR="00774981" w:rsidRPr="00774981" w:rsidRDefault="00774981" w:rsidP="005038B7">
      <w:pPr>
        <w:spacing w:line="276" w:lineRule="auto"/>
        <w:jc w:val="both"/>
        <w:rPr>
          <w:rFonts w:ascii="Times New Roman" w:hAnsi="Times New Roman" w:cs="Times New Roman"/>
          <w:b/>
          <w:bCs/>
          <w:lang w:val="fr-FR"/>
        </w:rPr>
      </w:pPr>
      <w:r w:rsidRPr="00774981">
        <w:rPr>
          <w:rFonts w:ascii="Times New Roman" w:hAnsi="Times New Roman" w:cs="Times New Roman"/>
          <w:b/>
          <w:bCs/>
          <w:lang w:val="fr-FR"/>
        </w:rPr>
        <w:t xml:space="preserve">Introduction </w:t>
      </w:r>
    </w:p>
    <w:p w14:paraId="6EBCFFBF" w14:textId="77777777" w:rsidR="00774981" w:rsidRDefault="00774981" w:rsidP="005038B7">
      <w:pPr>
        <w:spacing w:line="276" w:lineRule="auto"/>
        <w:jc w:val="both"/>
        <w:rPr>
          <w:rFonts w:ascii="Times New Roman" w:hAnsi="Times New Roman" w:cs="Times New Roman"/>
          <w:lang w:val="fr-FR"/>
        </w:rPr>
      </w:pPr>
    </w:p>
    <w:p w14:paraId="6931DD10" w14:textId="00869C7B" w:rsidR="006C73DA" w:rsidRDefault="00D66B89" w:rsidP="005038B7">
      <w:pPr>
        <w:spacing w:line="276" w:lineRule="auto"/>
        <w:jc w:val="both"/>
        <w:rPr>
          <w:rFonts w:ascii="Times New Roman" w:hAnsi="Times New Roman" w:cs="Times New Roman"/>
          <w:lang w:val="fr-FR"/>
        </w:rPr>
      </w:pPr>
      <w:r w:rsidRPr="00D66B89">
        <w:rPr>
          <w:rFonts w:ascii="Times New Roman" w:hAnsi="Times New Roman" w:cs="Times New Roman"/>
          <w:lang w:val="fr-FR"/>
        </w:rPr>
        <w:t xml:space="preserve">La présente contribution </w:t>
      </w:r>
      <w:r w:rsidR="008663CE">
        <w:rPr>
          <w:rFonts w:ascii="Times New Roman" w:hAnsi="Times New Roman" w:cs="Times New Roman"/>
          <w:lang w:val="fr-FR"/>
        </w:rPr>
        <w:t>examine</w:t>
      </w:r>
      <w:r w:rsidRPr="00D66B89">
        <w:rPr>
          <w:rFonts w:ascii="Times New Roman" w:hAnsi="Times New Roman" w:cs="Times New Roman"/>
          <w:lang w:val="fr-FR"/>
        </w:rPr>
        <w:t xml:space="preserve"> </w:t>
      </w:r>
      <w:r w:rsidR="00FD5D0C">
        <w:rPr>
          <w:rFonts w:ascii="Times New Roman" w:hAnsi="Times New Roman" w:cs="Times New Roman"/>
          <w:lang w:val="fr-FR"/>
        </w:rPr>
        <w:t>l’indemnité d’assurance</w:t>
      </w:r>
      <w:r w:rsidR="008663CE">
        <w:rPr>
          <w:rFonts w:ascii="Times New Roman" w:hAnsi="Times New Roman" w:cs="Times New Roman"/>
          <w:lang w:val="fr-FR"/>
        </w:rPr>
        <w:t xml:space="preserve"> en tant qu’objet de poursuite des créanciers de son bénéficiaire (</w:t>
      </w:r>
      <w:r w:rsidR="00FD5D0C">
        <w:rPr>
          <w:rFonts w:ascii="Times New Roman" w:hAnsi="Times New Roman" w:cs="Times New Roman"/>
          <w:lang w:val="fr-FR"/>
        </w:rPr>
        <w:t>article 112 de la loi</w:t>
      </w:r>
      <w:r w:rsidR="006C73DA">
        <w:rPr>
          <w:rFonts w:ascii="Times New Roman" w:hAnsi="Times New Roman" w:cs="Times New Roman"/>
          <w:lang w:val="fr-FR"/>
        </w:rPr>
        <w:t xml:space="preserve"> du 4 avril 2014</w:t>
      </w:r>
      <w:r w:rsidR="00B82462">
        <w:rPr>
          <w:rStyle w:val="Appelnotedebasdep"/>
          <w:rFonts w:ascii="Times New Roman" w:hAnsi="Times New Roman" w:cs="Times New Roman"/>
          <w:lang w:val="fr-FR"/>
        </w:rPr>
        <w:footnoteReference w:id="1"/>
      </w:r>
      <w:r w:rsidR="008663CE">
        <w:rPr>
          <w:rFonts w:ascii="Times New Roman" w:hAnsi="Times New Roman" w:cs="Times New Roman"/>
          <w:lang w:val="fr-FR"/>
        </w:rPr>
        <w:t xml:space="preserve">, </w:t>
      </w:r>
      <w:r w:rsidR="00FD5D0C">
        <w:rPr>
          <w:rFonts w:ascii="Times New Roman" w:hAnsi="Times New Roman" w:cs="Times New Roman"/>
          <w:lang w:val="fr-FR"/>
        </w:rPr>
        <w:t>ci-après « L.A</w:t>
      </w:r>
      <w:r w:rsidR="008663CE">
        <w:rPr>
          <w:rFonts w:ascii="Times New Roman" w:hAnsi="Times New Roman" w:cs="Times New Roman"/>
          <w:lang w:val="fr-FR"/>
        </w:rPr>
        <w:t>.</w:t>
      </w:r>
      <w:r w:rsidR="00FD5D0C">
        <w:rPr>
          <w:rFonts w:ascii="Times New Roman" w:hAnsi="Times New Roman" w:cs="Times New Roman"/>
          <w:lang w:val="fr-FR"/>
        </w:rPr>
        <w:t xml:space="preserve"> »). </w:t>
      </w:r>
      <w:r w:rsidR="00F83D3C">
        <w:rPr>
          <w:rFonts w:ascii="Times New Roman" w:hAnsi="Times New Roman" w:cs="Times New Roman"/>
          <w:lang w:val="fr-FR"/>
        </w:rPr>
        <w:t>Elle s’intéresse en particulier</w:t>
      </w:r>
      <w:r w:rsidR="00653837">
        <w:rPr>
          <w:rFonts w:ascii="Times New Roman" w:hAnsi="Times New Roman" w:cs="Times New Roman"/>
          <w:lang w:val="fr-FR"/>
        </w:rPr>
        <w:t xml:space="preserve"> à la</w:t>
      </w:r>
      <w:r w:rsidR="00FD5D0C">
        <w:rPr>
          <w:rFonts w:ascii="Times New Roman" w:hAnsi="Times New Roman" w:cs="Times New Roman"/>
          <w:lang w:val="fr-FR"/>
        </w:rPr>
        <w:t xml:space="preserve"> perte d’un immeuble</w:t>
      </w:r>
      <w:r w:rsidR="00653837">
        <w:rPr>
          <w:rFonts w:ascii="Times New Roman" w:hAnsi="Times New Roman" w:cs="Times New Roman"/>
          <w:lang w:val="fr-FR"/>
        </w:rPr>
        <w:t xml:space="preserve"> </w:t>
      </w:r>
      <w:r w:rsidR="00FD5D0C">
        <w:rPr>
          <w:rFonts w:ascii="Times New Roman" w:hAnsi="Times New Roman" w:cs="Times New Roman"/>
          <w:lang w:val="fr-FR"/>
        </w:rPr>
        <w:t>assuré</w:t>
      </w:r>
      <w:r w:rsidR="004D143E">
        <w:rPr>
          <w:rFonts w:ascii="Times New Roman" w:hAnsi="Times New Roman" w:cs="Times New Roman"/>
          <w:lang w:val="fr-FR"/>
        </w:rPr>
        <w:t xml:space="preserve">, </w:t>
      </w:r>
      <w:r w:rsidR="00FD5D0C">
        <w:rPr>
          <w:rFonts w:ascii="Times New Roman" w:hAnsi="Times New Roman" w:cs="Times New Roman"/>
          <w:lang w:val="fr-FR"/>
        </w:rPr>
        <w:t>assorti ou non de meubles immobilisés et hors le cas de l’incendie. L</w:t>
      </w:r>
      <w:r w:rsidR="006C73DA">
        <w:rPr>
          <w:rFonts w:ascii="Times New Roman" w:hAnsi="Times New Roman" w:cs="Times New Roman"/>
          <w:lang w:val="fr-FR"/>
        </w:rPr>
        <w:t>’attention n</w:t>
      </w:r>
      <w:r w:rsidR="004D143E">
        <w:rPr>
          <w:rFonts w:ascii="Times New Roman" w:hAnsi="Times New Roman" w:cs="Times New Roman"/>
          <w:lang w:val="fr-FR"/>
        </w:rPr>
        <w:t>’est donc</w:t>
      </w:r>
      <w:r w:rsidR="006C73DA">
        <w:rPr>
          <w:rFonts w:ascii="Times New Roman" w:hAnsi="Times New Roman" w:cs="Times New Roman"/>
          <w:lang w:val="fr-FR"/>
        </w:rPr>
        <w:t xml:space="preserve"> </w:t>
      </w:r>
      <w:r w:rsidR="004D143E">
        <w:rPr>
          <w:rFonts w:ascii="Times New Roman" w:hAnsi="Times New Roman" w:cs="Times New Roman"/>
          <w:lang w:val="fr-FR"/>
        </w:rPr>
        <w:t>pas</w:t>
      </w:r>
      <w:r w:rsidR="006C73DA">
        <w:rPr>
          <w:rFonts w:ascii="Times New Roman" w:hAnsi="Times New Roman" w:cs="Times New Roman"/>
          <w:lang w:val="fr-FR"/>
        </w:rPr>
        <w:t xml:space="preserve"> </w:t>
      </w:r>
      <w:r w:rsidR="004D143E">
        <w:rPr>
          <w:rFonts w:ascii="Times New Roman" w:hAnsi="Times New Roman" w:cs="Times New Roman"/>
          <w:lang w:val="fr-FR"/>
        </w:rPr>
        <w:t>portée</w:t>
      </w:r>
      <w:r w:rsidR="006C73DA">
        <w:rPr>
          <w:rFonts w:ascii="Times New Roman" w:hAnsi="Times New Roman" w:cs="Times New Roman"/>
          <w:lang w:val="fr-FR"/>
        </w:rPr>
        <w:t xml:space="preserve"> sur le cas des biens meubles qui pourraient éventuellement garnir l’immeuble sinistré mais n’auraient pas fait l’objet d’une immobilisation</w:t>
      </w:r>
      <w:r w:rsidR="00F22138">
        <w:rPr>
          <w:rStyle w:val="Appelnotedebasdep"/>
          <w:rFonts w:ascii="Times New Roman" w:hAnsi="Times New Roman" w:cs="Times New Roman"/>
          <w:lang w:val="fr-FR"/>
        </w:rPr>
        <w:footnoteReference w:id="2"/>
      </w:r>
      <w:r w:rsidR="00F22138">
        <w:rPr>
          <w:rFonts w:ascii="Times New Roman" w:hAnsi="Times New Roman" w:cs="Times New Roman"/>
          <w:lang w:val="fr-FR"/>
        </w:rPr>
        <w:t xml:space="preserve">. </w:t>
      </w:r>
      <w:r w:rsidR="006C73DA">
        <w:rPr>
          <w:rFonts w:ascii="Times New Roman" w:hAnsi="Times New Roman" w:cs="Times New Roman"/>
          <w:lang w:val="fr-FR"/>
        </w:rPr>
        <w:t>La première section de la contribution est consacrée à l’étude du mécanisme mis en place par l’article 112 précité ainsi qu’à ses conditions d’application. La seconde section porte quant à elle sur le sort des créanciers visés</w:t>
      </w:r>
      <w:r w:rsidR="003E0BE8">
        <w:rPr>
          <w:rFonts w:ascii="Times New Roman" w:hAnsi="Times New Roman" w:cs="Times New Roman"/>
          <w:lang w:val="fr-FR"/>
        </w:rPr>
        <w:t xml:space="preserve"> par la disposition précitée</w:t>
      </w:r>
      <w:r w:rsidR="00054E7E">
        <w:rPr>
          <w:rFonts w:ascii="Times New Roman" w:hAnsi="Times New Roman" w:cs="Times New Roman"/>
          <w:lang w:val="fr-FR"/>
        </w:rPr>
        <w:t xml:space="preserve">, particulièrement </w:t>
      </w:r>
      <w:r w:rsidR="00F83D3C">
        <w:rPr>
          <w:rFonts w:ascii="Times New Roman" w:hAnsi="Times New Roman" w:cs="Times New Roman"/>
          <w:lang w:val="fr-FR"/>
        </w:rPr>
        <w:t>les</w:t>
      </w:r>
      <w:r w:rsidR="00054E7E">
        <w:rPr>
          <w:rFonts w:ascii="Times New Roman" w:hAnsi="Times New Roman" w:cs="Times New Roman"/>
          <w:lang w:val="fr-FR"/>
        </w:rPr>
        <w:t xml:space="preserve"> suivants : hypothécaire</w:t>
      </w:r>
      <w:r w:rsidR="00054E7E">
        <w:rPr>
          <w:rStyle w:val="Appelnotedebasdep"/>
          <w:rFonts w:ascii="Times New Roman" w:hAnsi="Times New Roman" w:cs="Times New Roman"/>
          <w:lang w:val="fr-FR"/>
        </w:rPr>
        <w:footnoteReference w:id="3"/>
      </w:r>
      <w:r w:rsidR="00054E7E">
        <w:rPr>
          <w:rFonts w:ascii="Times New Roman" w:hAnsi="Times New Roman" w:cs="Times New Roman"/>
          <w:lang w:val="fr-FR"/>
        </w:rPr>
        <w:t xml:space="preserve">, gagiste, réservataire, privilégié spécial sur immeuble et le créancier spécifique que représente l’administration fiscale. Toujours au sein de cette section, seront évoqués quelques conflits de rang susceptibles d’impliquer les créanciers précités. </w:t>
      </w:r>
    </w:p>
    <w:p w14:paraId="7FDD4EE1" w14:textId="77777777" w:rsidR="006C73DA" w:rsidRDefault="006C73DA" w:rsidP="005038B7">
      <w:pPr>
        <w:spacing w:line="276" w:lineRule="auto"/>
        <w:jc w:val="both"/>
        <w:rPr>
          <w:rFonts w:ascii="Times New Roman" w:hAnsi="Times New Roman" w:cs="Times New Roman"/>
          <w:lang w:val="fr-FR"/>
        </w:rPr>
      </w:pPr>
    </w:p>
    <w:p w14:paraId="60B7AA3C" w14:textId="77777777" w:rsidR="006C73DA" w:rsidRDefault="006C73DA" w:rsidP="005038B7">
      <w:pPr>
        <w:spacing w:line="276" w:lineRule="auto"/>
        <w:jc w:val="both"/>
        <w:rPr>
          <w:rFonts w:ascii="Times New Roman" w:hAnsi="Times New Roman" w:cs="Times New Roman"/>
          <w:lang w:val="fr-FR"/>
        </w:rPr>
      </w:pPr>
    </w:p>
    <w:p w14:paraId="1E8C432C" w14:textId="4A0231A0" w:rsidR="00911B74" w:rsidRDefault="00911B74" w:rsidP="005038B7">
      <w:pPr>
        <w:spacing w:line="276" w:lineRule="auto"/>
        <w:jc w:val="both"/>
        <w:rPr>
          <w:rFonts w:ascii="Times New Roman" w:hAnsi="Times New Roman" w:cs="Times New Roman"/>
          <w:lang w:val="fr-FR"/>
        </w:rPr>
      </w:pPr>
    </w:p>
    <w:p w14:paraId="5136AC0D" w14:textId="39736243" w:rsidR="00054E7E" w:rsidRDefault="00054E7E" w:rsidP="005038B7">
      <w:pPr>
        <w:spacing w:line="276" w:lineRule="auto"/>
        <w:jc w:val="both"/>
        <w:rPr>
          <w:rFonts w:ascii="Times New Roman" w:hAnsi="Times New Roman" w:cs="Times New Roman"/>
          <w:lang w:val="fr-FR"/>
        </w:rPr>
      </w:pPr>
    </w:p>
    <w:p w14:paraId="1A8D81A1" w14:textId="4BF8FB1E" w:rsidR="00054E7E" w:rsidRDefault="00054E7E" w:rsidP="005038B7">
      <w:pPr>
        <w:spacing w:line="276" w:lineRule="auto"/>
        <w:jc w:val="both"/>
        <w:rPr>
          <w:rFonts w:ascii="Times New Roman" w:hAnsi="Times New Roman" w:cs="Times New Roman"/>
          <w:lang w:val="fr-FR"/>
        </w:rPr>
      </w:pPr>
    </w:p>
    <w:p w14:paraId="29C67FF2" w14:textId="3F273CC8" w:rsidR="00CB4520" w:rsidRDefault="00CB4520" w:rsidP="005038B7">
      <w:pPr>
        <w:spacing w:line="276" w:lineRule="auto"/>
        <w:jc w:val="both"/>
        <w:rPr>
          <w:rFonts w:ascii="Times New Roman" w:hAnsi="Times New Roman" w:cs="Times New Roman"/>
          <w:lang w:val="fr-FR"/>
        </w:rPr>
      </w:pPr>
    </w:p>
    <w:p w14:paraId="5F53A4A3" w14:textId="77777777" w:rsidR="00CB4520" w:rsidRDefault="00CB4520" w:rsidP="005038B7">
      <w:pPr>
        <w:spacing w:line="276" w:lineRule="auto"/>
        <w:jc w:val="both"/>
        <w:rPr>
          <w:rFonts w:ascii="Times New Roman" w:hAnsi="Times New Roman" w:cs="Times New Roman"/>
          <w:lang w:val="fr-FR"/>
        </w:rPr>
      </w:pPr>
    </w:p>
    <w:p w14:paraId="000D9BF7" w14:textId="77777777" w:rsidR="00054E7E" w:rsidRDefault="00054E7E" w:rsidP="005038B7">
      <w:pPr>
        <w:spacing w:line="276" w:lineRule="auto"/>
        <w:jc w:val="both"/>
        <w:rPr>
          <w:rFonts w:ascii="Times New Roman" w:hAnsi="Times New Roman" w:cs="Times New Roman"/>
          <w:lang w:val="fr-FR"/>
        </w:rPr>
      </w:pPr>
    </w:p>
    <w:p w14:paraId="48D98CC1" w14:textId="77777777" w:rsidR="00470E89" w:rsidRDefault="00470E89" w:rsidP="005038B7">
      <w:pPr>
        <w:spacing w:line="276" w:lineRule="auto"/>
        <w:jc w:val="both"/>
        <w:rPr>
          <w:rFonts w:ascii="Times New Roman" w:hAnsi="Times New Roman" w:cs="Times New Roman"/>
          <w:lang w:val="fr-FR"/>
        </w:rPr>
      </w:pPr>
    </w:p>
    <w:p w14:paraId="345A0E89" w14:textId="472DDBCC" w:rsidR="003B77FD" w:rsidRPr="002F359C" w:rsidRDefault="00054E7E" w:rsidP="002F359C">
      <w:pPr>
        <w:spacing w:line="276" w:lineRule="auto"/>
        <w:jc w:val="both"/>
        <w:rPr>
          <w:rFonts w:ascii="Times New Roman" w:hAnsi="Times New Roman" w:cs="Times New Roman"/>
          <w:b/>
          <w:bCs/>
          <w:lang w:val="fr-FR"/>
        </w:rPr>
      </w:pPr>
      <w:r w:rsidRPr="002F359C">
        <w:rPr>
          <w:rFonts w:ascii="Times New Roman" w:hAnsi="Times New Roman" w:cs="Times New Roman"/>
          <w:b/>
          <w:bCs/>
          <w:lang w:val="fr-FR"/>
        </w:rPr>
        <w:t xml:space="preserve">Section 1. </w:t>
      </w:r>
      <w:r w:rsidR="002F359C">
        <w:rPr>
          <w:rFonts w:ascii="Times New Roman" w:hAnsi="Times New Roman" w:cs="Times New Roman"/>
          <w:b/>
          <w:bCs/>
          <w:lang w:val="fr-FR"/>
        </w:rPr>
        <w:t>Situation</w:t>
      </w:r>
      <w:r w:rsidR="002F359C" w:rsidRPr="002F359C">
        <w:rPr>
          <w:rFonts w:ascii="Times New Roman" w:hAnsi="Times New Roman" w:cs="Times New Roman"/>
          <w:b/>
          <w:bCs/>
          <w:lang w:val="fr-FR"/>
        </w:rPr>
        <w:t xml:space="preserve"> </w:t>
      </w:r>
      <w:r w:rsidR="003B77FD" w:rsidRPr="002F359C">
        <w:rPr>
          <w:rFonts w:ascii="Times New Roman" w:hAnsi="Times New Roman" w:cs="Times New Roman"/>
          <w:b/>
          <w:bCs/>
          <w:lang w:val="fr-FR"/>
        </w:rPr>
        <w:t xml:space="preserve">visée </w:t>
      </w:r>
      <w:r w:rsidR="00C14969" w:rsidRPr="002F359C">
        <w:rPr>
          <w:rFonts w:ascii="Times New Roman" w:hAnsi="Times New Roman" w:cs="Times New Roman"/>
          <w:b/>
          <w:bCs/>
          <w:lang w:val="fr-FR"/>
        </w:rPr>
        <w:t xml:space="preserve">par l’article 112 de la </w:t>
      </w:r>
      <w:r w:rsidR="00653837" w:rsidRPr="002F359C">
        <w:rPr>
          <w:rFonts w:ascii="Times New Roman" w:hAnsi="Times New Roman" w:cs="Times New Roman"/>
          <w:b/>
          <w:bCs/>
          <w:lang w:val="fr-FR"/>
        </w:rPr>
        <w:t xml:space="preserve">L.A. </w:t>
      </w:r>
    </w:p>
    <w:p w14:paraId="46800E4E" w14:textId="39B1AAAA" w:rsidR="00054E7E" w:rsidRDefault="00054E7E" w:rsidP="00054E7E">
      <w:pPr>
        <w:pStyle w:val="Paragraphedeliste"/>
        <w:spacing w:line="276" w:lineRule="auto"/>
        <w:jc w:val="both"/>
        <w:rPr>
          <w:rFonts w:ascii="Times New Roman" w:hAnsi="Times New Roman" w:cs="Times New Roman"/>
          <w:b/>
          <w:bCs/>
          <w:lang w:val="fr-FR"/>
        </w:rPr>
      </w:pPr>
    </w:p>
    <w:p w14:paraId="6FED1DE9" w14:textId="46E61394" w:rsidR="00054E7E" w:rsidRPr="005038B7" w:rsidRDefault="00054E7E" w:rsidP="00054E7E">
      <w:pPr>
        <w:pStyle w:val="Paragraphedeliste"/>
        <w:numPr>
          <w:ilvl w:val="0"/>
          <w:numId w:val="8"/>
        </w:numPr>
        <w:spacing w:line="276" w:lineRule="auto"/>
        <w:jc w:val="both"/>
        <w:rPr>
          <w:rFonts w:ascii="Times New Roman" w:hAnsi="Times New Roman" w:cs="Times New Roman"/>
          <w:b/>
          <w:bCs/>
          <w:lang w:val="fr-FR"/>
        </w:rPr>
      </w:pPr>
      <w:r>
        <w:rPr>
          <w:rFonts w:ascii="Times New Roman" w:hAnsi="Times New Roman" w:cs="Times New Roman"/>
          <w:b/>
          <w:bCs/>
          <w:lang w:val="fr-FR"/>
        </w:rPr>
        <w:t xml:space="preserve">Application de la théorie de la subrogation réelle </w:t>
      </w:r>
    </w:p>
    <w:p w14:paraId="380833AD" w14:textId="1FAA881A" w:rsidR="00282B1C" w:rsidRDefault="00282B1C" w:rsidP="005038B7">
      <w:pPr>
        <w:spacing w:line="276" w:lineRule="auto"/>
        <w:jc w:val="both"/>
        <w:rPr>
          <w:rFonts w:ascii="Times New Roman" w:hAnsi="Times New Roman" w:cs="Times New Roman"/>
          <w:lang w:val="fr-FR"/>
        </w:rPr>
      </w:pPr>
    </w:p>
    <w:p w14:paraId="3BCB88D8" w14:textId="40574838" w:rsidR="00253ABF" w:rsidRDefault="00B82462" w:rsidP="005038B7">
      <w:pPr>
        <w:spacing w:line="276" w:lineRule="auto"/>
        <w:jc w:val="both"/>
        <w:rPr>
          <w:rFonts w:ascii="Times New Roman" w:hAnsi="Times New Roman" w:cs="Times New Roman"/>
          <w:lang w:val="fr-FR"/>
        </w:rPr>
      </w:pPr>
      <w:r>
        <w:rPr>
          <w:rFonts w:ascii="Times New Roman" w:hAnsi="Times New Roman" w:cs="Times New Roman"/>
          <w:lang w:val="fr-FR"/>
        </w:rPr>
        <w:t xml:space="preserve">L’article 112 de la L.A., applicable en matière d’assurance terrestre, </w:t>
      </w:r>
      <w:r w:rsidR="00F67CCD">
        <w:rPr>
          <w:rFonts w:ascii="Times New Roman" w:hAnsi="Times New Roman" w:cs="Times New Roman"/>
          <w:lang w:val="fr-FR"/>
        </w:rPr>
        <w:t>dispose :</w:t>
      </w:r>
      <w:r w:rsidR="003B77FD">
        <w:rPr>
          <w:rFonts w:ascii="Times New Roman" w:hAnsi="Times New Roman" w:cs="Times New Roman"/>
          <w:lang w:val="fr-FR"/>
        </w:rPr>
        <w:t xml:space="preserve"> « </w:t>
      </w:r>
      <w:r w:rsidR="003B77FD" w:rsidRPr="00282B1C">
        <w:rPr>
          <w:rFonts w:ascii="Times New Roman" w:hAnsi="Times New Roman" w:cs="Times New Roman"/>
          <w:i/>
          <w:iCs/>
          <w:lang w:val="fr-FR"/>
        </w:rPr>
        <w:t>Dans la mesure où l’indemnité due à la suite de la perte ou de la détérioration d’un bien n’est pas entièrement appliquée à la réparation ou au remplacement de ce bien, elle est affectée au paiement des créances privilégiées ou hypothécaires, selon le rang de chacune d’elles. Néanmoins, le paiement de l’indemnité fait à l’assuré libère l’assureur si les créanciers dont le privilège ne fait pas l’objet d’une publicité n’ont pas au préalable formé opposition. Les alinéas 1 et 2 ne portent pas atteinte aux dispositions légales relatives aux actions directes contre l’assureur dans des cas particuliers</w:t>
      </w:r>
      <w:r w:rsidR="003B77FD">
        <w:rPr>
          <w:rFonts w:ascii="Times New Roman" w:hAnsi="Times New Roman" w:cs="Times New Roman"/>
          <w:lang w:val="fr-FR"/>
        </w:rPr>
        <w:t xml:space="preserve"> ». </w:t>
      </w:r>
      <w:r w:rsidR="00AF6620">
        <w:rPr>
          <w:rFonts w:ascii="Times New Roman" w:hAnsi="Times New Roman" w:cs="Times New Roman"/>
          <w:lang w:val="fr-FR"/>
        </w:rPr>
        <w:t>Ce texte s’applique aux assurances de choses uniquement</w:t>
      </w:r>
      <w:r w:rsidR="00AF6620">
        <w:rPr>
          <w:rStyle w:val="Appelnotedebasdep"/>
          <w:rFonts w:ascii="Times New Roman" w:hAnsi="Times New Roman" w:cs="Times New Roman"/>
          <w:lang w:val="fr-FR"/>
        </w:rPr>
        <w:footnoteReference w:id="4"/>
      </w:r>
      <w:r w:rsidR="001D49FD">
        <w:rPr>
          <w:rFonts w:ascii="Times New Roman" w:hAnsi="Times New Roman" w:cs="Times New Roman"/>
          <w:lang w:val="fr-FR"/>
        </w:rPr>
        <w:t xml:space="preserve">. </w:t>
      </w:r>
      <w:r w:rsidR="00143C87">
        <w:rPr>
          <w:rFonts w:ascii="Times New Roman" w:hAnsi="Times New Roman" w:cs="Times New Roman"/>
          <w:lang w:val="fr-FR"/>
        </w:rPr>
        <w:t xml:space="preserve"> </w:t>
      </w:r>
    </w:p>
    <w:p w14:paraId="605EF91C" w14:textId="77777777" w:rsidR="00253ABF" w:rsidRDefault="00253ABF" w:rsidP="005038B7">
      <w:pPr>
        <w:spacing w:line="276" w:lineRule="auto"/>
        <w:jc w:val="both"/>
        <w:rPr>
          <w:rFonts w:ascii="Times New Roman" w:hAnsi="Times New Roman" w:cs="Times New Roman"/>
          <w:lang w:val="fr-FR"/>
        </w:rPr>
      </w:pPr>
    </w:p>
    <w:p w14:paraId="79F8A45F" w14:textId="16340B81" w:rsidR="00143C87" w:rsidRDefault="001D49FD" w:rsidP="005038B7">
      <w:pPr>
        <w:spacing w:line="276" w:lineRule="auto"/>
        <w:jc w:val="both"/>
        <w:rPr>
          <w:rFonts w:ascii="Times New Roman" w:hAnsi="Times New Roman" w:cs="Times New Roman"/>
          <w:lang w:val="fr-FR"/>
        </w:rPr>
      </w:pPr>
      <w:r>
        <w:rPr>
          <w:rFonts w:ascii="Times New Roman" w:hAnsi="Times New Roman" w:cs="Times New Roman"/>
          <w:lang w:val="fr-FR"/>
        </w:rPr>
        <w:t xml:space="preserve">L’article </w:t>
      </w:r>
      <w:r w:rsidR="00470E89">
        <w:rPr>
          <w:rFonts w:ascii="Times New Roman" w:hAnsi="Times New Roman" w:cs="Times New Roman"/>
          <w:lang w:val="fr-FR"/>
        </w:rPr>
        <w:t>précité</w:t>
      </w:r>
      <w:r w:rsidR="0010298B">
        <w:rPr>
          <w:rFonts w:ascii="Times New Roman" w:hAnsi="Times New Roman" w:cs="Times New Roman"/>
          <w:lang w:val="fr-FR"/>
        </w:rPr>
        <w:t xml:space="preserve"> </w:t>
      </w:r>
      <w:r w:rsidR="00031E29">
        <w:rPr>
          <w:rFonts w:ascii="Times New Roman" w:hAnsi="Times New Roman" w:cs="Times New Roman"/>
          <w:lang w:val="fr-FR"/>
        </w:rPr>
        <w:t xml:space="preserve">consacre </w:t>
      </w:r>
      <w:r w:rsidR="0010298B">
        <w:rPr>
          <w:rFonts w:ascii="Times New Roman" w:hAnsi="Times New Roman" w:cs="Times New Roman"/>
          <w:lang w:val="fr-FR"/>
        </w:rPr>
        <w:t>une application particulière de la théorie de la subrogation réelle</w:t>
      </w:r>
      <w:r w:rsidR="00B82462">
        <w:rPr>
          <w:rStyle w:val="Appelnotedebasdep"/>
          <w:rFonts w:ascii="Times New Roman" w:hAnsi="Times New Roman" w:cs="Times New Roman"/>
          <w:lang w:val="fr-FR"/>
        </w:rPr>
        <w:footnoteReference w:id="5"/>
      </w:r>
      <w:r w:rsidR="0010298B">
        <w:rPr>
          <w:rFonts w:ascii="Times New Roman" w:hAnsi="Times New Roman" w:cs="Times New Roman"/>
          <w:lang w:val="fr-FR"/>
        </w:rPr>
        <w:t>.</w:t>
      </w:r>
      <w:r w:rsidR="00253ABF">
        <w:rPr>
          <w:rFonts w:ascii="Times New Roman" w:hAnsi="Times New Roman" w:cs="Times New Roman"/>
          <w:lang w:val="fr-FR"/>
        </w:rPr>
        <w:t xml:space="preserve"> </w:t>
      </w:r>
      <w:r w:rsidR="0010298B">
        <w:rPr>
          <w:rFonts w:ascii="Times New Roman" w:hAnsi="Times New Roman" w:cs="Times New Roman"/>
          <w:lang w:val="fr-FR"/>
        </w:rPr>
        <w:t xml:space="preserve">Ce mécanisme, </w:t>
      </w:r>
      <w:r w:rsidR="00E156D3">
        <w:rPr>
          <w:rFonts w:ascii="Times New Roman" w:hAnsi="Times New Roman" w:cs="Times New Roman"/>
          <w:lang w:val="fr-FR"/>
        </w:rPr>
        <w:t xml:space="preserve">désormais </w:t>
      </w:r>
      <w:r w:rsidR="00031E29">
        <w:rPr>
          <w:rFonts w:ascii="Times New Roman" w:hAnsi="Times New Roman" w:cs="Times New Roman"/>
          <w:lang w:val="fr-FR"/>
        </w:rPr>
        <w:t>énon</w:t>
      </w:r>
      <w:r w:rsidR="00E156D3">
        <w:rPr>
          <w:rFonts w:ascii="Times New Roman" w:hAnsi="Times New Roman" w:cs="Times New Roman"/>
          <w:lang w:val="fr-FR"/>
        </w:rPr>
        <w:t xml:space="preserve">cé, de façon générale, </w:t>
      </w:r>
      <w:r w:rsidR="0010298B">
        <w:rPr>
          <w:rFonts w:ascii="Times New Roman" w:hAnsi="Times New Roman" w:cs="Times New Roman"/>
          <w:lang w:val="fr-FR"/>
        </w:rPr>
        <w:t xml:space="preserve">par l’article 3.10 du Code civil, </w:t>
      </w:r>
      <w:r w:rsidR="00031E29">
        <w:rPr>
          <w:rFonts w:ascii="Times New Roman" w:hAnsi="Times New Roman" w:cs="Times New Roman"/>
          <w:lang w:val="fr-FR"/>
        </w:rPr>
        <w:t>était précédemment exprimé dans</w:t>
      </w:r>
      <w:r w:rsidR="00253ABF">
        <w:rPr>
          <w:rFonts w:ascii="Times New Roman" w:hAnsi="Times New Roman" w:cs="Times New Roman"/>
          <w:lang w:val="fr-FR"/>
        </w:rPr>
        <w:t xml:space="preserve"> l’</w:t>
      </w:r>
      <w:r w:rsidR="0010298B">
        <w:rPr>
          <w:rFonts w:ascii="Times New Roman" w:hAnsi="Times New Roman" w:cs="Times New Roman"/>
          <w:lang w:val="fr-FR"/>
        </w:rPr>
        <w:t>a</w:t>
      </w:r>
      <w:r w:rsidR="00470E89">
        <w:rPr>
          <w:rFonts w:ascii="Times New Roman" w:hAnsi="Times New Roman" w:cs="Times New Roman"/>
          <w:lang w:val="fr-FR"/>
        </w:rPr>
        <w:t>ncien article</w:t>
      </w:r>
      <w:r w:rsidR="0010298B">
        <w:rPr>
          <w:rFonts w:ascii="Times New Roman" w:hAnsi="Times New Roman" w:cs="Times New Roman"/>
          <w:lang w:val="fr-FR"/>
        </w:rPr>
        <w:t xml:space="preserve"> 10 de la loi hypothécaire</w:t>
      </w:r>
      <w:r w:rsidR="00750BD8">
        <w:rPr>
          <w:rStyle w:val="Appelnotedebasdep"/>
          <w:rFonts w:ascii="Times New Roman" w:hAnsi="Times New Roman" w:cs="Times New Roman"/>
          <w:lang w:val="fr-FR"/>
        </w:rPr>
        <w:footnoteReference w:id="6"/>
      </w:r>
      <w:r w:rsidR="00143C87">
        <w:rPr>
          <w:rFonts w:ascii="Times New Roman" w:hAnsi="Times New Roman" w:cs="Times New Roman"/>
          <w:lang w:val="fr-FR"/>
        </w:rPr>
        <w:t>, désormais abrogé</w:t>
      </w:r>
      <w:r w:rsidR="00320E7D">
        <w:rPr>
          <w:rFonts w:ascii="Times New Roman" w:hAnsi="Times New Roman" w:cs="Times New Roman"/>
          <w:lang w:val="fr-FR"/>
        </w:rPr>
        <w:t xml:space="preserve">, </w:t>
      </w:r>
      <w:r w:rsidR="00143C87">
        <w:rPr>
          <w:rFonts w:ascii="Times New Roman" w:hAnsi="Times New Roman" w:cs="Times New Roman"/>
          <w:lang w:val="fr-FR"/>
        </w:rPr>
        <w:t>qui avait vocation à s’appliquer à tous les cas dans lesquels un tiers, autre qu’un assureur terrestre, devait une indemnité à son assuré</w:t>
      </w:r>
      <w:r w:rsidR="00426925">
        <w:rPr>
          <w:rStyle w:val="Appelnotedebasdep"/>
          <w:rFonts w:ascii="Times New Roman" w:hAnsi="Times New Roman" w:cs="Times New Roman"/>
          <w:lang w:val="fr-FR"/>
        </w:rPr>
        <w:footnoteReference w:id="7"/>
      </w:r>
      <w:r w:rsidR="0010298B">
        <w:rPr>
          <w:rFonts w:ascii="Times New Roman" w:hAnsi="Times New Roman" w:cs="Times New Roman"/>
          <w:lang w:val="fr-FR"/>
        </w:rPr>
        <w:t xml:space="preserve">. </w:t>
      </w:r>
      <w:r w:rsidR="00143C87">
        <w:rPr>
          <w:rFonts w:ascii="Times New Roman" w:hAnsi="Times New Roman" w:cs="Times New Roman"/>
          <w:lang w:val="fr-FR"/>
        </w:rPr>
        <w:t>Outre le mécanisme spécifique de subrogation institué à l’article 112 de la loi précité, d’autres dispositions spécifiques traiten</w:t>
      </w:r>
      <w:r w:rsidR="00577DD2">
        <w:rPr>
          <w:rFonts w:ascii="Times New Roman" w:hAnsi="Times New Roman" w:cs="Times New Roman"/>
          <w:lang w:val="fr-FR"/>
        </w:rPr>
        <w:t>t</w:t>
      </w:r>
      <w:r w:rsidR="002738FC">
        <w:rPr>
          <w:rFonts w:ascii="Times New Roman" w:hAnsi="Times New Roman" w:cs="Times New Roman"/>
          <w:lang w:val="fr-FR"/>
        </w:rPr>
        <w:t xml:space="preserve"> </w:t>
      </w:r>
      <w:r w:rsidR="00143C87">
        <w:rPr>
          <w:rFonts w:ascii="Times New Roman" w:hAnsi="Times New Roman" w:cs="Times New Roman"/>
          <w:lang w:val="fr-FR"/>
        </w:rPr>
        <w:t>de cette figure.</w:t>
      </w:r>
      <w:r w:rsidR="002738FC">
        <w:rPr>
          <w:rFonts w:ascii="Times New Roman" w:hAnsi="Times New Roman" w:cs="Times New Roman"/>
          <w:lang w:val="fr-FR"/>
        </w:rPr>
        <w:t xml:space="preserve"> L’o</w:t>
      </w:r>
      <w:r w:rsidR="00143C87">
        <w:rPr>
          <w:rFonts w:ascii="Times New Roman" w:hAnsi="Times New Roman" w:cs="Times New Roman"/>
          <w:lang w:val="fr-FR"/>
        </w:rPr>
        <w:t>n relèv</w:t>
      </w:r>
      <w:r w:rsidR="00253ABF">
        <w:rPr>
          <w:rFonts w:ascii="Times New Roman" w:hAnsi="Times New Roman" w:cs="Times New Roman"/>
          <w:lang w:val="fr-FR"/>
        </w:rPr>
        <w:t>e ainsi</w:t>
      </w:r>
      <w:r w:rsidR="00143C87">
        <w:rPr>
          <w:rFonts w:ascii="Times New Roman" w:hAnsi="Times New Roman" w:cs="Times New Roman"/>
          <w:lang w:val="fr-FR"/>
        </w:rPr>
        <w:t xml:space="preserve">, sans </w:t>
      </w:r>
      <w:r w:rsidR="00031E29">
        <w:rPr>
          <w:rFonts w:ascii="Times New Roman" w:hAnsi="Times New Roman" w:cs="Times New Roman"/>
          <w:lang w:val="fr-FR"/>
        </w:rPr>
        <w:t>prétendre à l’</w:t>
      </w:r>
      <w:r w:rsidR="00143C87">
        <w:rPr>
          <w:rFonts w:ascii="Times New Roman" w:hAnsi="Times New Roman" w:cs="Times New Roman"/>
          <w:lang w:val="fr-FR"/>
        </w:rPr>
        <w:t>exhausti</w:t>
      </w:r>
      <w:r w:rsidR="00031E29">
        <w:rPr>
          <w:rFonts w:ascii="Times New Roman" w:hAnsi="Times New Roman" w:cs="Times New Roman"/>
          <w:lang w:val="fr-FR"/>
        </w:rPr>
        <w:t>vité</w:t>
      </w:r>
      <w:r w:rsidR="00143C87">
        <w:rPr>
          <w:rFonts w:ascii="Times New Roman" w:hAnsi="Times New Roman" w:cs="Times New Roman"/>
          <w:lang w:val="fr-FR"/>
        </w:rPr>
        <w:t>, les cas d’application suivant</w:t>
      </w:r>
      <w:r w:rsidR="00653837">
        <w:rPr>
          <w:rFonts w:ascii="Times New Roman" w:hAnsi="Times New Roman" w:cs="Times New Roman"/>
          <w:lang w:val="fr-FR"/>
        </w:rPr>
        <w:t>s</w:t>
      </w:r>
      <w:r w:rsidR="00143C87">
        <w:rPr>
          <w:rFonts w:ascii="Times New Roman" w:hAnsi="Times New Roman" w:cs="Times New Roman"/>
          <w:lang w:val="fr-FR"/>
        </w:rPr>
        <w:t xml:space="preserve"> : </w:t>
      </w:r>
      <w:r w:rsidR="002738FC">
        <w:rPr>
          <w:rFonts w:ascii="Times New Roman" w:hAnsi="Times New Roman" w:cs="Times New Roman"/>
          <w:lang w:val="fr-FR"/>
        </w:rPr>
        <w:t>les articles 9 et 17 du titre XVII du livre III de l’ancien Code civil relatifs au gage et à la réserve de propriété</w:t>
      </w:r>
      <w:r w:rsidR="00320E7D">
        <w:rPr>
          <w:rStyle w:val="Appelnotedebasdep"/>
          <w:rFonts w:ascii="Times New Roman" w:hAnsi="Times New Roman" w:cs="Times New Roman"/>
          <w:lang w:val="fr-FR"/>
        </w:rPr>
        <w:footnoteReference w:id="8"/>
      </w:r>
      <w:r w:rsidR="002738FC">
        <w:rPr>
          <w:rFonts w:ascii="Times New Roman" w:hAnsi="Times New Roman" w:cs="Times New Roman"/>
          <w:lang w:val="fr-FR"/>
        </w:rPr>
        <w:t xml:space="preserve">, </w:t>
      </w:r>
      <w:r w:rsidR="002738FC">
        <w:rPr>
          <w:rFonts w:ascii="Times New Roman" w:hAnsi="Times New Roman" w:cs="Times New Roman"/>
          <w:lang w:val="fr-FR"/>
        </w:rPr>
        <w:lastRenderedPageBreak/>
        <w:t>l’article 1561, alinéa 2, du Code judiciaire</w:t>
      </w:r>
      <w:r w:rsidR="00031E29">
        <w:rPr>
          <w:rFonts w:ascii="Times New Roman" w:hAnsi="Times New Roman" w:cs="Times New Roman"/>
          <w:lang w:val="fr-FR"/>
        </w:rPr>
        <w:t>,</w:t>
      </w:r>
      <w:r w:rsidR="002738FC">
        <w:rPr>
          <w:rFonts w:ascii="Times New Roman" w:hAnsi="Times New Roman" w:cs="Times New Roman"/>
          <w:lang w:val="fr-FR"/>
        </w:rPr>
        <w:t xml:space="preserve"> qui prévoit un report du droit de préférence du créancier hypothécaire sur </w:t>
      </w:r>
      <w:r w:rsidR="00031E29">
        <w:rPr>
          <w:rFonts w:ascii="Times New Roman" w:hAnsi="Times New Roman" w:cs="Times New Roman"/>
          <w:lang w:val="fr-FR"/>
        </w:rPr>
        <w:t>la valorisation de l’immeuble,</w:t>
      </w:r>
      <w:r w:rsidR="002738FC">
        <w:rPr>
          <w:rFonts w:ascii="Times New Roman" w:hAnsi="Times New Roman" w:cs="Times New Roman"/>
          <w:lang w:val="fr-FR"/>
        </w:rPr>
        <w:t xml:space="preserve"> ou encore l’article 45, 2°, alinéa 3, </w:t>
      </w:r>
      <w:r w:rsidR="002738FC" w:rsidRPr="00653837">
        <w:rPr>
          <w:rFonts w:ascii="Times New Roman" w:hAnsi="Times New Roman" w:cs="Times New Roman"/>
          <w:i/>
          <w:iCs/>
          <w:lang w:val="fr-FR"/>
        </w:rPr>
        <w:t>in fine</w:t>
      </w:r>
      <w:r w:rsidR="002738FC">
        <w:rPr>
          <w:rFonts w:ascii="Times New Roman" w:hAnsi="Times New Roman" w:cs="Times New Roman"/>
          <w:lang w:val="fr-FR"/>
        </w:rPr>
        <w:t xml:space="preserve"> de la loi hypothécaire</w:t>
      </w:r>
      <w:r w:rsidR="002738FC">
        <w:rPr>
          <w:rStyle w:val="Appelnotedebasdep"/>
          <w:rFonts w:ascii="Times New Roman" w:hAnsi="Times New Roman" w:cs="Times New Roman"/>
          <w:lang w:val="fr-FR"/>
        </w:rPr>
        <w:footnoteReference w:id="9"/>
      </w:r>
      <w:r w:rsidR="002738FC">
        <w:rPr>
          <w:rFonts w:ascii="Times New Roman" w:hAnsi="Times New Roman" w:cs="Times New Roman"/>
          <w:lang w:val="fr-FR"/>
        </w:rPr>
        <w:t xml:space="preserve">. </w:t>
      </w:r>
    </w:p>
    <w:p w14:paraId="31784043" w14:textId="77777777" w:rsidR="00143C87" w:rsidRDefault="00143C87" w:rsidP="005038B7">
      <w:pPr>
        <w:spacing w:line="276" w:lineRule="auto"/>
        <w:jc w:val="both"/>
        <w:rPr>
          <w:rFonts w:ascii="Times New Roman" w:hAnsi="Times New Roman" w:cs="Times New Roman"/>
          <w:lang w:val="fr-FR"/>
        </w:rPr>
      </w:pPr>
    </w:p>
    <w:p w14:paraId="577580E0" w14:textId="65AA180C" w:rsidR="003B77FD" w:rsidRDefault="004A2173" w:rsidP="005038B7">
      <w:pPr>
        <w:spacing w:line="276" w:lineRule="auto"/>
        <w:jc w:val="both"/>
        <w:rPr>
          <w:rFonts w:ascii="Times New Roman" w:hAnsi="Times New Roman" w:cs="Times New Roman"/>
          <w:lang w:val="fr-FR"/>
        </w:rPr>
      </w:pPr>
      <w:r>
        <w:rPr>
          <w:rFonts w:ascii="Times New Roman" w:hAnsi="Times New Roman" w:cs="Times New Roman"/>
          <w:lang w:val="fr-FR"/>
        </w:rPr>
        <w:t xml:space="preserve">La raison d’être </w:t>
      </w:r>
      <w:r w:rsidR="00253ABF">
        <w:rPr>
          <w:rFonts w:ascii="Times New Roman" w:hAnsi="Times New Roman" w:cs="Times New Roman"/>
          <w:lang w:val="fr-FR"/>
        </w:rPr>
        <w:t xml:space="preserve">de l’article 112 de la L.A. est d’éviter que la </w:t>
      </w:r>
      <w:r>
        <w:rPr>
          <w:rFonts w:ascii="Times New Roman" w:hAnsi="Times New Roman" w:cs="Times New Roman"/>
          <w:lang w:val="fr-FR"/>
        </w:rPr>
        <w:t xml:space="preserve">perte ou la destruction du bien grevé d’une sûreté ne mette en péril les droits du créancier par </w:t>
      </w:r>
      <w:r w:rsidR="001B7C91">
        <w:rPr>
          <w:rFonts w:ascii="Times New Roman" w:hAnsi="Times New Roman" w:cs="Times New Roman"/>
          <w:lang w:val="fr-FR"/>
        </w:rPr>
        <w:t>disparition</w:t>
      </w:r>
      <w:r>
        <w:rPr>
          <w:rFonts w:ascii="Times New Roman" w:hAnsi="Times New Roman" w:cs="Times New Roman"/>
          <w:lang w:val="fr-FR"/>
        </w:rPr>
        <w:t xml:space="preserve"> de son droit de préférence dans le cas où </w:t>
      </w:r>
      <w:r w:rsidR="00253ABF">
        <w:rPr>
          <w:rFonts w:ascii="Times New Roman" w:hAnsi="Times New Roman" w:cs="Times New Roman"/>
          <w:lang w:val="fr-FR"/>
        </w:rPr>
        <w:t>ce</w:t>
      </w:r>
      <w:r>
        <w:rPr>
          <w:rFonts w:ascii="Times New Roman" w:hAnsi="Times New Roman" w:cs="Times New Roman"/>
          <w:lang w:val="fr-FR"/>
        </w:rPr>
        <w:t xml:space="preserve"> bien n’est pas remplacé ou réparé</w:t>
      </w:r>
      <w:r>
        <w:rPr>
          <w:rStyle w:val="Appelnotedebasdep"/>
          <w:rFonts w:ascii="Times New Roman" w:hAnsi="Times New Roman" w:cs="Times New Roman"/>
          <w:lang w:val="fr-FR"/>
        </w:rPr>
        <w:footnoteReference w:id="10"/>
      </w:r>
      <w:r>
        <w:rPr>
          <w:rFonts w:ascii="Times New Roman" w:hAnsi="Times New Roman" w:cs="Times New Roman"/>
          <w:lang w:val="fr-FR"/>
        </w:rPr>
        <w:t xml:space="preserve">. </w:t>
      </w:r>
    </w:p>
    <w:p w14:paraId="0B2571AA" w14:textId="36864B2B" w:rsidR="004A2173" w:rsidRDefault="004A2173" w:rsidP="005038B7">
      <w:pPr>
        <w:spacing w:line="276" w:lineRule="auto"/>
        <w:jc w:val="both"/>
        <w:rPr>
          <w:rFonts w:ascii="Times New Roman" w:hAnsi="Times New Roman" w:cs="Times New Roman"/>
          <w:lang w:val="fr-FR"/>
        </w:rPr>
      </w:pPr>
    </w:p>
    <w:p w14:paraId="3711BB45" w14:textId="6BFEC8CC" w:rsidR="00E023B8" w:rsidRDefault="00320E7D" w:rsidP="005038B7">
      <w:pPr>
        <w:spacing w:line="276" w:lineRule="auto"/>
        <w:jc w:val="both"/>
        <w:rPr>
          <w:rFonts w:ascii="Times New Roman" w:hAnsi="Times New Roman" w:cs="Times New Roman"/>
          <w:lang w:val="fr-FR"/>
        </w:rPr>
      </w:pPr>
      <w:r>
        <w:rPr>
          <w:rFonts w:ascii="Times New Roman" w:hAnsi="Times New Roman" w:cs="Times New Roman"/>
          <w:lang w:val="fr-FR"/>
        </w:rPr>
        <w:t>Comme nous l’avons mentionné, l</w:t>
      </w:r>
      <w:r w:rsidR="004A2173">
        <w:rPr>
          <w:rFonts w:ascii="Times New Roman" w:hAnsi="Times New Roman" w:cs="Times New Roman"/>
          <w:lang w:val="fr-FR"/>
        </w:rPr>
        <w:t>a subrogation réelle est désormais définie</w:t>
      </w:r>
      <w:r w:rsidR="00014391">
        <w:rPr>
          <w:rFonts w:ascii="Times New Roman" w:hAnsi="Times New Roman" w:cs="Times New Roman"/>
          <w:lang w:val="fr-FR"/>
        </w:rPr>
        <w:t xml:space="preserve">, </w:t>
      </w:r>
      <w:r w:rsidR="00577DD2">
        <w:rPr>
          <w:rFonts w:ascii="Times New Roman" w:hAnsi="Times New Roman" w:cs="Times New Roman"/>
          <w:lang w:val="fr-FR"/>
        </w:rPr>
        <w:t>en son principe</w:t>
      </w:r>
      <w:r w:rsidR="00FA49E5">
        <w:rPr>
          <w:rFonts w:ascii="Times New Roman" w:hAnsi="Times New Roman" w:cs="Times New Roman"/>
          <w:lang w:val="fr-FR"/>
        </w:rPr>
        <w:t>, par l’article</w:t>
      </w:r>
      <w:r w:rsidR="004A2173">
        <w:rPr>
          <w:rFonts w:ascii="Times New Roman" w:hAnsi="Times New Roman" w:cs="Times New Roman"/>
          <w:lang w:val="fr-FR"/>
        </w:rPr>
        <w:t xml:space="preserve"> 3.10 du Code civil qui dispose</w:t>
      </w:r>
      <w:r w:rsidR="00282B1C">
        <w:rPr>
          <w:rFonts w:ascii="Times New Roman" w:hAnsi="Times New Roman" w:cs="Times New Roman"/>
          <w:lang w:val="fr-FR"/>
        </w:rPr>
        <w:t xml:space="preserve"> « </w:t>
      </w:r>
      <w:r w:rsidR="00282B1C" w:rsidRPr="00282B1C">
        <w:rPr>
          <w:rFonts w:ascii="Times New Roman" w:hAnsi="Times New Roman" w:cs="Times New Roman"/>
          <w:i/>
          <w:iCs/>
          <w:lang w:val="fr-FR"/>
        </w:rPr>
        <w:t>Un droit réel s’étend de plein droit à tous les biens qui viennent en remplacement de l’objet initial</w:t>
      </w:r>
      <w:r w:rsidR="00282B1C">
        <w:rPr>
          <w:rFonts w:ascii="Times New Roman" w:hAnsi="Times New Roman" w:cs="Times New Roman"/>
          <w:lang w:val="fr-FR"/>
        </w:rPr>
        <w:t xml:space="preserve"> (…) </w:t>
      </w:r>
      <w:r w:rsidR="009022BF">
        <w:rPr>
          <w:rFonts w:ascii="Times New Roman" w:hAnsi="Times New Roman" w:cs="Times New Roman"/>
          <w:lang w:val="fr-FR"/>
        </w:rPr>
        <w:t>».</w:t>
      </w:r>
      <w:r w:rsidR="00282B1C">
        <w:rPr>
          <w:rFonts w:ascii="Times New Roman" w:hAnsi="Times New Roman" w:cs="Times New Roman"/>
          <w:lang w:val="fr-FR"/>
        </w:rPr>
        <w:t xml:space="preserve"> </w:t>
      </w:r>
      <w:r w:rsidR="004A2173">
        <w:rPr>
          <w:rFonts w:ascii="Times New Roman" w:hAnsi="Times New Roman" w:cs="Times New Roman"/>
          <w:lang w:val="fr-FR"/>
        </w:rPr>
        <w:t xml:space="preserve">Celle-ci constitue une dérogation à l’article 3.36 du même Code et suppose, </w:t>
      </w:r>
      <w:r w:rsidR="003B77FD">
        <w:rPr>
          <w:rFonts w:ascii="Times New Roman" w:hAnsi="Times New Roman" w:cs="Times New Roman"/>
          <w:lang w:val="fr-FR"/>
        </w:rPr>
        <w:t>notamment</w:t>
      </w:r>
      <w:r w:rsidR="00CA3A41">
        <w:rPr>
          <w:rFonts w:ascii="Times New Roman" w:hAnsi="Times New Roman" w:cs="Times New Roman"/>
          <w:lang w:val="fr-FR"/>
        </w:rPr>
        <w:t xml:space="preserve"> et </w:t>
      </w:r>
      <w:r w:rsidR="003B77FD">
        <w:rPr>
          <w:rFonts w:ascii="Times New Roman" w:hAnsi="Times New Roman" w:cs="Times New Roman"/>
          <w:lang w:val="fr-FR"/>
        </w:rPr>
        <w:t xml:space="preserve">comme le souligne </w:t>
      </w:r>
      <w:r w:rsidR="00253ABF">
        <w:rPr>
          <w:rFonts w:ascii="Times New Roman" w:hAnsi="Times New Roman" w:cs="Times New Roman"/>
          <w:lang w:val="fr-FR"/>
        </w:rPr>
        <w:t>M.</w:t>
      </w:r>
      <w:r w:rsidR="003B77FD">
        <w:rPr>
          <w:rFonts w:ascii="Times New Roman" w:hAnsi="Times New Roman" w:cs="Times New Roman"/>
          <w:lang w:val="fr-FR"/>
        </w:rPr>
        <w:t xml:space="preserve"> Grégoire « </w:t>
      </w:r>
      <w:r w:rsidR="003B77FD" w:rsidRPr="008D0E0B">
        <w:rPr>
          <w:rFonts w:ascii="Times New Roman" w:hAnsi="Times New Roman" w:cs="Times New Roman"/>
          <w:i/>
          <w:iCs/>
          <w:lang w:val="fr-FR"/>
        </w:rPr>
        <w:t>que le bien disparu fût soumis à des règles particulières autres que celles gouvernant le reste du patrimoine : c’est précisément pour empêcher l’assimilation du bien envisagé que la théorie de la subrogation réelle a été inventée </w:t>
      </w:r>
      <w:r w:rsidR="003B77FD">
        <w:rPr>
          <w:rFonts w:ascii="Times New Roman" w:hAnsi="Times New Roman" w:cs="Times New Roman"/>
          <w:lang w:val="fr-FR"/>
        </w:rPr>
        <w:t>»</w:t>
      </w:r>
      <w:r w:rsidR="003B77FD">
        <w:rPr>
          <w:rStyle w:val="Appelnotedebasdep"/>
          <w:rFonts w:ascii="Times New Roman" w:hAnsi="Times New Roman" w:cs="Times New Roman"/>
          <w:lang w:val="fr-FR"/>
        </w:rPr>
        <w:footnoteReference w:id="11"/>
      </w:r>
      <w:r w:rsidR="003B77FD">
        <w:rPr>
          <w:rFonts w:ascii="Times New Roman" w:hAnsi="Times New Roman" w:cs="Times New Roman"/>
          <w:lang w:val="fr-FR"/>
        </w:rPr>
        <w:t xml:space="preserve">. </w:t>
      </w:r>
    </w:p>
    <w:p w14:paraId="3D3B1301" w14:textId="77777777" w:rsidR="00E023B8" w:rsidRDefault="00E023B8" w:rsidP="005038B7">
      <w:pPr>
        <w:spacing w:line="276" w:lineRule="auto"/>
        <w:jc w:val="both"/>
        <w:rPr>
          <w:rFonts w:ascii="Times New Roman" w:hAnsi="Times New Roman" w:cs="Times New Roman"/>
          <w:lang w:val="fr-FR"/>
        </w:rPr>
      </w:pPr>
    </w:p>
    <w:p w14:paraId="51FCA7F2" w14:textId="299A92AD" w:rsidR="00FA49E5" w:rsidRDefault="00FA49E5" w:rsidP="005038B7">
      <w:pPr>
        <w:spacing w:line="276" w:lineRule="auto"/>
        <w:jc w:val="both"/>
        <w:rPr>
          <w:rFonts w:ascii="Times New Roman" w:hAnsi="Times New Roman" w:cs="Times New Roman"/>
          <w:lang w:val="fr-FR"/>
        </w:rPr>
      </w:pPr>
      <w:r>
        <w:rPr>
          <w:rFonts w:ascii="Times New Roman" w:hAnsi="Times New Roman" w:cs="Times New Roman"/>
          <w:lang w:val="fr-FR"/>
        </w:rPr>
        <w:t xml:space="preserve">Les conditions à réunir pour </w:t>
      </w:r>
      <w:r w:rsidR="00653837">
        <w:rPr>
          <w:rFonts w:ascii="Times New Roman" w:hAnsi="Times New Roman" w:cs="Times New Roman"/>
          <w:lang w:val="fr-FR"/>
        </w:rPr>
        <w:t>que la</w:t>
      </w:r>
      <w:r>
        <w:rPr>
          <w:rFonts w:ascii="Times New Roman" w:hAnsi="Times New Roman" w:cs="Times New Roman"/>
          <w:lang w:val="fr-FR"/>
        </w:rPr>
        <w:t xml:space="preserve"> subrogation réelle</w:t>
      </w:r>
      <w:r w:rsidR="00653837">
        <w:rPr>
          <w:rFonts w:ascii="Times New Roman" w:hAnsi="Times New Roman" w:cs="Times New Roman"/>
          <w:lang w:val="fr-FR"/>
        </w:rPr>
        <w:t xml:space="preserve"> puisse jouer</w:t>
      </w:r>
      <w:r>
        <w:rPr>
          <w:rFonts w:ascii="Times New Roman" w:hAnsi="Times New Roman" w:cs="Times New Roman"/>
          <w:lang w:val="fr-FR"/>
        </w:rPr>
        <w:t>, à défaut de dérogation</w:t>
      </w:r>
      <w:r w:rsidR="006126DE">
        <w:rPr>
          <w:rFonts w:ascii="Times New Roman" w:hAnsi="Times New Roman" w:cs="Times New Roman"/>
          <w:lang w:val="fr-FR"/>
        </w:rPr>
        <w:t xml:space="preserve"> ou de conditions </w:t>
      </w:r>
      <w:r w:rsidR="006126DE" w:rsidRPr="00CB4520">
        <w:rPr>
          <w:rFonts w:ascii="Times New Roman" w:hAnsi="Times New Roman" w:cs="Times New Roman"/>
          <w:lang w:val="fr-FR"/>
        </w:rPr>
        <w:t>supplémentaires prévues</w:t>
      </w:r>
      <w:r w:rsidRPr="00CB4520">
        <w:rPr>
          <w:rFonts w:ascii="Times New Roman" w:hAnsi="Times New Roman" w:cs="Times New Roman"/>
          <w:lang w:val="fr-FR"/>
        </w:rPr>
        <w:t xml:space="preserve"> par un texte particulier</w:t>
      </w:r>
      <w:r w:rsidR="00181036" w:rsidRPr="00CB4520">
        <w:rPr>
          <w:rFonts w:ascii="Times New Roman" w:hAnsi="Times New Roman" w:cs="Times New Roman"/>
          <w:lang w:val="fr-FR"/>
        </w:rPr>
        <w:t>,</w:t>
      </w:r>
      <w:r w:rsidRPr="00CB4520">
        <w:rPr>
          <w:rFonts w:ascii="Times New Roman" w:hAnsi="Times New Roman" w:cs="Times New Roman"/>
          <w:lang w:val="fr-FR"/>
        </w:rPr>
        <w:t xml:space="preserve"> sont les suivantes : </w:t>
      </w:r>
      <w:r w:rsidR="006126DE" w:rsidRPr="00CB4520">
        <w:rPr>
          <w:rFonts w:ascii="Times New Roman" w:hAnsi="Times New Roman" w:cs="Times New Roman"/>
          <w:lang w:val="fr-FR"/>
        </w:rPr>
        <w:t>elle ne protège que les droits réels</w:t>
      </w:r>
      <w:r w:rsidR="00253ABF" w:rsidRPr="00CB4520">
        <w:rPr>
          <w:rFonts w:ascii="Times New Roman" w:hAnsi="Times New Roman" w:cs="Times New Roman"/>
          <w:lang w:val="fr-FR"/>
        </w:rPr>
        <w:t xml:space="preserve"> (1)</w:t>
      </w:r>
      <w:r w:rsidR="006126DE" w:rsidRPr="00CB4520">
        <w:rPr>
          <w:rFonts w:ascii="Times New Roman" w:hAnsi="Times New Roman" w:cs="Times New Roman"/>
          <w:lang w:val="fr-FR"/>
        </w:rPr>
        <w:t>, un</w:t>
      </w:r>
      <w:r w:rsidR="00CB4520" w:rsidRPr="00CB4520">
        <w:rPr>
          <w:rFonts w:ascii="Times New Roman" w:hAnsi="Times New Roman" w:cs="Times New Roman"/>
          <w:lang w:val="fr-FR"/>
        </w:rPr>
        <w:t xml:space="preserve"> rattachement</w:t>
      </w:r>
      <w:r w:rsidR="006126DE" w:rsidRPr="00CB4520">
        <w:rPr>
          <w:rFonts w:ascii="Times New Roman" w:hAnsi="Times New Roman" w:cs="Times New Roman"/>
          <w:lang w:val="fr-FR"/>
        </w:rPr>
        <w:t xml:space="preserve"> doit être démontré entre la perte de la chose initiale et la chose qui vient en remplacement</w:t>
      </w:r>
      <w:r w:rsidR="00253ABF" w:rsidRPr="00CB4520">
        <w:rPr>
          <w:rFonts w:ascii="Times New Roman" w:hAnsi="Times New Roman" w:cs="Times New Roman"/>
          <w:lang w:val="fr-FR"/>
        </w:rPr>
        <w:t xml:space="preserve"> (2</w:t>
      </w:r>
      <w:r w:rsidR="00253ABF">
        <w:rPr>
          <w:rFonts w:ascii="Times New Roman" w:hAnsi="Times New Roman" w:cs="Times New Roman"/>
          <w:lang w:val="fr-FR"/>
        </w:rPr>
        <w:t>)</w:t>
      </w:r>
      <w:r w:rsidR="00577DD2">
        <w:rPr>
          <w:rFonts w:ascii="Times New Roman" w:hAnsi="Times New Roman" w:cs="Times New Roman"/>
          <w:lang w:val="fr-FR"/>
        </w:rPr>
        <w:t xml:space="preserve">, </w:t>
      </w:r>
      <w:r w:rsidR="006126DE">
        <w:rPr>
          <w:rFonts w:ascii="Times New Roman" w:hAnsi="Times New Roman" w:cs="Times New Roman"/>
          <w:lang w:val="fr-FR"/>
        </w:rPr>
        <w:t>la subrogation n’est pas limitée aux créances qui viennent en remplacement du bien initial</w:t>
      </w:r>
      <w:r w:rsidR="00253ABF">
        <w:rPr>
          <w:rFonts w:ascii="Times New Roman" w:hAnsi="Times New Roman" w:cs="Times New Roman"/>
          <w:lang w:val="fr-FR"/>
        </w:rPr>
        <w:t xml:space="preserve"> (3)</w:t>
      </w:r>
      <w:r w:rsidR="006126DE">
        <w:rPr>
          <w:rFonts w:ascii="Times New Roman" w:hAnsi="Times New Roman" w:cs="Times New Roman"/>
          <w:lang w:val="fr-FR"/>
        </w:rPr>
        <w:t xml:space="preserve">. </w:t>
      </w:r>
      <w:r w:rsidR="00577DD2">
        <w:rPr>
          <w:rFonts w:ascii="Times New Roman" w:hAnsi="Times New Roman" w:cs="Times New Roman"/>
          <w:lang w:val="fr-FR"/>
        </w:rPr>
        <w:t>Enfin, e</w:t>
      </w:r>
      <w:r w:rsidR="006126DE">
        <w:rPr>
          <w:rFonts w:ascii="Times New Roman" w:hAnsi="Times New Roman" w:cs="Times New Roman"/>
          <w:lang w:val="fr-FR"/>
        </w:rPr>
        <w:t>lle présente</w:t>
      </w:r>
      <w:r w:rsidR="00E32DDC">
        <w:rPr>
          <w:rFonts w:ascii="Times New Roman" w:hAnsi="Times New Roman" w:cs="Times New Roman"/>
          <w:lang w:val="fr-FR"/>
        </w:rPr>
        <w:t>, selon un important courant doctrinal,</w:t>
      </w:r>
      <w:r w:rsidR="00653837">
        <w:rPr>
          <w:rFonts w:ascii="Times New Roman" w:hAnsi="Times New Roman" w:cs="Times New Roman"/>
          <w:lang w:val="fr-FR"/>
        </w:rPr>
        <w:t xml:space="preserve"> </w:t>
      </w:r>
      <w:r w:rsidR="006126DE">
        <w:rPr>
          <w:rFonts w:ascii="Times New Roman" w:hAnsi="Times New Roman" w:cs="Times New Roman"/>
          <w:lang w:val="fr-FR"/>
        </w:rPr>
        <w:t>un caractère subsidiaire</w:t>
      </w:r>
      <w:r w:rsidR="00253ABF">
        <w:rPr>
          <w:rFonts w:ascii="Times New Roman" w:hAnsi="Times New Roman" w:cs="Times New Roman"/>
          <w:lang w:val="fr-FR"/>
        </w:rPr>
        <w:t xml:space="preserve"> (4)</w:t>
      </w:r>
      <w:r w:rsidR="00E32DDC">
        <w:rPr>
          <w:rFonts w:ascii="Times New Roman" w:hAnsi="Times New Roman" w:cs="Times New Roman"/>
          <w:lang w:val="fr-FR"/>
        </w:rPr>
        <w:t>,</w:t>
      </w:r>
      <w:r w:rsidR="006126DE">
        <w:rPr>
          <w:rFonts w:ascii="Times New Roman" w:hAnsi="Times New Roman" w:cs="Times New Roman"/>
          <w:lang w:val="fr-FR"/>
        </w:rPr>
        <w:t xml:space="preserve"> dans l</w:t>
      </w:r>
      <w:r w:rsidR="00253ABF">
        <w:rPr>
          <w:rFonts w:ascii="Times New Roman" w:hAnsi="Times New Roman" w:cs="Times New Roman"/>
          <w:lang w:val="fr-FR"/>
        </w:rPr>
        <w:t>a</w:t>
      </w:r>
      <w:r w:rsidR="006126DE">
        <w:rPr>
          <w:rFonts w:ascii="Times New Roman" w:hAnsi="Times New Roman" w:cs="Times New Roman"/>
          <w:lang w:val="fr-FR"/>
        </w:rPr>
        <w:t xml:space="preserve"> </w:t>
      </w:r>
      <w:r w:rsidR="00253ABF">
        <w:rPr>
          <w:rFonts w:ascii="Times New Roman" w:hAnsi="Times New Roman" w:cs="Times New Roman"/>
          <w:lang w:val="fr-FR"/>
        </w:rPr>
        <w:t>mesure</w:t>
      </w:r>
      <w:r w:rsidR="006126DE">
        <w:rPr>
          <w:rFonts w:ascii="Times New Roman" w:hAnsi="Times New Roman" w:cs="Times New Roman"/>
          <w:lang w:val="fr-FR"/>
        </w:rPr>
        <w:t xml:space="preserve"> où elle ne peut trouver à s’appliquer si d’autres remèdes réels (droit de suite, rétention</w:t>
      </w:r>
      <w:r w:rsidR="00253ABF">
        <w:rPr>
          <w:rFonts w:ascii="Times New Roman" w:hAnsi="Times New Roman" w:cs="Times New Roman"/>
          <w:lang w:val="fr-FR"/>
        </w:rPr>
        <w:t>, …</w:t>
      </w:r>
      <w:r w:rsidR="006126DE">
        <w:rPr>
          <w:rFonts w:ascii="Times New Roman" w:hAnsi="Times New Roman" w:cs="Times New Roman"/>
          <w:lang w:val="fr-FR"/>
        </w:rPr>
        <w:t xml:space="preserve">) ou relevant du droit des obligations (nullité, inopposabilité, </w:t>
      </w:r>
      <w:r w:rsidR="00253ABF">
        <w:rPr>
          <w:rFonts w:ascii="Times New Roman" w:hAnsi="Times New Roman" w:cs="Times New Roman"/>
          <w:lang w:val="fr-FR"/>
        </w:rPr>
        <w:t>..</w:t>
      </w:r>
      <w:r w:rsidR="006126DE">
        <w:rPr>
          <w:rFonts w:ascii="Times New Roman" w:hAnsi="Times New Roman" w:cs="Times New Roman"/>
          <w:lang w:val="fr-FR"/>
        </w:rPr>
        <w:t>.), sont encore envisageables</w:t>
      </w:r>
      <w:r w:rsidR="006126DE">
        <w:rPr>
          <w:rStyle w:val="Appelnotedebasdep"/>
          <w:rFonts w:ascii="Times New Roman" w:hAnsi="Times New Roman" w:cs="Times New Roman"/>
          <w:lang w:val="fr-FR"/>
        </w:rPr>
        <w:footnoteReference w:id="12"/>
      </w:r>
      <w:r w:rsidR="006126DE">
        <w:rPr>
          <w:rFonts w:ascii="Times New Roman" w:hAnsi="Times New Roman" w:cs="Times New Roman"/>
          <w:lang w:val="fr-FR"/>
        </w:rPr>
        <w:t>.</w:t>
      </w:r>
    </w:p>
    <w:p w14:paraId="31615179" w14:textId="77777777" w:rsidR="00653837" w:rsidRDefault="00653837" w:rsidP="005038B7">
      <w:pPr>
        <w:spacing w:line="276" w:lineRule="auto"/>
        <w:jc w:val="both"/>
        <w:rPr>
          <w:rFonts w:ascii="Times New Roman" w:hAnsi="Times New Roman" w:cs="Times New Roman"/>
          <w:lang w:val="fr-FR"/>
        </w:rPr>
      </w:pPr>
    </w:p>
    <w:p w14:paraId="59C86566" w14:textId="62ADF95A" w:rsidR="00577DD2" w:rsidRPr="00577DD2" w:rsidRDefault="00577DD2" w:rsidP="00577DD2">
      <w:pPr>
        <w:pStyle w:val="Paragraphedeliste"/>
        <w:numPr>
          <w:ilvl w:val="0"/>
          <w:numId w:val="8"/>
        </w:numPr>
        <w:spacing w:line="276" w:lineRule="auto"/>
        <w:jc w:val="both"/>
        <w:rPr>
          <w:rFonts w:ascii="Times New Roman" w:hAnsi="Times New Roman" w:cs="Times New Roman"/>
          <w:b/>
          <w:bCs/>
          <w:lang w:val="fr-FR"/>
        </w:rPr>
      </w:pPr>
      <w:r w:rsidRPr="00577DD2">
        <w:rPr>
          <w:rFonts w:ascii="Times New Roman" w:hAnsi="Times New Roman" w:cs="Times New Roman"/>
          <w:b/>
          <w:bCs/>
          <w:lang w:val="fr-FR"/>
        </w:rPr>
        <w:t xml:space="preserve">Conditions spécifiques d’application </w:t>
      </w:r>
    </w:p>
    <w:p w14:paraId="07675BD0" w14:textId="77777777" w:rsidR="00455FC7" w:rsidRDefault="00455FC7" w:rsidP="005038B7">
      <w:pPr>
        <w:spacing w:line="276" w:lineRule="auto"/>
        <w:jc w:val="both"/>
        <w:rPr>
          <w:rFonts w:ascii="Times New Roman" w:hAnsi="Times New Roman" w:cs="Times New Roman"/>
          <w:lang w:val="fr-FR"/>
        </w:rPr>
      </w:pPr>
    </w:p>
    <w:p w14:paraId="7C6A40BF" w14:textId="73DC5803" w:rsidR="006126DE" w:rsidRDefault="00720DCD" w:rsidP="005038B7">
      <w:pPr>
        <w:spacing w:line="276" w:lineRule="auto"/>
        <w:jc w:val="both"/>
        <w:rPr>
          <w:rFonts w:ascii="Times New Roman" w:hAnsi="Times New Roman" w:cs="Times New Roman"/>
          <w:lang w:val="fr-FR"/>
        </w:rPr>
      </w:pPr>
      <w:r>
        <w:rPr>
          <w:rFonts w:ascii="Times New Roman" w:hAnsi="Times New Roman" w:cs="Times New Roman"/>
          <w:lang w:val="fr-FR"/>
        </w:rPr>
        <w:t>Outre le</w:t>
      </w:r>
      <w:r w:rsidR="006126DE">
        <w:rPr>
          <w:rFonts w:ascii="Times New Roman" w:hAnsi="Times New Roman" w:cs="Times New Roman"/>
          <w:lang w:val="fr-FR"/>
        </w:rPr>
        <w:t xml:space="preserve"> respect de ces conditions de droit commun, l’article 112 de la L.A. suppose la réunion </w:t>
      </w:r>
      <w:r w:rsidR="00E156D3">
        <w:rPr>
          <w:rFonts w:ascii="Times New Roman" w:hAnsi="Times New Roman" w:cs="Times New Roman"/>
          <w:lang w:val="fr-FR"/>
        </w:rPr>
        <w:t>de</w:t>
      </w:r>
      <w:r w:rsidR="006126DE">
        <w:rPr>
          <w:rFonts w:ascii="Times New Roman" w:hAnsi="Times New Roman" w:cs="Times New Roman"/>
          <w:lang w:val="fr-FR"/>
        </w:rPr>
        <w:t xml:space="preserve"> </w:t>
      </w:r>
      <w:r w:rsidR="00470E89">
        <w:rPr>
          <w:rFonts w:ascii="Times New Roman" w:hAnsi="Times New Roman" w:cs="Times New Roman"/>
          <w:lang w:val="fr-FR"/>
        </w:rPr>
        <w:t>conditions</w:t>
      </w:r>
      <w:r w:rsidR="00E156D3">
        <w:rPr>
          <w:rFonts w:ascii="Times New Roman" w:hAnsi="Times New Roman" w:cs="Times New Roman"/>
          <w:lang w:val="fr-FR"/>
        </w:rPr>
        <w:t xml:space="preserve"> supplémentaires</w:t>
      </w:r>
      <w:r w:rsidR="006126DE">
        <w:rPr>
          <w:rFonts w:ascii="Times New Roman" w:hAnsi="Times New Roman" w:cs="Times New Roman"/>
          <w:lang w:val="fr-FR"/>
        </w:rPr>
        <w:t xml:space="preserve"> aux fins de son application</w:t>
      </w:r>
      <w:r w:rsidR="00416FAF">
        <w:rPr>
          <w:rFonts w:ascii="Times New Roman" w:hAnsi="Times New Roman" w:cs="Times New Roman"/>
          <w:lang w:val="fr-FR"/>
        </w:rPr>
        <w:t xml:space="preserve">. Premièrement, l’existence d’un </w:t>
      </w:r>
      <w:r w:rsidR="00416FAF">
        <w:rPr>
          <w:rFonts w:ascii="Times New Roman" w:hAnsi="Times New Roman" w:cs="Times New Roman"/>
          <w:lang w:val="fr-FR"/>
        </w:rPr>
        <w:lastRenderedPageBreak/>
        <w:t>contrat d’assurance (1)</w:t>
      </w:r>
      <w:r w:rsidR="002A4C38">
        <w:rPr>
          <w:rStyle w:val="Appelnotedebasdep"/>
          <w:rFonts w:ascii="Times New Roman" w:hAnsi="Times New Roman" w:cs="Times New Roman"/>
          <w:lang w:val="fr-FR"/>
        </w:rPr>
        <w:footnoteReference w:id="13"/>
      </w:r>
      <w:r w:rsidR="002A4C38" w:rsidRPr="00416FAF">
        <w:rPr>
          <w:rFonts w:ascii="Times New Roman" w:hAnsi="Times New Roman" w:cs="Times New Roman"/>
          <w:lang w:val="fr-FR"/>
        </w:rPr>
        <w:t xml:space="preserve">. </w:t>
      </w:r>
      <w:r w:rsidR="00416FAF">
        <w:rPr>
          <w:rFonts w:ascii="Times New Roman" w:hAnsi="Times New Roman" w:cs="Times New Roman"/>
          <w:lang w:val="fr-FR"/>
        </w:rPr>
        <w:t>Ensuite, le privilège ou l’hypothèque doit être antérieur au sinistre (2)</w:t>
      </w:r>
      <w:r w:rsidR="00703460">
        <w:rPr>
          <w:rStyle w:val="Appelnotedebasdep"/>
          <w:rFonts w:ascii="Times New Roman" w:hAnsi="Times New Roman" w:cs="Times New Roman"/>
          <w:lang w:val="fr-FR"/>
        </w:rPr>
        <w:footnoteReference w:id="14"/>
      </w:r>
      <w:r w:rsidR="002A4C38" w:rsidRPr="00416FAF">
        <w:rPr>
          <w:rFonts w:ascii="Times New Roman" w:hAnsi="Times New Roman" w:cs="Times New Roman"/>
          <w:lang w:val="fr-FR"/>
        </w:rPr>
        <w:t>.</w:t>
      </w:r>
      <w:r w:rsidR="00416FAF">
        <w:rPr>
          <w:rFonts w:ascii="Times New Roman" w:hAnsi="Times New Roman" w:cs="Times New Roman"/>
          <w:lang w:val="fr-FR"/>
        </w:rPr>
        <w:t xml:space="preserve"> L’indemnité ne doit pas avoir été utilisée pour la </w:t>
      </w:r>
      <w:r w:rsidR="002A4C38" w:rsidRPr="00416FAF">
        <w:rPr>
          <w:rFonts w:ascii="Times New Roman" w:hAnsi="Times New Roman" w:cs="Times New Roman"/>
          <w:lang w:val="fr-FR"/>
        </w:rPr>
        <w:t>réparation ou la reconstruction du bien</w:t>
      </w:r>
      <w:r w:rsidR="00416FAF">
        <w:rPr>
          <w:rFonts w:ascii="Times New Roman" w:hAnsi="Times New Roman" w:cs="Times New Roman"/>
          <w:lang w:val="fr-FR"/>
        </w:rPr>
        <w:t xml:space="preserve"> (3)</w:t>
      </w:r>
      <w:r w:rsidR="0040077A">
        <w:rPr>
          <w:rStyle w:val="Appelnotedebasdep"/>
          <w:rFonts w:ascii="Times New Roman" w:hAnsi="Times New Roman" w:cs="Times New Roman"/>
          <w:lang w:val="fr-FR"/>
        </w:rPr>
        <w:footnoteReference w:id="15"/>
      </w:r>
      <w:r w:rsidR="002A4C38" w:rsidRPr="00416FAF">
        <w:rPr>
          <w:rFonts w:ascii="Times New Roman" w:hAnsi="Times New Roman" w:cs="Times New Roman"/>
          <w:lang w:val="fr-FR"/>
        </w:rPr>
        <w:t xml:space="preserve">. </w:t>
      </w:r>
      <w:r w:rsidR="00416FAF" w:rsidRPr="00CB4520">
        <w:rPr>
          <w:rFonts w:ascii="Times New Roman" w:hAnsi="Times New Roman" w:cs="Times New Roman"/>
          <w:lang w:val="fr-FR"/>
        </w:rPr>
        <w:t xml:space="preserve">L’article 112 n’a également vocation à s’appliquer que si l’assureur </w:t>
      </w:r>
      <w:r w:rsidR="00416FAF" w:rsidRPr="00CB4520">
        <w:rPr>
          <w:rFonts w:ascii="Times New Roman" w:hAnsi="Times New Roman" w:cs="Times New Roman"/>
          <w:i/>
          <w:iCs/>
          <w:lang w:val="fr-FR"/>
        </w:rPr>
        <w:t>doit</w:t>
      </w:r>
      <w:r w:rsidR="00416FAF" w:rsidRPr="00CB4520">
        <w:rPr>
          <w:rStyle w:val="Appelnotedebasdep"/>
          <w:rFonts w:ascii="Times New Roman" w:hAnsi="Times New Roman" w:cs="Times New Roman"/>
          <w:lang w:val="fr-FR"/>
        </w:rPr>
        <w:footnoteReference w:id="16"/>
      </w:r>
      <w:r w:rsidR="00416FAF" w:rsidRPr="00CB4520">
        <w:rPr>
          <w:rFonts w:ascii="Times New Roman" w:hAnsi="Times New Roman" w:cs="Times New Roman"/>
          <w:lang w:val="fr-FR"/>
        </w:rPr>
        <w:t xml:space="preserve"> une indemnité à l’assuré au moment</w:t>
      </w:r>
      <w:r w:rsidR="00CB4520" w:rsidRPr="00CB4520">
        <w:rPr>
          <w:rFonts w:ascii="Times New Roman" w:hAnsi="Times New Roman" w:cs="Times New Roman"/>
          <w:lang w:val="fr-FR"/>
        </w:rPr>
        <w:t xml:space="preserve"> </w:t>
      </w:r>
      <w:r w:rsidR="00416FAF" w:rsidRPr="00CB4520">
        <w:rPr>
          <w:rFonts w:ascii="Times New Roman" w:hAnsi="Times New Roman" w:cs="Times New Roman"/>
          <w:lang w:val="fr-FR"/>
        </w:rPr>
        <w:t>du sinistre (4)</w:t>
      </w:r>
      <w:r w:rsidR="00416FAF" w:rsidRPr="00CB4520">
        <w:rPr>
          <w:rStyle w:val="Appelnotedebasdep"/>
          <w:rFonts w:ascii="Times New Roman" w:hAnsi="Times New Roman" w:cs="Times New Roman"/>
          <w:lang w:val="fr-FR"/>
        </w:rPr>
        <w:footnoteReference w:id="17"/>
      </w:r>
      <w:r w:rsidR="00416FAF" w:rsidRPr="00CB4520">
        <w:rPr>
          <w:rFonts w:ascii="Times New Roman" w:hAnsi="Times New Roman" w:cs="Times New Roman"/>
          <w:lang w:val="fr-FR"/>
        </w:rPr>
        <w:t xml:space="preserve"> : il s’agit ici de la question des opposabilités des exceptions que peut opposer l’assureur au créancier et sur lesquelles nous reviendrons </w:t>
      </w:r>
      <w:r w:rsidR="00416FAF" w:rsidRPr="00CB4520">
        <w:rPr>
          <w:rFonts w:ascii="Times New Roman" w:hAnsi="Times New Roman" w:cs="Times New Roman"/>
          <w:i/>
          <w:iCs/>
          <w:lang w:val="fr-FR"/>
        </w:rPr>
        <w:t>infra</w:t>
      </w:r>
      <w:r w:rsidR="00E43ADB" w:rsidRPr="00CB4520">
        <w:rPr>
          <w:rStyle w:val="Appelnotedebasdep"/>
          <w:rFonts w:ascii="Times New Roman" w:hAnsi="Times New Roman" w:cs="Times New Roman"/>
          <w:lang w:val="fr-FR"/>
        </w:rPr>
        <w:footnoteReference w:id="18"/>
      </w:r>
      <w:r w:rsidR="00896837" w:rsidRPr="00CB4520">
        <w:rPr>
          <w:rFonts w:ascii="Times New Roman" w:hAnsi="Times New Roman" w:cs="Times New Roman"/>
          <w:lang w:val="fr-FR"/>
        </w:rPr>
        <w:t xml:space="preserve">. </w:t>
      </w:r>
      <w:r w:rsidR="002A4C38" w:rsidRPr="00CB4520">
        <w:rPr>
          <w:rFonts w:ascii="Times New Roman" w:hAnsi="Times New Roman" w:cs="Times New Roman"/>
          <w:lang w:val="fr-FR"/>
        </w:rPr>
        <w:t>Enfin, le créancier doit figurer en rang utile</w:t>
      </w:r>
      <w:r w:rsidR="00416FAF" w:rsidRPr="00CB4520">
        <w:rPr>
          <w:rFonts w:ascii="Times New Roman" w:hAnsi="Times New Roman" w:cs="Times New Roman"/>
          <w:lang w:val="fr-FR"/>
        </w:rPr>
        <w:t xml:space="preserve"> (5)</w:t>
      </w:r>
      <w:r w:rsidR="002A4C38" w:rsidRPr="00CB4520">
        <w:rPr>
          <w:rStyle w:val="Appelnotedebasdep"/>
          <w:rFonts w:ascii="Times New Roman" w:hAnsi="Times New Roman" w:cs="Times New Roman"/>
          <w:lang w:val="fr-FR"/>
        </w:rPr>
        <w:footnoteReference w:id="19"/>
      </w:r>
      <w:r w:rsidR="002A4C38" w:rsidRPr="00CB4520">
        <w:rPr>
          <w:rFonts w:ascii="Times New Roman" w:hAnsi="Times New Roman" w:cs="Times New Roman"/>
          <w:lang w:val="fr-FR"/>
        </w:rPr>
        <w:t>.</w:t>
      </w:r>
      <w:r w:rsidR="002A4C38" w:rsidRPr="00416FAF">
        <w:rPr>
          <w:rFonts w:ascii="Times New Roman" w:hAnsi="Times New Roman" w:cs="Times New Roman"/>
          <w:lang w:val="fr-FR"/>
        </w:rPr>
        <w:t xml:space="preserve"> </w:t>
      </w:r>
    </w:p>
    <w:p w14:paraId="45126812" w14:textId="6E2F672F" w:rsidR="00416FAF" w:rsidRDefault="00416FAF" w:rsidP="005038B7">
      <w:pPr>
        <w:spacing w:line="276" w:lineRule="auto"/>
        <w:jc w:val="both"/>
        <w:rPr>
          <w:rFonts w:ascii="Times New Roman" w:hAnsi="Times New Roman" w:cs="Times New Roman"/>
          <w:lang w:val="fr-FR"/>
        </w:rPr>
      </w:pPr>
    </w:p>
    <w:p w14:paraId="24F0C170" w14:textId="672971E2" w:rsidR="00416FAF" w:rsidRDefault="00416FAF" w:rsidP="005038B7">
      <w:pPr>
        <w:spacing w:line="276" w:lineRule="auto"/>
        <w:jc w:val="both"/>
      </w:pPr>
      <w:r>
        <w:rPr>
          <w:rFonts w:ascii="Times New Roman" w:hAnsi="Times New Roman" w:cs="Times New Roman"/>
          <w:lang w:val="fr-FR"/>
        </w:rPr>
        <w:t xml:space="preserve">En ce qui concerne l’existence d’un contrat d’assurance, il importe peu que </w:t>
      </w:r>
      <w:r w:rsidR="008A6E6F">
        <w:rPr>
          <w:rFonts w:ascii="Times New Roman" w:hAnsi="Times New Roman" w:cs="Times New Roman"/>
          <w:lang w:val="fr-FR"/>
        </w:rPr>
        <w:t>ce dernier</w:t>
      </w:r>
      <w:r>
        <w:rPr>
          <w:rFonts w:ascii="Times New Roman" w:hAnsi="Times New Roman" w:cs="Times New Roman"/>
          <w:lang w:val="fr-FR"/>
        </w:rPr>
        <w:t xml:space="preserve"> soit conclu avant ou après la naissance de l’hypothèque ou du privilège </w:t>
      </w:r>
      <w:r w:rsidR="00896837">
        <w:rPr>
          <w:rStyle w:val="Appelnotedebasdep"/>
          <w:rFonts w:ascii="Times New Roman" w:hAnsi="Times New Roman" w:cs="Times New Roman"/>
          <w:lang w:val="fr-FR"/>
        </w:rPr>
        <w:footnoteReference w:id="20"/>
      </w:r>
      <w:r w:rsidR="00896837">
        <w:rPr>
          <w:rFonts w:ascii="Times New Roman" w:hAnsi="Times New Roman" w:cs="Times New Roman"/>
          <w:lang w:val="fr-FR"/>
        </w:rPr>
        <w:t xml:space="preserve">. Il est </w:t>
      </w:r>
      <w:r w:rsidR="00E43ADB">
        <w:rPr>
          <w:rFonts w:ascii="Times New Roman" w:hAnsi="Times New Roman" w:cs="Times New Roman"/>
          <w:lang w:val="fr-FR"/>
        </w:rPr>
        <w:t>en revanche</w:t>
      </w:r>
      <w:r w:rsidR="00896837">
        <w:rPr>
          <w:rFonts w:ascii="Times New Roman" w:hAnsi="Times New Roman" w:cs="Times New Roman"/>
          <w:lang w:val="fr-FR"/>
        </w:rPr>
        <w:t xml:space="preserve"> fondamental, pour que la subrogation puisse jouer, que l’hypothèque ou le privilège soit antérieur au sinistre. </w:t>
      </w:r>
      <w:r>
        <w:rPr>
          <w:rFonts w:ascii="Times New Roman" w:hAnsi="Times New Roman" w:cs="Times New Roman"/>
          <w:lang w:val="fr-FR"/>
        </w:rPr>
        <w:t xml:space="preserve">La Cour </w:t>
      </w:r>
      <w:r w:rsidRPr="00577DD2">
        <w:rPr>
          <w:rFonts w:ascii="Times New Roman" w:hAnsi="Times New Roman" w:cs="Times New Roman"/>
          <w:lang w:val="fr-FR"/>
        </w:rPr>
        <w:t>de cassation, dans un arrêt du 13 octobre 2017, a ainsi jugé</w:t>
      </w:r>
      <w:r w:rsidR="007D60B2" w:rsidRPr="00577DD2">
        <w:rPr>
          <w:rFonts w:ascii="Times New Roman" w:hAnsi="Times New Roman" w:cs="Times New Roman"/>
          <w:lang w:val="fr-FR"/>
        </w:rPr>
        <w:t xml:space="preserve"> que </w:t>
      </w:r>
      <w:r w:rsidR="007D60B2" w:rsidRPr="00577DD2">
        <w:rPr>
          <w:rFonts w:ascii="Times New Roman" w:hAnsi="Times New Roman" w:cs="Times New Roman"/>
        </w:rPr>
        <w:t>seuls bénéficient de la subrogation réelle, « </w:t>
      </w:r>
      <w:r w:rsidR="007D60B2" w:rsidRPr="00577DD2">
        <w:rPr>
          <w:rFonts w:ascii="Times New Roman" w:hAnsi="Times New Roman" w:cs="Times New Roman"/>
          <w:i/>
          <w:iCs/>
        </w:rPr>
        <w:t>les créanciers privilégiés ou hypothécaires dont l’inscription de la créance à la conservation des hypothèques est antérieure au sinistre </w:t>
      </w:r>
      <w:r w:rsidR="007D60B2" w:rsidRPr="00577DD2">
        <w:rPr>
          <w:rFonts w:ascii="Times New Roman" w:hAnsi="Times New Roman" w:cs="Times New Roman"/>
        </w:rPr>
        <w:t>»</w:t>
      </w:r>
      <w:r w:rsidR="007D60B2" w:rsidRPr="00577DD2">
        <w:rPr>
          <w:rStyle w:val="Appelnotedebasdep"/>
          <w:rFonts w:ascii="Times New Roman" w:hAnsi="Times New Roman" w:cs="Times New Roman"/>
        </w:rPr>
        <w:footnoteReference w:id="21"/>
      </w:r>
      <w:r w:rsidR="007D60B2" w:rsidRPr="00577DD2">
        <w:rPr>
          <w:rFonts w:ascii="Times New Roman" w:hAnsi="Times New Roman" w:cs="Times New Roman"/>
        </w:rPr>
        <w:t>. Il conviendra ainsi, pour les créanciers dont la sûreté fait l’objet</w:t>
      </w:r>
      <w:r w:rsidR="007D60B2" w:rsidRPr="007D60B2">
        <w:rPr>
          <w:rFonts w:ascii="Times New Roman" w:hAnsi="Times New Roman" w:cs="Times New Roman"/>
        </w:rPr>
        <w:t xml:space="preserve"> d’une publicité, de se référer à la date d’inscription ou d’enregistrement de leur sûreté. La question est en revanche plus délicate pour les créanciers dont la sûreté ne fait pas l’objet d’une publicité. A notre estime, il convient de s’en tenir à la date de naissance de leur créance.</w:t>
      </w:r>
      <w:r w:rsidR="007D60B2">
        <w:t xml:space="preserve"> </w:t>
      </w:r>
    </w:p>
    <w:p w14:paraId="3CEC13AD" w14:textId="47BBA6DE" w:rsidR="006126DE" w:rsidRDefault="006126DE" w:rsidP="005038B7">
      <w:pPr>
        <w:spacing w:line="276" w:lineRule="auto"/>
        <w:jc w:val="both"/>
        <w:rPr>
          <w:rFonts w:ascii="Times New Roman" w:hAnsi="Times New Roman" w:cs="Times New Roman"/>
          <w:lang w:val="fr-FR"/>
        </w:rPr>
      </w:pPr>
    </w:p>
    <w:p w14:paraId="04FD7662" w14:textId="64C66C9A" w:rsidR="006126DE" w:rsidRDefault="00B63EBE" w:rsidP="005038B7">
      <w:pPr>
        <w:spacing w:line="276" w:lineRule="auto"/>
        <w:jc w:val="both"/>
        <w:rPr>
          <w:rFonts w:ascii="Times New Roman" w:hAnsi="Times New Roman" w:cs="Times New Roman"/>
          <w:lang w:val="fr-FR"/>
        </w:rPr>
      </w:pPr>
      <w:r>
        <w:rPr>
          <w:rFonts w:ascii="Times New Roman" w:hAnsi="Times New Roman" w:cs="Times New Roman"/>
          <w:lang w:val="fr-FR"/>
        </w:rPr>
        <w:t>Pour que la subrogation réelle puisse jouer, l</w:t>
      </w:r>
      <w:r w:rsidR="00896837">
        <w:rPr>
          <w:rFonts w:ascii="Times New Roman" w:hAnsi="Times New Roman" w:cs="Times New Roman"/>
          <w:lang w:val="fr-FR"/>
        </w:rPr>
        <w:t>’article 112 exige</w:t>
      </w:r>
      <w:r w:rsidR="007D60B2">
        <w:rPr>
          <w:rFonts w:ascii="Times New Roman" w:hAnsi="Times New Roman" w:cs="Times New Roman"/>
          <w:lang w:val="fr-FR"/>
        </w:rPr>
        <w:t>, comme nous l’avons mentionné,</w:t>
      </w:r>
      <w:r>
        <w:rPr>
          <w:rFonts w:ascii="Times New Roman" w:hAnsi="Times New Roman" w:cs="Times New Roman"/>
          <w:lang w:val="fr-FR"/>
        </w:rPr>
        <w:t xml:space="preserve"> </w:t>
      </w:r>
      <w:r w:rsidR="007D60B2">
        <w:rPr>
          <w:rFonts w:ascii="Times New Roman" w:hAnsi="Times New Roman" w:cs="Times New Roman"/>
          <w:lang w:val="fr-FR"/>
        </w:rPr>
        <w:t>que l’indemnité ne soit pas affectée à la réparation ou à la reconstruction du bien</w:t>
      </w:r>
      <w:r w:rsidR="00896837">
        <w:rPr>
          <w:rFonts w:ascii="Times New Roman" w:hAnsi="Times New Roman" w:cs="Times New Roman"/>
          <w:lang w:val="fr-FR"/>
        </w:rPr>
        <w:t xml:space="preserve">. Cette condition, en pratique, peut susciter </w:t>
      </w:r>
      <w:r w:rsidR="00577DD2">
        <w:rPr>
          <w:rFonts w:ascii="Times New Roman" w:hAnsi="Times New Roman" w:cs="Times New Roman"/>
          <w:lang w:val="fr-FR"/>
        </w:rPr>
        <w:t xml:space="preserve">certaines </w:t>
      </w:r>
      <w:r w:rsidR="00896837">
        <w:rPr>
          <w:rFonts w:ascii="Times New Roman" w:hAnsi="Times New Roman" w:cs="Times New Roman"/>
          <w:lang w:val="fr-FR"/>
        </w:rPr>
        <w:t xml:space="preserve">difficultés. </w:t>
      </w:r>
      <w:r w:rsidR="007D60B2">
        <w:rPr>
          <w:rFonts w:ascii="Times New Roman" w:hAnsi="Times New Roman" w:cs="Times New Roman"/>
          <w:lang w:val="fr-FR"/>
        </w:rPr>
        <w:t>En effet, d</w:t>
      </w:r>
      <w:r w:rsidR="00896837">
        <w:rPr>
          <w:rFonts w:ascii="Times New Roman" w:hAnsi="Times New Roman" w:cs="Times New Roman"/>
          <w:lang w:val="fr-FR"/>
        </w:rPr>
        <w:t>ans quelle mesure le créancier</w:t>
      </w:r>
      <w:r w:rsidR="00577DD2">
        <w:rPr>
          <w:rFonts w:ascii="Times New Roman" w:hAnsi="Times New Roman" w:cs="Times New Roman"/>
          <w:lang w:val="fr-FR"/>
        </w:rPr>
        <w:t xml:space="preserve"> </w:t>
      </w:r>
      <w:r w:rsidR="00896837">
        <w:rPr>
          <w:rFonts w:ascii="Times New Roman" w:hAnsi="Times New Roman" w:cs="Times New Roman"/>
          <w:lang w:val="fr-FR"/>
        </w:rPr>
        <w:t>peut-il être au courant de l’affectation de l’indemnité et dans quel laps de temps ? Si cela ne concerne que la relation de l’assureur avec son assuré, il en résulte évidemment une certaine insécurité pour le</w:t>
      </w:r>
      <w:r w:rsidR="00653837">
        <w:rPr>
          <w:rFonts w:ascii="Times New Roman" w:hAnsi="Times New Roman" w:cs="Times New Roman"/>
          <w:lang w:val="fr-FR"/>
        </w:rPr>
        <w:t>s</w:t>
      </w:r>
      <w:r w:rsidR="00896837">
        <w:rPr>
          <w:rFonts w:ascii="Times New Roman" w:hAnsi="Times New Roman" w:cs="Times New Roman"/>
          <w:lang w:val="fr-FR"/>
        </w:rPr>
        <w:t xml:space="preserve"> créancier</w:t>
      </w:r>
      <w:r w:rsidR="00653837">
        <w:rPr>
          <w:rFonts w:ascii="Times New Roman" w:hAnsi="Times New Roman" w:cs="Times New Roman"/>
          <w:lang w:val="fr-FR"/>
        </w:rPr>
        <w:t>s</w:t>
      </w:r>
      <w:r w:rsidR="00896837">
        <w:rPr>
          <w:rFonts w:ascii="Times New Roman" w:hAnsi="Times New Roman" w:cs="Times New Roman"/>
          <w:lang w:val="fr-FR"/>
        </w:rPr>
        <w:t xml:space="preserve"> hypothécaire ou privilégié qui </w:t>
      </w:r>
      <w:r w:rsidR="00577DD2">
        <w:rPr>
          <w:rFonts w:ascii="Times New Roman" w:hAnsi="Times New Roman" w:cs="Times New Roman"/>
          <w:lang w:val="fr-FR"/>
        </w:rPr>
        <w:t>pourront toutefois</w:t>
      </w:r>
      <w:r w:rsidR="00E3136E">
        <w:rPr>
          <w:rFonts w:ascii="Times New Roman" w:hAnsi="Times New Roman" w:cs="Times New Roman"/>
          <w:lang w:val="fr-FR"/>
        </w:rPr>
        <w:t xml:space="preserve">, </w:t>
      </w:r>
      <w:r w:rsidR="00122DCD">
        <w:rPr>
          <w:rFonts w:ascii="Times New Roman" w:hAnsi="Times New Roman" w:cs="Times New Roman"/>
          <w:lang w:val="fr-FR"/>
        </w:rPr>
        <w:t xml:space="preserve">si l’indemnité est affectée à la reconstruction du bien, exercer </w:t>
      </w:r>
      <w:r w:rsidR="00577DD2">
        <w:rPr>
          <w:rFonts w:ascii="Times New Roman" w:hAnsi="Times New Roman" w:cs="Times New Roman"/>
          <w:lang w:val="fr-FR"/>
        </w:rPr>
        <w:t>leur</w:t>
      </w:r>
      <w:r w:rsidR="00122DCD">
        <w:rPr>
          <w:rFonts w:ascii="Times New Roman" w:hAnsi="Times New Roman" w:cs="Times New Roman"/>
          <w:lang w:val="fr-FR"/>
        </w:rPr>
        <w:t xml:space="preserve"> </w:t>
      </w:r>
      <w:r w:rsidR="00653837">
        <w:rPr>
          <w:rFonts w:ascii="Times New Roman" w:hAnsi="Times New Roman" w:cs="Times New Roman"/>
          <w:lang w:val="fr-FR"/>
        </w:rPr>
        <w:t xml:space="preserve">sûreté </w:t>
      </w:r>
      <w:r w:rsidR="00122DCD">
        <w:rPr>
          <w:rFonts w:ascii="Times New Roman" w:hAnsi="Times New Roman" w:cs="Times New Roman"/>
          <w:lang w:val="fr-FR"/>
        </w:rPr>
        <w:t>sur le bien</w:t>
      </w:r>
      <w:r w:rsidR="00653837">
        <w:rPr>
          <w:rFonts w:ascii="Times New Roman" w:hAnsi="Times New Roman" w:cs="Times New Roman"/>
          <w:lang w:val="fr-FR"/>
        </w:rPr>
        <w:t xml:space="preserve"> ainsi</w:t>
      </w:r>
      <w:r w:rsidR="00122DCD">
        <w:rPr>
          <w:rFonts w:ascii="Times New Roman" w:hAnsi="Times New Roman" w:cs="Times New Roman"/>
          <w:lang w:val="fr-FR"/>
        </w:rPr>
        <w:t xml:space="preserve"> réparé. </w:t>
      </w:r>
    </w:p>
    <w:p w14:paraId="233FC432" w14:textId="77777777" w:rsidR="00577DD2" w:rsidRDefault="00577DD2" w:rsidP="005038B7">
      <w:pPr>
        <w:spacing w:line="276" w:lineRule="auto"/>
        <w:jc w:val="both"/>
        <w:rPr>
          <w:rFonts w:ascii="Times New Roman" w:hAnsi="Times New Roman" w:cs="Times New Roman"/>
          <w:lang w:val="fr-FR"/>
        </w:rPr>
      </w:pPr>
    </w:p>
    <w:p w14:paraId="2FC52BF5" w14:textId="49E53F57" w:rsidR="00B133A7" w:rsidRPr="0047770E" w:rsidRDefault="00EF23AE" w:rsidP="005038B7">
      <w:pPr>
        <w:spacing w:line="276" w:lineRule="auto"/>
        <w:jc w:val="both"/>
        <w:rPr>
          <w:rFonts w:ascii="Times New Roman" w:hAnsi="Times New Roman" w:cs="Times New Roman"/>
          <w:lang w:val="fr-FR"/>
        </w:rPr>
      </w:pPr>
      <w:r w:rsidRPr="0047770E">
        <w:rPr>
          <w:rFonts w:ascii="Times New Roman" w:hAnsi="Times New Roman" w:cs="Times New Roman"/>
          <w:lang w:val="fr-FR"/>
        </w:rPr>
        <w:lastRenderedPageBreak/>
        <w:t xml:space="preserve">Une solution pourrait consister en ce que, lorsque l’assuré décide d’affecter l’indemnité à la reconstruction du bien, l’assureur ne le paye qu’avec le consentement des créanciers hypothécaires et privilégiés afin que, si l’indemnité n’est pas affectée à la reconstruction, l’assureur ne soit pas obligé de payer une seconde fois ces créanciers sur </w:t>
      </w:r>
      <w:r w:rsidR="00E95B67" w:rsidRPr="0047770E">
        <w:rPr>
          <w:rFonts w:ascii="Times New Roman" w:hAnsi="Times New Roman" w:cs="Times New Roman"/>
          <w:lang w:val="fr-FR"/>
        </w:rPr>
        <w:t xml:space="preserve">la </w:t>
      </w:r>
      <w:r w:rsidRPr="0047770E">
        <w:rPr>
          <w:rFonts w:ascii="Times New Roman" w:hAnsi="Times New Roman" w:cs="Times New Roman"/>
          <w:lang w:val="fr-FR"/>
        </w:rPr>
        <w:t xml:space="preserve">base de l’article 112 de la L.A. </w:t>
      </w:r>
      <w:r w:rsidR="00B133A7" w:rsidRPr="0047770E">
        <w:rPr>
          <w:rFonts w:ascii="Times New Roman" w:hAnsi="Times New Roman" w:cs="Times New Roman"/>
          <w:lang w:val="fr-FR"/>
        </w:rPr>
        <w:t>Une autre possibilité, en cas d’intentio</w:t>
      </w:r>
      <w:r w:rsidR="0047770E">
        <w:rPr>
          <w:rFonts w:ascii="Times New Roman" w:hAnsi="Times New Roman" w:cs="Times New Roman"/>
          <w:lang w:val="fr-FR"/>
        </w:rPr>
        <w:t>n</w:t>
      </w:r>
      <w:r w:rsidR="00B133A7" w:rsidRPr="0047770E">
        <w:rPr>
          <w:rFonts w:ascii="Times New Roman" w:hAnsi="Times New Roman" w:cs="Times New Roman"/>
          <w:lang w:val="fr-FR"/>
        </w:rPr>
        <w:t xml:space="preserve"> initiale d</w:t>
      </w:r>
      <w:r w:rsidR="0047770E">
        <w:rPr>
          <w:rFonts w:ascii="Times New Roman" w:hAnsi="Times New Roman" w:cs="Times New Roman"/>
          <w:lang w:val="fr-FR"/>
        </w:rPr>
        <w:t>e reconstruction du</w:t>
      </w:r>
      <w:r w:rsidR="00B133A7" w:rsidRPr="0047770E">
        <w:rPr>
          <w:rFonts w:ascii="Times New Roman" w:hAnsi="Times New Roman" w:cs="Times New Roman"/>
          <w:lang w:val="fr-FR"/>
        </w:rPr>
        <w:t xml:space="preserve"> bien sinistré, pourrait résider </w:t>
      </w:r>
      <w:r w:rsidR="00B133A7" w:rsidRPr="0047770E">
        <w:rPr>
          <w:rFonts w:ascii="Times New Roman" w:hAnsi="Times New Roman" w:cs="Times New Roman"/>
          <w:lang w:val="fr-FR"/>
        </w:rPr>
        <w:t xml:space="preserve">dans </w:t>
      </w:r>
      <w:r w:rsidR="00B133A7" w:rsidRPr="0047770E">
        <w:rPr>
          <w:rFonts w:ascii="Times New Roman" w:hAnsi="Times New Roman" w:cs="Times New Roman"/>
          <w:lang w:val="fr-FR"/>
        </w:rPr>
        <w:t>le versement de l’indemnité d’assurance sur un compte distinct, à disposition du preneur d’assurance et des créanciers hypothécaires ou privilégiés ayant un droit de regard sur celui-ci, les sommes ne pouvant être libérées</w:t>
      </w:r>
      <w:r w:rsidR="00B133A7" w:rsidRPr="0047770E">
        <w:rPr>
          <w:rFonts w:ascii="Times New Roman" w:hAnsi="Times New Roman" w:cs="Times New Roman"/>
          <w:lang w:val="fr-FR"/>
        </w:rPr>
        <w:t xml:space="preserve"> au profit du preneur</w:t>
      </w:r>
      <w:r w:rsidR="0047770E">
        <w:rPr>
          <w:rFonts w:ascii="Times New Roman" w:hAnsi="Times New Roman" w:cs="Times New Roman"/>
          <w:lang w:val="fr-FR"/>
        </w:rPr>
        <w:t xml:space="preserve"> d’assurance</w:t>
      </w:r>
      <w:r w:rsidR="00B133A7" w:rsidRPr="0047770E">
        <w:rPr>
          <w:rFonts w:ascii="Times New Roman" w:hAnsi="Times New Roman" w:cs="Times New Roman"/>
          <w:lang w:val="fr-FR"/>
        </w:rPr>
        <w:t xml:space="preserve"> qu’en cas de preuve de reconstruction apportée par</w:t>
      </w:r>
      <w:r w:rsidR="0047770E">
        <w:rPr>
          <w:rFonts w:ascii="Times New Roman" w:hAnsi="Times New Roman" w:cs="Times New Roman"/>
          <w:lang w:val="fr-FR"/>
        </w:rPr>
        <w:t xml:space="preserve"> celui-ci</w:t>
      </w:r>
      <w:r w:rsidR="00B133A7" w:rsidRPr="0047770E">
        <w:rPr>
          <w:rStyle w:val="Appelnotedebasdep"/>
          <w:rFonts w:ascii="Times New Roman" w:hAnsi="Times New Roman" w:cs="Times New Roman"/>
          <w:lang w:val="fr-FR"/>
        </w:rPr>
        <w:footnoteReference w:id="22"/>
      </w:r>
      <w:r w:rsidR="00B133A7" w:rsidRPr="0047770E">
        <w:rPr>
          <w:rFonts w:ascii="Times New Roman" w:hAnsi="Times New Roman" w:cs="Times New Roman"/>
          <w:lang w:val="fr-FR"/>
        </w:rPr>
        <w:t xml:space="preserve">. </w:t>
      </w:r>
    </w:p>
    <w:p w14:paraId="3D06EF4D" w14:textId="4E172534" w:rsidR="00265A29" w:rsidRDefault="00265A29" w:rsidP="005038B7">
      <w:pPr>
        <w:spacing w:line="276" w:lineRule="auto"/>
        <w:jc w:val="both"/>
        <w:rPr>
          <w:rFonts w:ascii="Times New Roman" w:hAnsi="Times New Roman" w:cs="Times New Roman"/>
          <w:lang w:val="fr-FR"/>
        </w:rPr>
      </w:pPr>
    </w:p>
    <w:p w14:paraId="73B19312" w14:textId="58734FCD" w:rsidR="00A57FBF" w:rsidRDefault="00EE0F36" w:rsidP="005038B7">
      <w:pPr>
        <w:spacing w:line="276" w:lineRule="auto"/>
        <w:jc w:val="both"/>
        <w:rPr>
          <w:rFonts w:ascii="Times New Roman" w:hAnsi="Times New Roman" w:cs="Times New Roman"/>
          <w:lang w:val="fr-FR"/>
        </w:rPr>
      </w:pPr>
      <w:r>
        <w:rPr>
          <w:rFonts w:ascii="Times New Roman" w:hAnsi="Times New Roman" w:cs="Times New Roman"/>
          <w:lang w:val="fr-FR"/>
        </w:rPr>
        <w:t xml:space="preserve">Pour que la subrogation prévue à l’article 112 de la L.A. puisse jouer, </w:t>
      </w:r>
      <w:r w:rsidR="00CF6317">
        <w:rPr>
          <w:rFonts w:ascii="Times New Roman" w:hAnsi="Times New Roman" w:cs="Times New Roman"/>
          <w:lang w:val="fr-FR"/>
        </w:rPr>
        <w:t>il faut encore</w:t>
      </w:r>
      <w:r>
        <w:rPr>
          <w:rFonts w:ascii="Times New Roman" w:hAnsi="Times New Roman" w:cs="Times New Roman"/>
          <w:lang w:val="fr-FR"/>
        </w:rPr>
        <w:t xml:space="preserve"> que l’assureur ne soit pas en mesure d’opposer </w:t>
      </w:r>
      <w:r w:rsidR="00A57FBF">
        <w:rPr>
          <w:rFonts w:ascii="Times New Roman" w:hAnsi="Times New Roman" w:cs="Times New Roman"/>
          <w:lang w:val="fr-FR"/>
        </w:rPr>
        <w:t>une exception au</w:t>
      </w:r>
      <w:r>
        <w:rPr>
          <w:rFonts w:ascii="Times New Roman" w:hAnsi="Times New Roman" w:cs="Times New Roman"/>
          <w:lang w:val="fr-FR"/>
        </w:rPr>
        <w:t>x</w:t>
      </w:r>
      <w:r w:rsidR="00A57FBF">
        <w:rPr>
          <w:rFonts w:ascii="Times New Roman" w:hAnsi="Times New Roman" w:cs="Times New Roman"/>
          <w:lang w:val="fr-FR"/>
        </w:rPr>
        <w:t xml:space="preserve"> créancier</w:t>
      </w:r>
      <w:r>
        <w:rPr>
          <w:rFonts w:ascii="Times New Roman" w:hAnsi="Times New Roman" w:cs="Times New Roman"/>
          <w:lang w:val="fr-FR"/>
        </w:rPr>
        <w:t>s</w:t>
      </w:r>
      <w:r w:rsidR="00A57FBF">
        <w:rPr>
          <w:rFonts w:ascii="Times New Roman" w:hAnsi="Times New Roman" w:cs="Times New Roman"/>
          <w:lang w:val="fr-FR"/>
        </w:rPr>
        <w:t xml:space="preserve"> hypothécaire ou privilégié</w:t>
      </w:r>
      <w:r w:rsidR="00CF6317">
        <w:rPr>
          <w:rFonts w:ascii="Times New Roman" w:hAnsi="Times New Roman" w:cs="Times New Roman"/>
          <w:lang w:val="fr-FR"/>
        </w:rPr>
        <w:t xml:space="preserve">, lesquels </w:t>
      </w:r>
      <w:r w:rsidR="00A57FBF">
        <w:rPr>
          <w:rFonts w:ascii="Times New Roman" w:hAnsi="Times New Roman" w:cs="Times New Roman"/>
          <w:lang w:val="fr-FR"/>
        </w:rPr>
        <w:t>ne peu</w:t>
      </w:r>
      <w:r>
        <w:rPr>
          <w:rFonts w:ascii="Times New Roman" w:hAnsi="Times New Roman" w:cs="Times New Roman"/>
          <w:lang w:val="fr-FR"/>
        </w:rPr>
        <w:t>vent</w:t>
      </w:r>
      <w:r w:rsidR="00A57FBF">
        <w:rPr>
          <w:rFonts w:ascii="Times New Roman" w:hAnsi="Times New Roman" w:cs="Times New Roman"/>
          <w:lang w:val="fr-FR"/>
        </w:rPr>
        <w:t xml:space="preserve"> disposer de plus de droits que </w:t>
      </w:r>
      <w:r>
        <w:rPr>
          <w:rFonts w:ascii="Times New Roman" w:hAnsi="Times New Roman" w:cs="Times New Roman"/>
          <w:lang w:val="fr-FR"/>
        </w:rPr>
        <w:t>leur</w:t>
      </w:r>
      <w:r w:rsidR="00A57FBF">
        <w:rPr>
          <w:rFonts w:ascii="Times New Roman" w:hAnsi="Times New Roman" w:cs="Times New Roman"/>
          <w:lang w:val="fr-FR"/>
        </w:rPr>
        <w:t xml:space="preserve"> débiteur</w:t>
      </w:r>
      <w:r w:rsidR="00D67D42">
        <w:rPr>
          <w:rStyle w:val="Appelnotedebasdep"/>
          <w:rFonts w:ascii="Times New Roman" w:hAnsi="Times New Roman" w:cs="Times New Roman"/>
          <w:lang w:val="fr-FR"/>
        </w:rPr>
        <w:footnoteReference w:id="23"/>
      </w:r>
      <w:r w:rsidR="00A57FBF">
        <w:rPr>
          <w:rFonts w:ascii="Times New Roman" w:hAnsi="Times New Roman" w:cs="Times New Roman"/>
          <w:lang w:val="fr-FR"/>
        </w:rPr>
        <w:t xml:space="preserve">. Ainsi, en cas de non-paiement des primes dues par l’assuré, l’organisme d’assurance pourrait soulever cette exception de non-paiement aux créanciers visés par l’article précité. A cet égard et pour éviter une telle déconvenue, il est vivement conseillé, comme le préconise A. </w:t>
      </w:r>
      <w:proofErr w:type="spellStart"/>
      <w:r w:rsidR="00A57FBF">
        <w:rPr>
          <w:rFonts w:ascii="Times New Roman" w:hAnsi="Times New Roman" w:cs="Times New Roman"/>
          <w:lang w:val="fr-FR"/>
        </w:rPr>
        <w:t>Duriau</w:t>
      </w:r>
      <w:proofErr w:type="spellEnd"/>
      <w:r w:rsidR="00A57FBF">
        <w:rPr>
          <w:rFonts w:ascii="Times New Roman" w:hAnsi="Times New Roman" w:cs="Times New Roman"/>
          <w:lang w:val="fr-FR"/>
        </w:rPr>
        <w:t>, que le créancier assure le bien en son nom propre afin de bénéficier de l’application de l’article 230 de la loi</w:t>
      </w:r>
      <w:r w:rsidR="00A57FBF">
        <w:rPr>
          <w:rStyle w:val="Appelnotedebasdep"/>
          <w:rFonts w:ascii="Times New Roman" w:hAnsi="Times New Roman" w:cs="Times New Roman"/>
          <w:lang w:val="fr-FR"/>
        </w:rPr>
        <w:footnoteReference w:id="24"/>
      </w:r>
      <w:r w:rsidR="00A57FBF">
        <w:rPr>
          <w:rFonts w:ascii="Times New Roman" w:hAnsi="Times New Roman" w:cs="Times New Roman"/>
          <w:lang w:val="fr-FR"/>
        </w:rPr>
        <w:t xml:space="preserve">. </w:t>
      </w:r>
      <w:r w:rsidR="00522A55">
        <w:rPr>
          <w:rFonts w:ascii="Times New Roman" w:hAnsi="Times New Roman" w:cs="Times New Roman"/>
          <w:lang w:val="fr-FR"/>
        </w:rPr>
        <w:t>En</w:t>
      </w:r>
      <w:r w:rsidR="00A57FBF">
        <w:rPr>
          <w:rFonts w:ascii="Times New Roman" w:hAnsi="Times New Roman" w:cs="Times New Roman"/>
          <w:lang w:val="fr-FR"/>
        </w:rPr>
        <w:t xml:space="preserve"> pratique, </w:t>
      </w:r>
      <w:r w:rsidR="00522A55">
        <w:rPr>
          <w:rFonts w:ascii="Times New Roman" w:hAnsi="Times New Roman" w:cs="Times New Roman"/>
          <w:lang w:val="fr-FR"/>
        </w:rPr>
        <w:t>il semble qu’</w:t>
      </w:r>
      <w:r w:rsidR="00A57FBF">
        <w:rPr>
          <w:rFonts w:ascii="Times New Roman" w:hAnsi="Times New Roman" w:cs="Times New Roman"/>
          <w:lang w:val="fr-FR"/>
        </w:rPr>
        <w:t>une telle assurance n’est que rarement souscrite. Comme le relève</w:t>
      </w:r>
      <w:r w:rsidR="00522A55">
        <w:rPr>
          <w:rFonts w:ascii="Times New Roman" w:hAnsi="Times New Roman" w:cs="Times New Roman"/>
          <w:lang w:val="fr-FR"/>
        </w:rPr>
        <w:t>nt</w:t>
      </w:r>
      <w:r w:rsidR="00A57FBF">
        <w:rPr>
          <w:rFonts w:ascii="Times New Roman" w:hAnsi="Times New Roman" w:cs="Times New Roman"/>
          <w:lang w:val="fr-FR"/>
        </w:rPr>
        <w:t xml:space="preserve"> </w:t>
      </w:r>
      <w:r w:rsidR="00CF6317">
        <w:rPr>
          <w:rFonts w:ascii="Times New Roman" w:hAnsi="Times New Roman" w:cs="Times New Roman"/>
          <w:lang w:val="fr-FR"/>
        </w:rPr>
        <w:t>MM. Cuypers et Georges</w:t>
      </w:r>
      <w:r w:rsidR="00A57FBF">
        <w:rPr>
          <w:rFonts w:ascii="Times New Roman" w:hAnsi="Times New Roman" w:cs="Times New Roman"/>
          <w:lang w:val="fr-FR"/>
        </w:rPr>
        <w:t>, « </w:t>
      </w:r>
      <w:r w:rsidR="00A57FBF" w:rsidRPr="00092D95">
        <w:rPr>
          <w:rFonts w:ascii="Times New Roman" w:hAnsi="Times New Roman" w:cs="Times New Roman"/>
          <w:i/>
          <w:iCs/>
          <w:lang w:val="fr-FR"/>
        </w:rPr>
        <w:t>Le créancier hypothécaire se satisfera d’un avenant hypothécaire dans lequel la compagnie d’assurances s’oblige à ne pas suspendre l’effet de la police à l’égard d’un créancier hypothécaire ou privilégié sans l’avertir au moins 15 jours à l’avance par en envoi recommandé</w:t>
      </w:r>
      <w:r w:rsidR="00A57FBF">
        <w:rPr>
          <w:rFonts w:ascii="Times New Roman" w:hAnsi="Times New Roman" w:cs="Times New Roman"/>
          <w:lang w:val="fr-FR"/>
        </w:rPr>
        <w:t> »</w:t>
      </w:r>
      <w:r w:rsidR="00A57FBF">
        <w:rPr>
          <w:rStyle w:val="Appelnotedebasdep"/>
          <w:rFonts w:ascii="Times New Roman" w:hAnsi="Times New Roman" w:cs="Times New Roman"/>
          <w:lang w:val="fr-FR"/>
        </w:rPr>
        <w:footnoteReference w:id="25"/>
      </w:r>
      <w:r w:rsidR="00A57FBF">
        <w:rPr>
          <w:rFonts w:ascii="Times New Roman" w:hAnsi="Times New Roman" w:cs="Times New Roman"/>
          <w:lang w:val="fr-FR"/>
        </w:rPr>
        <w:t xml:space="preserve">.  </w:t>
      </w:r>
    </w:p>
    <w:p w14:paraId="774C2D71" w14:textId="77777777" w:rsidR="00B133A7" w:rsidRDefault="00B133A7" w:rsidP="005038B7">
      <w:pPr>
        <w:spacing w:line="276" w:lineRule="auto"/>
        <w:jc w:val="both"/>
        <w:rPr>
          <w:rFonts w:ascii="Times New Roman" w:hAnsi="Times New Roman" w:cs="Times New Roman"/>
          <w:lang w:val="fr-FR"/>
        </w:rPr>
      </w:pPr>
    </w:p>
    <w:p w14:paraId="61929BE4" w14:textId="4DAE0AB8" w:rsidR="00A57FBF" w:rsidRDefault="00A57FBF" w:rsidP="005038B7">
      <w:pPr>
        <w:spacing w:line="276" w:lineRule="auto"/>
        <w:jc w:val="both"/>
        <w:rPr>
          <w:rFonts w:ascii="Times New Roman" w:hAnsi="Times New Roman" w:cs="Times New Roman"/>
          <w:lang w:val="fr-FR"/>
        </w:rPr>
      </w:pPr>
      <w:r>
        <w:rPr>
          <w:rFonts w:ascii="Times New Roman" w:hAnsi="Times New Roman" w:cs="Times New Roman"/>
          <w:lang w:val="fr-FR"/>
        </w:rPr>
        <w:t>Par ailleurs, l’organisme d’assurance pourrait encore refuser de payer l’indemnité au créancier dont la sûreté ne fait pas l’objet d’une publicité et qui n’a pas valablement formé opposition (</w:t>
      </w:r>
      <w:r w:rsidRPr="00A57FBF">
        <w:rPr>
          <w:rFonts w:ascii="Times New Roman" w:hAnsi="Times New Roman" w:cs="Times New Roman"/>
          <w:i/>
          <w:iCs/>
          <w:lang w:val="fr-FR"/>
        </w:rPr>
        <w:t>infra</w:t>
      </w:r>
      <w:r w:rsidR="00A65280">
        <w:rPr>
          <w:rFonts w:ascii="Times New Roman" w:hAnsi="Times New Roman" w:cs="Times New Roman"/>
          <w:i/>
          <w:iCs/>
          <w:lang w:val="fr-FR"/>
        </w:rPr>
        <w:t xml:space="preserve">, </w:t>
      </w:r>
      <w:r w:rsidR="00A65280">
        <w:rPr>
          <w:rFonts w:ascii="Times New Roman" w:hAnsi="Times New Roman" w:cs="Times New Roman"/>
          <w:lang w:val="fr-FR"/>
        </w:rPr>
        <w:t>Section 2</w:t>
      </w:r>
      <w:r>
        <w:rPr>
          <w:rFonts w:ascii="Times New Roman" w:hAnsi="Times New Roman" w:cs="Times New Roman"/>
          <w:lang w:val="fr-FR"/>
        </w:rPr>
        <w:t xml:space="preserve">). </w:t>
      </w:r>
    </w:p>
    <w:p w14:paraId="537BE92F" w14:textId="285CE5E4" w:rsidR="00A57FBF" w:rsidRDefault="00A57FBF" w:rsidP="005038B7">
      <w:pPr>
        <w:spacing w:line="276" w:lineRule="auto"/>
        <w:jc w:val="both"/>
        <w:rPr>
          <w:rFonts w:ascii="Times New Roman" w:hAnsi="Times New Roman" w:cs="Times New Roman"/>
          <w:lang w:val="fr-FR"/>
        </w:rPr>
      </w:pPr>
    </w:p>
    <w:p w14:paraId="74894855" w14:textId="6BACA751" w:rsidR="00E023B8" w:rsidRDefault="00A57FBF" w:rsidP="005038B7">
      <w:pPr>
        <w:spacing w:line="276" w:lineRule="auto"/>
        <w:jc w:val="both"/>
        <w:rPr>
          <w:rFonts w:ascii="Times New Roman" w:hAnsi="Times New Roman" w:cs="Times New Roman"/>
          <w:lang w:val="fr-FR"/>
        </w:rPr>
      </w:pPr>
      <w:r>
        <w:rPr>
          <w:rFonts w:ascii="Times New Roman" w:hAnsi="Times New Roman" w:cs="Times New Roman"/>
          <w:lang w:val="fr-FR"/>
        </w:rPr>
        <w:t>Si toutes les conditions précitées sont remplies et si, par conséquent, aucune exception n’est soulevée par l’assureur, la subrogation réelle peut ainsi opérer et la créance garantie par l’hypothèque ou par le privilège devient immédiatement exigible</w:t>
      </w:r>
      <w:r w:rsidR="00092D95">
        <w:rPr>
          <w:rStyle w:val="Appelnotedebasdep"/>
          <w:rFonts w:ascii="Times New Roman" w:hAnsi="Times New Roman" w:cs="Times New Roman"/>
          <w:lang w:val="fr-FR"/>
        </w:rPr>
        <w:footnoteReference w:id="26"/>
      </w:r>
      <w:r w:rsidR="00092D95">
        <w:rPr>
          <w:rFonts w:ascii="Times New Roman" w:hAnsi="Times New Roman" w:cs="Times New Roman"/>
          <w:lang w:val="fr-FR"/>
        </w:rPr>
        <w:t xml:space="preserve">. </w:t>
      </w:r>
    </w:p>
    <w:p w14:paraId="599BB90C" w14:textId="1E741D9A" w:rsidR="0060011A" w:rsidRDefault="0060011A" w:rsidP="005038B7">
      <w:pPr>
        <w:spacing w:line="276" w:lineRule="auto"/>
        <w:jc w:val="both"/>
        <w:rPr>
          <w:rFonts w:ascii="Times New Roman" w:hAnsi="Times New Roman" w:cs="Times New Roman"/>
          <w:lang w:val="fr-FR"/>
        </w:rPr>
      </w:pPr>
    </w:p>
    <w:p w14:paraId="67A0513E" w14:textId="0C59AF7D" w:rsidR="00CB4520" w:rsidRDefault="00CB4520" w:rsidP="005038B7">
      <w:pPr>
        <w:spacing w:line="276" w:lineRule="auto"/>
        <w:jc w:val="both"/>
        <w:rPr>
          <w:rFonts w:ascii="Times New Roman" w:hAnsi="Times New Roman" w:cs="Times New Roman"/>
          <w:lang w:val="fr-FR"/>
        </w:rPr>
      </w:pPr>
    </w:p>
    <w:p w14:paraId="67ADFA77" w14:textId="77777777" w:rsidR="00CB4520" w:rsidRDefault="00CB4520" w:rsidP="005038B7">
      <w:pPr>
        <w:spacing w:line="276" w:lineRule="auto"/>
        <w:jc w:val="both"/>
        <w:rPr>
          <w:rFonts w:ascii="Times New Roman" w:hAnsi="Times New Roman" w:cs="Times New Roman"/>
          <w:lang w:val="fr-FR"/>
        </w:rPr>
      </w:pPr>
    </w:p>
    <w:p w14:paraId="7A5C11B9" w14:textId="3C982B9B" w:rsidR="0060011A" w:rsidRPr="0060011A" w:rsidRDefault="0060011A" w:rsidP="0060011A">
      <w:pPr>
        <w:pStyle w:val="Paragraphedeliste"/>
        <w:numPr>
          <w:ilvl w:val="0"/>
          <w:numId w:val="8"/>
        </w:numPr>
        <w:spacing w:line="276" w:lineRule="auto"/>
        <w:jc w:val="both"/>
        <w:rPr>
          <w:rFonts w:ascii="Times New Roman" w:hAnsi="Times New Roman" w:cs="Times New Roman"/>
          <w:b/>
          <w:bCs/>
          <w:lang w:val="fr-FR"/>
        </w:rPr>
      </w:pPr>
      <w:r w:rsidRPr="0060011A">
        <w:rPr>
          <w:rFonts w:ascii="Times New Roman" w:hAnsi="Times New Roman" w:cs="Times New Roman"/>
          <w:b/>
          <w:bCs/>
          <w:lang w:val="fr-FR"/>
        </w:rPr>
        <w:t xml:space="preserve">Faillite de l’assuré </w:t>
      </w:r>
    </w:p>
    <w:p w14:paraId="573158EB" w14:textId="77777777" w:rsidR="00A57FBF" w:rsidRDefault="00A57FBF" w:rsidP="005038B7">
      <w:pPr>
        <w:spacing w:line="276" w:lineRule="auto"/>
        <w:jc w:val="both"/>
        <w:rPr>
          <w:rFonts w:ascii="Times New Roman" w:hAnsi="Times New Roman" w:cs="Times New Roman"/>
          <w:lang w:val="fr-FR"/>
        </w:rPr>
      </w:pPr>
    </w:p>
    <w:p w14:paraId="0C5689A4" w14:textId="5CD242E3" w:rsidR="00044407" w:rsidRDefault="00420AF8" w:rsidP="00420AF8">
      <w:pPr>
        <w:spacing w:line="276" w:lineRule="auto"/>
        <w:jc w:val="both"/>
        <w:rPr>
          <w:rFonts w:ascii="Times New Roman" w:hAnsi="Times New Roman" w:cs="Times New Roman"/>
          <w:lang w:val="fr-FR"/>
        </w:rPr>
      </w:pPr>
      <w:r>
        <w:rPr>
          <w:rFonts w:ascii="Times New Roman" w:hAnsi="Times New Roman" w:cs="Times New Roman"/>
          <w:lang w:val="fr-FR"/>
        </w:rPr>
        <w:t xml:space="preserve">En cas de faillite de l’assuré, il convient d’appliquer l’article 113 de la L.A., lequel dispose : « </w:t>
      </w:r>
      <w:r w:rsidRPr="00EF2CE6">
        <w:rPr>
          <w:rFonts w:ascii="Times New Roman" w:hAnsi="Times New Roman" w:cs="Times New Roman"/>
          <w:i/>
          <w:iCs/>
          <w:lang w:val="fr-FR"/>
        </w:rPr>
        <w:t xml:space="preserve">en cas de faillite de l’assuré, l’indemnité revient à la masse </w:t>
      </w:r>
      <w:proofErr w:type="spellStart"/>
      <w:r w:rsidRPr="00EF2CE6">
        <w:rPr>
          <w:rFonts w:ascii="Times New Roman" w:hAnsi="Times New Roman" w:cs="Times New Roman"/>
          <w:i/>
          <w:iCs/>
          <w:lang w:val="fr-FR"/>
        </w:rPr>
        <w:t>faillie</w:t>
      </w:r>
      <w:proofErr w:type="spellEnd"/>
      <w:r w:rsidRPr="00EF2CE6">
        <w:rPr>
          <w:rFonts w:ascii="Times New Roman" w:hAnsi="Times New Roman" w:cs="Times New Roman"/>
          <w:i/>
          <w:iCs/>
          <w:lang w:val="fr-FR"/>
        </w:rPr>
        <w:t>. Si toutefois certains biens assurés sont insaisissables, l’indemnité due en vertu du contrat d’assurance de ces biens revient au failli</w:t>
      </w:r>
      <w:r>
        <w:rPr>
          <w:rFonts w:ascii="Times New Roman" w:hAnsi="Times New Roman" w:cs="Times New Roman"/>
          <w:lang w:val="fr-FR"/>
        </w:rPr>
        <w:t> »</w:t>
      </w:r>
      <w:r>
        <w:rPr>
          <w:rStyle w:val="Appelnotedebasdep"/>
          <w:rFonts w:ascii="Times New Roman" w:hAnsi="Times New Roman" w:cs="Times New Roman"/>
          <w:lang w:val="fr-FR"/>
        </w:rPr>
        <w:footnoteReference w:id="27"/>
      </w:r>
      <w:r w:rsidR="00044407">
        <w:rPr>
          <w:rFonts w:ascii="Times New Roman" w:hAnsi="Times New Roman" w:cs="Times New Roman"/>
          <w:lang w:val="fr-FR"/>
        </w:rPr>
        <w:t>. Peu importe le fait que le sinistre survienne avant ou après la déclaration de faillite</w:t>
      </w:r>
      <w:r w:rsidR="00044407">
        <w:rPr>
          <w:rStyle w:val="Appelnotedebasdep"/>
          <w:rFonts w:ascii="Times New Roman" w:hAnsi="Times New Roman" w:cs="Times New Roman"/>
          <w:lang w:val="fr-FR"/>
        </w:rPr>
        <w:footnoteReference w:id="28"/>
      </w:r>
      <w:r w:rsidR="00044407">
        <w:rPr>
          <w:rFonts w:ascii="Times New Roman" w:hAnsi="Times New Roman" w:cs="Times New Roman"/>
          <w:lang w:val="fr-FR"/>
        </w:rPr>
        <w:t xml:space="preserve">. </w:t>
      </w:r>
    </w:p>
    <w:p w14:paraId="4CF4C755" w14:textId="77777777" w:rsidR="00044407" w:rsidRDefault="00044407" w:rsidP="00420AF8">
      <w:pPr>
        <w:spacing w:line="276" w:lineRule="auto"/>
        <w:jc w:val="both"/>
        <w:rPr>
          <w:rFonts w:ascii="Times New Roman" w:hAnsi="Times New Roman" w:cs="Times New Roman"/>
          <w:lang w:val="fr-FR"/>
        </w:rPr>
      </w:pPr>
    </w:p>
    <w:p w14:paraId="4D2D14FB" w14:textId="73132DEF" w:rsidR="00420AF8" w:rsidRDefault="0060011A" w:rsidP="00420AF8">
      <w:pPr>
        <w:spacing w:line="276" w:lineRule="auto"/>
        <w:jc w:val="both"/>
        <w:rPr>
          <w:rFonts w:ascii="Times New Roman" w:hAnsi="Times New Roman" w:cs="Times New Roman"/>
          <w:lang w:val="fr-FR"/>
        </w:rPr>
      </w:pPr>
      <w:r>
        <w:rPr>
          <w:rFonts w:ascii="Times New Roman" w:hAnsi="Times New Roman" w:cs="Times New Roman"/>
          <w:lang w:val="fr-FR"/>
        </w:rPr>
        <w:t>L’article 113 doit être combiné avec l’article 112 de la même loi</w:t>
      </w:r>
      <w:r w:rsidR="00420AF8">
        <w:rPr>
          <w:rFonts w:ascii="Times New Roman" w:hAnsi="Times New Roman" w:cs="Times New Roman"/>
          <w:lang w:val="fr-FR"/>
        </w:rPr>
        <w:t>. Ainsi, la subrogation réelle s’appliquera dans la mesure où « </w:t>
      </w:r>
      <w:r w:rsidR="00420AF8" w:rsidRPr="00067CE4">
        <w:rPr>
          <w:rFonts w:ascii="Times New Roman" w:hAnsi="Times New Roman" w:cs="Times New Roman"/>
          <w:i/>
          <w:iCs/>
          <w:lang w:val="fr-FR"/>
        </w:rPr>
        <w:t>l’indemnité n’est pas entièrement appliquée à la réparation ou au remplacement du bien</w:t>
      </w:r>
      <w:r w:rsidR="00420AF8">
        <w:rPr>
          <w:rFonts w:ascii="Times New Roman" w:hAnsi="Times New Roman" w:cs="Times New Roman"/>
          <w:lang w:val="fr-FR"/>
        </w:rPr>
        <w:t> »</w:t>
      </w:r>
      <w:r w:rsidR="001B48F9">
        <w:rPr>
          <w:rStyle w:val="Appelnotedebasdep"/>
          <w:rFonts w:ascii="Times New Roman" w:hAnsi="Times New Roman" w:cs="Times New Roman"/>
          <w:lang w:val="fr-FR"/>
        </w:rPr>
        <w:footnoteReference w:id="29"/>
      </w:r>
      <w:r w:rsidR="00420AF8">
        <w:rPr>
          <w:rFonts w:ascii="Times New Roman" w:hAnsi="Times New Roman" w:cs="Times New Roman"/>
          <w:lang w:val="fr-FR"/>
        </w:rPr>
        <w:t>.</w:t>
      </w:r>
    </w:p>
    <w:p w14:paraId="34F0E024" w14:textId="01A3F4BE" w:rsidR="00A74264" w:rsidRDefault="0060011A" w:rsidP="005038B7">
      <w:pPr>
        <w:spacing w:line="276" w:lineRule="auto"/>
        <w:jc w:val="both"/>
        <w:rPr>
          <w:rFonts w:ascii="Times New Roman" w:hAnsi="Times New Roman" w:cs="Times New Roman"/>
          <w:lang w:val="fr-FR"/>
        </w:rPr>
      </w:pPr>
      <w:r>
        <w:rPr>
          <w:rFonts w:ascii="Times New Roman" w:hAnsi="Times New Roman" w:cs="Times New Roman"/>
          <w:lang w:val="fr-FR"/>
        </w:rPr>
        <w:t xml:space="preserve"> </w:t>
      </w:r>
    </w:p>
    <w:p w14:paraId="49DCC759" w14:textId="35D884EA" w:rsidR="00A74264" w:rsidRDefault="00A74264" w:rsidP="005038B7">
      <w:pPr>
        <w:spacing w:line="276" w:lineRule="auto"/>
        <w:jc w:val="both"/>
        <w:rPr>
          <w:rFonts w:ascii="Times New Roman" w:hAnsi="Times New Roman" w:cs="Times New Roman"/>
          <w:lang w:val="fr-FR"/>
        </w:rPr>
      </w:pPr>
    </w:p>
    <w:p w14:paraId="4E6FC7D8" w14:textId="123CEB4B" w:rsidR="00A74264" w:rsidRPr="0001278A" w:rsidRDefault="0001278A" w:rsidP="005038B7">
      <w:pPr>
        <w:spacing w:line="276" w:lineRule="auto"/>
        <w:jc w:val="both"/>
        <w:rPr>
          <w:rFonts w:ascii="Times New Roman" w:hAnsi="Times New Roman" w:cs="Times New Roman"/>
          <w:b/>
          <w:bCs/>
          <w:lang w:val="fr-FR"/>
        </w:rPr>
      </w:pPr>
      <w:r w:rsidRPr="0001278A">
        <w:rPr>
          <w:rFonts w:ascii="Times New Roman" w:hAnsi="Times New Roman" w:cs="Times New Roman"/>
          <w:b/>
          <w:bCs/>
          <w:lang w:val="fr-FR"/>
        </w:rPr>
        <w:t xml:space="preserve">Section 2. Le sort de quelques créanciers particuliers et conflits de rang </w:t>
      </w:r>
    </w:p>
    <w:p w14:paraId="053CEEFC" w14:textId="77777777" w:rsidR="007D60B2" w:rsidRPr="00B12AF4" w:rsidRDefault="007D60B2" w:rsidP="005038B7">
      <w:pPr>
        <w:spacing w:line="276" w:lineRule="auto"/>
        <w:jc w:val="both"/>
        <w:rPr>
          <w:rFonts w:ascii="Times New Roman" w:hAnsi="Times New Roman" w:cs="Times New Roman"/>
          <w:lang w:val="fr-FR"/>
        </w:rPr>
      </w:pPr>
    </w:p>
    <w:p w14:paraId="5BA7B44F" w14:textId="4ABDD9F0" w:rsidR="003E2392" w:rsidRPr="0001278A" w:rsidRDefault="0001278A" w:rsidP="0001278A">
      <w:pPr>
        <w:pStyle w:val="Paragraphedeliste"/>
        <w:numPr>
          <w:ilvl w:val="0"/>
          <w:numId w:val="9"/>
        </w:numPr>
        <w:spacing w:line="276" w:lineRule="auto"/>
        <w:jc w:val="both"/>
        <w:rPr>
          <w:rFonts w:ascii="Times New Roman" w:hAnsi="Times New Roman" w:cs="Times New Roman"/>
          <w:b/>
          <w:bCs/>
          <w:lang w:val="fr-FR"/>
        </w:rPr>
      </w:pPr>
      <w:r w:rsidRPr="0001278A">
        <w:rPr>
          <w:rFonts w:ascii="Times New Roman" w:hAnsi="Times New Roman" w:cs="Times New Roman"/>
          <w:b/>
          <w:bCs/>
          <w:lang w:val="fr-FR"/>
        </w:rPr>
        <w:t xml:space="preserve">Les créanciers privilégiés et hypothécaires </w:t>
      </w:r>
    </w:p>
    <w:p w14:paraId="54900C08" w14:textId="198391CB" w:rsidR="00983DD0" w:rsidRDefault="00983DD0" w:rsidP="005038B7">
      <w:pPr>
        <w:spacing w:line="276" w:lineRule="auto"/>
        <w:jc w:val="both"/>
        <w:rPr>
          <w:rFonts w:ascii="Times New Roman" w:hAnsi="Times New Roman" w:cs="Times New Roman"/>
          <w:lang w:val="fr-FR"/>
        </w:rPr>
      </w:pPr>
    </w:p>
    <w:p w14:paraId="6344A609" w14:textId="6A13200D" w:rsidR="00DD39DB" w:rsidRDefault="00983DD0" w:rsidP="008F5791">
      <w:pPr>
        <w:spacing w:line="276" w:lineRule="auto"/>
        <w:jc w:val="both"/>
        <w:rPr>
          <w:rFonts w:ascii="Times New Roman" w:hAnsi="Times New Roman" w:cs="Times New Roman"/>
          <w:lang w:val="fr-FR"/>
        </w:rPr>
      </w:pPr>
      <w:r>
        <w:rPr>
          <w:rFonts w:ascii="Times New Roman" w:hAnsi="Times New Roman" w:cs="Times New Roman"/>
          <w:lang w:val="fr-FR"/>
        </w:rPr>
        <w:t>L</w:t>
      </w:r>
      <w:r w:rsidR="0071051A">
        <w:rPr>
          <w:rFonts w:ascii="Times New Roman" w:hAnsi="Times New Roman" w:cs="Times New Roman"/>
          <w:lang w:val="fr-FR"/>
        </w:rPr>
        <w:t>e texte de l’</w:t>
      </w:r>
      <w:r>
        <w:rPr>
          <w:rFonts w:ascii="Times New Roman" w:hAnsi="Times New Roman" w:cs="Times New Roman"/>
          <w:lang w:val="fr-FR"/>
        </w:rPr>
        <w:t xml:space="preserve">article 112 de la loi de 2014 </w:t>
      </w:r>
      <w:r w:rsidR="0071051A">
        <w:rPr>
          <w:rFonts w:ascii="Times New Roman" w:hAnsi="Times New Roman" w:cs="Times New Roman"/>
          <w:lang w:val="fr-FR"/>
        </w:rPr>
        <w:t>évoque le « </w:t>
      </w:r>
      <w:r w:rsidRPr="00CB4520">
        <w:rPr>
          <w:rFonts w:ascii="Times New Roman" w:hAnsi="Times New Roman" w:cs="Times New Roman"/>
          <w:i/>
          <w:iCs/>
          <w:lang w:val="fr-FR"/>
        </w:rPr>
        <w:t>paiement des créances privilégiées ou hypothécaires</w:t>
      </w:r>
      <w:r w:rsidR="0071051A">
        <w:rPr>
          <w:rFonts w:ascii="Times New Roman" w:hAnsi="Times New Roman" w:cs="Times New Roman"/>
          <w:b/>
          <w:bCs/>
          <w:i/>
          <w:iCs/>
          <w:lang w:val="fr-FR"/>
        </w:rPr>
        <w:t xml:space="preserve"> </w:t>
      </w:r>
      <w:r>
        <w:rPr>
          <w:rFonts w:ascii="Times New Roman" w:hAnsi="Times New Roman" w:cs="Times New Roman"/>
          <w:lang w:val="fr-FR"/>
        </w:rPr>
        <w:t xml:space="preserve">». </w:t>
      </w:r>
      <w:r w:rsidR="001D49FD">
        <w:rPr>
          <w:rFonts w:ascii="Times New Roman" w:hAnsi="Times New Roman" w:cs="Times New Roman"/>
          <w:lang w:val="fr-FR"/>
        </w:rPr>
        <w:t>Le mécanisme de subrogation réelle s’applique</w:t>
      </w:r>
      <w:r w:rsidR="0071051A">
        <w:rPr>
          <w:rFonts w:ascii="Times New Roman" w:hAnsi="Times New Roman" w:cs="Times New Roman"/>
          <w:lang w:val="fr-FR"/>
        </w:rPr>
        <w:t xml:space="preserve"> donc</w:t>
      </w:r>
      <w:r w:rsidR="001D49FD">
        <w:rPr>
          <w:rFonts w:ascii="Times New Roman" w:hAnsi="Times New Roman" w:cs="Times New Roman"/>
          <w:lang w:val="fr-FR"/>
        </w:rPr>
        <w:t>, à la lecture du texte légal</w:t>
      </w:r>
      <w:r w:rsidR="0071051A">
        <w:rPr>
          <w:rFonts w:ascii="Times New Roman" w:hAnsi="Times New Roman" w:cs="Times New Roman"/>
          <w:lang w:val="fr-FR"/>
        </w:rPr>
        <w:t>,</w:t>
      </w:r>
      <w:r w:rsidR="001D49FD">
        <w:rPr>
          <w:rFonts w:ascii="Times New Roman" w:hAnsi="Times New Roman" w:cs="Times New Roman"/>
          <w:lang w:val="fr-FR"/>
        </w:rPr>
        <w:t xml:space="preserve"> aux seuls créanciers hypothécaires et privilégiés</w:t>
      </w:r>
      <w:r w:rsidR="00044407">
        <w:rPr>
          <w:rFonts w:ascii="Times New Roman" w:hAnsi="Times New Roman" w:cs="Times New Roman"/>
          <w:lang w:val="fr-FR"/>
        </w:rPr>
        <w:t>.</w:t>
      </w:r>
      <w:r w:rsidR="001D49FD">
        <w:rPr>
          <w:rFonts w:ascii="Times New Roman" w:hAnsi="Times New Roman" w:cs="Times New Roman"/>
          <w:lang w:val="fr-FR"/>
        </w:rPr>
        <w:t xml:space="preserve"> </w:t>
      </w:r>
      <w:r w:rsidR="00470E89">
        <w:rPr>
          <w:rFonts w:ascii="Times New Roman" w:hAnsi="Times New Roman" w:cs="Times New Roman"/>
          <w:lang w:val="fr-FR"/>
        </w:rPr>
        <w:t xml:space="preserve">Sont ainsi expressément visés les créanciers qui bénéficient d’un privilège spécial sur immeuble, sur meuble ou encore les </w:t>
      </w:r>
      <w:r w:rsidR="00BA45E1">
        <w:rPr>
          <w:rFonts w:ascii="Times New Roman" w:hAnsi="Times New Roman" w:cs="Times New Roman"/>
          <w:lang w:val="fr-FR"/>
        </w:rPr>
        <w:t xml:space="preserve">créanciers </w:t>
      </w:r>
      <w:r w:rsidR="00470E89">
        <w:rPr>
          <w:rFonts w:ascii="Times New Roman" w:hAnsi="Times New Roman" w:cs="Times New Roman"/>
          <w:lang w:val="fr-FR"/>
        </w:rPr>
        <w:t xml:space="preserve">privilégiés généraux sur meuble dès lors que l’indemnité d’assurance </w:t>
      </w:r>
      <w:r w:rsidR="008F5791">
        <w:rPr>
          <w:rFonts w:ascii="Times New Roman" w:hAnsi="Times New Roman" w:cs="Times New Roman"/>
          <w:lang w:val="fr-FR"/>
        </w:rPr>
        <w:t>a vocation à remplacer un bien meuble, immobilisé ou non, ou immeuble débiteur</w:t>
      </w:r>
      <w:r w:rsidR="00F22138">
        <w:rPr>
          <w:rStyle w:val="Appelnotedebasdep"/>
          <w:rFonts w:ascii="Times New Roman" w:hAnsi="Times New Roman" w:cs="Times New Roman"/>
          <w:lang w:val="fr-FR"/>
        </w:rPr>
        <w:footnoteReference w:id="30"/>
      </w:r>
      <w:r w:rsidR="00647584">
        <w:rPr>
          <w:rFonts w:ascii="Times New Roman" w:hAnsi="Times New Roman" w:cs="Times New Roman"/>
          <w:lang w:val="fr-FR"/>
        </w:rPr>
        <w:t>.</w:t>
      </w:r>
    </w:p>
    <w:p w14:paraId="605827D3" w14:textId="6BCD26B2" w:rsidR="00FE3BC3" w:rsidRDefault="00470E89" w:rsidP="005038B7">
      <w:pPr>
        <w:spacing w:line="276" w:lineRule="auto"/>
        <w:jc w:val="both"/>
        <w:rPr>
          <w:rFonts w:ascii="Times New Roman" w:hAnsi="Times New Roman" w:cs="Times New Roman"/>
          <w:lang w:val="fr-FR"/>
        </w:rPr>
      </w:pPr>
      <w:r>
        <w:rPr>
          <w:rFonts w:ascii="Times New Roman" w:hAnsi="Times New Roman" w:cs="Times New Roman"/>
          <w:lang w:val="fr-FR"/>
        </w:rPr>
        <w:t>En revanche, ne sont pas expressément visés le</w:t>
      </w:r>
      <w:r w:rsidR="008F5791">
        <w:rPr>
          <w:rFonts w:ascii="Times New Roman" w:hAnsi="Times New Roman" w:cs="Times New Roman"/>
          <w:lang w:val="fr-FR"/>
        </w:rPr>
        <w:t>s</w:t>
      </w:r>
      <w:r>
        <w:rPr>
          <w:rFonts w:ascii="Times New Roman" w:hAnsi="Times New Roman" w:cs="Times New Roman"/>
          <w:lang w:val="fr-FR"/>
        </w:rPr>
        <w:t xml:space="preserve"> créancier gagiste </w:t>
      </w:r>
      <w:r w:rsidR="008F5791">
        <w:rPr>
          <w:rFonts w:ascii="Times New Roman" w:hAnsi="Times New Roman" w:cs="Times New Roman"/>
          <w:lang w:val="fr-FR"/>
        </w:rPr>
        <w:t>et</w:t>
      </w:r>
      <w:r>
        <w:rPr>
          <w:rFonts w:ascii="Times New Roman" w:hAnsi="Times New Roman" w:cs="Times New Roman"/>
          <w:lang w:val="fr-FR"/>
        </w:rPr>
        <w:t xml:space="preserve"> réservataire</w:t>
      </w:r>
      <w:r w:rsidR="008F5791">
        <w:rPr>
          <w:rFonts w:ascii="Times New Roman" w:hAnsi="Times New Roman" w:cs="Times New Roman"/>
          <w:lang w:val="fr-FR"/>
        </w:rPr>
        <w:t xml:space="preserve"> (</w:t>
      </w:r>
      <w:proofErr w:type="spellStart"/>
      <w:r w:rsidR="008F5791">
        <w:rPr>
          <w:rFonts w:ascii="Times New Roman" w:hAnsi="Times New Roman" w:cs="Times New Roman"/>
          <w:lang w:val="fr-FR"/>
        </w:rPr>
        <w:t>voy</w:t>
      </w:r>
      <w:proofErr w:type="spellEnd"/>
      <w:r w:rsidR="008F5791">
        <w:rPr>
          <w:rFonts w:ascii="Times New Roman" w:hAnsi="Times New Roman" w:cs="Times New Roman"/>
          <w:lang w:val="fr-FR"/>
        </w:rPr>
        <w:t xml:space="preserve">. </w:t>
      </w:r>
      <w:r w:rsidR="008F5791" w:rsidRPr="008F5791">
        <w:rPr>
          <w:rFonts w:ascii="Times New Roman" w:hAnsi="Times New Roman" w:cs="Times New Roman"/>
          <w:i/>
          <w:iCs/>
          <w:lang w:val="fr-FR"/>
        </w:rPr>
        <w:t>infra</w:t>
      </w:r>
      <w:r w:rsidR="00A65280">
        <w:rPr>
          <w:rFonts w:ascii="Times New Roman" w:hAnsi="Times New Roman" w:cs="Times New Roman"/>
          <w:i/>
          <w:iCs/>
          <w:lang w:val="fr-FR"/>
        </w:rPr>
        <w:t xml:space="preserve">, </w:t>
      </w:r>
      <w:r w:rsidR="00A65280">
        <w:rPr>
          <w:rFonts w:ascii="Times New Roman" w:hAnsi="Times New Roman" w:cs="Times New Roman"/>
          <w:lang w:val="fr-FR"/>
        </w:rPr>
        <w:t>Section 2, 3, C et D</w:t>
      </w:r>
      <w:r w:rsidR="008F5791">
        <w:rPr>
          <w:rFonts w:ascii="Times New Roman" w:hAnsi="Times New Roman" w:cs="Times New Roman"/>
          <w:lang w:val="fr-FR"/>
        </w:rPr>
        <w:t>)</w:t>
      </w:r>
      <w:r>
        <w:rPr>
          <w:rFonts w:ascii="Times New Roman" w:hAnsi="Times New Roman" w:cs="Times New Roman"/>
          <w:lang w:val="fr-FR"/>
        </w:rPr>
        <w:t xml:space="preserve">. </w:t>
      </w:r>
      <w:r w:rsidR="0001278A">
        <w:rPr>
          <w:rFonts w:ascii="Times New Roman" w:hAnsi="Times New Roman" w:cs="Times New Roman"/>
          <w:lang w:val="fr-FR"/>
        </w:rPr>
        <w:t xml:space="preserve">Est par ailleurs </w:t>
      </w:r>
      <w:r w:rsidR="00653837">
        <w:rPr>
          <w:rFonts w:ascii="Times New Roman" w:hAnsi="Times New Roman" w:cs="Times New Roman"/>
          <w:lang w:val="fr-FR"/>
        </w:rPr>
        <w:t xml:space="preserve">concerné par cette disposition le créancier qui dispose </w:t>
      </w:r>
      <w:r w:rsidR="0001278A">
        <w:rPr>
          <w:rFonts w:ascii="Times New Roman" w:hAnsi="Times New Roman" w:cs="Times New Roman"/>
          <w:lang w:val="fr-FR"/>
        </w:rPr>
        <w:t xml:space="preserve">du privilège des frais de justice, dont la sûreté à vocation à porter indistinctement sur les meubles </w:t>
      </w:r>
      <w:r w:rsidR="0001278A">
        <w:rPr>
          <w:rFonts w:ascii="Times New Roman" w:hAnsi="Times New Roman" w:cs="Times New Roman"/>
          <w:lang w:val="fr-FR"/>
        </w:rPr>
        <w:lastRenderedPageBreak/>
        <w:t xml:space="preserve">et immeubles du débiteur. </w:t>
      </w:r>
      <w:r w:rsidR="00F34720">
        <w:rPr>
          <w:rFonts w:ascii="Times New Roman" w:hAnsi="Times New Roman" w:cs="Times New Roman"/>
          <w:lang w:val="fr-FR"/>
        </w:rPr>
        <w:t>A la suite de</w:t>
      </w:r>
      <w:r w:rsidR="003E2392">
        <w:rPr>
          <w:rFonts w:ascii="Times New Roman" w:hAnsi="Times New Roman" w:cs="Times New Roman"/>
          <w:lang w:val="fr-FR"/>
        </w:rPr>
        <w:t xml:space="preserve"> la situation de concours engendrée par l’application de l’article 112 de la L.A., différents conflits de rang pourraient survenir</w:t>
      </w:r>
      <w:r w:rsidR="008F5791">
        <w:rPr>
          <w:rFonts w:ascii="Times New Roman" w:hAnsi="Times New Roman" w:cs="Times New Roman"/>
          <w:lang w:val="fr-FR"/>
        </w:rPr>
        <w:t xml:space="preserve"> entre les créanciers précités, sur lesquels nous reviendrons, l’attention étant portée sur le cas d’un immeuble sinistré hors le cas de biens meubles non-immobilisés.</w:t>
      </w:r>
    </w:p>
    <w:p w14:paraId="681E7EAD" w14:textId="77777777" w:rsidR="00FE3BC3" w:rsidRDefault="00FE3BC3" w:rsidP="005038B7">
      <w:pPr>
        <w:spacing w:line="276" w:lineRule="auto"/>
        <w:jc w:val="both"/>
        <w:rPr>
          <w:rFonts w:ascii="Times New Roman" w:hAnsi="Times New Roman" w:cs="Times New Roman"/>
          <w:lang w:val="fr-FR"/>
        </w:rPr>
      </w:pPr>
    </w:p>
    <w:p w14:paraId="2D1AA3B7" w14:textId="5F951304" w:rsidR="0020765F" w:rsidRDefault="0020765F" w:rsidP="008F5791">
      <w:pPr>
        <w:pStyle w:val="Paragraphedeliste"/>
        <w:numPr>
          <w:ilvl w:val="0"/>
          <w:numId w:val="9"/>
        </w:numPr>
        <w:spacing w:line="276" w:lineRule="auto"/>
        <w:jc w:val="both"/>
        <w:rPr>
          <w:rFonts w:ascii="Times New Roman" w:hAnsi="Times New Roman" w:cs="Times New Roman"/>
          <w:b/>
          <w:bCs/>
          <w:lang w:val="fr-FR"/>
        </w:rPr>
      </w:pPr>
      <w:r w:rsidRPr="0020765F">
        <w:rPr>
          <w:rFonts w:ascii="Times New Roman" w:hAnsi="Times New Roman" w:cs="Times New Roman"/>
          <w:b/>
          <w:bCs/>
          <w:lang w:val="fr-FR"/>
        </w:rPr>
        <w:t xml:space="preserve">La nécessité </w:t>
      </w:r>
      <w:r w:rsidR="007C02D3">
        <w:rPr>
          <w:rFonts w:ascii="Times New Roman" w:hAnsi="Times New Roman" w:cs="Times New Roman"/>
          <w:b/>
          <w:bCs/>
          <w:lang w:val="fr-FR"/>
        </w:rPr>
        <w:t xml:space="preserve">éventuelle </w:t>
      </w:r>
      <w:r w:rsidRPr="0020765F">
        <w:rPr>
          <w:rFonts w:ascii="Times New Roman" w:hAnsi="Times New Roman" w:cs="Times New Roman"/>
          <w:b/>
          <w:bCs/>
          <w:lang w:val="fr-FR"/>
        </w:rPr>
        <w:t>d’une opposition </w:t>
      </w:r>
    </w:p>
    <w:p w14:paraId="5A5F5D4E" w14:textId="0B37DECB" w:rsidR="00326A89" w:rsidRDefault="00326A89" w:rsidP="005038B7">
      <w:pPr>
        <w:spacing w:line="276" w:lineRule="auto"/>
        <w:jc w:val="both"/>
        <w:rPr>
          <w:rFonts w:ascii="Times New Roman" w:hAnsi="Times New Roman" w:cs="Times New Roman"/>
          <w:b/>
          <w:bCs/>
          <w:lang w:val="fr-FR"/>
        </w:rPr>
      </w:pPr>
    </w:p>
    <w:p w14:paraId="71FC3140" w14:textId="385260F1" w:rsidR="00FE3BC3" w:rsidRDefault="005109C3" w:rsidP="005038B7">
      <w:pPr>
        <w:spacing w:line="276" w:lineRule="auto"/>
        <w:jc w:val="both"/>
        <w:rPr>
          <w:rFonts w:ascii="Times New Roman" w:hAnsi="Times New Roman" w:cs="Times New Roman"/>
          <w:lang w:val="fr-FR"/>
        </w:rPr>
      </w:pPr>
      <w:r>
        <w:rPr>
          <w:rFonts w:ascii="Times New Roman" w:hAnsi="Times New Roman" w:cs="Times New Roman"/>
          <w:lang w:val="fr-FR"/>
        </w:rPr>
        <w:t>Il s’agit de distinguer entre les créanciers dont la sûreté fait l’objet d’une publicité</w:t>
      </w:r>
      <w:r w:rsidR="008F5791">
        <w:rPr>
          <w:rFonts w:ascii="Times New Roman" w:hAnsi="Times New Roman" w:cs="Times New Roman"/>
          <w:lang w:val="fr-FR"/>
        </w:rPr>
        <w:t xml:space="preserve"> </w:t>
      </w:r>
      <w:r>
        <w:rPr>
          <w:rFonts w:ascii="Times New Roman" w:hAnsi="Times New Roman" w:cs="Times New Roman"/>
          <w:lang w:val="fr-FR"/>
        </w:rPr>
        <w:t xml:space="preserve">et les autres. </w:t>
      </w:r>
      <w:r w:rsidR="00FE3BC3">
        <w:rPr>
          <w:rFonts w:ascii="Times New Roman" w:hAnsi="Times New Roman" w:cs="Times New Roman"/>
          <w:lang w:val="fr-FR"/>
        </w:rPr>
        <w:t>En cas de publicité de leur sûreté, les créanciers ne doivent, au préalable, pas former opposition auprès de l’assureur, une obligation de consultation</w:t>
      </w:r>
      <w:r w:rsidR="008F5791">
        <w:rPr>
          <w:rFonts w:ascii="Times New Roman" w:hAnsi="Times New Roman" w:cs="Times New Roman"/>
          <w:lang w:val="fr-FR"/>
        </w:rPr>
        <w:t xml:space="preserve"> reposant ainsi sur </w:t>
      </w:r>
      <w:r w:rsidR="002E15EF">
        <w:rPr>
          <w:rFonts w:ascii="Times New Roman" w:hAnsi="Times New Roman" w:cs="Times New Roman"/>
          <w:lang w:val="fr-FR"/>
        </w:rPr>
        <w:t xml:space="preserve">ce dernier, </w:t>
      </w:r>
      <w:r w:rsidR="008F5791">
        <w:rPr>
          <w:rFonts w:ascii="Times New Roman" w:hAnsi="Times New Roman" w:cs="Times New Roman"/>
          <w:lang w:val="fr-FR"/>
        </w:rPr>
        <w:t xml:space="preserve">qui doit s’enquérir de l’existence de tels créanciers. </w:t>
      </w:r>
      <w:r w:rsidR="00FE3BC3">
        <w:rPr>
          <w:rFonts w:ascii="Times New Roman" w:hAnsi="Times New Roman" w:cs="Times New Roman"/>
          <w:lang w:val="fr-FR"/>
        </w:rPr>
        <w:t>En revanche, les seconds</w:t>
      </w:r>
      <w:r w:rsidR="008F5791">
        <w:rPr>
          <w:rFonts w:ascii="Times New Roman" w:hAnsi="Times New Roman" w:cs="Times New Roman"/>
          <w:lang w:val="fr-FR"/>
        </w:rPr>
        <w:t xml:space="preserve"> créanciers, dont la sûreté ne fait pas l’objet d’une</w:t>
      </w:r>
      <w:r w:rsidR="00F34720">
        <w:rPr>
          <w:rFonts w:ascii="Times New Roman" w:hAnsi="Times New Roman" w:cs="Times New Roman"/>
          <w:lang w:val="fr-FR"/>
        </w:rPr>
        <w:t xml:space="preserve"> telle </w:t>
      </w:r>
      <w:r w:rsidR="008F5791">
        <w:rPr>
          <w:rFonts w:ascii="Times New Roman" w:hAnsi="Times New Roman" w:cs="Times New Roman"/>
          <w:lang w:val="fr-FR"/>
        </w:rPr>
        <w:t xml:space="preserve">publicité, </w:t>
      </w:r>
      <w:r w:rsidR="00FE3BC3">
        <w:rPr>
          <w:rFonts w:ascii="Times New Roman" w:hAnsi="Times New Roman" w:cs="Times New Roman"/>
          <w:lang w:val="fr-FR"/>
        </w:rPr>
        <w:t>doivent former opposition auprès de l’organisme d’assurance</w:t>
      </w:r>
      <w:r w:rsidR="002E15EF">
        <w:rPr>
          <w:rFonts w:ascii="Times New Roman" w:hAnsi="Times New Roman" w:cs="Times New Roman"/>
          <w:lang w:val="fr-FR"/>
        </w:rPr>
        <w:t>,</w:t>
      </w:r>
      <w:r w:rsidR="00FE3BC3">
        <w:rPr>
          <w:rFonts w:ascii="Times New Roman" w:hAnsi="Times New Roman" w:cs="Times New Roman"/>
          <w:lang w:val="fr-FR"/>
        </w:rPr>
        <w:t xml:space="preserve"> sans quoi ce dernier peut valablement se libérer en payant entre les mains de son assuré</w:t>
      </w:r>
      <w:r w:rsidR="00FE3BC3">
        <w:rPr>
          <w:rStyle w:val="Appelnotedebasdep"/>
          <w:rFonts w:ascii="Times New Roman" w:hAnsi="Times New Roman" w:cs="Times New Roman"/>
          <w:lang w:val="fr-FR"/>
        </w:rPr>
        <w:footnoteReference w:id="31"/>
      </w:r>
      <w:r w:rsidR="00FE3BC3">
        <w:rPr>
          <w:rFonts w:ascii="Times New Roman" w:hAnsi="Times New Roman" w:cs="Times New Roman"/>
          <w:lang w:val="fr-FR"/>
        </w:rPr>
        <w:t xml:space="preserve">. </w:t>
      </w:r>
    </w:p>
    <w:p w14:paraId="19508116" w14:textId="5B5DBF79" w:rsidR="00FE3BC3" w:rsidRDefault="00FE3BC3" w:rsidP="005038B7">
      <w:pPr>
        <w:spacing w:line="276" w:lineRule="auto"/>
        <w:jc w:val="both"/>
        <w:rPr>
          <w:rFonts w:ascii="Times New Roman" w:hAnsi="Times New Roman" w:cs="Times New Roman"/>
          <w:lang w:val="fr-FR"/>
        </w:rPr>
      </w:pPr>
    </w:p>
    <w:p w14:paraId="36875D86" w14:textId="46FBCF13" w:rsidR="00FE3BC3" w:rsidRDefault="00FE3BC3" w:rsidP="005038B7">
      <w:pPr>
        <w:spacing w:line="276" w:lineRule="auto"/>
        <w:jc w:val="both"/>
        <w:rPr>
          <w:rFonts w:ascii="Times New Roman" w:hAnsi="Times New Roman" w:cs="Times New Roman"/>
          <w:lang w:val="fr-FR"/>
        </w:rPr>
      </w:pPr>
      <w:r>
        <w:rPr>
          <w:rFonts w:ascii="Times New Roman" w:hAnsi="Times New Roman" w:cs="Times New Roman"/>
          <w:lang w:val="fr-FR"/>
        </w:rPr>
        <w:t xml:space="preserve">Ainsi, </w:t>
      </w:r>
      <w:r w:rsidR="00A86DB8">
        <w:rPr>
          <w:rFonts w:ascii="Times New Roman" w:hAnsi="Times New Roman" w:cs="Times New Roman"/>
          <w:lang w:val="fr-FR"/>
        </w:rPr>
        <w:t xml:space="preserve">si l’assureur ne respecte pas les droits des créanciers dont il serait informé, par voie d’opposition ou par consultation de la sûreté rendue publique, celui-ci serait contraint de payer </w:t>
      </w:r>
      <w:r w:rsidR="008E6E44">
        <w:rPr>
          <w:rFonts w:ascii="Times New Roman" w:hAnsi="Times New Roman" w:cs="Times New Roman"/>
          <w:lang w:val="fr-FR"/>
        </w:rPr>
        <w:t>une seconde fois</w:t>
      </w:r>
      <w:r w:rsidR="008E6E44">
        <w:rPr>
          <w:rStyle w:val="Appelnotedebasdep"/>
          <w:rFonts w:ascii="Times New Roman" w:hAnsi="Times New Roman" w:cs="Times New Roman"/>
          <w:lang w:val="fr-FR"/>
        </w:rPr>
        <w:footnoteReference w:id="32"/>
      </w:r>
      <w:r w:rsidR="008E6E44">
        <w:rPr>
          <w:rFonts w:ascii="Times New Roman" w:hAnsi="Times New Roman" w:cs="Times New Roman"/>
          <w:lang w:val="fr-FR"/>
        </w:rPr>
        <w:t xml:space="preserve">. </w:t>
      </w:r>
    </w:p>
    <w:p w14:paraId="2CBEC55A" w14:textId="5FBBD0FB" w:rsidR="005109C3" w:rsidRDefault="005109C3" w:rsidP="005038B7">
      <w:pPr>
        <w:spacing w:line="276" w:lineRule="auto"/>
        <w:jc w:val="both"/>
        <w:rPr>
          <w:rFonts w:ascii="Times New Roman" w:hAnsi="Times New Roman" w:cs="Times New Roman"/>
          <w:lang w:val="fr-FR"/>
        </w:rPr>
      </w:pPr>
    </w:p>
    <w:p w14:paraId="76574F11" w14:textId="69C6ACE1" w:rsidR="00F759F0" w:rsidRDefault="00CA4758" w:rsidP="005038B7">
      <w:pPr>
        <w:spacing w:line="276" w:lineRule="auto"/>
        <w:jc w:val="both"/>
        <w:rPr>
          <w:rFonts w:ascii="Times New Roman" w:hAnsi="Times New Roman" w:cs="Times New Roman"/>
          <w:lang w:val="fr-FR"/>
        </w:rPr>
      </w:pPr>
      <w:r>
        <w:rPr>
          <w:rFonts w:ascii="Times New Roman" w:hAnsi="Times New Roman" w:cs="Times New Roman"/>
          <w:lang w:val="fr-FR"/>
        </w:rPr>
        <w:t xml:space="preserve">La forme de l’opposition n’est pas prévue par l’article 112 de la </w:t>
      </w:r>
      <w:r w:rsidR="00470E89">
        <w:rPr>
          <w:rFonts w:ascii="Times New Roman" w:hAnsi="Times New Roman" w:cs="Times New Roman"/>
          <w:lang w:val="fr-FR"/>
        </w:rPr>
        <w:t xml:space="preserve">L.A. </w:t>
      </w:r>
      <w:r>
        <w:rPr>
          <w:rFonts w:ascii="Times New Roman" w:hAnsi="Times New Roman" w:cs="Times New Roman"/>
          <w:lang w:val="fr-FR"/>
        </w:rPr>
        <w:t>Elle ne l’est pas plus par l’ancien article 10 de la loi hypothécaire ni par l’article 3.10. du Code civil. Il est généralement admis que l’opposition peut intervenir sans formalité particulière, par écrit ou de manière orale</w:t>
      </w:r>
      <w:r w:rsidR="001837B4">
        <w:rPr>
          <w:rStyle w:val="Appelnotedebasdep"/>
          <w:rFonts w:ascii="Times New Roman" w:hAnsi="Times New Roman" w:cs="Times New Roman"/>
          <w:lang w:val="fr-FR"/>
        </w:rPr>
        <w:footnoteReference w:id="33"/>
      </w:r>
      <w:r>
        <w:rPr>
          <w:rFonts w:ascii="Times New Roman" w:hAnsi="Times New Roman" w:cs="Times New Roman"/>
          <w:lang w:val="fr-FR"/>
        </w:rPr>
        <w:t xml:space="preserve">. </w:t>
      </w:r>
      <w:r w:rsidR="00246159">
        <w:rPr>
          <w:rFonts w:ascii="Times New Roman" w:hAnsi="Times New Roman" w:cs="Times New Roman"/>
          <w:lang w:val="fr-FR"/>
        </w:rPr>
        <w:t>A l’évidence, l</w:t>
      </w:r>
      <w:r w:rsidR="00EF6DE5">
        <w:rPr>
          <w:rFonts w:ascii="Times New Roman" w:hAnsi="Times New Roman" w:cs="Times New Roman"/>
          <w:lang w:val="fr-FR"/>
        </w:rPr>
        <w:t>e créancier prudent s’aménagera</w:t>
      </w:r>
      <w:r w:rsidR="00FE3BC3">
        <w:rPr>
          <w:rFonts w:ascii="Times New Roman" w:hAnsi="Times New Roman" w:cs="Times New Roman"/>
          <w:lang w:val="fr-FR"/>
        </w:rPr>
        <w:t xml:space="preserve"> toutefois</w:t>
      </w:r>
      <w:r w:rsidR="00EF6DE5">
        <w:rPr>
          <w:rFonts w:ascii="Times New Roman" w:hAnsi="Times New Roman" w:cs="Times New Roman"/>
          <w:lang w:val="fr-FR"/>
        </w:rPr>
        <w:t xml:space="preserve"> les formalités nécessaires à des fins probatoires</w:t>
      </w:r>
      <w:r w:rsidR="00EF6DE5">
        <w:rPr>
          <w:rStyle w:val="Appelnotedebasdep"/>
          <w:rFonts w:ascii="Times New Roman" w:hAnsi="Times New Roman" w:cs="Times New Roman"/>
          <w:lang w:val="fr-FR"/>
        </w:rPr>
        <w:footnoteReference w:id="34"/>
      </w:r>
      <w:r w:rsidR="00EF6DE5">
        <w:rPr>
          <w:rFonts w:ascii="Times New Roman" w:hAnsi="Times New Roman" w:cs="Times New Roman"/>
          <w:lang w:val="fr-FR"/>
        </w:rPr>
        <w:t xml:space="preserve">. </w:t>
      </w:r>
    </w:p>
    <w:p w14:paraId="76B55DEF" w14:textId="28097AA2" w:rsidR="005109C3" w:rsidRDefault="005109C3" w:rsidP="005038B7">
      <w:pPr>
        <w:spacing w:line="276" w:lineRule="auto"/>
        <w:jc w:val="both"/>
        <w:rPr>
          <w:rFonts w:ascii="Times New Roman" w:hAnsi="Times New Roman" w:cs="Times New Roman"/>
          <w:lang w:val="fr-FR"/>
        </w:rPr>
      </w:pPr>
    </w:p>
    <w:p w14:paraId="04224628" w14:textId="05E315AC" w:rsidR="00326A89" w:rsidRPr="00326A89" w:rsidRDefault="00326A89" w:rsidP="005038B7">
      <w:pPr>
        <w:spacing w:line="276" w:lineRule="auto"/>
        <w:jc w:val="both"/>
        <w:rPr>
          <w:rFonts w:ascii="Times New Roman" w:hAnsi="Times New Roman" w:cs="Times New Roman"/>
          <w:lang w:val="fr-FR"/>
        </w:rPr>
      </w:pPr>
      <w:r>
        <w:rPr>
          <w:rFonts w:ascii="Times New Roman" w:hAnsi="Times New Roman" w:cs="Times New Roman"/>
          <w:lang w:val="fr-FR"/>
        </w:rPr>
        <w:t>La Cour de cassation, dans un arrêt du 2 octobre 2014</w:t>
      </w:r>
      <w:r w:rsidR="00F443FB">
        <w:rPr>
          <w:rFonts w:ascii="Times New Roman" w:hAnsi="Times New Roman" w:cs="Times New Roman"/>
          <w:lang w:val="fr-FR"/>
        </w:rPr>
        <w:t>, largement commenté par la doctrine, s</w:t>
      </w:r>
      <w:r>
        <w:rPr>
          <w:rFonts w:ascii="Times New Roman" w:hAnsi="Times New Roman" w:cs="Times New Roman"/>
          <w:lang w:val="fr-FR"/>
        </w:rPr>
        <w:t xml:space="preserve">’est prononcée sur </w:t>
      </w:r>
      <w:r w:rsidR="00246159">
        <w:rPr>
          <w:rFonts w:ascii="Times New Roman" w:hAnsi="Times New Roman" w:cs="Times New Roman"/>
          <w:lang w:val="fr-FR"/>
        </w:rPr>
        <w:t>le moment où</w:t>
      </w:r>
      <w:r w:rsidR="00F759F0">
        <w:rPr>
          <w:rFonts w:ascii="Times New Roman" w:hAnsi="Times New Roman" w:cs="Times New Roman"/>
          <w:lang w:val="fr-FR"/>
        </w:rPr>
        <w:t xml:space="preserve"> doit intervenir cette</w:t>
      </w:r>
      <w:r>
        <w:rPr>
          <w:rFonts w:ascii="Times New Roman" w:hAnsi="Times New Roman" w:cs="Times New Roman"/>
          <w:lang w:val="fr-FR"/>
        </w:rPr>
        <w:t xml:space="preserve"> opposition</w:t>
      </w:r>
      <w:r>
        <w:rPr>
          <w:rStyle w:val="Appelnotedebasdep"/>
          <w:rFonts w:ascii="Times New Roman" w:hAnsi="Times New Roman" w:cs="Times New Roman"/>
          <w:lang w:val="fr-FR"/>
        </w:rPr>
        <w:footnoteReference w:id="35"/>
      </w:r>
      <w:r>
        <w:rPr>
          <w:rFonts w:ascii="Times New Roman" w:hAnsi="Times New Roman" w:cs="Times New Roman"/>
          <w:lang w:val="fr-FR"/>
        </w:rPr>
        <w:t>. Dans un contexte mêlant subrogation personnelle et réelle, la Cour a</w:t>
      </w:r>
      <w:r w:rsidR="00635C4F">
        <w:rPr>
          <w:rFonts w:ascii="Times New Roman" w:hAnsi="Times New Roman" w:cs="Times New Roman"/>
          <w:lang w:val="fr-FR"/>
        </w:rPr>
        <w:t xml:space="preserve"> ainsi</w:t>
      </w:r>
      <w:r>
        <w:rPr>
          <w:rFonts w:ascii="Times New Roman" w:hAnsi="Times New Roman" w:cs="Times New Roman"/>
          <w:lang w:val="fr-FR"/>
        </w:rPr>
        <w:t xml:space="preserve"> décidé que </w:t>
      </w:r>
      <w:r w:rsidR="00F759F0">
        <w:rPr>
          <w:rFonts w:ascii="Times New Roman" w:hAnsi="Times New Roman" w:cs="Times New Roman"/>
          <w:lang w:val="fr-FR"/>
        </w:rPr>
        <w:t>« </w:t>
      </w:r>
      <w:r w:rsidR="00F759F0" w:rsidRPr="00F759F0">
        <w:rPr>
          <w:rFonts w:ascii="Times New Roman" w:hAnsi="Times New Roman" w:cs="Times New Roman"/>
          <w:i/>
          <w:iCs/>
          <w:lang w:val="fr-FR"/>
        </w:rPr>
        <w:t xml:space="preserve">si le paiement de l’indemnité d’assurance au créancier privilégié par l’assureur de celui-ci opère subrogation de l’assureur dans les droits et actions de ce créancier, avant ledit paiement, seul le créancier privilégié peut </w:t>
      </w:r>
      <w:r w:rsidR="00F759F0" w:rsidRPr="00F759F0">
        <w:rPr>
          <w:rFonts w:ascii="Times New Roman" w:hAnsi="Times New Roman" w:cs="Times New Roman"/>
          <w:i/>
          <w:iCs/>
          <w:lang w:val="fr-FR"/>
        </w:rPr>
        <w:lastRenderedPageBreak/>
        <w:t>valablement former opposition au paiement d’une indemnité d’assurance due au preneur par son propre assureur</w:t>
      </w:r>
      <w:r w:rsidR="00F759F0">
        <w:rPr>
          <w:rFonts w:ascii="Times New Roman" w:hAnsi="Times New Roman" w:cs="Times New Roman"/>
          <w:lang w:val="fr-FR"/>
        </w:rPr>
        <w:t xml:space="preserve"> ». </w:t>
      </w:r>
    </w:p>
    <w:p w14:paraId="30F198BD" w14:textId="3F7D5C42" w:rsidR="003E0BE8" w:rsidRDefault="003E0BE8" w:rsidP="005038B7">
      <w:pPr>
        <w:spacing w:line="276" w:lineRule="auto"/>
        <w:jc w:val="both"/>
        <w:rPr>
          <w:rFonts w:ascii="Times New Roman" w:hAnsi="Times New Roman" w:cs="Times New Roman"/>
          <w:lang w:val="fr-FR"/>
        </w:rPr>
      </w:pPr>
    </w:p>
    <w:p w14:paraId="47492266" w14:textId="77777777" w:rsidR="003E0BE8" w:rsidRDefault="003E0BE8" w:rsidP="005038B7">
      <w:pPr>
        <w:spacing w:line="276" w:lineRule="auto"/>
        <w:jc w:val="both"/>
        <w:rPr>
          <w:rFonts w:ascii="Times New Roman" w:hAnsi="Times New Roman" w:cs="Times New Roman"/>
          <w:lang w:val="fr-FR"/>
        </w:rPr>
      </w:pPr>
    </w:p>
    <w:p w14:paraId="77347F21" w14:textId="4A31D213" w:rsidR="003E0BE8" w:rsidRDefault="003E0BE8" w:rsidP="003E0BE8">
      <w:pPr>
        <w:pStyle w:val="Paragraphedeliste"/>
        <w:numPr>
          <w:ilvl w:val="0"/>
          <w:numId w:val="9"/>
        </w:numPr>
        <w:spacing w:line="276" w:lineRule="auto"/>
        <w:jc w:val="both"/>
        <w:rPr>
          <w:rFonts w:ascii="Times New Roman" w:hAnsi="Times New Roman" w:cs="Times New Roman"/>
          <w:b/>
          <w:bCs/>
          <w:lang w:val="fr-FR"/>
        </w:rPr>
      </w:pPr>
      <w:r>
        <w:rPr>
          <w:rFonts w:ascii="Times New Roman" w:hAnsi="Times New Roman" w:cs="Times New Roman"/>
          <w:b/>
          <w:bCs/>
          <w:lang w:val="fr-FR"/>
        </w:rPr>
        <w:t xml:space="preserve">Le sort de quelques créanciers particuliers et conflits de rang </w:t>
      </w:r>
    </w:p>
    <w:p w14:paraId="061EA813" w14:textId="6950ABC0" w:rsidR="00290DDF" w:rsidRDefault="00290DDF" w:rsidP="005038B7">
      <w:pPr>
        <w:spacing w:line="276" w:lineRule="auto"/>
        <w:jc w:val="both"/>
        <w:rPr>
          <w:rFonts w:ascii="Times New Roman" w:hAnsi="Times New Roman" w:cs="Times New Roman"/>
          <w:lang w:val="fr-FR"/>
        </w:rPr>
      </w:pPr>
    </w:p>
    <w:p w14:paraId="56D9C794" w14:textId="20C513E5" w:rsidR="003E0BE8" w:rsidRPr="003E0BE8" w:rsidRDefault="003E0BE8" w:rsidP="003E0BE8">
      <w:pPr>
        <w:pStyle w:val="Paragraphedeliste"/>
        <w:numPr>
          <w:ilvl w:val="0"/>
          <w:numId w:val="11"/>
        </w:numPr>
        <w:spacing w:line="276" w:lineRule="auto"/>
        <w:jc w:val="both"/>
        <w:rPr>
          <w:rFonts w:ascii="Times New Roman" w:hAnsi="Times New Roman" w:cs="Times New Roman"/>
          <w:b/>
          <w:bCs/>
          <w:lang w:val="fr-FR"/>
        </w:rPr>
      </w:pPr>
      <w:r w:rsidRPr="003E0BE8">
        <w:rPr>
          <w:rFonts w:ascii="Times New Roman" w:hAnsi="Times New Roman" w:cs="Times New Roman"/>
          <w:b/>
          <w:bCs/>
          <w:lang w:val="fr-FR"/>
        </w:rPr>
        <w:t xml:space="preserve">Le créancier hypothécaire </w:t>
      </w:r>
    </w:p>
    <w:p w14:paraId="4398F269" w14:textId="77777777" w:rsidR="003E0BE8" w:rsidRPr="003E0BE8" w:rsidRDefault="003E0BE8" w:rsidP="003E0BE8">
      <w:pPr>
        <w:pStyle w:val="Paragraphedeliste"/>
        <w:spacing w:line="276" w:lineRule="auto"/>
        <w:jc w:val="both"/>
        <w:rPr>
          <w:rFonts w:ascii="Times New Roman" w:hAnsi="Times New Roman" w:cs="Times New Roman"/>
          <w:lang w:val="fr-FR"/>
        </w:rPr>
      </w:pPr>
    </w:p>
    <w:p w14:paraId="60610002" w14:textId="7D4D0795" w:rsidR="00470E89" w:rsidRDefault="00470E89" w:rsidP="005038B7">
      <w:pPr>
        <w:spacing w:line="276" w:lineRule="auto"/>
        <w:jc w:val="both"/>
        <w:rPr>
          <w:rFonts w:ascii="Times New Roman" w:hAnsi="Times New Roman" w:cs="Times New Roman"/>
          <w:lang w:val="fr-FR"/>
        </w:rPr>
      </w:pPr>
      <w:r>
        <w:rPr>
          <w:rFonts w:ascii="Times New Roman" w:hAnsi="Times New Roman" w:cs="Times New Roman"/>
          <w:lang w:val="fr-FR"/>
        </w:rPr>
        <w:t xml:space="preserve">Comme nous l’avons mentionné, l’article 112 de la L.A. distingue entre les créanciers dont la sûreté fait l’objet d’une publicité et </w:t>
      </w:r>
      <w:r w:rsidR="00BF50AC">
        <w:rPr>
          <w:rFonts w:ascii="Times New Roman" w:hAnsi="Times New Roman" w:cs="Times New Roman"/>
          <w:lang w:val="fr-FR"/>
        </w:rPr>
        <w:t xml:space="preserve">les autres créanciers. </w:t>
      </w:r>
    </w:p>
    <w:p w14:paraId="2F093412" w14:textId="77777777" w:rsidR="00470E89" w:rsidRDefault="00470E89" w:rsidP="005038B7">
      <w:pPr>
        <w:spacing w:line="276" w:lineRule="auto"/>
        <w:jc w:val="both"/>
        <w:rPr>
          <w:rFonts w:ascii="Times New Roman" w:hAnsi="Times New Roman" w:cs="Times New Roman"/>
          <w:lang w:val="fr-FR"/>
        </w:rPr>
      </w:pPr>
    </w:p>
    <w:p w14:paraId="502B2254" w14:textId="2113F06A" w:rsidR="00BF50AC" w:rsidRDefault="00BF50AC" w:rsidP="005038B7">
      <w:pPr>
        <w:spacing w:line="276" w:lineRule="auto"/>
        <w:jc w:val="both"/>
        <w:rPr>
          <w:rFonts w:ascii="Times New Roman" w:hAnsi="Times New Roman" w:cs="Times New Roman"/>
          <w:lang w:val="fr-FR"/>
        </w:rPr>
      </w:pPr>
      <w:r>
        <w:rPr>
          <w:rFonts w:ascii="Times New Roman" w:hAnsi="Times New Roman" w:cs="Times New Roman"/>
          <w:lang w:val="fr-FR"/>
        </w:rPr>
        <w:t>L’hypothèque, légale ou conventionnelle, requiert une mesure de publicité en vue de son opposabilité aux tiers, l’inscription</w:t>
      </w:r>
      <w:r w:rsidR="00551E9F">
        <w:rPr>
          <w:rFonts w:ascii="Times New Roman" w:hAnsi="Times New Roman" w:cs="Times New Roman"/>
          <w:lang w:val="fr-FR"/>
        </w:rPr>
        <w:t xml:space="preserve"> (article 81 de la loi hypothécaire)</w:t>
      </w:r>
      <w:r w:rsidR="00551E9F">
        <w:rPr>
          <w:rStyle w:val="Appelnotedebasdep"/>
          <w:rFonts w:ascii="Times New Roman" w:hAnsi="Times New Roman" w:cs="Times New Roman"/>
          <w:lang w:val="fr-FR"/>
        </w:rPr>
        <w:footnoteReference w:id="36"/>
      </w:r>
      <w:r>
        <w:rPr>
          <w:rFonts w:ascii="Times New Roman" w:hAnsi="Times New Roman" w:cs="Times New Roman"/>
          <w:lang w:val="fr-FR"/>
        </w:rPr>
        <w:t xml:space="preserve">. Il résulte de ceci que </w:t>
      </w:r>
      <w:r w:rsidR="003E0BE8">
        <w:rPr>
          <w:rFonts w:ascii="Times New Roman" w:hAnsi="Times New Roman" w:cs="Times New Roman"/>
          <w:lang w:val="fr-FR"/>
        </w:rPr>
        <w:t>le</w:t>
      </w:r>
      <w:r>
        <w:rPr>
          <w:rFonts w:ascii="Times New Roman" w:hAnsi="Times New Roman" w:cs="Times New Roman"/>
          <w:lang w:val="fr-FR"/>
        </w:rPr>
        <w:t xml:space="preserve"> créancier</w:t>
      </w:r>
      <w:r w:rsidR="003E0BE8">
        <w:rPr>
          <w:rFonts w:ascii="Times New Roman" w:hAnsi="Times New Roman" w:cs="Times New Roman"/>
          <w:lang w:val="fr-FR"/>
        </w:rPr>
        <w:t xml:space="preserve"> hypothécaire</w:t>
      </w:r>
      <w:r>
        <w:rPr>
          <w:rFonts w:ascii="Times New Roman" w:hAnsi="Times New Roman" w:cs="Times New Roman"/>
          <w:lang w:val="fr-FR"/>
        </w:rPr>
        <w:t xml:space="preserve"> n’est pas tenu de faire opposition auprès de l’assur</w:t>
      </w:r>
      <w:r w:rsidR="00775C29">
        <w:rPr>
          <w:rFonts w:ascii="Times New Roman" w:hAnsi="Times New Roman" w:cs="Times New Roman"/>
          <w:lang w:val="fr-FR"/>
        </w:rPr>
        <w:t>eur</w:t>
      </w:r>
      <w:r>
        <w:rPr>
          <w:rFonts w:ascii="Times New Roman" w:hAnsi="Times New Roman" w:cs="Times New Roman"/>
          <w:lang w:val="fr-FR"/>
        </w:rPr>
        <w:t xml:space="preserve"> afin d’être pris en considération dans le cadre de la répartition de l’indemnité. Si l’assureur paye l’indemnité à son assuré sans s’être renseigné sur l’existence d’une éventuelle hypothèque et de sommes impayées à ce créancier, il ne sera pas valablement libéré de son obligation et pourrait ainsi être tenu de payer deux fois : à son assuré et au créancier hypothécaire</w:t>
      </w:r>
      <w:r w:rsidR="00FA5CC4">
        <w:rPr>
          <w:rFonts w:ascii="Times New Roman" w:hAnsi="Times New Roman" w:cs="Times New Roman"/>
          <w:lang w:val="fr-FR"/>
        </w:rPr>
        <w:t xml:space="preserve">. </w:t>
      </w:r>
    </w:p>
    <w:p w14:paraId="639383D9" w14:textId="77777777" w:rsidR="00BF50AC" w:rsidRDefault="00BF50AC" w:rsidP="005038B7">
      <w:pPr>
        <w:spacing w:line="276" w:lineRule="auto"/>
        <w:jc w:val="both"/>
        <w:rPr>
          <w:rFonts w:ascii="Times New Roman" w:hAnsi="Times New Roman" w:cs="Times New Roman"/>
          <w:lang w:val="fr-FR"/>
        </w:rPr>
      </w:pPr>
    </w:p>
    <w:p w14:paraId="2AC2D6E7" w14:textId="5B65F577" w:rsidR="00D6414C" w:rsidRDefault="00AB34B8" w:rsidP="005038B7">
      <w:pPr>
        <w:spacing w:line="276" w:lineRule="auto"/>
        <w:jc w:val="both"/>
        <w:rPr>
          <w:rFonts w:ascii="Times New Roman" w:hAnsi="Times New Roman" w:cs="Times New Roman"/>
          <w:lang w:val="fr-FR"/>
        </w:rPr>
      </w:pPr>
      <w:r>
        <w:rPr>
          <w:rFonts w:ascii="Times New Roman" w:hAnsi="Times New Roman" w:cs="Times New Roman"/>
          <w:lang w:val="fr-FR"/>
        </w:rPr>
        <w:t>Par un arrêt du 1</w:t>
      </w:r>
      <w:r w:rsidRPr="00AB34B8">
        <w:rPr>
          <w:rFonts w:ascii="Times New Roman" w:hAnsi="Times New Roman" w:cs="Times New Roman"/>
          <w:vertAlign w:val="superscript"/>
          <w:lang w:val="fr-FR"/>
        </w:rPr>
        <w:t>er</w:t>
      </w:r>
      <w:r>
        <w:rPr>
          <w:rFonts w:ascii="Times New Roman" w:hAnsi="Times New Roman" w:cs="Times New Roman"/>
          <w:lang w:val="fr-FR"/>
        </w:rPr>
        <w:t xml:space="preserve"> mars 2016, la cour d’appel de Bruxelles </w:t>
      </w:r>
      <w:r w:rsidR="00875E55">
        <w:rPr>
          <w:rFonts w:ascii="Times New Roman" w:hAnsi="Times New Roman" w:cs="Times New Roman"/>
          <w:lang w:val="fr-FR"/>
        </w:rPr>
        <w:t xml:space="preserve">illustre </w:t>
      </w:r>
      <w:r w:rsidR="00754A4F">
        <w:rPr>
          <w:rFonts w:ascii="Times New Roman" w:hAnsi="Times New Roman" w:cs="Times New Roman"/>
          <w:lang w:val="fr-FR"/>
        </w:rPr>
        <w:t xml:space="preserve">la pratique selon laquelle l’assureur suspendra le paiement de l’indemnité due à l’assuré jusqu’à ce qu’un certificat hypothécaire </w:t>
      </w:r>
      <w:r w:rsidR="00A740ED">
        <w:rPr>
          <w:rFonts w:ascii="Times New Roman" w:hAnsi="Times New Roman" w:cs="Times New Roman"/>
          <w:lang w:val="fr-FR"/>
        </w:rPr>
        <w:t xml:space="preserve">lui </w:t>
      </w:r>
      <w:r w:rsidR="00754A4F">
        <w:rPr>
          <w:rFonts w:ascii="Times New Roman" w:hAnsi="Times New Roman" w:cs="Times New Roman"/>
          <w:lang w:val="fr-FR"/>
        </w:rPr>
        <w:t>soit remis</w:t>
      </w:r>
      <w:r w:rsidR="00754A4F">
        <w:rPr>
          <w:rStyle w:val="Appelnotedebasdep"/>
          <w:rFonts w:ascii="Times New Roman" w:hAnsi="Times New Roman" w:cs="Times New Roman"/>
          <w:lang w:val="fr-FR"/>
        </w:rPr>
        <w:footnoteReference w:id="37"/>
      </w:r>
      <w:r w:rsidR="00754A4F">
        <w:rPr>
          <w:rFonts w:ascii="Times New Roman" w:hAnsi="Times New Roman" w:cs="Times New Roman"/>
          <w:lang w:val="fr-FR"/>
        </w:rPr>
        <w:t>. L’obligation</w:t>
      </w:r>
      <w:r w:rsidR="00F34720">
        <w:rPr>
          <w:rFonts w:ascii="Times New Roman" w:hAnsi="Times New Roman" w:cs="Times New Roman"/>
          <w:lang w:val="fr-FR"/>
        </w:rPr>
        <w:t xml:space="preserve"> de vérification,</w:t>
      </w:r>
      <w:r w:rsidR="00754A4F">
        <w:rPr>
          <w:rFonts w:ascii="Times New Roman" w:hAnsi="Times New Roman" w:cs="Times New Roman"/>
          <w:lang w:val="fr-FR"/>
        </w:rPr>
        <w:t xml:space="preserve"> qui pèse sur l’organisme assureur</w:t>
      </w:r>
      <w:r w:rsidR="00F34720">
        <w:rPr>
          <w:rFonts w:ascii="Times New Roman" w:hAnsi="Times New Roman" w:cs="Times New Roman"/>
          <w:lang w:val="fr-FR"/>
        </w:rPr>
        <w:t xml:space="preserve">, </w:t>
      </w:r>
      <w:r w:rsidR="00754A4F">
        <w:rPr>
          <w:rFonts w:ascii="Times New Roman" w:hAnsi="Times New Roman" w:cs="Times New Roman"/>
          <w:lang w:val="fr-FR"/>
        </w:rPr>
        <w:t>semble donc</w:t>
      </w:r>
      <w:r w:rsidR="00A740ED">
        <w:rPr>
          <w:rFonts w:ascii="Times New Roman" w:hAnsi="Times New Roman" w:cs="Times New Roman"/>
          <w:lang w:val="fr-FR"/>
        </w:rPr>
        <w:t xml:space="preserve"> </w:t>
      </w:r>
      <w:r w:rsidR="00754A4F">
        <w:rPr>
          <w:rFonts w:ascii="Times New Roman" w:hAnsi="Times New Roman" w:cs="Times New Roman"/>
          <w:lang w:val="fr-FR"/>
        </w:rPr>
        <w:t xml:space="preserve">être transférée </w:t>
      </w:r>
      <w:r w:rsidR="00F34720">
        <w:rPr>
          <w:rFonts w:ascii="Times New Roman" w:hAnsi="Times New Roman" w:cs="Times New Roman"/>
          <w:lang w:val="fr-FR"/>
        </w:rPr>
        <w:t>sur les épaules de</w:t>
      </w:r>
      <w:r w:rsidR="00754A4F">
        <w:rPr>
          <w:rFonts w:ascii="Times New Roman" w:hAnsi="Times New Roman" w:cs="Times New Roman"/>
          <w:lang w:val="fr-FR"/>
        </w:rPr>
        <w:t xml:space="preserve"> l’assuré. </w:t>
      </w:r>
      <w:r w:rsidR="00D6414C">
        <w:rPr>
          <w:rFonts w:ascii="Times New Roman" w:hAnsi="Times New Roman" w:cs="Times New Roman"/>
          <w:lang w:val="fr-FR"/>
        </w:rPr>
        <w:t>En effet, en pratique, les polices subordonnent presque toujours le paiement de la prime à la production, par l’assuré, d’un certificat hypothécaire négatif</w:t>
      </w:r>
      <w:r w:rsidR="00D6414C">
        <w:rPr>
          <w:rStyle w:val="Appelnotedebasdep"/>
          <w:rFonts w:ascii="Times New Roman" w:hAnsi="Times New Roman" w:cs="Times New Roman"/>
          <w:lang w:val="fr-FR"/>
        </w:rPr>
        <w:footnoteReference w:id="38"/>
      </w:r>
      <w:r w:rsidR="00D6414C">
        <w:rPr>
          <w:rFonts w:ascii="Times New Roman" w:hAnsi="Times New Roman" w:cs="Times New Roman"/>
          <w:lang w:val="fr-FR"/>
        </w:rPr>
        <w:t xml:space="preserve">. </w:t>
      </w:r>
    </w:p>
    <w:p w14:paraId="34A0B66E" w14:textId="77777777" w:rsidR="00D6414C" w:rsidRDefault="00D6414C" w:rsidP="005038B7">
      <w:pPr>
        <w:spacing w:line="276" w:lineRule="auto"/>
        <w:jc w:val="both"/>
        <w:rPr>
          <w:rFonts w:ascii="Times New Roman" w:hAnsi="Times New Roman" w:cs="Times New Roman"/>
          <w:lang w:val="fr-FR"/>
        </w:rPr>
      </w:pPr>
    </w:p>
    <w:p w14:paraId="46AFD318" w14:textId="568ADACE" w:rsidR="00A740ED" w:rsidRDefault="00754A4F" w:rsidP="005038B7">
      <w:pPr>
        <w:spacing w:line="276" w:lineRule="auto"/>
        <w:jc w:val="both"/>
        <w:rPr>
          <w:rFonts w:ascii="Times New Roman" w:hAnsi="Times New Roman" w:cs="Times New Roman"/>
          <w:lang w:val="fr-FR"/>
        </w:rPr>
      </w:pPr>
      <w:r>
        <w:rPr>
          <w:rFonts w:ascii="Times New Roman" w:hAnsi="Times New Roman" w:cs="Times New Roman"/>
          <w:lang w:val="fr-FR"/>
        </w:rPr>
        <w:t>Par ailleurs, si le certificat hypothécaire fait mention de certains des créanciers dont la sûreté fait l’objet d’une publicité, tel n’est pas le cas de tous les créanciers visés par l’article 112 de la L.A. tels que le créancier gagiste ou réservataire. L’organisme d’assurance sera donc attentif à ne pas se fier uniquement au certificat hypothécaire transmis par l’assuré</w:t>
      </w:r>
      <w:r w:rsidR="003E0BE8">
        <w:rPr>
          <w:rFonts w:ascii="Times New Roman" w:hAnsi="Times New Roman" w:cs="Times New Roman"/>
          <w:lang w:val="fr-FR"/>
        </w:rPr>
        <w:t xml:space="preserve"> (</w:t>
      </w:r>
      <w:proofErr w:type="spellStart"/>
      <w:r w:rsidR="003E0BE8">
        <w:rPr>
          <w:rFonts w:ascii="Times New Roman" w:hAnsi="Times New Roman" w:cs="Times New Roman"/>
          <w:lang w:val="fr-FR"/>
        </w:rPr>
        <w:t>voy</w:t>
      </w:r>
      <w:proofErr w:type="spellEnd"/>
      <w:r w:rsidR="003E0BE8">
        <w:rPr>
          <w:rFonts w:ascii="Times New Roman" w:hAnsi="Times New Roman" w:cs="Times New Roman"/>
          <w:lang w:val="fr-FR"/>
        </w:rPr>
        <w:t xml:space="preserve">. </w:t>
      </w:r>
      <w:r w:rsidR="003E0BE8" w:rsidRPr="003E0BE8">
        <w:rPr>
          <w:rFonts w:ascii="Times New Roman" w:hAnsi="Times New Roman" w:cs="Times New Roman"/>
          <w:i/>
          <w:iCs/>
          <w:lang w:val="fr-FR"/>
        </w:rPr>
        <w:t>infra</w:t>
      </w:r>
      <w:r w:rsidR="0020581F">
        <w:rPr>
          <w:rFonts w:ascii="Times New Roman" w:hAnsi="Times New Roman" w:cs="Times New Roman"/>
          <w:i/>
          <w:iCs/>
          <w:lang w:val="fr-FR"/>
        </w:rPr>
        <w:t xml:space="preserve">, </w:t>
      </w:r>
      <w:r w:rsidR="0020581F">
        <w:rPr>
          <w:rFonts w:ascii="Times New Roman" w:hAnsi="Times New Roman" w:cs="Times New Roman"/>
          <w:lang w:val="fr-FR"/>
        </w:rPr>
        <w:t>C et D</w:t>
      </w:r>
      <w:r w:rsidR="003E0BE8">
        <w:rPr>
          <w:rFonts w:ascii="Times New Roman" w:hAnsi="Times New Roman" w:cs="Times New Roman"/>
          <w:lang w:val="fr-FR"/>
        </w:rPr>
        <w:t>).</w:t>
      </w:r>
    </w:p>
    <w:p w14:paraId="104997D7" w14:textId="77777777" w:rsidR="00A740ED" w:rsidRDefault="00A740ED" w:rsidP="005038B7">
      <w:pPr>
        <w:spacing w:line="276" w:lineRule="auto"/>
        <w:jc w:val="both"/>
        <w:rPr>
          <w:rFonts w:ascii="Times New Roman" w:hAnsi="Times New Roman" w:cs="Times New Roman"/>
          <w:lang w:val="fr-FR"/>
        </w:rPr>
      </w:pPr>
    </w:p>
    <w:p w14:paraId="329D4730" w14:textId="6620DF70" w:rsidR="009A09DF" w:rsidRDefault="00775C29" w:rsidP="005038B7">
      <w:pPr>
        <w:spacing w:line="276" w:lineRule="auto"/>
        <w:jc w:val="both"/>
        <w:rPr>
          <w:rFonts w:ascii="Times New Roman" w:hAnsi="Times New Roman" w:cs="Times New Roman"/>
          <w:lang w:val="fr-FR"/>
        </w:rPr>
      </w:pPr>
      <w:r>
        <w:rPr>
          <w:rFonts w:ascii="Times New Roman" w:hAnsi="Times New Roman" w:cs="Times New Roman"/>
          <w:lang w:val="fr-FR"/>
        </w:rPr>
        <w:lastRenderedPageBreak/>
        <w:t xml:space="preserve">Les considérations qui précèdent </w:t>
      </w:r>
      <w:r w:rsidR="00FA5CC4">
        <w:rPr>
          <w:rFonts w:ascii="Times New Roman" w:hAnsi="Times New Roman" w:cs="Times New Roman"/>
          <w:lang w:val="fr-FR"/>
        </w:rPr>
        <w:t>n’empêche</w:t>
      </w:r>
      <w:r w:rsidR="00AB34B8">
        <w:rPr>
          <w:rFonts w:ascii="Times New Roman" w:hAnsi="Times New Roman" w:cs="Times New Roman"/>
          <w:lang w:val="fr-FR"/>
        </w:rPr>
        <w:t>nt</w:t>
      </w:r>
      <w:r w:rsidR="00FA5CC4">
        <w:rPr>
          <w:rFonts w:ascii="Times New Roman" w:hAnsi="Times New Roman" w:cs="Times New Roman"/>
          <w:lang w:val="fr-FR"/>
        </w:rPr>
        <w:t xml:space="preserve"> toutefois pas l’assurance d’opposer au créancier hypothécaire l’ensemble des exceptions dont elle peut se prévaloir à l’égard de l’assuré</w:t>
      </w:r>
      <w:r w:rsidR="00FA5CC4">
        <w:rPr>
          <w:rStyle w:val="Appelnotedebasdep"/>
          <w:rFonts w:ascii="Times New Roman" w:hAnsi="Times New Roman" w:cs="Times New Roman"/>
          <w:lang w:val="fr-FR"/>
        </w:rPr>
        <w:footnoteReference w:id="39"/>
      </w:r>
    </w:p>
    <w:p w14:paraId="5FDA9187" w14:textId="77777777" w:rsidR="00EC34E9" w:rsidRDefault="00EC34E9" w:rsidP="005038B7">
      <w:pPr>
        <w:spacing w:line="276" w:lineRule="auto"/>
        <w:jc w:val="both"/>
        <w:rPr>
          <w:rFonts w:ascii="Times New Roman" w:hAnsi="Times New Roman" w:cs="Times New Roman"/>
          <w:lang w:val="fr-FR"/>
        </w:rPr>
      </w:pPr>
    </w:p>
    <w:p w14:paraId="05333452" w14:textId="0ABA1622" w:rsidR="00290DDF" w:rsidRPr="009A09DF" w:rsidRDefault="009A09DF" w:rsidP="003E0BE8">
      <w:pPr>
        <w:pStyle w:val="Paragraphedeliste"/>
        <w:numPr>
          <w:ilvl w:val="0"/>
          <w:numId w:val="11"/>
        </w:numPr>
        <w:spacing w:line="276" w:lineRule="auto"/>
        <w:jc w:val="both"/>
        <w:rPr>
          <w:rFonts w:ascii="Times New Roman" w:hAnsi="Times New Roman" w:cs="Times New Roman"/>
          <w:b/>
          <w:bCs/>
          <w:lang w:val="fr-FR"/>
        </w:rPr>
      </w:pPr>
      <w:r w:rsidRPr="009A09DF">
        <w:rPr>
          <w:rFonts w:ascii="Times New Roman" w:hAnsi="Times New Roman" w:cs="Times New Roman"/>
          <w:b/>
          <w:bCs/>
          <w:lang w:val="fr-FR"/>
        </w:rPr>
        <w:t>La position des créanciers « privilégiés »</w:t>
      </w:r>
      <w:r w:rsidR="00D2708A">
        <w:rPr>
          <w:rFonts w:ascii="Times New Roman" w:hAnsi="Times New Roman" w:cs="Times New Roman"/>
          <w:b/>
          <w:bCs/>
          <w:lang w:val="fr-FR"/>
        </w:rPr>
        <w:t xml:space="preserve"> et le cas particulier de l’association des copropriétaires</w:t>
      </w:r>
      <w:r w:rsidR="003E0BE8">
        <w:rPr>
          <w:rFonts w:ascii="Times New Roman" w:hAnsi="Times New Roman" w:cs="Times New Roman"/>
          <w:b/>
          <w:bCs/>
          <w:lang w:val="fr-FR"/>
        </w:rPr>
        <w:t xml:space="preserve"> </w:t>
      </w:r>
    </w:p>
    <w:p w14:paraId="45A2C02C" w14:textId="3E2A76A2" w:rsidR="009A09DF" w:rsidRDefault="009A09DF" w:rsidP="005038B7">
      <w:pPr>
        <w:spacing w:line="276" w:lineRule="auto"/>
        <w:jc w:val="both"/>
        <w:rPr>
          <w:rFonts w:ascii="Times New Roman" w:hAnsi="Times New Roman" w:cs="Times New Roman"/>
          <w:lang w:val="fr-FR"/>
        </w:rPr>
      </w:pPr>
    </w:p>
    <w:p w14:paraId="7E15E882" w14:textId="358329A5" w:rsidR="009A09DF" w:rsidRPr="009A09DF" w:rsidRDefault="009A09DF" w:rsidP="005038B7">
      <w:pPr>
        <w:spacing w:line="276" w:lineRule="auto"/>
        <w:jc w:val="both"/>
        <w:rPr>
          <w:rFonts w:ascii="Times New Roman" w:hAnsi="Times New Roman" w:cs="Times New Roman"/>
          <w:lang w:val="fr-FR"/>
        </w:rPr>
      </w:pPr>
      <w:r>
        <w:rPr>
          <w:rFonts w:ascii="Times New Roman" w:hAnsi="Times New Roman" w:cs="Times New Roman"/>
          <w:lang w:val="fr-FR"/>
        </w:rPr>
        <w:t>Outre le créancier hypothécaire, bénéficient du mécanisme de la subrogation réelle, à la lecture</w:t>
      </w:r>
      <w:r w:rsidR="003E0BE8">
        <w:rPr>
          <w:rFonts w:ascii="Times New Roman" w:hAnsi="Times New Roman" w:cs="Times New Roman"/>
          <w:lang w:val="fr-FR"/>
        </w:rPr>
        <w:t xml:space="preserve"> de l’article 112 de la L.A.</w:t>
      </w:r>
      <w:r>
        <w:rPr>
          <w:rFonts w:ascii="Times New Roman" w:hAnsi="Times New Roman" w:cs="Times New Roman"/>
          <w:lang w:val="fr-FR"/>
        </w:rPr>
        <w:t xml:space="preserve">, les créanciers « privilégiés ». </w:t>
      </w:r>
      <w:r w:rsidR="00C26013">
        <w:rPr>
          <w:rFonts w:ascii="Times New Roman" w:hAnsi="Times New Roman" w:cs="Times New Roman"/>
          <w:lang w:val="fr-FR"/>
        </w:rPr>
        <w:t xml:space="preserve">Sont ainsi visés les créanciers suivants : les créanciers privilégiés spéciaux sur immeubles, sur meubles ainsi que les créanciers privilégiés généraux sur meubles. Est également visé le </w:t>
      </w:r>
      <w:r w:rsidR="00111D01">
        <w:rPr>
          <w:rFonts w:ascii="Times New Roman" w:hAnsi="Times New Roman" w:cs="Times New Roman"/>
          <w:lang w:val="fr-FR"/>
        </w:rPr>
        <w:t xml:space="preserve">créancier titulaire des </w:t>
      </w:r>
      <w:r w:rsidR="00C26013">
        <w:rPr>
          <w:rFonts w:ascii="Times New Roman" w:hAnsi="Times New Roman" w:cs="Times New Roman"/>
          <w:lang w:val="fr-FR"/>
        </w:rPr>
        <w:t xml:space="preserve">privilège des frais de justice, qui a vocation à porter indistinctement sur un bien meuble ou immeuble du débiteur. En cas de </w:t>
      </w:r>
      <w:r w:rsidR="00C26013" w:rsidRPr="00CB4520">
        <w:rPr>
          <w:rFonts w:ascii="Times New Roman" w:hAnsi="Times New Roman" w:cs="Times New Roman"/>
          <w:lang w:val="fr-FR"/>
        </w:rPr>
        <w:t>sinistre d’un bien immeuble</w:t>
      </w:r>
      <w:r w:rsidR="003E0BE8" w:rsidRPr="00CB4520">
        <w:rPr>
          <w:rFonts w:ascii="Times New Roman" w:hAnsi="Times New Roman" w:cs="Times New Roman"/>
          <w:lang w:val="fr-FR"/>
        </w:rPr>
        <w:t xml:space="preserve"> et hors l’hypothèse des biens meubles non immobilisés</w:t>
      </w:r>
      <w:r w:rsidR="00C26013" w:rsidRPr="00CB4520">
        <w:rPr>
          <w:rFonts w:ascii="Times New Roman" w:hAnsi="Times New Roman" w:cs="Times New Roman"/>
          <w:lang w:val="fr-FR"/>
        </w:rPr>
        <w:t>, seront ainsi concernés les privilégiés spéciaux sur immeuble, les privilégiés spéciaux sur meubles</w:t>
      </w:r>
      <w:r w:rsidR="00CB4520" w:rsidRPr="00CB4520">
        <w:rPr>
          <w:rStyle w:val="Appelnotedebasdep"/>
          <w:rFonts w:ascii="Times New Roman" w:hAnsi="Times New Roman" w:cs="Times New Roman"/>
          <w:lang w:val="fr-FR"/>
        </w:rPr>
        <w:footnoteReference w:id="40"/>
      </w:r>
      <w:r w:rsidR="00C26013" w:rsidRPr="00CB4520">
        <w:rPr>
          <w:rFonts w:ascii="Times New Roman" w:hAnsi="Times New Roman" w:cs="Times New Roman"/>
          <w:lang w:val="fr-FR"/>
        </w:rPr>
        <w:t xml:space="preserve"> </w:t>
      </w:r>
      <w:r w:rsidR="003E0BE8" w:rsidRPr="00CB4520">
        <w:rPr>
          <w:rFonts w:ascii="Times New Roman" w:hAnsi="Times New Roman" w:cs="Times New Roman"/>
          <w:lang w:val="fr-FR"/>
        </w:rPr>
        <w:t xml:space="preserve">et </w:t>
      </w:r>
      <w:r w:rsidR="00C26013" w:rsidRPr="00CB4520">
        <w:rPr>
          <w:rFonts w:ascii="Times New Roman" w:hAnsi="Times New Roman" w:cs="Times New Roman"/>
          <w:lang w:val="fr-FR"/>
        </w:rPr>
        <w:t xml:space="preserve">les créanciers privilégiés généraux sur meubles par application de l’article </w:t>
      </w:r>
      <w:r w:rsidRPr="00CB4520">
        <w:rPr>
          <w:rFonts w:ascii="Times New Roman" w:hAnsi="Times New Roman" w:cs="Times New Roman"/>
          <w:lang w:val="fr-FR"/>
        </w:rPr>
        <w:t xml:space="preserve">19 </w:t>
      </w:r>
      <w:r w:rsidRPr="00CB4520">
        <w:rPr>
          <w:rFonts w:ascii="Times New Roman" w:hAnsi="Times New Roman" w:cs="Times New Roman"/>
          <w:i/>
          <w:iCs/>
          <w:lang w:val="fr-FR"/>
        </w:rPr>
        <w:t>in fine</w:t>
      </w:r>
      <w:r w:rsidRPr="00CB4520">
        <w:rPr>
          <w:rFonts w:ascii="Times New Roman" w:hAnsi="Times New Roman" w:cs="Times New Roman"/>
          <w:lang w:val="fr-FR"/>
        </w:rPr>
        <w:t xml:space="preserve"> de la loi hypothécaire</w:t>
      </w:r>
      <w:r w:rsidR="00F437BF" w:rsidRPr="00CB4520">
        <w:rPr>
          <w:rFonts w:ascii="Times New Roman" w:hAnsi="Times New Roman" w:cs="Times New Roman"/>
          <w:lang w:val="fr-FR"/>
        </w:rPr>
        <w:t>.</w:t>
      </w:r>
      <w:r w:rsidR="00F437BF">
        <w:rPr>
          <w:rFonts w:ascii="Times New Roman" w:hAnsi="Times New Roman" w:cs="Times New Roman"/>
          <w:lang w:val="fr-FR"/>
        </w:rPr>
        <w:t xml:space="preserve"> </w:t>
      </w:r>
    </w:p>
    <w:p w14:paraId="481EF341" w14:textId="5949EC85" w:rsidR="006532C4" w:rsidRDefault="006532C4" w:rsidP="005038B7">
      <w:pPr>
        <w:spacing w:line="276" w:lineRule="auto"/>
        <w:jc w:val="both"/>
        <w:rPr>
          <w:rFonts w:ascii="Times New Roman" w:hAnsi="Times New Roman" w:cs="Times New Roman"/>
          <w:lang w:val="fr-FR"/>
        </w:rPr>
      </w:pPr>
    </w:p>
    <w:p w14:paraId="792F97C1" w14:textId="03E16980" w:rsidR="00882F15" w:rsidRDefault="006532C4" w:rsidP="005038B7">
      <w:pPr>
        <w:spacing w:line="276" w:lineRule="auto"/>
        <w:jc w:val="both"/>
        <w:rPr>
          <w:rFonts w:ascii="Times New Roman" w:hAnsi="Times New Roman" w:cs="Times New Roman"/>
          <w:lang w:val="fr-FR"/>
        </w:rPr>
      </w:pPr>
      <w:r>
        <w:rPr>
          <w:rFonts w:ascii="Times New Roman" w:hAnsi="Times New Roman" w:cs="Times New Roman"/>
          <w:lang w:val="fr-FR"/>
        </w:rPr>
        <w:t>Comme nous l’avons mentionné</w:t>
      </w:r>
      <w:r w:rsidR="003E0BE8">
        <w:rPr>
          <w:rFonts w:ascii="Times New Roman" w:hAnsi="Times New Roman" w:cs="Times New Roman"/>
          <w:lang w:val="fr-FR"/>
        </w:rPr>
        <w:t xml:space="preserve"> précédemment</w:t>
      </w:r>
      <w:r>
        <w:rPr>
          <w:rFonts w:ascii="Times New Roman" w:hAnsi="Times New Roman" w:cs="Times New Roman"/>
          <w:lang w:val="fr-FR"/>
        </w:rPr>
        <w:t xml:space="preserve">, il convient de distinguer entre les créanciers dont la sûreté fait l’objet d’une publicité et </w:t>
      </w:r>
      <w:r w:rsidR="00882F15">
        <w:rPr>
          <w:rFonts w:ascii="Times New Roman" w:hAnsi="Times New Roman" w:cs="Times New Roman"/>
          <w:lang w:val="fr-FR"/>
        </w:rPr>
        <w:t>ceux pour lesquels aucune publicité n’est organisée afin d’apprécier l’éventuelle exigence d’opposition auprès de l’assureur</w:t>
      </w:r>
      <w:r>
        <w:rPr>
          <w:rFonts w:ascii="Times New Roman" w:hAnsi="Times New Roman" w:cs="Times New Roman"/>
          <w:lang w:val="fr-FR"/>
        </w:rPr>
        <w:t xml:space="preserve">. A cet égard, une attention particulière </w:t>
      </w:r>
      <w:r w:rsidR="00BF50AC">
        <w:rPr>
          <w:rFonts w:ascii="Times New Roman" w:hAnsi="Times New Roman" w:cs="Times New Roman"/>
          <w:lang w:val="fr-FR"/>
        </w:rPr>
        <w:t xml:space="preserve">se doit d’être portée à la position de l’association des copropriétaires créancière de </w:t>
      </w:r>
      <w:r w:rsidR="00882F15">
        <w:rPr>
          <w:rFonts w:ascii="Times New Roman" w:hAnsi="Times New Roman" w:cs="Times New Roman"/>
          <w:lang w:val="fr-FR"/>
        </w:rPr>
        <w:t>charges</w:t>
      </w:r>
      <w:r w:rsidR="00BF50AC">
        <w:rPr>
          <w:rFonts w:ascii="Times New Roman" w:hAnsi="Times New Roman" w:cs="Times New Roman"/>
          <w:lang w:val="fr-FR"/>
        </w:rPr>
        <w:t xml:space="preserve"> impayées envers l’assuré. En vertu de l’article 27, 7° de la loi hypothécaire, l’association dispose d’un privilège spécial sur immeuble pour les </w:t>
      </w:r>
      <w:r w:rsidR="00D2708A">
        <w:rPr>
          <w:rFonts w:ascii="Times New Roman" w:hAnsi="Times New Roman" w:cs="Times New Roman"/>
          <w:lang w:val="fr-FR"/>
        </w:rPr>
        <w:t>charges de l’exercice en cours et précédent. Ce privilège</w:t>
      </w:r>
      <w:r w:rsidR="00BF50AC">
        <w:rPr>
          <w:rFonts w:ascii="Times New Roman" w:hAnsi="Times New Roman" w:cs="Times New Roman"/>
          <w:lang w:val="fr-FR"/>
        </w:rPr>
        <w:t xml:space="preserve"> spécial sur immeuble, par exception, ne fait l’objet d’aucune mesure de publicité</w:t>
      </w:r>
      <w:r w:rsidR="00AF26D0">
        <w:rPr>
          <w:rStyle w:val="Appelnotedebasdep"/>
          <w:rFonts w:ascii="Times New Roman" w:hAnsi="Times New Roman" w:cs="Times New Roman"/>
          <w:lang w:val="fr-FR"/>
        </w:rPr>
        <w:footnoteReference w:id="41"/>
      </w:r>
      <w:r w:rsidR="00BF50AC">
        <w:rPr>
          <w:rFonts w:ascii="Times New Roman" w:hAnsi="Times New Roman" w:cs="Times New Roman"/>
          <w:lang w:val="fr-FR"/>
        </w:rPr>
        <w:t>. Il convient dès lors pour l’association de former opposition auprès de l’assurance sans</w:t>
      </w:r>
      <w:r w:rsidR="00882F15">
        <w:rPr>
          <w:rFonts w:ascii="Times New Roman" w:hAnsi="Times New Roman" w:cs="Times New Roman"/>
          <w:lang w:val="fr-FR"/>
        </w:rPr>
        <w:t xml:space="preserve"> quoi</w:t>
      </w:r>
      <w:r w:rsidR="00D2708A">
        <w:rPr>
          <w:rFonts w:ascii="Times New Roman" w:hAnsi="Times New Roman" w:cs="Times New Roman"/>
          <w:lang w:val="fr-FR"/>
        </w:rPr>
        <w:t>, en cas de paiement</w:t>
      </w:r>
      <w:r w:rsidR="00882F15">
        <w:rPr>
          <w:rFonts w:ascii="Times New Roman" w:hAnsi="Times New Roman" w:cs="Times New Roman"/>
          <w:lang w:val="fr-FR"/>
        </w:rPr>
        <w:t xml:space="preserve"> de l’indemnité à l’assuré, l’organisme d’assurance serait valablement libéré de son obligation de paiement. </w:t>
      </w:r>
    </w:p>
    <w:p w14:paraId="739CF6DB" w14:textId="47EEB418" w:rsidR="006532C4" w:rsidRDefault="006532C4" w:rsidP="005038B7">
      <w:pPr>
        <w:spacing w:line="276" w:lineRule="auto"/>
        <w:jc w:val="both"/>
        <w:rPr>
          <w:rFonts w:ascii="Times New Roman" w:hAnsi="Times New Roman" w:cs="Times New Roman"/>
          <w:lang w:val="fr-FR"/>
        </w:rPr>
      </w:pPr>
    </w:p>
    <w:p w14:paraId="6E6D59DD" w14:textId="7D23A835" w:rsidR="009A09DF" w:rsidRDefault="00D2708A" w:rsidP="005038B7">
      <w:pPr>
        <w:spacing w:line="276" w:lineRule="auto"/>
        <w:jc w:val="both"/>
        <w:rPr>
          <w:rFonts w:ascii="Times New Roman" w:hAnsi="Times New Roman" w:cs="Times New Roman"/>
          <w:lang w:val="fr-FR"/>
        </w:rPr>
      </w:pPr>
      <w:r>
        <w:rPr>
          <w:rFonts w:ascii="Times New Roman" w:hAnsi="Times New Roman" w:cs="Times New Roman"/>
          <w:lang w:val="fr-FR"/>
        </w:rPr>
        <w:t>Dans le même ordre d’idées, le</w:t>
      </w:r>
      <w:r w:rsidR="00BF50AC">
        <w:rPr>
          <w:rFonts w:ascii="Times New Roman" w:hAnsi="Times New Roman" w:cs="Times New Roman"/>
          <w:lang w:val="fr-FR"/>
        </w:rPr>
        <w:t xml:space="preserve"> vendeur </w:t>
      </w:r>
      <w:r w:rsidR="007B3A3B">
        <w:rPr>
          <w:rFonts w:ascii="Times New Roman" w:hAnsi="Times New Roman" w:cs="Times New Roman"/>
          <w:lang w:val="fr-FR"/>
        </w:rPr>
        <w:t xml:space="preserve">impayé </w:t>
      </w:r>
      <w:r w:rsidR="00BF50AC">
        <w:rPr>
          <w:rFonts w:ascii="Times New Roman" w:hAnsi="Times New Roman" w:cs="Times New Roman"/>
          <w:lang w:val="fr-FR"/>
        </w:rPr>
        <w:t>de meuble</w:t>
      </w:r>
      <w:r>
        <w:rPr>
          <w:rFonts w:ascii="Times New Roman" w:hAnsi="Times New Roman" w:cs="Times New Roman"/>
          <w:lang w:val="fr-FR"/>
        </w:rPr>
        <w:t>, dont ce dernier serait immobilisé, sera attentif à former opposition dès lors que le dépôt de la facture au greffe de l’ancien tribunal de commerce a été supprimé il y a quelque temps déjà</w:t>
      </w:r>
      <w:r w:rsidR="000D3EAA">
        <w:rPr>
          <w:rStyle w:val="Appelnotedebasdep"/>
          <w:rFonts w:ascii="Times New Roman" w:hAnsi="Times New Roman" w:cs="Times New Roman"/>
          <w:lang w:val="fr-FR"/>
        </w:rPr>
        <w:footnoteReference w:id="42"/>
      </w:r>
      <w:r>
        <w:rPr>
          <w:rFonts w:ascii="Times New Roman" w:hAnsi="Times New Roman" w:cs="Times New Roman"/>
          <w:lang w:val="fr-FR"/>
        </w:rPr>
        <w:t xml:space="preserve">. </w:t>
      </w:r>
    </w:p>
    <w:p w14:paraId="24104BC5" w14:textId="77777777" w:rsidR="009A09DF" w:rsidRDefault="009A09DF" w:rsidP="005038B7">
      <w:pPr>
        <w:spacing w:line="276" w:lineRule="auto"/>
        <w:jc w:val="both"/>
        <w:rPr>
          <w:rFonts w:ascii="Times New Roman" w:hAnsi="Times New Roman" w:cs="Times New Roman"/>
          <w:lang w:val="fr-FR"/>
        </w:rPr>
      </w:pPr>
    </w:p>
    <w:p w14:paraId="00CF17D7" w14:textId="67CABB5A" w:rsidR="00B133A7" w:rsidRPr="0047770E" w:rsidRDefault="000D3EAA" w:rsidP="005038B7">
      <w:pPr>
        <w:spacing w:line="276" w:lineRule="auto"/>
        <w:jc w:val="both"/>
        <w:rPr>
          <w:rFonts w:ascii="Times New Roman" w:hAnsi="Times New Roman" w:cs="Times New Roman"/>
          <w:lang w:val="fr-FR"/>
        </w:rPr>
      </w:pPr>
      <w:r w:rsidRPr="0047770E">
        <w:rPr>
          <w:rFonts w:ascii="Times New Roman" w:hAnsi="Times New Roman" w:cs="Times New Roman"/>
          <w:lang w:val="fr-FR"/>
        </w:rPr>
        <w:lastRenderedPageBreak/>
        <w:t>Quelle est la position de l’assureur</w:t>
      </w:r>
      <w:r w:rsidR="00A24817" w:rsidRPr="0047770E">
        <w:rPr>
          <w:rFonts w:ascii="Times New Roman" w:hAnsi="Times New Roman" w:cs="Times New Roman"/>
          <w:lang w:val="fr-FR"/>
        </w:rPr>
        <w:t xml:space="preserve"> qui dispose d’un privilège qui porte sur la chose assurée pour les primes qui n’auraient pas été honorées (article 114 de la L.A.) ? Celui-ci est sans aucun doute un créancier privilégié. Toutefois, </w:t>
      </w:r>
      <w:r w:rsidR="00CB4520" w:rsidRPr="0047770E">
        <w:rPr>
          <w:rFonts w:ascii="Times New Roman" w:hAnsi="Times New Roman" w:cs="Times New Roman"/>
          <w:lang w:val="fr-FR"/>
        </w:rPr>
        <w:t>il es</w:t>
      </w:r>
      <w:r w:rsidR="0047770E">
        <w:rPr>
          <w:rFonts w:ascii="Times New Roman" w:hAnsi="Times New Roman" w:cs="Times New Roman"/>
          <w:lang w:val="fr-FR"/>
        </w:rPr>
        <w:t>t</w:t>
      </w:r>
      <w:r w:rsidR="00CB4520" w:rsidRPr="0047770E">
        <w:rPr>
          <w:rFonts w:ascii="Times New Roman" w:hAnsi="Times New Roman" w:cs="Times New Roman"/>
          <w:lang w:val="fr-FR"/>
        </w:rPr>
        <w:t xml:space="preserve"> enseigné </w:t>
      </w:r>
      <w:r w:rsidR="00A24817" w:rsidRPr="0047770E">
        <w:rPr>
          <w:rFonts w:ascii="Times New Roman" w:hAnsi="Times New Roman" w:cs="Times New Roman"/>
          <w:lang w:val="fr-FR"/>
        </w:rPr>
        <w:t>que le privilège ne peut s’exercer sur l’indemnité d’assurance qui remplace le bien sinistré</w:t>
      </w:r>
      <w:r w:rsidR="000E3058" w:rsidRPr="0047770E">
        <w:rPr>
          <w:rStyle w:val="Appelnotedebasdep"/>
          <w:rFonts w:ascii="Times New Roman" w:hAnsi="Times New Roman" w:cs="Times New Roman"/>
          <w:lang w:val="fr-FR"/>
        </w:rPr>
        <w:footnoteReference w:id="43"/>
      </w:r>
      <w:r w:rsidR="00A24817" w:rsidRPr="0047770E">
        <w:rPr>
          <w:rFonts w:ascii="Times New Roman" w:hAnsi="Times New Roman" w:cs="Times New Roman"/>
          <w:lang w:val="fr-FR"/>
        </w:rPr>
        <w:t xml:space="preserve">. </w:t>
      </w:r>
      <w:r w:rsidR="00882F15" w:rsidRPr="0047770E">
        <w:rPr>
          <w:rFonts w:ascii="Times New Roman" w:hAnsi="Times New Roman" w:cs="Times New Roman"/>
          <w:lang w:val="fr-FR"/>
        </w:rPr>
        <w:t>L</w:t>
      </w:r>
      <w:r w:rsidR="00A24817" w:rsidRPr="0047770E">
        <w:rPr>
          <w:rFonts w:ascii="Times New Roman" w:hAnsi="Times New Roman" w:cs="Times New Roman"/>
          <w:lang w:val="fr-FR"/>
        </w:rPr>
        <w:t>’assureur</w:t>
      </w:r>
      <w:r w:rsidR="00CB4520" w:rsidRPr="0047770E">
        <w:rPr>
          <w:rFonts w:ascii="Times New Roman" w:hAnsi="Times New Roman" w:cs="Times New Roman"/>
          <w:lang w:val="fr-FR"/>
        </w:rPr>
        <w:t xml:space="preserve"> </w:t>
      </w:r>
      <w:r w:rsidR="00A24817" w:rsidRPr="0047770E">
        <w:rPr>
          <w:rFonts w:ascii="Times New Roman" w:hAnsi="Times New Roman" w:cs="Times New Roman"/>
          <w:lang w:val="fr-FR"/>
        </w:rPr>
        <w:t>pourra</w:t>
      </w:r>
      <w:r w:rsidR="00CB4520" w:rsidRPr="0047770E">
        <w:rPr>
          <w:rFonts w:ascii="Times New Roman" w:hAnsi="Times New Roman" w:cs="Times New Roman"/>
          <w:lang w:val="fr-FR"/>
        </w:rPr>
        <w:t>, toujours selon cet enseignement,</w:t>
      </w:r>
      <w:r w:rsidR="00882F15" w:rsidRPr="0047770E">
        <w:rPr>
          <w:rFonts w:ascii="Times New Roman" w:hAnsi="Times New Roman" w:cs="Times New Roman"/>
          <w:lang w:val="fr-FR"/>
        </w:rPr>
        <w:t xml:space="preserve"> </w:t>
      </w:r>
      <w:r w:rsidR="00A24817" w:rsidRPr="0047770E">
        <w:rPr>
          <w:rFonts w:ascii="Times New Roman" w:hAnsi="Times New Roman" w:cs="Times New Roman"/>
          <w:lang w:val="fr-FR"/>
        </w:rPr>
        <w:t>opposer la compensation entre la créance de prime et la dette d’indemnité</w:t>
      </w:r>
      <w:r w:rsidR="00A24817" w:rsidRPr="0047770E">
        <w:rPr>
          <w:rStyle w:val="Appelnotedebasdep"/>
          <w:rFonts w:ascii="Times New Roman" w:hAnsi="Times New Roman" w:cs="Times New Roman"/>
          <w:lang w:val="fr-FR"/>
        </w:rPr>
        <w:footnoteReference w:id="44"/>
      </w:r>
      <w:r w:rsidR="00A24817" w:rsidRPr="0047770E">
        <w:rPr>
          <w:rFonts w:ascii="Times New Roman" w:hAnsi="Times New Roman" w:cs="Times New Roman"/>
          <w:lang w:val="fr-FR"/>
        </w:rPr>
        <w:t xml:space="preserve">. </w:t>
      </w:r>
      <w:r w:rsidR="000E3058" w:rsidRPr="0047770E">
        <w:rPr>
          <w:rFonts w:ascii="Times New Roman" w:hAnsi="Times New Roman" w:cs="Times New Roman"/>
          <w:lang w:val="fr-FR"/>
        </w:rPr>
        <w:t>Dès lors</w:t>
      </w:r>
      <w:r w:rsidR="00F34720" w:rsidRPr="0047770E">
        <w:rPr>
          <w:rFonts w:ascii="Times New Roman" w:hAnsi="Times New Roman" w:cs="Times New Roman"/>
          <w:lang w:val="fr-FR"/>
        </w:rPr>
        <w:t xml:space="preserve"> que</w:t>
      </w:r>
      <w:r w:rsidR="000E3058" w:rsidRPr="0047770E">
        <w:rPr>
          <w:rFonts w:ascii="Times New Roman" w:hAnsi="Times New Roman" w:cs="Times New Roman"/>
          <w:lang w:val="fr-FR"/>
        </w:rPr>
        <w:t xml:space="preserve"> </w:t>
      </w:r>
      <w:r w:rsidR="00F34720" w:rsidRPr="0047770E">
        <w:rPr>
          <w:rFonts w:ascii="Times New Roman" w:hAnsi="Times New Roman" w:cs="Times New Roman"/>
          <w:lang w:val="fr-FR"/>
        </w:rPr>
        <w:t>l’article 112 de la L.A. engendre une situation de concours</w:t>
      </w:r>
      <w:r w:rsidR="00270FCD" w:rsidRPr="0047770E">
        <w:rPr>
          <w:rStyle w:val="Appelnotedebasdep"/>
          <w:rFonts w:ascii="Times New Roman" w:hAnsi="Times New Roman" w:cs="Times New Roman"/>
          <w:lang w:val="fr-FR"/>
        </w:rPr>
        <w:footnoteReference w:id="45"/>
      </w:r>
      <w:r w:rsidR="000E3058" w:rsidRPr="0047770E">
        <w:rPr>
          <w:rFonts w:ascii="Times New Roman" w:hAnsi="Times New Roman" w:cs="Times New Roman"/>
          <w:lang w:val="fr-FR"/>
        </w:rPr>
        <w:t>, il conviendra que les conditions relatives à la compensation de droit commun soient remplies</w:t>
      </w:r>
      <w:r w:rsidR="006F7C3A" w:rsidRPr="0047770E">
        <w:rPr>
          <w:rStyle w:val="Appelnotedebasdep"/>
          <w:rFonts w:ascii="Times New Roman" w:hAnsi="Times New Roman" w:cs="Times New Roman"/>
          <w:lang w:val="fr-FR"/>
        </w:rPr>
        <w:footnoteReference w:id="46"/>
      </w:r>
      <w:r w:rsidR="000E3058" w:rsidRPr="0047770E">
        <w:rPr>
          <w:rFonts w:ascii="Times New Roman" w:hAnsi="Times New Roman" w:cs="Times New Roman"/>
          <w:lang w:val="fr-FR"/>
        </w:rPr>
        <w:t xml:space="preserve"> pour que celle-ci puisse opérer après concours, hormis l’hypothèse d’une convention de </w:t>
      </w:r>
      <w:proofErr w:type="spellStart"/>
      <w:r w:rsidR="000E3058" w:rsidRPr="0047770E">
        <w:rPr>
          <w:rFonts w:ascii="Times New Roman" w:hAnsi="Times New Roman" w:cs="Times New Roman"/>
          <w:i/>
          <w:iCs/>
          <w:lang w:val="fr-FR"/>
        </w:rPr>
        <w:t>netting</w:t>
      </w:r>
      <w:proofErr w:type="spellEnd"/>
      <w:r w:rsidR="00A24817" w:rsidRPr="0047770E">
        <w:rPr>
          <w:rStyle w:val="Appelnotedebasdep"/>
          <w:rFonts w:ascii="Times New Roman" w:hAnsi="Times New Roman" w:cs="Times New Roman"/>
          <w:lang w:val="fr-FR"/>
        </w:rPr>
        <w:footnoteReference w:id="47"/>
      </w:r>
      <w:r w:rsidR="00A24817" w:rsidRPr="0047770E">
        <w:rPr>
          <w:rFonts w:ascii="Times New Roman" w:hAnsi="Times New Roman" w:cs="Times New Roman"/>
          <w:lang w:val="fr-FR"/>
        </w:rPr>
        <w:t xml:space="preserve">. </w:t>
      </w:r>
      <w:r w:rsidR="00CB4520" w:rsidRPr="0047770E">
        <w:rPr>
          <w:rFonts w:ascii="Times New Roman" w:hAnsi="Times New Roman" w:cs="Times New Roman"/>
          <w:lang w:val="fr-FR"/>
        </w:rPr>
        <w:t>A notre estime, il n’est</w:t>
      </w:r>
      <w:r w:rsidR="00B133A7" w:rsidRPr="0047770E">
        <w:rPr>
          <w:rFonts w:ascii="Times New Roman" w:hAnsi="Times New Roman" w:cs="Times New Roman"/>
          <w:lang w:val="fr-FR"/>
        </w:rPr>
        <w:t xml:space="preserve"> cependant</w:t>
      </w:r>
      <w:r w:rsidR="00CB4520" w:rsidRPr="0047770E">
        <w:rPr>
          <w:rFonts w:ascii="Times New Roman" w:hAnsi="Times New Roman" w:cs="Times New Roman"/>
          <w:lang w:val="fr-FR"/>
        </w:rPr>
        <w:t xml:space="preserve"> pas certain que </w:t>
      </w:r>
      <w:r w:rsidR="00B133A7" w:rsidRPr="0047770E">
        <w:rPr>
          <w:rFonts w:ascii="Times New Roman" w:hAnsi="Times New Roman" w:cs="Times New Roman"/>
          <w:lang w:val="fr-FR"/>
        </w:rPr>
        <w:t>ce</w:t>
      </w:r>
      <w:r w:rsidR="00CB4520" w:rsidRPr="0047770E">
        <w:rPr>
          <w:rFonts w:ascii="Times New Roman" w:hAnsi="Times New Roman" w:cs="Times New Roman"/>
          <w:lang w:val="fr-FR"/>
        </w:rPr>
        <w:t xml:space="preserve"> privilège ne puisse porter sur l’indemnité due par l’assureur </w:t>
      </w:r>
      <w:r w:rsidR="0047770E">
        <w:rPr>
          <w:rFonts w:ascii="Times New Roman" w:hAnsi="Times New Roman" w:cs="Times New Roman"/>
          <w:lang w:val="fr-FR"/>
        </w:rPr>
        <w:t>au preneur d’assurance</w:t>
      </w:r>
      <w:r w:rsidR="00CB4520" w:rsidRPr="0047770E">
        <w:rPr>
          <w:rFonts w:ascii="Times New Roman" w:hAnsi="Times New Roman" w:cs="Times New Roman"/>
          <w:lang w:val="fr-FR"/>
        </w:rPr>
        <w:t xml:space="preserve">. </w:t>
      </w:r>
      <w:r w:rsidR="00B133A7" w:rsidRPr="0047770E">
        <w:rPr>
          <w:rFonts w:ascii="Times New Roman" w:hAnsi="Times New Roman" w:cs="Times New Roman"/>
          <w:lang w:val="fr-FR"/>
        </w:rPr>
        <w:t xml:space="preserve">En pratique, la conséquence sera toutefois identique que le privilège puisse se reporter sur l’indemnité due ou qu’une compensation ait lieu entre créances et dettes réciproques. </w:t>
      </w:r>
    </w:p>
    <w:p w14:paraId="1C3A64CF" w14:textId="77777777" w:rsidR="00B133A7" w:rsidRPr="0047770E" w:rsidRDefault="00B133A7" w:rsidP="005038B7">
      <w:pPr>
        <w:spacing w:line="276" w:lineRule="auto"/>
        <w:jc w:val="both"/>
        <w:rPr>
          <w:rFonts w:ascii="Times New Roman" w:hAnsi="Times New Roman" w:cs="Times New Roman"/>
          <w:lang w:val="fr-FR"/>
        </w:rPr>
      </w:pPr>
    </w:p>
    <w:p w14:paraId="31441DC0" w14:textId="5D8D3568" w:rsidR="009A09DF" w:rsidRDefault="009A09DF" w:rsidP="005038B7">
      <w:pPr>
        <w:spacing w:line="276" w:lineRule="auto"/>
        <w:jc w:val="both"/>
        <w:rPr>
          <w:rFonts w:ascii="Times New Roman" w:hAnsi="Times New Roman" w:cs="Times New Roman"/>
          <w:lang w:val="fr-FR"/>
        </w:rPr>
      </w:pPr>
    </w:p>
    <w:p w14:paraId="028842B7" w14:textId="17AF9D89" w:rsidR="008B0461" w:rsidRDefault="008B0461" w:rsidP="005038B7">
      <w:pPr>
        <w:spacing w:line="276" w:lineRule="auto"/>
        <w:jc w:val="both"/>
        <w:rPr>
          <w:rFonts w:ascii="Times New Roman" w:hAnsi="Times New Roman" w:cs="Times New Roman"/>
          <w:lang w:val="fr-FR"/>
        </w:rPr>
      </w:pPr>
    </w:p>
    <w:p w14:paraId="473B4B5D" w14:textId="48C70A46" w:rsidR="00CB4520" w:rsidRDefault="00CB4520" w:rsidP="005038B7">
      <w:pPr>
        <w:spacing w:line="276" w:lineRule="auto"/>
        <w:jc w:val="both"/>
        <w:rPr>
          <w:rFonts w:ascii="Times New Roman" w:hAnsi="Times New Roman" w:cs="Times New Roman"/>
          <w:lang w:val="fr-FR"/>
        </w:rPr>
      </w:pPr>
    </w:p>
    <w:p w14:paraId="16E1F0F4" w14:textId="74E58C17" w:rsidR="00CB4520" w:rsidRDefault="00CB4520" w:rsidP="005038B7">
      <w:pPr>
        <w:spacing w:line="276" w:lineRule="auto"/>
        <w:jc w:val="both"/>
        <w:rPr>
          <w:rFonts w:ascii="Times New Roman" w:hAnsi="Times New Roman" w:cs="Times New Roman"/>
          <w:lang w:val="fr-FR"/>
        </w:rPr>
      </w:pPr>
    </w:p>
    <w:p w14:paraId="253C4B30" w14:textId="151D3B98" w:rsidR="00CB4520" w:rsidRDefault="00CB4520" w:rsidP="005038B7">
      <w:pPr>
        <w:spacing w:line="276" w:lineRule="auto"/>
        <w:jc w:val="both"/>
        <w:rPr>
          <w:rFonts w:ascii="Times New Roman" w:hAnsi="Times New Roman" w:cs="Times New Roman"/>
          <w:lang w:val="fr-FR"/>
        </w:rPr>
      </w:pPr>
    </w:p>
    <w:p w14:paraId="37F3D286" w14:textId="77777777" w:rsidR="0047770E" w:rsidRDefault="0047770E" w:rsidP="005038B7">
      <w:pPr>
        <w:spacing w:line="276" w:lineRule="auto"/>
        <w:jc w:val="both"/>
        <w:rPr>
          <w:rFonts w:ascii="Times New Roman" w:hAnsi="Times New Roman" w:cs="Times New Roman"/>
          <w:lang w:val="fr-FR"/>
        </w:rPr>
      </w:pPr>
    </w:p>
    <w:p w14:paraId="76CE5B88" w14:textId="77777777" w:rsidR="0047770E" w:rsidRDefault="0047770E" w:rsidP="005038B7">
      <w:pPr>
        <w:spacing w:line="276" w:lineRule="auto"/>
        <w:jc w:val="both"/>
        <w:rPr>
          <w:rFonts w:ascii="Times New Roman" w:hAnsi="Times New Roman" w:cs="Times New Roman"/>
          <w:lang w:val="fr-FR"/>
        </w:rPr>
      </w:pPr>
    </w:p>
    <w:p w14:paraId="1D83F0D1" w14:textId="69BA370C" w:rsidR="00CB4520" w:rsidRDefault="00CB4520" w:rsidP="005038B7">
      <w:pPr>
        <w:spacing w:line="276" w:lineRule="auto"/>
        <w:jc w:val="both"/>
        <w:rPr>
          <w:rFonts w:ascii="Times New Roman" w:hAnsi="Times New Roman" w:cs="Times New Roman"/>
          <w:lang w:val="fr-FR"/>
        </w:rPr>
      </w:pPr>
    </w:p>
    <w:p w14:paraId="27DEBF3F" w14:textId="275B9F57" w:rsidR="00CB4520" w:rsidRDefault="00CB4520" w:rsidP="005038B7">
      <w:pPr>
        <w:spacing w:line="276" w:lineRule="auto"/>
        <w:jc w:val="both"/>
        <w:rPr>
          <w:rFonts w:ascii="Times New Roman" w:hAnsi="Times New Roman" w:cs="Times New Roman"/>
          <w:lang w:val="fr-FR"/>
        </w:rPr>
      </w:pPr>
    </w:p>
    <w:p w14:paraId="00FCA314" w14:textId="7708DAE7" w:rsidR="00CB4520" w:rsidRDefault="00CB4520" w:rsidP="005038B7">
      <w:pPr>
        <w:spacing w:line="276" w:lineRule="auto"/>
        <w:jc w:val="both"/>
        <w:rPr>
          <w:rFonts w:ascii="Times New Roman" w:hAnsi="Times New Roman" w:cs="Times New Roman"/>
          <w:lang w:val="fr-FR"/>
        </w:rPr>
      </w:pPr>
    </w:p>
    <w:p w14:paraId="29C2C94E" w14:textId="30B17E3E" w:rsidR="00CB4520" w:rsidRDefault="00CB4520" w:rsidP="005038B7">
      <w:pPr>
        <w:spacing w:line="276" w:lineRule="auto"/>
        <w:jc w:val="both"/>
        <w:rPr>
          <w:rFonts w:ascii="Times New Roman" w:hAnsi="Times New Roman" w:cs="Times New Roman"/>
          <w:lang w:val="fr-FR"/>
        </w:rPr>
      </w:pPr>
    </w:p>
    <w:p w14:paraId="2444E040" w14:textId="77777777" w:rsidR="00CB4520" w:rsidRDefault="00CB4520" w:rsidP="005038B7">
      <w:pPr>
        <w:spacing w:line="276" w:lineRule="auto"/>
        <w:jc w:val="both"/>
        <w:rPr>
          <w:rFonts w:ascii="Times New Roman" w:hAnsi="Times New Roman" w:cs="Times New Roman"/>
          <w:lang w:val="fr-FR"/>
        </w:rPr>
      </w:pPr>
    </w:p>
    <w:p w14:paraId="719B5B50" w14:textId="62A9A35D" w:rsidR="00882F15" w:rsidRDefault="00882F15" w:rsidP="00882F15">
      <w:pPr>
        <w:pStyle w:val="Paragraphedeliste"/>
        <w:numPr>
          <w:ilvl w:val="0"/>
          <w:numId w:val="11"/>
        </w:numPr>
        <w:spacing w:line="276" w:lineRule="auto"/>
        <w:jc w:val="both"/>
        <w:rPr>
          <w:rFonts w:ascii="Times New Roman" w:hAnsi="Times New Roman" w:cs="Times New Roman"/>
          <w:b/>
          <w:bCs/>
          <w:lang w:val="fr-FR"/>
        </w:rPr>
      </w:pPr>
      <w:r>
        <w:rPr>
          <w:rFonts w:ascii="Times New Roman" w:hAnsi="Times New Roman" w:cs="Times New Roman"/>
          <w:b/>
          <w:bCs/>
          <w:lang w:val="fr-FR"/>
        </w:rPr>
        <w:t xml:space="preserve">Le gage portant sur un bien meuble corporel </w:t>
      </w:r>
    </w:p>
    <w:p w14:paraId="6A93FAB9" w14:textId="6E140455" w:rsidR="00983DD0" w:rsidRDefault="00983DD0" w:rsidP="005038B7">
      <w:pPr>
        <w:spacing w:line="276" w:lineRule="auto"/>
        <w:jc w:val="both"/>
        <w:rPr>
          <w:rFonts w:ascii="Times New Roman" w:hAnsi="Times New Roman" w:cs="Times New Roman"/>
          <w:lang w:val="fr-FR"/>
        </w:rPr>
      </w:pPr>
    </w:p>
    <w:p w14:paraId="35D15B19" w14:textId="5D2A9129" w:rsidR="005B2CAE" w:rsidRDefault="00983DD0" w:rsidP="005038B7">
      <w:pPr>
        <w:spacing w:line="276" w:lineRule="auto"/>
        <w:jc w:val="both"/>
        <w:rPr>
          <w:rFonts w:ascii="Times New Roman" w:hAnsi="Times New Roman" w:cs="Times New Roman"/>
          <w:lang w:val="fr-FR"/>
        </w:rPr>
      </w:pPr>
      <w:r>
        <w:rPr>
          <w:rFonts w:ascii="Times New Roman" w:hAnsi="Times New Roman" w:cs="Times New Roman"/>
          <w:lang w:val="fr-FR"/>
        </w:rPr>
        <w:lastRenderedPageBreak/>
        <w:t xml:space="preserve">Selon V. Nicaise, </w:t>
      </w:r>
      <w:r w:rsidR="00AF04F9">
        <w:rPr>
          <w:rFonts w:ascii="Times New Roman" w:hAnsi="Times New Roman" w:cs="Times New Roman"/>
          <w:lang w:val="fr-FR"/>
        </w:rPr>
        <w:t xml:space="preserve">que nous rejoignons, </w:t>
      </w:r>
      <w:r>
        <w:rPr>
          <w:rFonts w:ascii="Times New Roman" w:hAnsi="Times New Roman" w:cs="Times New Roman"/>
          <w:lang w:val="fr-FR"/>
        </w:rPr>
        <w:t>bien que l’article précité ne fasse pas expressément référence au créancier gagiste</w:t>
      </w:r>
      <w:r w:rsidR="00B55367">
        <w:rPr>
          <w:rFonts w:ascii="Times New Roman" w:hAnsi="Times New Roman" w:cs="Times New Roman"/>
          <w:lang w:val="fr-FR"/>
        </w:rPr>
        <w:t>,</w:t>
      </w:r>
      <w:r>
        <w:rPr>
          <w:rFonts w:ascii="Times New Roman" w:hAnsi="Times New Roman" w:cs="Times New Roman"/>
          <w:lang w:val="fr-FR"/>
        </w:rPr>
        <w:t xml:space="preserve"> dans la mesure où l’on </w:t>
      </w:r>
      <w:r w:rsidR="00A34E02">
        <w:rPr>
          <w:rFonts w:ascii="Times New Roman" w:hAnsi="Times New Roman" w:cs="Times New Roman"/>
          <w:lang w:val="fr-FR"/>
        </w:rPr>
        <w:t>peut</w:t>
      </w:r>
      <w:r>
        <w:rPr>
          <w:rFonts w:ascii="Times New Roman" w:hAnsi="Times New Roman" w:cs="Times New Roman"/>
          <w:lang w:val="fr-FR"/>
        </w:rPr>
        <w:t xml:space="preserve"> assimiler celui-ci à un privilégié spécial</w:t>
      </w:r>
      <w:r w:rsidR="001F68F5">
        <w:rPr>
          <w:rStyle w:val="Appelnotedebasdep"/>
          <w:rFonts w:ascii="Times New Roman" w:hAnsi="Times New Roman" w:cs="Times New Roman"/>
          <w:lang w:val="fr-FR"/>
        </w:rPr>
        <w:footnoteReference w:id="48"/>
      </w:r>
      <w:r>
        <w:rPr>
          <w:rFonts w:ascii="Times New Roman" w:hAnsi="Times New Roman" w:cs="Times New Roman"/>
          <w:lang w:val="fr-FR"/>
        </w:rPr>
        <w:t xml:space="preserve">, </w:t>
      </w:r>
      <w:r w:rsidR="00B366A6">
        <w:rPr>
          <w:rFonts w:ascii="Times New Roman" w:hAnsi="Times New Roman" w:cs="Times New Roman"/>
          <w:lang w:val="fr-FR"/>
        </w:rPr>
        <w:t>il est visé</w:t>
      </w:r>
      <w:r>
        <w:rPr>
          <w:rFonts w:ascii="Times New Roman" w:hAnsi="Times New Roman" w:cs="Times New Roman"/>
          <w:lang w:val="fr-FR"/>
        </w:rPr>
        <w:t xml:space="preserve"> par l’article 112 de la loi de 2014</w:t>
      </w:r>
      <w:r w:rsidR="0066694B">
        <w:rPr>
          <w:rStyle w:val="Appelnotedebasdep"/>
          <w:rFonts w:ascii="Times New Roman" w:hAnsi="Times New Roman" w:cs="Times New Roman"/>
          <w:lang w:val="fr-FR"/>
        </w:rPr>
        <w:footnoteReference w:id="49"/>
      </w:r>
      <w:r>
        <w:rPr>
          <w:rFonts w:ascii="Times New Roman" w:hAnsi="Times New Roman" w:cs="Times New Roman"/>
          <w:lang w:val="fr-FR"/>
        </w:rPr>
        <w:t>.</w:t>
      </w:r>
    </w:p>
    <w:p w14:paraId="1D9BD74E" w14:textId="77777777" w:rsidR="005B2CAE" w:rsidRDefault="005B2CAE" w:rsidP="005038B7">
      <w:pPr>
        <w:spacing w:line="276" w:lineRule="auto"/>
        <w:jc w:val="both"/>
        <w:rPr>
          <w:rFonts w:ascii="Times New Roman" w:hAnsi="Times New Roman" w:cs="Times New Roman"/>
          <w:lang w:val="fr-FR"/>
        </w:rPr>
      </w:pPr>
    </w:p>
    <w:p w14:paraId="739B80CD" w14:textId="15DFA7FC" w:rsidR="00983DD0" w:rsidRDefault="00140F30" w:rsidP="005038B7">
      <w:pPr>
        <w:spacing w:line="276" w:lineRule="auto"/>
        <w:jc w:val="both"/>
        <w:rPr>
          <w:rFonts w:ascii="Times New Roman" w:hAnsi="Times New Roman" w:cs="Times New Roman"/>
          <w:lang w:val="fr-FR"/>
        </w:rPr>
      </w:pPr>
      <w:r>
        <w:rPr>
          <w:rFonts w:ascii="Times New Roman" w:hAnsi="Times New Roman" w:cs="Times New Roman"/>
          <w:lang w:val="fr-FR"/>
        </w:rPr>
        <w:t>A considérer</w:t>
      </w:r>
      <w:r w:rsidR="00E707B1">
        <w:rPr>
          <w:rFonts w:ascii="Times New Roman" w:hAnsi="Times New Roman" w:cs="Times New Roman"/>
          <w:lang w:val="fr-FR"/>
        </w:rPr>
        <w:t xml:space="preserve"> même</w:t>
      </w:r>
      <w:r>
        <w:rPr>
          <w:rFonts w:ascii="Times New Roman" w:hAnsi="Times New Roman" w:cs="Times New Roman"/>
          <w:lang w:val="fr-FR"/>
        </w:rPr>
        <w:t xml:space="preserve"> que </w:t>
      </w:r>
      <w:r w:rsidR="00E707B1">
        <w:rPr>
          <w:rFonts w:ascii="Times New Roman" w:hAnsi="Times New Roman" w:cs="Times New Roman"/>
          <w:lang w:val="fr-FR"/>
        </w:rPr>
        <w:t xml:space="preserve">ce </w:t>
      </w:r>
      <w:r>
        <w:rPr>
          <w:rFonts w:ascii="Times New Roman" w:hAnsi="Times New Roman" w:cs="Times New Roman"/>
          <w:lang w:val="fr-FR"/>
        </w:rPr>
        <w:t xml:space="preserve">créancier ne soit pas visé par l’article 112, </w:t>
      </w:r>
      <w:r w:rsidR="00E707B1">
        <w:rPr>
          <w:rFonts w:ascii="Times New Roman" w:hAnsi="Times New Roman" w:cs="Times New Roman"/>
          <w:lang w:val="fr-FR"/>
        </w:rPr>
        <w:t>il</w:t>
      </w:r>
      <w:r>
        <w:rPr>
          <w:rFonts w:ascii="Times New Roman" w:hAnsi="Times New Roman" w:cs="Times New Roman"/>
          <w:lang w:val="fr-FR"/>
        </w:rPr>
        <w:t xml:space="preserve"> pourrait toutefois bénéficier du bénéfice de la subrogation réelle tel que prévu par l’article 9 </w:t>
      </w:r>
      <w:r w:rsidR="00433202">
        <w:rPr>
          <w:rFonts w:ascii="Times New Roman" w:hAnsi="Times New Roman" w:cs="Times New Roman"/>
          <w:lang w:val="fr-FR"/>
        </w:rPr>
        <w:t>du titre XVII du livre III de l’ancien Code civil, lequel dispose « </w:t>
      </w:r>
      <w:r w:rsidR="00433202" w:rsidRPr="00433202">
        <w:rPr>
          <w:rFonts w:ascii="Times New Roman" w:hAnsi="Times New Roman" w:cs="Times New Roman"/>
          <w:i/>
          <w:iCs/>
          <w:lang w:val="fr-FR"/>
        </w:rPr>
        <w:t>le gage s’étend à toutes les créances qui se substituent aux biens grevés, parmi lesquels les créances résultant de la cession de ceux-ci ainsi que celles indemnisant une perte, détérioration ou diminution de la valeur du bien grevé</w:t>
      </w:r>
      <w:r w:rsidR="00433202">
        <w:rPr>
          <w:rFonts w:ascii="Times New Roman" w:hAnsi="Times New Roman" w:cs="Times New Roman"/>
          <w:lang w:val="fr-FR"/>
        </w:rPr>
        <w:t> »</w:t>
      </w:r>
      <w:r w:rsidR="00BF2B55">
        <w:rPr>
          <w:rStyle w:val="Appelnotedebasdep"/>
          <w:rFonts w:ascii="Times New Roman" w:hAnsi="Times New Roman" w:cs="Times New Roman"/>
          <w:lang w:val="fr-FR"/>
        </w:rPr>
        <w:footnoteReference w:id="50"/>
      </w:r>
      <w:r w:rsidR="00433202">
        <w:rPr>
          <w:rFonts w:ascii="Times New Roman" w:hAnsi="Times New Roman" w:cs="Times New Roman"/>
          <w:lang w:val="fr-FR"/>
        </w:rPr>
        <w:t xml:space="preserve">. </w:t>
      </w:r>
      <w:r w:rsidR="00A3038A">
        <w:rPr>
          <w:rFonts w:ascii="Times New Roman" w:hAnsi="Times New Roman" w:cs="Times New Roman"/>
          <w:lang w:val="fr-FR"/>
        </w:rPr>
        <w:t xml:space="preserve">Cet article </w:t>
      </w:r>
      <w:r w:rsidR="00E707B1">
        <w:rPr>
          <w:rFonts w:ascii="Times New Roman" w:hAnsi="Times New Roman" w:cs="Times New Roman"/>
          <w:lang w:val="fr-FR"/>
        </w:rPr>
        <w:t>a</w:t>
      </w:r>
      <w:r w:rsidR="00B52FA6">
        <w:rPr>
          <w:rFonts w:ascii="Times New Roman" w:hAnsi="Times New Roman" w:cs="Times New Roman"/>
          <w:lang w:val="fr-FR"/>
        </w:rPr>
        <w:t>,</w:t>
      </w:r>
      <w:r w:rsidR="00E707B1">
        <w:rPr>
          <w:rFonts w:ascii="Times New Roman" w:hAnsi="Times New Roman" w:cs="Times New Roman"/>
          <w:lang w:val="fr-FR"/>
        </w:rPr>
        <w:t xml:space="preserve"> par exemple</w:t>
      </w:r>
      <w:r w:rsidR="00B52FA6">
        <w:rPr>
          <w:rFonts w:ascii="Times New Roman" w:hAnsi="Times New Roman" w:cs="Times New Roman"/>
          <w:lang w:val="fr-FR"/>
        </w:rPr>
        <w:t>,</w:t>
      </w:r>
      <w:r w:rsidR="00E707B1">
        <w:rPr>
          <w:rFonts w:ascii="Times New Roman" w:hAnsi="Times New Roman" w:cs="Times New Roman"/>
          <w:lang w:val="fr-FR"/>
        </w:rPr>
        <w:t xml:space="preserve"> vocation à s’appliquer dans </w:t>
      </w:r>
      <w:r w:rsidR="00A3038A">
        <w:rPr>
          <w:rFonts w:ascii="Times New Roman" w:hAnsi="Times New Roman" w:cs="Times New Roman"/>
          <w:lang w:val="fr-FR"/>
        </w:rPr>
        <w:t xml:space="preserve">l’hypothèse d’une indemnité due par l’assureur </w:t>
      </w:r>
      <w:r w:rsidR="00A3038A" w:rsidRPr="00A3038A">
        <w:rPr>
          <w:rFonts w:ascii="Times New Roman" w:hAnsi="Times New Roman" w:cs="Times New Roman"/>
          <w:i/>
          <w:iCs/>
          <w:lang w:val="fr-FR"/>
        </w:rPr>
        <w:t>responsabilité</w:t>
      </w:r>
      <w:r w:rsidR="00A3038A" w:rsidRPr="00CB4520">
        <w:rPr>
          <w:rStyle w:val="Appelnotedebasdep"/>
          <w:rFonts w:ascii="Times New Roman" w:hAnsi="Times New Roman" w:cs="Times New Roman"/>
          <w:lang w:val="fr-FR"/>
        </w:rPr>
        <w:footnoteReference w:id="51"/>
      </w:r>
      <w:r w:rsidR="00A3038A">
        <w:rPr>
          <w:rFonts w:ascii="Times New Roman" w:hAnsi="Times New Roman" w:cs="Times New Roman"/>
          <w:lang w:val="fr-FR"/>
        </w:rPr>
        <w:t xml:space="preserve"> à un tiers pour la perte ou la détérioration d’une chose par la faute de son assuré</w:t>
      </w:r>
      <w:r w:rsidR="00A3038A">
        <w:rPr>
          <w:rStyle w:val="Appelnotedebasdep"/>
          <w:rFonts w:ascii="Times New Roman" w:hAnsi="Times New Roman" w:cs="Times New Roman"/>
          <w:lang w:val="fr-FR"/>
        </w:rPr>
        <w:footnoteReference w:id="52"/>
      </w:r>
      <w:r w:rsidR="00A3038A">
        <w:rPr>
          <w:rFonts w:ascii="Times New Roman" w:hAnsi="Times New Roman" w:cs="Times New Roman"/>
          <w:lang w:val="fr-FR"/>
        </w:rPr>
        <w:t>.</w:t>
      </w:r>
      <w:r w:rsidR="00A74264">
        <w:rPr>
          <w:rFonts w:ascii="Times New Roman" w:hAnsi="Times New Roman" w:cs="Times New Roman"/>
          <w:lang w:val="fr-FR"/>
        </w:rPr>
        <w:t xml:space="preserve"> Ainsi, comme le constatent V. Nicaise et P. </w:t>
      </w:r>
      <w:proofErr w:type="spellStart"/>
      <w:r w:rsidR="00A74264">
        <w:rPr>
          <w:rFonts w:ascii="Times New Roman" w:hAnsi="Times New Roman" w:cs="Times New Roman"/>
          <w:lang w:val="fr-FR"/>
        </w:rPr>
        <w:t>Becue</w:t>
      </w:r>
      <w:proofErr w:type="spellEnd"/>
      <w:r w:rsidR="00A74264">
        <w:rPr>
          <w:rFonts w:ascii="Times New Roman" w:hAnsi="Times New Roman" w:cs="Times New Roman"/>
          <w:lang w:val="fr-FR"/>
        </w:rPr>
        <w:t>, même si l’assureur de responsabilité n’est pas visé par l’article 112 précité, « </w:t>
      </w:r>
      <w:r w:rsidR="00A74264" w:rsidRPr="00BF5117">
        <w:rPr>
          <w:rFonts w:ascii="Times New Roman" w:hAnsi="Times New Roman" w:cs="Times New Roman"/>
          <w:i/>
          <w:iCs/>
          <w:lang w:val="fr-FR"/>
        </w:rPr>
        <w:t>il lui appartiendra tout autant de consulter le registre des gages avant de procéder au paiement (…). La réforme consacre en effet l’application de la subrogation réelle au gage ainsi qu’à la clause de réserve de propriété</w:t>
      </w:r>
      <w:r w:rsidR="00A74264">
        <w:rPr>
          <w:rFonts w:ascii="Times New Roman" w:hAnsi="Times New Roman" w:cs="Times New Roman"/>
          <w:lang w:val="fr-FR"/>
        </w:rPr>
        <w:t xml:space="preserve"> (article 9 du titre XVII et 70) »</w:t>
      </w:r>
      <w:r w:rsidR="00E707B1">
        <w:rPr>
          <w:rStyle w:val="Appelnotedebasdep"/>
          <w:rFonts w:ascii="Times New Roman" w:hAnsi="Times New Roman" w:cs="Times New Roman"/>
          <w:lang w:val="fr-FR"/>
        </w:rPr>
        <w:footnoteReference w:id="53"/>
      </w:r>
      <w:r w:rsidR="00A74264">
        <w:rPr>
          <w:rFonts w:ascii="Times New Roman" w:hAnsi="Times New Roman" w:cs="Times New Roman"/>
          <w:lang w:val="fr-FR"/>
        </w:rPr>
        <w:t>.</w:t>
      </w:r>
    </w:p>
    <w:p w14:paraId="3EF88226" w14:textId="5EA5B1B6" w:rsidR="00983DD0" w:rsidRDefault="00983DD0" w:rsidP="005038B7">
      <w:pPr>
        <w:spacing w:line="276" w:lineRule="auto"/>
        <w:jc w:val="both"/>
        <w:rPr>
          <w:rFonts w:ascii="Times New Roman" w:hAnsi="Times New Roman" w:cs="Times New Roman"/>
          <w:lang w:val="fr-FR"/>
        </w:rPr>
      </w:pPr>
    </w:p>
    <w:p w14:paraId="66120F39" w14:textId="77777777" w:rsidR="006A5A1D" w:rsidRDefault="00D6414C" w:rsidP="005038B7">
      <w:pPr>
        <w:spacing w:line="276" w:lineRule="auto"/>
        <w:jc w:val="both"/>
        <w:rPr>
          <w:rFonts w:ascii="Times New Roman" w:hAnsi="Times New Roman" w:cs="Times New Roman"/>
          <w:lang w:val="fr-FR"/>
        </w:rPr>
      </w:pPr>
      <w:r>
        <w:rPr>
          <w:rFonts w:ascii="Times New Roman" w:hAnsi="Times New Roman" w:cs="Times New Roman"/>
          <w:lang w:val="fr-FR"/>
        </w:rPr>
        <w:t xml:space="preserve">La présente contribution s’intéresse au cas de l’immeuble sinistré. Le gage, sûreté réelle mobilière, </w:t>
      </w:r>
      <w:r w:rsidR="003C5D19">
        <w:rPr>
          <w:rFonts w:ascii="Times New Roman" w:hAnsi="Times New Roman" w:cs="Times New Roman"/>
          <w:lang w:val="fr-FR"/>
        </w:rPr>
        <w:t>subsiste toutefois en cas d’immobilisation du bien. En effet</w:t>
      </w:r>
      <w:r w:rsidR="00A2786B">
        <w:rPr>
          <w:rFonts w:ascii="Times New Roman" w:hAnsi="Times New Roman" w:cs="Times New Roman"/>
          <w:lang w:val="fr-FR"/>
        </w:rPr>
        <w:t xml:space="preserve">, l’article 19 du chapitre de l’ancien Code civil consacré au gage prévoit que l’immobilisation n’affecte pas le droit du créancier gagiste d’être payé par préférence sur le produit du bien grevé de la sûreté. L’article </w:t>
      </w:r>
      <w:r w:rsidR="00A2786B">
        <w:rPr>
          <w:rFonts w:ascii="Times New Roman" w:hAnsi="Times New Roman" w:cs="Times New Roman"/>
          <w:lang w:val="fr-FR"/>
        </w:rPr>
        <w:lastRenderedPageBreak/>
        <w:t xml:space="preserve">précité ne distingue pas selon les hypothèses d’immobilisation visées à l’article 3.47 du Code civil. </w:t>
      </w:r>
    </w:p>
    <w:p w14:paraId="3041EF31" w14:textId="77777777" w:rsidR="00806A36" w:rsidRDefault="00806A36" w:rsidP="005038B7">
      <w:pPr>
        <w:spacing w:line="276" w:lineRule="auto"/>
        <w:jc w:val="both"/>
        <w:rPr>
          <w:rFonts w:ascii="Times New Roman" w:hAnsi="Times New Roman" w:cs="Times New Roman"/>
          <w:lang w:val="fr-FR"/>
        </w:rPr>
      </w:pPr>
    </w:p>
    <w:p w14:paraId="1BD4FF5E" w14:textId="77777777" w:rsidR="00A65280" w:rsidRDefault="00A2786B" w:rsidP="005038B7">
      <w:pPr>
        <w:spacing w:line="276" w:lineRule="auto"/>
        <w:jc w:val="both"/>
        <w:rPr>
          <w:rFonts w:ascii="Times New Roman" w:hAnsi="Times New Roman" w:cs="Times New Roman"/>
          <w:lang w:val="fr-FR"/>
        </w:rPr>
      </w:pPr>
      <w:r>
        <w:rPr>
          <w:rFonts w:ascii="Times New Roman" w:hAnsi="Times New Roman" w:cs="Times New Roman"/>
          <w:lang w:val="fr-FR"/>
        </w:rPr>
        <w:t xml:space="preserve">Le gage, </w:t>
      </w:r>
      <w:r w:rsidR="00806A36" w:rsidRPr="00806A36">
        <w:rPr>
          <w:rFonts w:ascii="Times New Roman" w:hAnsi="Times New Roman" w:cs="Times New Roman"/>
          <w:i/>
          <w:iCs/>
          <w:lang w:val="fr-FR"/>
        </w:rPr>
        <w:t xml:space="preserve">de lege </w:t>
      </w:r>
      <w:proofErr w:type="spellStart"/>
      <w:r w:rsidR="00806A36" w:rsidRPr="00806A36">
        <w:rPr>
          <w:rFonts w:ascii="Times New Roman" w:hAnsi="Times New Roman" w:cs="Times New Roman"/>
          <w:i/>
          <w:iCs/>
          <w:lang w:val="fr-FR"/>
        </w:rPr>
        <w:t>lata</w:t>
      </w:r>
      <w:proofErr w:type="spellEnd"/>
      <w:r>
        <w:rPr>
          <w:rFonts w:ascii="Times New Roman" w:hAnsi="Times New Roman" w:cs="Times New Roman"/>
          <w:lang w:val="fr-FR"/>
        </w:rPr>
        <w:t>, fait l’objet, en principe, d’un enregistrement dans le Registre des gages et de la clause de réserve de propriété</w:t>
      </w:r>
      <w:r>
        <w:rPr>
          <w:rStyle w:val="Appelnotedebasdep"/>
          <w:rFonts w:ascii="Times New Roman" w:hAnsi="Times New Roman" w:cs="Times New Roman"/>
          <w:lang w:val="fr-FR"/>
        </w:rPr>
        <w:footnoteReference w:id="54"/>
      </w:r>
      <w:r>
        <w:rPr>
          <w:rFonts w:ascii="Times New Roman" w:hAnsi="Times New Roman" w:cs="Times New Roman"/>
          <w:lang w:val="fr-FR"/>
        </w:rPr>
        <w:t xml:space="preserve">. Ainsi, </w:t>
      </w:r>
      <w:r w:rsidR="00EC0356">
        <w:rPr>
          <w:rFonts w:ascii="Times New Roman" w:hAnsi="Times New Roman" w:cs="Times New Roman"/>
          <w:lang w:val="fr-FR"/>
        </w:rPr>
        <w:t xml:space="preserve">le paiement de l’indemnité fait à l’assuré ne libèrera pas l’assureur nonobstant l’absence d’opposition du créancier gagiste dès lors que la sûreté de ce créancier fait l’objet d’une publicité au sens de l’article 112 de la loi de 2014. </w:t>
      </w:r>
      <w:r w:rsidR="00C570E7">
        <w:rPr>
          <w:rFonts w:ascii="Times New Roman" w:hAnsi="Times New Roman" w:cs="Times New Roman"/>
          <w:lang w:val="fr-FR"/>
        </w:rPr>
        <w:t>Il convient ainsi pour l’assureur de s’enquérir de l’existence d’un gage sur le bien meuble immobilisé en consultant à cet effet le Registre des gages</w:t>
      </w:r>
      <w:r w:rsidR="00667590">
        <w:rPr>
          <w:rStyle w:val="Appelnotedebasdep"/>
          <w:rFonts w:ascii="Times New Roman" w:hAnsi="Times New Roman" w:cs="Times New Roman"/>
          <w:lang w:val="fr-FR"/>
        </w:rPr>
        <w:footnoteReference w:id="55"/>
      </w:r>
      <w:r w:rsidR="00C570E7">
        <w:rPr>
          <w:rFonts w:ascii="Times New Roman" w:hAnsi="Times New Roman" w:cs="Times New Roman"/>
          <w:lang w:val="fr-FR"/>
        </w:rPr>
        <w:t>. Rien n’exclut toutefois</w:t>
      </w:r>
      <w:r w:rsidR="00882F15">
        <w:rPr>
          <w:rFonts w:ascii="Times New Roman" w:hAnsi="Times New Roman" w:cs="Times New Roman"/>
          <w:lang w:val="fr-FR"/>
        </w:rPr>
        <w:t xml:space="preserve"> </w:t>
      </w:r>
      <w:r w:rsidR="00C570E7">
        <w:rPr>
          <w:rFonts w:ascii="Times New Roman" w:hAnsi="Times New Roman" w:cs="Times New Roman"/>
          <w:lang w:val="fr-FR"/>
        </w:rPr>
        <w:t>qu’en pratique, à l’instar de c</w:t>
      </w:r>
      <w:r w:rsidR="00882F15">
        <w:rPr>
          <w:rFonts w:ascii="Times New Roman" w:hAnsi="Times New Roman" w:cs="Times New Roman"/>
          <w:lang w:val="fr-FR"/>
        </w:rPr>
        <w:t>e</w:t>
      </w:r>
      <w:r w:rsidR="00C570E7">
        <w:rPr>
          <w:rFonts w:ascii="Times New Roman" w:hAnsi="Times New Roman" w:cs="Times New Roman"/>
          <w:lang w:val="fr-FR"/>
        </w:rPr>
        <w:t xml:space="preserve"> qui s’est développé pour le créancier hypothécaire, </w:t>
      </w:r>
      <w:r w:rsidR="00882F15">
        <w:rPr>
          <w:rFonts w:ascii="Times New Roman" w:hAnsi="Times New Roman" w:cs="Times New Roman"/>
          <w:lang w:val="fr-FR"/>
        </w:rPr>
        <w:t xml:space="preserve">que l’obligation active de recherche de la sûreté </w:t>
      </w:r>
      <w:r w:rsidR="00F34720">
        <w:rPr>
          <w:rFonts w:ascii="Times New Roman" w:hAnsi="Times New Roman" w:cs="Times New Roman"/>
          <w:lang w:val="fr-FR"/>
        </w:rPr>
        <w:t xml:space="preserve">soit transférée à l’assuré, l’assureur suspendant ainsi le paiement </w:t>
      </w:r>
    </w:p>
    <w:p w14:paraId="61D352E3" w14:textId="2FF6DC7B" w:rsidR="00F34720" w:rsidRDefault="00A65280" w:rsidP="005038B7">
      <w:pPr>
        <w:spacing w:line="276" w:lineRule="auto"/>
        <w:jc w:val="both"/>
        <w:rPr>
          <w:rFonts w:ascii="Times New Roman" w:hAnsi="Times New Roman" w:cs="Times New Roman"/>
          <w:lang w:val="fr-FR"/>
        </w:rPr>
      </w:pPr>
      <w:r>
        <w:rPr>
          <w:rFonts w:ascii="Times New Roman" w:hAnsi="Times New Roman" w:cs="Times New Roman"/>
          <w:lang w:val="fr-FR"/>
        </w:rPr>
        <w:t xml:space="preserve">de </w:t>
      </w:r>
      <w:r w:rsidR="00F34720">
        <w:rPr>
          <w:rFonts w:ascii="Times New Roman" w:hAnsi="Times New Roman" w:cs="Times New Roman"/>
          <w:lang w:val="fr-FR"/>
        </w:rPr>
        <w:t>l’indemnité jusqu’à</w:t>
      </w:r>
      <w:r>
        <w:rPr>
          <w:rFonts w:ascii="Times New Roman" w:hAnsi="Times New Roman" w:cs="Times New Roman"/>
          <w:lang w:val="fr-FR"/>
        </w:rPr>
        <w:t xml:space="preserve"> ce que</w:t>
      </w:r>
      <w:r w:rsidR="00F34720">
        <w:rPr>
          <w:rFonts w:ascii="Times New Roman" w:hAnsi="Times New Roman" w:cs="Times New Roman"/>
          <w:lang w:val="fr-FR"/>
        </w:rPr>
        <w:t xml:space="preserve"> l’information issue du Registre des gages lui s</w:t>
      </w:r>
      <w:r>
        <w:rPr>
          <w:rFonts w:ascii="Times New Roman" w:hAnsi="Times New Roman" w:cs="Times New Roman"/>
          <w:lang w:val="fr-FR"/>
        </w:rPr>
        <w:t xml:space="preserve">oit </w:t>
      </w:r>
      <w:r w:rsidR="00F34720">
        <w:rPr>
          <w:rFonts w:ascii="Times New Roman" w:hAnsi="Times New Roman" w:cs="Times New Roman"/>
          <w:lang w:val="fr-FR"/>
        </w:rPr>
        <w:t xml:space="preserve">transmise par l’assuré. </w:t>
      </w:r>
    </w:p>
    <w:p w14:paraId="26297F57" w14:textId="2106FE81" w:rsidR="00EC0356" w:rsidRDefault="00EC0356" w:rsidP="005038B7">
      <w:pPr>
        <w:spacing w:line="276" w:lineRule="auto"/>
        <w:jc w:val="both"/>
        <w:rPr>
          <w:rFonts w:ascii="Times New Roman" w:hAnsi="Times New Roman" w:cs="Times New Roman"/>
          <w:lang w:val="fr-FR"/>
        </w:rPr>
      </w:pPr>
    </w:p>
    <w:p w14:paraId="245E62CC" w14:textId="59FC462F" w:rsidR="00EC0356" w:rsidRDefault="00EC0356" w:rsidP="005038B7">
      <w:pPr>
        <w:spacing w:line="276" w:lineRule="auto"/>
        <w:jc w:val="both"/>
        <w:rPr>
          <w:rFonts w:ascii="Times New Roman" w:hAnsi="Times New Roman" w:cs="Times New Roman"/>
          <w:lang w:val="fr-FR"/>
        </w:rPr>
      </w:pPr>
      <w:r>
        <w:rPr>
          <w:rFonts w:ascii="Times New Roman" w:hAnsi="Times New Roman" w:cs="Times New Roman"/>
          <w:lang w:val="fr-FR"/>
        </w:rPr>
        <w:t>En cas de conflit avec le créancier hypothécaire, il conviendra d’appliquer l’article 57, alinéa 4, du titre XVII du livre III de l’ancien Code civil</w:t>
      </w:r>
      <w:r w:rsidR="00BD66AD">
        <w:rPr>
          <w:rFonts w:ascii="Times New Roman" w:hAnsi="Times New Roman" w:cs="Times New Roman"/>
          <w:lang w:val="fr-FR"/>
        </w:rPr>
        <w:t>,</w:t>
      </w:r>
      <w:r>
        <w:rPr>
          <w:rFonts w:ascii="Times New Roman" w:hAnsi="Times New Roman" w:cs="Times New Roman"/>
          <w:lang w:val="fr-FR"/>
        </w:rPr>
        <w:t xml:space="preserve"> qui impose d’appliquer la règle d’antériorité en comparant la date d’enregistrement du gage et celle de l’inscription hypothécaire étant entendu que le droit du créancier gagiste s’exerce sur la partie du prix de vente qui correspond à la valeur du bien donné en gage</w:t>
      </w:r>
      <w:r>
        <w:rPr>
          <w:rStyle w:val="Appelnotedebasdep"/>
          <w:rFonts w:ascii="Times New Roman" w:hAnsi="Times New Roman" w:cs="Times New Roman"/>
          <w:lang w:val="fr-FR"/>
        </w:rPr>
        <w:footnoteReference w:id="56"/>
      </w:r>
      <w:r>
        <w:rPr>
          <w:rFonts w:ascii="Times New Roman" w:hAnsi="Times New Roman" w:cs="Times New Roman"/>
          <w:lang w:val="fr-FR"/>
        </w:rPr>
        <w:t xml:space="preserve">. </w:t>
      </w:r>
    </w:p>
    <w:p w14:paraId="12D90146" w14:textId="2A12A68F" w:rsidR="00EC0356" w:rsidRDefault="00EC0356" w:rsidP="005038B7">
      <w:pPr>
        <w:spacing w:line="276" w:lineRule="auto"/>
        <w:jc w:val="both"/>
        <w:rPr>
          <w:rFonts w:ascii="Times New Roman" w:hAnsi="Times New Roman" w:cs="Times New Roman"/>
          <w:lang w:val="fr-FR"/>
        </w:rPr>
      </w:pPr>
    </w:p>
    <w:p w14:paraId="47F47B22" w14:textId="77777777" w:rsidR="00521316" w:rsidRDefault="00521316" w:rsidP="005038B7">
      <w:pPr>
        <w:spacing w:line="276" w:lineRule="auto"/>
        <w:jc w:val="both"/>
        <w:rPr>
          <w:rFonts w:ascii="Times New Roman" w:hAnsi="Times New Roman" w:cs="Times New Roman"/>
          <w:lang w:val="fr-FR"/>
        </w:rPr>
      </w:pPr>
    </w:p>
    <w:p w14:paraId="6A540C99" w14:textId="3C08DAFF" w:rsidR="00BF5117" w:rsidRPr="00290DDF" w:rsidRDefault="00BF5117" w:rsidP="003E0BE8">
      <w:pPr>
        <w:pStyle w:val="Paragraphedeliste"/>
        <w:numPr>
          <w:ilvl w:val="0"/>
          <w:numId w:val="11"/>
        </w:numPr>
        <w:spacing w:line="276" w:lineRule="auto"/>
        <w:jc w:val="both"/>
        <w:rPr>
          <w:rFonts w:ascii="Times New Roman" w:hAnsi="Times New Roman" w:cs="Times New Roman"/>
          <w:b/>
          <w:bCs/>
          <w:lang w:val="fr-FR"/>
        </w:rPr>
      </w:pPr>
      <w:r w:rsidRPr="00290DDF">
        <w:rPr>
          <w:rFonts w:ascii="Times New Roman" w:hAnsi="Times New Roman" w:cs="Times New Roman"/>
          <w:b/>
          <w:bCs/>
          <w:lang w:val="fr-FR"/>
        </w:rPr>
        <w:t>L</w:t>
      </w:r>
      <w:r w:rsidR="002E4462">
        <w:rPr>
          <w:rFonts w:ascii="Times New Roman" w:hAnsi="Times New Roman" w:cs="Times New Roman"/>
          <w:b/>
          <w:bCs/>
          <w:lang w:val="fr-FR"/>
        </w:rPr>
        <w:t xml:space="preserve">e créancier réservataire </w:t>
      </w:r>
    </w:p>
    <w:p w14:paraId="0FEAC6FE" w14:textId="68A4E5A8" w:rsidR="00A207DA" w:rsidRDefault="00A207DA" w:rsidP="005038B7">
      <w:pPr>
        <w:spacing w:line="276" w:lineRule="auto"/>
        <w:jc w:val="both"/>
        <w:rPr>
          <w:rFonts w:ascii="Times New Roman" w:hAnsi="Times New Roman" w:cs="Times New Roman"/>
          <w:b/>
          <w:bCs/>
          <w:lang w:val="fr-FR"/>
        </w:rPr>
      </w:pPr>
    </w:p>
    <w:p w14:paraId="3C5A13A3" w14:textId="42725243" w:rsidR="00BF5117" w:rsidRDefault="00A207DA" w:rsidP="005038B7">
      <w:pPr>
        <w:spacing w:line="276" w:lineRule="auto"/>
        <w:jc w:val="both"/>
        <w:rPr>
          <w:rFonts w:ascii="Times New Roman" w:hAnsi="Times New Roman" w:cs="Times New Roman"/>
          <w:lang w:val="fr-FR"/>
        </w:rPr>
      </w:pPr>
      <w:r>
        <w:rPr>
          <w:rFonts w:ascii="Times New Roman" w:hAnsi="Times New Roman" w:cs="Times New Roman"/>
          <w:lang w:val="fr-FR"/>
        </w:rPr>
        <w:t xml:space="preserve">A l’instar du créancier gagiste, </w:t>
      </w:r>
      <w:r w:rsidR="00A74264">
        <w:rPr>
          <w:rFonts w:ascii="Times New Roman" w:hAnsi="Times New Roman" w:cs="Times New Roman"/>
          <w:lang w:val="fr-FR"/>
        </w:rPr>
        <w:t>le réservataire, titulaire d’une sûreté réelle</w:t>
      </w:r>
      <w:r w:rsidR="00A74264">
        <w:rPr>
          <w:rStyle w:val="Appelnotedebasdep"/>
          <w:rFonts w:ascii="Times New Roman" w:hAnsi="Times New Roman" w:cs="Times New Roman"/>
          <w:lang w:val="fr-FR"/>
        </w:rPr>
        <w:footnoteReference w:id="57"/>
      </w:r>
      <w:r w:rsidR="00A74264">
        <w:rPr>
          <w:rFonts w:ascii="Times New Roman" w:hAnsi="Times New Roman" w:cs="Times New Roman"/>
          <w:lang w:val="fr-FR"/>
        </w:rPr>
        <w:t>, n’est, en opérant une lecture littérale de l’article 112 de la L.A., pas visé par cette disposition. En effet, ce dernier ne peut</w:t>
      </w:r>
      <w:r w:rsidR="00A65280">
        <w:rPr>
          <w:rFonts w:ascii="Times New Roman" w:hAnsi="Times New Roman" w:cs="Times New Roman"/>
          <w:lang w:val="fr-FR"/>
        </w:rPr>
        <w:t>, au sens strict,</w:t>
      </w:r>
      <w:r w:rsidR="00A74264">
        <w:rPr>
          <w:rFonts w:ascii="Times New Roman" w:hAnsi="Times New Roman" w:cs="Times New Roman"/>
          <w:lang w:val="fr-FR"/>
        </w:rPr>
        <w:t xml:space="preserve"> être considéré comme un créancier privilégié. </w:t>
      </w:r>
      <w:r>
        <w:rPr>
          <w:rFonts w:ascii="Times New Roman" w:hAnsi="Times New Roman" w:cs="Times New Roman"/>
          <w:lang w:val="fr-FR"/>
        </w:rPr>
        <w:t xml:space="preserve">Faut-il en déduire qu’il serait exclu de cette disposition ? </w:t>
      </w:r>
      <w:r w:rsidR="00635C4F">
        <w:rPr>
          <w:rFonts w:ascii="Times New Roman" w:hAnsi="Times New Roman" w:cs="Times New Roman"/>
          <w:lang w:val="fr-FR"/>
        </w:rPr>
        <w:t>Nous ne le pensons pas</w:t>
      </w:r>
      <w:r w:rsidR="00A74264">
        <w:rPr>
          <w:rFonts w:ascii="Times New Roman" w:hAnsi="Times New Roman" w:cs="Times New Roman"/>
          <w:lang w:val="fr-FR"/>
        </w:rPr>
        <w:t>. Par ailleurs, tout comme</w:t>
      </w:r>
      <w:r w:rsidR="002E4462">
        <w:rPr>
          <w:rFonts w:ascii="Times New Roman" w:hAnsi="Times New Roman" w:cs="Times New Roman"/>
          <w:lang w:val="fr-FR"/>
        </w:rPr>
        <w:t xml:space="preserve"> le</w:t>
      </w:r>
      <w:r w:rsidR="00A74264">
        <w:rPr>
          <w:rFonts w:ascii="Times New Roman" w:hAnsi="Times New Roman" w:cs="Times New Roman"/>
          <w:lang w:val="fr-FR"/>
        </w:rPr>
        <w:t xml:space="preserve"> créancier</w:t>
      </w:r>
      <w:r w:rsidR="002E4462">
        <w:rPr>
          <w:rFonts w:ascii="Times New Roman" w:hAnsi="Times New Roman" w:cs="Times New Roman"/>
          <w:lang w:val="fr-FR"/>
        </w:rPr>
        <w:t xml:space="preserve"> </w:t>
      </w:r>
      <w:r w:rsidR="002E4462">
        <w:rPr>
          <w:rFonts w:ascii="Times New Roman" w:hAnsi="Times New Roman" w:cs="Times New Roman"/>
          <w:lang w:val="fr-FR"/>
        </w:rPr>
        <w:lastRenderedPageBreak/>
        <w:t>gagiste</w:t>
      </w:r>
      <w:r w:rsidR="00A74264">
        <w:rPr>
          <w:rFonts w:ascii="Times New Roman" w:hAnsi="Times New Roman" w:cs="Times New Roman"/>
          <w:lang w:val="fr-FR"/>
        </w:rPr>
        <w:t xml:space="preserve">, le réservataire bénéficie d’une application particulière de la subrogation réelle prévue aux articles </w:t>
      </w:r>
      <w:r w:rsidR="00A80EFF">
        <w:rPr>
          <w:rFonts w:ascii="Times New Roman" w:hAnsi="Times New Roman" w:cs="Times New Roman"/>
          <w:lang w:val="fr-FR"/>
        </w:rPr>
        <w:t>9 et 70 du titre XVII du livre III de l’ancien Code civil</w:t>
      </w:r>
      <w:r w:rsidR="00A80EFF">
        <w:rPr>
          <w:rStyle w:val="Appelnotedebasdep"/>
          <w:rFonts w:ascii="Times New Roman" w:hAnsi="Times New Roman" w:cs="Times New Roman"/>
          <w:lang w:val="fr-FR"/>
        </w:rPr>
        <w:footnoteReference w:id="58"/>
      </w:r>
      <w:r w:rsidR="00A80EFF">
        <w:rPr>
          <w:rFonts w:ascii="Times New Roman" w:hAnsi="Times New Roman" w:cs="Times New Roman"/>
          <w:lang w:val="fr-FR"/>
        </w:rPr>
        <w:t xml:space="preserve">. </w:t>
      </w:r>
    </w:p>
    <w:p w14:paraId="77176B1B" w14:textId="5874D129" w:rsidR="00746EC6" w:rsidRDefault="00746EC6" w:rsidP="005038B7">
      <w:pPr>
        <w:spacing w:line="276" w:lineRule="auto"/>
        <w:jc w:val="both"/>
        <w:rPr>
          <w:rFonts w:ascii="Times New Roman" w:hAnsi="Times New Roman" w:cs="Times New Roman"/>
          <w:lang w:val="fr-FR"/>
        </w:rPr>
      </w:pPr>
    </w:p>
    <w:p w14:paraId="30ACBB9B" w14:textId="450FBA45" w:rsidR="00814E1B" w:rsidRDefault="00746EC6" w:rsidP="005038B7">
      <w:pPr>
        <w:spacing w:line="276" w:lineRule="auto"/>
        <w:jc w:val="both"/>
        <w:rPr>
          <w:rFonts w:ascii="Times New Roman" w:hAnsi="Times New Roman" w:cs="Times New Roman"/>
          <w:lang w:val="fr-FR"/>
        </w:rPr>
      </w:pPr>
      <w:r>
        <w:rPr>
          <w:rFonts w:ascii="Times New Roman" w:hAnsi="Times New Roman" w:cs="Times New Roman"/>
          <w:lang w:val="fr-FR"/>
        </w:rPr>
        <w:t>En cas d</w:t>
      </w:r>
      <w:r w:rsidR="00BF2B55">
        <w:rPr>
          <w:rFonts w:ascii="Times New Roman" w:hAnsi="Times New Roman" w:cs="Times New Roman"/>
          <w:lang w:val="fr-FR"/>
        </w:rPr>
        <w:t>e conflit avec le créancier hypothécaire</w:t>
      </w:r>
      <w:r w:rsidR="003B6F29">
        <w:rPr>
          <w:rStyle w:val="Appelnotedebasdep"/>
          <w:rFonts w:ascii="Times New Roman" w:hAnsi="Times New Roman" w:cs="Times New Roman"/>
          <w:lang w:val="fr-FR"/>
        </w:rPr>
        <w:footnoteReference w:id="59"/>
      </w:r>
      <w:r w:rsidR="00BF2B55">
        <w:rPr>
          <w:rFonts w:ascii="Times New Roman" w:hAnsi="Times New Roman" w:cs="Times New Roman"/>
          <w:lang w:val="fr-FR"/>
        </w:rPr>
        <w:t>, trois thèses sont actuellement envisagées par la doctrine. La première consiste à conférer une primauté au vendeur réservataire</w:t>
      </w:r>
      <w:r w:rsidR="00350CDE">
        <w:rPr>
          <w:rStyle w:val="Appelnotedebasdep"/>
          <w:rFonts w:ascii="Times New Roman" w:hAnsi="Times New Roman" w:cs="Times New Roman"/>
          <w:lang w:val="fr-FR"/>
        </w:rPr>
        <w:footnoteReference w:id="60"/>
      </w:r>
      <w:r w:rsidR="00640238">
        <w:rPr>
          <w:rFonts w:ascii="Times New Roman" w:hAnsi="Times New Roman" w:cs="Times New Roman"/>
          <w:lang w:val="fr-FR"/>
        </w:rPr>
        <w:t xml:space="preserve">. La </w:t>
      </w:r>
      <w:r w:rsidR="002E4462">
        <w:rPr>
          <w:rFonts w:ascii="Times New Roman" w:hAnsi="Times New Roman" w:cs="Times New Roman"/>
          <w:lang w:val="fr-FR"/>
        </w:rPr>
        <w:t>seconde propose</w:t>
      </w:r>
      <w:r w:rsidR="00640238">
        <w:rPr>
          <w:rFonts w:ascii="Times New Roman" w:hAnsi="Times New Roman" w:cs="Times New Roman"/>
          <w:lang w:val="fr-FR"/>
        </w:rPr>
        <w:t xml:space="preserve"> de comparer la date d’inscription hypothécaire et celle de l’enregistrement de la clause de réserve de propriété, à l’instar de ce qui est applicable en matière de gage</w:t>
      </w:r>
      <w:r w:rsidR="00640238">
        <w:rPr>
          <w:rStyle w:val="Appelnotedebasdep"/>
          <w:rFonts w:ascii="Times New Roman" w:hAnsi="Times New Roman" w:cs="Times New Roman"/>
          <w:lang w:val="fr-FR"/>
        </w:rPr>
        <w:footnoteReference w:id="61"/>
      </w:r>
      <w:r w:rsidR="00640238">
        <w:rPr>
          <w:rFonts w:ascii="Times New Roman" w:hAnsi="Times New Roman" w:cs="Times New Roman"/>
          <w:lang w:val="fr-FR"/>
        </w:rPr>
        <w:t xml:space="preserve">. V. Fabry </w:t>
      </w:r>
      <w:r w:rsidR="002E4462">
        <w:rPr>
          <w:rFonts w:ascii="Times New Roman" w:hAnsi="Times New Roman" w:cs="Times New Roman"/>
          <w:lang w:val="fr-FR"/>
        </w:rPr>
        <w:t>suggère</w:t>
      </w:r>
      <w:r w:rsidR="00640238">
        <w:rPr>
          <w:rFonts w:ascii="Times New Roman" w:hAnsi="Times New Roman" w:cs="Times New Roman"/>
          <w:lang w:val="fr-FR"/>
        </w:rPr>
        <w:t xml:space="preserve"> quant à lui une solution intermédiaire entre ces deux </w:t>
      </w:r>
      <w:r w:rsidR="002E4462">
        <w:rPr>
          <w:rFonts w:ascii="Times New Roman" w:hAnsi="Times New Roman" w:cs="Times New Roman"/>
          <w:lang w:val="fr-FR"/>
        </w:rPr>
        <w:t>courants doctrinaux</w:t>
      </w:r>
      <w:r w:rsidR="00640238">
        <w:rPr>
          <w:rStyle w:val="Appelnotedebasdep"/>
          <w:rFonts w:ascii="Times New Roman" w:hAnsi="Times New Roman" w:cs="Times New Roman"/>
          <w:lang w:val="fr-FR"/>
        </w:rPr>
        <w:footnoteReference w:id="62"/>
      </w:r>
      <w:r w:rsidR="00640238">
        <w:rPr>
          <w:rFonts w:ascii="Times New Roman" w:hAnsi="Times New Roman" w:cs="Times New Roman"/>
          <w:lang w:val="fr-FR"/>
        </w:rPr>
        <w:t>. Il estime ainsi qu’une priorité de principe se devrait d’être attribuée au vendeur réservataire</w:t>
      </w:r>
      <w:r w:rsidR="004B430C">
        <w:rPr>
          <w:rFonts w:ascii="Times New Roman" w:hAnsi="Times New Roman" w:cs="Times New Roman"/>
          <w:lang w:val="fr-FR"/>
        </w:rPr>
        <w:t>,</w:t>
      </w:r>
      <w:r w:rsidR="00640238">
        <w:rPr>
          <w:rFonts w:ascii="Times New Roman" w:hAnsi="Times New Roman" w:cs="Times New Roman"/>
          <w:lang w:val="fr-FR"/>
        </w:rPr>
        <w:t xml:space="preserve"> sauf dans l’hypothèse où le créancier hypothécaire a pu croire que le bien réservé a accru l’assiette de son hypothèque, sans devoir craindre le concours du créancier réservataire</w:t>
      </w:r>
      <w:r w:rsidR="004B430C">
        <w:rPr>
          <w:rFonts w:ascii="Times New Roman" w:hAnsi="Times New Roman" w:cs="Times New Roman"/>
          <w:lang w:val="fr-FR"/>
        </w:rPr>
        <w:t> ;</w:t>
      </w:r>
      <w:r w:rsidR="00640238">
        <w:rPr>
          <w:rFonts w:ascii="Times New Roman" w:hAnsi="Times New Roman" w:cs="Times New Roman"/>
          <w:lang w:val="fr-FR"/>
        </w:rPr>
        <w:t xml:space="preserve"> « </w:t>
      </w:r>
      <w:r w:rsidR="00640238" w:rsidRPr="00640238">
        <w:rPr>
          <w:rFonts w:ascii="Times New Roman" w:hAnsi="Times New Roman" w:cs="Times New Roman"/>
          <w:i/>
          <w:iCs/>
          <w:lang w:val="fr-FR"/>
        </w:rPr>
        <w:t>ainsi en ira-t-il lorsque l’enregistrement de la cause (…) intervient postérieurement à l’immobilisation par incorporation et à l’inscription hypothécaire</w:t>
      </w:r>
      <w:r w:rsidR="00640238">
        <w:rPr>
          <w:rFonts w:ascii="Times New Roman" w:hAnsi="Times New Roman" w:cs="Times New Roman"/>
          <w:lang w:val="fr-FR"/>
        </w:rPr>
        <w:t> »</w:t>
      </w:r>
      <w:r w:rsidR="00640238">
        <w:rPr>
          <w:rStyle w:val="Appelnotedebasdep"/>
          <w:rFonts w:ascii="Times New Roman" w:hAnsi="Times New Roman" w:cs="Times New Roman"/>
          <w:lang w:val="fr-FR"/>
        </w:rPr>
        <w:footnoteReference w:id="63"/>
      </w:r>
      <w:r w:rsidR="00640238">
        <w:rPr>
          <w:rFonts w:ascii="Times New Roman" w:hAnsi="Times New Roman" w:cs="Times New Roman"/>
          <w:lang w:val="fr-FR"/>
        </w:rPr>
        <w:t>.</w:t>
      </w:r>
    </w:p>
    <w:p w14:paraId="08B4C60D" w14:textId="77777777" w:rsidR="002E4462" w:rsidRPr="00814E1B" w:rsidRDefault="002E4462" w:rsidP="005038B7">
      <w:pPr>
        <w:spacing w:line="276" w:lineRule="auto"/>
        <w:jc w:val="both"/>
        <w:rPr>
          <w:rFonts w:ascii="Times New Roman" w:hAnsi="Times New Roman" w:cs="Times New Roman"/>
          <w:lang w:val="fr-FR"/>
        </w:rPr>
      </w:pPr>
    </w:p>
    <w:p w14:paraId="39197207" w14:textId="1059F493" w:rsidR="00443074" w:rsidRDefault="004A54A6" w:rsidP="003E0BE8">
      <w:pPr>
        <w:pStyle w:val="Paragraphedeliste"/>
        <w:numPr>
          <w:ilvl w:val="0"/>
          <w:numId w:val="11"/>
        </w:numPr>
        <w:spacing w:line="276" w:lineRule="auto"/>
        <w:jc w:val="both"/>
        <w:rPr>
          <w:rFonts w:ascii="Times New Roman" w:hAnsi="Times New Roman" w:cs="Times New Roman"/>
          <w:b/>
          <w:bCs/>
          <w:lang w:val="fr-FR"/>
        </w:rPr>
      </w:pPr>
      <w:r>
        <w:rPr>
          <w:rFonts w:ascii="Times New Roman" w:hAnsi="Times New Roman" w:cs="Times New Roman"/>
          <w:b/>
          <w:bCs/>
          <w:lang w:val="fr-FR"/>
        </w:rPr>
        <w:t>L</w:t>
      </w:r>
      <w:r w:rsidR="002E4462">
        <w:rPr>
          <w:rFonts w:ascii="Times New Roman" w:hAnsi="Times New Roman" w:cs="Times New Roman"/>
          <w:b/>
          <w:bCs/>
          <w:lang w:val="fr-FR"/>
        </w:rPr>
        <w:t>’</w:t>
      </w:r>
      <w:r w:rsidR="00E94DAE">
        <w:rPr>
          <w:rFonts w:ascii="Times New Roman" w:hAnsi="Times New Roman" w:cs="Times New Roman"/>
          <w:b/>
          <w:bCs/>
          <w:lang w:val="fr-FR"/>
        </w:rPr>
        <w:t>a</w:t>
      </w:r>
      <w:r w:rsidR="002E4462">
        <w:rPr>
          <w:rFonts w:ascii="Times New Roman" w:hAnsi="Times New Roman" w:cs="Times New Roman"/>
          <w:b/>
          <w:bCs/>
          <w:lang w:val="fr-FR"/>
        </w:rPr>
        <w:t xml:space="preserve">dministration fiscale </w:t>
      </w:r>
    </w:p>
    <w:p w14:paraId="698BB161" w14:textId="77777777" w:rsidR="004A54A6" w:rsidRPr="004A54A6" w:rsidRDefault="004A54A6" w:rsidP="005038B7">
      <w:pPr>
        <w:pStyle w:val="Paragraphedeliste"/>
        <w:jc w:val="both"/>
        <w:rPr>
          <w:rFonts w:ascii="Times New Roman" w:hAnsi="Times New Roman" w:cs="Times New Roman"/>
          <w:b/>
          <w:bCs/>
          <w:lang w:val="fr-FR"/>
        </w:rPr>
      </w:pPr>
    </w:p>
    <w:p w14:paraId="5F17922B" w14:textId="50D5FF5A" w:rsidR="00804086" w:rsidRDefault="0025157D" w:rsidP="00804086">
      <w:pPr>
        <w:spacing w:line="276" w:lineRule="auto"/>
        <w:jc w:val="both"/>
        <w:rPr>
          <w:rFonts w:ascii="Times New Roman" w:hAnsi="Times New Roman" w:cs="Times New Roman"/>
          <w:lang w:val="fr-FR"/>
        </w:rPr>
      </w:pPr>
      <w:r>
        <w:rPr>
          <w:rFonts w:ascii="Times New Roman" w:hAnsi="Times New Roman" w:cs="Times New Roman"/>
          <w:lang w:val="fr-FR"/>
        </w:rPr>
        <w:t>L</w:t>
      </w:r>
      <w:r w:rsidR="00CB4520">
        <w:rPr>
          <w:rFonts w:ascii="Times New Roman" w:hAnsi="Times New Roman" w:cs="Times New Roman"/>
          <w:lang w:val="fr-FR"/>
        </w:rPr>
        <w:t>e trésor</w:t>
      </w:r>
      <w:r>
        <w:rPr>
          <w:rFonts w:ascii="Times New Roman" w:hAnsi="Times New Roman" w:cs="Times New Roman"/>
          <w:lang w:val="fr-FR"/>
        </w:rPr>
        <w:t xml:space="preserve"> dispose, </w:t>
      </w:r>
      <w:r w:rsidR="00CB4520">
        <w:rPr>
          <w:rFonts w:ascii="Times New Roman" w:hAnsi="Times New Roman" w:cs="Times New Roman"/>
          <w:lang w:val="fr-FR"/>
        </w:rPr>
        <w:t xml:space="preserve">afin de garantir ses créances fiscales et non fiscales, </w:t>
      </w:r>
      <w:r>
        <w:rPr>
          <w:rFonts w:ascii="Times New Roman" w:hAnsi="Times New Roman" w:cs="Times New Roman"/>
          <w:lang w:val="fr-FR"/>
        </w:rPr>
        <w:t>de deux mécanismes préférentiels en vue de garantir sa créance</w:t>
      </w:r>
      <w:r w:rsidR="00DA26AD">
        <w:rPr>
          <w:rStyle w:val="Appelnotedebasdep"/>
          <w:rFonts w:ascii="Times New Roman" w:hAnsi="Times New Roman" w:cs="Times New Roman"/>
          <w:lang w:val="fr-FR"/>
        </w:rPr>
        <w:footnoteReference w:id="64"/>
      </w:r>
      <w:r w:rsidR="00C90912">
        <w:rPr>
          <w:rFonts w:ascii="Times New Roman" w:hAnsi="Times New Roman" w:cs="Times New Roman"/>
          <w:lang w:val="fr-FR"/>
        </w:rPr>
        <w:t xml:space="preserve">. Premièrement, </w:t>
      </w:r>
      <w:r w:rsidR="002E4462">
        <w:rPr>
          <w:rFonts w:ascii="Times New Roman" w:hAnsi="Times New Roman" w:cs="Times New Roman"/>
          <w:lang w:val="fr-FR"/>
        </w:rPr>
        <w:t xml:space="preserve">la faculté lui est offerte d’inscrire une </w:t>
      </w:r>
      <w:r w:rsidR="00C90912">
        <w:rPr>
          <w:rFonts w:ascii="Times New Roman" w:hAnsi="Times New Roman" w:cs="Times New Roman"/>
          <w:lang w:val="fr-FR"/>
        </w:rPr>
        <w:t>hypothèque légale sur le bien immeuble du redevable de la dette d’impôt. En effet, l’article 29 du C.R.A.F. dispose que « </w:t>
      </w:r>
      <w:r w:rsidR="00C90912" w:rsidRPr="00551E9F">
        <w:rPr>
          <w:rFonts w:ascii="Times New Roman" w:hAnsi="Times New Roman" w:cs="Times New Roman"/>
          <w:i/>
          <w:iCs/>
          <w:lang w:val="fr-FR"/>
        </w:rPr>
        <w:t xml:space="preserve">les créances fiscales et non fiscales sont garanties par une </w:t>
      </w:r>
      <w:r w:rsidR="00C90912" w:rsidRPr="00551E9F">
        <w:rPr>
          <w:rFonts w:ascii="Times New Roman" w:hAnsi="Times New Roman" w:cs="Times New Roman"/>
          <w:i/>
          <w:iCs/>
          <w:lang w:val="fr-FR"/>
        </w:rPr>
        <w:lastRenderedPageBreak/>
        <w:t>hypothèque légale sur tous les biens appartenant au redevable et au codébiteur, situés en Belgique et susceptibles d’hypothèques</w:t>
      </w:r>
      <w:r w:rsidR="00C90912">
        <w:rPr>
          <w:rFonts w:ascii="Times New Roman" w:hAnsi="Times New Roman" w:cs="Times New Roman"/>
          <w:lang w:val="fr-FR"/>
        </w:rPr>
        <w:t> »</w:t>
      </w:r>
      <w:r w:rsidR="00C90912">
        <w:rPr>
          <w:rStyle w:val="Appelnotedebasdep"/>
          <w:rFonts w:ascii="Times New Roman" w:hAnsi="Times New Roman" w:cs="Times New Roman"/>
          <w:lang w:val="fr-FR"/>
        </w:rPr>
        <w:footnoteReference w:id="65"/>
      </w:r>
      <w:r w:rsidR="00C90912">
        <w:rPr>
          <w:rFonts w:ascii="Times New Roman" w:hAnsi="Times New Roman" w:cs="Times New Roman"/>
          <w:lang w:val="fr-FR"/>
        </w:rPr>
        <w:t>.</w:t>
      </w:r>
      <w:r w:rsidR="00804086" w:rsidRPr="00804086">
        <w:rPr>
          <w:rFonts w:ascii="Times New Roman" w:hAnsi="Times New Roman" w:cs="Times New Roman"/>
          <w:lang w:val="fr-FR"/>
        </w:rPr>
        <w:t xml:space="preserve"> </w:t>
      </w:r>
      <w:r w:rsidR="00804086">
        <w:rPr>
          <w:rFonts w:ascii="Times New Roman" w:hAnsi="Times New Roman" w:cs="Times New Roman"/>
          <w:lang w:val="fr-FR"/>
        </w:rPr>
        <w:t xml:space="preserve">Cette hypothèque légale, à l’instar de </w:t>
      </w:r>
      <w:r w:rsidR="002E4462">
        <w:rPr>
          <w:rFonts w:ascii="Times New Roman" w:hAnsi="Times New Roman" w:cs="Times New Roman"/>
          <w:lang w:val="fr-FR"/>
        </w:rPr>
        <w:t xml:space="preserve">l’hypothèque </w:t>
      </w:r>
      <w:r w:rsidR="00804086">
        <w:rPr>
          <w:rFonts w:ascii="Times New Roman" w:hAnsi="Times New Roman" w:cs="Times New Roman"/>
          <w:lang w:val="fr-FR"/>
        </w:rPr>
        <w:t>conventionnelle, doit faire l’objet d’une inscription en vue de son opposabilité aux tiers</w:t>
      </w:r>
      <w:r w:rsidR="00804086">
        <w:rPr>
          <w:rStyle w:val="Appelnotedebasdep"/>
          <w:rFonts w:ascii="Times New Roman" w:hAnsi="Times New Roman" w:cs="Times New Roman"/>
          <w:lang w:val="fr-FR"/>
        </w:rPr>
        <w:footnoteReference w:id="66"/>
      </w:r>
      <w:r w:rsidR="00804086">
        <w:rPr>
          <w:rFonts w:ascii="Times New Roman" w:hAnsi="Times New Roman" w:cs="Times New Roman"/>
          <w:lang w:val="fr-FR"/>
        </w:rPr>
        <w:t xml:space="preserve"> (article 29, alinéa 2, du C.R.A.F.), qui ne pourra intervenir qu’à compter de la date exécutoire du rôle ou du registre de perception et recouvrement, ou du moment où la décision judiciaire portant condamnation au paiement de la créance fiscale ou non fiscale est coulée en force de chose jugée (article 30, alinéa 1</w:t>
      </w:r>
      <w:r w:rsidR="00804086" w:rsidRPr="00DE31FD">
        <w:rPr>
          <w:rFonts w:ascii="Times New Roman" w:hAnsi="Times New Roman" w:cs="Times New Roman"/>
          <w:vertAlign w:val="superscript"/>
          <w:lang w:val="fr-FR"/>
        </w:rPr>
        <w:t>er</w:t>
      </w:r>
      <w:r w:rsidR="00804086">
        <w:rPr>
          <w:rFonts w:ascii="Times New Roman" w:hAnsi="Times New Roman" w:cs="Times New Roman"/>
          <w:lang w:val="fr-FR"/>
        </w:rPr>
        <w:t>, du C.R.A.F.)</w:t>
      </w:r>
      <w:r w:rsidR="00804086">
        <w:rPr>
          <w:rStyle w:val="Appelnotedebasdep"/>
          <w:rFonts w:ascii="Times New Roman" w:hAnsi="Times New Roman" w:cs="Times New Roman"/>
          <w:lang w:val="fr-FR"/>
        </w:rPr>
        <w:footnoteReference w:id="67"/>
      </w:r>
      <w:r w:rsidR="00804086">
        <w:rPr>
          <w:rFonts w:ascii="Times New Roman" w:hAnsi="Times New Roman" w:cs="Times New Roman"/>
          <w:lang w:val="fr-FR"/>
        </w:rPr>
        <w:t xml:space="preserve">. </w:t>
      </w:r>
    </w:p>
    <w:p w14:paraId="7FAD6EC5" w14:textId="264F65DF" w:rsidR="00804086" w:rsidRDefault="00804086" w:rsidP="00C90912">
      <w:pPr>
        <w:spacing w:line="276" w:lineRule="auto"/>
        <w:jc w:val="both"/>
        <w:rPr>
          <w:rFonts w:ascii="Times New Roman" w:hAnsi="Times New Roman" w:cs="Times New Roman"/>
          <w:lang w:val="fr-FR"/>
        </w:rPr>
      </w:pPr>
    </w:p>
    <w:p w14:paraId="0E166920" w14:textId="0A0130F4" w:rsidR="00C90912" w:rsidRDefault="00C90912" w:rsidP="00C90912">
      <w:pPr>
        <w:spacing w:line="276" w:lineRule="auto"/>
        <w:jc w:val="both"/>
        <w:rPr>
          <w:rFonts w:ascii="Times New Roman" w:hAnsi="Times New Roman" w:cs="Times New Roman"/>
          <w:lang w:val="fr-FR"/>
        </w:rPr>
      </w:pPr>
      <w:r>
        <w:rPr>
          <w:rFonts w:ascii="Times New Roman" w:hAnsi="Times New Roman" w:cs="Times New Roman"/>
          <w:lang w:val="fr-FR"/>
        </w:rPr>
        <w:t xml:space="preserve">Outre cette hypothèque légale, l’administration dispose d’un privilège général sur meubles qui a vocation, de façon résiduaire, à porter sur une assiette immobilière (article 28 du C.R.A.F. </w:t>
      </w:r>
      <w:proofErr w:type="spellStart"/>
      <w:r w:rsidRPr="007E63E7">
        <w:rPr>
          <w:rFonts w:ascii="Times New Roman" w:hAnsi="Times New Roman" w:cs="Times New Roman"/>
          <w:i/>
          <w:iCs/>
          <w:lang w:val="fr-FR"/>
        </w:rPr>
        <w:t>jo</w:t>
      </w:r>
      <w:proofErr w:type="spellEnd"/>
      <w:r>
        <w:rPr>
          <w:rFonts w:ascii="Times New Roman" w:hAnsi="Times New Roman" w:cs="Times New Roman"/>
          <w:lang w:val="fr-FR"/>
        </w:rPr>
        <w:t xml:space="preserve">. 19 </w:t>
      </w:r>
      <w:r w:rsidRPr="007E63E7">
        <w:rPr>
          <w:rFonts w:ascii="Times New Roman" w:hAnsi="Times New Roman" w:cs="Times New Roman"/>
          <w:i/>
          <w:iCs/>
          <w:lang w:val="fr-FR"/>
        </w:rPr>
        <w:t>in fine</w:t>
      </w:r>
      <w:r>
        <w:rPr>
          <w:rFonts w:ascii="Times New Roman" w:hAnsi="Times New Roman" w:cs="Times New Roman"/>
          <w:lang w:val="fr-FR"/>
        </w:rPr>
        <w:t xml:space="preserve"> de la loi hypothécaire)</w:t>
      </w:r>
      <w:r w:rsidR="002E4462">
        <w:rPr>
          <w:rFonts w:ascii="Times New Roman" w:hAnsi="Times New Roman" w:cs="Times New Roman"/>
          <w:lang w:val="fr-FR"/>
        </w:rPr>
        <w:t xml:space="preserve"> après désintéressement des créanciers hypothécaires et privilégiés </w:t>
      </w:r>
    </w:p>
    <w:p w14:paraId="7591EFF9" w14:textId="205CBF4B" w:rsidR="00C90912" w:rsidRDefault="00C90912" w:rsidP="005038B7">
      <w:pPr>
        <w:spacing w:line="276" w:lineRule="auto"/>
        <w:jc w:val="both"/>
        <w:rPr>
          <w:rFonts w:ascii="Times New Roman" w:hAnsi="Times New Roman" w:cs="Times New Roman"/>
          <w:lang w:val="fr-FR"/>
        </w:rPr>
      </w:pPr>
    </w:p>
    <w:p w14:paraId="21236854" w14:textId="7C2E4983" w:rsidR="00804086" w:rsidRDefault="00804086" w:rsidP="005038B7">
      <w:pPr>
        <w:spacing w:line="276" w:lineRule="auto"/>
        <w:jc w:val="both"/>
        <w:rPr>
          <w:rFonts w:ascii="Times New Roman" w:hAnsi="Times New Roman" w:cs="Times New Roman"/>
          <w:lang w:val="fr-FR"/>
        </w:rPr>
      </w:pPr>
      <w:r>
        <w:rPr>
          <w:rFonts w:ascii="Times New Roman" w:hAnsi="Times New Roman" w:cs="Times New Roman"/>
          <w:lang w:val="fr-FR"/>
        </w:rPr>
        <w:t xml:space="preserve">L’administration fiscale, conformément aux principes évoqués </w:t>
      </w:r>
      <w:r w:rsidRPr="00DA26AD">
        <w:rPr>
          <w:rFonts w:ascii="Times New Roman" w:hAnsi="Times New Roman" w:cs="Times New Roman"/>
          <w:i/>
          <w:iCs/>
          <w:lang w:val="fr-FR"/>
        </w:rPr>
        <w:t>supra</w:t>
      </w:r>
      <w:r>
        <w:rPr>
          <w:rFonts w:ascii="Times New Roman" w:hAnsi="Times New Roman" w:cs="Times New Roman"/>
          <w:lang w:val="fr-FR"/>
        </w:rPr>
        <w:t xml:space="preserve">, est bien entendu </w:t>
      </w:r>
      <w:r w:rsidR="00E94DAE">
        <w:rPr>
          <w:rFonts w:ascii="Times New Roman" w:hAnsi="Times New Roman" w:cs="Times New Roman"/>
          <w:lang w:val="fr-FR"/>
        </w:rPr>
        <w:t>concernée</w:t>
      </w:r>
      <w:r w:rsidR="00DA26AD">
        <w:rPr>
          <w:rFonts w:ascii="Times New Roman" w:hAnsi="Times New Roman" w:cs="Times New Roman"/>
          <w:lang w:val="fr-FR"/>
        </w:rPr>
        <w:t xml:space="preserve"> par l’article 112 de la L.A. </w:t>
      </w:r>
      <w:r>
        <w:rPr>
          <w:rFonts w:ascii="Times New Roman" w:hAnsi="Times New Roman" w:cs="Times New Roman"/>
          <w:lang w:val="fr-FR"/>
        </w:rPr>
        <w:t xml:space="preserve">Il convient toutefois </w:t>
      </w:r>
      <w:r w:rsidR="000212A0">
        <w:rPr>
          <w:rFonts w:ascii="Times New Roman" w:hAnsi="Times New Roman" w:cs="Times New Roman"/>
          <w:lang w:val="fr-FR"/>
        </w:rPr>
        <w:t>de relever</w:t>
      </w:r>
      <w:r>
        <w:rPr>
          <w:rFonts w:ascii="Times New Roman" w:hAnsi="Times New Roman" w:cs="Times New Roman"/>
          <w:lang w:val="fr-FR"/>
        </w:rPr>
        <w:t xml:space="preserve">, </w:t>
      </w:r>
      <w:r w:rsidR="000212A0">
        <w:rPr>
          <w:rFonts w:ascii="Times New Roman" w:hAnsi="Times New Roman" w:cs="Times New Roman"/>
          <w:lang w:val="fr-FR"/>
        </w:rPr>
        <w:t xml:space="preserve">relativement à </w:t>
      </w:r>
      <w:r>
        <w:rPr>
          <w:rFonts w:ascii="Times New Roman" w:hAnsi="Times New Roman" w:cs="Times New Roman"/>
          <w:lang w:val="fr-FR"/>
        </w:rPr>
        <w:t>son privilège général sur meuble</w:t>
      </w:r>
      <w:r w:rsidR="00E94DAE">
        <w:rPr>
          <w:rFonts w:ascii="Times New Roman" w:hAnsi="Times New Roman" w:cs="Times New Roman"/>
          <w:lang w:val="fr-FR"/>
        </w:rPr>
        <w:t>s</w:t>
      </w:r>
      <w:r>
        <w:rPr>
          <w:rFonts w:ascii="Times New Roman" w:hAnsi="Times New Roman" w:cs="Times New Roman"/>
          <w:lang w:val="fr-FR"/>
        </w:rPr>
        <w:t xml:space="preserve">, applicable de </w:t>
      </w:r>
      <w:r w:rsidR="00E94DAE">
        <w:rPr>
          <w:rFonts w:ascii="Times New Roman" w:hAnsi="Times New Roman" w:cs="Times New Roman"/>
          <w:lang w:val="fr-FR"/>
        </w:rPr>
        <w:t>façon</w:t>
      </w:r>
      <w:r>
        <w:rPr>
          <w:rFonts w:ascii="Times New Roman" w:hAnsi="Times New Roman" w:cs="Times New Roman"/>
          <w:lang w:val="fr-FR"/>
        </w:rPr>
        <w:t xml:space="preserve"> résiduaire à l’immeuble</w:t>
      </w:r>
      <w:r w:rsidR="00E94DAE">
        <w:rPr>
          <w:rFonts w:ascii="Times New Roman" w:hAnsi="Times New Roman" w:cs="Times New Roman"/>
          <w:lang w:val="fr-FR"/>
        </w:rPr>
        <w:t xml:space="preserve"> assuré</w:t>
      </w:r>
      <w:r>
        <w:rPr>
          <w:rFonts w:ascii="Times New Roman" w:hAnsi="Times New Roman" w:cs="Times New Roman"/>
          <w:lang w:val="fr-FR"/>
        </w:rPr>
        <w:t xml:space="preserve">, </w:t>
      </w:r>
      <w:r w:rsidR="000212A0">
        <w:rPr>
          <w:rFonts w:ascii="Times New Roman" w:hAnsi="Times New Roman" w:cs="Times New Roman"/>
          <w:lang w:val="fr-FR"/>
        </w:rPr>
        <w:t xml:space="preserve">que </w:t>
      </w:r>
      <w:r w:rsidR="00E94DAE">
        <w:rPr>
          <w:rFonts w:ascii="Times New Roman" w:hAnsi="Times New Roman" w:cs="Times New Roman"/>
          <w:lang w:val="fr-FR"/>
        </w:rPr>
        <w:t>l’administration</w:t>
      </w:r>
      <w:r>
        <w:rPr>
          <w:rFonts w:ascii="Times New Roman" w:hAnsi="Times New Roman" w:cs="Times New Roman"/>
          <w:lang w:val="fr-FR"/>
        </w:rPr>
        <w:t xml:space="preserve"> devra former opposition auprès de l’assureur. </w:t>
      </w:r>
    </w:p>
    <w:p w14:paraId="5ACC6C2E" w14:textId="65DA0C5B" w:rsidR="0025157D" w:rsidRDefault="0025157D" w:rsidP="005038B7">
      <w:pPr>
        <w:spacing w:line="276" w:lineRule="auto"/>
        <w:jc w:val="both"/>
        <w:rPr>
          <w:rFonts w:ascii="Times New Roman" w:hAnsi="Times New Roman" w:cs="Times New Roman"/>
          <w:lang w:val="fr-FR"/>
        </w:rPr>
      </w:pPr>
    </w:p>
    <w:p w14:paraId="52FD252B" w14:textId="16C72273" w:rsidR="00A3542A" w:rsidRDefault="00E94DAE" w:rsidP="005038B7">
      <w:pPr>
        <w:spacing w:line="276" w:lineRule="auto"/>
        <w:jc w:val="both"/>
        <w:rPr>
          <w:rFonts w:ascii="Times New Roman" w:hAnsi="Times New Roman" w:cs="Times New Roman"/>
          <w:lang w:val="fr-FR"/>
        </w:rPr>
      </w:pPr>
      <w:r>
        <w:rPr>
          <w:rFonts w:ascii="Times New Roman" w:hAnsi="Times New Roman" w:cs="Times New Roman"/>
          <w:lang w:val="fr-FR"/>
        </w:rPr>
        <w:t>Certains conflits de rang sont susceptibles de surgir entre l’administration fiscale et les créanciers précités. Nous proposons d’en évoquer quelques-uns.</w:t>
      </w:r>
    </w:p>
    <w:p w14:paraId="3F7876BB" w14:textId="0B6FAD97" w:rsidR="0025157D" w:rsidRDefault="0025157D" w:rsidP="005038B7">
      <w:pPr>
        <w:spacing w:line="276" w:lineRule="auto"/>
        <w:jc w:val="both"/>
        <w:rPr>
          <w:rFonts w:ascii="Times New Roman" w:hAnsi="Times New Roman" w:cs="Times New Roman"/>
          <w:lang w:val="fr-FR"/>
        </w:rPr>
      </w:pPr>
    </w:p>
    <w:p w14:paraId="56634289" w14:textId="2CCAC4DF" w:rsidR="0025157D" w:rsidRPr="0025157D" w:rsidRDefault="0025157D" w:rsidP="0025157D">
      <w:pPr>
        <w:pStyle w:val="Paragraphedeliste"/>
        <w:numPr>
          <w:ilvl w:val="0"/>
          <w:numId w:val="7"/>
        </w:numPr>
        <w:spacing w:line="276" w:lineRule="auto"/>
        <w:jc w:val="both"/>
        <w:rPr>
          <w:rFonts w:ascii="Times New Roman" w:hAnsi="Times New Roman" w:cs="Times New Roman"/>
          <w:b/>
          <w:bCs/>
          <w:lang w:val="fr-FR"/>
        </w:rPr>
      </w:pPr>
      <w:r w:rsidRPr="0025157D">
        <w:rPr>
          <w:rFonts w:ascii="Times New Roman" w:hAnsi="Times New Roman" w:cs="Times New Roman"/>
          <w:b/>
          <w:bCs/>
          <w:lang w:val="fr-FR"/>
        </w:rPr>
        <w:t xml:space="preserve">Conflit entre l’hypothèque légale et l’hypothèque conventionnelle </w:t>
      </w:r>
    </w:p>
    <w:p w14:paraId="5BC465DD" w14:textId="77777777" w:rsidR="00551E9F" w:rsidRDefault="00551E9F" w:rsidP="005038B7">
      <w:pPr>
        <w:spacing w:line="276" w:lineRule="auto"/>
        <w:jc w:val="both"/>
        <w:rPr>
          <w:rFonts w:ascii="Times New Roman" w:hAnsi="Times New Roman" w:cs="Times New Roman"/>
          <w:lang w:val="fr-FR"/>
        </w:rPr>
      </w:pPr>
    </w:p>
    <w:p w14:paraId="773AE708" w14:textId="0B668818" w:rsidR="00DE31FD" w:rsidRDefault="00804086" w:rsidP="005038B7">
      <w:pPr>
        <w:spacing w:line="276" w:lineRule="auto"/>
        <w:jc w:val="both"/>
        <w:rPr>
          <w:rFonts w:ascii="Times New Roman" w:hAnsi="Times New Roman" w:cs="Times New Roman"/>
          <w:lang w:val="fr-FR"/>
        </w:rPr>
      </w:pPr>
      <w:r>
        <w:rPr>
          <w:rFonts w:ascii="Times New Roman" w:hAnsi="Times New Roman" w:cs="Times New Roman"/>
          <w:lang w:val="fr-FR"/>
        </w:rPr>
        <w:t xml:space="preserve">En cas de conflit entre deux créanciers hypothécaires, il convient de comparer les dates </w:t>
      </w:r>
      <w:r w:rsidR="00E94DAE">
        <w:rPr>
          <w:rFonts w:ascii="Times New Roman" w:hAnsi="Times New Roman" w:cs="Times New Roman"/>
          <w:lang w:val="fr-FR"/>
        </w:rPr>
        <w:t>d’inscriptions</w:t>
      </w:r>
      <w:r>
        <w:rPr>
          <w:rFonts w:ascii="Times New Roman" w:hAnsi="Times New Roman" w:cs="Times New Roman"/>
          <w:lang w:val="fr-FR"/>
        </w:rPr>
        <w:t xml:space="preserve"> des hypothèques (article 81 de la loi hypothécaire) et de faire primer celle inscrite antérieurement</w:t>
      </w:r>
      <w:r w:rsidR="00E94DAE">
        <w:rPr>
          <w:rFonts w:ascii="Times New Roman" w:hAnsi="Times New Roman" w:cs="Times New Roman"/>
          <w:lang w:val="fr-FR"/>
        </w:rPr>
        <w:t xml:space="preserve">. </w:t>
      </w:r>
    </w:p>
    <w:p w14:paraId="20B2781F" w14:textId="79B6EFC3" w:rsidR="0025157D" w:rsidRDefault="0025157D" w:rsidP="005038B7">
      <w:pPr>
        <w:spacing w:line="276" w:lineRule="auto"/>
        <w:jc w:val="both"/>
        <w:rPr>
          <w:rFonts w:ascii="Times New Roman" w:hAnsi="Times New Roman" w:cs="Times New Roman"/>
          <w:lang w:val="fr-FR"/>
        </w:rPr>
      </w:pPr>
    </w:p>
    <w:p w14:paraId="7A18F603" w14:textId="36CAA856" w:rsidR="0025157D" w:rsidRPr="0025157D" w:rsidRDefault="0025157D" w:rsidP="0025157D">
      <w:pPr>
        <w:pStyle w:val="Paragraphedeliste"/>
        <w:numPr>
          <w:ilvl w:val="0"/>
          <w:numId w:val="7"/>
        </w:numPr>
        <w:spacing w:line="276" w:lineRule="auto"/>
        <w:jc w:val="both"/>
        <w:rPr>
          <w:rFonts w:ascii="Times New Roman" w:hAnsi="Times New Roman" w:cs="Times New Roman"/>
          <w:b/>
          <w:bCs/>
          <w:lang w:val="fr-FR"/>
        </w:rPr>
      </w:pPr>
      <w:r w:rsidRPr="0025157D">
        <w:rPr>
          <w:rFonts w:ascii="Times New Roman" w:hAnsi="Times New Roman" w:cs="Times New Roman"/>
          <w:b/>
          <w:bCs/>
          <w:lang w:val="fr-FR"/>
        </w:rPr>
        <w:t>Conflit entre le privilège général sur meuble</w:t>
      </w:r>
      <w:r w:rsidR="00A65280">
        <w:rPr>
          <w:rFonts w:ascii="Times New Roman" w:hAnsi="Times New Roman" w:cs="Times New Roman"/>
          <w:b/>
          <w:bCs/>
          <w:lang w:val="fr-FR"/>
        </w:rPr>
        <w:t>s</w:t>
      </w:r>
      <w:r w:rsidRPr="0025157D">
        <w:rPr>
          <w:rFonts w:ascii="Times New Roman" w:hAnsi="Times New Roman" w:cs="Times New Roman"/>
          <w:b/>
          <w:bCs/>
          <w:lang w:val="fr-FR"/>
        </w:rPr>
        <w:t xml:space="preserve"> et l’hypothèque </w:t>
      </w:r>
    </w:p>
    <w:p w14:paraId="3FBD649A" w14:textId="77777777" w:rsidR="0025157D" w:rsidRDefault="0025157D" w:rsidP="005038B7">
      <w:pPr>
        <w:spacing w:line="276" w:lineRule="auto"/>
        <w:jc w:val="both"/>
        <w:rPr>
          <w:rFonts w:ascii="Times New Roman" w:hAnsi="Times New Roman" w:cs="Times New Roman"/>
          <w:lang w:val="fr-FR"/>
        </w:rPr>
      </w:pPr>
    </w:p>
    <w:p w14:paraId="6AAC281C" w14:textId="3CA7A1BC" w:rsidR="004A54A6" w:rsidRDefault="00DE31FD" w:rsidP="005038B7">
      <w:pPr>
        <w:spacing w:line="276" w:lineRule="auto"/>
        <w:jc w:val="both"/>
        <w:rPr>
          <w:rFonts w:ascii="Times New Roman" w:hAnsi="Times New Roman" w:cs="Times New Roman"/>
          <w:lang w:val="fr-FR"/>
        </w:rPr>
      </w:pPr>
      <w:r>
        <w:rPr>
          <w:rFonts w:ascii="Times New Roman" w:hAnsi="Times New Roman" w:cs="Times New Roman"/>
          <w:lang w:val="fr-FR"/>
        </w:rPr>
        <w:t>Outre cette hypothèque légale, l’</w:t>
      </w:r>
      <w:r w:rsidR="007E63E7">
        <w:rPr>
          <w:rFonts w:ascii="Times New Roman" w:hAnsi="Times New Roman" w:cs="Times New Roman"/>
          <w:lang w:val="fr-FR"/>
        </w:rPr>
        <w:t xml:space="preserve">administration dispose d’un privilège général sur meubles qui a vocation, de façon résiduaire, à porter sur une assiette immobilière </w:t>
      </w:r>
      <w:r w:rsidR="00E859A4">
        <w:rPr>
          <w:rFonts w:ascii="Times New Roman" w:hAnsi="Times New Roman" w:cs="Times New Roman"/>
          <w:lang w:val="fr-FR"/>
        </w:rPr>
        <w:t>(</w:t>
      </w:r>
      <w:r w:rsidR="00E859A4" w:rsidRPr="00CB4520">
        <w:rPr>
          <w:rFonts w:ascii="Times New Roman" w:hAnsi="Times New Roman" w:cs="Times New Roman"/>
          <w:i/>
          <w:iCs/>
          <w:lang w:val="fr-FR"/>
        </w:rPr>
        <w:t>supra</w:t>
      </w:r>
      <w:r w:rsidR="007E63E7">
        <w:rPr>
          <w:rFonts w:ascii="Times New Roman" w:hAnsi="Times New Roman" w:cs="Times New Roman"/>
          <w:lang w:val="fr-FR"/>
        </w:rPr>
        <w:t>). Dans tel cas, le créancier hypothécaire passera bien entendu avant l’administration fiscale pour ce seul privilège</w:t>
      </w:r>
      <w:r w:rsidR="00E94DAE">
        <w:rPr>
          <w:rFonts w:ascii="Times New Roman" w:hAnsi="Times New Roman" w:cs="Times New Roman"/>
          <w:lang w:val="fr-FR"/>
        </w:rPr>
        <w:t xml:space="preserve"> en application de l’article 19 </w:t>
      </w:r>
      <w:r w:rsidR="00E94DAE" w:rsidRPr="00E94DAE">
        <w:rPr>
          <w:rFonts w:ascii="Times New Roman" w:hAnsi="Times New Roman" w:cs="Times New Roman"/>
          <w:i/>
          <w:iCs/>
          <w:lang w:val="fr-FR"/>
        </w:rPr>
        <w:t>in fine</w:t>
      </w:r>
      <w:r w:rsidR="00E94DAE">
        <w:rPr>
          <w:rFonts w:ascii="Times New Roman" w:hAnsi="Times New Roman" w:cs="Times New Roman"/>
          <w:lang w:val="fr-FR"/>
        </w:rPr>
        <w:t xml:space="preserve"> précité</w:t>
      </w:r>
      <w:r w:rsidR="00380C94">
        <w:rPr>
          <w:rStyle w:val="Appelnotedebasdep"/>
          <w:rFonts w:ascii="Times New Roman" w:hAnsi="Times New Roman" w:cs="Times New Roman"/>
          <w:lang w:val="fr-FR"/>
        </w:rPr>
        <w:footnoteReference w:id="68"/>
      </w:r>
      <w:r w:rsidR="007E63E7">
        <w:rPr>
          <w:rFonts w:ascii="Times New Roman" w:hAnsi="Times New Roman" w:cs="Times New Roman"/>
          <w:lang w:val="fr-FR"/>
        </w:rPr>
        <w:t xml:space="preserve">. </w:t>
      </w:r>
    </w:p>
    <w:p w14:paraId="37430E5F" w14:textId="228B228A" w:rsidR="0025157D" w:rsidRDefault="0025157D" w:rsidP="005038B7">
      <w:pPr>
        <w:spacing w:line="276" w:lineRule="auto"/>
        <w:jc w:val="both"/>
        <w:rPr>
          <w:rFonts w:ascii="Times New Roman" w:hAnsi="Times New Roman" w:cs="Times New Roman"/>
          <w:lang w:val="fr-FR"/>
        </w:rPr>
      </w:pPr>
    </w:p>
    <w:p w14:paraId="4EB8BB4F" w14:textId="68699845" w:rsidR="0025157D" w:rsidRPr="0025157D" w:rsidRDefault="0025157D" w:rsidP="0025157D">
      <w:pPr>
        <w:pStyle w:val="Paragraphedeliste"/>
        <w:numPr>
          <w:ilvl w:val="0"/>
          <w:numId w:val="7"/>
        </w:numPr>
        <w:spacing w:line="276" w:lineRule="auto"/>
        <w:jc w:val="both"/>
        <w:rPr>
          <w:rFonts w:ascii="Times New Roman" w:hAnsi="Times New Roman" w:cs="Times New Roman"/>
          <w:b/>
          <w:bCs/>
          <w:lang w:val="fr-FR"/>
        </w:rPr>
      </w:pPr>
      <w:r w:rsidRPr="0025157D">
        <w:rPr>
          <w:rFonts w:ascii="Times New Roman" w:hAnsi="Times New Roman" w:cs="Times New Roman"/>
          <w:b/>
          <w:bCs/>
          <w:lang w:val="fr-FR"/>
        </w:rPr>
        <w:t xml:space="preserve">Conflit entre l’hypothèque légale et le privilège de l’association des copropriétaires </w:t>
      </w:r>
    </w:p>
    <w:p w14:paraId="6D8DCCB4" w14:textId="73F316B7" w:rsidR="007E63E7" w:rsidRDefault="007E63E7" w:rsidP="005038B7">
      <w:pPr>
        <w:spacing w:line="276" w:lineRule="auto"/>
        <w:jc w:val="both"/>
        <w:rPr>
          <w:rFonts w:ascii="Times New Roman" w:hAnsi="Times New Roman" w:cs="Times New Roman"/>
          <w:lang w:val="fr-FR"/>
        </w:rPr>
      </w:pPr>
    </w:p>
    <w:p w14:paraId="6B2AC290" w14:textId="0C808A7E" w:rsidR="00BF50AC" w:rsidRDefault="00BF50AC" w:rsidP="005038B7">
      <w:pPr>
        <w:spacing w:line="276" w:lineRule="auto"/>
        <w:jc w:val="both"/>
        <w:rPr>
          <w:rFonts w:ascii="Times New Roman" w:hAnsi="Times New Roman" w:cs="Times New Roman"/>
          <w:lang w:val="fr-FR"/>
        </w:rPr>
      </w:pPr>
      <w:r>
        <w:rPr>
          <w:rFonts w:ascii="Times New Roman" w:hAnsi="Times New Roman" w:cs="Times New Roman"/>
          <w:lang w:val="fr-FR"/>
        </w:rPr>
        <w:t>En cas de concours entre l’administration fiscale et l’association des copropriétaires, le privilège de l’association primera celui de l’a</w:t>
      </w:r>
      <w:r w:rsidR="00804086">
        <w:rPr>
          <w:rFonts w:ascii="Times New Roman" w:hAnsi="Times New Roman" w:cs="Times New Roman"/>
          <w:lang w:val="fr-FR"/>
        </w:rPr>
        <w:t>dministration</w:t>
      </w:r>
      <w:r>
        <w:rPr>
          <w:rFonts w:ascii="Times New Roman" w:hAnsi="Times New Roman" w:cs="Times New Roman"/>
          <w:lang w:val="fr-FR"/>
        </w:rPr>
        <w:t xml:space="preserve"> en vertu de l’article 12 de la loi hypothécaire nonobstant la date d’inscription de la sûreté de l’administration</w:t>
      </w:r>
      <w:r w:rsidR="00A3542A">
        <w:rPr>
          <w:rFonts w:ascii="Times New Roman" w:hAnsi="Times New Roman" w:cs="Times New Roman"/>
          <w:lang w:val="fr-FR"/>
        </w:rPr>
        <w:t>, concernant les charges de l’exercice en cours et précédent</w:t>
      </w:r>
      <w:r>
        <w:rPr>
          <w:rFonts w:ascii="Times New Roman" w:hAnsi="Times New Roman" w:cs="Times New Roman"/>
          <w:lang w:val="fr-FR"/>
        </w:rPr>
        <w:t xml:space="preserve">. C’est cette solution qui, à très juste titre, a été retenue par le juge des saisies de Bruxelles dans </w:t>
      </w:r>
      <w:r w:rsidR="00E94DAE">
        <w:rPr>
          <w:rFonts w:ascii="Times New Roman" w:hAnsi="Times New Roman" w:cs="Times New Roman"/>
          <w:lang w:val="fr-FR"/>
        </w:rPr>
        <w:t>une</w:t>
      </w:r>
      <w:r>
        <w:rPr>
          <w:rFonts w:ascii="Times New Roman" w:hAnsi="Times New Roman" w:cs="Times New Roman"/>
          <w:lang w:val="fr-FR"/>
        </w:rPr>
        <w:t xml:space="preserve"> ordonnan</w:t>
      </w:r>
      <w:r w:rsidR="00A3542A">
        <w:rPr>
          <w:rFonts w:ascii="Times New Roman" w:hAnsi="Times New Roman" w:cs="Times New Roman"/>
          <w:lang w:val="fr-FR"/>
        </w:rPr>
        <w:t xml:space="preserve">ce </w:t>
      </w:r>
      <w:r w:rsidR="00E94DAE">
        <w:rPr>
          <w:rFonts w:ascii="Times New Roman" w:hAnsi="Times New Roman" w:cs="Times New Roman"/>
          <w:lang w:val="fr-FR"/>
        </w:rPr>
        <w:t>rendue en date</w:t>
      </w:r>
      <w:r w:rsidR="00A3542A">
        <w:rPr>
          <w:rFonts w:ascii="Times New Roman" w:hAnsi="Times New Roman" w:cs="Times New Roman"/>
          <w:lang w:val="fr-FR"/>
        </w:rPr>
        <w:t xml:space="preserve"> 4 février 2021</w:t>
      </w:r>
      <w:r w:rsidR="00A3542A">
        <w:rPr>
          <w:rStyle w:val="Appelnotedebasdep"/>
          <w:rFonts w:ascii="Times New Roman" w:hAnsi="Times New Roman" w:cs="Times New Roman"/>
          <w:lang w:val="fr-FR"/>
        </w:rPr>
        <w:footnoteReference w:id="69"/>
      </w:r>
      <w:r w:rsidR="00A3542A">
        <w:rPr>
          <w:rFonts w:ascii="Times New Roman" w:hAnsi="Times New Roman" w:cs="Times New Roman"/>
          <w:lang w:val="fr-FR"/>
        </w:rPr>
        <w:t xml:space="preserve">. </w:t>
      </w:r>
    </w:p>
    <w:p w14:paraId="412EE0A7" w14:textId="3E6D4334" w:rsidR="0025157D" w:rsidRDefault="0025157D" w:rsidP="005038B7">
      <w:pPr>
        <w:spacing w:line="276" w:lineRule="auto"/>
        <w:jc w:val="both"/>
        <w:rPr>
          <w:rFonts w:ascii="Times New Roman" w:hAnsi="Times New Roman" w:cs="Times New Roman"/>
          <w:lang w:val="fr-FR"/>
        </w:rPr>
      </w:pPr>
    </w:p>
    <w:p w14:paraId="00B8083F" w14:textId="478A8C6E" w:rsidR="0025157D" w:rsidRPr="0025157D" w:rsidRDefault="0025157D" w:rsidP="0025157D">
      <w:pPr>
        <w:pStyle w:val="Paragraphedeliste"/>
        <w:numPr>
          <w:ilvl w:val="0"/>
          <w:numId w:val="7"/>
        </w:numPr>
        <w:spacing w:line="276" w:lineRule="auto"/>
        <w:jc w:val="both"/>
        <w:rPr>
          <w:rFonts w:ascii="Times New Roman" w:hAnsi="Times New Roman" w:cs="Times New Roman"/>
          <w:b/>
          <w:bCs/>
          <w:lang w:val="fr-FR"/>
        </w:rPr>
      </w:pPr>
      <w:r w:rsidRPr="0025157D">
        <w:rPr>
          <w:rFonts w:ascii="Times New Roman" w:hAnsi="Times New Roman" w:cs="Times New Roman"/>
          <w:b/>
          <w:bCs/>
          <w:lang w:val="fr-FR"/>
        </w:rPr>
        <w:t xml:space="preserve">Conflit entre l’administration fiscale </w:t>
      </w:r>
      <w:r w:rsidR="00A65280">
        <w:rPr>
          <w:rFonts w:ascii="Times New Roman" w:hAnsi="Times New Roman" w:cs="Times New Roman"/>
          <w:b/>
          <w:bCs/>
          <w:lang w:val="fr-FR"/>
        </w:rPr>
        <w:t xml:space="preserve">et les créanciers réservataire et gagiste </w:t>
      </w:r>
    </w:p>
    <w:p w14:paraId="2E4F52AD" w14:textId="34238227" w:rsidR="00911B74" w:rsidRDefault="00911B74" w:rsidP="005038B7">
      <w:pPr>
        <w:spacing w:line="276" w:lineRule="auto"/>
        <w:jc w:val="both"/>
        <w:rPr>
          <w:rFonts w:ascii="Times New Roman" w:hAnsi="Times New Roman" w:cs="Times New Roman"/>
          <w:lang w:val="fr-FR"/>
        </w:rPr>
      </w:pPr>
    </w:p>
    <w:p w14:paraId="5144DAB3" w14:textId="2BE8474B" w:rsidR="00911B74" w:rsidRDefault="00911B74" w:rsidP="005038B7">
      <w:pPr>
        <w:spacing w:line="276" w:lineRule="auto"/>
        <w:jc w:val="both"/>
        <w:rPr>
          <w:rFonts w:ascii="Times New Roman" w:hAnsi="Times New Roman" w:cs="Times New Roman"/>
          <w:lang w:val="fr-FR"/>
        </w:rPr>
      </w:pPr>
      <w:r>
        <w:rPr>
          <w:rFonts w:ascii="Times New Roman" w:hAnsi="Times New Roman" w:cs="Times New Roman"/>
          <w:lang w:val="fr-FR"/>
        </w:rPr>
        <w:t xml:space="preserve">En cas de concours entre l’administration fiscale et un créancier réservataire ou gagiste, nous renvoyons à nos développements émis </w:t>
      </w:r>
      <w:r w:rsidRPr="00911B74">
        <w:rPr>
          <w:rFonts w:ascii="Times New Roman" w:hAnsi="Times New Roman" w:cs="Times New Roman"/>
          <w:i/>
          <w:iCs/>
          <w:lang w:val="fr-FR"/>
        </w:rPr>
        <w:t>supra</w:t>
      </w:r>
      <w:r>
        <w:rPr>
          <w:rFonts w:ascii="Times New Roman" w:hAnsi="Times New Roman" w:cs="Times New Roman"/>
          <w:lang w:val="fr-FR"/>
        </w:rPr>
        <w:t xml:space="preserve"> quant au créancier hypothécaire « classique »</w:t>
      </w:r>
      <w:r w:rsidR="0020581F">
        <w:rPr>
          <w:rFonts w:ascii="Times New Roman" w:hAnsi="Times New Roman" w:cs="Times New Roman"/>
          <w:lang w:val="fr-FR"/>
        </w:rPr>
        <w:t xml:space="preserve"> (Section 2, 3, C et D)</w:t>
      </w:r>
      <w:r>
        <w:rPr>
          <w:rFonts w:ascii="Times New Roman" w:hAnsi="Times New Roman" w:cs="Times New Roman"/>
          <w:lang w:val="fr-FR"/>
        </w:rPr>
        <w:t>. Concernant toutefois le privilège général sur meuble dont dispose l’administration, celui-ci serait primé par le créancier gagiste et par le créancier réservataire à concurrence de la valeur des biens gagés et réservés immobilisés</w:t>
      </w:r>
      <w:r w:rsidR="00E94DAE">
        <w:rPr>
          <w:rFonts w:ascii="Times New Roman" w:hAnsi="Times New Roman" w:cs="Times New Roman"/>
          <w:lang w:val="fr-FR"/>
        </w:rPr>
        <w:t xml:space="preserve"> (article 26 de la loi hypothécaire et 58 du Titre XVII du livre III de l’ancien Code civil)</w:t>
      </w:r>
      <w:r>
        <w:rPr>
          <w:rFonts w:ascii="Times New Roman" w:hAnsi="Times New Roman" w:cs="Times New Roman"/>
          <w:lang w:val="fr-FR"/>
        </w:rPr>
        <w:t xml:space="preserve">. </w:t>
      </w:r>
    </w:p>
    <w:p w14:paraId="05D0A6B4" w14:textId="77777777" w:rsidR="00DD4730" w:rsidRDefault="00DD4730" w:rsidP="005038B7">
      <w:pPr>
        <w:spacing w:line="276" w:lineRule="auto"/>
        <w:jc w:val="both"/>
        <w:rPr>
          <w:rFonts w:ascii="Times New Roman" w:hAnsi="Times New Roman" w:cs="Times New Roman"/>
          <w:lang w:val="fr-FR"/>
        </w:rPr>
      </w:pPr>
    </w:p>
    <w:p w14:paraId="0940570C" w14:textId="430B0816" w:rsidR="00804086" w:rsidRDefault="00804086" w:rsidP="005038B7">
      <w:pPr>
        <w:spacing w:line="276" w:lineRule="auto"/>
        <w:jc w:val="both"/>
        <w:rPr>
          <w:rFonts w:ascii="Times New Roman" w:hAnsi="Times New Roman" w:cs="Times New Roman"/>
          <w:lang w:val="fr-FR"/>
        </w:rPr>
      </w:pPr>
    </w:p>
    <w:p w14:paraId="4883BBC3" w14:textId="77777777" w:rsidR="00E05BC3" w:rsidRPr="00C14969" w:rsidRDefault="00E05BC3" w:rsidP="00C14969">
      <w:pPr>
        <w:spacing w:line="276" w:lineRule="auto"/>
        <w:rPr>
          <w:rFonts w:ascii="Times New Roman" w:hAnsi="Times New Roman" w:cs="Times New Roman"/>
          <w:lang w:val="fr-FR"/>
        </w:rPr>
      </w:pPr>
    </w:p>
    <w:sectPr w:rsidR="00E05BC3" w:rsidRPr="00C14969">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EE0B9" w14:textId="77777777" w:rsidR="009338DF" w:rsidRDefault="009338DF" w:rsidP="00D66B89">
      <w:r>
        <w:separator/>
      </w:r>
    </w:p>
  </w:endnote>
  <w:endnote w:type="continuationSeparator" w:id="0">
    <w:p w14:paraId="1B37EB4C" w14:textId="77777777" w:rsidR="009338DF" w:rsidRDefault="009338DF" w:rsidP="00D66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582023061"/>
      <w:docPartObj>
        <w:docPartGallery w:val="Page Numbers (Bottom of Page)"/>
        <w:docPartUnique/>
      </w:docPartObj>
    </w:sdtPr>
    <w:sdtContent>
      <w:p w14:paraId="020809E1" w14:textId="1CC816A7" w:rsidR="00D73FCD" w:rsidRDefault="00D73FCD" w:rsidP="007644A0">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2A1535F" w14:textId="77777777" w:rsidR="00D73FCD" w:rsidRDefault="00D73FCD" w:rsidP="00D73FCD">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344283187"/>
      <w:docPartObj>
        <w:docPartGallery w:val="Page Numbers (Bottom of Page)"/>
        <w:docPartUnique/>
      </w:docPartObj>
    </w:sdtPr>
    <w:sdtContent>
      <w:p w14:paraId="5DA56D4C" w14:textId="1B982D84" w:rsidR="00D73FCD" w:rsidRDefault="00D73FCD" w:rsidP="007644A0">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36B87676" w14:textId="77777777" w:rsidR="00D73FCD" w:rsidRDefault="00D73FCD" w:rsidP="00D73FCD">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E560B" w14:textId="77777777" w:rsidR="009338DF" w:rsidRDefault="009338DF" w:rsidP="00D66B89">
      <w:r>
        <w:separator/>
      </w:r>
    </w:p>
  </w:footnote>
  <w:footnote w:type="continuationSeparator" w:id="0">
    <w:p w14:paraId="09E14B11" w14:textId="77777777" w:rsidR="009338DF" w:rsidRDefault="009338DF" w:rsidP="00D66B89">
      <w:r>
        <w:continuationSeparator/>
      </w:r>
    </w:p>
  </w:footnote>
  <w:footnote w:id="1">
    <w:p w14:paraId="41606C13" w14:textId="1D259096" w:rsidR="00B82462" w:rsidRPr="00F428F6" w:rsidRDefault="00B82462" w:rsidP="00F428F6">
      <w:pPr>
        <w:pStyle w:val="Notedebasdepage"/>
        <w:jc w:val="both"/>
        <w:rPr>
          <w:rFonts w:ascii="Times New Roman" w:hAnsi="Times New Roman" w:cs="Times New Roman"/>
        </w:rPr>
      </w:pPr>
      <w:r w:rsidRPr="00F428F6">
        <w:rPr>
          <w:rStyle w:val="Appelnotedebasdep"/>
          <w:rFonts w:ascii="Times New Roman" w:hAnsi="Times New Roman" w:cs="Times New Roman"/>
        </w:rPr>
        <w:footnoteRef/>
      </w:r>
      <w:r w:rsidRPr="00F428F6">
        <w:rPr>
          <w:rFonts w:ascii="Times New Roman" w:hAnsi="Times New Roman" w:cs="Times New Roman"/>
        </w:rPr>
        <w:t xml:space="preserve"> </w:t>
      </w:r>
      <w:r w:rsidR="008D0191" w:rsidRPr="00F428F6">
        <w:rPr>
          <w:rFonts w:ascii="Times New Roman" w:hAnsi="Times New Roman" w:cs="Times New Roman"/>
          <w:lang w:val="fr-FR"/>
        </w:rPr>
        <w:t xml:space="preserve">Sur le </w:t>
      </w:r>
      <w:r w:rsidR="005D5668" w:rsidRPr="00F428F6">
        <w:rPr>
          <w:rFonts w:ascii="Times New Roman" w:hAnsi="Times New Roman" w:cs="Times New Roman"/>
          <w:lang w:val="fr-FR"/>
        </w:rPr>
        <w:t xml:space="preserve">mécanisme institué par cette disposition </w:t>
      </w:r>
      <w:r w:rsidR="00ED537E" w:rsidRPr="00F428F6">
        <w:rPr>
          <w:rFonts w:ascii="Times New Roman" w:hAnsi="Times New Roman" w:cs="Times New Roman"/>
          <w:lang w:val="fr-FR"/>
        </w:rPr>
        <w:t>ainsi que par l’ancien article 58 de la loi du 25 juin 1992 sur le contrat d’assurances terrestres</w:t>
      </w:r>
      <w:r w:rsidR="008743D6" w:rsidRPr="00F428F6">
        <w:rPr>
          <w:rFonts w:ascii="Times New Roman" w:hAnsi="Times New Roman" w:cs="Times New Roman"/>
          <w:lang w:val="fr-FR"/>
        </w:rPr>
        <w:t>, auquel l’article 112 a succédé</w:t>
      </w:r>
      <w:r w:rsidR="00ED537E" w:rsidRPr="00F428F6">
        <w:rPr>
          <w:rFonts w:ascii="Times New Roman" w:hAnsi="Times New Roman" w:cs="Times New Roman"/>
          <w:lang w:val="fr-FR"/>
        </w:rPr>
        <w:t> </w:t>
      </w:r>
      <w:r w:rsidR="008D0191" w:rsidRPr="00F428F6">
        <w:rPr>
          <w:rFonts w:ascii="Times New Roman" w:hAnsi="Times New Roman" w:cs="Times New Roman"/>
          <w:lang w:val="fr-FR"/>
        </w:rPr>
        <w:t xml:space="preserve">: </w:t>
      </w:r>
      <w:r w:rsidR="003A6CDC" w:rsidRPr="00F428F6">
        <w:rPr>
          <w:rFonts w:ascii="Times New Roman" w:hAnsi="Times New Roman" w:cs="Times New Roman"/>
        </w:rPr>
        <w:t>A. DURIAU, « Section 3. Subrogation réelle », in M. GREGOIRE et al. (</w:t>
      </w:r>
      <w:proofErr w:type="spellStart"/>
      <w:r w:rsidR="003A6CDC" w:rsidRPr="00F428F6">
        <w:rPr>
          <w:rFonts w:ascii="Times New Roman" w:hAnsi="Times New Roman" w:cs="Times New Roman"/>
        </w:rPr>
        <w:t>dir</w:t>
      </w:r>
      <w:proofErr w:type="spellEnd"/>
      <w:r w:rsidR="003A6CDC" w:rsidRPr="00F428F6">
        <w:rPr>
          <w:rFonts w:ascii="Times New Roman" w:hAnsi="Times New Roman" w:cs="Times New Roman"/>
        </w:rPr>
        <w:t xml:space="preserve">.), </w:t>
      </w:r>
      <w:r w:rsidR="003A6CDC" w:rsidRPr="00F428F6">
        <w:rPr>
          <w:rFonts w:ascii="Times New Roman" w:hAnsi="Times New Roman" w:cs="Times New Roman"/>
          <w:i/>
          <w:iCs/>
        </w:rPr>
        <w:t>Les sûretés et privilèges</w:t>
      </w:r>
      <w:r w:rsidR="003A6CDC" w:rsidRPr="00F428F6">
        <w:rPr>
          <w:rFonts w:ascii="Times New Roman" w:hAnsi="Times New Roman" w:cs="Times New Roman"/>
        </w:rPr>
        <w:t xml:space="preserve">, vol. 3 : </w:t>
      </w:r>
      <w:r w:rsidR="003A6CDC" w:rsidRPr="00F428F6">
        <w:rPr>
          <w:rFonts w:ascii="Times New Roman" w:hAnsi="Times New Roman" w:cs="Times New Roman"/>
          <w:i/>
          <w:iCs/>
        </w:rPr>
        <w:t>Publicité foncière, hypothèques et privilèges immobiliers</w:t>
      </w:r>
      <w:r w:rsidR="003A6CDC" w:rsidRPr="00F428F6">
        <w:rPr>
          <w:rFonts w:ascii="Times New Roman" w:hAnsi="Times New Roman" w:cs="Times New Roman"/>
        </w:rPr>
        <w:t xml:space="preserve">, Bruylant, 2023, pp. 242 et s. ; C. PARIS, </w:t>
      </w:r>
      <w:r w:rsidR="003A6CDC" w:rsidRPr="00F428F6">
        <w:rPr>
          <w:rFonts w:ascii="Times New Roman" w:hAnsi="Times New Roman" w:cs="Times New Roman"/>
          <w:i/>
          <w:iCs/>
        </w:rPr>
        <w:t>Manuel de droit des assurances</w:t>
      </w:r>
      <w:r w:rsidR="003A6CDC" w:rsidRPr="00F428F6">
        <w:rPr>
          <w:rFonts w:ascii="Times New Roman" w:hAnsi="Times New Roman" w:cs="Times New Roman"/>
        </w:rPr>
        <w:t>, Larcier, 2021</w:t>
      </w:r>
      <w:r w:rsidR="008743D6" w:rsidRPr="00F428F6">
        <w:rPr>
          <w:rFonts w:ascii="Times New Roman" w:hAnsi="Times New Roman" w:cs="Times New Roman"/>
        </w:rPr>
        <w:t xml:space="preserve">, pp. 380 et s. ; </w:t>
      </w:r>
      <w:r w:rsidR="00387881" w:rsidRPr="00F428F6">
        <w:rPr>
          <w:rFonts w:ascii="Times New Roman" w:hAnsi="Times New Roman" w:cs="Times New Roman"/>
        </w:rPr>
        <w:t xml:space="preserve">Fl. GEORGE et X. THUNIS, « La subrogation : un mécanisme hybride, une institution polymorphe », in </w:t>
      </w:r>
      <w:r w:rsidR="005D5668" w:rsidRPr="00F428F6">
        <w:rPr>
          <w:rFonts w:ascii="Times New Roman" w:hAnsi="Times New Roman" w:cs="Times New Roman"/>
        </w:rPr>
        <w:t>Fl. GEORGE et X. THUNIS (</w:t>
      </w:r>
      <w:proofErr w:type="spellStart"/>
      <w:r w:rsidR="005D5668" w:rsidRPr="00F428F6">
        <w:rPr>
          <w:rFonts w:ascii="Times New Roman" w:hAnsi="Times New Roman" w:cs="Times New Roman"/>
        </w:rPr>
        <w:t>dir</w:t>
      </w:r>
      <w:proofErr w:type="spellEnd"/>
      <w:r w:rsidR="005D5668" w:rsidRPr="00F428F6">
        <w:rPr>
          <w:rFonts w:ascii="Times New Roman" w:hAnsi="Times New Roman" w:cs="Times New Roman"/>
        </w:rPr>
        <w:t xml:space="preserve">.), </w:t>
      </w:r>
      <w:r w:rsidR="005D5668" w:rsidRPr="00F428F6">
        <w:rPr>
          <w:rFonts w:ascii="Times New Roman" w:hAnsi="Times New Roman" w:cs="Times New Roman"/>
          <w:i/>
          <w:iCs/>
        </w:rPr>
        <w:t>Métamorphoses de la subrogation</w:t>
      </w:r>
      <w:r w:rsidR="005D5668" w:rsidRPr="00F428F6">
        <w:rPr>
          <w:rFonts w:ascii="Times New Roman" w:hAnsi="Times New Roman" w:cs="Times New Roman"/>
        </w:rPr>
        <w:t xml:space="preserve">, C.U.P., vol. 181, Anthémis, 2018, </w:t>
      </w:r>
      <w:proofErr w:type="spellStart"/>
      <w:r w:rsidR="00387881" w:rsidRPr="00F428F6">
        <w:rPr>
          <w:rFonts w:ascii="Times New Roman" w:hAnsi="Times New Roman" w:cs="Times New Roman"/>
        </w:rPr>
        <w:t>spéc</w:t>
      </w:r>
      <w:proofErr w:type="spellEnd"/>
      <w:r w:rsidR="00387881" w:rsidRPr="00F428F6">
        <w:rPr>
          <w:rFonts w:ascii="Times New Roman" w:hAnsi="Times New Roman" w:cs="Times New Roman"/>
        </w:rPr>
        <w:t xml:space="preserve">. pp. 29 et s. ; </w:t>
      </w:r>
      <w:r w:rsidR="008D0191" w:rsidRPr="00F428F6">
        <w:rPr>
          <w:rFonts w:ascii="Times New Roman" w:hAnsi="Times New Roman" w:cs="Times New Roman"/>
          <w:lang w:val="fr-FR"/>
        </w:rPr>
        <w:t xml:space="preserve">V. </w:t>
      </w:r>
      <w:r w:rsidR="008D0191" w:rsidRPr="00F428F6">
        <w:rPr>
          <w:rFonts w:ascii="Times New Roman" w:hAnsi="Times New Roman" w:cs="Times New Roman"/>
        </w:rPr>
        <w:t xml:space="preserve">NICAISE, « La portée de la réforme des sûretés réelles mobilières sur le secteur des assurances », </w:t>
      </w:r>
      <w:r w:rsidR="008D0191" w:rsidRPr="00F428F6">
        <w:rPr>
          <w:rFonts w:ascii="Times New Roman" w:hAnsi="Times New Roman" w:cs="Times New Roman"/>
          <w:i/>
          <w:iCs/>
        </w:rPr>
        <w:t>Forum de l’assurance</w:t>
      </w:r>
      <w:r w:rsidR="008D0191" w:rsidRPr="00F428F6">
        <w:rPr>
          <w:rFonts w:ascii="Times New Roman" w:hAnsi="Times New Roman" w:cs="Times New Roman"/>
        </w:rPr>
        <w:t xml:space="preserve">, 2017, pp. 125 et s. ; P. BECUE « De </w:t>
      </w:r>
      <w:proofErr w:type="spellStart"/>
      <w:r w:rsidR="008D0191" w:rsidRPr="00F428F6">
        <w:rPr>
          <w:rFonts w:ascii="Times New Roman" w:hAnsi="Times New Roman" w:cs="Times New Roman"/>
        </w:rPr>
        <w:t>wet</w:t>
      </w:r>
      <w:proofErr w:type="spellEnd"/>
      <w:r w:rsidR="008D0191" w:rsidRPr="00F428F6">
        <w:rPr>
          <w:rFonts w:ascii="Times New Roman" w:hAnsi="Times New Roman" w:cs="Times New Roman"/>
        </w:rPr>
        <w:t xml:space="preserve"> van 11 </w:t>
      </w:r>
      <w:proofErr w:type="spellStart"/>
      <w:r w:rsidR="008D0191" w:rsidRPr="00F428F6">
        <w:rPr>
          <w:rFonts w:ascii="Times New Roman" w:hAnsi="Times New Roman" w:cs="Times New Roman"/>
        </w:rPr>
        <w:t>juli</w:t>
      </w:r>
      <w:proofErr w:type="spellEnd"/>
      <w:r w:rsidR="008D0191" w:rsidRPr="00F428F6">
        <w:rPr>
          <w:rFonts w:ascii="Times New Roman" w:hAnsi="Times New Roman" w:cs="Times New Roman"/>
        </w:rPr>
        <w:t xml:space="preserve"> 2013 met </w:t>
      </w:r>
      <w:proofErr w:type="spellStart"/>
      <w:r w:rsidR="008D0191" w:rsidRPr="00F428F6">
        <w:rPr>
          <w:rFonts w:ascii="Times New Roman" w:hAnsi="Times New Roman" w:cs="Times New Roman"/>
        </w:rPr>
        <w:t>betrekking</w:t>
      </w:r>
      <w:proofErr w:type="spellEnd"/>
      <w:r w:rsidR="008D0191" w:rsidRPr="00F428F6">
        <w:rPr>
          <w:rFonts w:ascii="Times New Roman" w:hAnsi="Times New Roman" w:cs="Times New Roman"/>
        </w:rPr>
        <w:t xml:space="preserve"> </w:t>
      </w:r>
      <w:proofErr w:type="spellStart"/>
      <w:r w:rsidR="008D0191" w:rsidRPr="00F428F6">
        <w:rPr>
          <w:rFonts w:ascii="Times New Roman" w:hAnsi="Times New Roman" w:cs="Times New Roman"/>
        </w:rPr>
        <w:t>tot</w:t>
      </w:r>
      <w:proofErr w:type="spellEnd"/>
      <w:r w:rsidR="008D0191" w:rsidRPr="00F428F6">
        <w:rPr>
          <w:rFonts w:ascii="Times New Roman" w:hAnsi="Times New Roman" w:cs="Times New Roman"/>
        </w:rPr>
        <w:t xml:space="preserve"> de </w:t>
      </w:r>
      <w:proofErr w:type="spellStart"/>
      <w:r w:rsidR="008D0191" w:rsidRPr="00F428F6">
        <w:rPr>
          <w:rFonts w:ascii="Times New Roman" w:hAnsi="Times New Roman" w:cs="Times New Roman"/>
        </w:rPr>
        <w:t>hervorming</w:t>
      </w:r>
      <w:proofErr w:type="spellEnd"/>
      <w:r w:rsidR="008D0191" w:rsidRPr="00F428F6">
        <w:rPr>
          <w:rFonts w:ascii="Times New Roman" w:hAnsi="Times New Roman" w:cs="Times New Roman"/>
        </w:rPr>
        <w:t xml:space="preserve"> van </w:t>
      </w:r>
      <w:proofErr w:type="spellStart"/>
      <w:r w:rsidR="008D0191" w:rsidRPr="00F428F6">
        <w:rPr>
          <w:rFonts w:ascii="Times New Roman" w:hAnsi="Times New Roman" w:cs="Times New Roman"/>
        </w:rPr>
        <w:t>zakelijke</w:t>
      </w:r>
      <w:proofErr w:type="spellEnd"/>
      <w:r w:rsidR="008D0191" w:rsidRPr="00F428F6">
        <w:rPr>
          <w:rFonts w:ascii="Times New Roman" w:hAnsi="Times New Roman" w:cs="Times New Roman"/>
        </w:rPr>
        <w:t xml:space="preserve"> </w:t>
      </w:r>
      <w:proofErr w:type="spellStart"/>
      <w:r w:rsidR="008D0191" w:rsidRPr="00F428F6">
        <w:rPr>
          <w:rFonts w:ascii="Times New Roman" w:hAnsi="Times New Roman" w:cs="Times New Roman"/>
        </w:rPr>
        <w:t>zekerheden</w:t>
      </w:r>
      <w:proofErr w:type="spellEnd"/>
      <w:r w:rsidR="008D0191" w:rsidRPr="00F428F6">
        <w:rPr>
          <w:rFonts w:ascii="Times New Roman" w:hAnsi="Times New Roman" w:cs="Times New Roman"/>
        </w:rPr>
        <w:t xml:space="preserve"> op </w:t>
      </w:r>
      <w:proofErr w:type="spellStart"/>
      <w:r w:rsidR="008D0191" w:rsidRPr="00F428F6">
        <w:rPr>
          <w:rFonts w:ascii="Times New Roman" w:hAnsi="Times New Roman" w:cs="Times New Roman"/>
        </w:rPr>
        <w:t>roerende</w:t>
      </w:r>
      <w:proofErr w:type="spellEnd"/>
      <w:r w:rsidR="008D0191" w:rsidRPr="00F428F6">
        <w:rPr>
          <w:rFonts w:ascii="Times New Roman" w:hAnsi="Times New Roman" w:cs="Times New Roman"/>
        </w:rPr>
        <w:t xml:space="preserve"> </w:t>
      </w:r>
      <w:proofErr w:type="spellStart"/>
      <w:r w:rsidR="008D0191" w:rsidRPr="00F428F6">
        <w:rPr>
          <w:rFonts w:ascii="Times New Roman" w:hAnsi="Times New Roman" w:cs="Times New Roman"/>
        </w:rPr>
        <w:t>goederen</w:t>
      </w:r>
      <w:proofErr w:type="spellEnd"/>
      <w:r w:rsidR="008D0191" w:rsidRPr="00F428F6">
        <w:rPr>
          <w:rFonts w:ascii="Times New Roman" w:hAnsi="Times New Roman" w:cs="Times New Roman"/>
        </w:rPr>
        <w:t xml:space="preserve"> (</w:t>
      </w:r>
      <w:proofErr w:type="spellStart"/>
      <w:r w:rsidR="008D0191" w:rsidRPr="00F428F6">
        <w:rPr>
          <w:rFonts w:ascii="Times New Roman" w:hAnsi="Times New Roman" w:cs="Times New Roman"/>
        </w:rPr>
        <w:t>nieuwe</w:t>
      </w:r>
      <w:proofErr w:type="spellEnd"/>
      <w:r w:rsidR="008D0191" w:rsidRPr="00F428F6">
        <w:rPr>
          <w:rFonts w:ascii="Times New Roman" w:hAnsi="Times New Roman" w:cs="Times New Roman"/>
        </w:rPr>
        <w:t xml:space="preserve"> </w:t>
      </w:r>
      <w:proofErr w:type="spellStart"/>
      <w:r w:rsidR="008D0191" w:rsidRPr="00F428F6">
        <w:rPr>
          <w:rFonts w:ascii="Times New Roman" w:hAnsi="Times New Roman" w:cs="Times New Roman"/>
        </w:rPr>
        <w:t>pandrecht</w:t>
      </w:r>
      <w:proofErr w:type="spellEnd"/>
      <w:r w:rsidR="008D0191" w:rsidRPr="00F428F6">
        <w:rPr>
          <w:rFonts w:ascii="Times New Roman" w:hAnsi="Times New Roman" w:cs="Times New Roman"/>
        </w:rPr>
        <w:t xml:space="preserve">) », </w:t>
      </w:r>
      <w:r w:rsidR="008D0191" w:rsidRPr="00F428F6">
        <w:rPr>
          <w:rFonts w:ascii="Times New Roman" w:hAnsi="Times New Roman" w:cs="Times New Roman"/>
          <w:i/>
          <w:iCs/>
        </w:rPr>
        <w:t xml:space="preserve">Bull. </w:t>
      </w:r>
      <w:proofErr w:type="spellStart"/>
      <w:r w:rsidR="008D0191" w:rsidRPr="00F428F6">
        <w:rPr>
          <w:rFonts w:ascii="Times New Roman" w:hAnsi="Times New Roman" w:cs="Times New Roman"/>
          <w:i/>
          <w:iCs/>
        </w:rPr>
        <w:t>ass</w:t>
      </w:r>
      <w:proofErr w:type="spellEnd"/>
      <w:r w:rsidR="008D0191" w:rsidRPr="00F428F6">
        <w:rPr>
          <w:rFonts w:ascii="Times New Roman" w:hAnsi="Times New Roman" w:cs="Times New Roman"/>
          <w:i/>
          <w:iCs/>
        </w:rPr>
        <w:t>.,</w:t>
      </w:r>
      <w:r w:rsidR="008D0191" w:rsidRPr="00F428F6">
        <w:rPr>
          <w:rFonts w:ascii="Times New Roman" w:hAnsi="Times New Roman" w:cs="Times New Roman"/>
        </w:rPr>
        <w:t xml:space="preserve"> 2014, pp. 352 et s. ; M. FORGES, « Créances et hypothèques dans le secteur de l’assurance », note sous. Cass. (1</w:t>
      </w:r>
      <w:r w:rsidR="008D0191" w:rsidRPr="00F428F6">
        <w:rPr>
          <w:rFonts w:ascii="Times New Roman" w:hAnsi="Times New Roman" w:cs="Times New Roman"/>
          <w:vertAlign w:val="superscript"/>
        </w:rPr>
        <w:t>re</w:t>
      </w:r>
      <w:r w:rsidR="008D0191" w:rsidRPr="00F428F6">
        <w:rPr>
          <w:rFonts w:ascii="Times New Roman" w:hAnsi="Times New Roman" w:cs="Times New Roman"/>
        </w:rPr>
        <w:t xml:space="preserve"> ch.), 2 octobre 2014, </w:t>
      </w:r>
      <w:r w:rsidR="008D0191" w:rsidRPr="00F428F6">
        <w:rPr>
          <w:rFonts w:ascii="Times New Roman" w:hAnsi="Times New Roman" w:cs="Times New Roman"/>
          <w:i/>
          <w:iCs/>
        </w:rPr>
        <w:t xml:space="preserve">For. </w:t>
      </w:r>
      <w:proofErr w:type="spellStart"/>
      <w:r w:rsidR="008D0191" w:rsidRPr="00F428F6">
        <w:rPr>
          <w:rFonts w:ascii="Times New Roman" w:hAnsi="Times New Roman" w:cs="Times New Roman"/>
          <w:i/>
          <w:iCs/>
        </w:rPr>
        <w:t>Ass</w:t>
      </w:r>
      <w:proofErr w:type="spellEnd"/>
      <w:r w:rsidR="008D0191" w:rsidRPr="00F428F6">
        <w:rPr>
          <w:rFonts w:ascii="Times New Roman" w:hAnsi="Times New Roman" w:cs="Times New Roman"/>
        </w:rPr>
        <w:t xml:space="preserve">., 2015, pp. 99 et s. ; </w:t>
      </w:r>
      <w:r w:rsidR="00AA02A9" w:rsidRPr="00F428F6">
        <w:rPr>
          <w:rFonts w:ascii="Times New Roman" w:hAnsi="Times New Roman" w:cs="Times New Roman"/>
        </w:rPr>
        <w:t xml:space="preserve">P. VANDERGETEN, « Les sinistres », in </w:t>
      </w:r>
      <w:r w:rsidR="00AA02A9" w:rsidRPr="00F428F6">
        <w:rPr>
          <w:rFonts w:ascii="Times New Roman" w:hAnsi="Times New Roman" w:cs="Times New Roman"/>
          <w:i/>
          <w:iCs/>
        </w:rPr>
        <w:t>Traité pratique de l’assurance</w:t>
      </w:r>
      <w:r w:rsidR="00AA02A9" w:rsidRPr="00F428F6">
        <w:rPr>
          <w:rFonts w:ascii="Times New Roman" w:hAnsi="Times New Roman" w:cs="Times New Roman"/>
        </w:rPr>
        <w:t xml:space="preserve">, Wolters Kluwer, 2013, p. 184 ; </w:t>
      </w:r>
      <w:r w:rsidR="00387881" w:rsidRPr="00F428F6">
        <w:rPr>
          <w:rFonts w:ascii="Times New Roman" w:hAnsi="Times New Roman" w:cs="Times New Roman"/>
        </w:rPr>
        <w:t xml:space="preserve">J. FAGNART, </w:t>
      </w:r>
      <w:r w:rsidR="00387881" w:rsidRPr="00F428F6">
        <w:rPr>
          <w:rFonts w:ascii="Times New Roman" w:hAnsi="Times New Roman" w:cs="Times New Roman"/>
          <w:i/>
          <w:iCs/>
        </w:rPr>
        <w:t>Traité</w:t>
      </w:r>
      <w:r w:rsidR="00ED537E" w:rsidRPr="00F428F6">
        <w:rPr>
          <w:rFonts w:ascii="Times New Roman" w:hAnsi="Times New Roman" w:cs="Times New Roman"/>
          <w:i/>
          <w:iCs/>
        </w:rPr>
        <w:t xml:space="preserve"> pratique</w:t>
      </w:r>
      <w:r w:rsidR="00387881" w:rsidRPr="00F428F6">
        <w:rPr>
          <w:rFonts w:ascii="Times New Roman" w:hAnsi="Times New Roman" w:cs="Times New Roman"/>
          <w:i/>
          <w:iCs/>
        </w:rPr>
        <w:t xml:space="preserve"> de droit commercial</w:t>
      </w:r>
      <w:r w:rsidR="00387881" w:rsidRPr="00F428F6">
        <w:rPr>
          <w:rFonts w:ascii="Times New Roman" w:hAnsi="Times New Roman" w:cs="Times New Roman"/>
        </w:rPr>
        <w:t xml:space="preserve">, Wolters Kluwer, 2011, pp. 427 et s. ; </w:t>
      </w:r>
      <w:r w:rsidR="00ED537E" w:rsidRPr="00F428F6">
        <w:rPr>
          <w:rFonts w:ascii="Times New Roman" w:hAnsi="Times New Roman" w:cs="Times New Roman"/>
        </w:rPr>
        <w:t>B. DUBUISSON, « Actualités législatives et jurisprudentielles dans les assurances de choses et de frais », in C. PARIS et B. DUBUISSON (</w:t>
      </w:r>
      <w:proofErr w:type="spellStart"/>
      <w:r w:rsidR="00ED537E" w:rsidRPr="00F428F6">
        <w:rPr>
          <w:rFonts w:ascii="Times New Roman" w:hAnsi="Times New Roman" w:cs="Times New Roman"/>
        </w:rPr>
        <w:t>dir</w:t>
      </w:r>
      <w:proofErr w:type="spellEnd"/>
      <w:r w:rsidR="00ED537E" w:rsidRPr="00F428F6">
        <w:rPr>
          <w:rFonts w:ascii="Times New Roman" w:hAnsi="Times New Roman" w:cs="Times New Roman"/>
        </w:rPr>
        <w:t xml:space="preserve">.), </w:t>
      </w:r>
      <w:r w:rsidR="00ED537E" w:rsidRPr="00F428F6">
        <w:rPr>
          <w:rFonts w:ascii="Times New Roman" w:hAnsi="Times New Roman" w:cs="Times New Roman"/>
          <w:i/>
          <w:iCs/>
        </w:rPr>
        <w:t>Actualités en droit des assurances</w:t>
      </w:r>
      <w:r w:rsidR="00ED537E" w:rsidRPr="00F428F6">
        <w:rPr>
          <w:rFonts w:ascii="Times New Roman" w:hAnsi="Times New Roman" w:cs="Times New Roman"/>
        </w:rPr>
        <w:t xml:space="preserve">, C.U.P., vol. 106, Anthémis, 2008, </w:t>
      </w:r>
      <w:proofErr w:type="spellStart"/>
      <w:r w:rsidR="00ED537E" w:rsidRPr="00F428F6">
        <w:rPr>
          <w:rFonts w:ascii="Times New Roman" w:hAnsi="Times New Roman" w:cs="Times New Roman"/>
        </w:rPr>
        <w:t>spéc</w:t>
      </w:r>
      <w:proofErr w:type="spellEnd"/>
      <w:r w:rsidR="00ED537E" w:rsidRPr="00F428F6">
        <w:rPr>
          <w:rFonts w:ascii="Times New Roman" w:hAnsi="Times New Roman" w:cs="Times New Roman"/>
        </w:rPr>
        <w:t xml:space="preserve">. pp. 160 et s. ; F. </w:t>
      </w:r>
      <w:r w:rsidR="003A6CDC" w:rsidRPr="00F428F6">
        <w:rPr>
          <w:rFonts w:ascii="Times New Roman" w:hAnsi="Times New Roman" w:cs="Times New Roman"/>
        </w:rPr>
        <w:t xml:space="preserve">T’KINT, </w:t>
      </w:r>
      <w:r w:rsidR="003A6CDC" w:rsidRPr="00F428F6">
        <w:rPr>
          <w:rFonts w:ascii="Times New Roman" w:hAnsi="Times New Roman" w:cs="Times New Roman"/>
          <w:i/>
          <w:iCs/>
        </w:rPr>
        <w:t>Sûretés et principes généraux du droit de poursuite des créanciers</w:t>
      </w:r>
      <w:r w:rsidR="003A6CDC" w:rsidRPr="00F428F6">
        <w:rPr>
          <w:rFonts w:ascii="Times New Roman" w:hAnsi="Times New Roman" w:cs="Times New Roman"/>
        </w:rPr>
        <w:t>, Larcier, 2004, pp. 292 et s. </w:t>
      </w:r>
    </w:p>
  </w:footnote>
  <w:footnote w:id="2">
    <w:p w14:paraId="3273805C" w14:textId="45287EA4" w:rsidR="00F22138" w:rsidRPr="00F428F6" w:rsidRDefault="00F22138" w:rsidP="00F428F6">
      <w:pPr>
        <w:pStyle w:val="Notedebasdepage"/>
        <w:jc w:val="both"/>
        <w:rPr>
          <w:rFonts w:ascii="Times New Roman" w:hAnsi="Times New Roman" w:cs="Times New Roman"/>
        </w:rPr>
      </w:pPr>
      <w:r w:rsidRPr="00F428F6">
        <w:rPr>
          <w:rStyle w:val="Appelnotedebasdep"/>
          <w:rFonts w:ascii="Times New Roman" w:hAnsi="Times New Roman" w:cs="Times New Roman"/>
        </w:rPr>
        <w:footnoteRef/>
      </w:r>
      <w:r w:rsidRPr="00F428F6">
        <w:rPr>
          <w:rFonts w:ascii="Times New Roman" w:hAnsi="Times New Roman" w:cs="Times New Roman"/>
        </w:rPr>
        <w:t xml:space="preserve"> Dans un tel cas, différents conflits de rang</w:t>
      </w:r>
      <w:r w:rsidR="00857ECE">
        <w:rPr>
          <w:rFonts w:ascii="Times New Roman" w:hAnsi="Times New Roman" w:cs="Times New Roman"/>
        </w:rPr>
        <w:t>,</w:t>
      </w:r>
      <w:r w:rsidRPr="00F428F6">
        <w:rPr>
          <w:rFonts w:ascii="Times New Roman" w:hAnsi="Times New Roman" w:cs="Times New Roman"/>
        </w:rPr>
        <w:t xml:space="preserve"> </w:t>
      </w:r>
      <w:r w:rsidR="00857ECE" w:rsidRPr="00F428F6">
        <w:rPr>
          <w:rFonts w:ascii="Times New Roman" w:hAnsi="Times New Roman" w:cs="Times New Roman"/>
        </w:rPr>
        <w:t>sur lesquels nous ne reviendrons pas</w:t>
      </w:r>
      <w:r w:rsidR="00857ECE">
        <w:rPr>
          <w:rFonts w:ascii="Times New Roman" w:hAnsi="Times New Roman" w:cs="Times New Roman"/>
        </w:rPr>
        <w:t>,</w:t>
      </w:r>
      <w:r w:rsidR="00857ECE" w:rsidRPr="00F428F6">
        <w:rPr>
          <w:rFonts w:ascii="Times New Roman" w:hAnsi="Times New Roman" w:cs="Times New Roman"/>
        </w:rPr>
        <w:t xml:space="preserve"> </w:t>
      </w:r>
      <w:r w:rsidRPr="00F428F6">
        <w:rPr>
          <w:rFonts w:ascii="Times New Roman" w:hAnsi="Times New Roman" w:cs="Times New Roman"/>
        </w:rPr>
        <w:t>pourraient également survenir</w:t>
      </w:r>
      <w:r w:rsidR="00BD0A2E" w:rsidRPr="00F428F6">
        <w:rPr>
          <w:rFonts w:ascii="Times New Roman" w:hAnsi="Times New Roman" w:cs="Times New Roman"/>
        </w:rPr>
        <w:t xml:space="preserve">. </w:t>
      </w:r>
    </w:p>
  </w:footnote>
  <w:footnote w:id="3">
    <w:p w14:paraId="76D1C960" w14:textId="42830DC2" w:rsidR="00054E7E" w:rsidRPr="00F428F6" w:rsidRDefault="00054E7E" w:rsidP="00F428F6">
      <w:pPr>
        <w:pStyle w:val="Notedebasdepage"/>
        <w:jc w:val="both"/>
        <w:rPr>
          <w:rFonts w:ascii="Times New Roman" w:hAnsi="Times New Roman" w:cs="Times New Roman"/>
        </w:rPr>
      </w:pPr>
      <w:r w:rsidRPr="00F428F6">
        <w:rPr>
          <w:rStyle w:val="Appelnotedebasdep"/>
          <w:rFonts w:ascii="Times New Roman" w:hAnsi="Times New Roman" w:cs="Times New Roman"/>
        </w:rPr>
        <w:footnoteRef/>
      </w:r>
      <w:r w:rsidRPr="00F428F6">
        <w:rPr>
          <w:rFonts w:ascii="Times New Roman" w:hAnsi="Times New Roman" w:cs="Times New Roman"/>
        </w:rPr>
        <w:t xml:space="preserve"> N’est ainsi pas visé le créancier qui dispose d’un simple mandat hypothécaire</w:t>
      </w:r>
      <w:r w:rsidR="00E677E7">
        <w:rPr>
          <w:rFonts w:ascii="Times New Roman" w:hAnsi="Times New Roman" w:cs="Times New Roman"/>
        </w:rPr>
        <w:t> ; c</w:t>
      </w:r>
      <w:r w:rsidRPr="00F428F6">
        <w:rPr>
          <w:rFonts w:ascii="Times New Roman" w:hAnsi="Times New Roman" w:cs="Times New Roman"/>
        </w:rPr>
        <w:t>omme le relève A. CUYPERS</w:t>
      </w:r>
      <w:r w:rsidR="00E677E7">
        <w:rPr>
          <w:rFonts w:ascii="Times New Roman" w:hAnsi="Times New Roman" w:cs="Times New Roman"/>
        </w:rPr>
        <w:t>,</w:t>
      </w:r>
      <w:r w:rsidR="007D7989" w:rsidRPr="00F428F6">
        <w:rPr>
          <w:rFonts w:ascii="Times New Roman" w:hAnsi="Times New Roman" w:cs="Times New Roman"/>
        </w:rPr>
        <w:t xml:space="preserve"> « </w:t>
      </w:r>
      <w:r w:rsidRPr="00F428F6">
        <w:rPr>
          <w:rFonts w:ascii="Times New Roman" w:hAnsi="Times New Roman" w:cs="Times New Roman"/>
          <w:i/>
          <w:iCs/>
          <w:lang w:val="fr-FR"/>
        </w:rPr>
        <w:t xml:space="preserve">En revanche, le banquier </w:t>
      </w:r>
      <w:r w:rsidR="00E677E7">
        <w:rPr>
          <w:rFonts w:ascii="Times New Roman" w:hAnsi="Times New Roman" w:cs="Times New Roman"/>
          <w:i/>
          <w:iCs/>
          <w:lang w:val="fr-FR"/>
        </w:rPr>
        <w:t xml:space="preserve">(qui) </w:t>
      </w:r>
      <w:r w:rsidRPr="00F428F6">
        <w:rPr>
          <w:rFonts w:ascii="Times New Roman" w:hAnsi="Times New Roman" w:cs="Times New Roman"/>
          <w:i/>
          <w:iCs/>
          <w:lang w:val="fr-FR"/>
        </w:rPr>
        <w:t>ne dispose (…), que d’un mandat hypothécaire</w:t>
      </w:r>
      <w:r w:rsidR="00E677E7">
        <w:rPr>
          <w:rFonts w:ascii="Times New Roman" w:hAnsi="Times New Roman" w:cs="Times New Roman"/>
          <w:i/>
          <w:iCs/>
          <w:lang w:val="fr-FR"/>
        </w:rPr>
        <w:t xml:space="preserve"> (…) </w:t>
      </w:r>
      <w:r w:rsidRPr="00F428F6">
        <w:rPr>
          <w:rFonts w:ascii="Times New Roman" w:hAnsi="Times New Roman" w:cs="Times New Roman"/>
          <w:i/>
          <w:iCs/>
          <w:lang w:val="fr-FR"/>
        </w:rPr>
        <w:t>ne pourra se prévaloir d’aucun privilège pour la simple raison qu’il n’a pas d’hypothèque</w:t>
      </w:r>
      <w:r w:rsidR="004B6E74">
        <w:rPr>
          <w:rFonts w:ascii="Times New Roman" w:hAnsi="Times New Roman" w:cs="Times New Roman"/>
          <w:i/>
          <w:iCs/>
          <w:lang w:val="fr-FR"/>
        </w:rPr>
        <w:t xml:space="preserve"> au moment de la résolution du titre de propriété</w:t>
      </w:r>
      <w:r w:rsidRPr="00F428F6">
        <w:rPr>
          <w:rFonts w:ascii="Times New Roman" w:hAnsi="Times New Roman" w:cs="Times New Roman"/>
          <w:i/>
          <w:iCs/>
          <w:lang w:val="fr-FR"/>
        </w:rPr>
        <w:t xml:space="preserve"> </w:t>
      </w:r>
      <w:r w:rsidRPr="00CB4520">
        <w:rPr>
          <w:rFonts w:ascii="Times New Roman" w:hAnsi="Times New Roman" w:cs="Times New Roman"/>
          <w:i/>
          <w:iCs/>
          <w:lang w:val="fr-FR"/>
        </w:rPr>
        <w:t>ou du sinistre et qu’il</w:t>
      </w:r>
      <w:r w:rsidRPr="00F428F6">
        <w:rPr>
          <w:rFonts w:ascii="Times New Roman" w:hAnsi="Times New Roman" w:cs="Times New Roman"/>
          <w:i/>
          <w:iCs/>
          <w:lang w:val="fr-FR"/>
        </w:rPr>
        <w:t xml:space="preserve"> ne bénéficie dès lors pas des moyens de protection propres à l’hypothèque</w:t>
      </w:r>
      <w:r w:rsidRPr="00F428F6">
        <w:rPr>
          <w:rFonts w:ascii="Times New Roman" w:hAnsi="Times New Roman" w:cs="Times New Roman"/>
          <w:lang w:val="fr-FR"/>
        </w:rPr>
        <w:t xml:space="preserve"> » (A. CUYPERS, « Section II. Des hypothèques conventionnelles », in </w:t>
      </w:r>
      <w:r w:rsidRPr="00F428F6">
        <w:rPr>
          <w:rFonts w:ascii="Times New Roman" w:hAnsi="Times New Roman" w:cs="Times New Roman"/>
          <w:i/>
          <w:iCs/>
          <w:lang w:val="fr-FR"/>
        </w:rPr>
        <w:t>Privilèges et hypothèques</w:t>
      </w:r>
      <w:r w:rsidRPr="00F428F6">
        <w:rPr>
          <w:rFonts w:ascii="Times New Roman" w:hAnsi="Times New Roman" w:cs="Times New Roman"/>
          <w:lang w:val="fr-FR"/>
        </w:rPr>
        <w:t xml:space="preserve">, Wolters Kluwer, </w:t>
      </w:r>
      <w:proofErr w:type="spellStart"/>
      <w:r w:rsidRPr="00F428F6">
        <w:rPr>
          <w:rFonts w:ascii="Times New Roman" w:hAnsi="Times New Roman" w:cs="Times New Roman"/>
          <w:lang w:val="fr-FR"/>
        </w:rPr>
        <w:t>feuill.mob.suppl</w:t>
      </w:r>
      <w:proofErr w:type="spellEnd"/>
      <w:r w:rsidRPr="00F428F6">
        <w:rPr>
          <w:rFonts w:ascii="Times New Roman" w:hAnsi="Times New Roman" w:cs="Times New Roman"/>
          <w:lang w:val="fr-FR"/>
        </w:rPr>
        <w:t xml:space="preserve">. 2008, p. 168). </w:t>
      </w:r>
    </w:p>
  </w:footnote>
  <w:footnote w:id="4">
    <w:p w14:paraId="6C53A067" w14:textId="708C88D9" w:rsidR="00AF6620" w:rsidRPr="00F428F6" w:rsidRDefault="00AF6620" w:rsidP="00F428F6">
      <w:pPr>
        <w:pStyle w:val="Notedebasdepage"/>
        <w:jc w:val="both"/>
        <w:rPr>
          <w:rFonts w:ascii="Times New Roman" w:hAnsi="Times New Roman" w:cs="Times New Roman"/>
        </w:rPr>
      </w:pPr>
      <w:r w:rsidRPr="00F428F6">
        <w:rPr>
          <w:rStyle w:val="Appelnotedebasdep"/>
          <w:rFonts w:ascii="Times New Roman" w:hAnsi="Times New Roman" w:cs="Times New Roman"/>
        </w:rPr>
        <w:footnoteRef/>
      </w:r>
      <w:r w:rsidRPr="00F428F6">
        <w:rPr>
          <w:rFonts w:ascii="Times New Roman" w:hAnsi="Times New Roman" w:cs="Times New Roman"/>
        </w:rPr>
        <w:t xml:space="preserve"> </w:t>
      </w:r>
      <w:r w:rsidR="00AA02A9" w:rsidRPr="00F428F6">
        <w:rPr>
          <w:rFonts w:ascii="Times New Roman" w:hAnsi="Times New Roman" w:cs="Times New Roman"/>
        </w:rPr>
        <w:t xml:space="preserve">C. PARIS, </w:t>
      </w:r>
      <w:r w:rsidR="00AA02A9" w:rsidRPr="00F428F6">
        <w:rPr>
          <w:rFonts w:ascii="Times New Roman" w:hAnsi="Times New Roman" w:cs="Times New Roman"/>
          <w:i/>
          <w:iCs/>
        </w:rPr>
        <w:t>Manuel de droit des assurances op.cit.,</w:t>
      </w:r>
      <w:r w:rsidR="00AA02A9" w:rsidRPr="00F428F6">
        <w:rPr>
          <w:rFonts w:ascii="Times New Roman" w:hAnsi="Times New Roman" w:cs="Times New Roman"/>
        </w:rPr>
        <w:t xml:space="preserve"> p. 380, l’auteur relève </w:t>
      </w:r>
      <w:r w:rsidR="004B7927" w:rsidRPr="00F428F6">
        <w:rPr>
          <w:rFonts w:ascii="Times New Roman" w:hAnsi="Times New Roman" w:cs="Times New Roman"/>
        </w:rPr>
        <w:t>en effet qu’ « </w:t>
      </w:r>
      <w:r w:rsidR="004B7927" w:rsidRPr="00F428F6">
        <w:rPr>
          <w:rFonts w:ascii="Times New Roman" w:hAnsi="Times New Roman" w:cs="Times New Roman"/>
          <w:i/>
          <w:iCs/>
        </w:rPr>
        <w:t>il convient de ne pas confondre la subrogation personnelle (…), avec un cas particulier de subrogation que la L.A. prévoit dans le domaine des assurances de choses</w:t>
      </w:r>
      <w:r w:rsidR="004B7927" w:rsidRPr="00F428F6">
        <w:rPr>
          <w:rFonts w:ascii="Times New Roman" w:hAnsi="Times New Roman" w:cs="Times New Roman"/>
        </w:rPr>
        <w:t xml:space="preserve"> ». </w:t>
      </w:r>
      <w:proofErr w:type="spellStart"/>
      <w:r w:rsidR="004B7927" w:rsidRPr="00F428F6">
        <w:rPr>
          <w:rFonts w:ascii="Times New Roman" w:hAnsi="Times New Roman" w:cs="Times New Roman"/>
        </w:rPr>
        <w:t>Voy</w:t>
      </w:r>
      <w:proofErr w:type="spellEnd"/>
      <w:r w:rsidR="004B7927" w:rsidRPr="00F428F6">
        <w:rPr>
          <w:rFonts w:ascii="Times New Roman" w:hAnsi="Times New Roman" w:cs="Times New Roman"/>
        </w:rPr>
        <w:t xml:space="preserve">. encore : V. NICAISE, « La portée de la réforme des sûretés réelles mobilières sur le secteur des assurances », </w:t>
      </w:r>
      <w:r w:rsidR="004B7927" w:rsidRPr="00F428F6">
        <w:rPr>
          <w:rFonts w:ascii="Times New Roman" w:hAnsi="Times New Roman" w:cs="Times New Roman"/>
          <w:i/>
          <w:iCs/>
        </w:rPr>
        <w:t>op.cit</w:t>
      </w:r>
      <w:r w:rsidR="004B7927" w:rsidRPr="00F428F6">
        <w:rPr>
          <w:rFonts w:ascii="Times New Roman" w:hAnsi="Times New Roman" w:cs="Times New Roman"/>
        </w:rPr>
        <w:t xml:space="preserve">., p. 126 ; </w:t>
      </w:r>
      <w:r w:rsidR="00AA02A9" w:rsidRPr="00F428F6">
        <w:rPr>
          <w:rFonts w:ascii="Times New Roman" w:hAnsi="Times New Roman" w:cs="Times New Roman"/>
        </w:rPr>
        <w:t xml:space="preserve">P. VANDERGETEN, « Les sinistres », </w:t>
      </w:r>
      <w:r w:rsidR="00AA02A9" w:rsidRPr="00F428F6">
        <w:rPr>
          <w:rFonts w:ascii="Times New Roman" w:hAnsi="Times New Roman" w:cs="Times New Roman"/>
          <w:i/>
          <w:iCs/>
        </w:rPr>
        <w:t>op.cit</w:t>
      </w:r>
      <w:r w:rsidR="00AA02A9" w:rsidRPr="00F428F6">
        <w:rPr>
          <w:rFonts w:ascii="Times New Roman" w:hAnsi="Times New Roman" w:cs="Times New Roman"/>
        </w:rPr>
        <w:t xml:space="preserve">., p. 184 ; </w:t>
      </w:r>
      <w:r w:rsidRPr="00F428F6">
        <w:rPr>
          <w:rFonts w:ascii="Times New Roman" w:hAnsi="Times New Roman" w:cs="Times New Roman"/>
        </w:rPr>
        <w:t xml:space="preserve">J. FAGNART, </w:t>
      </w:r>
      <w:r w:rsidRPr="00F428F6">
        <w:rPr>
          <w:rFonts w:ascii="Times New Roman" w:hAnsi="Times New Roman" w:cs="Times New Roman"/>
          <w:i/>
          <w:iCs/>
        </w:rPr>
        <w:t>Traité de droit commercial</w:t>
      </w:r>
      <w:r w:rsidRPr="00F428F6">
        <w:rPr>
          <w:rFonts w:ascii="Times New Roman" w:hAnsi="Times New Roman" w:cs="Times New Roman"/>
        </w:rPr>
        <w:t xml:space="preserve">, </w:t>
      </w:r>
      <w:r w:rsidR="00AA02A9" w:rsidRPr="00F428F6">
        <w:rPr>
          <w:rFonts w:ascii="Times New Roman" w:hAnsi="Times New Roman" w:cs="Times New Roman"/>
          <w:i/>
          <w:iCs/>
        </w:rPr>
        <w:t>op.cit</w:t>
      </w:r>
      <w:r w:rsidR="00AA02A9" w:rsidRPr="00F428F6">
        <w:rPr>
          <w:rFonts w:ascii="Times New Roman" w:hAnsi="Times New Roman" w:cs="Times New Roman"/>
        </w:rPr>
        <w:t>., p. 427</w:t>
      </w:r>
      <w:r w:rsidR="004B7927" w:rsidRPr="00F428F6">
        <w:rPr>
          <w:rFonts w:ascii="Times New Roman" w:hAnsi="Times New Roman" w:cs="Times New Roman"/>
        </w:rPr>
        <w:t xml:space="preserve">. </w:t>
      </w:r>
    </w:p>
  </w:footnote>
  <w:footnote w:id="5">
    <w:p w14:paraId="48935A5F" w14:textId="5280553C" w:rsidR="00F379CA" w:rsidRPr="00F428F6" w:rsidRDefault="00B82462" w:rsidP="00F428F6">
      <w:pPr>
        <w:pStyle w:val="Notedebasdepage"/>
        <w:jc w:val="both"/>
        <w:rPr>
          <w:rFonts w:ascii="Times New Roman" w:hAnsi="Times New Roman" w:cs="Times New Roman"/>
        </w:rPr>
      </w:pPr>
      <w:r w:rsidRPr="00F428F6">
        <w:rPr>
          <w:rStyle w:val="Appelnotedebasdep"/>
          <w:rFonts w:ascii="Times New Roman" w:hAnsi="Times New Roman" w:cs="Times New Roman"/>
        </w:rPr>
        <w:footnoteRef/>
      </w:r>
      <w:r w:rsidRPr="00F428F6">
        <w:rPr>
          <w:rFonts w:ascii="Times New Roman" w:hAnsi="Times New Roman" w:cs="Times New Roman"/>
        </w:rPr>
        <w:t xml:space="preserve"> Sur ce mécanisme</w:t>
      </w:r>
      <w:r w:rsidR="004B7927" w:rsidRPr="00F428F6">
        <w:rPr>
          <w:rFonts w:ascii="Times New Roman" w:hAnsi="Times New Roman" w:cs="Times New Roman"/>
        </w:rPr>
        <w:t xml:space="preserve">, </w:t>
      </w:r>
      <w:proofErr w:type="spellStart"/>
      <w:r w:rsidR="004B7927" w:rsidRPr="00F428F6">
        <w:rPr>
          <w:rFonts w:ascii="Times New Roman" w:hAnsi="Times New Roman" w:cs="Times New Roman"/>
        </w:rPr>
        <w:t>voy</w:t>
      </w:r>
      <w:proofErr w:type="spellEnd"/>
      <w:r w:rsidR="004B7927" w:rsidRPr="00F428F6">
        <w:rPr>
          <w:rFonts w:ascii="Times New Roman" w:hAnsi="Times New Roman" w:cs="Times New Roman"/>
        </w:rPr>
        <w:t xml:space="preserve">. A. DURIAU, « Section 3. Subrogation réelle », </w:t>
      </w:r>
      <w:r w:rsidR="004B7927" w:rsidRPr="00F428F6">
        <w:rPr>
          <w:rFonts w:ascii="Times New Roman" w:hAnsi="Times New Roman" w:cs="Times New Roman"/>
          <w:i/>
          <w:iCs/>
        </w:rPr>
        <w:t>op.cit</w:t>
      </w:r>
      <w:r w:rsidR="004B7927" w:rsidRPr="00F428F6">
        <w:rPr>
          <w:rFonts w:ascii="Times New Roman" w:hAnsi="Times New Roman" w:cs="Times New Roman"/>
        </w:rPr>
        <w:t xml:space="preserve">., pp. 242 et s. ; P-Y. ERNEUX et B. PAQUOT, « Le livre 3 du Code civil, les concepts généraux et le droit fiscal », </w:t>
      </w:r>
      <w:proofErr w:type="spellStart"/>
      <w:r w:rsidR="004B7927" w:rsidRPr="00F428F6">
        <w:rPr>
          <w:rFonts w:ascii="Times New Roman" w:hAnsi="Times New Roman" w:cs="Times New Roman"/>
          <w:i/>
          <w:iCs/>
        </w:rPr>
        <w:t>Rev</w:t>
      </w:r>
      <w:proofErr w:type="spellEnd"/>
      <w:r w:rsidR="004B7927" w:rsidRPr="00F428F6">
        <w:rPr>
          <w:rFonts w:ascii="Times New Roman" w:hAnsi="Times New Roman" w:cs="Times New Roman"/>
          <w:i/>
          <w:iCs/>
        </w:rPr>
        <w:t xml:space="preserve">. </w:t>
      </w:r>
      <w:proofErr w:type="spellStart"/>
      <w:r w:rsidR="004B7927" w:rsidRPr="00F428F6">
        <w:rPr>
          <w:rFonts w:ascii="Times New Roman" w:hAnsi="Times New Roman" w:cs="Times New Roman"/>
          <w:i/>
          <w:iCs/>
        </w:rPr>
        <w:t>prat</w:t>
      </w:r>
      <w:proofErr w:type="spellEnd"/>
      <w:r w:rsidR="004B7927" w:rsidRPr="00F428F6">
        <w:rPr>
          <w:rFonts w:ascii="Times New Roman" w:hAnsi="Times New Roman" w:cs="Times New Roman"/>
          <w:i/>
          <w:iCs/>
        </w:rPr>
        <w:t xml:space="preserve">. </w:t>
      </w:r>
      <w:proofErr w:type="spellStart"/>
      <w:r w:rsidR="004B7927" w:rsidRPr="00F428F6">
        <w:rPr>
          <w:rFonts w:ascii="Times New Roman" w:hAnsi="Times New Roman" w:cs="Times New Roman"/>
          <w:i/>
          <w:iCs/>
        </w:rPr>
        <w:t>imm</w:t>
      </w:r>
      <w:proofErr w:type="spellEnd"/>
      <w:r w:rsidR="004B7927" w:rsidRPr="00F428F6">
        <w:rPr>
          <w:rFonts w:ascii="Times New Roman" w:hAnsi="Times New Roman" w:cs="Times New Roman"/>
        </w:rPr>
        <w:t xml:space="preserve">., 2022, pp. 34 et s. ; </w:t>
      </w:r>
      <w:r w:rsidR="00A609FC" w:rsidRPr="00F428F6">
        <w:rPr>
          <w:rFonts w:ascii="Times New Roman" w:hAnsi="Times New Roman" w:cs="Times New Roman"/>
        </w:rPr>
        <w:t xml:space="preserve">J. </w:t>
      </w:r>
      <w:r w:rsidR="00750BD8" w:rsidRPr="00F428F6">
        <w:rPr>
          <w:rFonts w:ascii="Times New Roman" w:hAnsi="Times New Roman" w:cs="Times New Roman"/>
        </w:rPr>
        <w:t xml:space="preserve">ROMAIN, « Art. 10 L. </w:t>
      </w:r>
      <w:proofErr w:type="spellStart"/>
      <w:r w:rsidR="00750BD8" w:rsidRPr="00F428F6">
        <w:rPr>
          <w:rFonts w:ascii="Times New Roman" w:hAnsi="Times New Roman" w:cs="Times New Roman"/>
        </w:rPr>
        <w:t>Hyp</w:t>
      </w:r>
      <w:proofErr w:type="spellEnd"/>
      <w:r w:rsidR="00750BD8" w:rsidRPr="00F428F6">
        <w:rPr>
          <w:rFonts w:ascii="Times New Roman" w:hAnsi="Times New Roman" w:cs="Times New Roman"/>
        </w:rPr>
        <w:t xml:space="preserve">. : éléments récents et suites du livre 3 du nouveau Code civil en droit des biens », in </w:t>
      </w:r>
      <w:r w:rsidR="00750BD8" w:rsidRPr="00F428F6">
        <w:rPr>
          <w:rFonts w:ascii="Times New Roman" w:hAnsi="Times New Roman" w:cs="Times New Roman"/>
          <w:i/>
          <w:iCs/>
        </w:rPr>
        <w:t>Privilèges et hypothèques</w:t>
      </w:r>
      <w:r w:rsidR="00750BD8" w:rsidRPr="00F428F6">
        <w:rPr>
          <w:rFonts w:ascii="Times New Roman" w:hAnsi="Times New Roman" w:cs="Times New Roman"/>
        </w:rPr>
        <w:t xml:space="preserve">, Wolters Kluwer, </w:t>
      </w:r>
      <w:proofErr w:type="spellStart"/>
      <w:r w:rsidR="00750BD8" w:rsidRPr="00F428F6">
        <w:rPr>
          <w:rFonts w:ascii="Times New Roman" w:hAnsi="Times New Roman" w:cs="Times New Roman"/>
        </w:rPr>
        <w:t>feuill</w:t>
      </w:r>
      <w:proofErr w:type="spellEnd"/>
      <w:r w:rsidR="00750BD8" w:rsidRPr="00F428F6">
        <w:rPr>
          <w:rFonts w:ascii="Times New Roman" w:hAnsi="Times New Roman" w:cs="Times New Roman"/>
        </w:rPr>
        <w:t xml:space="preserve">. mob. suppl. 2022, pp. 9 et s. ; </w:t>
      </w:r>
      <w:r w:rsidR="00F379CA" w:rsidRPr="00F428F6">
        <w:rPr>
          <w:rFonts w:ascii="Times New Roman" w:hAnsi="Times New Roman" w:cs="Times New Roman"/>
        </w:rPr>
        <w:t xml:space="preserve">V. SAGAERT, </w:t>
      </w:r>
      <w:proofErr w:type="spellStart"/>
      <w:r w:rsidR="00F379CA" w:rsidRPr="00F428F6">
        <w:rPr>
          <w:rFonts w:ascii="Times New Roman" w:hAnsi="Times New Roman" w:cs="Times New Roman"/>
          <w:i/>
          <w:iCs/>
        </w:rPr>
        <w:t>Goederenrecht</w:t>
      </w:r>
      <w:proofErr w:type="spellEnd"/>
      <w:r w:rsidR="00F379CA" w:rsidRPr="00F428F6">
        <w:rPr>
          <w:rFonts w:ascii="Times New Roman" w:hAnsi="Times New Roman" w:cs="Times New Roman"/>
        </w:rPr>
        <w:t xml:space="preserve">, Wolters Kluwer, 2021, pp. 188 et s. ; </w:t>
      </w:r>
      <w:r w:rsidR="004B7927" w:rsidRPr="00F428F6">
        <w:rPr>
          <w:rFonts w:ascii="Times New Roman" w:hAnsi="Times New Roman" w:cs="Times New Roman"/>
        </w:rPr>
        <w:t xml:space="preserve">Fl. GEORGE et X. THUNIS, « La subrogation : un mécanisme hybride, une institution polymorphe », </w:t>
      </w:r>
      <w:r w:rsidR="004B7927" w:rsidRPr="00F428F6">
        <w:rPr>
          <w:rFonts w:ascii="Times New Roman" w:hAnsi="Times New Roman" w:cs="Times New Roman"/>
          <w:i/>
          <w:iCs/>
        </w:rPr>
        <w:t>op.cit</w:t>
      </w:r>
      <w:r w:rsidR="004B7927" w:rsidRPr="00F428F6">
        <w:rPr>
          <w:rFonts w:ascii="Times New Roman" w:hAnsi="Times New Roman" w:cs="Times New Roman"/>
        </w:rPr>
        <w:t>. pp. 29 et s. </w:t>
      </w:r>
    </w:p>
  </w:footnote>
  <w:footnote w:id="6">
    <w:p w14:paraId="58CB9358" w14:textId="3F61B406" w:rsidR="00750BD8" w:rsidRPr="00F428F6" w:rsidRDefault="00750BD8" w:rsidP="00F428F6">
      <w:pPr>
        <w:pStyle w:val="Notedebasdepage"/>
        <w:jc w:val="both"/>
        <w:rPr>
          <w:rFonts w:ascii="Times New Roman" w:hAnsi="Times New Roman" w:cs="Times New Roman"/>
        </w:rPr>
      </w:pPr>
      <w:r w:rsidRPr="00F428F6">
        <w:rPr>
          <w:rStyle w:val="Appelnotedebasdep"/>
          <w:rFonts w:ascii="Times New Roman" w:hAnsi="Times New Roman" w:cs="Times New Roman"/>
        </w:rPr>
        <w:footnoteRef/>
      </w:r>
      <w:r w:rsidRPr="00F428F6">
        <w:rPr>
          <w:rFonts w:ascii="Times New Roman" w:hAnsi="Times New Roman" w:cs="Times New Roman"/>
        </w:rPr>
        <w:t xml:space="preserve"> L’article 10 de la loi hypothécaire a été abrogé par l’article 29, 4° de la loi du 4 février 2020 (</w:t>
      </w:r>
      <w:r w:rsidRPr="00F428F6">
        <w:rPr>
          <w:rFonts w:ascii="Times New Roman" w:hAnsi="Times New Roman" w:cs="Times New Roman"/>
          <w:i/>
          <w:iCs/>
        </w:rPr>
        <w:t>M.B</w:t>
      </w:r>
      <w:r w:rsidRPr="00F428F6">
        <w:rPr>
          <w:rFonts w:ascii="Times New Roman" w:hAnsi="Times New Roman" w:cs="Times New Roman"/>
        </w:rPr>
        <w:t xml:space="preserve">., 17 mars 2020) introduisant le livre 3 du Code civil. Pour un commentaire de l’ancien article 10 de la loi hypothécaire dont de nombreux principes restent transposables </w:t>
      </w:r>
      <w:r w:rsidRPr="00F428F6">
        <w:rPr>
          <w:rFonts w:ascii="Times New Roman" w:hAnsi="Times New Roman" w:cs="Times New Roman"/>
          <w:i/>
          <w:iCs/>
        </w:rPr>
        <w:t xml:space="preserve">de lege </w:t>
      </w:r>
      <w:proofErr w:type="spellStart"/>
      <w:r w:rsidRPr="00F428F6">
        <w:rPr>
          <w:rFonts w:ascii="Times New Roman" w:hAnsi="Times New Roman" w:cs="Times New Roman"/>
          <w:i/>
          <w:iCs/>
        </w:rPr>
        <w:t>lata</w:t>
      </w:r>
      <w:proofErr w:type="spellEnd"/>
      <w:r w:rsidRPr="00F428F6">
        <w:rPr>
          <w:rFonts w:ascii="Times New Roman" w:hAnsi="Times New Roman" w:cs="Times New Roman"/>
        </w:rPr>
        <w:t xml:space="preserve"> : Fr. GEORGES et A. CUYPERS, « Art. 10 L. </w:t>
      </w:r>
      <w:proofErr w:type="spellStart"/>
      <w:r w:rsidRPr="00F428F6">
        <w:rPr>
          <w:rFonts w:ascii="Times New Roman" w:hAnsi="Times New Roman" w:cs="Times New Roman"/>
        </w:rPr>
        <w:t>Hyp</w:t>
      </w:r>
      <w:proofErr w:type="spellEnd"/>
      <w:r w:rsidRPr="00F428F6">
        <w:rPr>
          <w:rFonts w:ascii="Times New Roman" w:hAnsi="Times New Roman" w:cs="Times New Roman"/>
        </w:rPr>
        <w:t xml:space="preserve">. », in </w:t>
      </w:r>
      <w:r w:rsidRPr="00F428F6">
        <w:rPr>
          <w:rFonts w:ascii="Times New Roman" w:hAnsi="Times New Roman" w:cs="Times New Roman"/>
          <w:i/>
          <w:iCs/>
        </w:rPr>
        <w:t>Privilèges et Hypothèques</w:t>
      </w:r>
      <w:r w:rsidRPr="00F428F6">
        <w:rPr>
          <w:rFonts w:ascii="Times New Roman" w:hAnsi="Times New Roman" w:cs="Times New Roman"/>
        </w:rPr>
        <w:t xml:space="preserve">, </w:t>
      </w:r>
      <w:r w:rsidR="007D7989" w:rsidRPr="00F428F6">
        <w:rPr>
          <w:rFonts w:ascii="Times New Roman" w:hAnsi="Times New Roman" w:cs="Times New Roman"/>
        </w:rPr>
        <w:t xml:space="preserve">Wolters Kluwer, </w:t>
      </w:r>
      <w:proofErr w:type="spellStart"/>
      <w:r w:rsidRPr="00F428F6">
        <w:rPr>
          <w:rFonts w:ascii="Times New Roman" w:hAnsi="Times New Roman" w:cs="Times New Roman"/>
        </w:rPr>
        <w:t>feuill.mob.suppl</w:t>
      </w:r>
      <w:proofErr w:type="spellEnd"/>
      <w:r w:rsidRPr="00F428F6">
        <w:rPr>
          <w:rFonts w:ascii="Times New Roman" w:hAnsi="Times New Roman" w:cs="Times New Roman"/>
        </w:rPr>
        <w:t>. 1998, pp. 57 et s.</w:t>
      </w:r>
    </w:p>
  </w:footnote>
  <w:footnote w:id="7">
    <w:p w14:paraId="45552125" w14:textId="38B396DB" w:rsidR="00A609FC" w:rsidRPr="00F428F6" w:rsidRDefault="00426925" w:rsidP="00F428F6">
      <w:pPr>
        <w:pStyle w:val="Notedebasdepage"/>
        <w:jc w:val="both"/>
        <w:rPr>
          <w:rFonts w:ascii="Times New Roman" w:hAnsi="Times New Roman" w:cs="Times New Roman"/>
        </w:rPr>
      </w:pPr>
      <w:r w:rsidRPr="00F428F6">
        <w:rPr>
          <w:rStyle w:val="Appelnotedebasdep"/>
          <w:rFonts w:ascii="Times New Roman" w:hAnsi="Times New Roman" w:cs="Times New Roman"/>
        </w:rPr>
        <w:footnoteRef/>
      </w:r>
      <w:r w:rsidRPr="00F428F6">
        <w:rPr>
          <w:rFonts w:ascii="Times New Roman" w:hAnsi="Times New Roman" w:cs="Times New Roman"/>
        </w:rPr>
        <w:t xml:space="preserve"> </w:t>
      </w:r>
      <w:r w:rsidR="00750BD8" w:rsidRPr="00F428F6">
        <w:rPr>
          <w:rFonts w:ascii="Times New Roman" w:hAnsi="Times New Roman" w:cs="Times New Roman"/>
        </w:rPr>
        <w:t>V. NICAISE</w:t>
      </w:r>
      <w:r w:rsidR="00320E7D" w:rsidRPr="00F428F6">
        <w:rPr>
          <w:rFonts w:ascii="Times New Roman" w:hAnsi="Times New Roman" w:cs="Times New Roman"/>
        </w:rPr>
        <w:t xml:space="preserve">, « La portée de la réforme des sûretés réelles mobilières sur le secteur des assurances », </w:t>
      </w:r>
      <w:r w:rsidR="00750BD8" w:rsidRPr="00F428F6">
        <w:rPr>
          <w:rFonts w:ascii="Times New Roman" w:hAnsi="Times New Roman" w:cs="Times New Roman"/>
          <w:i/>
          <w:iCs/>
        </w:rPr>
        <w:t xml:space="preserve">op.cit., </w:t>
      </w:r>
      <w:r w:rsidR="00320E7D" w:rsidRPr="00F428F6">
        <w:rPr>
          <w:rFonts w:ascii="Times New Roman" w:hAnsi="Times New Roman" w:cs="Times New Roman"/>
        </w:rPr>
        <w:t xml:space="preserve">note </w:t>
      </w:r>
      <w:r w:rsidR="00750BD8" w:rsidRPr="00F428F6">
        <w:rPr>
          <w:rFonts w:ascii="Times New Roman" w:hAnsi="Times New Roman" w:cs="Times New Roman"/>
        </w:rPr>
        <w:t xml:space="preserve">infrapaginale </w:t>
      </w:r>
      <w:r w:rsidR="00320E7D" w:rsidRPr="00F428F6">
        <w:rPr>
          <w:rFonts w:ascii="Times New Roman" w:hAnsi="Times New Roman" w:cs="Times New Roman"/>
        </w:rPr>
        <w:t xml:space="preserve">n°22 ; </w:t>
      </w:r>
      <w:r w:rsidR="00750BD8" w:rsidRPr="00F428F6">
        <w:rPr>
          <w:rFonts w:ascii="Times New Roman" w:hAnsi="Times New Roman" w:cs="Times New Roman"/>
        </w:rPr>
        <w:t>Fr. GEORGES et A. CUYPERS, « </w:t>
      </w:r>
      <w:r w:rsidR="00A609FC" w:rsidRPr="00F428F6">
        <w:rPr>
          <w:rFonts w:ascii="Times New Roman" w:hAnsi="Times New Roman" w:cs="Times New Roman"/>
        </w:rPr>
        <w:t xml:space="preserve">Art. 10 L. </w:t>
      </w:r>
      <w:proofErr w:type="spellStart"/>
      <w:r w:rsidR="00A609FC" w:rsidRPr="00F428F6">
        <w:rPr>
          <w:rFonts w:ascii="Times New Roman" w:hAnsi="Times New Roman" w:cs="Times New Roman"/>
        </w:rPr>
        <w:t>Hyp</w:t>
      </w:r>
      <w:proofErr w:type="spellEnd"/>
      <w:r w:rsidR="00A609FC" w:rsidRPr="00F428F6">
        <w:rPr>
          <w:rFonts w:ascii="Times New Roman" w:hAnsi="Times New Roman" w:cs="Times New Roman"/>
        </w:rPr>
        <w:t xml:space="preserve">. », </w:t>
      </w:r>
      <w:r w:rsidR="00A609FC" w:rsidRPr="00F428F6">
        <w:rPr>
          <w:rFonts w:ascii="Times New Roman" w:hAnsi="Times New Roman" w:cs="Times New Roman"/>
          <w:i/>
          <w:iCs/>
        </w:rPr>
        <w:t>ibid.,</w:t>
      </w:r>
      <w:r w:rsidR="00A609FC" w:rsidRPr="00F428F6">
        <w:rPr>
          <w:rFonts w:ascii="Times New Roman" w:hAnsi="Times New Roman" w:cs="Times New Roman"/>
        </w:rPr>
        <w:t xml:space="preserve"> p. 60. En ce sens : B. DUBUISSON, « Actualités législatives et jurisprudentielles dans les assurances de choses et de frais »,</w:t>
      </w:r>
      <w:r w:rsidR="007D7989" w:rsidRPr="00F428F6">
        <w:rPr>
          <w:rFonts w:ascii="Times New Roman" w:hAnsi="Times New Roman" w:cs="Times New Roman"/>
        </w:rPr>
        <w:t xml:space="preserve"> pp. 161. </w:t>
      </w:r>
      <w:proofErr w:type="spellStart"/>
      <w:r w:rsidR="00A609FC" w:rsidRPr="00F428F6">
        <w:rPr>
          <w:rFonts w:ascii="Times New Roman" w:hAnsi="Times New Roman" w:cs="Times New Roman"/>
        </w:rPr>
        <w:t>Comp</w:t>
      </w:r>
      <w:proofErr w:type="spellEnd"/>
      <w:r w:rsidR="00A609FC" w:rsidRPr="00F428F6">
        <w:rPr>
          <w:rFonts w:ascii="Times New Roman" w:hAnsi="Times New Roman" w:cs="Times New Roman"/>
        </w:rPr>
        <w:t xml:space="preserve">. J. ROMAIN, « Art. 10 L. </w:t>
      </w:r>
      <w:proofErr w:type="spellStart"/>
      <w:r w:rsidR="00A609FC" w:rsidRPr="00F428F6">
        <w:rPr>
          <w:rFonts w:ascii="Times New Roman" w:hAnsi="Times New Roman" w:cs="Times New Roman"/>
        </w:rPr>
        <w:t>Hyp</w:t>
      </w:r>
      <w:proofErr w:type="spellEnd"/>
      <w:r w:rsidR="00A609FC" w:rsidRPr="00F428F6">
        <w:rPr>
          <w:rFonts w:ascii="Times New Roman" w:hAnsi="Times New Roman" w:cs="Times New Roman"/>
        </w:rPr>
        <w:t xml:space="preserve">. », </w:t>
      </w:r>
      <w:r w:rsidR="00A609FC" w:rsidRPr="00F428F6">
        <w:rPr>
          <w:rFonts w:ascii="Times New Roman" w:hAnsi="Times New Roman" w:cs="Times New Roman"/>
          <w:i/>
          <w:iCs/>
        </w:rPr>
        <w:t>op.cit</w:t>
      </w:r>
      <w:r w:rsidR="00A609FC" w:rsidRPr="00F428F6">
        <w:rPr>
          <w:rFonts w:ascii="Times New Roman" w:hAnsi="Times New Roman" w:cs="Times New Roman"/>
        </w:rPr>
        <w:t xml:space="preserve">., p. 33. L’article 10 de la loi hypothécaire avait, par exemple, vocation à s’appliquer lorsqu’un tiers était tenu de payer une indemnité sur base de l’article 1382 de l’ancien Code civil (Fr. GEORGES et A. CUYPERS, « Art. 10 L. </w:t>
      </w:r>
      <w:proofErr w:type="spellStart"/>
      <w:r w:rsidR="00A609FC" w:rsidRPr="00F428F6">
        <w:rPr>
          <w:rFonts w:ascii="Times New Roman" w:hAnsi="Times New Roman" w:cs="Times New Roman"/>
        </w:rPr>
        <w:t>Hyp</w:t>
      </w:r>
      <w:proofErr w:type="spellEnd"/>
      <w:r w:rsidR="00A609FC" w:rsidRPr="00F428F6">
        <w:rPr>
          <w:rFonts w:ascii="Times New Roman" w:hAnsi="Times New Roman" w:cs="Times New Roman"/>
        </w:rPr>
        <w:t xml:space="preserve">. », </w:t>
      </w:r>
      <w:r w:rsidR="00A609FC" w:rsidRPr="00F428F6">
        <w:rPr>
          <w:rFonts w:ascii="Times New Roman" w:hAnsi="Times New Roman" w:cs="Times New Roman"/>
          <w:i/>
          <w:iCs/>
        </w:rPr>
        <w:t>ibid</w:t>
      </w:r>
      <w:r w:rsidR="00A609FC" w:rsidRPr="00F428F6">
        <w:rPr>
          <w:rFonts w:ascii="Times New Roman" w:hAnsi="Times New Roman" w:cs="Times New Roman"/>
        </w:rPr>
        <w:t xml:space="preserve">., p. 60). </w:t>
      </w:r>
      <w:r w:rsidR="00320E7D" w:rsidRPr="00F428F6">
        <w:rPr>
          <w:rFonts w:ascii="Times New Roman" w:hAnsi="Times New Roman" w:cs="Times New Roman"/>
        </w:rPr>
        <w:t xml:space="preserve">Il convient maintenant, si le créancier hypothécaire entend bénéficier du mécanisme de la subrogation réelle et hors le cas de l’indemnité basée sur l’article 112 de la L.A ou d’autres dispositions légales spécifiques, de se référer à l’article 3.10 du Code civil. </w:t>
      </w:r>
    </w:p>
  </w:footnote>
  <w:footnote w:id="8">
    <w:p w14:paraId="58351BD7" w14:textId="3D395F67" w:rsidR="00320E7D" w:rsidRPr="00F428F6" w:rsidRDefault="00320E7D" w:rsidP="00F428F6">
      <w:pPr>
        <w:pStyle w:val="Notedebasdepage"/>
        <w:jc w:val="both"/>
        <w:rPr>
          <w:rFonts w:ascii="Times New Roman" w:hAnsi="Times New Roman" w:cs="Times New Roman"/>
          <w:lang w:val="fr-FR"/>
        </w:rPr>
      </w:pPr>
      <w:r w:rsidRPr="00F428F6">
        <w:rPr>
          <w:rStyle w:val="Appelnotedebasdep"/>
          <w:rFonts w:ascii="Times New Roman" w:hAnsi="Times New Roman" w:cs="Times New Roman"/>
        </w:rPr>
        <w:footnoteRef/>
      </w:r>
      <w:r w:rsidRPr="00F428F6">
        <w:rPr>
          <w:rFonts w:ascii="Times New Roman" w:hAnsi="Times New Roman" w:cs="Times New Roman"/>
        </w:rPr>
        <w:t xml:space="preserve"> Insérés suite à la réforme des sûretés réelles mobilières introduite par la loi du 11 juillet 201</w:t>
      </w:r>
      <w:r w:rsidR="00A609FC" w:rsidRPr="00F428F6">
        <w:rPr>
          <w:rFonts w:ascii="Times New Roman" w:hAnsi="Times New Roman" w:cs="Times New Roman"/>
        </w:rPr>
        <w:t>3</w:t>
      </w:r>
      <w:r w:rsidRPr="00F428F6">
        <w:rPr>
          <w:rFonts w:ascii="Times New Roman" w:hAnsi="Times New Roman" w:cs="Times New Roman"/>
        </w:rPr>
        <w:t xml:space="preserve"> modifiant le Code civil en ce qui concerne les sûretés réelles mo</w:t>
      </w:r>
      <w:r w:rsidRPr="00F428F6">
        <w:rPr>
          <w:rFonts w:ascii="Times New Roman" w:hAnsi="Times New Roman" w:cs="Times New Roman"/>
          <w:lang w:val="fr-FR"/>
        </w:rPr>
        <w:t xml:space="preserve"> mobilières et abrogeant diverses dispositions en cette matière, </w:t>
      </w:r>
      <w:r w:rsidRPr="00F428F6">
        <w:rPr>
          <w:rFonts w:ascii="Times New Roman" w:hAnsi="Times New Roman" w:cs="Times New Roman"/>
          <w:i/>
          <w:iCs/>
          <w:lang w:val="fr-FR"/>
        </w:rPr>
        <w:t>M.B.,</w:t>
      </w:r>
      <w:r w:rsidRPr="00F428F6">
        <w:rPr>
          <w:rFonts w:ascii="Times New Roman" w:hAnsi="Times New Roman" w:cs="Times New Roman"/>
          <w:lang w:val="fr-FR"/>
        </w:rPr>
        <w:t xml:space="preserve"> 2 août 2013. </w:t>
      </w:r>
      <w:r w:rsidR="00A609FC" w:rsidRPr="00F428F6">
        <w:rPr>
          <w:rFonts w:ascii="Times New Roman" w:hAnsi="Times New Roman" w:cs="Times New Roman"/>
          <w:lang w:val="fr-FR"/>
        </w:rPr>
        <w:t xml:space="preserve">Sur cette réforme, </w:t>
      </w:r>
      <w:proofErr w:type="spellStart"/>
      <w:r w:rsidR="00A609FC" w:rsidRPr="00F428F6">
        <w:rPr>
          <w:rFonts w:ascii="Times New Roman" w:hAnsi="Times New Roman" w:cs="Times New Roman"/>
          <w:lang w:val="fr-FR"/>
        </w:rPr>
        <w:t>voy</w:t>
      </w:r>
      <w:proofErr w:type="spellEnd"/>
      <w:r w:rsidR="00A609FC" w:rsidRPr="00F428F6">
        <w:rPr>
          <w:rFonts w:ascii="Times New Roman" w:hAnsi="Times New Roman" w:cs="Times New Roman"/>
          <w:lang w:val="fr-FR"/>
        </w:rPr>
        <w:t>. M. GREGOIRE, « La modification du Code civil en ce qui concerne les sûretés réelles mobilières », in A. ZENNER (</w:t>
      </w:r>
      <w:proofErr w:type="spellStart"/>
      <w:r w:rsidR="00A609FC" w:rsidRPr="00F428F6">
        <w:rPr>
          <w:rFonts w:ascii="Times New Roman" w:hAnsi="Times New Roman" w:cs="Times New Roman"/>
          <w:lang w:val="fr-FR"/>
        </w:rPr>
        <w:t>dir</w:t>
      </w:r>
      <w:proofErr w:type="spellEnd"/>
      <w:r w:rsidR="00A609FC" w:rsidRPr="00F428F6">
        <w:rPr>
          <w:rFonts w:ascii="Times New Roman" w:hAnsi="Times New Roman" w:cs="Times New Roman"/>
          <w:lang w:val="fr-FR"/>
        </w:rPr>
        <w:t xml:space="preserve">.), </w:t>
      </w:r>
      <w:r w:rsidR="00A609FC" w:rsidRPr="00F428F6">
        <w:rPr>
          <w:rFonts w:ascii="Times New Roman" w:hAnsi="Times New Roman" w:cs="Times New Roman"/>
          <w:i/>
          <w:iCs/>
          <w:lang w:val="fr-FR"/>
        </w:rPr>
        <w:t>Paiement, insolvabilité et réorganisation, Bruxelles</w:t>
      </w:r>
      <w:r w:rsidR="00A609FC" w:rsidRPr="00F428F6">
        <w:rPr>
          <w:rFonts w:ascii="Times New Roman" w:hAnsi="Times New Roman" w:cs="Times New Roman"/>
          <w:lang w:val="fr-FR"/>
        </w:rPr>
        <w:t xml:space="preserve">, Larcier, 2015, pp. 31 et s. ; </w:t>
      </w:r>
      <w:r w:rsidRPr="00F428F6">
        <w:rPr>
          <w:rFonts w:ascii="Times New Roman" w:hAnsi="Times New Roman" w:cs="Times New Roman"/>
          <w:lang w:val="fr-FR"/>
        </w:rPr>
        <w:t xml:space="preserve">Fr. GEORGES, « La réforme des sûretés mobilières », </w:t>
      </w:r>
      <w:r w:rsidRPr="00F428F6">
        <w:rPr>
          <w:rFonts w:ascii="Times New Roman" w:hAnsi="Times New Roman" w:cs="Times New Roman"/>
          <w:i/>
          <w:iCs/>
          <w:lang w:val="fr-FR"/>
        </w:rPr>
        <w:t>R.F.D.L</w:t>
      </w:r>
      <w:r w:rsidRPr="00F428F6">
        <w:rPr>
          <w:rFonts w:ascii="Times New Roman" w:hAnsi="Times New Roman" w:cs="Times New Roman"/>
          <w:lang w:val="fr-FR"/>
        </w:rPr>
        <w:t>., 2013, pp. 319 et s.</w:t>
      </w:r>
      <w:r w:rsidR="00A609FC" w:rsidRPr="00F428F6">
        <w:rPr>
          <w:rFonts w:ascii="Times New Roman" w:hAnsi="Times New Roman" w:cs="Times New Roman"/>
          <w:lang w:val="fr-FR"/>
        </w:rPr>
        <w:t> ; du même auteur :</w:t>
      </w:r>
      <w:r w:rsidRPr="00F428F6">
        <w:rPr>
          <w:rFonts w:ascii="Times New Roman" w:hAnsi="Times New Roman" w:cs="Times New Roman"/>
          <w:lang w:val="fr-FR"/>
        </w:rPr>
        <w:t xml:space="preserve"> « La réforme des sûretés mobilières », </w:t>
      </w:r>
      <w:proofErr w:type="spellStart"/>
      <w:r w:rsidRPr="00F428F6">
        <w:rPr>
          <w:rFonts w:ascii="Times New Roman" w:hAnsi="Times New Roman" w:cs="Times New Roman"/>
          <w:i/>
          <w:iCs/>
          <w:lang w:val="fr-FR"/>
        </w:rPr>
        <w:t>Ius</w:t>
      </w:r>
      <w:proofErr w:type="spellEnd"/>
      <w:r w:rsidRPr="00F428F6">
        <w:rPr>
          <w:rFonts w:ascii="Times New Roman" w:hAnsi="Times New Roman" w:cs="Times New Roman"/>
          <w:i/>
          <w:iCs/>
          <w:lang w:val="fr-FR"/>
        </w:rPr>
        <w:t xml:space="preserve"> et </w:t>
      </w:r>
      <w:proofErr w:type="spellStart"/>
      <w:r w:rsidRPr="00F428F6">
        <w:rPr>
          <w:rFonts w:ascii="Times New Roman" w:hAnsi="Times New Roman" w:cs="Times New Roman"/>
          <w:i/>
          <w:iCs/>
          <w:lang w:val="fr-FR"/>
        </w:rPr>
        <w:t>Actores</w:t>
      </w:r>
      <w:proofErr w:type="spellEnd"/>
      <w:r w:rsidRPr="00F428F6">
        <w:rPr>
          <w:rFonts w:ascii="Times New Roman" w:hAnsi="Times New Roman" w:cs="Times New Roman"/>
          <w:i/>
          <w:iCs/>
          <w:lang w:val="fr-FR"/>
        </w:rPr>
        <w:t>, 2013</w:t>
      </w:r>
      <w:r w:rsidRPr="00F428F6">
        <w:rPr>
          <w:rFonts w:ascii="Times New Roman" w:hAnsi="Times New Roman" w:cs="Times New Roman"/>
          <w:lang w:val="fr-FR"/>
        </w:rPr>
        <w:t xml:space="preserve">, pp. 59 et </w:t>
      </w:r>
      <w:r w:rsidR="00A231A9" w:rsidRPr="00F428F6">
        <w:rPr>
          <w:rFonts w:ascii="Times New Roman" w:hAnsi="Times New Roman" w:cs="Times New Roman"/>
          <w:lang w:val="fr-FR"/>
        </w:rPr>
        <w:t xml:space="preserve">s., qui conservent une grande partie de leur pertinence malgré les réformes ultérieures de 2016 et 2019. </w:t>
      </w:r>
    </w:p>
  </w:footnote>
  <w:footnote w:id="9">
    <w:p w14:paraId="65B759E9" w14:textId="64957394" w:rsidR="002738FC" w:rsidRPr="00F428F6" w:rsidRDefault="002738FC" w:rsidP="00F428F6">
      <w:pPr>
        <w:pStyle w:val="Notedebasdepage"/>
        <w:jc w:val="both"/>
        <w:rPr>
          <w:rFonts w:ascii="Times New Roman" w:hAnsi="Times New Roman" w:cs="Times New Roman"/>
        </w:rPr>
      </w:pPr>
      <w:r w:rsidRPr="00F428F6">
        <w:rPr>
          <w:rStyle w:val="Appelnotedebasdep"/>
          <w:rFonts w:ascii="Times New Roman" w:hAnsi="Times New Roman" w:cs="Times New Roman"/>
        </w:rPr>
        <w:footnoteRef/>
      </w:r>
      <w:r w:rsidRPr="00F428F6">
        <w:rPr>
          <w:rFonts w:ascii="Times New Roman" w:hAnsi="Times New Roman" w:cs="Times New Roman"/>
        </w:rPr>
        <w:t xml:space="preserve"> A. DURIAU, « </w:t>
      </w:r>
      <w:r w:rsidR="00621190" w:rsidRPr="00F428F6">
        <w:rPr>
          <w:rFonts w:ascii="Times New Roman" w:hAnsi="Times New Roman" w:cs="Times New Roman"/>
        </w:rPr>
        <w:t xml:space="preserve">Section 3. </w:t>
      </w:r>
      <w:r w:rsidRPr="00F428F6">
        <w:rPr>
          <w:rFonts w:ascii="Times New Roman" w:hAnsi="Times New Roman" w:cs="Times New Roman"/>
        </w:rPr>
        <w:t>Subrogation réelle »,</w:t>
      </w:r>
      <w:r w:rsidR="00805474" w:rsidRPr="00F428F6">
        <w:rPr>
          <w:rFonts w:ascii="Times New Roman" w:hAnsi="Times New Roman" w:cs="Times New Roman"/>
        </w:rPr>
        <w:t xml:space="preserve"> </w:t>
      </w:r>
      <w:r w:rsidR="00805474" w:rsidRPr="00F428F6">
        <w:rPr>
          <w:rFonts w:ascii="Times New Roman" w:hAnsi="Times New Roman" w:cs="Times New Roman"/>
          <w:i/>
          <w:iCs/>
        </w:rPr>
        <w:t>op.cit</w:t>
      </w:r>
      <w:r w:rsidR="00805474" w:rsidRPr="00F428F6">
        <w:rPr>
          <w:rFonts w:ascii="Times New Roman" w:hAnsi="Times New Roman" w:cs="Times New Roman"/>
        </w:rPr>
        <w:t>.,</w:t>
      </w:r>
      <w:r w:rsidR="007D7989" w:rsidRPr="00F428F6">
        <w:rPr>
          <w:rFonts w:ascii="Times New Roman" w:hAnsi="Times New Roman" w:cs="Times New Roman"/>
        </w:rPr>
        <w:t xml:space="preserve"> </w:t>
      </w:r>
      <w:r w:rsidRPr="00F428F6">
        <w:rPr>
          <w:rFonts w:ascii="Times New Roman" w:hAnsi="Times New Roman" w:cs="Times New Roman"/>
        </w:rPr>
        <w:t xml:space="preserve">pp. 244 et s. </w:t>
      </w:r>
      <w:r w:rsidR="00621190" w:rsidRPr="00F428F6">
        <w:rPr>
          <w:rFonts w:ascii="Times New Roman" w:hAnsi="Times New Roman" w:cs="Times New Roman"/>
        </w:rPr>
        <w:t>Concernant l’application de la théorie de la subrogation réelle à l’indemnité due par le tréfoncier au superficiaire : Cass. (1</w:t>
      </w:r>
      <w:r w:rsidR="00621190" w:rsidRPr="00F428F6">
        <w:rPr>
          <w:rFonts w:ascii="Times New Roman" w:hAnsi="Times New Roman" w:cs="Times New Roman"/>
          <w:vertAlign w:val="superscript"/>
        </w:rPr>
        <w:t>re</w:t>
      </w:r>
      <w:r w:rsidR="00621190" w:rsidRPr="00F428F6">
        <w:rPr>
          <w:rFonts w:ascii="Times New Roman" w:hAnsi="Times New Roman" w:cs="Times New Roman"/>
        </w:rPr>
        <w:t xml:space="preserve"> ch.), 8 novembre 2019, </w:t>
      </w:r>
      <w:hyperlink r:id="rId1" w:history="1">
        <w:r w:rsidR="00621190" w:rsidRPr="00F428F6">
          <w:rPr>
            <w:rStyle w:val="Lienhypertexte"/>
            <w:rFonts w:ascii="Times New Roman" w:hAnsi="Times New Roman" w:cs="Times New Roman"/>
          </w:rPr>
          <w:t>www.juportal.be</w:t>
        </w:r>
      </w:hyperlink>
      <w:r w:rsidR="00621190" w:rsidRPr="00F428F6">
        <w:rPr>
          <w:rFonts w:ascii="Times New Roman" w:hAnsi="Times New Roman" w:cs="Times New Roman"/>
        </w:rPr>
        <w:t xml:space="preserve">. </w:t>
      </w:r>
      <w:r w:rsidR="007D7989" w:rsidRPr="00F428F6">
        <w:rPr>
          <w:rFonts w:ascii="Times New Roman" w:hAnsi="Times New Roman" w:cs="Times New Roman"/>
        </w:rPr>
        <w:t xml:space="preserve">A. </w:t>
      </w:r>
      <w:proofErr w:type="spellStart"/>
      <w:r w:rsidR="007D7989" w:rsidRPr="00F428F6">
        <w:rPr>
          <w:rFonts w:ascii="Times New Roman" w:hAnsi="Times New Roman" w:cs="Times New Roman"/>
        </w:rPr>
        <w:t>Duriau</w:t>
      </w:r>
      <w:proofErr w:type="spellEnd"/>
      <w:r w:rsidR="007D7989" w:rsidRPr="00F428F6">
        <w:rPr>
          <w:rFonts w:ascii="Times New Roman" w:hAnsi="Times New Roman" w:cs="Times New Roman"/>
        </w:rPr>
        <w:t xml:space="preserve"> estime que</w:t>
      </w:r>
      <w:r w:rsidR="00621190" w:rsidRPr="00F428F6">
        <w:rPr>
          <w:rFonts w:ascii="Times New Roman" w:hAnsi="Times New Roman" w:cs="Times New Roman"/>
        </w:rPr>
        <w:t>, depuis l’entrée en vigueur de l’article 3.10 du Code civil, l’indemnité due par le tréfoncier vise à compenser « </w:t>
      </w:r>
      <w:r w:rsidR="00621190" w:rsidRPr="00F428F6">
        <w:rPr>
          <w:rFonts w:ascii="Times New Roman" w:hAnsi="Times New Roman" w:cs="Times New Roman"/>
          <w:i/>
          <w:iCs/>
        </w:rPr>
        <w:t>le transfert dans le patrimoine du propriétaire des constructions effectuées par le titulaire du droit de superficie ou d’emphytéose (…), donc que l’indemnité vise à compenser la perte du droit réel. Ainsi, le créancier hypothécaire pourra appliquer utilement le principe de subrogation réelle dans cette situation</w:t>
      </w:r>
      <w:r w:rsidR="00621190" w:rsidRPr="00F428F6">
        <w:rPr>
          <w:rFonts w:ascii="Times New Roman" w:hAnsi="Times New Roman" w:cs="Times New Roman"/>
        </w:rPr>
        <w:t xml:space="preserve"> » (A. DURIAU, « Section 3. Subrogation réelle », </w:t>
      </w:r>
      <w:r w:rsidR="00476C87" w:rsidRPr="00F428F6">
        <w:rPr>
          <w:rFonts w:ascii="Times New Roman" w:hAnsi="Times New Roman" w:cs="Times New Roman"/>
          <w:i/>
          <w:iCs/>
        </w:rPr>
        <w:t>ibid.</w:t>
      </w:r>
      <w:r w:rsidR="00476C87" w:rsidRPr="00F428F6">
        <w:rPr>
          <w:rFonts w:ascii="Times New Roman" w:hAnsi="Times New Roman" w:cs="Times New Roman"/>
        </w:rPr>
        <w:t xml:space="preserve">, p. 246). Contra : L. BARNICH, « Une application discutable de la subrogation réelle », </w:t>
      </w:r>
      <w:r w:rsidR="00476C87" w:rsidRPr="00F428F6">
        <w:rPr>
          <w:rFonts w:ascii="Times New Roman" w:hAnsi="Times New Roman" w:cs="Times New Roman"/>
          <w:i/>
          <w:iCs/>
        </w:rPr>
        <w:t>R.C.J.B</w:t>
      </w:r>
      <w:r w:rsidR="00476C87" w:rsidRPr="00F428F6">
        <w:rPr>
          <w:rFonts w:ascii="Times New Roman" w:hAnsi="Times New Roman" w:cs="Times New Roman"/>
        </w:rPr>
        <w:t xml:space="preserve">., 2020, pp. 276 et s. </w:t>
      </w:r>
      <w:proofErr w:type="spellStart"/>
      <w:r w:rsidR="00476C87" w:rsidRPr="00F428F6">
        <w:rPr>
          <w:rFonts w:ascii="Times New Roman" w:hAnsi="Times New Roman" w:cs="Times New Roman"/>
        </w:rPr>
        <w:t>Voy</w:t>
      </w:r>
      <w:proofErr w:type="spellEnd"/>
      <w:r w:rsidR="00476C87" w:rsidRPr="00F428F6">
        <w:rPr>
          <w:rFonts w:ascii="Times New Roman" w:hAnsi="Times New Roman" w:cs="Times New Roman"/>
        </w:rPr>
        <w:t xml:space="preserve">. encore, sur ce sujet : </w:t>
      </w:r>
      <w:r w:rsidR="00AA02A9" w:rsidRPr="00F428F6">
        <w:rPr>
          <w:rFonts w:ascii="Times New Roman" w:hAnsi="Times New Roman" w:cs="Times New Roman"/>
        </w:rPr>
        <w:t xml:space="preserve">J. ROMAIN, « Art. 10 L. </w:t>
      </w:r>
      <w:proofErr w:type="spellStart"/>
      <w:r w:rsidR="00AA02A9" w:rsidRPr="00F428F6">
        <w:rPr>
          <w:rFonts w:ascii="Times New Roman" w:hAnsi="Times New Roman" w:cs="Times New Roman"/>
        </w:rPr>
        <w:t>Hyp</w:t>
      </w:r>
      <w:proofErr w:type="spellEnd"/>
      <w:r w:rsidR="00AA02A9" w:rsidRPr="00F428F6">
        <w:rPr>
          <w:rFonts w:ascii="Times New Roman" w:hAnsi="Times New Roman" w:cs="Times New Roman"/>
        </w:rPr>
        <w:t xml:space="preserve">. : éléments récents et suites du livre 3 du nouveau Code civil en droit des biens », </w:t>
      </w:r>
      <w:r w:rsidR="00750BD8" w:rsidRPr="00F428F6">
        <w:rPr>
          <w:rFonts w:ascii="Times New Roman" w:hAnsi="Times New Roman" w:cs="Times New Roman"/>
          <w:i/>
          <w:iCs/>
        </w:rPr>
        <w:t>op.cit</w:t>
      </w:r>
      <w:r w:rsidR="00750BD8" w:rsidRPr="00F428F6">
        <w:rPr>
          <w:rFonts w:ascii="Times New Roman" w:hAnsi="Times New Roman" w:cs="Times New Roman"/>
        </w:rPr>
        <w:t>.</w:t>
      </w:r>
      <w:r w:rsidR="00AA02A9" w:rsidRPr="00F428F6">
        <w:rPr>
          <w:rFonts w:ascii="Times New Roman" w:hAnsi="Times New Roman" w:cs="Times New Roman"/>
        </w:rPr>
        <w:t>, pp. 11 et s. </w:t>
      </w:r>
    </w:p>
  </w:footnote>
  <w:footnote w:id="10">
    <w:p w14:paraId="554683F5" w14:textId="33826435" w:rsidR="004A2173" w:rsidRPr="00F428F6" w:rsidRDefault="004A2173" w:rsidP="00F428F6">
      <w:pPr>
        <w:pStyle w:val="Notedebasdepage"/>
        <w:jc w:val="both"/>
        <w:rPr>
          <w:rFonts w:ascii="Times New Roman" w:hAnsi="Times New Roman" w:cs="Times New Roman"/>
        </w:rPr>
      </w:pPr>
      <w:r w:rsidRPr="00F428F6">
        <w:rPr>
          <w:rStyle w:val="Appelnotedebasdep"/>
          <w:rFonts w:ascii="Times New Roman" w:hAnsi="Times New Roman" w:cs="Times New Roman"/>
        </w:rPr>
        <w:footnoteRef/>
      </w:r>
      <w:r w:rsidRPr="00F428F6">
        <w:rPr>
          <w:rFonts w:ascii="Times New Roman" w:hAnsi="Times New Roman" w:cs="Times New Roman"/>
        </w:rPr>
        <w:t xml:space="preserve"> V. NICAISE,</w:t>
      </w:r>
      <w:r w:rsidR="00805474" w:rsidRPr="00F428F6">
        <w:rPr>
          <w:rFonts w:ascii="Times New Roman" w:hAnsi="Times New Roman" w:cs="Times New Roman"/>
        </w:rPr>
        <w:t xml:space="preserve"> « La portée de la réforme des sûretés réelles mobilières sur le secteur des assurances », </w:t>
      </w:r>
      <w:proofErr w:type="spellStart"/>
      <w:r w:rsidR="00805474" w:rsidRPr="00F428F6">
        <w:rPr>
          <w:rFonts w:ascii="Times New Roman" w:hAnsi="Times New Roman" w:cs="Times New Roman"/>
          <w:i/>
          <w:iCs/>
        </w:rPr>
        <w:t>op.cit</w:t>
      </w:r>
      <w:proofErr w:type="spellEnd"/>
      <w:r w:rsidR="00805474" w:rsidRPr="00F428F6">
        <w:rPr>
          <w:rFonts w:ascii="Times New Roman" w:hAnsi="Times New Roman" w:cs="Times New Roman"/>
          <w:i/>
          <w:iCs/>
        </w:rPr>
        <w:t xml:space="preserve">, </w:t>
      </w:r>
      <w:r w:rsidRPr="00F428F6">
        <w:rPr>
          <w:rFonts w:ascii="Times New Roman" w:hAnsi="Times New Roman" w:cs="Times New Roman"/>
        </w:rPr>
        <w:t xml:space="preserve">p. 126. </w:t>
      </w:r>
    </w:p>
  </w:footnote>
  <w:footnote w:id="11">
    <w:p w14:paraId="5A8C6F0B" w14:textId="2F89AD84" w:rsidR="003B77FD" w:rsidRPr="00F428F6" w:rsidRDefault="003B77FD" w:rsidP="00F428F6">
      <w:pPr>
        <w:pStyle w:val="Notedebasdepage"/>
        <w:jc w:val="both"/>
        <w:rPr>
          <w:rFonts w:ascii="Times New Roman" w:hAnsi="Times New Roman" w:cs="Times New Roman"/>
          <w:lang w:val="fr-FR"/>
        </w:rPr>
      </w:pPr>
      <w:r w:rsidRPr="00F428F6">
        <w:rPr>
          <w:rStyle w:val="Appelnotedebasdep"/>
          <w:rFonts w:ascii="Times New Roman" w:hAnsi="Times New Roman" w:cs="Times New Roman"/>
        </w:rPr>
        <w:footnoteRef/>
      </w:r>
      <w:r w:rsidRPr="00F428F6">
        <w:rPr>
          <w:rFonts w:ascii="Times New Roman" w:hAnsi="Times New Roman" w:cs="Times New Roman"/>
        </w:rPr>
        <w:t xml:space="preserve"> </w:t>
      </w:r>
      <w:r w:rsidRPr="00F428F6">
        <w:rPr>
          <w:rFonts w:ascii="Times New Roman" w:hAnsi="Times New Roman" w:cs="Times New Roman"/>
          <w:lang w:val="fr-FR"/>
        </w:rPr>
        <w:t xml:space="preserve">M. GREGOIRE, </w:t>
      </w:r>
      <w:r w:rsidRPr="00F428F6">
        <w:rPr>
          <w:rFonts w:ascii="Times New Roman" w:hAnsi="Times New Roman" w:cs="Times New Roman"/>
          <w:i/>
          <w:iCs/>
          <w:lang w:val="fr-FR"/>
        </w:rPr>
        <w:t>Publicité foncière, sûretés réelles et privilèges</w:t>
      </w:r>
      <w:r w:rsidRPr="00F428F6">
        <w:rPr>
          <w:rFonts w:ascii="Times New Roman" w:hAnsi="Times New Roman" w:cs="Times New Roman"/>
          <w:lang w:val="fr-FR"/>
        </w:rPr>
        <w:t xml:space="preserve">, </w:t>
      </w:r>
      <w:r w:rsidR="00D646E2" w:rsidRPr="00F428F6">
        <w:rPr>
          <w:rFonts w:ascii="Times New Roman" w:hAnsi="Times New Roman" w:cs="Times New Roman"/>
          <w:lang w:val="fr-FR"/>
        </w:rPr>
        <w:t xml:space="preserve">Bruylant, 2006, p. 263. </w:t>
      </w:r>
    </w:p>
  </w:footnote>
  <w:footnote w:id="12">
    <w:p w14:paraId="494EBE8F" w14:textId="567D42AF" w:rsidR="006126DE" w:rsidRPr="00653837" w:rsidRDefault="006126DE" w:rsidP="00F428F6">
      <w:pPr>
        <w:pStyle w:val="Notedebasdepage"/>
        <w:jc w:val="both"/>
        <w:rPr>
          <w:rFonts w:ascii="Times New Roman" w:hAnsi="Times New Roman" w:cs="Times New Roman"/>
        </w:rPr>
      </w:pPr>
      <w:r w:rsidRPr="00F428F6">
        <w:rPr>
          <w:rStyle w:val="Appelnotedebasdep"/>
          <w:rFonts w:ascii="Times New Roman" w:hAnsi="Times New Roman" w:cs="Times New Roman"/>
        </w:rPr>
        <w:footnoteRef/>
      </w:r>
      <w:r w:rsidRPr="00831CB7">
        <w:rPr>
          <w:rFonts w:ascii="Times New Roman" w:hAnsi="Times New Roman" w:cs="Times New Roman"/>
          <w:lang w:val="nl-BE"/>
        </w:rPr>
        <w:t xml:space="preserve"> </w:t>
      </w:r>
      <w:r w:rsidR="007D7989" w:rsidRPr="00831CB7">
        <w:rPr>
          <w:rFonts w:ascii="Times New Roman" w:hAnsi="Times New Roman" w:cs="Times New Roman"/>
          <w:lang w:val="nl-BE"/>
        </w:rPr>
        <w:t xml:space="preserve">V. SAGAERT, </w:t>
      </w:r>
      <w:r w:rsidR="007D7989" w:rsidRPr="00CB4520">
        <w:rPr>
          <w:rFonts w:ascii="Times New Roman" w:hAnsi="Times New Roman" w:cs="Times New Roman"/>
          <w:i/>
          <w:iCs/>
          <w:lang w:val="nl-BE"/>
        </w:rPr>
        <w:t>Goederenrecht</w:t>
      </w:r>
      <w:r w:rsidR="007D7989" w:rsidRPr="00831CB7">
        <w:rPr>
          <w:rFonts w:ascii="Times New Roman" w:hAnsi="Times New Roman" w:cs="Times New Roman"/>
          <w:lang w:val="nl-BE"/>
        </w:rPr>
        <w:t xml:space="preserve">, </w:t>
      </w:r>
      <w:r w:rsidR="007D7989" w:rsidRPr="00831CB7">
        <w:rPr>
          <w:rFonts w:ascii="Times New Roman" w:hAnsi="Times New Roman" w:cs="Times New Roman"/>
          <w:i/>
          <w:iCs/>
          <w:lang w:val="nl-BE"/>
        </w:rPr>
        <w:t>op.cit</w:t>
      </w:r>
      <w:r w:rsidR="007D7989" w:rsidRPr="00831CB7">
        <w:rPr>
          <w:rFonts w:ascii="Times New Roman" w:hAnsi="Times New Roman" w:cs="Times New Roman"/>
          <w:lang w:val="nl-BE"/>
        </w:rPr>
        <w:t xml:space="preserve">., pp. 190 et s. ; </w:t>
      </w:r>
      <w:r w:rsidRPr="00831CB7">
        <w:rPr>
          <w:rFonts w:ascii="Times New Roman" w:hAnsi="Times New Roman" w:cs="Times New Roman"/>
          <w:lang w:val="nl-BE"/>
        </w:rPr>
        <w:t xml:space="preserve">Fl. </w:t>
      </w:r>
      <w:r w:rsidRPr="00CB4520">
        <w:rPr>
          <w:rFonts w:ascii="Times New Roman" w:hAnsi="Times New Roman" w:cs="Times New Roman"/>
        </w:rPr>
        <w:t xml:space="preserve">GEORGE et X. THUNIS, </w:t>
      </w:r>
      <w:r w:rsidR="00D646E2" w:rsidRPr="00CB4520">
        <w:rPr>
          <w:rFonts w:ascii="Times New Roman" w:hAnsi="Times New Roman" w:cs="Times New Roman"/>
        </w:rPr>
        <w:t xml:space="preserve">« La subrogation : un mécanisme hybride, une institution polymorphe », </w:t>
      </w:r>
      <w:r w:rsidR="00D646E2" w:rsidRPr="00CB4520">
        <w:rPr>
          <w:rFonts w:ascii="Times New Roman" w:hAnsi="Times New Roman" w:cs="Times New Roman"/>
          <w:i/>
          <w:iCs/>
        </w:rPr>
        <w:t>op.cit.,</w:t>
      </w:r>
      <w:r w:rsidR="00D646E2" w:rsidRPr="00CB4520">
        <w:rPr>
          <w:rFonts w:ascii="Times New Roman" w:hAnsi="Times New Roman" w:cs="Times New Roman"/>
        </w:rPr>
        <w:t xml:space="preserve">  </w:t>
      </w:r>
      <w:r w:rsidRPr="00CB4520">
        <w:rPr>
          <w:rFonts w:ascii="Times New Roman" w:hAnsi="Times New Roman" w:cs="Times New Roman"/>
        </w:rPr>
        <w:t>pp. 32 et 33</w:t>
      </w:r>
      <w:r w:rsidR="00E32DDC" w:rsidRPr="00CB4520">
        <w:rPr>
          <w:rFonts w:ascii="Times New Roman" w:hAnsi="Times New Roman" w:cs="Times New Roman"/>
        </w:rPr>
        <w:t> ; p</w:t>
      </w:r>
      <w:r w:rsidRPr="00CB4520">
        <w:rPr>
          <w:rFonts w:ascii="Times New Roman" w:hAnsi="Times New Roman" w:cs="Times New Roman"/>
        </w:rPr>
        <w:t>our une critique de la condition de subsidiarité</w:t>
      </w:r>
      <w:r w:rsidR="00455FC7" w:rsidRPr="00CB4520">
        <w:rPr>
          <w:rFonts w:ascii="Times New Roman" w:hAnsi="Times New Roman" w:cs="Times New Roman"/>
        </w:rPr>
        <w:t xml:space="preserve">, </w:t>
      </w:r>
      <w:proofErr w:type="spellStart"/>
      <w:r w:rsidR="00455FC7" w:rsidRPr="00CB4520">
        <w:rPr>
          <w:rFonts w:ascii="Times New Roman" w:hAnsi="Times New Roman" w:cs="Times New Roman"/>
        </w:rPr>
        <w:t>voy</w:t>
      </w:r>
      <w:proofErr w:type="spellEnd"/>
      <w:r w:rsidR="00455FC7" w:rsidRPr="00CB4520">
        <w:rPr>
          <w:rFonts w:ascii="Times New Roman" w:hAnsi="Times New Roman" w:cs="Times New Roman"/>
        </w:rPr>
        <w:t>. J</w:t>
      </w:r>
      <w:r w:rsidR="00F437BF" w:rsidRPr="00CB4520">
        <w:rPr>
          <w:rFonts w:ascii="Times New Roman" w:hAnsi="Times New Roman" w:cs="Times New Roman"/>
        </w:rPr>
        <w:t>-F</w:t>
      </w:r>
      <w:r w:rsidR="00455FC7" w:rsidRPr="00CB4520">
        <w:rPr>
          <w:rFonts w:ascii="Times New Roman" w:hAnsi="Times New Roman" w:cs="Times New Roman"/>
        </w:rPr>
        <w:t xml:space="preserve">. ROMAIN, « Art. 10 L. </w:t>
      </w:r>
      <w:proofErr w:type="spellStart"/>
      <w:r w:rsidR="00455FC7" w:rsidRPr="00CB4520">
        <w:rPr>
          <w:rFonts w:ascii="Times New Roman" w:hAnsi="Times New Roman" w:cs="Times New Roman"/>
        </w:rPr>
        <w:t>Hyp</w:t>
      </w:r>
      <w:proofErr w:type="spellEnd"/>
      <w:r w:rsidR="00455FC7" w:rsidRPr="00CB4520">
        <w:rPr>
          <w:rFonts w:ascii="Times New Roman" w:hAnsi="Times New Roman" w:cs="Times New Roman"/>
        </w:rPr>
        <w:t xml:space="preserve">. : éléments récents et suites du livre 3 du nouveau Code civil en droit des biens », </w:t>
      </w:r>
      <w:r w:rsidR="00455FC7" w:rsidRPr="00CB4520">
        <w:rPr>
          <w:rFonts w:ascii="Times New Roman" w:hAnsi="Times New Roman" w:cs="Times New Roman"/>
          <w:i/>
          <w:iCs/>
        </w:rPr>
        <w:t>op.</w:t>
      </w:r>
      <w:r w:rsidR="00E32DDC" w:rsidRPr="00CB4520">
        <w:rPr>
          <w:rFonts w:ascii="Times New Roman" w:hAnsi="Times New Roman" w:cs="Times New Roman"/>
          <w:i/>
          <w:iCs/>
        </w:rPr>
        <w:t xml:space="preserve"> </w:t>
      </w:r>
      <w:proofErr w:type="spellStart"/>
      <w:r w:rsidR="00455FC7" w:rsidRPr="00CB4520">
        <w:rPr>
          <w:rFonts w:ascii="Times New Roman" w:hAnsi="Times New Roman" w:cs="Times New Roman"/>
          <w:i/>
          <w:iCs/>
        </w:rPr>
        <w:t>cit</w:t>
      </w:r>
      <w:proofErr w:type="spellEnd"/>
      <w:r w:rsidR="00455FC7" w:rsidRPr="00CB4520">
        <w:rPr>
          <w:rFonts w:ascii="Times New Roman" w:hAnsi="Times New Roman" w:cs="Times New Roman"/>
        </w:rPr>
        <w:t>., pp. 42 et s</w:t>
      </w:r>
      <w:r w:rsidR="00F30CEC" w:rsidRPr="00CB4520">
        <w:rPr>
          <w:rFonts w:ascii="Times New Roman" w:hAnsi="Times New Roman" w:cs="Times New Roman"/>
        </w:rPr>
        <w:t>.</w:t>
      </w:r>
      <w:r w:rsidR="00F30CEC" w:rsidRPr="00F428F6">
        <w:rPr>
          <w:rFonts w:ascii="Times New Roman" w:hAnsi="Times New Roman" w:cs="Times New Roman"/>
        </w:rPr>
        <w:t xml:space="preserve"> </w:t>
      </w:r>
    </w:p>
  </w:footnote>
  <w:footnote w:id="13">
    <w:p w14:paraId="77844411" w14:textId="28CF2326" w:rsidR="002A4C38" w:rsidRPr="00F428F6" w:rsidRDefault="002A4C38" w:rsidP="00F428F6">
      <w:pPr>
        <w:pStyle w:val="Notedebasdepage"/>
        <w:jc w:val="both"/>
        <w:rPr>
          <w:rFonts w:ascii="Times New Roman" w:hAnsi="Times New Roman" w:cs="Times New Roman"/>
        </w:rPr>
      </w:pPr>
      <w:r w:rsidRPr="00F428F6">
        <w:rPr>
          <w:rStyle w:val="Appelnotedebasdep"/>
          <w:rFonts w:ascii="Times New Roman" w:hAnsi="Times New Roman" w:cs="Times New Roman"/>
        </w:rPr>
        <w:footnoteRef/>
      </w:r>
      <w:r w:rsidRPr="00F428F6">
        <w:rPr>
          <w:rFonts w:ascii="Times New Roman" w:hAnsi="Times New Roman" w:cs="Times New Roman"/>
        </w:rPr>
        <w:t xml:space="preserve"> Sur le contrat d’assurance</w:t>
      </w:r>
      <w:r w:rsidR="00455FC7" w:rsidRPr="00F428F6">
        <w:rPr>
          <w:rFonts w:ascii="Times New Roman" w:hAnsi="Times New Roman" w:cs="Times New Roman"/>
        </w:rPr>
        <w:t xml:space="preserve">, </w:t>
      </w:r>
      <w:proofErr w:type="spellStart"/>
      <w:r w:rsidR="00455FC7" w:rsidRPr="00F428F6">
        <w:rPr>
          <w:rFonts w:ascii="Times New Roman" w:hAnsi="Times New Roman" w:cs="Times New Roman"/>
        </w:rPr>
        <w:t>voy</w:t>
      </w:r>
      <w:proofErr w:type="spellEnd"/>
      <w:r w:rsidR="00455FC7" w:rsidRPr="00F428F6">
        <w:rPr>
          <w:rFonts w:ascii="Times New Roman" w:hAnsi="Times New Roman" w:cs="Times New Roman"/>
        </w:rPr>
        <w:t xml:space="preserve">. </w:t>
      </w:r>
      <w:r w:rsidRPr="00F428F6">
        <w:rPr>
          <w:rFonts w:ascii="Times New Roman" w:hAnsi="Times New Roman" w:cs="Times New Roman"/>
        </w:rPr>
        <w:t xml:space="preserve">C. PARIS, </w:t>
      </w:r>
      <w:r w:rsidRPr="00F428F6">
        <w:rPr>
          <w:rFonts w:ascii="Times New Roman" w:hAnsi="Times New Roman" w:cs="Times New Roman"/>
          <w:i/>
          <w:iCs/>
        </w:rPr>
        <w:t>Manuel de droit des assurances</w:t>
      </w:r>
      <w:r w:rsidRPr="00F428F6">
        <w:rPr>
          <w:rFonts w:ascii="Times New Roman" w:hAnsi="Times New Roman" w:cs="Times New Roman"/>
        </w:rPr>
        <w:t>,</w:t>
      </w:r>
      <w:r w:rsidR="00455FC7" w:rsidRPr="00F428F6">
        <w:rPr>
          <w:rFonts w:ascii="Times New Roman" w:hAnsi="Times New Roman" w:cs="Times New Roman"/>
        </w:rPr>
        <w:t xml:space="preserve"> </w:t>
      </w:r>
      <w:r w:rsidR="00455FC7" w:rsidRPr="00F428F6">
        <w:rPr>
          <w:rFonts w:ascii="Times New Roman" w:hAnsi="Times New Roman" w:cs="Times New Roman"/>
          <w:i/>
          <w:iCs/>
        </w:rPr>
        <w:t>op.cit</w:t>
      </w:r>
      <w:r w:rsidR="00455FC7" w:rsidRPr="00F428F6">
        <w:rPr>
          <w:rFonts w:ascii="Times New Roman" w:hAnsi="Times New Roman" w:cs="Times New Roman"/>
        </w:rPr>
        <w:t xml:space="preserve">. En ce qui concerne les conditions </w:t>
      </w:r>
      <w:r w:rsidR="007D7989" w:rsidRPr="00F428F6">
        <w:rPr>
          <w:rFonts w:ascii="Times New Roman" w:hAnsi="Times New Roman" w:cs="Times New Roman"/>
        </w:rPr>
        <w:t>particulières</w:t>
      </w:r>
      <w:r w:rsidR="00455FC7" w:rsidRPr="00F428F6">
        <w:rPr>
          <w:rFonts w:ascii="Times New Roman" w:hAnsi="Times New Roman" w:cs="Times New Roman"/>
        </w:rPr>
        <w:t xml:space="preserve"> d’application de l’ancien article 10 de la loi hypothécaire, dont certaines sont transposables à l’article 112 de la L.A., </w:t>
      </w:r>
      <w:proofErr w:type="spellStart"/>
      <w:r w:rsidR="00455FC7" w:rsidRPr="00F428F6">
        <w:rPr>
          <w:rFonts w:ascii="Times New Roman" w:hAnsi="Times New Roman" w:cs="Times New Roman"/>
        </w:rPr>
        <w:t>voy</w:t>
      </w:r>
      <w:proofErr w:type="spellEnd"/>
      <w:r w:rsidR="00455FC7" w:rsidRPr="00F428F6">
        <w:rPr>
          <w:rFonts w:ascii="Times New Roman" w:hAnsi="Times New Roman" w:cs="Times New Roman"/>
        </w:rPr>
        <w:t xml:space="preserve">. </w:t>
      </w:r>
      <w:r w:rsidR="00455FC7" w:rsidRPr="004B6E74">
        <w:rPr>
          <w:rFonts w:ascii="Times New Roman" w:hAnsi="Times New Roman" w:cs="Times New Roman"/>
          <w:lang w:val="en-US"/>
        </w:rPr>
        <w:t xml:space="preserve">Fr. GEORGES et A. CUYPERS, « Art. 10 L. </w:t>
      </w:r>
      <w:proofErr w:type="spellStart"/>
      <w:r w:rsidR="00455FC7" w:rsidRPr="004B6E74">
        <w:rPr>
          <w:rFonts w:ascii="Times New Roman" w:hAnsi="Times New Roman" w:cs="Times New Roman"/>
          <w:lang w:val="en-US"/>
        </w:rPr>
        <w:t>Hyp</w:t>
      </w:r>
      <w:proofErr w:type="spellEnd"/>
      <w:r w:rsidR="00455FC7" w:rsidRPr="004B6E74">
        <w:rPr>
          <w:rFonts w:ascii="Times New Roman" w:hAnsi="Times New Roman" w:cs="Times New Roman"/>
          <w:lang w:val="en-US"/>
        </w:rPr>
        <w:t xml:space="preserve">. », </w:t>
      </w:r>
      <w:proofErr w:type="spellStart"/>
      <w:r w:rsidR="00455FC7" w:rsidRPr="004B6E74">
        <w:rPr>
          <w:rFonts w:ascii="Times New Roman" w:hAnsi="Times New Roman" w:cs="Times New Roman"/>
          <w:i/>
          <w:iCs/>
          <w:lang w:val="en-US"/>
        </w:rPr>
        <w:t>op.cit</w:t>
      </w:r>
      <w:proofErr w:type="spellEnd"/>
      <w:r w:rsidR="00455FC7" w:rsidRPr="004B6E74">
        <w:rPr>
          <w:rFonts w:ascii="Times New Roman" w:hAnsi="Times New Roman" w:cs="Times New Roman"/>
          <w:lang w:val="en-US"/>
        </w:rPr>
        <w:t xml:space="preserve">., pp. 61 et s. </w:t>
      </w:r>
      <w:r w:rsidR="00C1351C" w:rsidRPr="004B6E74">
        <w:rPr>
          <w:rFonts w:ascii="Times New Roman" w:hAnsi="Times New Roman" w:cs="Times New Roman"/>
          <w:lang w:val="en-US"/>
        </w:rPr>
        <w:t xml:space="preserve"> </w:t>
      </w:r>
      <w:r w:rsidR="008D5E06" w:rsidRPr="00F428F6">
        <w:rPr>
          <w:rFonts w:ascii="Times New Roman" w:hAnsi="Times New Roman" w:cs="Times New Roman"/>
        </w:rPr>
        <w:t xml:space="preserve">En cas d’indemnité due par le tiers responsable, dans un contexte de règlement collectif de dettes : </w:t>
      </w:r>
      <w:proofErr w:type="spellStart"/>
      <w:r w:rsidR="008D5E06" w:rsidRPr="00F428F6">
        <w:rPr>
          <w:rFonts w:ascii="Times New Roman" w:hAnsi="Times New Roman" w:cs="Times New Roman"/>
        </w:rPr>
        <w:t>Civ</w:t>
      </w:r>
      <w:proofErr w:type="spellEnd"/>
      <w:r w:rsidR="008D5E06" w:rsidRPr="00F428F6">
        <w:rPr>
          <w:rFonts w:ascii="Times New Roman" w:hAnsi="Times New Roman" w:cs="Times New Roman"/>
        </w:rPr>
        <w:t xml:space="preserve">. Bruxelles (sais.), 20 février 2006, </w:t>
      </w:r>
      <w:r w:rsidR="008D5E06" w:rsidRPr="00F428F6">
        <w:rPr>
          <w:rFonts w:ascii="Times New Roman" w:hAnsi="Times New Roman" w:cs="Times New Roman"/>
          <w:i/>
          <w:iCs/>
        </w:rPr>
        <w:t>J.L.M.B</w:t>
      </w:r>
      <w:r w:rsidR="008D5E06" w:rsidRPr="00F428F6">
        <w:rPr>
          <w:rFonts w:ascii="Times New Roman" w:hAnsi="Times New Roman" w:cs="Times New Roman"/>
        </w:rPr>
        <w:t>., 2006, pp. 1048 et s., le juge des saisies décide, à juste titre, en appliquant de manière combinée les anciens articles 10 de la loi hypothécaire et 58 de la loi du 25 juillet 1992 que l’indemnité due par l’assureur ou par le tiers responsable du dommage est affectée au paiement du créancier hypothécaire, à moins qu’elle ne soit consacrée à la reconstruction ou à la réparation du bien</w:t>
      </w:r>
      <w:r w:rsidR="00C1351C" w:rsidRPr="00F428F6">
        <w:rPr>
          <w:rFonts w:ascii="Times New Roman" w:hAnsi="Times New Roman" w:cs="Times New Roman"/>
        </w:rPr>
        <w:t xml:space="preserve"> incendié</w:t>
      </w:r>
      <w:r w:rsidR="008D5E06" w:rsidRPr="00F428F6">
        <w:rPr>
          <w:rFonts w:ascii="Times New Roman" w:hAnsi="Times New Roman" w:cs="Times New Roman"/>
        </w:rPr>
        <w:t xml:space="preserve">. </w:t>
      </w:r>
      <w:r w:rsidR="00C1351C" w:rsidRPr="00F428F6">
        <w:rPr>
          <w:rFonts w:ascii="Times New Roman" w:hAnsi="Times New Roman" w:cs="Times New Roman"/>
        </w:rPr>
        <w:t>Dans un contexte de faits identiques, il conviendrait, à l’heure actuelle, d’appliquer l</w:t>
      </w:r>
      <w:r w:rsidR="007D7989" w:rsidRPr="00F428F6">
        <w:rPr>
          <w:rFonts w:ascii="Times New Roman" w:hAnsi="Times New Roman" w:cs="Times New Roman"/>
        </w:rPr>
        <w:t>’</w:t>
      </w:r>
      <w:r w:rsidR="00C1351C" w:rsidRPr="00F428F6">
        <w:rPr>
          <w:rFonts w:ascii="Times New Roman" w:hAnsi="Times New Roman" w:cs="Times New Roman"/>
        </w:rPr>
        <w:t xml:space="preserve">article 3.10 du Code civil </w:t>
      </w:r>
      <w:r w:rsidR="007D7989" w:rsidRPr="00F428F6">
        <w:rPr>
          <w:rFonts w:ascii="Times New Roman" w:hAnsi="Times New Roman" w:cs="Times New Roman"/>
        </w:rPr>
        <w:t>ainsi que</w:t>
      </w:r>
      <w:r w:rsidR="00C1351C" w:rsidRPr="00F428F6">
        <w:rPr>
          <w:rFonts w:ascii="Times New Roman" w:hAnsi="Times New Roman" w:cs="Times New Roman"/>
        </w:rPr>
        <w:t xml:space="preserve"> les dispositions spécifiques applicables à la perte d’un bien immeuble à la suite d’un incendie. </w:t>
      </w:r>
    </w:p>
  </w:footnote>
  <w:footnote w:id="14">
    <w:p w14:paraId="492E3BB5" w14:textId="42CFCAE0" w:rsidR="00703460" w:rsidRPr="00F428F6" w:rsidRDefault="00703460" w:rsidP="00F428F6">
      <w:pPr>
        <w:pStyle w:val="Notedebasdepage"/>
        <w:jc w:val="both"/>
        <w:rPr>
          <w:rFonts w:ascii="Times New Roman" w:hAnsi="Times New Roman" w:cs="Times New Roman"/>
        </w:rPr>
      </w:pPr>
      <w:r w:rsidRPr="00F428F6">
        <w:rPr>
          <w:rStyle w:val="Appelnotedebasdep"/>
          <w:rFonts w:ascii="Times New Roman" w:hAnsi="Times New Roman" w:cs="Times New Roman"/>
        </w:rPr>
        <w:footnoteRef/>
      </w:r>
      <w:r w:rsidRPr="00F428F6">
        <w:rPr>
          <w:rFonts w:ascii="Times New Roman" w:hAnsi="Times New Roman" w:cs="Times New Roman"/>
        </w:rPr>
        <w:t xml:space="preserve"> Cass. 13 octobre 2017, </w:t>
      </w:r>
      <w:hyperlink r:id="rId2" w:history="1">
        <w:r w:rsidRPr="00F428F6">
          <w:rPr>
            <w:rStyle w:val="Lienhypertexte"/>
            <w:rFonts w:ascii="Times New Roman" w:hAnsi="Times New Roman" w:cs="Times New Roman"/>
          </w:rPr>
          <w:t>www.juportal</w:t>
        </w:r>
      </w:hyperlink>
      <w:r w:rsidRPr="00F428F6">
        <w:rPr>
          <w:rFonts w:ascii="Times New Roman" w:hAnsi="Times New Roman" w:cs="Times New Roman"/>
        </w:rPr>
        <w:t xml:space="preserve">, </w:t>
      </w:r>
      <w:r w:rsidR="00577DD2" w:rsidRPr="00F428F6">
        <w:rPr>
          <w:rFonts w:ascii="Times New Roman" w:hAnsi="Times New Roman" w:cs="Times New Roman"/>
        </w:rPr>
        <w:t xml:space="preserve">commenté </w:t>
      </w:r>
      <w:r w:rsidR="00577DD2" w:rsidRPr="00F428F6">
        <w:rPr>
          <w:rFonts w:ascii="Times New Roman" w:hAnsi="Times New Roman" w:cs="Times New Roman"/>
          <w:i/>
          <w:iCs/>
        </w:rPr>
        <w:t>infra</w:t>
      </w:r>
      <w:r w:rsidR="00577DD2" w:rsidRPr="00F428F6">
        <w:rPr>
          <w:rFonts w:ascii="Times New Roman" w:hAnsi="Times New Roman" w:cs="Times New Roman"/>
        </w:rPr>
        <w:t xml:space="preserve">. </w:t>
      </w:r>
    </w:p>
  </w:footnote>
  <w:footnote w:id="15">
    <w:p w14:paraId="25ABEB37" w14:textId="248AF8FD" w:rsidR="0040077A" w:rsidRPr="00F428F6" w:rsidRDefault="0040077A" w:rsidP="00F428F6">
      <w:pPr>
        <w:pStyle w:val="Notedebasdepage"/>
        <w:jc w:val="both"/>
        <w:rPr>
          <w:rFonts w:ascii="Times New Roman" w:hAnsi="Times New Roman" w:cs="Times New Roman"/>
        </w:rPr>
      </w:pPr>
      <w:r w:rsidRPr="00F428F6">
        <w:rPr>
          <w:rStyle w:val="Appelnotedebasdep"/>
          <w:rFonts w:ascii="Times New Roman" w:hAnsi="Times New Roman" w:cs="Times New Roman"/>
        </w:rPr>
        <w:footnoteRef/>
      </w:r>
      <w:r w:rsidRPr="00F428F6">
        <w:rPr>
          <w:rFonts w:ascii="Times New Roman" w:hAnsi="Times New Roman" w:cs="Times New Roman"/>
        </w:rPr>
        <w:t xml:space="preserve"> Récemment, sur cette question, </w:t>
      </w:r>
      <w:proofErr w:type="spellStart"/>
      <w:r w:rsidRPr="00F428F6">
        <w:rPr>
          <w:rFonts w:ascii="Times New Roman" w:hAnsi="Times New Roman" w:cs="Times New Roman"/>
        </w:rPr>
        <w:t>voy</w:t>
      </w:r>
      <w:proofErr w:type="spellEnd"/>
      <w:r w:rsidRPr="00F428F6">
        <w:rPr>
          <w:rFonts w:ascii="Times New Roman" w:hAnsi="Times New Roman" w:cs="Times New Roman"/>
        </w:rPr>
        <w:t xml:space="preserve">. </w:t>
      </w:r>
      <w:proofErr w:type="spellStart"/>
      <w:r w:rsidRPr="00F428F6">
        <w:rPr>
          <w:rFonts w:ascii="Times New Roman" w:hAnsi="Times New Roman" w:cs="Times New Roman"/>
        </w:rPr>
        <w:t>Entr</w:t>
      </w:r>
      <w:proofErr w:type="spellEnd"/>
      <w:r w:rsidRPr="00F428F6">
        <w:rPr>
          <w:rFonts w:ascii="Times New Roman" w:hAnsi="Times New Roman" w:cs="Times New Roman"/>
        </w:rPr>
        <w:t xml:space="preserve">. Bruxelles, 3 décembre 2020, </w:t>
      </w:r>
      <w:r w:rsidRPr="00F428F6">
        <w:rPr>
          <w:rFonts w:ascii="Times New Roman" w:hAnsi="Times New Roman" w:cs="Times New Roman"/>
          <w:i/>
          <w:iCs/>
        </w:rPr>
        <w:t xml:space="preserve">Bull. </w:t>
      </w:r>
      <w:proofErr w:type="spellStart"/>
      <w:r w:rsidRPr="00F428F6">
        <w:rPr>
          <w:rFonts w:ascii="Times New Roman" w:hAnsi="Times New Roman" w:cs="Times New Roman"/>
          <w:i/>
          <w:iCs/>
        </w:rPr>
        <w:t>ass</w:t>
      </w:r>
      <w:proofErr w:type="spellEnd"/>
      <w:r w:rsidRPr="00F428F6">
        <w:rPr>
          <w:rFonts w:ascii="Times New Roman" w:hAnsi="Times New Roman" w:cs="Times New Roman"/>
        </w:rPr>
        <w:t xml:space="preserve">., 2021, pp. 395 et s. </w:t>
      </w:r>
    </w:p>
  </w:footnote>
  <w:footnote w:id="16">
    <w:p w14:paraId="4D3E77A7" w14:textId="2BF468E2" w:rsidR="00416FAF" w:rsidRPr="00F428F6" w:rsidRDefault="00416FAF" w:rsidP="00F428F6">
      <w:pPr>
        <w:pStyle w:val="Notedebasdepage"/>
        <w:jc w:val="both"/>
        <w:rPr>
          <w:rFonts w:ascii="Times New Roman" w:hAnsi="Times New Roman" w:cs="Times New Roman"/>
        </w:rPr>
      </w:pPr>
      <w:r w:rsidRPr="00F428F6">
        <w:rPr>
          <w:rStyle w:val="Appelnotedebasdep"/>
          <w:rFonts w:ascii="Times New Roman" w:hAnsi="Times New Roman" w:cs="Times New Roman"/>
        </w:rPr>
        <w:footnoteRef/>
      </w:r>
      <w:r w:rsidRPr="00F428F6">
        <w:rPr>
          <w:rFonts w:ascii="Times New Roman" w:hAnsi="Times New Roman" w:cs="Times New Roman"/>
        </w:rPr>
        <w:t xml:space="preserve"> C’est nous qui soulignons. </w:t>
      </w:r>
    </w:p>
  </w:footnote>
  <w:footnote w:id="17">
    <w:p w14:paraId="21CC2675" w14:textId="17FEB2C9" w:rsidR="00416FAF" w:rsidRPr="00F428F6" w:rsidRDefault="00416FAF" w:rsidP="00F428F6">
      <w:pPr>
        <w:pStyle w:val="Notedebasdepage"/>
        <w:jc w:val="both"/>
        <w:rPr>
          <w:rFonts w:ascii="Times New Roman" w:hAnsi="Times New Roman" w:cs="Times New Roman"/>
        </w:rPr>
      </w:pPr>
      <w:r w:rsidRPr="00F428F6">
        <w:rPr>
          <w:rStyle w:val="Appelnotedebasdep"/>
          <w:rFonts w:ascii="Times New Roman" w:hAnsi="Times New Roman" w:cs="Times New Roman"/>
        </w:rPr>
        <w:footnoteRef/>
      </w:r>
      <w:r w:rsidRPr="00F428F6">
        <w:rPr>
          <w:rFonts w:ascii="Times New Roman" w:hAnsi="Times New Roman" w:cs="Times New Roman"/>
        </w:rPr>
        <w:t xml:space="preserve"> Le créancier ne peut en effet exercer plus de droit que son propre débiteur (</w:t>
      </w:r>
      <w:r w:rsidR="00C1351C" w:rsidRPr="00F428F6">
        <w:rPr>
          <w:rFonts w:ascii="Times New Roman" w:hAnsi="Times New Roman" w:cs="Times New Roman"/>
        </w:rPr>
        <w:t xml:space="preserve">Fr. GEORGES et A. CUYPERS, « Art. 10 L. </w:t>
      </w:r>
      <w:proofErr w:type="spellStart"/>
      <w:r w:rsidR="00C1351C" w:rsidRPr="00F428F6">
        <w:rPr>
          <w:rFonts w:ascii="Times New Roman" w:hAnsi="Times New Roman" w:cs="Times New Roman"/>
        </w:rPr>
        <w:t>Hyp</w:t>
      </w:r>
      <w:proofErr w:type="spellEnd"/>
      <w:r w:rsidR="00C1351C" w:rsidRPr="00F428F6">
        <w:rPr>
          <w:rFonts w:ascii="Times New Roman" w:hAnsi="Times New Roman" w:cs="Times New Roman"/>
        </w:rPr>
        <w:t xml:space="preserve">. », </w:t>
      </w:r>
      <w:proofErr w:type="spellStart"/>
      <w:r w:rsidR="00C1351C" w:rsidRPr="00F428F6">
        <w:rPr>
          <w:rFonts w:ascii="Times New Roman" w:hAnsi="Times New Roman" w:cs="Times New Roman"/>
          <w:i/>
          <w:iCs/>
        </w:rPr>
        <w:t>op.cit</w:t>
      </w:r>
      <w:proofErr w:type="spellEnd"/>
      <w:r w:rsidR="00C1351C" w:rsidRPr="00F428F6">
        <w:rPr>
          <w:rFonts w:ascii="Times New Roman" w:hAnsi="Times New Roman" w:cs="Times New Roman"/>
          <w:i/>
          <w:iCs/>
        </w:rPr>
        <w:t xml:space="preserve">, </w:t>
      </w:r>
      <w:r w:rsidR="00C1351C" w:rsidRPr="00F428F6">
        <w:rPr>
          <w:rFonts w:ascii="Times New Roman" w:hAnsi="Times New Roman" w:cs="Times New Roman"/>
        </w:rPr>
        <w:t>p. 62</w:t>
      </w:r>
      <w:r w:rsidR="00C1351C" w:rsidRPr="00F428F6">
        <w:rPr>
          <w:rFonts w:ascii="Times New Roman" w:hAnsi="Times New Roman" w:cs="Times New Roman"/>
          <w:i/>
          <w:iCs/>
        </w:rPr>
        <w:t xml:space="preserve">. </w:t>
      </w:r>
      <w:r w:rsidR="00C1351C" w:rsidRPr="00F428F6">
        <w:rPr>
          <w:rFonts w:ascii="Times New Roman" w:hAnsi="Times New Roman" w:cs="Times New Roman"/>
        </w:rPr>
        <w:t xml:space="preserve">En ce sens : Fl. GEORGE et X. THUNIS , « La subrogation : un mécanisme hybride, une institution polymorphe », </w:t>
      </w:r>
      <w:r w:rsidR="00C1351C" w:rsidRPr="00F428F6">
        <w:rPr>
          <w:rFonts w:ascii="Times New Roman" w:hAnsi="Times New Roman" w:cs="Times New Roman"/>
          <w:i/>
          <w:iCs/>
        </w:rPr>
        <w:t>op.cit</w:t>
      </w:r>
      <w:r w:rsidR="00C1351C" w:rsidRPr="00F428F6">
        <w:rPr>
          <w:rFonts w:ascii="Times New Roman" w:hAnsi="Times New Roman" w:cs="Times New Roman"/>
        </w:rPr>
        <w:t xml:space="preserve">., p. 31). </w:t>
      </w:r>
    </w:p>
  </w:footnote>
  <w:footnote w:id="18">
    <w:p w14:paraId="3B341028" w14:textId="5EED3357" w:rsidR="00E43ADB" w:rsidRPr="00F428F6" w:rsidRDefault="00E43ADB" w:rsidP="00F428F6">
      <w:pPr>
        <w:pStyle w:val="Notedebasdepage"/>
        <w:jc w:val="both"/>
        <w:rPr>
          <w:rFonts w:ascii="Times New Roman" w:hAnsi="Times New Roman" w:cs="Times New Roman"/>
        </w:rPr>
      </w:pPr>
      <w:r w:rsidRPr="00F428F6">
        <w:rPr>
          <w:rStyle w:val="Appelnotedebasdep"/>
          <w:rFonts w:ascii="Times New Roman" w:hAnsi="Times New Roman" w:cs="Times New Roman"/>
        </w:rPr>
        <w:footnoteRef/>
      </w:r>
      <w:r w:rsidRPr="00F428F6">
        <w:rPr>
          <w:rFonts w:ascii="Times New Roman" w:hAnsi="Times New Roman" w:cs="Times New Roman"/>
        </w:rPr>
        <w:t xml:space="preserve"> On notera encore que le droit de l’assuré ne doit pas être prescrit pour réclamer l’indemnité (Fr. GEORGES, « art. 10 L.HYP. », </w:t>
      </w:r>
      <w:r w:rsidR="007D7989" w:rsidRPr="00F428F6">
        <w:rPr>
          <w:rFonts w:ascii="Times New Roman" w:hAnsi="Times New Roman" w:cs="Times New Roman"/>
          <w:i/>
          <w:iCs/>
        </w:rPr>
        <w:t>ibid</w:t>
      </w:r>
      <w:r w:rsidRPr="00F428F6">
        <w:rPr>
          <w:rFonts w:ascii="Times New Roman" w:hAnsi="Times New Roman" w:cs="Times New Roman"/>
        </w:rPr>
        <w:t xml:space="preserve">., p. 66). </w:t>
      </w:r>
    </w:p>
  </w:footnote>
  <w:footnote w:id="19">
    <w:p w14:paraId="0CEF2760" w14:textId="17F696DF" w:rsidR="002A4C38" w:rsidRPr="00F428F6" w:rsidRDefault="002A4C38" w:rsidP="00F428F6">
      <w:pPr>
        <w:pStyle w:val="Notedebasdepage"/>
        <w:jc w:val="both"/>
        <w:rPr>
          <w:rFonts w:ascii="Times New Roman" w:hAnsi="Times New Roman" w:cs="Times New Roman"/>
        </w:rPr>
      </w:pPr>
      <w:r w:rsidRPr="00F428F6">
        <w:rPr>
          <w:rStyle w:val="Appelnotedebasdep"/>
          <w:rFonts w:ascii="Times New Roman" w:hAnsi="Times New Roman" w:cs="Times New Roman"/>
        </w:rPr>
        <w:footnoteRef/>
      </w:r>
      <w:r w:rsidRPr="00F428F6">
        <w:rPr>
          <w:rFonts w:ascii="Times New Roman" w:hAnsi="Times New Roman" w:cs="Times New Roman"/>
        </w:rPr>
        <w:t xml:space="preserve"> Fl. GEORGE et X. THUNIS, </w:t>
      </w:r>
      <w:r w:rsidR="00C1351C" w:rsidRPr="00F428F6">
        <w:rPr>
          <w:rFonts w:ascii="Times New Roman" w:hAnsi="Times New Roman" w:cs="Times New Roman"/>
        </w:rPr>
        <w:t>« </w:t>
      </w:r>
      <w:r w:rsidRPr="00F428F6">
        <w:rPr>
          <w:rFonts w:ascii="Times New Roman" w:hAnsi="Times New Roman" w:cs="Times New Roman"/>
        </w:rPr>
        <w:t xml:space="preserve">La subrogation : un mécanisme hybride, une institution polymorphe », </w:t>
      </w:r>
      <w:r w:rsidR="00C1351C" w:rsidRPr="00F428F6">
        <w:rPr>
          <w:rFonts w:ascii="Times New Roman" w:hAnsi="Times New Roman" w:cs="Times New Roman"/>
          <w:i/>
          <w:iCs/>
        </w:rPr>
        <w:t>op.cit</w:t>
      </w:r>
      <w:r w:rsidR="00C1351C" w:rsidRPr="00F428F6">
        <w:rPr>
          <w:rFonts w:ascii="Times New Roman" w:hAnsi="Times New Roman" w:cs="Times New Roman"/>
        </w:rPr>
        <w:t xml:space="preserve">., p. 31. </w:t>
      </w:r>
    </w:p>
  </w:footnote>
  <w:footnote w:id="20">
    <w:p w14:paraId="4676964B" w14:textId="0FC3C4E5" w:rsidR="00896837" w:rsidRPr="00F428F6" w:rsidRDefault="00896837" w:rsidP="00F428F6">
      <w:pPr>
        <w:pStyle w:val="Notedebasdepage"/>
        <w:jc w:val="both"/>
        <w:rPr>
          <w:rFonts w:ascii="Times New Roman" w:hAnsi="Times New Roman" w:cs="Times New Roman"/>
          <w:lang w:val="en-US"/>
        </w:rPr>
      </w:pPr>
      <w:r w:rsidRPr="00F428F6">
        <w:rPr>
          <w:rStyle w:val="Appelnotedebasdep"/>
          <w:rFonts w:ascii="Times New Roman" w:hAnsi="Times New Roman" w:cs="Times New Roman"/>
        </w:rPr>
        <w:footnoteRef/>
      </w:r>
      <w:r w:rsidRPr="00F428F6">
        <w:rPr>
          <w:rFonts w:ascii="Times New Roman" w:hAnsi="Times New Roman" w:cs="Times New Roman"/>
          <w:lang w:val="en-US"/>
        </w:rPr>
        <w:t xml:space="preserve"> </w:t>
      </w:r>
      <w:r w:rsidR="000A3D1A" w:rsidRPr="00F428F6">
        <w:rPr>
          <w:rFonts w:ascii="Times New Roman" w:hAnsi="Times New Roman" w:cs="Times New Roman"/>
          <w:lang w:val="en-US"/>
        </w:rPr>
        <w:t xml:space="preserve">Fr. GEORGES et A. CUYPERS, « Art. 10 L. </w:t>
      </w:r>
      <w:proofErr w:type="spellStart"/>
      <w:r w:rsidR="000A3D1A" w:rsidRPr="00F428F6">
        <w:rPr>
          <w:rFonts w:ascii="Times New Roman" w:hAnsi="Times New Roman" w:cs="Times New Roman"/>
          <w:lang w:val="en-US"/>
        </w:rPr>
        <w:t>Hyp</w:t>
      </w:r>
      <w:proofErr w:type="spellEnd"/>
      <w:r w:rsidR="000A3D1A" w:rsidRPr="00F428F6">
        <w:rPr>
          <w:rFonts w:ascii="Times New Roman" w:hAnsi="Times New Roman" w:cs="Times New Roman"/>
          <w:lang w:val="en-US"/>
        </w:rPr>
        <w:t xml:space="preserve">. », </w:t>
      </w:r>
      <w:proofErr w:type="spellStart"/>
      <w:r w:rsidR="000A3D1A" w:rsidRPr="00F428F6">
        <w:rPr>
          <w:rFonts w:ascii="Times New Roman" w:hAnsi="Times New Roman" w:cs="Times New Roman"/>
          <w:i/>
          <w:iCs/>
          <w:lang w:val="en-US"/>
        </w:rPr>
        <w:t>op.cit</w:t>
      </w:r>
      <w:proofErr w:type="spellEnd"/>
      <w:r w:rsidR="000A3D1A" w:rsidRPr="00F428F6">
        <w:rPr>
          <w:rFonts w:ascii="Times New Roman" w:hAnsi="Times New Roman" w:cs="Times New Roman"/>
          <w:i/>
          <w:iCs/>
          <w:lang w:val="en-US"/>
        </w:rPr>
        <w:t xml:space="preserve">, </w:t>
      </w:r>
      <w:r w:rsidR="000A3D1A" w:rsidRPr="00F428F6">
        <w:rPr>
          <w:rFonts w:ascii="Times New Roman" w:hAnsi="Times New Roman" w:cs="Times New Roman"/>
          <w:lang w:val="en-US"/>
        </w:rPr>
        <w:t xml:space="preserve">p. 61. </w:t>
      </w:r>
    </w:p>
  </w:footnote>
  <w:footnote w:id="21">
    <w:p w14:paraId="0181F9B1" w14:textId="46924243" w:rsidR="007D60B2" w:rsidRPr="00F428F6" w:rsidRDefault="007D60B2" w:rsidP="00F428F6">
      <w:pPr>
        <w:pStyle w:val="Notedebasdepage"/>
        <w:jc w:val="both"/>
        <w:rPr>
          <w:rFonts w:ascii="Times New Roman" w:hAnsi="Times New Roman" w:cs="Times New Roman"/>
          <w:lang w:val="fr-FR"/>
        </w:rPr>
      </w:pPr>
      <w:r w:rsidRPr="00F428F6">
        <w:rPr>
          <w:rStyle w:val="Appelnotedebasdep"/>
          <w:rFonts w:ascii="Times New Roman" w:hAnsi="Times New Roman" w:cs="Times New Roman"/>
        </w:rPr>
        <w:footnoteRef/>
      </w:r>
      <w:r w:rsidRPr="00F428F6">
        <w:rPr>
          <w:rFonts w:ascii="Times New Roman" w:hAnsi="Times New Roman" w:cs="Times New Roman"/>
        </w:rPr>
        <w:t xml:space="preserve"> Cass. 13 octobre 2017, </w:t>
      </w:r>
      <w:hyperlink r:id="rId3" w:history="1">
        <w:r w:rsidRPr="00F428F6">
          <w:rPr>
            <w:rStyle w:val="Lienhypertexte"/>
            <w:rFonts w:ascii="Times New Roman" w:hAnsi="Times New Roman" w:cs="Times New Roman"/>
          </w:rPr>
          <w:t>www.juportal</w:t>
        </w:r>
      </w:hyperlink>
      <w:r w:rsidRPr="00F428F6">
        <w:rPr>
          <w:rStyle w:val="Lienhypertexte"/>
          <w:rFonts w:ascii="Times New Roman" w:hAnsi="Times New Roman" w:cs="Times New Roman"/>
        </w:rPr>
        <w:t xml:space="preserve">. </w:t>
      </w:r>
    </w:p>
  </w:footnote>
  <w:footnote w:id="22">
    <w:p w14:paraId="467C2641" w14:textId="03846246" w:rsidR="00B133A7" w:rsidRDefault="00B133A7">
      <w:pPr>
        <w:pStyle w:val="Notedebasdepage"/>
      </w:pPr>
      <w:r>
        <w:rPr>
          <w:rStyle w:val="Appelnotedebasdep"/>
        </w:rPr>
        <w:footnoteRef/>
      </w:r>
      <w:r>
        <w:t xml:space="preserve"> </w:t>
      </w:r>
      <w:r w:rsidRPr="0047770E">
        <w:rPr>
          <w:u w:val="single"/>
        </w:rPr>
        <w:t>Un gage pourrait éventuellement être constitué sur un tel compte</w:t>
      </w:r>
      <w:r w:rsidR="0047770E">
        <w:rPr>
          <w:u w:val="single"/>
        </w:rPr>
        <w:t xml:space="preserve">. </w:t>
      </w:r>
    </w:p>
  </w:footnote>
  <w:footnote w:id="23">
    <w:p w14:paraId="3746F179" w14:textId="5CAF1F0E" w:rsidR="002C01AF" w:rsidRDefault="00D67D42" w:rsidP="00F428F6">
      <w:pPr>
        <w:jc w:val="both"/>
        <w:rPr>
          <w:rFonts w:ascii="Times New Roman" w:eastAsia="Times New Roman" w:hAnsi="Times New Roman" w:cs="Times New Roman"/>
          <w:i/>
          <w:iCs/>
          <w:color w:val="000000"/>
          <w:sz w:val="20"/>
          <w:szCs w:val="20"/>
          <w:lang w:eastAsia="fr-FR"/>
        </w:rPr>
      </w:pPr>
      <w:r w:rsidRPr="00F428F6">
        <w:rPr>
          <w:rStyle w:val="Appelnotedebasdep"/>
          <w:rFonts w:ascii="Times New Roman" w:hAnsi="Times New Roman" w:cs="Times New Roman"/>
          <w:sz w:val="20"/>
          <w:szCs w:val="20"/>
        </w:rPr>
        <w:footnoteRef/>
      </w:r>
      <w:r w:rsidRPr="00F428F6">
        <w:rPr>
          <w:rFonts w:ascii="Times New Roman" w:hAnsi="Times New Roman" w:cs="Times New Roman"/>
          <w:sz w:val="20"/>
          <w:szCs w:val="20"/>
        </w:rPr>
        <w:t xml:space="preserve"> </w:t>
      </w:r>
      <w:r w:rsidRPr="00F428F6">
        <w:rPr>
          <w:rFonts w:ascii="Times New Roman" w:hAnsi="Times New Roman" w:cs="Times New Roman"/>
          <w:sz w:val="20"/>
          <w:szCs w:val="20"/>
          <w:lang w:val="fr-FR"/>
        </w:rPr>
        <w:t xml:space="preserve">Sur le régime d’(in)opposabilité des exceptions en cas d’incendie, </w:t>
      </w:r>
      <w:proofErr w:type="spellStart"/>
      <w:r w:rsidRPr="00F428F6">
        <w:rPr>
          <w:rFonts w:ascii="Times New Roman" w:hAnsi="Times New Roman" w:cs="Times New Roman"/>
          <w:sz w:val="20"/>
          <w:szCs w:val="20"/>
          <w:lang w:val="fr-FR"/>
        </w:rPr>
        <w:t>voy</w:t>
      </w:r>
      <w:proofErr w:type="spellEnd"/>
      <w:r w:rsidRPr="00F428F6">
        <w:rPr>
          <w:rFonts w:ascii="Times New Roman" w:hAnsi="Times New Roman" w:cs="Times New Roman"/>
          <w:sz w:val="20"/>
          <w:szCs w:val="20"/>
          <w:lang w:val="fr-FR"/>
        </w:rPr>
        <w:t>. l’article 120 de la L.A. Ce dernier dispose : « </w:t>
      </w:r>
      <w:r w:rsidRPr="00F428F6">
        <w:rPr>
          <w:rFonts w:ascii="Times New Roman" w:eastAsia="Times New Roman" w:hAnsi="Times New Roman" w:cs="Times New Roman"/>
          <w:color w:val="000000"/>
          <w:sz w:val="20"/>
          <w:szCs w:val="20"/>
          <w:lang w:eastAsia="fr-FR"/>
        </w:rPr>
        <w:t>§ 1</w:t>
      </w:r>
      <w:r w:rsidRPr="00CB4520">
        <w:rPr>
          <w:rFonts w:ascii="Times New Roman" w:eastAsia="Times New Roman" w:hAnsi="Times New Roman" w:cs="Times New Roman"/>
          <w:color w:val="000000"/>
          <w:sz w:val="20"/>
          <w:szCs w:val="20"/>
          <w:vertAlign w:val="superscript"/>
          <w:lang w:eastAsia="fr-FR"/>
        </w:rPr>
        <w:t>er</w:t>
      </w:r>
      <w:r w:rsidRPr="00F428F6">
        <w:rPr>
          <w:rFonts w:ascii="Times New Roman" w:eastAsia="Times New Roman" w:hAnsi="Times New Roman" w:cs="Times New Roman"/>
          <w:color w:val="000000"/>
          <w:sz w:val="20"/>
          <w:szCs w:val="20"/>
          <w:lang w:eastAsia="fr-FR"/>
        </w:rPr>
        <w:t xml:space="preserve">. </w:t>
      </w:r>
      <w:r w:rsidRPr="00F428F6">
        <w:rPr>
          <w:rFonts w:ascii="Times New Roman" w:eastAsia="Times New Roman" w:hAnsi="Times New Roman" w:cs="Times New Roman"/>
          <w:i/>
          <w:iCs/>
          <w:color w:val="000000"/>
          <w:sz w:val="20"/>
          <w:szCs w:val="20"/>
          <w:lang w:eastAsia="fr-FR"/>
        </w:rPr>
        <w:t>Aucune exception ou déchéance dérivant d'un fait postérieur au sinistre ne peut être opposée par l'assureur au créancier jouissant sur les biens assurés d'un droit de préférence connu de l'assureur.</w:t>
      </w:r>
      <w:r w:rsidRPr="00F428F6">
        <w:rPr>
          <w:rFonts w:ascii="Times New Roman" w:eastAsia="Times New Roman" w:hAnsi="Times New Roman" w:cs="Times New Roman"/>
          <w:i/>
          <w:iCs/>
          <w:color w:val="000000"/>
          <w:sz w:val="20"/>
          <w:szCs w:val="20"/>
          <w:lang w:eastAsia="fr-FR"/>
        </w:rPr>
        <w:br/>
        <w:t>§ 2. La suspension de la garantie de l'assureur, la réduction du montant de l'assurance et la résiliation du contrat sont opposables aux créanciers visés au paragraphe 1</w:t>
      </w:r>
      <w:r w:rsidRPr="00CB4520">
        <w:rPr>
          <w:rFonts w:ascii="Times New Roman" w:eastAsia="Times New Roman" w:hAnsi="Times New Roman" w:cs="Times New Roman"/>
          <w:i/>
          <w:iCs/>
          <w:color w:val="000000"/>
          <w:sz w:val="20"/>
          <w:szCs w:val="20"/>
          <w:vertAlign w:val="superscript"/>
          <w:lang w:eastAsia="fr-FR"/>
        </w:rPr>
        <w:t>er</w:t>
      </w:r>
      <w:r w:rsidRPr="00F428F6">
        <w:rPr>
          <w:rFonts w:ascii="Times New Roman" w:eastAsia="Times New Roman" w:hAnsi="Times New Roman" w:cs="Times New Roman"/>
          <w:i/>
          <w:iCs/>
          <w:color w:val="000000"/>
          <w:sz w:val="20"/>
          <w:szCs w:val="20"/>
          <w:lang w:eastAsia="fr-FR"/>
        </w:rPr>
        <w:t>.</w:t>
      </w:r>
    </w:p>
    <w:p w14:paraId="1C3CF9E4" w14:textId="5C11470C" w:rsidR="00D67D42" w:rsidRPr="00F428F6" w:rsidRDefault="00D67D42" w:rsidP="00F428F6">
      <w:pPr>
        <w:jc w:val="both"/>
        <w:rPr>
          <w:rFonts w:ascii="Times New Roman" w:eastAsia="Times New Roman" w:hAnsi="Times New Roman" w:cs="Times New Roman"/>
          <w:color w:val="000000"/>
          <w:sz w:val="20"/>
          <w:szCs w:val="20"/>
          <w:lang w:eastAsia="fr-FR"/>
        </w:rPr>
      </w:pPr>
      <w:r w:rsidRPr="00F428F6">
        <w:rPr>
          <w:rFonts w:ascii="Times New Roman" w:eastAsia="Times New Roman" w:hAnsi="Times New Roman" w:cs="Times New Roman"/>
          <w:i/>
          <w:iCs/>
          <w:color w:val="000000"/>
          <w:sz w:val="20"/>
          <w:szCs w:val="20"/>
          <w:lang w:eastAsia="fr-FR"/>
        </w:rPr>
        <w:t>Toutefois, si l'un de ces créanciers a avisé l'assureur de l'existence de son droit de préférence, la suspension, la réduction ou la résiliation ne lui seront opposables qu'à l'expiration du délai d'un mois à compter de la notification que l'assureur en fait par lettre recommandée. Le délai commence à courir le lendemain du jour où la lettre a été déposée.</w:t>
      </w:r>
      <w:r w:rsidRPr="00F428F6">
        <w:rPr>
          <w:rFonts w:ascii="Times New Roman" w:eastAsia="Times New Roman" w:hAnsi="Times New Roman" w:cs="Times New Roman"/>
          <w:i/>
          <w:iCs/>
          <w:color w:val="000000"/>
          <w:sz w:val="20"/>
          <w:szCs w:val="20"/>
          <w:lang w:eastAsia="fr-FR"/>
        </w:rPr>
        <w:br/>
        <w:t>Lorsque la suspension ou la résiliation sont intervenues à la suite du non-paiement de la prime par le preneur d'assurance, le créancier peut en éviter les conséquences moyennant le paiement, dans le mois de la notification faite par l'assureur, des primes échues augmentées s'il y a lieu des intérêts et des frais de recouvrement judiciaire</w:t>
      </w:r>
      <w:r w:rsidRPr="00F428F6">
        <w:rPr>
          <w:rFonts w:ascii="Times New Roman" w:eastAsia="Times New Roman" w:hAnsi="Times New Roman" w:cs="Times New Roman"/>
          <w:color w:val="000000"/>
          <w:sz w:val="20"/>
          <w:szCs w:val="20"/>
          <w:lang w:eastAsia="fr-FR"/>
        </w:rPr>
        <w:t xml:space="preserve"> ». </w:t>
      </w:r>
    </w:p>
  </w:footnote>
  <w:footnote w:id="24">
    <w:p w14:paraId="3EE7A8B9" w14:textId="22090C0D" w:rsidR="00A57FBF" w:rsidRPr="00F428F6" w:rsidRDefault="00A57FBF" w:rsidP="00F428F6">
      <w:pPr>
        <w:pStyle w:val="Notedebasdepage"/>
        <w:jc w:val="both"/>
        <w:rPr>
          <w:rFonts w:ascii="Times New Roman" w:hAnsi="Times New Roman" w:cs="Times New Roman"/>
        </w:rPr>
      </w:pPr>
      <w:r w:rsidRPr="00F428F6">
        <w:rPr>
          <w:rStyle w:val="Appelnotedebasdep"/>
          <w:rFonts w:ascii="Times New Roman" w:hAnsi="Times New Roman" w:cs="Times New Roman"/>
        </w:rPr>
        <w:footnoteRef/>
      </w:r>
      <w:r w:rsidRPr="00F428F6">
        <w:rPr>
          <w:rFonts w:ascii="Times New Roman" w:hAnsi="Times New Roman" w:cs="Times New Roman"/>
        </w:rPr>
        <w:t xml:space="preserve"> A. DURIAU, </w:t>
      </w:r>
      <w:r w:rsidR="000A3D1A" w:rsidRPr="00F428F6">
        <w:rPr>
          <w:rFonts w:ascii="Times New Roman" w:hAnsi="Times New Roman" w:cs="Times New Roman"/>
        </w:rPr>
        <w:t xml:space="preserve">« Section 3. Subrogation réelle », </w:t>
      </w:r>
      <w:r w:rsidR="000A3D1A" w:rsidRPr="00F428F6">
        <w:rPr>
          <w:rFonts w:ascii="Times New Roman" w:hAnsi="Times New Roman" w:cs="Times New Roman"/>
          <w:i/>
          <w:iCs/>
        </w:rPr>
        <w:t>op.</w:t>
      </w:r>
      <w:r w:rsidR="00C25819">
        <w:rPr>
          <w:rFonts w:ascii="Times New Roman" w:hAnsi="Times New Roman" w:cs="Times New Roman"/>
          <w:i/>
          <w:iCs/>
        </w:rPr>
        <w:t xml:space="preserve"> </w:t>
      </w:r>
      <w:proofErr w:type="spellStart"/>
      <w:r w:rsidR="000A3D1A" w:rsidRPr="00F428F6">
        <w:rPr>
          <w:rFonts w:ascii="Times New Roman" w:hAnsi="Times New Roman" w:cs="Times New Roman"/>
          <w:i/>
          <w:iCs/>
        </w:rPr>
        <w:t>cit</w:t>
      </w:r>
      <w:proofErr w:type="spellEnd"/>
      <w:r w:rsidR="000A3D1A" w:rsidRPr="00F428F6">
        <w:rPr>
          <w:rFonts w:ascii="Times New Roman" w:hAnsi="Times New Roman" w:cs="Times New Roman"/>
        </w:rPr>
        <w:t>., p. 244</w:t>
      </w:r>
      <w:r w:rsidR="00C25819">
        <w:rPr>
          <w:rFonts w:ascii="Times New Roman" w:hAnsi="Times New Roman" w:cs="Times New Roman"/>
        </w:rPr>
        <w:t> ; l</w:t>
      </w:r>
      <w:r w:rsidRPr="00F428F6">
        <w:rPr>
          <w:rFonts w:ascii="Times New Roman" w:hAnsi="Times New Roman" w:cs="Times New Roman"/>
        </w:rPr>
        <w:t>’article 230</w:t>
      </w:r>
      <w:r w:rsidR="000A3D1A" w:rsidRPr="00F428F6">
        <w:rPr>
          <w:rFonts w:ascii="Times New Roman" w:hAnsi="Times New Roman" w:cs="Times New Roman"/>
        </w:rPr>
        <w:t xml:space="preserve"> de la L.A.</w:t>
      </w:r>
      <w:r w:rsidRPr="00F428F6">
        <w:rPr>
          <w:rFonts w:ascii="Times New Roman" w:hAnsi="Times New Roman" w:cs="Times New Roman"/>
        </w:rPr>
        <w:t xml:space="preserve"> consacre lui-même, dans ce cas, une subrogation de l’assiette de l’hypothèque par l’indemnité qui est due. </w:t>
      </w:r>
    </w:p>
  </w:footnote>
  <w:footnote w:id="25">
    <w:p w14:paraId="0EEC2855" w14:textId="47BCA7A9" w:rsidR="00A57FBF" w:rsidRPr="00F428F6" w:rsidRDefault="00A57FBF" w:rsidP="00F428F6">
      <w:pPr>
        <w:pStyle w:val="Notedebasdepage"/>
        <w:jc w:val="both"/>
        <w:rPr>
          <w:rFonts w:ascii="Times New Roman" w:hAnsi="Times New Roman" w:cs="Times New Roman"/>
          <w:lang w:val="en-US"/>
        </w:rPr>
      </w:pPr>
      <w:r w:rsidRPr="00F428F6">
        <w:rPr>
          <w:rStyle w:val="Appelnotedebasdep"/>
          <w:rFonts w:ascii="Times New Roman" w:hAnsi="Times New Roman" w:cs="Times New Roman"/>
        </w:rPr>
        <w:footnoteRef/>
      </w:r>
      <w:r w:rsidRPr="00F428F6">
        <w:rPr>
          <w:rFonts w:ascii="Times New Roman" w:hAnsi="Times New Roman" w:cs="Times New Roman"/>
          <w:lang w:val="en-US"/>
        </w:rPr>
        <w:t xml:space="preserve"> </w:t>
      </w:r>
      <w:r w:rsidR="000A3D1A" w:rsidRPr="00F428F6">
        <w:rPr>
          <w:rFonts w:ascii="Times New Roman" w:hAnsi="Times New Roman" w:cs="Times New Roman"/>
          <w:lang w:val="en-US"/>
        </w:rPr>
        <w:t xml:space="preserve">Fr. GEORGES et A. CUYPERS, « Art. 10 L. </w:t>
      </w:r>
      <w:proofErr w:type="spellStart"/>
      <w:r w:rsidR="000A3D1A" w:rsidRPr="00F428F6">
        <w:rPr>
          <w:rFonts w:ascii="Times New Roman" w:hAnsi="Times New Roman" w:cs="Times New Roman"/>
          <w:lang w:val="en-US"/>
        </w:rPr>
        <w:t>Hyp</w:t>
      </w:r>
      <w:proofErr w:type="spellEnd"/>
      <w:r w:rsidR="000A3D1A" w:rsidRPr="00F428F6">
        <w:rPr>
          <w:rFonts w:ascii="Times New Roman" w:hAnsi="Times New Roman" w:cs="Times New Roman"/>
          <w:lang w:val="en-US"/>
        </w:rPr>
        <w:t xml:space="preserve">. », </w:t>
      </w:r>
      <w:proofErr w:type="spellStart"/>
      <w:r w:rsidR="000A3D1A" w:rsidRPr="00F428F6">
        <w:rPr>
          <w:rFonts w:ascii="Times New Roman" w:hAnsi="Times New Roman" w:cs="Times New Roman"/>
          <w:i/>
          <w:iCs/>
          <w:lang w:val="en-US"/>
        </w:rPr>
        <w:t>op.cit</w:t>
      </w:r>
      <w:proofErr w:type="spellEnd"/>
      <w:r w:rsidR="000A3D1A" w:rsidRPr="00F428F6">
        <w:rPr>
          <w:rFonts w:ascii="Times New Roman" w:hAnsi="Times New Roman" w:cs="Times New Roman"/>
          <w:i/>
          <w:iCs/>
          <w:lang w:val="en-US"/>
        </w:rPr>
        <w:t xml:space="preserve">, </w:t>
      </w:r>
      <w:r w:rsidR="000A3D1A" w:rsidRPr="00F428F6">
        <w:rPr>
          <w:rFonts w:ascii="Times New Roman" w:hAnsi="Times New Roman" w:cs="Times New Roman"/>
          <w:lang w:val="en-US"/>
        </w:rPr>
        <w:t xml:space="preserve">p. 62. </w:t>
      </w:r>
    </w:p>
  </w:footnote>
  <w:footnote w:id="26">
    <w:p w14:paraId="2ACBFC04" w14:textId="6CF740A6" w:rsidR="00092D95" w:rsidRPr="00F428F6" w:rsidRDefault="00092D95" w:rsidP="00F428F6">
      <w:pPr>
        <w:pStyle w:val="Notedebasdepage"/>
        <w:jc w:val="both"/>
        <w:rPr>
          <w:rFonts w:ascii="Times New Roman" w:hAnsi="Times New Roman" w:cs="Times New Roman"/>
          <w:lang w:val="en-US"/>
        </w:rPr>
      </w:pPr>
      <w:r w:rsidRPr="00F428F6">
        <w:rPr>
          <w:rStyle w:val="Appelnotedebasdep"/>
          <w:rFonts w:ascii="Times New Roman" w:hAnsi="Times New Roman" w:cs="Times New Roman"/>
        </w:rPr>
        <w:footnoteRef/>
      </w:r>
      <w:r w:rsidRPr="00F428F6">
        <w:rPr>
          <w:rFonts w:ascii="Times New Roman" w:hAnsi="Times New Roman" w:cs="Times New Roman"/>
          <w:lang w:val="en-US"/>
        </w:rPr>
        <w:t xml:space="preserve"> </w:t>
      </w:r>
      <w:r w:rsidR="000A3D1A" w:rsidRPr="00F428F6">
        <w:rPr>
          <w:rFonts w:ascii="Times New Roman" w:hAnsi="Times New Roman" w:cs="Times New Roman"/>
          <w:lang w:val="en-US"/>
        </w:rPr>
        <w:t xml:space="preserve">Fr. GEORGES et A. CUYPERS, « Art. 10 L. </w:t>
      </w:r>
      <w:proofErr w:type="spellStart"/>
      <w:r w:rsidR="000A3D1A" w:rsidRPr="00F428F6">
        <w:rPr>
          <w:rFonts w:ascii="Times New Roman" w:hAnsi="Times New Roman" w:cs="Times New Roman"/>
          <w:lang w:val="en-US"/>
        </w:rPr>
        <w:t>Hyp</w:t>
      </w:r>
      <w:proofErr w:type="spellEnd"/>
      <w:r w:rsidR="000A3D1A" w:rsidRPr="00F428F6">
        <w:rPr>
          <w:rFonts w:ascii="Times New Roman" w:hAnsi="Times New Roman" w:cs="Times New Roman"/>
          <w:lang w:val="en-US"/>
        </w:rPr>
        <w:t>. »</w:t>
      </w:r>
      <w:r w:rsidRPr="00F428F6">
        <w:rPr>
          <w:rFonts w:ascii="Times New Roman" w:hAnsi="Times New Roman" w:cs="Times New Roman"/>
          <w:lang w:val="en-US"/>
        </w:rPr>
        <w:t xml:space="preserve">, </w:t>
      </w:r>
      <w:r w:rsidR="000A3D1A" w:rsidRPr="00F428F6">
        <w:rPr>
          <w:rFonts w:ascii="Times New Roman" w:hAnsi="Times New Roman" w:cs="Times New Roman"/>
          <w:i/>
          <w:iCs/>
          <w:lang w:val="en-US"/>
        </w:rPr>
        <w:t>ibid</w:t>
      </w:r>
      <w:r w:rsidRPr="00F428F6">
        <w:rPr>
          <w:rFonts w:ascii="Times New Roman" w:hAnsi="Times New Roman" w:cs="Times New Roman"/>
          <w:i/>
          <w:iCs/>
          <w:lang w:val="en-US"/>
        </w:rPr>
        <w:t>.</w:t>
      </w:r>
      <w:r w:rsidRPr="00F428F6">
        <w:rPr>
          <w:rFonts w:ascii="Times New Roman" w:hAnsi="Times New Roman" w:cs="Times New Roman"/>
          <w:lang w:val="en-US"/>
        </w:rPr>
        <w:t xml:space="preserve">, p. 67. </w:t>
      </w:r>
    </w:p>
  </w:footnote>
  <w:footnote w:id="27">
    <w:p w14:paraId="44193F2A" w14:textId="3EDE3E2D" w:rsidR="00420AF8" w:rsidRPr="00F428F6" w:rsidRDefault="00420AF8" w:rsidP="00F428F6">
      <w:pPr>
        <w:pStyle w:val="Notedebasdepage"/>
        <w:jc w:val="both"/>
        <w:rPr>
          <w:rFonts w:ascii="Times New Roman" w:hAnsi="Times New Roman" w:cs="Times New Roman"/>
        </w:rPr>
      </w:pPr>
      <w:r w:rsidRPr="00F428F6">
        <w:rPr>
          <w:rStyle w:val="Appelnotedebasdep"/>
          <w:rFonts w:ascii="Times New Roman" w:hAnsi="Times New Roman" w:cs="Times New Roman"/>
        </w:rPr>
        <w:footnoteRef/>
      </w:r>
      <w:r w:rsidRPr="00F428F6">
        <w:rPr>
          <w:rFonts w:ascii="Times New Roman" w:hAnsi="Times New Roman" w:cs="Times New Roman"/>
        </w:rPr>
        <w:t xml:space="preserve"> </w:t>
      </w:r>
      <w:proofErr w:type="spellStart"/>
      <w:r w:rsidRPr="00F428F6">
        <w:rPr>
          <w:rFonts w:ascii="Times New Roman" w:hAnsi="Times New Roman" w:cs="Times New Roman"/>
        </w:rPr>
        <w:t>Voy</w:t>
      </w:r>
      <w:proofErr w:type="spellEnd"/>
      <w:r w:rsidRPr="00F428F6">
        <w:rPr>
          <w:rFonts w:ascii="Times New Roman" w:hAnsi="Times New Roman" w:cs="Times New Roman"/>
        </w:rPr>
        <w:t xml:space="preserve">. Encore J. FAGNART, </w:t>
      </w:r>
      <w:r w:rsidRPr="00F428F6">
        <w:rPr>
          <w:rFonts w:ascii="Times New Roman" w:hAnsi="Times New Roman" w:cs="Times New Roman"/>
          <w:i/>
          <w:iCs/>
        </w:rPr>
        <w:t>Traité de droit commercial</w:t>
      </w:r>
      <w:r w:rsidRPr="00F428F6">
        <w:rPr>
          <w:rFonts w:ascii="Times New Roman" w:hAnsi="Times New Roman" w:cs="Times New Roman"/>
        </w:rPr>
        <w:t xml:space="preserve">, </w:t>
      </w:r>
      <w:r w:rsidR="000A3D1A" w:rsidRPr="00F428F6">
        <w:rPr>
          <w:rFonts w:ascii="Times New Roman" w:hAnsi="Times New Roman" w:cs="Times New Roman"/>
          <w:i/>
          <w:iCs/>
        </w:rPr>
        <w:t>op.cit</w:t>
      </w:r>
      <w:r w:rsidR="000A3D1A" w:rsidRPr="00F428F6">
        <w:rPr>
          <w:rFonts w:ascii="Times New Roman" w:hAnsi="Times New Roman" w:cs="Times New Roman"/>
        </w:rPr>
        <w:t xml:space="preserve">., p. 430. </w:t>
      </w:r>
    </w:p>
  </w:footnote>
  <w:footnote w:id="28">
    <w:p w14:paraId="095CF17C" w14:textId="2635858F" w:rsidR="00044407" w:rsidRPr="00F428F6" w:rsidRDefault="00044407" w:rsidP="00F428F6">
      <w:pPr>
        <w:pStyle w:val="Notedebasdepage"/>
        <w:jc w:val="both"/>
        <w:rPr>
          <w:rFonts w:ascii="Times New Roman" w:hAnsi="Times New Roman" w:cs="Times New Roman"/>
        </w:rPr>
      </w:pPr>
      <w:r w:rsidRPr="00F428F6">
        <w:rPr>
          <w:rStyle w:val="Appelnotedebasdep"/>
          <w:rFonts w:ascii="Times New Roman" w:hAnsi="Times New Roman" w:cs="Times New Roman"/>
        </w:rPr>
        <w:footnoteRef/>
      </w:r>
      <w:r w:rsidRPr="00F428F6">
        <w:rPr>
          <w:rFonts w:ascii="Times New Roman" w:hAnsi="Times New Roman" w:cs="Times New Roman"/>
        </w:rPr>
        <w:t xml:space="preserve"> Fl. GEORGE et V. CALLEWAERT, </w:t>
      </w:r>
      <w:r w:rsidR="004046CF" w:rsidRPr="00F428F6">
        <w:rPr>
          <w:rFonts w:ascii="Times New Roman" w:hAnsi="Times New Roman" w:cs="Times New Roman"/>
        </w:rPr>
        <w:t>« </w:t>
      </w:r>
      <w:r w:rsidRPr="00F428F6">
        <w:rPr>
          <w:rFonts w:ascii="Times New Roman" w:hAnsi="Times New Roman" w:cs="Times New Roman"/>
        </w:rPr>
        <w:t xml:space="preserve">Le contrat d’assurance terrestre analysé à l’aune des procédures de faillite et de réorganisation judiciaire », </w:t>
      </w:r>
      <w:r w:rsidRPr="00F428F6">
        <w:rPr>
          <w:rFonts w:ascii="Times New Roman" w:hAnsi="Times New Roman" w:cs="Times New Roman"/>
          <w:i/>
          <w:iCs/>
        </w:rPr>
        <w:t xml:space="preserve">Bull. </w:t>
      </w:r>
      <w:proofErr w:type="spellStart"/>
      <w:r w:rsidRPr="00F428F6">
        <w:rPr>
          <w:rFonts w:ascii="Times New Roman" w:hAnsi="Times New Roman" w:cs="Times New Roman"/>
          <w:i/>
          <w:iCs/>
        </w:rPr>
        <w:t>Ass</w:t>
      </w:r>
      <w:proofErr w:type="spellEnd"/>
      <w:r w:rsidRPr="00F428F6">
        <w:rPr>
          <w:rFonts w:ascii="Times New Roman" w:hAnsi="Times New Roman" w:cs="Times New Roman"/>
        </w:rPr>
        <w:t>., 2013, p. 405.</w:t>
      </w:r>
    </w:p>
  </w:footnote>
  <w:footnote w:id="29">
    <w:p w14:paraId="326FC803" w14:textId="14A1D563" w:rsidR="001B48F9" w:rsidRPr="00F428F6" w:rsidRDefault="001B48F9" w:rsidP="00CB4520">
      <w:pPr>
        <w:pStyle w:val="NormalWeb"/>
        <w:jc w:val="both"/>
      </w:pPr>
      <w:r w:rsidRPr="00F428F6">
        <w:rPr>
          <w:rStyle w:val="Appelnotedebasdep"/>
          <w:sz w:val="20"/>
          <w:szCs w:val="20"/>
        </w:rPr>
        <w:footnoteRef/>
      </w:r>
      <w:r w:rsidRPr="00F428F6">
        <w:rPr>
          <w:sz w:val="20"/>
          <w:szCs w:val="20"/>
        </w:rPr>
        <w:t xml:space="preserve"> </w:t>
      </w:r>
      <w:r w:rsidRPr="00F428F6">
        <w:rPr>
          <w:sz w:val="20"/>
          <w:szCs w:val="20"/>
          <w:lang w:val="fr-FR"/>
        </w:rPr>
        <w:t xml:space="preserve">Sauf pour les biens assurés insaisissables (Fl. GEORGE et V. CALLEWAERT, « Le contrat d’assurance terrestre analysé à l’aune des procédures de faillite et de réorganisation judiciaire », </w:t>
      </w:r>
      <w:r w:rsidRPr="00F428F6">
        <w:rPr>
          <w:i/>
          <w:iCs/>
          <w:sz w:val="20"/>
          <w:szCs w:val="20"/>
          <w:lang w:val="fr-FR"/>
        </w:rPr>
        <w:t>ibid.</w:t>
      </w:r>
      <w:r w:rsidRPr="00F428F6">
        <w:rPr>
          <w:sz w:val="20"/>
          <w:szCs w:val="20"/>
          <w:lang w:val="fr-FR"/>
        </w:rPr>
        <w:t xml:space="preserve">, p. 406. On sera ainsi attentif à l’indépendant qui déclare son immeuble insaisissable (conformément à la loi du 15 avril 2007, </w:t>
      </w:r>
      <w:r w:rsidRPr="00F428F6">
        <w:rPr>
          <w:i/>
          <w:iCs/>
          <w:sz w:val="20"/>
          <w:szCs w:val="20"/>
          <w:lang w:val="fr-FR"/>
        </w:rPr>
        <w:t>M.B</w:t>
      </w:r>
      <w:r w:rsidRPr="00F428F6">
        <w:rPr>
          <w:sz w:val="20"/>
          <w:szCs w:val="20"/>
          <w:lang w:val="fr-FR"/>
        </w:rPr>
        <w:t xml:space="preserve">., 8 mai 2007). Dans un tel cas, l’indemnité qui a vocation à remplacer l’immeuble reviendra au failli et les créanciers dont la déclaration d’insaisissabilité ne leur est pas opposable pourront procéder aux voies d’exécution classiques prévues par le Code judiciaire. Sur ce mécanisme, </w:t>
      </w:r>
      <w:proofErr w:type="spellStart"/>
      <w:r w:rsidRPr="00F428F6">
        <w:rPr>
          <w:sz w:val="20"/>
          <w:szCs w:val="20"/>
          <w:lang w:val="fr-FR"/>
        </w:rPr>
        <w:t>voy</w:t>
      </w:r>
      <w:proofErr w:type="spellEnd"/>
      <w:r w:rsidRPr="00F428F6">
        <w:rPr>
          <w:sz w:val="20"/>
          <w:szCs w:val="20"/>
          <w:lang w:val="fr-FR"/>
        </w:rPr>
        <w:t>. notamment : E. DIRIX, « </w:t>
      </w:r>
      <w:proofErr w:type="spellStart"/>
      <w:r w:rsidRPr="00F428F6">
        <w:rPr>
          <w:sz w:val="20"/>
          <w:szCs w:val="20"/>
          <w:lang w:val="fr-FR"/>
        </w:rPr>
        <w:t>Onbeslagbaarheid</w:t>
      </w:r>
      <w:proofErr w:type="spellEnd"/>
      <w:r w:rsidRPr="00F428F6">
        <w:rPr>
          <w:sz w:val="20"/>
          <w:szCs w:val="20"/>
          <w:lang w:val="fr-FR"/>
        </w:rPr>
        <w:t xml:space="preserve"> van de </w:t>
      </w:r>
      <w:proofErr w:type="spellStart"/>
      <w:r w:rsidRPr="00F428F6">
        <w:rPr>
          <w:sz w:val="20"/>
          <w:szCs w:val="20"/>
          <w:lang w:val="fr-FR"/>
        </w:rPr>
        <w:t>woning</w:t>
      </w:r>
      <w:proofErr w:type="spellEnd"/>
      <w:r w:rsidRPr="00F428F6">
        <w:rPr>
          <w:sz w:val="20"/>
          <w:szCs w:val="20"/>
          <w:lang w:val="fr-FR"/>
        </w:rPr>
        <w:t xml:space="preserve"> van de </w:t>
      </w:r>
      <w:proofErr w:type="spellStart"/>
      <w:r w:rsidRPr="00F428F6">
        <w:rPr>
          <w:sz w:val="20"/>
          <w:szCs w:val="20"/>
          <w:lang w:val="fr-FR"/>
        </w:rPr>
        <w:t>zelfstandige</w:t>
      </w:r>
      <w:proofErr w:type="spellEnd"/>
      <w:r w:rsidRPr="00F428F6">
        <w:rPr>
          <w:sz w:val="20"/>
          <w:szCs w:val="20"/>
          <w:lang w:val="fr-FR"/>
        </w:rPr>
        <w:t xml:space="preserve"> », in </w:t>
      </w:r>
      <w:proofErr w:type="spellStart"/>
      <w:r w:rsidRPr="00F428F6">
        <w:rPr>
          <w:sz w:val="20"/>
          <w:szCs w:val="20"/>
          <w:lang w:val="fr-FR"/>
        </w:rPr>
        <w:t>Faillissement</w:t>
      </w:r>
      <w:proofErr w:type="spellEnd"/>
      <w:r w:rsidRPr="00F428F6">
        <w:rPr>
          <w:sz w:val="20"/>
          <w:szCs w:val="20"/>
          <w:lang w:val="fr-FR"/>
        </w:rPr>
        <w:t xml:space="preserve"> en </w:t>
      </w:r>
      <w:proofErr w:type="spellStart"/>
      <w:r w:rsidRPr="00F428F6">
        <w:rPr>
          <w:sz w:val="20"/>
          <w:szCs w:val="20"/>
          <w:lang w:val="fr-FR"/>
        </w:rPr>
        <w:t>Reorganisatie</w:t>
      </w:r>
      <w:proofErr w:type="spellEnd"/>
      <w:r w:rsidR="00F428F6" w:rsidRPr="00F428F6">
        <w:rPr>
          <w:sz w:val="20"/>
          <w:szCs w:val="20"/>
          <w:lang w:val="fr-FR"/>
        </w:rPr>
        <w:t xml:space="preserve">, Wolters Kluwer, 2014, pp. 1 et s. ; </w:t>
      </w:r>
      <w:r w:rsidR="00F428F6" w:rsidRPr="00F428F6">
        <w:rPr>
          <w:sz w:val="20"/>
          <w:szCs w:val="20"/>
        </w:rPr>
        <w:t>Fr. GEORGES, « L’</w:t>
      </w:r>
      <w:proofErr w:type="spellStart"/>
      <w:r w:rsidR="00F428F6" w:rsidRPr="00F428F6">
        <w:rPr>
          <w:sz w:val="20"/>
          <w:szCs w:val="20"/>
        </w:rPr>
        <w:t>insaisissabilite</w:t>
      </w:r>
      <w:proofErr w:type="spellEnd"/>
      <w:r w:rsidR="00F428F6" w:rsidRPr="00F428F6">
        <w:rPr>
          <w:sz w:val="20"/>
          <w:szCs w:val="20"/>
        </w:rPr>
        <w:t xml:space="preserve">́ de la </w:t>
      </w:r>
      <w:proofErr w:type="spellStart"/>
      <w:r w:rsidR="00F428F6" w:rsidRPr="00F428F6">
        <w:rPr>
          <w:sz w:val="20"/>
          <w:szCs w:val="20"/>
        </w:rPr>
        <w:t>résidence</w:t>
      </w:r>
      <w:proofErr w:type="spellEnd"/>
      <w:r w:rsidR="00F428F6" w:rsidRPr="00F428F6">
        <w:rPr>
          <w:sz w:val="20"/>
          <w:szCs w:val="20"/>
        </w:rPr>
        <w:t xml:space="preserve"> principale de l’</w:t>
      </w:r>
      <w:proofErr w:type="spellStart"/>
      <w:r w:rsidR="00F428F6" w:rsidRPr="00F428F6">
        <w:rPr>
          <w:sz w:val="20"/>
          <w:szCs w:val="20"/>
        </w:rPr>
        <w:t>indépendant</w:t>
      </w:r>
      <w:proofErr w:type="spellEnd"/>
      <w:r w:rsidR="00F428F6" w:rsidRPr="00F428F6">
        <w:rPr>
          <w:sz w:val="20"/>
          <w:szCs w:val="20"/>
        </w:rPr>
        <w:t xml:space="preserve"> », </w:t>
      </w:r>
      <w:proofErr w:type="spellStart"/>
      <w:r w:rsidR="00F428F6" w:rsidRPr="00F428F6">
        <w:rPr>
          <w:i/>
          <w:iCs/>
          <w:sz w:val="20"/>
          <w:szCs w:val="20"/>
        </w:rPr>
        <w:t>Rev</w:t>
      </w:r>
      <w:proofErr w:type="spellEnd"/>
      <w:r w:rsidR="00F428F6" w:rsidRPr="00F428F6">
        <w:rPr>
          <w:i/>
          <w:iCs/>
          <w:sz w:val="20"/>
          <w:szCs w:val="20"/>
        </w:rPr>
        <w:t>. not. b</w:t>
      </w:r>
      <w:r w:rsidR="00F428F6" w:rsidRPr="00F428F6">
        <w:rPr>
          <w:sz w:val="20"/>
          <w:szCs w:val="20"/>
        </w:rPr>
        <w:t>., 2008, pp. 548 à 564</w:t>
      </w:r>
    </w:p>
  </w:footnote>
  <w:footnote w:id="30">
    <w:p w14:paraId="54B3E94F" w14:textId="5FEAC7B4" w:rsidR="00F22138" w:rsidRPr="00F428F6" w:rsidRDefault="00F22138" w:rsidP="00F428F6">
      <w:pPr>
        <w:pStyle w:val="Notedebasdepage"/>
        <w:jc w:val="both"/>
        <w:rPr>
          <w:rFonts w:ascii="Times New Roman" w:hAnsi="Times New Roman" w:cs="Times New Roman"/>
        </w:rPr>
      </w:pPr>
      <w:r w:rsidRPr="00F428F6">
        <w:rPr>
          <w:rStyle w:val="Appelnotedebasdep"/>
          <w:rFonts w:ascii="Times New Roman" w:hAnsi="Times New Roman" w:cs="Times New Roman"/>
        </w:rPr>
        <w:footnoteRef/>
      </w:r>
      <w:r w:rsidRPr="00F428F6">
        <w:rPr>
          <w:rFonts w:ascii="Times New Roman" w:hAnsi="Times New Roman" w:cs="Times New Roman"/>
        </w:rPr>
        <w:t xml:space="preserve"> </w:t>
      </w:r>
      <w:r w:rsidR="001C5DF0" w:rsidRPr="00F428F6">
        <w:rPr>
          <w:rFonts w:ascii="Times New Roman" w:hAnsi="Times New Roman" w:cs="Times New Roman"/>
        </w:rPr>
        <w:t xml:space="preserve">Le privilège spécial sur meubles dont dispose le bailleur (article 20, 1°, de la loi hypothécaire) pourrait être particulièrement pertinent en cas de perte de biens meubles assurés détenus par le locataire de l’immeuble sinistré. Pour une illustration : </w:t>
      </w:r>
      <w:r w:rsidRPr="00F428F6">
        <w:rPr>
          <w:rFonts w:ascii="Times New Roman" w:hAnsi="Times New Roman" w:cs="Times New Roman"/>
        </w:rPr>
        <w:t>Cass. (1</w:t>
      </w:r>
      <w:r w:rsidRPr="00F428F6">
        <w:rPr>
          <w:rFonts w:ascii="Times New Roman" w:hAnsi="Times New Roman" w:cs="Times New Roman"/>
          <w:vertAlign w:val="superscript"/>
        </w:rPr>
        <w:t>re</w:t>
      </w:r>
      <w:r w:rsidRPr="00F428F6">
        <w:rPr>
          <w:rFonts w:ascii="Times New Roman" w:hAnsi="Times New Roman" w:cs="Times New Roman"/>
        </w:rPr>
        <w:t xml:space="preserve"> ch.), 2 octobre 2014,</w:t>
      </w:r>
      <w:r w:rsidR="001C5DF0" w:rsidRPr="00F428F6">
        <w:rPr>
          <w:rFonts w:ascii="Times New Roman" w:hAnsi="Times New Roman" w:cs="Times New Roman"/>
        </w:rPr>
        <w:t xml:space="preserve"> </w:t>
      </w:r>
      <w:r w:rsidR="001C5DF0" w:rsidRPr="00F428F6">
        <w:rPr>
          <w:rFonts w:ascii="Times New Roman" w:hAnsi="Times New Roman" w:cs="Times New Roman"/>
          <w:i/>
          <w:iCs/>
        </w:rPr>
        <w:t>For. Assur</w:t>
      </w:r>
      <w:r w:rsidR="001C5DF0" w:rsidRPr="00F428F6">
        <w:rPr>
          <w:rFonts w:ascii="Times New Roman" w:hAnsi="Times New Roman" w:cs="Times New Roman"/>
        </w:rPr>
        <w:t xml:space="preserve">., 2015, pp. 99 et s., avec note M. FORGES ; </w:t>
      </w:r>
      <w:r w:rsidR="001C5DF0" w:rsidRPr="00F428F6">
        <w:rPr>
          <w:rFonts w:ascii="Times New Roman" w:hAnsi="Times New Roman" w:cs="Times New Roman"/>
          <w:i/>
          <w:iCs/>
        </w:rPr>
        <w:t>J.L.M.B</w:t>
      </w:r>
      <w:r w:rsidR="001C5DF0" w:rsidRPr="00F428F6">
        <w:rPr>
          <w:rFonts w:ascii="Times New Roman" w:hAnsi="Times New Roman" w:cs="Times New Roman"/>
        </w:rPr>
        <w:t xml:space="preserve">., 2015, pp. 1981 et s., avec note N. SCHIMTZ. </w:t>
      </w:r>
      <w:r w:rsidR="00CF4BBF" w:rsidRPr="00F428F6">
        <w:rPr>
          <w:rFonts w:ascii="Times New Roman" w:hAnsi="Times New Roman" w:cs="Times New Roman"/>
        </w:rPr>
        <w:t>Pour un</w:t>
      </w:r>
      <w:r w:rsidR="001F250A" w:rsidRPr="00F428F6">
        <w:rPr>
          <w:rFonts w:ascii="Times New Roman" w:hAnsi="Times New Roman" w:cs="Times New Roman"/>
        </w:rPr>
        <w:t xml:space="preserve"> autre</w:t>
      </w:r>
      <w:r w:rsidR="00CF4BBF" w:rsidRPr="00F428F6">
        <w:rPr>
          <w:rFonts w:ascii="Times New Roman" w:hAnsi="Times New Roman" w:cs="Times New Roman"/>
        </w:rPr>
        <w:t xml:space="preserve"> commentaire de cet arrêt, </w:t>
      </w:r>
      <w:proofErr w:type="spellStart"/>
      <w:r w:rsidR="00CF4BBF" w:rsidRPr="00F428F6">
        <w:rPr>
          <w:rFonts w:ascii="Times New Roman" w:hAnsi="Times New Roman" w:cs="Times New Roman"/>
        </w:rPr>
        <w:t>voy</w:t>
      </w:r>
      <w:proofErr w:type="spellEnd"/>
      <w:r w:rsidR="00CF4BBF" w:rsidRPr="00F428F6">
        <w:rPr>
          <w:rFonts w:ascii="Times New Roman" w:hAnsi="Times New Roman" w:cs="Times New Roman"/>
        </w:rPr>
        <w:t xml:space="preserve">. encore : J. BOILEAU, Fr. GEORGES, M. PASSANISI et M. MOREAUX, « Développements jurisprudentiels récents en matière de garanties de paiement », </w:t>
      </w:r>
      <w:r w:rsidR="001F250A" w:rsidRPr="00F428F6">
        <w:rPr>
          <w:rFonts w:ascii="Times New Roman" w:hAnsi="Times New Roman" w:cs="Times New Roman"/>
          <w:i/>
          <w:iCs/>
        </w:rPr>
        <w:t>op.cit</w:t>
      </w:r>
      <w:r w:rsidR="001F250A" w:rsidRPr="00F428F6">
        <w:rPr>
          <w:rFonts w:ascii="Times New Roman" w:hAnsi="Times New Roman" w:cs="Times New Roman"/>
        </w:rPr>
        <w:t>., pp</w:t>
      </w:r>
      <w:r w:rsidR="00CF4BBF" w:rsidRPr="00F428F6">
        <w:rPr>
          <w:rFonts w:ascii="Times New Roman" w:hAnsi="Times New Roman" w:cs="Times New Roman"/>
        </w:rPr>
        <w:t>. 351 et s.</w:t>
      </w:r>
    </w:p>
  </w:footnote>
  <w:footnote w:id="31">
    <w:p w14:paraId="7E371A75" w14:textId="14D3DD61" w:rsidR="00FE3BC3" w:rsidRPr="00F428F6" w:rsidRDefault="00FE3BC3" w:rsidP="00F428F6">
      <w:pPr>
        <w:pStyle w:val="Notedebasdepage"/>
        <w:jc w:val="both"/>
        <w:rPr>
          <w:rFonts w:ascii="Times New Roman" w:hAnsi="Times New Roman" w:cs="Times New Roman"/>
        </w:rPr>
      </w:pPr>
      <w:r w:rsidRPr="00F428F6">
        <w:rPr>
          <w:rStyle w:val="Appelnotedebasdep"/>
          <w:rFonts w:ascii="Times New Roman" w:hAnsi="Times New Roman" w:cs="Times New Roman"/>
        </w:rPr>
        <w:footnoteRef/>
      </w:r>
      <w:r w:rsidRPr="00F428F6">
        <w:rPr>
          <w:rFonts w:ascii="Times New Roman" w:hAnsi="Times New Roman" w:cs="Times New Roman"/>
        </w:rPr>
        <w:t xml:space="preserve"> Fl. GEORGE et X. THUNIS,  </w:t>
      </w:r>
      <w:r w:rsidR="001C5DF0" w:rsidRPr="00F428F6">
        <w:rPr>
          <w:rFonts w:ascii="Times New Roman" w:hAnsi="Times New Roman" w:cs="Times New Roman"/>
        </w:rPr>
        <w:t>« </w:t>
      </w:r>
      <w:r w:rsidRPr="00F428F6">
        <w:rPr>
          <w:rFonts w:ascii="Times New Roman" w:hAnsi="Times New Roman" w:cs="Times New Roman"/>
        </w:rPr>
        <w:t xml:space="preserve">La subrogation : un mécanisme hybride, une institution polymorphe », </w:t>
      </w:r>
      <w:r w:rsidRPr="00F428F6">
        <w:rPr>
          <w:rFonts w:ascii="Times New Roman" w:hAnsi="Times New Roman" w:cs="Times New Roman"/>
          <w:i/>
          <w:iCs/>
        </w:rPr>
        <w:t>op.cit</w:t>
      </w:r>
      <w:r w:rsidRPr="00F428F6">
        <w:rPr>
          <w:rFonts w:ascii="Times New Roman" w:hAnsi="Times New Roman" w:cs="Times New Roman"/>
        </w:rPr>
        <w:t xml:space="preserve">. p. 30 ; </w:t>
      </w:r>
      <w:r w:rsidR="001C5DF0" w:rsidRPr="00F428F6">
        <w:rPr>
          <w:rFonts w:ascii="Times New Roman" w:hAnsi="Times New Roman" w:cs="Times New Roman"/>
        </w:rPr>
        <w:t xml:space="preserve">Fr. GEORGES et A. CUYPERS, « Art. 10 L. </w:t>
      </w:r>
      <w:proofErr w:type="spellStart"/>
      <w:r w:rsidR="001C5DF0" w:rsidRPr="00F428F6">
        <w:rPr>
          <w:rFonts w:ascii="Times New Roman" w:hAnsi="Times New Roman" w:cs="Times New Roman"/>
        </w:rPr>
        <w:t>Hyp</w:t>
      </w:r>
      <w:proofErr w:type="spellEnd"/>
      <w:r w:rsidR="001C5DF0" w:rsidRPr="00F428F6">
        <w:rPr>
          <w:rFonts w:ascii="Times New Roman" w:hAnsi="Times New Roman" w:cs="Times New Roman"/>
        </w:rPr>
        <w:t xml:space="preserve">. », </w:t>
      </w:r>
      <w:proofErr w:type="spellStart"/>
      <w:r w:rsidR="001C5DF0" w:rsidRPr="00F428F6">
        <w:rPr>
          <w:rFonts w:ascii="Times New Roman" w:hAnsi="Times New Roman" w:cs="Times New Roman"/>
          <w:i/>
          <w:iCs/>
        </w:rPr>
        <w:t>op.cit</w:t>
      </w:r>
      <w:proofErr w:type="spellEnd"/>
      <w:r w:rsidR="001C5DF0" w:rsidRPr="00F428F6">
        <w:rPr>
          <w:rFonts w:ascii="Times New Roman" w:hAnsi="Times New Roman" w:cs="Times New Roman"/>
          <w:i/>
          <w:iCs/>
        </w:rPr>
        <w:t xml:space="preserve">, </w:t>
      </w:r>
      <w:r w:rsidR="001C5DF0" w:rsidRPr="00F428F6">
        <w:rPr>
          <w:rFonts w:ascii="Times New Roman" w:hAnsi="Times New Roman" w:cs="Times New Roman"/>
        </w:rPr>
        <w:t xml:space="preserve">p. 69. </w:t>
      </w:r>
    </w:p>
  </w:footnote>
  <w:footnote w:id="32">
    <w:p w14:paraId="4543EB10" w14:textId="10F70B9C" w:rsidR="008E6E44" w:rsidRPr="00F428F6" w:rsidRDefault="008E6E44" w:rsidP="00F428F6">
      <w:pPr>
        <w:pStyle w:val="Notedebasdepage"/>
        <w:jc w:val="both"/>
        <w:rPr>
          <w:rFonts w:ascii="Times New Roman" w:hAnsi="Times New Roman" w:cs="Times New Roman"/>
        </w:rPr>
      </w:pPr>
      <w:r w:rsidRPr="00F428F6">
        <w:rPr>
          <w:rStyle w:val="Appelnotedebasdep"/>
          <w:rFonts w:ascii="Times New Roman" w:hAnsi="Times New Roman" w:cs="Times New Roman"/>
        </w:rPr>
        <w:footnoteRef/>
      </w:r>
      <w:r w:rsidRPr="00F428F6">
        <w:rPr>
          <w:rFonts w:ascii="Times New Roman" w:hAnsi="Times New Roman" w:cs="Times New Roman"/>
        </w:rPr>
        <w:t xml:space="preserve"> V. NICAISE, </w:t>
      </w:r>
      <w:r w:rsidR="001C5DF0" w:rsidRPr="00F428F6">
        <w:rPr>
          <w:rFonts w:ascii="Times New Roman" w:hAnsi="Times New Roman" w:cs="Times New Roman"/>
        </w:rPr>
        <w:t>« </w:t>
      </w:r>
      <w:r w:rsidRPr="00F428F6">
        <w:rPr>
          <w:rFonts w:ascii="Times New Roman" w:hAnsi="Times New Roman" w:cs="Times New Roman"/>
        </w:rPr>
        <w:t xml:space="preserve">La portée de la réforme des sûretés réelles mobilières sur le secteur des assurances », </w:t>
      </w:r>
      <w:proofErr w:type="spellStart"/>
      <w:r w:rsidRPr="00F428F6">
        <w:rPr>
          <w:rFonts w:ascii="Times New Roman" w:hAnsi="Times New Roman" w:cs="Times New Roman"/>
          <w:i/>
          <w:iCs/>
        </w:rPr>
        <w:t>op.cit</w:t>
      </w:r>
      <w:proofErr w:type="spellEnd"/>
      <w:r w:rsidRPr="00F428F6">
        <w:rPr>
          <w:rFonts w:ascii="Times New Roman" w:hAnsi="Times New Roman" w:cs="Times New Roman"/>
        </w:rPr>
        <w:t>, p. 127</w:t>
      </w:r>
      <w:r w:rsidR="00775C29" w:rsidRPr="00F428F6">
        <w:rPr>
          <w:rFonts w:ascii="Times New Roman" w:hAnsi="Times New Roman" w:cs="Times New Roman"/>
        </w:rPr>
        <w:t> ; B. DUBUISSON, «  Actualités législatives et jurisprudentielles dans les assurances de choses et de frais »,</w:t>
      </w:r>
      <w:r w:rsidR="001C5DF0" w:rsidRPr="00F428F6">
        <w:rPr>
          <w:rFonts w:ascii="Times New Roman" w:hAnsi="Times New Roman" w:cs="Times New Roman"/>
        </w:rPr>
        <w:t xml:space="preserve"> </w:t>
      </w:r>
      <w:r w:rsidR="001C5DF0" w:rsidRPr="00F428F6">
        <w:rPr>
          <w:rFonts w:ascii="Times New Roman" w:hAnsi="Times New Roman" w:cs="Times New Roman"/>
          <w:i/>
          <w:iCs/>
        </w:rPr>
        <w:t>op.cit</w:t>
      </w:r>
      <w:r w:rsidR="001C5DF0" w:rsidRPr="00F428F6">
        <w:rPr>
          <w:rFonts w:ascii="Times New Roman" w:hAnsi="Times New Roman" w:cs="Times New Roman"/>
        </w:rPr>
        <w:t xml:space="preserve">., p. 161. </w:t>
      </w:r>
    </w:p>
  </w:footnote>
  <w:footnote w:id="33">
    <w:p w14:paraId="6A89CDD0" w14:textId="14103E00" w:rsidR="001837B4" w:rsidRPr="00F428F6" w:rsidRDefault="001837B4" w:rsidP="00F428F6">
      <w:pPr>
        <w:pStyle w:val="Notedebasdepage"/>
        <w:jc w:val="both"/>
        <w:rPr>
          <w:rFonts w:ascii="Times New Roman" w:hAnsi="Times New Roman" w:cs="Times New Roman"/>
        </w:rPr>
      </w:pPr>
      <w:r w:rsidRPr="00F428F6">
        <w:rPr>
          <w:rStyle w:val="Appelnotedebasdep"/>
          <w:rFonts w:ascii="Times New Roman" w:hAnsi="Times New Roman" w:cs="Times New Roman"/>
        </w:rPr>
        <w:footnoteRef/>
      </w:r>
      <w:r w:rsidRPr="00CB4520">
        <w:rPr>
          <w:rFonts w:ascii="Times New Roman" w:hAnsi="Times New Roman" w:cs="Times New Roman"/>
          <w:lang w:val="nl-BE"/>
        </w:rPr>
        <w:t xml:space="preserve"> </w:t>
      </w:r>
      <w:r w:rsidR="001C5DF0" w:rsidRPr="00CB4520">
        <w:rPr>
          <w:rFonts w:ascii="Times New Roman" w:hAnsi="Times New Roman" w:cs="Times New Roman"/>
          <w:lang w:val="nl-BE"/>
        </w:rPr>
        <w:t xml:space="preserve">Fr. GEORGES et A. CUYPERS, « Art. 10 L. Hyp. », </w:t>
      </w:r>
      <w:r w:rsidR="001C5DF0" w:rsidRPr="00CB4520">
        <w:rPr>
          <w:rFonts w:ascii="Times New Roman" w:hAnsi="Times New Roman" w:cs="Times New Roman"/>
          <w:i/>
          <w:iCs/>
          <w:lang w:val="nl-BE"/>
        </w:rPr>
        <w:t xml:space="preserve">op.cit, </w:t>
      </w:r>
      <w:r w:rsidR="001C5DF0" w:rsidRPr="00CB4520">
        <w:rPr>
          <w:rFonts w:ascii="Times New Roman" w:hAnsi="Times New Roman" w:cs="Times New Roman"/>
          <w:lang w:val="nl-BE"/>
        </w:rPr>
        <w:t xml:space="preserve">p. 69 ; </w:t>
      </w:r>
      <w:r w:rsidRPr="00CB4520">
        <w:rPr>
          <w:rFonts w:ascii="Times New Roman" w:hAnsi="Times New Roman" w:cs="Times New Roman"/>
          <w:lang w:val="nl-BE"/>
        </w:rPr>
        <w:t xml:space="preserve">A. DE WILDE, </w:t>
      </w:r>
      <w:r w:rsidR="001C5DF0" w:rsidRPr="00CB4520">
        <w:rPr>
          <w:rFonts w:ascii="Times New Roman" w:hAnsi="Times New Roman" w:cs="Times New Roman"/>
          <w:lang w:val="nl-BE"/>
        </w:rPr>
        <w:t>« </w:t>
      </w:r>
      <w:r w:rsidRPr="00CB4520">
        <w:rPr>
          <w:rFonts w:ascii="Times New Roman" w:hAnsi="Times New Roman" w:cs="Times New Roman"/>
          <w:lang w:val="nl-BE"/>
        </w:rPr>
        <w:t>Zakelijke subrogatie in artikel 58 van de Wet op de Landverzekeringsovereenkomst</w:t>
      </w:r>
      <w:r w:rsidR="001F250A" w:rsidRPr="00CB4520">
        <w:rPr>
          <w:rFonts w:ascii="Times New Roman" w:hAnsi="Times New Roman" w:cs="Times New Roman"/>
          <w:lang w:val="nl-BE"/>
        </w:rPr>
        <w:t> »</w:t>
      </w:r>
      <w:r w:rsidRPr="00CB4520">
        <w:rPr>
          <w:rFonts w:ascii="Times New Roman" w:hAnsi="Times New Roman" w:cs="Times New Roman"/>
          <w:lang w:val="nl-BE"/>
        </w:rPr>
        <w:t xml:space="preserve">, note sous Comm. </w:t>
      </w:r>
      <w:r w:rsidRPr="00F428F6">
        <w:rPr>
          <w:rFonts w:ascii="Times New Roman" w:hAnsi="Times New Roman" w:cs="Times New Roman"/>
        </w:rPr>
        <w:t xml:space="preserve">Hasselt (réf.), 15 février 1999, </w:t>
      </w:r>
      <w:r w:rsidRPr="00F428F6">
        <w:rPr>
          <w:rFonts w:ascii="Times New Roman" w:hAnsi="Times New Roman" w:cs="Times New Roman"/>
          <w:i/>
          <w:iCs/>
        </w:rPr>
        <w:t>R.D.C</w:t>
      </w:r>
      <w:r w:rsidRPr="00F428F6">
        <w:rPr>
          <w:rFonts w:ascii="Times New Roman" w:hAnsi="Times New Roman" w:cs="Times New Roman"/>
        </w:rPr>
        <w:t xml:space="preserve">., p. 877. </w:t>
      </w:r>
      <w:r w:rsidR="00F443FB" w:rsidRPr="00F428F6">
        <w:rPr>
          <w:rFonts w:ascii="Times New Roman" w:hAnsi="Times New Roman" w:cs="Times New Roman"/>
        </w:rPr>
        <w:t>Ainsi, une déclaration orale ou une simple lettre suffit donc (</w:t>
      </w:r>
      <w:r w:rsidR="001C5DF0" w:rsidRPr="00F428F6">
        <w:rPr>
          <w:rFonts w:ascii="Times New Roman" w:hAnsi="Times New Roman" w:cs="Times New Roman"/>
        </w:rPr>
        <w:t xml:space="preserve">Fr. GEORGES et A. CUYPERS, « Art. 10 L. </w:t>
      </w:r>
      <w:proofErr w:type="spellStart"/>
      <w:r w:rsidR="001C5DF0" w:rsidRPr="00F428F6">
        <w:rPr>
          <w:rFonts w:ascii="Times New Roman" w:hAnsi="Times New Roman" w:cs="Times New Roman"/>
        </w:rPr>
        <w:t>Hyp</w:t>
      </w:r>
      <w:proofErr w:type="spellEnd"/>
      <w:r w:rsidR="001C5DF0" w:rsidRPr="00F428F6">
        <w:rPr>
          <w:rFonts w:ascii="Times New Roman" w:hAnsi="Times New Roman" w:cs="Times New Roman"/>
        </w:rPr>
        <w:t xml:space="preserve">. », </w:t>
      </w:r>
      <w:r w:rsidR="001C5DF0" w:rsidRPr="00F428F6">
        <w:rPr>
          <w:rFonts w:ascii="Times New Roman" w:hAnsi="Times New Roman" w:cs="Times New Roman"/>
          <w:i/>
          <w:iCs/>
        </w:rPr>
        <w:t xml:space="preserve">ibid., </w:t>
      </w:r>
      <w:r w:rsidR="001C5DF0" w:rsidRPr="00F428F6">
        <w:rPr>
          <w:rFonts w:ascii="Times New Roman" w:hAnsi="Times New Roman" w:cs="Times New Roman"/>
        </w:rPr>
        <w:t xml:space="preserve">p. 69). </w:t>
      </w:r>
      <w:proofErr w:type="spellStart"/>
      <w:r w:rsidR="00D14B8C" w:rsidRPr="00F428F6">
        <w:rPr>
          <w:rFonts w:ascii="Times New Roman" w:hAnsi="Times New Roman" w:cs="Times New Roman"/>
        </w:rPr>
        <w:t>Voy</w:t>
      </w:r>
      <w:proofErr w:type="spellEnd"/>
      <w:r w:rsidR="00D14B8C" w:rsidRPr="00F428F6">
        <w:rPr>
          <w:rFonts w:ascii="Times New Roman" w:hAnsi="Times New Roman" w:cs="Times New Roman"/>
        </w:rPr>
        <w:t>. encore</w:t>
      </w:r>
      <w:r w:rsidR="00CF4BBF" w:rsidRPr="00F428F6">
        <w:rPr>
          <w:rFonts w:ascii="Times New Roman" w:hAnsi="Times New Roman" w:cs="Times New Roman"/>
        </w:rPr>
        <w:t>, sur ce point :</w:t>
      </w:r>
      <w:r w:rsidR="00D14B8C" w:rsidRPr="00F428F6">
        <w:rPr>
          <w:rFonts w:ascii="Times New Roman" w:hAnsi="Times New Roman" w:cs="Times New Roman"/>
        </w:rPr>
        <w:t xml:space="preserve"> V. NICAISE, « La portée de la réforme des sûretés réelles mobilières sur le secteur des assurances »,</w:t>
      </w:r>
      <w:r w:rsidR="00CF4BBF" w:rsidRPr="00F428F6">
        <w:rPr>
          <w:rFonts w:ascii="Times New Roman" w:hAnsi="Times New Roman" w:cs="Times New Roman"/>
        </w:rPr>
        <w:t xml:space="preserve"> </w:t>
      </w:r>
      <w:r w:rsidR="00CF4BBF" w:rsidRPr="00F428F6">
        <w:rPr>
          <w:rFonts w:ascii="Times New Roman" w:hAnsi="Times New Roman" w:cs="Times New Roman"/>
          <w:i/>
          <w:iCs/>
        </w:rPr>
        <w:t>ibid.</w:t>
      </w:r>
      <w:r w:rsidR="00CF4BBF" w:rsidRPr="00F428F6">
        <w:rPr>
          <w:rFonts w:ascii="Times New Roman" w:hAnsi="Times New Roman" w:cs="Times New Roman"/>
        </w:rPr>
        <w:t xml:space="preserve">, note infrapaginale n° 23 ; N. SCHIMTZ, </w:t>
      </w:r>
      <w:r w:rsidR="00D14B8C" w:rsidRPr="00F428F6">
        <w:rPr>
          <w:rFonts w:ascii="Times New Roman" w:hAnsi="Times New Roman" w:cs="Times New Roman"/>
        </w:rPr>
        <w:t xml:space="preserve">« Bref propos en faveur d’une application flexible de la condition stricte du paiement effectif en matière de subrogation personnelle : l’exemple de la subrogation réelle », </w:t>
      </w:r>
      <w:r w:rsidR="00D14B8C" w:rsidRPr="00F428F6">
        <w:rPr>
          <w:rFonts w:ascii="Times New Roman" w:hAnsi="Times New Roman" w:cs="Times New Roman"/>
          <w:i/>
          <w:iCs/>
        </w:rPr>
        <w:t>op.cit</w:t>
      </w:r>
      <w:r w:rsidR="00D14B8C" w:rsidRPr="00F428F6">
        <w:rPr>
          <w:rFonts w:ascii="Times New Roman" w:hAnsi="Times New Roman" w:cs="Times New Roman"/>
        </w:rPr>
        <w:t>., p. 1991</w:t>
      </w:r>
      <w:r w:rsidR="00CF4BBF" w:rsidRPr="00F428F6">
        <w:rPr>
          <w:rFonts w:ascii="Times New Roman" w:hAnsi="Times New Roman" w:cs="Times New Roman"/>
        </w:rPr>
        <w:t xml:space="preserve"> ; </w:t>
      </w:r>
      <w:r w:rsidR="00775C29" w:rsidRPr="00F428F6">
        <w:rPr>
          <w:rFonts w:ascii="Times New Roman" w:hAnsi="Times New Roman" w:cs="Times New Roman"/>
        </w:rPr>
        <w:t xml:space="preserve">B. DUBUISSON, « Actualités législatives et jurisprudentielles dans les assurances de choses et de frais », </w:t>
      </w:r>
      <w:r w:rsidR="001F250A" w:rsidRPr="00F428F6">
        <w:rPr>
          <w:rFonts w:ascii="Times New Roman" w:hAnsi="Times New Roman" w:cs="Times New Roman"/>
          <w:i/>
          <w:iCs/>
        </w:rPr>
        <w:t>ibid</w:t>
      </w:r>
      <w:r w:rsidR="00775C29" w:rsidRPr="00F428F6">
        <w:rPr>
          <w:rFonts w:ascii="Times New Roman" w:hAnsi="Times New Roman" w:cs="Times New Roman"/>
        </w:rPr>
        <w:t xml:space="preserve">., p. 161. </w:t>
      </w:r>
    </w:p>
  </w:footnote>
  <w:footnote w:id="34">
    <w:p w14:paraId="245C1A29" w14:textId="5B553D46" w:rsidR="00EF6DE5" w:rsidRPr="00F428F6" w:rsidRDefault="00EF6DE5" w:rsidP="00F428F6">
      <w:pPr>
        <w:pStyle w:val="Notedebasdepage"/>
        <w:jc w:val="both"/>
        <w:rPr>
          <w:rFonts w:ascii="Times New Roman" w:hAnsi="Times New Roman" w:cs="Times New Roman"/>
        </w:rPr>
      </w:pPr>
      <w:r w:rsidRPr="00F428F6">
        <w:rPr>
          <w:rStyle w:val="Appelnotedebasdep"/>
          <w:rFonts w:ascii="Times New Roman" w:hAnsi="Times New Roman" w:cs="Times New Roman"/>
        </w:rPr>
        <w:footnoteRef/>
      </w:r>
      <w:r w:rsidRPr="00F428F6">
        <w:rPr>
          <w:rFonts w:ascii="Times New Roman" w:hAnsi="Times New Roman" w:cs="Times New Roman"/>
        </w:rPr>
        <w:t xml:space="preserve"> </w:t>
      </w:r>
      <w:r w:rsidR="00CF4BBF" w:rsidRPr="00F428F6">
        <w:rPr>
          <w:rFonts w:ascii="Times New Roman" w:hAnsi="Times New Roman" w:cs="Times New Roman"/>
        </w:rPr>
        <w:t xml:space="preserve">Fr. GEORGES et A. CUYPERS, « Art. 10 L. </w:t>
      </w:r>
      <w:proofErr w:type="spellStart"/>
      <w:r w:rsidR="00CF4BBF" w:rsidRPr="00F428F6">
        <w:rPr>
          <w:rFonts w:ascii="Times New Roman" w:hAnsi="Times New Roman" w:cs="Times New Roman"/>
        </w:rPr>
        <w:t>Hyp</w:t>
      </w:r>
      <w:proofErr w:type="spellEnd"/>
      <w:r w:rsidR="00CF4BBF" w:rsidRPr="00F428F6">
        <w:rPr>
          <w:rFonts w:ascii="Times New Roman" w:hAnsi="Times New Roman" w:cs="Times New Roman"/>
        </w:rPr>
        <w:t xml:space="preserve">. », </w:t>
      </w:r>
      <w:r w:rsidR="00CF4BBF" w:rsidRPr="00F428F6">
        <w:rPr>
          <w:rFonts w:ascii="Times New Roman" w:hAnsi="Times New Roman" w:cs="Times New Roman"/>
          <w:i/>
          <w:iCs/>
        </w:rPr>
        <w:t xml:space="preserve">ibid., </w:t>
      </w:r>
      <w:r w:rsidR="00CF4BBF" w:rsidRPr="00F428F6">
        <w:rPr>
          <w:rFonts w:ascii="Times New Roman" w:hAnsi="Times New Roman" w:cs="Times New Roman"/>
        </w:rPr>
        <w:t xml:space="preserve">p. 69 ; </w:t>
      </w:r>
      <w:r w:rsidR="006A6DC3" w:rsidRPr="00F428F6">
        <w:rPr>
          <w:rFonts w:ascii="Times New Roman" w:hAnsi="Times New Roman" w:cs="Times New Roman"/>
        </w:rPr>
        <w:t xml:space="preserve">J. FAGNART, </w:t>
      </w:r>
      <w:r w:rsidR="006A6DC3" w:rsidRPr="00F428F6">
        <w:rPr>
          <w:rFonts w:ascii="Times New Roman" w:hAnsi="Times New Roman" w:cs="Times New Roman"/>
          <w:i/>
          <w:iCs/>
        </w:rPr>
        <w:t>Traité de droit commercial</w:t>
      </w:r>
      <w:r w:rsidR="006A6DC3" w:rsidRPr="00F428F6">
        <w:rPr>
          <w:rFonts w:ascii="Times New Roman" w:hAnsi="Times New Roman" w:cs="Times New Roman"/>
        </w:rPr>
        <w:t xml:space="preserve">, </w:t>
      </w:r>
      <w:r w:rsidR="00CF4BBF" w:rsidRPr="00F428F6">
        <w:rPr>
          <w:rFonts w:ascii="Times New Roman" w:hAnsi="Times New Roman" w:cs="Times New Roman"/>
          <w:i/>
          <w:iCs/>
        </w:rPr>
        <w:t>op.cit</w:t>
      </w:r>
      <w:r w:rsidR="00CF4BBF" w:rsidRPr="00F428F6">
        <w:rPr>
          <w:rFonts w:ascii="Times New Roman" w:hAnsi="Times New Roman" w:cs="Times New Roman"/>
        </w:rPr>
        <w:t xml:space="preserve">., p. 429. On songera par exemple à l’envoi </w:t>
      </w:r>
      <w:r w:rsidR="00F443FB" w:rsidRPr="00F428F6">
        <w:rPr>
          <w:rFonts w:ascii="Times New Roman" w:hAnsi="Times New Roman" w:cs="Times New Roman"/>
        </w:rPr>
        <w:t>d’une lettre recommandée</w:t>
      </w:r>
      <w:r w:rsidR="00CF4BBF" w:rsidRPr="00F428F6">
        <w:rPr>
          <w:rFonts w:ascii="Times New Roman" w:hAnsi="Times New Roman" w:cs="Times New Roman"/>
        </w:rPr>
        <w:t xml:space="preserve"> ou d’un courriel électronique avec accusé de réception</w:t>
      </w:r>
      <w:r w:rsidR="00F443FB" w:rsidRPr="00F428F6">
        <w:rPr>
          <w:rFonts w:ascii="Times New Roman" w:hAnsi="Times New Roman" w:cs="Times New Roman"/>
        </w:rPr>
        <w:t xml:space="preserve">. </w:t>
      </w:r>
    </w:p>
  </w:footnote>
  <w:footnote w:id="35">
    <w:p w14:paraId="2D740716" w14:textId="0E5A1D50" w:rsidR="00326A89" w:rsidRPr="00F428F6" w:rsidRDefault="00326A89" w:rsidP="00F428F6">
      <w:pPr>
        <w:pStyle w:val="Notedebasdepage"/>
        <w:jc w:val="both"/>
        <w:rPr>
          <w:rFonts w:ascii="Times New Roman" w:hAnsi="Times New Roman" w:cs="Times New Roman"/>
        </w:rPr>
      </w:pPr>
      <w:r w:rsidRPr="00F428F6">
        <w:rPr>
          <w:rStyle w:val="Appelnotedebasdep"/>
          <w:rFonts w:ascii="Times New Roman" w:hAnsi="Times New Roman" w:cs="Times New Roman"/>
        </w:rPr>
        <w:footnoteRef/>
      </w:r>
      <w:r w:rsidRPr="00F428F6">
        <w:rPr>
          <w:rFonts w:ascii="Times New Roman" w:hAnsi="Times New Roman" w:cs="Times New Roman"/>
        </w:rPr>
        <w:t xml:space="preserve"> Cass. (1</w:t>
      </w:r>
      <w:r w:rsidRPr="00F428F6">
        <w:rPr>
          <w:rFonts w:ascii="Times New Roman" w:hAnsi="Times New Roman" w:cs="Times New Roman"/>
          <w:vertAlign w:val="superscript"/>
        </w:rPr>
        <w:t>re</w:t>
      </w:r>
      <w:r w:rsidRPr="00F428F6">
        <w:rPr>
          <w:rFonts w:ascii="Times New Roman" w:hAnsi="Times New Roman" w:cs="Times New Roman"/>
        </w:rPr>
        <w:t xml:space="preserve"> ch.), 2 octobre 2014, </w:t>
      </w:r>
      <w:r w:rsidR="00CF4BBF" w:rsidRPr="00F428F6">
        <w:rPr>
          <w:rFonts w:ascii="Times New Roman" w:hAnsi="Times New Roman" w:cs="Times New Roman"/>
        </w:rPr>
        <w:t xml:space="preserve">précité. </w:t>
      </w:r>
    </w:p>
  </w:footnote>
  <w:footnote w:id="36">
    <w:p w14:paraId="1DE1BBFD" w14:textId="0E05E669" w:rsidR="00551E9F" w:rsidRPr="00F428F6" w:rsidRDefault="00551E9F" w:rsidP="00F428F6">
      <w:pPr>
        <w:pStyle w:val="Notedebasdepage"/>
        <w:jc w:val="both"/>
        <w:rPr>
          <w:rFonts w:ascii="Times New Roman" w:hAnsi="Times New Roman" w:cs="Times New Roman"/>
        </w:rPr>
      </w:pPr>
      <w:r w:rsidRPr="00F428F6">
        <w:rPr>
          <w:rStyle w:val="Appelnotedebasdep"/>
          <w:rFonts w:ascii="Times New Roman" w:hAnsi="Times New Roman" w:cs="Times New Roman"/>
        </w:rPr>
        <w:footnoteRef/>
      </w:r>
      <w:r w:rsidRPr="00F428F6">
        <w:rPr>
          <w:rFonts w:ascii="Times New Roman" w:hAnsi="Times New Roman" w:cs="Times New Roman"/>
        </w:rPr>
        <w:t xml:space="preserve"> L’article 81 de la loi hypothécaire dispose en effet</w:t>
      </w:r>
      <w:r w:rsidR="00CF4BBF" w:rsidRPr="00F428F6">
        <w:rPr>
          <w:rFonts w:ascii="Times New Roman" w:hAnsi="Times New Roman" w:cs="Times New Roman"/>
        </w:rPr>
        <w:t> :</w:t>
      </w:r>
      <w:r w:rsidRPr="00F428F6">
        <w:rPr>
          <w:rFonts w:ascii="Times New Roman" w:hAnsi="Times New Roman" w:cs="Times New Roman"/>
        </w:rPr>
        <w:t xml:space="preserve"> « </w:t>
      </w:r>
      <w:r w:rsidRPr="00F428F6">
        <w:rPr>
          <w:rFonts w:ascii="Times New Roman" w:hAnsi="Times New Roman" w:cs="Times New Roman"/>
          <w:i/>
          <w:iCs/>
        </w:rPr>
        <w:t>entre les créanciers, l’hypothèque n’a de rang que du jour de l’inscription prise sur les registres de la publicité hypothécaire, dans la forme et de la manière prescrites par la loi </w:t>
      </w:r>
      <w:r w:rsidRPr="00F428F6">
        <w:rPr>
          <w:rFonts w:ascii="Times New Roman" w:hAnsi="Times New Roman" w:cs="Times New Roman"/>
        </w:rPr>
        <w:t>». Il en va de même pour l’hypothèque légale</w:t>
      </w:r>
      <w:r w:rsidR="00E3325F" w:rsidRPr="00F428F6">
        <w:rPr>
          <w:rFonts w:ascii="Times New Roman" w:hAnsi="Times New Roman" w:cs="Times New Roman"/>
        </w:rPr>
        <w:t xml:space="preserve"> conformément au prescrit de l’article 29 du </w:t>
      </w:r>
      <w:r w:rsidRPr="00F428F6">
        <w:rPr>
          <w:rFonts w:ascii="Times New Roman" w:hAnsi="Times New Roman" w:cs="Times New Roman"/>
        </w:rPr>
        <w:t>Code de recouvrement amiable et forcé des créances fiscales et non fiscales</w:t>
      </w:r>
      <w:r w:rsidR="00E3325F" w:rsidRPr="00F428F6">
        <w:rPr>
          <w:rFonts w:ascii="Times New Roman" w:hAnsi="Times New Roman" w:cs="Times New Roman"/>
        </w:rPr>
        <w:t xml:space="preserve"> (ci-après « C.R.A.F. »). </w:t>
      </w:r>
    </w:p>
  </w:footnote>
  <w:footnote w:id="37">
    <w:p w14:paraId="5B8B6478" w14:textId="4E274949" w:rsidR="00754A4F" w:rsidRPr="00F428F6" w:rsidRDefault="00754A4F" w:rsidP="00F428F6">
      <w:pPr>
        <w:pStyle w:val="Notedebasdepage"/>
        <w:jc w:val="both"/>
        <w:rPr>
          <w:rFonts w:ascii="Times New Roman" w:hAnsi="Times New Roman" w:cs="Times New Roman"/>
        </w:rPr>
      </w:pPr>
      <w:r w:rsidRPr="00F428F6">
        <w:rPr>
          <w:rStyle w:val="Appelnotedebasdep"/>
          <w:rFonts w:ascii="Times New Roman" w:hAnsi="Times New Roman" w:cs="Times New Roman"/>
        </w:rPr>
        <w:footnoteRef/>
      </w:r>
      <w:r w:rsidRPr="00F428F6">
        <w:rPr>
          <w:rFonts w:ascii="Times New Roman" w:hAnsi="Times New Roman" w:cs="Times New Roman"/>
        </w:rPr>
        <w:t xml:space="preserve"> Bruxelles, 1er mars 2016, </w:t>
      </w:r>
      <w:r w:rsidRPr="00F428F6">
        <w:rPr>
          <w:rFonts w:ascii="Times New Roman" w:hAnsi="Times New Roman" w:cs="Times New Roman"/>
          <w:i/>
          <w:iCs/>
        </w:rPr>
        <w:t>R</w:t>
      </w:r>
      <w:r w:rsidR="00E3325F" w:rsidRPr="00F428F6">
        <w:rPr>
          <w:rFonts w:ascii="Times New Roman" w:hAnsi="Times New Roman" w:cs="Times New Roman"/>
          <w:i/>
          <w:iCs/>
        </w:rPr>
        <w:t>.</w:t>
      </w:r>
      <w:r w:rsidRPr="00F428F6">
        <w:rPr>
          <w:rFonts w:ascii="Times New Roman" w:hAnsi="Times New Roman" w:cs="Times New Roman"/>
          <w:i/>
          <w:iCs/>
        </w:rPr>
        <w:t>D</w:t>
      </w:r>
      <w:r w:rsidR="00E3325F" w:rsidRPr="00F428F6">
        <w:rPr>
          <w:rFonts w:ascii="Times New Roman" w:hAnsi="Times New Roman" w:cs="Times New Roman"/>
          <w:i/>
          <w:iCs/>
        </w:rPr>
        <w:t>.</w:t>
      </w:r>
      <w:r w:rsidRPr="00F428F6">
        <w:rPr>
          <w:rFonts w:ascii="Times New Roman" w:hAnsi="Times New Roman" w:cs="Times New Roman"/>
          <w:i/>
          <w:iCs/>
        </w:rPr>
        <w:t>C</w:t>
      </w:r>
      <w:r w:rsidR="00E3325F" w:rsidRPr="00F428F6">
        <w:rPr>
          <w:rFonts w:ascii="Times New Roman" w:hAnsi="Times New Roman" w:cs="Times New Roman"/>
          <w:i/>
          <w:iCs/>
        </w:rPr>
        <w:t>.</w:t>
      </w:r>
      <w:r w:rsidRPr="00F428F6">
        <w:rPr>
          <w:rFonts w:ascii="Times New Roman" w:hAnsi="Times New Roman" w:cs="Times New Roman"/>
          <w:i/>
          <w:iCs/>
        </w:rPr>
        <w:t>B</w:t>
      </w:r>
      <w:r w:rsidRPr="00F428F6">
        <w:rPr>
          <w:rFonts w:ascii="Times New Roman" w:hAnsi="Times New Roman" w:cs="Times New Roman"/>
        </w:rPr>
        <w:t xml:space="preserve">, 2018, pp. 104 et s. </w:t>
      </w:r>
      <w:r w:rsidR="005B2CAE" w:rsidRPr="00F428F6">
        <w:rPr>
          <w:rFonts w:ascii="Times New Roman" w:hAnsi="Times New Roman" w:cs="Times New Roman"/>
        </w:rPr>
        <w:t>Sur la production d</w:t>
      </w:r>
      <w:r w:rsidR="009C54BB" w:rsidRPr="00F428F6">
        <w:rPr>
          <w:rFonts w:ascii="Times New Roman" w:hAnsi="Times New Roman" w:cs="Times New Roman"/>
        </w:rPr>
        <w:t xml:space="preserve">’un </w:t>
      </w:r>
      <w:r w:rsidR="005B2CAE" w:rsidRPr="00F428F6">
        <w:rPr>
          <w:rFonts w:ascii="Times New Roman" w:hAnsi="Times New Roman" w:cs="Times New Roman"/>
        </w:rPr>
        <w:t xml:space="preserve">certificat hypothécaire, </w:t>
      </w:r>
      <w:proofErr w:type="spellStart"/>
      <w:r w:rsidR="005B2CAE" w:rsidRPr="00F428F6">
        <w:rPr>
          <w:rFonts w:ascii="Times New Roman" w:hAnsi="Times New Roman" w:cs="Times New Roman"/>
        </w:rPr>
        <w:t>voy</w:t>
      </w:r>
      <w:proofErr w:type="spellEnd"/>
      <w:r w:rsidR="005B2CAE" w:rsidRPr="00F428F6">
        <w:rPr>
          <w:rFonts w:ascii="Times New Roman" w:hAnsi="Times New Roman" w:cs="Times New Roman"/>
        </w:rPr>
        <w:t xml:space="preserve">. F. T’KINT, </w:t>
      </w:r>
      <w:r w:rsidR="009C54BB" w:rsidRPr="00F428F6">
        <w:rPr>
          <w:rFonts w:ascii="Times New Roman" w:hAnsi="Times New Roman" w:cs="Times New Roman"/>
          <w:i/>
          <w:iCs/>
        </w:rPr>
        <w:t>Sûretés et principes généraux du droit de poursuite des créanciers, op.cit</w:t>
      </w:r>
      <w:r w:rsidR="009C54BB" w:rsidRPr="00F428F6">
        <w:rPr>
          <w:rFonts w:ascii="Times New Roman" w:hAnsi="Times New Roman" w:cs="Times New Roman"/>
        </w:rPr>
        <w:t xml:space="preserve">., pp. 292 et s. ; </w:t>
      </w:r>
      <w:r w:rsidR="005B2CAE" w:rsidRPr="00F428F6">
        <w:rPr>
          <w:rFonts w:ascii="Times New Roman" w:hAnsi="Times New Roman" w:cs="Times New Roman"/>
        </w:rPr>
        <w:t>V. NICAISE</w:t>
      </w:r>
      <w:r w:rsidR="00D6414C" w:rsidRPr="00F428F6">
        <w:rPr>
          <w:rFonts w:ascii="Times New Roman" w:hAnsi="Times New Roman" w:cs="Times New Roman"/>
        </w:rPr>
        <w:t xml:space="preserve">, </w:t>
      </w:r>
      <w:r w:rsidR="009C54BB" w:rsidRPr="00F428F6">
        <w:rPr>
          <w:rFonts w:ascii="Times New Roman" w:hAnsi="Times New Roman" w:cs="Times New Roman"/>
        </w:rPr>
        <w:t>« </w:t>
      </w:r>
      <w:r w:rsidR="00D6414C" w:rsidRPr="00F428F6">
        <w:rPr>
          <w:rFonts w:ascii="Times New Roman" w:hAnsi="Times New Roman" w:cs="Times New Roman"/>
        </w:rPr>
        <w:t xml:space="preserve">La portée de la réforme des sûretés réelles mobilières sur le secteur des assurances », </w:t>
      </w:r>
      <w:r w:rsidR="00D6414C" w:rsidRPr="00F428F6">
        <w:rPr>
          <w:rFonts w:ascii="Times New Roman" w:hAnsi="Times New Roman" w:cs="Times New Roman"/>
          <w:i/>
          <w:iCs/>
        </w:rPr>
        <w:t>op.cit</w:t>
      </w:r>
      <w:r w:rsidR="00D6414C" w:rsidRPr="00F428F6">
        <w:rPr>
          <w:rFonts w:ascii="Times New Roman" w:hAnsi="Times New Roman" w:cs="Times New Roman"/>
        </w:rPr>
        <w:t xml:space="preserve">., p. 127. </w:t>
      </w:r>
    </w:p>
  </w:footnote>
  <w:footnote w:id="38">
    <w:p w14:paraId="5BCCA4CD" w14:textId="5C8D37C2" w:rsidR="00E3325F" w:rsidRPr="00F428F6" w:rsidRDefault="00D6414C" w:rsidP="00F428F6">
      <w:pPr>
        <w:pStyle w:val="Notedebasdepage"/>
        <w:jc w:val="both"/>
        <w:rPr>
          <w:rFonts w:ascii="Times New Roman" w:hAnsi="Times New Roman" w:cs="Times New Roman"/>
        </w:rPr>
      </w:pPr>
      <w:r w:rsidRPr="00F428F6">
        <w:rPr>
          <w:rStyle w:val="Appelnotedebasdep"/>
          <w:rFonts w:ascii="Times New Roman" w:hAnsi="Times New Roman" w:cs="Times New Roman"/>
        </w:rPr>
        <w:footnoteRef/>
      </w:r>
      <w:r w:rsidRPr="00F428F6">
        <w:rPr>
          <w:rFonts w:ascii="Times New Roman" w:hAnsi="Times New Roman" w:cs="Times New Roman"/>
        </w:rPr>
        <w:t xml:space="preserve"> </w:t>
      </w:r>
      <w:r w:rsidR="00E3325F" w:rsidRPr="00F428F6">
        <w:rPr>
          <w:rFonts w:ascii="Times New Roman" w:hAnsi="Times New Roman" w:cs="Times New Roman"/>
        </w:rPr>
        <w:t>Comme le relève B. DUBUISSON, « </w:t>
      </w:r>
      <w:r w:rsidR="00E3325F" w:rsidRPr="00F428F6">
        <w:rPr>
          <w:rFonts w:ascii="Times New Roman" w:hAnsi="Times New Roman" w:cs="Times New Roman"/>
          <w:i/>
          <w:iCs/>
        </w:rPr>
        <w:t>un certain nombre de contrats prévoient que l’assuré qui réclame le paiement de l’indemnité doit préalablement justifier de l’absence de créance hypothécaire ou privilégiée sur les biens sinistrées et, s’il en existe, fournir à l’assureur une autorisation de recevoir les fonds, autorisation délivrée par les créanciers inscrits</w:t>
      </w:r>
      <w:r w:rsidR="00E3325F" w:rsidRPr="00F428F6">
        <w:rPr>
          <w:rFonts w:ascii="Times New Roman" w:hAnsi="Times New Roman" w:cs="Times New Roman"/>
        </w:rPr>
        <w:t xml:space="preserve"> » (B. DUBUISSON, « Actualités législatives et jurisprudentielles dans les assurances de choses et de frais », </w:t>
      </w:r>
      <w:r w:rsidR="00E3325F" w:rsidRPr="00F428F6">
        <w:rPr>
          <w:rFonts w:ascii="Times New Roman" w:hAnsi="Times New Roman" w:cs="Times New Roman"/>
          <w:i/>
          <w:iCs/>
        </w:rPr>
        <w:t>op.cit</w:t>
      </w:r>
      <w:r w:rsidR="00E3325F" w:rsidRPr="00F428F6">
        <w:rPr>
          <w:rFonts w:ascii="Times New Roman" w:hAnsi="Times New Roman" w:cs="Times New Roman"/>
        </w:rPr>
        <w:t xml:space="preserve">., </w:t>
      </w:r>
      <w:r w:rsidR="001F250A" w:rsidRPr="00F428F6">
        <w:rPr>
          <w:rFonts w:ascii="Times New Roman" w:hAnsi="Times New Roman" w:cs="Times New Roman"/>
        </w:rPr>
        <w:t>p. 161</w:t>
      </w:r>
      <w:r w:rsidR="00E3325F" w:rsidRPr="00F428F6">
        <w:rPr>
          <w:rFonts w:ascii="Times New Roman" w:hAnsi="Times New Roman" w:cs="Times New Roman"/>
        </w:rPr>
        <w:t xml:space="preserve"> ». En ce sens : V. NICAISE, « La portée de la réforme des sûretés réelles mobilières sur le secteur des assurances », </w:t>
      </w:r>
      <w:r w:rsidR="00E3325F" w:rsidRPr="00F428F6">
        <w:rPr>
          <w:rFonts w:ascii="Times New Roman" w:hAnsi="Times New Roman" w:cs="Times New Roman"/>
          <w:i/>
          <w:iCs/>
        </w:rPr>
        <w:t>ibid</w:t>
      </w:r>
      <w:r w:rsidR="00E3325F" w:rsidRPr="00F428F6">
        <w:rPr>
          <w:rFonts w:ascii="Times New Roman" w:hAnsi="Times New Roman" w:cs="Times New Roman"/>
        </w:rPr>
        <w:t xml:space="preserve">., p. 127). </w:t>
      </w:r>
    </w:p>
    <w:p w14:paraId="765C03F6" w14:textId="546AEE11" w:rsidR="00D6414C" w:rsidRPr="00F428F6" w:rsidRDefault="00D6414C" w:rsidP="00F428F6">
      <w:pPr>
        <w:pStyle w:val="Notedebasdepage"/>
        <w:jc w:val="both"/>
        <w:rPr>
          <w:rFonts w:ascii="Times New Roman" w:hAnsi="Times New Roman" w:cs="Times New Roman"/>
        </w:rPr>
      </w:pPr>
    </w:p>
  </w:footnote>
  <w:footnote w:id="39">
    <w:p w14:paraId="50E1BD32" w14:textId="51D1D93D" w:rsidR="00FA5CC4" w:rsidRPr="00F428F6" w:rsidRDefault="00FA5CC4" w:rsidP="00F428F6">
      <w:pPr>
        <w:pStyle w:val="Notedebasdepage"/>
        <w:jc w:val="both"/>
        <w:rPr>
          <w:rFonts w:ascii="Times New Roman" w:hAnsi="Times New Roman" w:cs="Times New Roman"/>
        </w:rPr>
      </w:pPr>
      <w:r w:rsidRPr="00F428F6">
        <w:rPr>
          <w:rStyle w:val="Appelnotedebasdep"/>
          <w:rFonts w:ascii="Times New Roman" w:hAnsi="Times New Roman" w:cs="Times New Roman"/>
        </w:rPr>
        <w:footnoteRef/>
      </w:r>
      <w:r w:rsidRPr="00F428F6">
        <w:rPr>
          <w:rFonts w:ascii="Times New Roman" w:hAnsi="Times New Roman" w:cs="Times New Roman"/>
        </w:rPr>
        <w:t xml:space="preserve"> </w:t>
      </w:r>
      <w:r w:rsidR="009C54BB" w:rsidRPr="00F428F6">
        <w:rPr>
          <w:rFonts w:ascii="Times New Roman" w:hAnsi="Times New Roman" w:cs="Times New Roman"/>
        </w:rPr>
        <w:t xml:space="preserve">Fl. GEORGE et V. CALLEWAERT, « Le contrat d’assurance terrestre analysé à l’aune des procédures de faillite et de réorganisation judiciaire », </w:t>
      </w:r>
      <w:r w:rsidR="009C54BB" w:rsidRPr="00F428F6">
        <w:rPr>
          <w:rFonts w:ascii="Times New Roman" w:hAnsi="Times New Roman" w:cs="Times New Roman"/>
          <w:i/>
          <w:iCs/>
        </w:rPr>
        <w:t>op.cit</w:t>
      </w:r>
      <w:r w:rsidR="009C54BB" w:rsidRPr="00F428F6">
        <w:rPr>
          <w:rFonts w:ascii="Times New Roman" w:hAnsi="Times New Roman" w:cs="Times New Roman"/>
        </w:rPr>
        <w:t xml:space="preserve">., p. 406. </w:t>
      </w:r>
    </w:p>
  </w:footnote>
  <w:footnote w:id="40">
    <w:p w14:paraId="65D68DCC" w14:textId="4B840FD9" w:rsidR="00CB4520" w:rsidRPr="00CB4520" w:rsidRDefault="00CB4520">
      <w:pPr>
        <w:pStyle w:val="Notedebasdepage"/>
      </w:pPr>
      <w:r>
        <w:rPr>
          <w:rStyle w:val="Appelnotedebasdep"/>
        </w:rPr>
        <w:footnoteRef/>
      </w:r>
      <w:r>
        <w:t xml:space="preserve"> N’ayant pas été affectés par l’immobilisation du bien objet de leur sûreté. </w:t>
      </w:r>
    </w:p>
  </w:footnote>
  <w:footnote w:id="41">
    <w:p w14:paraId="77A22E49" w14:textId="04690C92" w:rsidR="00AF26D0" w:rsidRPr="00F428F6" w:rsidRDefault="00AF26D0" w:rsidP="00F428F6">
      <w:pPr>
        <w:pStyle w:val="Notedebasdepage"/>
        <w:jc w:val="both"/>
        <w:rPr>
          <w:rFonts w:ascii="Times New Roman" w:hAnsi="Times New Roman" w:cs="Times New Roman"/>
          <w:lang w:val="fr-FR"/>
        </w:rPr>
      </w:pPr>
      <w:r w:rsidRPr="00F428F6">
        <w:rPr>
          <w:rStyle w:val="Appelnotedebasdep"/>
          <w:rFonts w:ascii="Times New Roman" w:hAnsi="Times New Roman" w:cs="Times New Roman"/>
        </w:rPr>
        <w:footnoteRef/>
      </w:r>
      <w:r w:rsidRPr="00F428F6">
        <w:rPr>
          <w:rFonts w:ascii="Times New Roman" w:hAnsi="Times New Roman" w:cs="Times New Roman"/>
        </w:rPr>
        <w:t xml:space="preserve"> </w:t>
      </w:r>
      <w:r w:rsidRPr="00F428F6">
        <w:rPr>
          <w:rFonts w:ascii="Times New Roman" w:hAnsi="Times New Roman" w:cs="Times New Roman"/>
          <w:lang w:val="fr-FR"/>
        </w:rPr>
        <w:t xml:space="preserve">Il ne doit en effet faire l’objet d’aucune inscription ou transcription dans les registres de la publicité hypothécaire. Ceci est justifié, selon les travaux préparatoires de la loi l’ayant introduit, par le fait qu’il ne garantisse qu’une créance de l’exercice en cours et précédent et qu’il en découle que cela n’affecterait guère le crédit hypothécaire nonobstant l’adage « privilège prime hypothèque » coulé à l’article 12 de la loi (D. CHOCHITAICHVILI, « Commentaire art. 27 L. </w:t>
      </w:r>
      <w:proofErr w:type="spellStart"/>
      <w:r w:rsidRPr="00F428F6">
        <w:rPr>
          <w:rFonts w:ascii="Times New Roman" w:hAnsi="Times New Roman" w:cs="Times New Roman"/>
          <w:lang w:val="fr-FR"/>
        </w:rPr>
        <w:t>Hyp</w:t>
      </w:r>
      <w:proofErr w:type="spellEnd"/>
      <w:r w:rsidRPr="00F428F6">
        <w:rPr>
          <w:rFonts w:ascii="Times New Roman" w:hAnsi="Times New Roman" w:cs="Times New Roman"/>
          <w:lang w:val="fr-FR"/>
        </w:rPr>
        <w:t xml:space="preserve">. », in </w:t>
      </w:r>
      <w:r w:rsidRPr="00F428F6">
        <w:rPr>
          <w:rFonts w:ascii="Times New Roman" w:hAnsi="Times New Roman" w:cs="Times New Roman"/>
          <w:i/>
          <w:iCs/>
          <w:lang w:val="fr-FR"/>
        </w:rPr>
        <w:t>Privilèges et hypothèques</w:t>
      </w:r>
      <w:r w:rsidRPr="00F428F6">
        <w:rPr>
          <w:rFonts w:ascii="Times New Roman" w:hAnsi="Times New Roman" w:cs="Times New Roman"/>
          <w:lang w:val="fr-FR"/>
        </w:rPr>
        <w:t xml:space="preserve">, Wolters Kluwer, </w:t>
      </w:r>
      <w:proofErr w:type="spellStart"/>
      <w:r w:rsidR="009C54BB" w:rsidRPr="00F428F6">
        <w:rPr>
          <w:rFonts w:ascii="Times New Roman" w:hAnsi="Times New Roman" w:cs="Times New Roman"/>
          <w:lang w:val="fr-FR"/>
        </w:rPr>
        <w:t>feuill.mob.suppl</w:t>
      </w:r>
      <w:proofErr w:type="spellEnd"/>
      <w:r w:rsidR="009C54BB" w:rsidRPr="00F428F6">
        <w:rPr>
          <w:rFonts w:ascii="Times New Roman" w:hAnsi="Times New Roman" w:cs="Times New Roman"/>
          <w:lang w:val="fr-FR"/>
        </w:rPr>
        <w:t xml:space="preserve">. </w:t>
      </w:r>
      <w:r w:rsidRPr="00F428F6">
        <w:rPr>
          <w:rFonts w:ascii="Times New Roman" w:hAnsi="Times New Roman" w:cs="Times New Roman"/>
          <w:lang w:val="fr-FR"/>
        </w:rPr>
        <w:t xml:space="preserve">2021, p. 96. Sur ce privilège immobilier, </w:t>
      </w:r>
      <w:proofErr w:type="spellStart"/>
      <w:r w:rsidRPr="00F428F6">
        <w:rPr>
          <w:rFonts w:ascii="Times New Roman" w:hAnsi="Times New Roman" w:cs="Times New Roman"/>
          <w:lang w:val="fr-FR"/>
        </w:rPr>
        <w:t>voy</w:t>
      </w:r>
      <w:proofErr w:type="spellEnd"/>
      <w:r w:rsidRPr="00F428F6">
        <w:rPr>
          <w:rFonts w:ascii="Times New Roman" w:hAnsi="Times New Roman" w:cs="Times New Roman"/>
          <w:lang w:val="fr-FR"/>
        </w:rPr>
        <w:t xml:space="preserve">. encore </w:t>
      </w:r>
      <w:r w:rsidR="009C54BB" w:rsidRPr="00F428F6">
        <w:rPr>
          <w:rFonts w:ascii="Times New Roman" w:hAnsi="Times New Roman" w:cs="Times New Roman"/>
          <w:lang w:val="fr-FR"/>
        </w:rPr>
        <w:t xml:space="preserve">M. VAN MOLLE, « Transmission du lot privatif ou d’une partie </w:t>
      </w:r>
      <w:proofErr w:type="spellStart"/>
      <w:r w:rsidR="009C54BB" w:rsidRPr="00F428F6">
        <w:rPr>
          <w:rFonts w:ascii="Times New Roman" w:hAnsi="Times New Roman" w:cs="Times New Roman"/>
          <w:lang w:val="fr-FR"/>
        </w:rPr>
        <w:t>commmune</w:t>
      </w:r>
      <w:proofErr w:type="spellEnd"/>
      <w:r w:rsidR="009C54BB" w:rsidRPr="00F428F6">
        <w:rPr>
          <w:rFonts w:ascii="Times New Roman" w:hAnsi="Times New Roman" w:cs="Times New Roman"/>
          <w:lang w:val="fr-FR"/>
        </w:rPr>
        <w:t xml:space="preserve"> », tiré à part du </w:t>
      </w:r>
      <w:proofErr w:type="spellStart"/>
      <w:r w:rsidR="009C54BB" w:rsidRPr="00F428F6">
        <w:rPr>
          <w:rFonts w:ascii="Times New Roman" w:hAnsi="Times New Roman" w:cs="Times New Roman"/>
          <w:i/>
          <w:iCs/>
          <w:lang w:val="fr-FR"/>
        </w:rPr>
        <w:t>Rép</w:t>
      </w:r>
      <w:proofErr w:type="spellEnd"/>
      <w:r w:rsidR="009C54BB" w:rsidRPr="00F428F6">
        <w:rPr>
          <w:rFonts w:ascii="Times New Roman" w:hAnsi="Times New Roman" w:cs="Times New Roman"/>
          <w:i/>
          <w:iCs/>
          <w:lang w:val="fr-FR"/>
        </w:rPr>
        <w:t>. not</w:t>
      </w:r>
      <w:r w:rsidR="009C54BB" w:rsidRPr="00F428F6">
        <w:rPr>
          <w:rFonts w:ascii="Times New Roman" w:hAnsi="Times New Roman" w:cs="Times New Roman"/>
          <w:lang w:val="fr-FR"/>
        </w:rPr>
        <w:t xml:space="preserve">., Larcier, 2023, pp. 352 à 359 ; </w:t>
      </w:r>
      <w:r w:rsidRPr="00F428F6">
        <w:rPr>
          <w:rFonts w:ascii="Times New Roman" w:hAnsi="Times New Roman" w:cs="Times New Roman"/>
          <w:lang w:val="fr-FR"/>
        </w:rPr>
        <w:t xml:space="preserve">V. SAGAERT, </w:t>
      </w:r>
      <w:proofErr w:type="spellStart"/>
      <w:r w:rsidRPr="00F428F6">
        <w:rPr>
          <w:rFonts w:ascii="Times New Roman" w:hAnsi="Times New Roman" w:cs="Times New Roman"/>
          <w:i/>
          <w:iCs/>
          <w:lang w:val="fr-FR"/>
        </w:rPr>
        <w:t>Goedenrecht</w:t>
      </w:r>
      <w:proofErr w:type="spellEnd"/>
      <w:r w:rsidRPr="00F428F6">
        <w:rPr>
          <w:rFonts w:ascii="Times New Roman" w:hAnsi="Times New Roman" w:cs="Times New Roman"/>
          <w:lang w:val="fr-FR"/>
        </w:rPr>
        <w:t xml:space="preserve">, </w:t>
      </w:r>
      <w:r w:rsidR="009C54BB" w:rsidRPr="00F428F6">
        <w:rPr>
          <w:rFonts w:ascii="Times New Roman" w:hAnsi="Times New Roman" w:cs="Times New Roman"/>
          <w:i/>
          <w:iCs/>
          <w:lang w:val="fr-FR"/>
        </w:rPr>
        <w:t>op.cit</w:t>
      </w:r>
      <w:r w:rsidR="009C54BB" w:rsidRPr="00F428F6">
        <w:rPr>
          <w:rFonts w:ascii="Times New Roman" w:hAnsi="Times New Roman" w:cs="Times New Roman"/>
          <w:lang w:val="fr-FR"/>
        </w:rPr>
        <w:t xml:space="preserve">., </w:t>
      </w:r>
      <w:r w:rsidRPr="00F428F6">
        <w:rPr>
          <w:rFonts w:ascii="Times New Roman" w:hAnsi="Times New Roman" w:cs="Times New Roman"/>
          <w:lang w:val="fr-FR"/>
        </w:rPr>
        <w:t>pp. 559 et s</w:t>
      </w:r>
      <w:r w:rsidR="00AD1A46" w:rsidRPr="00F428F6">
        <w:rPr>
          <w:rFonts w:ascii="Times New Roman" w:hAnsi="Times New Roman" w:cs="Times New Roman"/>
          <w:lang w:val="fr-FR"/>
        </w:rPr>
        <w:t xml:space="preserve">. A notre estime, en l’absence de pareille mesure de publicité, tout droit de suite doit </w:t>
      </w:r>
      <w:r w:rsidR="009C54BB" w:rsidRPr="00F428F6">
        <w:rPr>
          <w:rFonts w:ascii="Times New Roman" w:hAnsi="Times New Roman" w:cs="Times New Roman"/>
          <w:lang w:val="fr-FR"/>
        </w:rPr>
        <w:t xml:space="preserve">ainsi lui </w:t>
      </w:r>
      <w:r w:rsidR="00AD1A46" w:rsidRPr="00F428F6">
        <w:rPr>
          <w:rFonts w:ascii="Times New Roman" w:hAnsi="Times New Roman" w:cs="Times New Roman"/>
          <w:lang w:val="fr-FR"/>
        </w:rPr>
        <w:t>être dénié (</w:t>
      </w:r>
      <w:r w:rsidR="009C54BB" w:rsidRPr="00F428F6">
        <w:rPr>
          <w:rFonts w:ascii="Times New Roman" w:hAnsi="Times New Roman" w:cs="Times New Roman"/>
          <w:lang w:val="fr-FR"/>
        </w:rPr>
        <w:t>e</w:t>
      </w:r>
      <w:r w:rsidR="00AD1A46" w:rsidRPr="00F428F6">
        <w:rPr>
          <w:rFonts w:ascii="Times New Roman" w:hAnsi="Times New Roman" w:cs="Times New Roman"/>
          <w:lang w:val="fr-FR"/>
        </w:rPr>
        <w:t xml:space="preserve">n ce sens également : P-Y. ERNEUX, « Copropriété forcée et privilège immobilier – Un progrès social », </w:t>
      </w:r>
      <w:r w:rsidR="00AD1A46" w:rsidRPr="00F428F6">
        <w:rPr>
          <w:rFonts w:ascii="Times New Roman" w:hAnsi="Times New Roman" w:cs="Times New Roman"/>
          <w:i/>
          <w:iCs/>
          <w:lang w:val="fr-FR"/>
        </w:rPr>
        <w:t xml:space="preserve">Pli. </w:t>
      </w:r>
      <w:proofErr w:type="spellStart"/>
      <w:r w:rsidR="00AD1A46" w:rsidRPr="00F428F6">
        <w:rPr>
          <w:rFonts w:ascii="Times New Roman" w:hAnsi="Times New Roman" w:cs="Times New Roman"/>
          <w:i/>
          <w:iCs/>
          <w:lang w:val="fr-FR"/>
        </w:rPr>
        <w:t>Jur</w:t>
      </w:r>
      <w:proofErr w:type="spellEnd"/>
      <w:r w:rsidR="00AD1A46" w:rsidRPr="00F428F6">
        <w:rPr>
          <w:rFonts w:ascii="Times New Roman" w:hAnsi="Times New Roman" w:cs="Times New Roman"/>
          <w:lang w:val="fr-FR"/>
        </w:rPr>
        <w:t xml:space="preserve">., 2019, p. 42, selon qui ce droit de suite est incertain à défaut de modification de l’article 96 de la loi hypothécaire). </w:t>
      </w:r>
    </w:p>
  </w:footnote>
  <w:footnote w:id="42">
    <w:p w14:paraId="3441D0A7" w14:textId="30A0F780" w:rsidR="000D3EAA" w:rsidRPr="00F428F6" w:rsidRDefault="000D3EAA" w:rsidP="00F428F6">
      <w:pPr>
        <w:pStyle w:val="Notedebasdepage"/>
        <w:jc w:val="both"/>
        <w:rPr>
          <w:rFonts w:ascii="Times New Roman" w:hAnsi="Times New Roman" w:cs="Times New Roman"/>
        </w:rPr>
      </w:pPr>
      <w:r w:rsidRPr="00F428F6">
        <w:rPr>
          <w:rStyle w:val="Appelnotedebasdep"/>
          <w:rFonts w:ascii="Times New Roman" w:hAnsi="Times New Roman" w:cs="Times New Roman"/>
        </w:rPr>
        <w:footnoteRef/>
      </w:r>
      <w:r w:rsidRPr="00F428F6">
        <w:rPr>
          <w:rFonts w:ascii="Times New Roman" w:hAnsi="Times New Roman" w:cs="Times New Roman"/>
        </w:rPr>
        <w:t xml:space="preserve"> Sur ce point et sur l’éventuel conflit de rang entre vendeur privilégié et hypothécaire, </w:t>
      </w:r>
      <w:proofErr w:type="spellStart"/>
      <w:r w:rsidRPr="00F428F6">
        <w:rPr>
          <w:rFonts w:ascii="Times New Roman" w:hAnsi="Times New Roman" w:cs="Times New Roman"/>
        </w:rPr>
        <w:t>voy</w:t>
      </w:r>
      <w:proofErr w:type="spellEnd"/>
      <w:r w:rsidRPr="00F428F6">
        <w:rPr>
          <w:rFonts w:ascii="Times New Roman" w:hAnsi="Times New Roman" w:cs="Times New Roman"/>
        </w:rPr>
        <w:t xml:space="preserve">. J. BOILEAU, Fr. GEORGES, M. </w:t>
      </w:r>
      <w:r w:rsidR="009C54BB" w:rsidRPr="00F428F6">
        <w:rPr>
          <w:rFonts w:ascii="Times New Roman" w:hAnsi="Times New Roman" w:cs="Times New Roman"/>
        </w:rPr>
        <w:t xml:space="preserve">MOREAUX </w:t>
      </w:r>
      <w:r w:rsidRPr="00F428F6">
        <w:rPr>
          <w:rFonts w:ascii="Times New Roman" w:hAnsi="Times New Roman" w:cs="Times New Roman"/>
        </w:rPr>
        <w:t xml:space="preserve">et M. </w:t>
      </w:r>
      <w:r w:rsidR="009C54BB" w:rsidRPr="00F428F6">
        <w:rPr>
          <w:rFonts w:ascii="Times New Roman" w:hAnsi="Times New Roman" w:cs="Times New Roman"/>
        </w:rPr>
        <w:t>PASSANISI</w:t>
      </w:r>
      <w:r w:rsidRPr="00F428F6">
        <w:rPr>
          <w:rFonts w:ascii="Times New Roman" w:hAnsi="Times New Roman" w:cs="Times New Roman"/>
        </w:rPr>
        <w:t xml:space="preserve">, « Garanties et insolvabilité », </w:t>
      </w:r>
      <w:r w:rsidR="009C54BB" w:rsidRPr="00F428F6">
        <w:rPr>
          <w:rFonts w:ascii="Times New Roman" w:hAnsi="Times New Roman" w:cs="Times New Roman"/>
        </w:rPr>
        <w:t>in Y-H LELEU (</w:t>
      </w:r>
      <w:proofErr w:type="spellStart"/>
      <w:r w:rsidR="009C54BB" w:rsidRPr="00F428F6">
        <w:rPr>
          <w:rFonts w:ascii="Times New Roman" w:hAnsi="Times New Roman" w:cs="Times New Roman"/>
        </w:rPr>
        <w:t>dir</w:t>
      </w:r>
      <w:proofErr w:type="spellEnd"/>
      <w:r w:rsidR="009C54BB" w:rsidRPr="00F428F6">
        <w:rPr>
          <w:rFonts w:ascii="Times New Roman" w:hAnsi="Times New Roman" w:cs="Times New Roman"/>
        </w:rPr>
        <w:t xml:space="preserve">.), </w:t>
      </w:r>
      <w:r w:rsidR="009C54BB" w:rsidRPr="00F428F6">
        <w:rPr>
          <w:rFonts w:ascii="Times New Roman" w:hAnsi="Times New Roman" w:cs="Times New Roman"/>
          <w:i/>
          <w:iCs/>
        </w:rPr>
        <w:t>Chroniques notariales</w:t>
      </w:r>
      <w:r w:rsidR="009C54BB" w:rsidRPr="00F428F6">
        <w:rPr>
          <w:rFonts w:ascii="Times New Roman" w:hAnsi="Times New Roman" w:cs="Times New Roman"/>
        </w:rPr>
        <w:t xml:space="preserve">, vol. 77, Larcier, 2023, </w:t>
      </w:r>
      <w:r w:rsidRPr="00F428F6">
        <w:rPr>
          <w:rFonts w:ascii="Times New Roman" w:hAnsi="Times New Roman" w:cs="Times New Roman"/>
        </w:rPr>
        <w:t xml:space="preserve">pp. 209 et 210. </w:t>
      </w:r>
    </w:p>
  </w:footnote>
  <w:footnote w:id="43">
    <w:p w14:paraId="764B438E" w14:textId="5867003F" w:rsidR="000E3058" w:rsidRPr="00F428F6" w:rsidRDefault="000E3058" w:rsidP="00F428F6">
      <w:pPr>
        <w:pStyle w:val="Notedebasdepage"/>
        <w:jc w:val="both"/>
        <w:rPr>
          <w:rFonts w:ascii="Times New Roman" w:hAnsi="Times New Roman" w:cs="Times New Roman"/>
        </w:rPr>
      </w:pPr>
      <w:r w:rsidRPr="00F428F6">
        <w:rPr>
          <w:rStyle w:val="Appelnotedebasdep"/>
          <w:rFonts w:ascii="Times New Roman" w:hAnsi="Times New Roman" w:cs="Times New Roman"/>
        </w:rPr>
        <w:footnoteRef/>
      </w:r>
      <w:r w:rsidRPr="00F428F6">
        <w:rPr>
          <w:rFonts w:ascii="Times New Roman" w:hAnsi="Times New Roman" w:cs="Times New Roman"/>
        </w:rPr>
        <w:t xml:space="preserve"> </w:t>
      </w:r>
      <w:r w:rsidR="008B0461" w:rsidRPr="00F428F6">
        <w:rPr>
          <w:rFonts w:ascii="Times New Roman" w:hAnsi="Times New Roman" w:cs="Times New Roman"/>
        </w:rPr>
        <w:t>J. CAEYMAEX et T. CAVENAILE considèrent que : « </w:t>
      </w:r>
      <w:r w:rsidR="008B0461" w:rsidRPr="00F428F6">
        <w:rPr>
          <w:rFonts w:ascii="Times New Roman" w:hAnsi="Times New Roman" w:cs="Times New Roman"/>
          <w:i/>
          <w:iCs/>
        </w:rPr>
        <w:t>Le privilège s’exerce sur la valeur de réalisation de la chose assurée, qu’elle soit meuble ou immeuble, corporelle ou incorporelle. Il implique que le bien assuré existe au moment du concours. La disparition ou la détérioration de la chose assurée fait naître l’obligation de l’assureur de réparer le dommage subi par l’assuré. Le privilège de l’assureur ne peut donc s’exercer en dehors de tout sinistre </w:t>
      </w:r>
      <w:r w:rsidR="008B0461" w:rsidRPr="00F428F6">
        <w:rPr>
          <w:rFonts w:ascii="Times New Roman" w:hAnsi="Times New Roman" w:cs="Times New Roman"/>
        </w:rPr>
        <w:t xml:space="preserve">» (J. CAEYMAEX et T. CAVENAILE, </w:t>
      </w:r>
      <w:r w:rsidR="008B0461" w:rsidRPr="00F428F6">
        <w:rPr>
          <w:rFonts w:ascii="Times New Roman" w:hAnsi="Times New Roman" w:cs="Times New Roman"/>
          <w:i/>
          <w:iCs/>
        </w:rPr>
        <w:t>Manuel des sûretés mobilières</w:t>
      </w:r>
      <w:r w:rsidR="008B0461" w:rsidRPr="00F428F6">
        <w:rPr>
          <w:rFonts w:ascii="Times New Roman" w:hAnsi="Times New Roman" w:cs="Times New Roman"/>
        </w:rPr>
        <w:t>, 2016, p. 314</w:t>
      </w:r>
      <w:r w:rsidR="001F250A" w:rsidRPr="00F428F6">
        <w:rPr>
          <w:rFonts w:ascii="Times New Roman" w:hAnsi="Times New Roman" w:cs="Times New Roman"/>
        </w:rPr>
        <w:t xml:space="preserve">). </w:t>
      </w:r>
      <w:proofErr w:type="spellStart"/>
      <w:r w:rsidR="001F250A" w:rsidRPr="00F428F6">
        <w:rPr>
          <w:rFonts w:ascii="Times New Roman" w:hAnsi="Times New Roman" w:cs="Times New Roman"/>
        </w:rPr>
        <w:t>Voy</w:t>
      </w:r>
      <w:proofErr w:type="spellEnd"/>
      <w:r w:rsidR="001F250A" w:rsidRPr="00F428F6">
        <w:rPr>
          <w:rFonts w:ascii="Times New Roman" w:hAnsi="Times New Roman" w:cs="Times New Roman"/>
        </w:rPr>
        <w:t xml:space="preserve">. également : </w:t>
      </w:r>
      <w:r w:rsidRPr="00F428F6">
        <w:rPr>
          <w:rFonts w:ascii="Times New Roman" w:hAnsi="Times New Roman" w:cs="Times New Roman"/>
        </w:rPr>
        <w:t xml:space="preserve">R. THÜGEN, « Le privilège de l’assureur sur la chose assurée. Commentaire art. 114 et 247 L. 4 avril 2014 », in </w:t>
      </w:r>
      <w:r w:rsidRPr="00F428F6">
        <w:rPr>
          <w:rFonts w:ascii="Times New Roman" w:hAnsi="Times New Roman" w:cs="Times New Roman"/>
          <w:i/>
          <w:iCs/>
        </w:rPr>
        <w:t>Privilèges et hypothèques</w:t>
      </w:r>
      <w:r w:rsidRPr="00F428F6">
        <w:rPr>
          <w:rFonts w:ascii="Times New Roman" w:hAnsi="Times New Roman" w:cs="Times New Roman"/>
        </w:rPr>
        <w:t>,</w:t>
      </w:r>
      <w:r w:rsidR="006F7C3A" w:rsidRPr="00F428F6">
        <w:rPr>
          <w:rFonts w:ascii="Times New Roman" w:hAnsi="Times New Roman" w:cs="Times New Roman"/>
        </w:rPr>
        <w:t xml:space="preserve"> Wolters Kluwer, </w:t>
      </w:r>
      <w:proofErr w:type="spellStart"/>
      <w:r w:rsidR="006F7C3A" w:rsidRPr="00F428F6">
        <w:rPr>
          <w:rFonts w:ascii="Times New Roman" w:hAnsi="Times New Roman" w:cs="Times New Roman"/>
        </w:rPr>
        <w:t>feuill.mob.suppl</w:t>
      </w:r>
      <w:proofErr w:type="spellEnd"/>
      <w:r w:rsidR="006F7C3A" w:rsidRPr="00F428F6">
        <w:rPr>
          <w:rFonts w:ascii="Times New Roman" w:hAnsi="Times New Roman" w:cs="Times New Roman"/>
        </w:rPr>
        <w:t xml:space="preserve">. 2020, </w:t>
      </w:r>
      <w:r w:rsidRPr="00F428F6">
        <w:rPr>
          <w:rFonts w:ascii="Times New Roman" w:hAnsi="Times New Roman" w:cs="Times New Roman"/>
        </w:rPr>
        <w:t>p. 57</w:t>
      </w:r>
      <w:r w:rsidR="001F250A" w:rsidRPr="00F428F6">
        <w:rPr>
          <w:rFonts w:ascii="Times New Roman" w:hAnsi="Times New Roman" w:cs="Times New Roman"/>
        </w:rPr>
        <w:t> ; E. DIRIX, « </w:t>
      </w:r>
      <w:proofErr w:type="spellStart"/>
      <w:r w:rsidR="001F250A" w:rsidRPr="00F428F6">
        <w:rPr>
          <w:rFonts w:ascii="Times New Roman" w:hAnsi="Times New Roman" w:cs="Times New Roman"/>
        </w:rPr>
        <w:t>Commentaar</w:t>
      </w:r>
      <w:proofErr w:type="spellEnd"/>
      <w:r w:rsidR="001F250A" w:rsidRPr="00F428F6">
        <w:rPr>
          <w:rFonts w:ascii="Times New Roman" w:hAnsi="Times New Roman" w:cs="Times New Roman"/>
        </w:rPr>
        <w:t xml:space="preserve"> </w:t>
      </w:r>
      <w:proofErr w:type="spellStart"/>
      <w:r w:rsidR="001F250A" w:rsidRPr="00F428F6">
        <w:rPr>
          <w:rFonts w:ascii="Times New Roman" w:hAnsi="Times New Roman" w:cs="Times New Roman"/>
        </w:rPr>
        <w:t>bij</w:t>
      </w:r>
      <w:proofErr w:type="spellEnd"/>
      <w:r w:rsidR="001F250A" w:rsidRPr="00F428F6">
        <w:rPr>
          <w:rFonts w:ascii="Times New Roman" w:hAnsi="Times New Roman" w:cs="Times New Roman"/>
        </w:rPr>
        <w:t xml:space="preserve"> art. 114 </w:t>
      </w:r>
      <w:proofErr w:type="spellStart"/>
      <w:r w:rsidR="001F250A" w:rsidRPr="00F428F6">
        <w:rPr>
          <w:rFonts w:ascii="Times New Roman" w:hAnsi="Times New Roman" w:cs="Times New Roman"/>
        </w:rPr>
        <w:t>wet</w:t>
      </w:r>
      <w:proofErr w:type="spellEnd"/>
      <w:r w:rsidR="001F250A" w:rsidRPr="00F428F6">
        <w:rPr>
          <w:rFonts w:ascii="Times New Roman" w:hAnsi="Times New Roman" w:cs="Times New Roman"/>
        </w:rPr>
        <w:t xml:space="preserve"> 4 </w:t>
      </w:r>
      <w:proofErr w:type="spellStart"/>
      <w:r w:rsidR="001F250A" w:rsidRPr="00F428F6">
        <w:rPr>
          <w:rFonts w:ascii="Times New Roman" w:hAnsi="Times New Roman" w:cs="Times New Roman"/>
        </w:rPr>
        <w:t>april</w:t>
      </w:r>
      <w:proofErr w:type="spellEnd"/>
      <w:r w:rsidR="001F250A" w:rsidRPr="00F428F6">
        <w:rPr>
          <w:rFonts w:ascii="Times New Roman" w:hAnsi="Times New Roman" w:cs="Times New Roman"/>
        </w:rPr>
        <w:t xml:space="preserve"> 2014 », in </w:t>
      </w:r>
      <w:proofErr w:type="spellStart"/>
      <w:r w:rsidR="001F250A" w:rsidRPr="00F428F6">
        <w:rPr>
          <w:rFonts w:ascii="Times New Roman" w:hAnsi="Times New Roman" w:cs="Times New Roman"/>
          <w:i/>
          <w:iCs/>
        </w:rPr>
        <w:t>Voorechten</w:t>
      </w:r>
      <w:proofErr w:type="spellEnd"/>
      <w:r w:rsidR="001F250A" w:rsidRPr="00F428F6">
        <w:rPr>
          <w:rFonts w:ascii="Times New Roman" w:hAnsi="Times New Roman" w:cs="Times New Roman"/>
          <w:i/>
          <w:iCs/>
        </w:rPr>
        <w:t xml:space="preserve"> en </w:t>
      </w:r>
      <w:proofErr w:type="spellStart"/>
      <w:r w:rsidR="001F250A" w:rsidRPr="00F428F6">
        <w:rPr>
          <w:rFonts w:ascii="Times New Roman" w:hAnsi="Times New Roman" w:cs="Times New Roman"/>
          <w:i/>
          <w:iCs/>
        </w:rPr>
        <w:t>hypotheken</w:t>
      </w:r>
      <w:proofErr w:type="spellEnd"/>
      <w:r w:rsidR="001F250A" w:rsidRPr="00F428F6">
        <w:rPr>
          <w:rFonts w:ascii="Times New Roman" w:hAnsi="Times New Roman" w:cs="Times New Roman"/>
        </w:rPr>
        <w:t xml:space="preserve">, Kluwer, 2016, n°9. </w:t>
      </w:r>
    </w:p>
  </w:footnote>
  <w:footnote w:id="44">
    <w:p w14:paraId="50A26B6C" w14:textId="193956BB" w:rsidR="00A24817" w:rsidRPr="00F428F6" w:rsidRDefault="00A24817" w:rsidP="00F428F6">
      <w:pPr>
        <w:pStyle w:val="Notedebasdepage"/>
        <w:jc w:val="both"/>
        <w:rPr>
          <w:rFonts w:ascii="Times New Roman" w:hAnsi="Times New Roman" w:cs="Times New Roman"/>
        </w:rPr>
      </w:pPr>
      <w:r w:rsidRPr="00F428F6">
        <w:rPr>
          <w:rStyle w:val="Appelnotedebasdep"/>
          <w:rFonts w:ascii="Times New Roman" w:hAnsi="Times New Roman" w:cs="Times New Roman"/>
        </w:rPr>
        <w:footnoteRef/>
      </w:r>
      <w:r w:rsidRPr="00F428F6">
        <w:rPr>
          <w:rFonts w:ascii="Times New Roman" w:hAnsi="Times New Roman" w:cs="Times New Roman"/>
        </w:rPr>
        <w:t xml:space="preserve"> R. THUNGEN, « Le privilège de l’assureur sur la chose assurée », </w:t>
      </w:r>
      <w:r w:rsidR="006F7C3A" w:rsidRPr="00F428F6">
        <w:rPr>
          <w:rFonts w:ascii="Times New Roman" w:hAnsi="Times New Roman" w:cs="Times New Roman"/>
          <w:i/>
          <w:iCs/>
        </w:rPr>
        <w:t>ibid</w:t>
      </w:r>
      <w:r w:rsidR="006F7C3A" w:rsidRPr="00F428F6">
        <w:rPr>
          <w:rFonts w:ascii="Times New Roman" w:hAnsi="Times New Roman" w:cs="Times New Roman"/>
        </w:rPr>
        <w:t xml:space="preserve">., p. 57. </w:t>
      </w:r>
    </w:p>
  </w:footnote>
  <w:footnote w:id="45">
    <w:p w14:paraId="06DCE4C2" w14:textId="14E98375" w:rsidR="00270FCD" w:rsidRPr="00F428F6" w:rsidRDefault="00270FCD" w:rsidP="00F428F6">
      <w:pPr>
        <w:pStyle w:val="Notedebasdepage"/>
        <w:jc w:val="both"/>
        <w:rPr>
          <w:rFonts w:ascii="Times New Roman" w:hAnsi="Times New Roman" w:cs="Times New Roman"/>
        </w:rPr>
      </w:pPr>
      <w:r w:rsidRPr="00F428F6">
        <w:rPr>
          <w:rStyle w:val="Appelnotedebasdep"/>
          <w:rFonts w:ascii="Times New Roman" w:hAnsi="Times New Roman" w:cs="Times New Roman"/>
        </w:rPr>
        <w:footnoteRef/>
      </w:r>
      <w:r w:rsidRPr="00F428F6">
        <w:rPr>
          <w:rFonts w:ascii="Times New Roman" w:hAnsi="Times New Roman" w:cs="Times New Roman"/>
        </w:rPr>
        <w:t xml:space="preserve"> Sur la notion de concours, </w:t>
      </w:r>
      <w:proofErr w:type="spellStart"/>
      <w:r w:rsidRPr="00F428F6">
        <w:rPr>
          <w:rFonts w:ascii="Times New Roman" w:hAnsi="Times New Roman" w:cs="Times New Roman"/>
        </w:rPr>
        <w:t>voy</w:t>
      </w:r>
      <w:proofErr w:type="spellEnd"/>
      <w:r w:rsidRPr="00F428F6">
        <w:rPr>
          <w:rFonts w:ascii="Times New Roman" w:hAnsi="Times New Roman" w:cs="Times New Roman"/>
        </w:rPr>
        <w:t>. A. BOULVAIN et M. GREGOIRE, « Chapitre 3. La règle de l’</w:t>
      </w:r>
      <w:r w:rsidR="001F250A" w:rsidRPr="00F428F6">
        <w:rPr>
          <w:rFonts w:ascii="Times New Roman" w:hAnsi="Times New Roman" w:cs="Times New Roman"/>
        </w:rPr>
        <w:t>égalité</w:t>
      </w:r>
      <w:r w:rsidRPr="00F428F6">
        <w:rPr>
          <w:rFonts w:ascii="Times New Roman" w:hAnsi="Times New Roman" w:cs="Times New Roman"/>
        </w:rPr>
        <w:t xml:space="preserve"> des créanciers », in M. GREGOIRE et al. (</w:t>
      </w:r>
      <w:proofErr w:type="spellStart"/>
      <w:r w:rsidRPr="00F428F6">
        <w:rPr>
          <w:rFonts w:ascii="Times New Roman" w:hAnsi="Times New Roman" w:cs="Times New Roman"/>
        </w:rPr>
        <w:t>dir</w:t>
      </w:r>
      <w:proofErr w:type="spellEnd"/>
      <w:r w:rsidRPr="00F428F6">
        <w:rPr>
          <w:rFonts w:ascii="Times New Roman" w:hAnsi="Times New Roman" w:cs="Times New Roman"/>
        </w:rPr>
        <w:t xml:space="preserve">.), </w:t>
      </w:r>
      <w:r w:rsidRPr="00F428F6">
        <w:rPr>
          <w:rFonts w:ascii="Times New Roman" w:hAnsi="Times New Roman" w:cs="Times New Roman"/>
          <w:i/>
          <w:iCs/>
        </w:rPr>
        <w:t>Les sûretés et privilèges</w:t>
      </w:r>
      <w:r w:rsidRPr="00F428F6">
        <w:rPr>
          <w:rFonts w:ascii="Times New Roman" w:hAnsi="Times New Roman" w:cs="Times New Roman"/>
        </w:rPr>
        <w:t>, vol. 2</w:t>
      </w:r>
      <w:r w:rsidRPr="00F428F6">
        <w:rPr>
          <w:rFonts w:ascii="Times New Roman" w:hAnsi="Times New Roman" w:cs="Times New Roman"/>
          <w:i/>
          <w:iCs/>
        </w:rPr>
        <w:t xml:space="preserve"> : Sûretés réelles mobilières et privilèges mobiliers, </w:t>
      </w:r>
      <w:r w:rsidRPr="00F428F6">
        <w:rPr>
          <w:rFonts w:ascii="Times New Roman" w:hAnsi="Times New Roman" w:cs="Times New Roman"/>
        </w:rPr>
        <w:t>Bruylant, 2023, p. 34.</w:t>
      </w:r>
      <w:r w:rsidRPr="00F428F6">
        <w:rPr>
          <w:rFonts w:ascii="Times New Roman" w:hAnsi="Times New Roman" w:cs="Times New Roman"/>
          <w:i/>
          <w:iCs/>
        </w:rPr>
        <w:t xml:space="preserve"> </w:t>
      </w:r>
    </w:p>
  </w:footnote>
  <w:footnote w:id="46">
    <w:p w14:paraId="523C192B" w14:textId="0E3D0E03" w:rsidR="006F7C3A" w:rsidRPr="00F428F6" w:rsidRDefault="006F7C3A" w:rsidP="00F428F6">
      <w:pPr>
        <w:pStyle w:val="Notedebasdepage"/>
        <w:jc w:val="both"/>
        <w:rPr>
          <w:rFonts w:ascii="Times New Roman" w:hAnsi="Times New Roman" w:cs="Times New Roman"/>
          <w:lang w:val="fr-FR"/>
        </w:rPr>
      </w:pPr>
      <w:r w:rsidRPr="00F428F6">
        <w:rPr>
          <w:rStyle w:val="Appelnotedebasdep"/>
          <w:rFonts w:ascii="Times New Roman" w:hAnsi="Times New Roman" w:cs="Times New Roman"/>
        </w:rPr>
        <w:footnoteRef/>
      </w:r>
      <w:r w:rsidRPr="00F428F6">
        <w:rPr>
          <w:rFonts w:ascii="Times New Roman" w:hAnsi="Times New Roman" w:cs="Times New Roman"/>
        </w:rPr>
        <w:t xml:space="preserve"> </w:t>
      </w:r>
      <w:proofErr w:type="spellStart"/>
      <w:r w:rsidRPr="00F428F6">
        <w:rPr>
          <w:rFonts w:ascii="Times New Roman" w:hAnsi="Times New Roman" w:cs="Times New Roman"/>
        </w:rPr>
        <w:t>Voy</w:t>
      </w:r>
      <w:proofErr w:type="spellEnd"/>
      <w:r w:rsidRPr="00F428F6">
        <w:rPr>
          <w:rFonts w:ascii="Times New Roman" w:hAnsi="Times New Roman" w:cs="Times New Roman"/>
        </w:rPr>
        <w:t xml:space="preserve">. ainsi l’article 5.261, alinéa 2, du Code civil qui dispose que la compensation ne peut avoir lieu après concours sauf s’il s’agit d’obligation connexes. </w:t>
      </w:r>
    </w:p>
  </w:footnote>
  <w:footnote w:id="47">
    <w:p w14:paraId="6EBDEAA9" w14:textId="3D9571BD" w:rsidR="00A24817" w:rsidRPr="00F428F6" w:rsidRDefault="00A24817" w:rsidP="00F428F6">
      <w:pPr>
        <w:pStyle w:val="Notedebasdepage"/>
        <w:jc w:val="both"/>
        <w:rPr>
          <w:rFonts w:ascii="Times New Roman" w:hAnsi="Times New Roman" w:cs="Times New Roman"/>
        </w:rPr>
      </w:pPr>
      <w:r w:rsidRPr="00F428F6">
        <w:rPr>
          <w:rStyle w:val="Appelnotedebasdep"/>
          <w:rFonts w:ascii="Times New Roman" w:hAnsi="Times New Roman" w:cs="Times New Roman"/>
        </w:rPr>
        <w:footnoteRef/>
      </w:r>
      <w:r w:rsidRPr="00F428F6">
        <w:rPr>
          <w:rFonts w:ascii="Times New Roman" w:hAnsi="Times New Roman" w:cs="Times New Roman"/>
        </w:rPr>
        <w:t xml:space="preserve"> </w:t>
      </w:r>
      <w:r w:rsidR="00C836CD" w:rsidRPr="00F428F6">
        <w:rPr>
          <w:rFonts w:ascii="Times New Roman" w:hAnsi="Times New Roman" w:cs="Times New Roman"/>
        </w:rPr>
        <w:t xml:space="preserve">Prévue par les articles 14 et 15 </w:t>
      </w:r>
      <w:r w:rsidR="00EE0F36" w:rsidRPr="00F428F6">
        <w:rPr>
          <w:rFonts w:ascii="Times New Roman" w:hAnsi="Times New Roman" w:cs="Times New Roman"/>
        </w:rPr>
        <w:t xml:space="preserve">de la L.S.F. </w:t>
      </w:r>
      <w:r w:rsidR="00C836CD" w:rsidRPr="00F428F6">
        <w:rPr>
          <w:rFonts w:ascii="Times New Roman" w:hAnsi="Times New Roman" w:cs="Times New Roman"/>
        </w:rPr>
        <w:t xml:space="preserve">et applicable entre entreprises au sens de l’article </w:t>
      </w:r>
      <w:r w:rsidR="001F250A" w:rsidRPr="00F428F6">
        <w:rPr>
          <w:rFonts w:ascii="Times New Roman" w:hAnsi="Times New Roman" w:cs="Times New Roman"/>
        </w:rPr>
        <w:t>I</w:t>
      </w:r>
      <w:r w:rsidR="00C836CD" w:rsidRPr="00F428F6">
        <w:rPr>
          <w:rFonts w:ascii="Times New Roman" w:hAnsi="Times New Roman" w:cs="Times New Roman"/>
        </w:rPr>
        <w:t xml:space="preserve">.1. du Code de droit économique.  </w:t>
      </w:r>
      <w:r w:rsidRPr="00F428F6">
        <w:rPr>
          <w:rFonts w:ascii="Times New Roman" w:hAnsi="Times New Roman" w:cs="Times New Roman"/>
        </w:rPr>
        <w:t xml:space="preserve">Sur le champ d’application personnel de la L.S.F, une question </w:t>
      </w:r>
      <w:r w:rsidR="00C836CD" w:rsidRPr="00F428F6">
        <w:rPr>
          <w:rFonts w:ascii="Times New Roman" w:hAnsi="Times New Roman" w:cs="Times New Roman"/>
        </w:rPr>
        <w:t>préjudicielle</w:t>
      </w:r>
      <w:r w:rsidRPr="00F428F6">
        <w:rPr>
          <w:rFonts w:ascii="Times New Roman" w:hAnsi="Times New Roman" w:cs="Times New Roman"/>
        </w:rPr>
        <w:t xml:space="preserve"> a récemment été posée à la Cour constitutionnelle quant à la question de savoir si la mise en gage d’instruments financiers ou de monnaie scripturale peut être consentie </w:t>
      </w:r>
      <w:r w:rsidR="00C836CD" w:rsidRPr="00F428F6">
        <w:rPr>
          <w:rFonts w:ascii="Times New Roman" w:hAnsi="Times New Roman" w:cs="Times New Roman"/>
        </w:rPr>
        <w:t xml:space="preserve">par une personne qui n’est pas une entreprise </w:t>
      </w:r>
      <w:r w:rsidR="005B6F47" w:rsidRPr="00F428F6">
        <w:rPr>
          <w:rFonts w:ascii="Times New Roman" w:hAnsi="Times New Roman" w:cs="Times New Roman"/>
        </w:rPr>
        <w:t>(Trib. trav. Bruxelles, 5 avril 2023, encore inédit, R.G., n°21/144/B</w:t>
      </w:r>
      <w:r w:rsidR="00C836CD" w:rsidRPr="00F428F6">
        <w:rPr>
          <w:rFonts w:ascii="Times New Roman" w:hAnsi="Times New Roman" w:cs="Times New Roman"/>
        </w:rPr>
        <w:t xml:space="preserve">. Pour un commentaire : </w:t>
      </w:r>
      <w:r w:rsidR="005B6F47" w:rsidRPr="00F428F6">
        <w:rPr>
          <w:rFonts w:ascii="Times New Roman" w:hAnsi="Times New Roman" w:cs="Times New Roman"/>
        </w:rPr>
        <w:t xml:space="preserve">J. BOILEAU, Fr. GEORGES, M. MOREAUX et M. PASSANISI, « Garanties et insolvabilité », </w:t>
      </w:r>
      <w:r w:rsidR="005B6F47" w:rsidRPr="00F428F6">
        <w:rPr>
          <w:rFonts w:ascii="Times New Roman" w:hAnsi="Times New Roman" w:cs="Times New Roman"/>
          <w:i/>
          <w:iCs/>
        </w:rPr>
        <w:t>op.cit</w:t>
      </w:r>
      <w:r w:rsidR="005B6F47" w:rsidRPr="00F428F6">
        <w:rPr>
          <w:rFonts w:ascii="Times New Roman" w:hAnsi="Times New Roman" w:cs="Times New Roman"/>
        </w:rPr>
        <w:t>., p. 181</w:t>
      </w:r>
      <w:r w:rsidR="00C836CD" w:rsidRPr="00F428F6">
        <w:rPr>
          <w:rFonts w:ascii="Times New Roman" w:hAnsi="Times New Roman" w:cs="Times New Roman"/>
        </w:rPr>
        <w:t xml:space="preserve">). </w:t>
      </w:r>
    </w:p>
  </w:footnote>
  <w:footnote w:id="48">
    <w:p w14:paraId="537D30A6" w14:textId="5BA5E4D2" w:rsidR="001F68F5" w:rsidRPr="00F428F6" w:rsidRDefault="001F68F5" w:rsidP="00F428F6">
      <w:pPr>
        <w:pStyle w:val="Notedebasdepage"/>
        <w:jc w:val="both"/>
        <w:rPr>
          <w:rFonts w:ascii="Times New Roman" w:hAnsi="Times New Roman" w:cs="Times New Roman"/>
        </w:rPr>
      </w:pPr>
      <w:r w:rsidRPr="00F428F6">
        <w:rPr>
          <w:rStyle w:val="Appelnotedebasdep"/>
          <w:rFonts w:ascii="Times New Roman" w:hAnsi="Times New Roman" w:cs="Times New Roman"/>
        </w:rPr>
        <w:footnoteRef/>
      </w:r>
      <w:r w:rsidRPr="00F428F6">
        <w:rPr>
          <w:rFonts w:ascii="Times New Roman" w:hAnsi="Times New Roman" w:cs="Times New Roman"/>
        </w:rPr>
        <w:t xml:space="preserve"> </w:t>
      </w:r>
      <w:proofErr w:type="spellStart"/>
      <w:r w:rsidRPr="00F428F6">
        <w:rPr>
          <w:rFonts w:ascii="Times New Roman" w:hAnsi="Times New Roman" w:cs="Times New Roman"/>
        </w:rPr>
        <w:t>Voy</w:t>
      </w:r>
      <w:proofErr w:type="spellEnd"/>
      <w:r w:rsidRPr="00F428F6">
        <w:rPr>
          <w:rFonts w:ascii="Times New Roman" w:hAnsi="Times New Roman" w:cs="Times New Roman"/>
        </w:rPr>
        <w:t>. ainsi l’a</w:t>
      </w:r>
      <w:r w:rsidR="00F437BF">
        <w:rPr>
          <w:rFonts w:ascii="Times New Roman" w:hAnsi="Times New Roman" w:cs="Times New Roman"/>
        </w:rPr>
        <w:t>rticle 1</w:t>
      </w:r>
      <w:r w:rsidR="00F437BF" w:rsidRPr="00CB4520">
        <w:rPr>
          <w:rFonts w:ascii="Times New Roman" w:hAnsi="Times New Roman" w:cs="Times New Roman"/>
          <w:vertAlign w:val="superscript"/>
        </w:rPr>
        <w:t>er</w:t>
      </w:r>
      <w:r w:rsidR="00F437BF">
        <w:rPr>
          <w:rFonts w:ascii="Times New Roman" w:hAnsi="Times New Roman" w:cs="Times New Roman"/>
        </w:rPr>
        <w:t xml:space="preserve"> du titre XVII du livre III de l’ancien Code civil </w:t>
      </w:r>
      <w:r w:rsidRPr="00F437BF">
        <w:rPr>
          <w:rFonts w:ascii="Times New Roman" w:hAnsi="Times New Roman" w:cs="Times New Roman"/>
        </w:rPr>
        <w:t xml:space="preserve">qui </w:t>
      </w:r>
      <w:r w:rsidRPr="00F428F6">
        <w:rPr>
          <w:rFonts w:ascii="Times New Roman" w:hAnsi="Times New Roman" w:cs="Times New Roman"/>
        </w:rPr>
        <w:t>dispose : « </w:t>
      </w:r>
      <w:r w:rsidRPr="00F428F6">
        <w:rPr>
          <w:rFonts w:ascii="Times New Roman" w:hAnsi="Times New Roman" w:cs="Times New Roman"/>
          <w:i/>
          <w:iCs/>
        </w:rPr>
        <w:t xml:space="preserve">Le gage confère au créancier gagiste le droit d’être payé sur les biens qui en font l’objet, par préférence aux autres créanciers. Ce droit de préférence </w:t>
      </w:r>
      <w:proofErr w:type="spellStart"/>
      <w:r w:rsidRPr="00F428F6">
        <w:rPr>
          <w:rFonts w:ascii="Times New Roman" w:hAnsi="Times New Roman" w:cs="Times New Roman"/>
          <w:i/>
          <w:iCs/>
        </w:rPr>
        <w:t>a</w:t>
      </w:r>
      <w:proofErr w:type="spellEnd"/>
      <w:r w:rsidRPr="00F428F6">
        <w:rPr>
          <w:rFonts w:ascii="Times New Roman" w:hAnsi="Times New Roman" w:cs="Times New Roman"/>
          <w:i/>
          <w:iCs/>
        </w:rPr>
        <w:t xml:space="preserve"> la valeur d’un privilège tel que visé à l’article 12 de la loi hypothécaire</w:t>
      </w:r>
      <w:r w:rsidRPr="00F428F6">
        <w:rPr>
          <w:rFonts w:ascii="Times New Roman" w:hAnsi="Times New Roman" w:cs="Times New Roman"/>
        </w:rPr>
        <w:t xml:space="preserve"> ». </w:t>
      </w:r>
    </w:p>
  </w:footnote>
  <w:footnote w:id="49">
    <w:p w14:paraId="0DDFDDE1" w14:textId="54C69F03" w:rsidR="0066694B" w:rsidRPr="00F428F6" w:rsidRDefault="0066694B" w:rsidP="00F428F6">
      <w:pPr>
        <w:pStyle w:val="Notedebasdepage"/>
        <w:jc w:val="both"/>
        <w:rPr>
          <w:rFonts w:ascii="Times New Roman" w:hAnsi="Times New Roman" w:cs="Times New Roman"/>
        </w:rPr>
      </w:pPr>
      <w:r w:rsidRPr="00F428F6">
        <w:rPr>
          <w:rStyle w:val="Appelnotedebasdep"/>
          <w:rFonts w:ascii="Times New Roman" w:hAnsi="Times New Roman" w:cs="Times New Roman"/>
        </w:rPr>
        <w:footnoteRef/>
      </w:r>
      <w:r w:rsidRPr="00F428F6">
        <w:rPr>
          <w:rFonts w:ascii="Times New Roman" w:hAnsi="Times New Roman" w:cs="Times New Roman"/>
        </w:rPr>
        <w:t xml:space="preserve"> </w:t>
      </w:r>
      <w:r w:rsidR="008A1173" w:rsidRPr="00F428F6">
        <w:rPr>
          <w:rFonts w:ascii="Times New Roman" w:hAnsi="Times New Roman" w:cs="Times New Roman"/>
        </w:rPr>
        <w:t xml:space="preserve">Fl. GEORGE et X. THUNIS, « La subrogation : un mécanisme hybride, une institution polymorphe », </w:t>
      </w:r>
      <w:r w:rsidR="008A1173" w:rsidRPr="00F428F6">
        <w:rPr>
          <w:rFonts w:ascii="Times New Roman" w:hAnsi="Times New Roman" w:cs="Times New Roman"/>
          <w:i/>
          <w:iCs/>
        </w:rPr>
        <w:t>op.cit</w:t>
      </w:r>
      <w:r w:rsidR="008A1173" w:rsidRPr="00F428F6">
        <w:rPr>
          <w:rFonts w:ascii="Times New Roman" w:hAnsi="Times New Roman" w:cs="Times New Roman"/>
        </w:rPr>
        <w:t xml:space="preserve">., p. 30 ; </w:t>
      </w:r>
      <w:r w:rsidRPr="00F428F6">
        <w:rPr>
          <w:rFonts w:ascii="Times New Roman" w:hAnsi="Times New Roman" w:cs="Times New Roman"/>
        </w:rPr>
        <w:t xml:space="preserve">V. NICAISE, </w:t>
      </w:r>
      <w:r w:rsidR="00A802BB" w:rsidRPr="00F428F6">
        <w:rPr>
          <w:rFonts w:ascii="Times New Roman" w:hAnsi="Times New Roman" w:cs="Times New Roman"/>
        </w:rPr>
        <w:t xml:space="preserve">« La portée de la réforme des sûretés réelles mobilières sur le secteur des assurances », </w:t>
      </w:r>
      <w:r w:rsidR="00A802BB" w:rsidRPr="00F428F6">
        <w:rPr>
          <w:rFonts w:ascii="Times New Roman" w:hAnsi="Times New Roman" w:cs="Times New Roman"/>
          <w:i/>
          <w:iCs/>
        </w:rPr>
        <w:t>op.cit</w:t>
      </w:r>
      <w:r w:rsidR="00A802BB" w:rsidRPr="00F428F6">
        <w:rPr>
          <w:rFonts w:ascii="Times New Roman" w:hAnsi="Times New Roman" w:cs="Times New Roman"/>
        </w:rPr>
        <w:t xml:space="preserve">., p. </w:t>
      </w:r>
      <w:r w:rsidR="005D3B98" w:rsidRPr="00F428F6">
        <w:rPr>
          <w:rFonts w:ascii="Times New Roman" w:hAnsi="Times New Roman" w:cs="Times New Roman"/>
        </w:rPr>
        <w:t xml:space="preserve">127 ; </w:t>
      </w:r>
      <w:r w:rsidR="00A802BB" w:rsidRPr="00F428F6">
        <w:rPr>
          <w:rFonts w:ascii="Times New Roman" w:hAnsi="Times New Roman" w:cs="Times New Roman"/>
        </w:rPr>
        <w:t> </w:t>
      </w:r>
      <w:r w:rsidR="008A1173" w:rsidRPr="00F428F6">
        <w:rPr>
          <w:rFonts w:ascii="Times New Roman" w:hAnsi="Times New Roman" w:cs="Times New Roman"/>
        </w:rPr>
        <w:t xml:space="preserve">Fr. GEORGES et A. CUYPERS, « Art. 10 L. </w:t>
      </w:r>
      <w:proofErr w:type="spellStart"/>
      <w:r w:rsidR="008A1173" w:rsidRPr="00F428F6">
        <w:rPr>
          <w:rFonts w:ascii="Times New Roman" w:hAnsi="Times New Roman" w:cs="Times New Roman"/>
        </w:rPr>
        <w:t>Hyp</w:t>
      </w:r>
      <w:proofErr w:type="spellEnd"/>
      <w:r w:rsidR="008A1173" w:rsidRPr="00F428F6">
        <w:rPr>
          <w:rFonts w:ascii="Times New Roman" w:hAnsi="Times New Roman" w:cs="Times New Roman"/>
        </w:rPr>
        <w:t xml:space="preserve">. », </w:t>
      </w:r>
      <w:proofErr w:type="spellStart"/>
      <w:r w:rsidR="008A1173" w:rsidRPr="00F428F6">
        <w:rPr>
          <w:rFonts w:ascii="Times New Roman" w:hAnsi="Times New Roman" w:cs="Times New Roman"/>
          <w:i/>
          <w:iCs/>
        </w:rPr>
        <w:t>op.cit</w:t>
      </w:r>
      <w:proofErr w:type="spellEnd"/>
      <w:r w:rsidR="008A1173" w:rsidRPr="00F428F6">
        <w:rPr>
          <w:rFonts w:ascii="Times New Roman" w:hAnsi="Times New Roman" w:cs="Times New Roman"/>
          <w:i/>
          <w:iCs/>
        </w:rPr>
        <w:t xml:space="preserve">, </w:t>
      </w:r>
      <w:r w:rsidR="008A1173" w:rsidRPr="00F428F6">
        <w:rPr>
          <w:rFonts w:ascii="Times New Roman" w:hAnsi="Times New Roman" w:cs="Times New Roman"/>
        </w:rPr>
        <w:t xml:space="preserve">p. 61. Le fait que le créancier gagiste soit titulaire d’une sûreté réelle (au sens de l’article 3.3. du Code civil et du Titre XVII du livre III de l’ancien Code civil) renforce davantage la thèse selon laquelle ce créancier est visé par l’article 112 de la L.A. En ce sens : F. T’KINT, </w:t>
      </w:r>
      <w:r w:rsidR="008A1173" w:rsidRPr="00F428F6">
        <w:rPr>
          <w:rFonts w:ascii="Times New Roman" w:hAnsi="Times New Roman" w:cs="Times New Roman"/>
          <w:i/>
          <w:iCs/>
        </w:rPr>
        <w:t>Sûretés et principes généraux du droit de poursuite des créanciers</w:t>
      </w:r>
      <w:r w:rsidR="008A1173" w:rsidRPr="00F428F6">
        <w:rPr>
          <w:rFonts w:ascii="Times New Roman" w:hAnsi="Times New Roman" w:cs="Times New Roman"/>
        </w:rPr>
        <w:t>, op.cit., p. 292, l’auteur soutient en effet que</w:t>
      </w:r>
      <w:r w:rsidR="00E37021" w:rsidRPr="00F428F6">
        <w:rPr>
          <w:rFonts w:ascii="Times New Roman" w:hAnsi="Times New Roman" w:cs="Times New Roman"/>
        </w:rPr>
        <w:t xml:space="preserve"> « </w:t>
      </w:r>
      <w:r w:rsidR="00E37021" w:rsidRPr="00F428F6">
        <w:rPr>
          <w:rFonts w:ascii="Times New Roman" w:hAnsi="Times New Roman" w:cs="Times New Roman"/>
          <w:i/>
          <w:iCs/>
        </w:rPr>
        <w:t>la subrogation réelle est applicable à l’hypothèque comme à toute sûreté réelle</w:t>
      </w:r>
      <w:r w:rsidR="00E37021" w:rsidRPr="00F428F6">
        <w:rPr>
          <w:rFonts w:ascii="Times New Roman" w:hAnsi="Times New Roman" w:cs="Times New Roman"/>
        </w:rPr>
        <w:t xml:space="preserve"> ». </w:t>
      </w:r>
      <w:r w:rsidR="008A1173" w:rsidRPr="00F428F6">
        <w:rPr>
          <w:rFonts w:ascii="Times New Roman" w:hAnsi="Times New Roman" w:cs="Times New Roman"/>
        </w:rPr>
        <w:t xml:space="preserve">La question est en revanche différente en ce qui concerne le créancier réservataire, omis de la liste des sûretés réelles dans le nouveau Code civil mais qualifiée comme tel par le titre XVII du livre III de l’ancien Code civil. </w:t>
      </w:r>
      <w:r w:rsidR="00E37021" w:rsidRPr="00F428F6">
        <w:rPr>
          <w:rFonts w:ascii="Times New Roman" w:hAnsi="Times New Roman" w:cs="Times New Roman"/>
        </w:rPr>
        <w:t xml:space="preserve">Sur les controverses liées à la définition de sûreté réelle : </w:t>
      </w:r>
      <w:r w:rsidR="000E2B20" w:rsidRPr="00F428F6">
        <w:rPr>
          <w:rFonts w:ascii="Times New Roman" w:hAnsi="Times New Roman" w:cs="Times New Roman"/>
        </w:rPr>
        <w:t xml:space="preserve">Y. GODEFROID, « Partie Ier : Incidences du Livre 3 du Code civil sur le droit des sûretés : le privilège spécial est-il une sûreté réelle », </w:t>
      </w:r>
      <w:r w:rsidR="00BF2B55" w:rsidRPr="00F428F6">
        <w:rPr>
          <w:rFonts w:ascii="Times New Roman" w:hAnsi="Times New Roman" w:cs="Times New Roman"/>
        </w:rPr>
        <w:t xml:space="preserve">in </w:t>
      </w:r>
      <w:r w:rsidR="00BF2B55" w:rsidRPr="00F428F6">
        <w:rPr>
          <w:rFonts w:ascii="Times New Roman" w:hAnsi="Times New Roman" w:cs="Times New Roman"/>
          <w:i/>
          <w:iCs/>
        </w:rPr>
        <w:t>Privilèges et hypothèques</w:t>
      </w:r>
      <w:r w:rsidR="00BF2B55" w:rsidRPr="00F428F6">
        <w:rPr>
          <w:rFonts w:ascii="Times New Roman" w:hAnsi="Times New Roman" w:cs="Times New Roman"/>
        </w:rPr>
        <w:t xml:space="preserve">, </w:t>
      </w:r>
      <w:r w:rsidR="008A1173" w:rsidRPr="00F428F6">
        <w:rPr>
          <w:rFonts w:ascii="Times New Roman" w:hAnsi="Times New Roman" w:cs="Times New Roman"/>
        </w:rPr>
        <w:t xml:space="preserve">Wolters Kluwer, </w:t>
      </w:r>
      <w:proofErr w:type="spellStart"/>
      <w:r w:rsidR="008A1173" w:rsidRPr="00F428F6">
        <w:rPr>
          <w:rFonts w:ascii="Times New Roman" w:hAnsi="Times New Roman" w:cs="Times New Roman"/>
        </w:rPr>
        <w:t>feuill.mob.suppl</w:t>
      </w:r>
      <w:proofErr w:type="spellEnd"/>
      <w:r w:rsidR="008A1173" w:rsidRPr="00F428F6">
        <w:rPr>
          <w:rFonts w:ascii="Times New Roman" w:hAnsi="Times New Roman" w:cs="Times New Roman"/>
        </w:rPr>
        <w:t xml:space="preserve">. </w:t>
      </w:r>
      <w:r w:rsidR="00BF2B55" w:rsidRPr="00F428F6">
        <w:rPr>
          <w:rFonts w:ascii="Times New Roman" w:hAnsi="Times New Roman" w:cs="Times New Roman"/>
        </w:rPr>
        <w:t xml:space="preserve">2023, pp. 9 et s. ; Fl. GEORGE et N. OUCHINSKY, « Le nouveau livre 3 du Code civil : ceci n’est pas une sûreté réelle », </w:t>
      </w:r>
      <w:r w:rsidR="00BF2B55" w:rsidRPr="00F428F6">
        <w:rPr>
          <w:rFonts w:ascii="Times New Roman" w:hAnsi="Times New Roman" w:cs="Times New Roman"/>
          <w:i/>
          <w:iCs/>
        </w:rPr>
        <w:t>J.T</w:t>
      </w:r>
      <w:r w:rsidR="00BF2B55" w:rsidRPr="00F428F6">
        <w:rPr>
          <w:rFonts w:ascii="Times New Roman" w:hAnsi="Times New Roman" w:cs="Times New Roman"/>
        </w:rPr>
        <w:t xml:space="preserve">., 2022, pp. 69 et s. </w:t>
      </w:r>
      <w:r w:rsidR="008A1173" w:rsidRPr="00F428F6">
        <w:rPr>
          <w:rFonts w:ascii="Times New Roman" w:hAnsi="Times New Roman" w:cs="Times New Roman"/>
        </w:rPr>
        <w:t xml:space="preserve">Des </w:t>
      </w:r>
      <w:r w:rsidR="009022BF" w:rsidRPr="00F428F6">
        <w:rPr>
          <w:rFonts w:ascii="Times New Roman" w:hAnsi="Times New Roman" w:cs="Times New Roman"/>
        </w:rPr>
        <w:t>mêmes auteurs : « Les difficultés suscitées par la nouvelle définition des sûretés réelles au sens de l’article 3.3. du livre 3 du Code civil », in N. OUCHINSKY (</w:t>
      </w:r>
      <w:proofErr w:type="spellStart"/>
      <w:r w:rsidR="009022BF" w:rsidRPr="00F428F6">
        <w:rPr>
          <w:rFonts w:ascii="Times New Roman" w:hAnsi="Times New Roman" w:cs="Times New Roman"/>
        </w:rPr>
        <w:t>dir</w:t>
      </w:r>
      <w:proofErr w:type="spellEnd"/>
      <w:r w:rsidR="009022BF" w:rsidRPr="00F428F6">
        <w:rPr>
          <w:rFonts w:ascii="Times New Roman" w:hAnsi="Times New Roman" w:cs="Times New Roman"/>
        </w:rPr>
        <w:t xml:space="preserve">.), </w:t>
      </w:r>
      <w:r w:rsidR="009022BF" w:rsidRPr="00F428F6">
        <w:rPr>
          <w:rFonts w:ascii="Times New Roman" w:hAnsi="Times New Roman" w:cs="Times New Roman"/>
          <w:i/>
          <w:iCs/>
        </w:rPr>
        <w:t>Actualités en droit de l’insolvabilité</w:t>
      </w:r>
      <w:r w:rsidR="009022BF" w:rsidRPr="00F428F6">
        <w:rPr>
          <w:rFonts w:ascii="Times New Roman" w:hAnsi="Times New Roman" w:cs="Times New Roman"/>
        </w:rPr>
        <w:t xml:space="preserve">, Larcier, 2022, pp. 149 et s. </w:t>
      </w:r>
    </w:p>
  </w:footnote>
  <w:footnote w:id="50">
    <w:p w14:paraId="326D9535" w14:textId="48381835" w:rsidR="00BF2B55" w:rsidRPr="00F428F6" w:rsidRDefault="00BF2B55" w:rsidP="00F428F6">
      <w:pPr>
        <w:pStyle w:val="Notedebasdepage"/>
        <w:jc w:val="both"/>
        <w:rPr>
          <w:rFonts w:ascii="Times New Roman" w:hAnsi="Times New Roman" w:cs="Times New Roman"/>
        </w:rPr>
      </w:pPr>
      <w:r w:rsidRPr="00F428F6">
        <w:rPr>
          <w:rStyle w:val="Appelnotedebasdep"/>
          <w:rFonts w:ascii="Times New Roman" w:hAnsi="Times New Roman" w:cs="Times New Roman"/>
        </w:rPr>
        <w:footnoteRef/>
      </w:r>
      <w:r w:rsidRPr="00F428F6">
        <w:rPr>
          <w:rFonts w:ascii="Times New Roman" w:hAnsi="Times New Roman" w:cs="Times New Roman"/>
        </w:rPr>
        <w:t xml:space="preserve"> Sur cette subrogation, </w:t>
      </w:r>
      <w:proofErr w:type="spellStart"/>
      <w:r w:rsidRPr="00F428F6">
        <w:rPr>
          <w:rFonts w:ascii="Times New Roman" w:hAnsi="Times New Roman" w:cs="Times New Roman"/>
        </w:rPr>
        <w:t>voy</w:t>
      </w:r>
      <w:proofErr w:type="spellEnd"/>
      <w:r w:rsidRPr="00F428F6">
        <w:rPr>
          <w:rFonts w:ascii="Times New Roman" w:hAnsi="Times New Roman" w:cs="Times New Roman"/>
        </w:rPr>
        <w:t xml:space="preserve">. M. GREGOIRE, « Le gage », in </w:t>
      </w:r>
      <w:r w:rsidRPr="00F428F6">
        <w:rPr>
          <w:rFonts w:ascii="Times New Roman" w:hAnsi="Times New Roman" w:cs="Times New Roman"/>
          <w:i/>
          <w:iCs/>
        </w:rPr>
        <w:t>Privilèges et hypothèques</w:t>
      </w:r>
      <w:r w:rsidRPr="00F428F6">
        <w:rPr>
          <w:rFonts w:ascii="Times New Roman" w:hAnsi="Times New Roman" w:cs="Times New Roman"/>
        </w:rPr>
        <w:t xml:space="preserve">, </w:t>
      </w:r>
      <w:r w:rsidR="008A1173" w:rsidRPr="00F428F6">
        <w:rPr>
          <w:rFonts w:ascii="Times New Roman" w:hAnsi="Times New Roman" w:cs="Times New Roman"/>
        </w:rPr>
        <w:t xml:space="preserve">Wolters Kluwer, </w:t>
      </w:r>
      <w:proofErr w:type="spellStart"/>
      <w:r w:rsidR="008A1173" w:rsidRPr="00F428F6">
        <w:rPr>
          <w:rFonts w:ascii="Times New Roman" w:hAnsi="Times New Roman" w:cs="Times New Roman"/>
        </w:rPr>
        <w:t>feuill.mob.suppl</w:t>
      </w:r>
      <w:proofErr w:type="spellEnd"/>
      <w:r w:rsidR="008A1173" w:rsidRPr="00F428F6">
        <w:rPr>
          <w:rFonts w:ascii="Times New Roman" w:hAnsi="Times New Roman" w:cs="Times New Roman"/>
        </w:rPr>
        <w:t xml:space="preserve">. </w:t>
      </w:r>
      <w:r w:rsidRPr="00F428F6">
        <w:rPr>
          <w:rFonts w:ascii="Times New Roman" w:hAnsi="Times New Roman" w:cs="Times New Roman"/>
        </w:rPr>
        <w:t xml:space="preserve">2021, pp. 42 et s. </w:t>
      </w:r>
    </w:p>
  </w:footnote>
  <w:footnote w:id="51">
    <w:p w14:paraId="4F85A8A4" w14:textId="2F770866" w:rsidR="00A3038A" w:rsidRPr="00F428F6" w:rsidRDefault="00A3038A" w:rsidP="00F428F6">
      <w:pPr>
        <w:pStyle w:val="Notedebasdepage"/>
        <w:jc w:val="both"/>
        <w:rPr>
          <w:rFonts w:ascii="Times New Roman" w:hAnsi="Times New Roman" w:cs="Times New Roman"/>
          <w:lang w:val="fr-FR"/>
        </w:rPr>
      </w:pPr>
      <w:r w:rsidRPr="00F428F6">
        <w:rPr>
          <w:rStyle w:val="Appelnotedebasdep"/>
          <w:rFonts w:ascii="Times New Roman" w:hAnsi="Times New Roman" w:cs="Times New Roman"/>
        </w:rPr>
        <w:footnoteRef/>
      </w:r>
      <w:r w:rsidRPr="00F428F6">
        <w:rPr>
          <w:rFonts w:ascii="Times New Roman" w:hAnsi="Times New Roman" w:cs="Times New Roman"/>
        </w:rPr>
        <w:t xml:space="preserve"> </w:t>
      </w:r>
      <w:r w:rsidRPr="00F428F6">
        <w:rPr>
          <w:rFonts w:ascii="Times New Roman" w:hAnsi="Times New Roman" w:cs="Times New Roman"/>
          <w:lang w:val="fr-FR"/>
        </w:rPr>
        <w:t xml:space="preserve">C’est nous qui soulignons. </w:t>
      </w:r>
    </w:p>
  </w:footnote>
  <w:footnote w:id="52">
    <w:p w14:paraId="6A08778C" w14:textId="72DCE91B" w:rsidR="00A3038A" w:rsidRPr="00F428F6" w:rsidRDefault="00A3038A" w:rsidP="00F428F6">
      <w:pPr>
        <w:pStyle w:val="Notedebasdepage"/>
        <w:jc w:val="both"/>
        <w:rPr>
          <w:rFonts w:ascii="Times New Roman" w:hAnsi="Times New Roman" w:cs="Times New Roman"/>
        </w:rPr>
      </w:pPr>
      <w:r w:rsidRPr="00F428F6">
        <w:rPr>
          <w:rStyle w:val="Appelnotedebasdep"/>
          <w:rFonts w:ascii="Times New Roman" w:hAnsi="Times New Roman" w:cs="Times New Roman"/>
        </w:rPr>
        <w:footnoteRef/>
      </w:r>
      <w:r w:rsidRPr="00F428F6">
        <w:rPr>
          <w:rFonts w:ascii="Times New Roman" w:hAnsi="Times New Roman" w:cs="Times New Roman"/>
        </w:rPr>
        <w:t xml:space="preserve"> V. NICAISE, </w:t>
      </w:r>
      <w:r w:rsidR="008A1173" w:rsidRPr="00F428F6">
        <w:rPr>
          <w:rFonts w:ascii="Times New Roman" w:hAnsi="Times New Roman" w:cs="Times New Roman"/>
        </w:rPr>
        <w:t xml:space="preserve">« La portée de la réforme des sûretés réelles mobilières sur le secteur des assurances », </w:t>
      </w:r>
      <w:r w:rsidR="008A1173" w:rsidRPr="00F428F6">
        <w:rPr>
          <w:rFonts w:ascii="Times New Roman" w:hAnsi="Times New Roman" w:cs="Times New Roman"/>
          <w:i/>
          <w:iCs/>
        </w:rPr>
        <w:t>op.</w:t>
      </w:r>
      <w:proofErr w:type="spellStart"/>
      <w:r w:rsidR="008A1173" w:rsidRPr="00F428F6">
        <w:rPr>
          <w:rFonts w:ascii="Times New Roman" w:hAnsi="Times New Roman" w:cs="Times New Roman"/>
          <w:i/>
          <w:iCs/>
        </w:rPr>
        <w:t>cit</w:t>
      </w:r>
      <w:proofErr w:type="spellEnd"/>
      <w:r w:rsidR="008A1173" w:rsidRPr="00F428F6">
        <w:rPr>
          <w:rFonts w:ascii="Times New Roman" w:hAnsi="Times New Roman" w:cs="Times New Roman"/>
        </w:rPr>
        <w:t>.,</w:t>
      </w:r>
      <w:r w:rsidRPr="00F428F6">
        <w:rPr>
          <w:rFonts w:ascii="Times New Roman" w:hAnsi="Times New Roman" w:cs="Times New Roman"/>
        </w:rPr>
        <w:t>p. 127. L’auteur relève que la réforme des sûretés mobilières « </w:t>
      </w:r>
      <w:r w:rsidRPr="00F428F6">
        <w:rPr>
          <w:rFonts w:ascii="Times New Roman" w:hAnsi="Times New Roman" w:cs="Times New Roman"/>
          <w:i/>
          <w:iCs/>
        </w:rPr>
        <w:t>consacre en effet l’application de la subrogation réelle au gage, ainsi qu’à la clause de réserve de propriété, ce qui implique que les droits du créancier s’étendent à toutes les créances qui se substituent au bien grevé, dont les créances résultant d’assurances </w:t>
      </w:r>
      <w:r w:rsidRPr="00F428F6">
        <w:rPr>
          <w:rFonts w:ascii="Times New Roman" w:hAnsi="Times New Roman" w:cs="Times New Roman"/>
        </w:rPr>
        <w:t xml:space="preserve">». </w:t>
      </w:r>
    </w:p>
  </w:footnote>
  <w:footnote w:id="53">
    <w:p w14:paraId="2B6974AB" w14:textId="7D8DD2A6" w:rsidR="00E707B1" w:rsidRPr="00F428F6" w:rsidRDefault="00E707B1" w:rsidP="00F428F6">
      <w:pPr>
        <w:pStyle w:val="Notedebasdepage"/>
        <w:jc w:val="both"/>
        <w:rPr>
          <w:rFonts w:ascii="Times New Roman" w:hAnsi="Times New Roman" w:cs="Times New Roman"/>
          <w:highlight w:val="yellow"/>
        </w:rPr>
      </w:pPr>
      <w:r w:rsidRPr="00F428F6">
        <w:rPr>
          <w:rStyle w:val="Appelnotedebasdep"/>
          <w:rFonts w:ascii="Times New Roman" w:hAnsi="Times New Roman" w:cs="Times New Roman"/>
        </w:rPr>
        <w:footnoteRef/>
      </w:r>
      <w:r w:rsidRPr="00F428F6">
        <w:rPr>
          <w:rFonts w:ascii="Times New Roman" w:hAnsi="Times New Roman" w:cs="Times New Roman"/>
        </w:rPr>
        <w:t xml:space="preserve"> V. NICAISE, «</w:t>
      </w:r>
      <w:r w:rsidR="00017D0D" w:rsidRPr="00F428F6">
        <w:rPr>
          <w:rFonts w:ascii="Times New Roman" w:hAnsi="Times New Roman" w:cs="Times New Roman"/>
        </w:rPr>
        <w:t xml:space="preserve">La portée de la réforme des sûretés réelles mobilières sur le secteur des assurances », </w:t>
      </w:r>
      <w:r w:rsidR="00017D0D" w:rsidRPr="00F428F6">
        <w:rPr>
          <w:rFonts w:ascii="Times New Roman" w:hAnsi="Times New Roman" w:cs="Times New Roman"/>
          <w:i/>
          <w:iCs/>
        </w:rPr>
        <w:t>ibid</w:t>
      </w:r>
      <w:r w:rsidR="00017D0D" w:rsidRPr="00F428F6">
        <w:rPr>
          <w:rFonts w:ascii="Times New Roman" w:hAnsi="Times New Roman" w:cs="Times New Roman"/>
        </w:rPr>
        <w:t xml:space="preserve">., p. 127 ; </w:t>
      </w:r>
      <w:r w:rsidRPr="00F428F6">
        <w:rPr>
          <w:rFonts w:ascii="Times New Roman" w:hAnsi="Times New Roman" w:cs="Times New Roman"/>
        </w:rPr>
        <w:t xml:space="preserve">P. BECUE, « De </w:t>
      </w:r>
      <w:proofErr w:type="spellStart"/>
      <w:r w:rsidRPr="00F428F6">
        <w:rPr>
          <w:rFonts w:ascii="Times New Roman" w:hAnsi="Times New Roman" w:cs="Times New Roman"/>
        </w:rPr>
        <w:t>wet</w:t>
      </w:r>
      <w:proofErr w:type="spellEnd"/>
      <w:r w:rsidRPr="00F428F6">
        <w:rPr>
          <w:rFonts w:ascii="Times New Roman" w:hAnsi="Times New Roman" w:cs="Times New Roman"/>
        </w:rPr>
        <w:t xml:space="preserve"> van 11 </w:t>
      </w:r>
      <w:proofErr w:type="spellStart"/>
      <w:r w:rsidRPr="00F428F6">
        <w:rPr>
          <w:rFonts w:ascii="Times New Roman" w:hAnsi="Times New Roman" w:cs="Times New Roman"/>
        </w:rPr>
        <w:t>juli</w:t>
      </w:r>
      <w:proofErr w:type="spellEnd"/>
      <w:r w:rsidRPr="00F428F6">
        <w:rPr>
          <w:rFonts w:ascii="Times New Roman" w:hAnsi="Times New Roman" w:cs="Times New Roman"/>
        </w:rPr>
        <w:t xml:space="preserve"> 2013 met </w:t>
      </w:r>
      <w:proofErr w:type="spellStart"/>
      <w:r w:rsidRPr="00F428F6">
        <w:rPr>
          <w:rFonts w:ascii="Times New Roman" w:hAnsi="Times New Roman" w:cs="Times New Roman"/>
        </w:rPr>
        <w:t>betrekking</w:t>
      </w:r>
      <w:proofErr w:type="spellEnd"/>
      <w:r w:rsidRPr="00F428F6">
        <w:rPr>
          <w:rFonts w:ascii="Times New Roman" w:hAnsi="Times New Roman" w:cs="Times New Roman"/>
        </w:rPr>
        <w:t xml:space="preserve"> </w:t>
      </w:r>
      <w:proofErr w:type="spellStart"/>
      <w:r w:rsidRPr="00F428F6">
        <w:rPr>
          <w:rFonts w:ascii="Times New Roman" w:hAnsi="Times New Roman" w:cs="Times New Roman"/>
        </w:rPr>
        <w:t>tot</w:t>
      </w:r>
      <w:proofErr w:type="spellEnd"/>
      <w:r w:rsidRPr="00F428F6">
        <w:rPr>
          <w:rFonts w:ascii="Times New Roman" w:hAnsi="Times New Roman" w:cs="Times New Roman"/>
        </w:rPr>
        <w:t xml:space="preserve"> de </w:t>
      </w:r>
      <w:proofErr w:type="spellStart"/>
      <w:r w:rsidRPr="00F428F6">
        <w:rPr>
          <w:rFonts w:ascii="Times New Roman" w:hAnsi="Times New Roman" w:cs="Times New Roman"/>
        </w:rPr>
        <w:t>hervorming</w:t>
      </w:r>
      <w:proofErr w:type="spellEnd"/>
      <w:r w:rsidRPr="00F428F6">
        <w:rPr>
          <w:rFonts w:ascii="Times New Roman" w:hAnsi="Times New Roman" w:cs="Times New Roman"/>
        </w:rPr>
        <w:t xml:space="preserve"> van </w:t>
      </w:r>
      <w:proofErr w:type="spellStart"/>
      <w:r w:rsidRPr="00F428F6">
        <w:rPr>
          <w:rFonts w:ascii="Times New Roman" w:hAnsi="Times New Roman" w:cs="Times New Roman"/>
        </w:rPr>
        <w:t>zakelijke</w:t>
      </w:r>
      <w:proofErr w:type="spellEnd"/>
      <w:r w:rsidRPr="00F428F6">
        <w:rPr>
          <w:rFonts w:ascii="Times New Roman" w:hAnsi="Times New Roman" w:cs="Times New Roman"/>
        </w:rPr>
        <w:t xml:space="preserve"> </w:t>
      </w:r>
      <w:proofErr w:type="spellStart"/>
      <w:r w:rsidRPr="00F428F6">
        <w:rPr>
          <w:rFonts w:ascii="Times New Roman" w:hAnsi="Times New Roman" w:cs="Times New Roman"/>
        </w:rPr>
        <w:t>zekerheden</w:t>
      </w:r>
      <w:proofErr w:type="spellEnd"/>
      <w:r w:rsidRPr="00F428F6">
        <w:rPr>
          <w:rFonts w:ascii="Times New Roman" w:hAnsi="Times New Roman" w:cs="Times New Roman"/>
        </w:rPr>
        <w:t xml:space="preserve"> op </w:t>
      </w:r>
      <w:proofErr w:type="spellStart"/>
      <w:r w:rsidRPr="00F428F6">
        <w:rPr>
          <w:rFonts w:ascii="Times New Roman" w:hAnsi="Times New Roman" w:cs="Times New Roman"/>
        </w:rPr>
        <w:t>roerende</w:t>
      </w:r>
      <w:proofErr w:type="spellEnd"/>
      <w:r w:rsidRPr="00F428F6">
        <w:rPr>
          <w:rFonts w:ascii="Times New Roman" w:hAnsi="Times New Roman" w:cs="Times New Roman"/>
        </w:rPr>
        <w:t xml:space="preserve"> </w:t>
      </w:r>
      <w:proofErr w:type="spellStart"/>
      <w:r w:rsidRPr="00F428F6">
        <w:rPr>
          <w:rFonts w:ascii="Times New Roman" w:hAnsi="Times New Roman" w:cs="Times New Roman"/>
        </w:rPr>
        <w:t>go</w:t>
      </w:r>
      <w:r w:rsidR="00806A36" w:rsidRPr="00F428F6">
        <w:rPr>
          <w:rFonts w:ascii="Times New Roman" w:hAnsi="Times New Roman" w:cs="Times New Roman"/>
        </w:rPr>
        <w:t>ederen</w:t>
      </w:r>
      <w:proofErr w:type="spellEnd"/>
      <w:r w:rsidR="00806A36" w:rsidRPr="00F428F6">
        <w:rPr>
          <w:rFonts w:ascii="Times New Roman" w:hAnsi="Times New Roman" w:cs="Times New Roman"/>
        </w:rPr>
        <w:t xml:space="preserve"> (</w:t>
      </w:r>
      <w:proofErr w:type="spellStart"/>
      <w:r w:rsidR="00806A36" w:rsidRPr="00F428F6">
        <w:rPr>
          <w:rFonts w:ascii="Times New Roman" w:hAnsi="Times New Roman" w:cs="Times New Roman"/>
        </w:rPr>
        <w:t>nieuwe</w:t>
      </w:r>
      <w:proofErr w:type="spellEnd"/>
      <w:r w:rsidR="00806A36" w:rsidRPr="00F428F6">
        <w:rPr>
          <w:rFonts w:ascii="Times New Roman" w:hAnsi="Times New Roman" w:cs="Times New Roman"/>
        </w:rPr>
        <w:t xml:space="preserve"> </w:t>
      </w:r>
      <w:proofErr w:type="spellStart"/>
      <w:r w:rsidR="00806A36" w:rsidRPr="00F428F6">
        <w:rPr>
          <w:rFonts w:ascii="Times New Roman" w:hAnsi="Times New Roman" w:cs="Times New Roman"/>
        </w:rPr>
        <w:t>pandrecht</w:t>
      </w:r>
      <w:proofErr w:type="spellEnd"/>
      <w:r w:rsidR="00806A36" w:rsidRPr="00F428F6">
        <w:rPr>
          <w:rFonts w:ascii="Times New Roman" w:hAnsi="Times New Roman" w:cs="Times New Roman"/>
        </w:rPr>
        <w:t xml:space="preserve">) », </w:t>
      </w:r>
      <w:r w:rsidR="00017D0D" w:rsidRPr="00F428F6">
        <w:rPr>
          <w:rFonts w:ascii="Times New Roman" w:hAnsi="Times New Roman" w:cs="Times New Roman"/>
          <w:i/>
          <w:iCs/>
        </w:rPr>
        <w:t>op.cit.</w:t>
      </w:r>
      <w:r w:rsidR="00806A36" w:rsidRPr="00F428F6">
        <w:rPr>
          <w:rFonts w:ascii="Times New Roman" w:hAnsi="Times New Roman" w:cs="Times New Roman"/>
        </w:rPr>
        <w:t xml:space="preserve">, pp. 360 et 361. </w:t>
      </w:r>
    </w:p>
  </w:footnote>
  <w:footnote w:id="54">
    <w:p w14:paraId="3CF4612D" w14:textId="6493CA9A" w:rsidR="00A2786B" w:rsidRPr="00F428F6" w:rsidRDefault="00A2786B" w:rsidP="00F428F6">
      <w:pPr>
        <w:pStyle w:val="Notedebasdepage"/>
        <w:jc w:val="both"/>
        <w:rPr>
          <w:rFonts w:ascii="Times New Roman" w:hAnsi="Times New Roman" w:cs="Times New Roman"/>
        </w:rPr>
      </w:pPr>
      <w:r w:rsidRPr="00F428F6">
        <w:rPr>
          <w:rStyle w:val="Appelnotedebasdep"/>
          <w:rFonts w:ascii="Times New Roman" w:hAnsi="Times New Roman" w:cs="Times New Roman"/>
        </w:rPr>
        <w:footnoteRef/>
      </w:r>
      <w:r w:rsidRPr="00F428F6">
        <w:rPr>
          <w:rFonts w:ascii="Times New Roman" w:hAnsi="Times New Roman" w:cs="Times New Roman"/>
        </w:rPr>
        <w:t xml:space="preserve"> </w:t>
      </w:r>
      <w:r w:rsidR="003C5D19" w:rsidRPr="00F428F6">
        <w:rPr>
          <w:rFonts w:ascii="Times New Roman" w:hAnsi="Times New Roman" w:cs="Times New Roman"/>
        </w:rPr>
        <w:t xml:space="preserve">Ceci en vue de son opposabilité aux tiers. La gage avec dépossession, qui constitue désormais le régime d’exception, ne fait quant à lui l’objet d’aucun enregistrement. </w:t>
      </w:r>
      <w:r w:rsidRPr="00F428F6">
        <w:rPr>
          <w:rFonts w:ascii="Times New Roman" w:hAnsi="Times New Roman" w:cs="Times New Roman"/>
          <w:lang w:val="fr-FR"/>
        </w:rPr>
        <w:t xml:space="preserve"> </w:t>
      </w:r>
    </w:p>
  </w:footnote>
  <w:footnote w:id="55">
    <w:p w14:paraId="3D61BEF1" w14:textId="51225F8E" w:rsidR="00667590" w:rsidRPr="00F428F6" w:rsidRDefault="00667590" w:rsidP="00F428F6">
      <w:pPr>
        <w:pStyle w:val="Notedebasdepage"/>
        <w:jc w:val="both"/>
        <w:rPr>
          <w:rFonts w:ascii="Times New Roman" w:hAnsi="Times New Roman" w:cs="Times New Roman"/>
        </w:rPr>
      </w:pPr>
      <w:r w:rsidRPr="00F428F6">
        <w:rPr>
          <w:rStyle w:val="Appelnotedebasdep"/>
          <w:rFonts w:ascii="Times New Roman" w:hAnsi="Times New Roman" w:cs="Times New Roman"/>
        </w:rPr>
        <w:footnoteRef/>
      </w:r>
      <w:r w:rsidRPr="00CB4520">
        <w:rPr>
          <w:rFonts w:ascii="Times New Roman" w:hAnsi="Times New Roman" w:cs="Times New Roman"/>
          <w:lang w:val="nl-BE"/>
        </w:rPr>
        <w:t xml:space="preserve"> En ce sens : P. BECUE, « De wet van 11 juli 2013 met betrekking tot de hervorming van zakelijke zekerheden op roerende goederen (nieuwe pandrecht) », </w:t>
      </w:r>
      <w:r w:rsidRPr="00CB4520">
        <w:rPr>
          <w:rFonts w:ascii="Times New Roman" w:hAnsi="Times New Roman" w:cs="Times New Roman"/>
          <w:i/>
          <w:iCs/>
          <w:lang w:val="nl-BE"/>
        </w:rPr>
        <w:t>op.cit.,</w:t>
      </w:r>
      <w:r w:rsidRPr="00CB4520">
        <w:rPr>
          <w:rFonts w:ascii="Times New Roman" w:hAnsi="Times New Roman" w:cs="Times New Roman"/>
          <w:lang w:val="nl-BE"/>
        </w:rPr>
        <w:t xml:space="preserve"> p. 360. </w:t>
      </w:r>
      <w:r w:rsidR="00240C0A" w:rsidRPr="00CB4520">
        <w:rPr>
          <w:rFonts w:ascii="Times New Roman" w:hAnsi="Times New Roman" w:cs="Times New Roman"/>
          <w:lang w:val="nl-BE"/>
        </w:rPr>
        <w:t>P. BECUE</w:t>
      </w:r>
      <w:r w:rsidRPr="00CB4520">
        <w:rPr>
          <w:rFonts w:ascii="Times New Roman" w:hAnsi="Times New Roman" w:cs="Times New Roman"/>
          <w:lang w:val="nl-BE"/>
        </w:rPr>
        <w:t xml:space="preserve"> relève en effet que « </w:t>
      </w:r>
      <w:r w:rsidRPr="00CB4520">
        <w:rPr>
          <w:rFonts w:ascii="Times New Roman" w:hAnsi="Times New Roman" w:cs="Times New Roman"/>
          <w:i/>
          <w:iCs/>
          <w:lang w:val="nl-BE"/>
        </w:rPr>
        <w:t>om deze dubbele betaling te vermijden (…), in het andere geval moet de verzekeraar nagaan of het voorwerp een voorrecht of pand rust dat deel uitmaakt van een publiciteit. De zaakverzeker</w:t>
      </w:r>
      <w:r w:rsidR="003A7324" w:rsidRPr="00CB4520">
        <w:rPr>
          <w:rFonts w:ascii="Times New Roman" w:hAnsi="Times New Roman" w:cs="Times New Roman"/>
          <w:i/>
          <w:iCs/>
          <w:lang w:val="nl-BE"/>
        </w:rPr>
        <w:t>aar moet dus het pandregister consulteren (…) </w:t>
      </w:r>
      <w:r w:rsidR="003A7324" w:rsidRPr="00CB4520">
        <w:rPr>
          <w:rFonts w:ascii="Times New Roman" w:hAnsi="Times New Roman" w:cs="Times New Roman"/>
          <w:lang w:val="nl-BE"/>
        </w:rPr>
        <w:t>». Sur le registre des gages : C. STANDAERT et E. VANHOVE</w:t>
      </w:r>
      <w:r w:rsidR="00240C0A" w:rsidRPr="00F428F6">
        <w:rPr>
          <w:rFonts w:ascii="Times New Roman" w:hAnsi="Times New Roman" w:cs="Times New Roman"/>
        </w:rPr>
        <w:t>, « Sûretés réelles mobilières : rappel des principes et jurisprudence », in Fl. GEORGE et A. TOUSSAINT (</w:t>
      </w:r>
      <w:proofErr w:type="spellStart"/>
      <w:r w:rsidR="00240C0A" w:rsidRPr="00F428F6">
        <w:rPr>
          <w:rFonts w:ascii="Times New Roman" w:hAnsi="Times New Roman" w:cs="Times New Roman"/>
        </w:rPr>
        <w:t>dir</w:t>
      </w:r>
      <w:proofErr w:type="spellEnd"/>
      <w:r w:rsidR="00240C0A" w:rsidRPr="00F428F6">
        <w:rPr>
          <w:rFonts w:ascii="Times New Roman" w:hAnsi="Times New Roman" w:cs="Times New Roman"/>
        </w:rPr>
        <w:t xml:space="preserve">.), </w:t>
      </w:r>
      <w:r w:rsidR="00240C0A" w:rsidRPr="00F428F6">
        <w:rPr>
          <w:rFonts w:ascii="Times New Roman" w:hAnsi="Times New Roman" w:cs="Times New Roman"/>
          <w:i/>
          <w:iCs/>
        </w:rPr>
        <w:t>Sûretés et procédures collectives d’insolvabilité : le nerf de la guerre</w:t>
      </w:r>
      <w:r w:rsidR="00240C0A" w:rsidRPr="00F428F6">
        <w:rPr>
          <w:rFonts w:ascii="Times New Roman" w:hAnsi="Times New Roman" w:cs="Times New Roman"/>
        </w:rPr>
        <w:t>, Anthémis, 2022</w:t>
      </w:r>
      <w:r w:rsidR="003A7324" w:rsidRPr="00F428F6">
        <w:rPr>
          <w:rFonts w:ascii="Times New Roman" w:hAnsi="Times New Roman" w:cs="Times New Roman"/>
        </w:rPr>
        <w:t>, pp. 14 et s. ; D. CORNIL, « La prise d’un gage à la suite de l’entrée en vigueur du registre des gages : comment faire en pratique », in Y. BRULARD et al. (</w:t>
      </w:r>
      <w:proofErr w:type="spellStart"/>
      <w:r w:rsidR="003A7324" w:rsidRPr="00F428F6">
        <w:rPr>
          <w:rFonts w:ascii="Times New Roman" w:hAnsi="Times New Roman" w:cs="Times New Roman"/>
        </w:rPr>
        <w:t>dir</w:t>
      </w:r>
      <w:proofErr w:type="spellEnd"/>
      <w:r w:rsidR="003A7324" w:rsidRPr="00F428F6">
        <w:rPr>
          <w:rFonts w:ascii="Times New Roman" w:hAnsi="Times New Roman" w:cs="Times New Roman"/>
        </w:rPr>
        <w:t xml:space="preserve">.), </w:t>
      </w:r>
      <w:r w:rsidR="003A7324" w:rsidRPr="00F428F6">
        <w:rPr>
          <w:rFonts w:ascii="Times New Roman" w:hAnsi="Times New Roman" w:cs="Times New Roman"/>
          <w:i/>
          <w:iCs/>
        </w:rPr>
        <w:t>L’entreprise en difficulté, ses dirigeants et ses créanciers</w:t>
      </w:r>
      <w:r w:rsidR="003A7324" w:rsidRPr="00F428F6">
        <w:rPr>
          <w:rFonts w:ascii="Times New Roman" w:hAnsi="Times New Roman" w:cs="Times New Roman"/>
        </w:rPr>
        <w:t xml:space="preserve">, Anthémis, 2020, pp. 193 et s. </w:t>
      </w:r>
      <w:r w:rsidR="00C74DD0" w:rsidRPr="00F428F6">
        <w:rPr>
          <w:rFonts w:ascii="Times New Roman" w:hAnsi="Times New Roman" w:cs="Times New Roman"/>
        </w:rPr>
        <w:t xml:space="preserve"> </w:t>
      </w:r>
      <w:r w:rsidR="00814522" w:rsidRPr="00F428F6">
        <w:rPr>
          <w:rFonts w:ascii="Times New Roman" w:hAnsi="Times New Roman" w:cs="Times New Roman"/>
        </w:rPr>
        <w:t>On notera que dans le cadre de la réforme de</w:t>
      </w:r>
      <w:r w:rsidR="0020581F">
        <w:rPr>
          <w:rFonts w:ascii="Times New Roman" w:hAnsi="Times New Roman" w:cs="Times New Roman"/>
        </w:rPr>
        <w:t xml:space="preserve">s ventes </w:t>
      </w:r>
      <w:proofErr w:type="spellStart"/>
      <w:r w:rsidR="0020581F">
        <w:rPr>
          <w:rFonts w:ascii="Times New Roman" w:hAnsi="Times New Roman" w:cs="Times New Roman"/>
        </w:rPr>
        <w:t>purgeantes</w:t>
      </w:r>
      <w:proofErr w:type="spellEnd"/>
      <w:r w:rsidR="00814522" w:rsidRPr="00F428F6">
        <w:rPr>
          <w:rFonts w:ascii="Times New Roman" w:hAnsi="Times New Roman" w:cs="Times New Roman"/>
        </w:rPr>
        <w:t>,</w:t>
      </w:r>
      <w:r w:rsidR="0020581F">
        <w:rPr>
          <w:rFonts w:ascii="Times New Roman" w:hAnsi="Times New Roman" w:cs="Times New Roman"/>
        </w:rPr>
        <w:t xml:space="preserve"> </w:t>
      </w:r>
      <w:r w:rsidR="00206635">
        <w:rPr>
          <w:rFonts w:ascii="Times New Roman" w:hAnsi="Times New Roman" w:cs="Times New Roman"/>
        </w:rPr>
        <w:t xml:space="preserve">introduite </w:t>
      </w:r>
      <w:r w:rsidR="0020581F">
        <w:rPr>
          <w:rFonts w:ascii="Times New Roman" w:hAnsi="Times New Roman" w:cs="Times New Roman"/>
        </w:rPr>
        <w:t>par la loi du 19 décembre 2023 portant dispositions diverses en matière civile et judiciaire (</w:t>
      </w:r>
      <w:r w:rsidR="0020581F" w:rsidRPr="0020581F">
        <w:rPr>
          <w:rFonts w:ascii="Times New Roman" w:hAnsi="Times New Roman" w:cs="Times New Roman"/>
          <w:i/>
          <w:iCs/>
        </w:rPr>
        <w:t>M.B</w:t>
      </w:r>
      <w:r w:rsidR="0020581F">
        <w:rPr>
          <w:rFonts w:ascii="Times New Roman" w:hAnsi="Times New Roman" w:cs="Times New Roman"/>
        </w:rPr>
        <w:t xml:space="preserve">., 27 décembre 2023), </w:t>
      </w:r>
      <w:r w:rsidR="00814522" w:rsidRPr="00F428F6">
        <w:rPr>
          <w:rFonts w:ascii="Times New Roman" w:hAnsi="Times New Roman" w:cs="Times New Roman"/>
        </w:rPr>
        <w:t xml:space="preserve">le créancier qui dispose d’un gage ou d’une réserve de propriété devra être appelé à la procédure d’autorisation de vente d’immeuble (Doc. </w:t>
      </w:r>
      <w:proofErr w:type="spellStart"/>
      <w:r w:rsidR="00814522" w:rsidRPr="00F428F6">
        <w:rPr>
          <w:rFonts w:ascii="Times New Roman" w:hAnsi="Times New Roman" w:cs="Times New Roman"/>
        </w:rPr>
        <w:t>Parl</w:t>
      </w:r>
      <w:proofErr w:type="spellEnd"/>
      <w:r w:rsidR="00814522" w:rsidRPr="00F428F6">
        <w:rPr>
          <w:rFonts w:ascii="Times New Roman" w:hAnsi="Times New Roman" w:cs="Times New Roman"/>
        </w:rPr>
        <w:t xml:space="preserve">. Ch. </w:t>
      </w:r>
      <w:proofErr w:type="spellStart"/>
      <w:r w:rsidR="00814522" w:rsidRPr="00F428F6">
        <w:rPr>
          <w:rFonts w:ascii="Times New Roman" w:hAnsi="Times New Roman" w:cs="Times New Roman"/>
        </w:rPr>
        <w:t>Repr</w:t>
      </w:r>
      <w:proofErr w:type="spellEnd"/>
      <w:r w:rsidR="00814522" w:rsidRPr="00F428F6">
        <w:rPr>
          <w:rFonts w:ascii="Times New Roman" w:hAnsi="Times New Roman" w:cs="Times New Roman"/>
        </w:rPr>
        <w:t xml:space="preserve">. n°3552/001, p. 64). </w:t>
      </w:r>
    </w:p>
  </w:footnote>
  <w:footnote w:id="56">
    <w:p w14:paraId="3AB253D8" w14:textId="0844F1D4" w:rsidR="00EC0356" w:rsidRPr="00F428F6" w:rsidRDefault="00EC0356" w:rsidP="00F428F6">
      <w:pPr>
        <w:pStyle w:val="Notedebasdepage"/>
        <w:jc w:val="both"/>
        <w:rPr>
          <w:rFonts w:ascii="Times New Roman" w:hAnsi="Times New Roman" w:cs="Times New Roman"/>
        </w:rPr>
      </w:pPr>
      <w:r w:rsidRPr="00F428F6">
        <w:rPr>
          <w:rStyle w:val="Appelnotedebasdep"/>
          <w:rFonts w:ascii="Times New Roman" w:hAnsi="Times New Roman" w:cs="Times New Roman"/>
        </w:rPr>
        <w:footnoteRef/>
      </w:r>
      <w:r w:rsidRPr="00F428F6">
        <w:rPr>
          <w:rFonts w:ascii="Times New Roman" w:hAnsi="Times New Roman" w:cs="Times New Roman"/>
        </w:rPr>
        <w:t xml:space="preserve"> Doc. </w:t>
      </w:r>
      <w:proofErr w:type="spellStart"/>
      <w:r w:rsidRPr="00F428F6">
        <w:rPr>
          <w:rFonts w:ascii="Times New Roman" w:hAnsi="Times New Roman" w:cs="Times New Roman"/>
        </w:rPr>
        <w:t>Parl</w:t>
      </w:r>
      <w:proofErr w:type="spellEnd"/>
      <w:r w:rsidRPr="00F428F6">
        <w:rPr>
          <w:rFonts w:ascii="Times New Roman" w:hAnsi="Times New Roman" w:cs="Times New Roman"/>
        </w:rPr>
        <w:t xml:space="preserve">. Ch. </w:t>
      </w:r>
      <w:proofErr w:type="spellStart"/>
      <w:r w:rsidRPr="00F428F6">
        <w:rPr>
          <w:rFonts w:ascii="Times New Roman" w:hAnsi="Times New Roman" w:cs="Times New Roman"/>
        </w:rPr>
        <w:t>Repr</w:t>
      </w:r>
      <w:proofErr w:type="spellEnd"/>
      <w:r w:rsidRPr="00F428F6">
        <w:rPr>
          <w:rFonts w:ascii="Times New Roman" w:hAnsi="Times New Roman" w:cs="Times New Roman"/>
        </w:rPr>
        <w:t>. N° 2463/001 et 53-2464/011</w:t>
      </w:r>
      <w:r w:rsidR="00814E1B" w:rsidRPr="00F428F6">
        <w:rPr>
          <w:rFonts w:ascii="Times New Roman" w:hAnsi="Times New Roman" w:cs="Times New Roman"/>
        </w:rPr>
        <w:t xml:space="preserve">, pp. 43 et 44 ; Fr. GEORGES, « La réforme des sûretés mobilières », </w:t>
      </w:r>
      <w:r w:rsidR="00240C0A" w:rsidRPr="00F428F6">
        <w:rPr>
          <w:rFonts w:ascii="Times New Roman" w:hAnsi="Times New Roman" w:cs="Times New Roman"/>
          <w:i/>
          <w:iCs/>
        </w:rPr>
        <w:t>op.cit</w:t>
      </w:r>
      <w:r w:rsidR="00240C0A" w:rsidRPr="00F428F6">
        <w:rPr>
          <w:rFonts w:ascii="Times New Roman" w:hAnsi="Times New Roman" w:cs="Times New Roman"/>
        </w:rPr>
        <w:t xml:space="preserve">., </w:t>
      </w:r>
      <w:r w:rsidR="00814E1B" w:rsidRPr="00F428F6">
        <w:rPr>
          <w:rFonts w:ascii="Times New Roman" w:hAnsi="Times New Roman" w:cs="Times New Roman"/>
        </w:rPr>
        <w:t xml:space="preserve">p. 344 ; M. GREGOIRE, « Le gage », </w:t>
      </w:r>
      <w:r w:rsidR="00814E1B" w:rsidRPr="00F428F6">
        <w:rPr>
          <w:rFonts w:ascii="Times New Roman" w:hAnsi="Times New Roman" w:cs="Times New Roman"/>
          <w:i/>
          <w:iCs/>
        </w:rPr>
        <w:t>op.cit</w:t>
      </w:r>
      <w:r w:rsidR="00814E1B" w:rsidRPr="00F428F6">
        <w:rPr>
          <w:rFonts w:ascii="Times New Roman" w:hAnsi="Times New Roman" w:cs="Times New Roman"/>
        </w:rPr>
        <w:t>., p. 28</w:t>
      </w:r>
      <w:r w:rsidR="00240C0A" w:rsidRPr="00F428F6">
        <w:rPr>
          <w:rFonts w:ascii="Times New Roman" w:hAnsi="Times New Roman" w:cs="Times New Roman"/>
        </w:rPr>
        <w:t xml:space="preserve"> ; </w:t>
      </w:r>
      <w:r w:rsidR="00814E1B" w:rsidRPr="00F428F6">
        <w:rPr>
          <w:rFonts w:ascii="Times New Roman" w:hAnsi="Times New Roman" w:cs="Times New Roman"/>
        </w:rPr>
        <w:t>du même auteur, « Le gage », in Th. HÜRNER (</w:t>
      </w:r>
      <w:proofErr w:type="spellStart"/>
      <w:r w:rsidR="00814E1B" w:rsidRPr="00F428F6">
        <w:rPr>
          <w:rFonts w:ascii="Times New Roman" w:hAnsi="Times New Roman" w:cs="Times New Roman"/>
        </w:rPr>
        <w:t>dir</w:t>
      </w:r>
      <w:proofErr w:type="spellEnd"/>
      <w:r w:rsidR="00814E1B" w:rsidRPr="00F428F6">
        <w:rPr>
          <w:rFonts w:ascii="Times New Roman" w:hAnsi="Times New Roman" w:cs="Times New Roman"/>
        </w:rPr>
        <w:t xml:space="preserve">.), </w:t>
      </w:r>
      <w:r w:rsidR="00814E1B" w:rsidRPr="00F428F6">
        <w:rPr>
          <w:rFonts w:ascii="Times New Roman" w:hAnsi="Times New Roman" w:cs="Times New Roman"/>
          <w:i/>
          <w:iCs/>
        </w:rPr>
        <w:t>Manuel des sûretés et des privilèges</w:t>
      </w:r>
      <w:r w:rsidR="00814E1B" w:rsidRPr="00F428F6">
        <w:rPr>
          <w:rFonts w:ascii="Times New Roman" w:hAnsi="Times New Roman" w:cs="Times New Roman"/>
        </w:rPr>
        <w:t>,</w:t>
      </w:r>
      <w:r w:rsidR="00521316" w:rsidRPr="00F428F6">
        <w:rPr>
          <w:rFonts w:ascii="Times New Roman" w:hAnsi="Times New Roman" w:cs="Times New Roman"/>
        </w:rPr>
        <w:t xml:space="preserve"> Wolters Kluwer,</w:t>
      </w:r>
      <w:r w:rsidR="00814E1B" w:rsidRPr="00F428F6">
        <w:rPr>
          <w:rFonts w:ascii="Times New Roman" w:hAnsi="Times New Roman" w:cs="Times New Roman"/>
        </w:rPr>
        <w:t xml:space="preserve"> 2020, p. 43. </w:t>
      </w:r>
    </w:p>
  </w:footnote>
  <w:footnote w:id="57">
    <w:p w14:paraId="4BC3637C" w14:textId="5736324E" w:rsidR="00A74264" w:rsidRPr="00F428F6" w:rsidRDefault="00A74264" w:rsidP="00F428F6">
      <w:pPr>
        <w:pStyle w:val="Notedebasdepage"/>
        <w:jc w:val="both"/>
        <w:rPr>
          <w:rFonts w:ascii="Times New Roman" w:hAnsi="Times New Roman" w:cs="Times New Roman"/>
        </w:rPr>
      </w:pPr>
      <w:r w:rsidRPr="00F428F6">
        <w:rPr>
          <w:rStyle w:val="Appelnotedebasdep"/>
          <w:rFonts w:ascii="Times New Roman" w:hAnsi="Times New Roman" w:cs="Times New Roman"/>
        </w:rPr>
        <w:footnoteRef/>
      </w:r>
      <w:r w:rsidRPr="00F428F6">
        <w:rPr>
          <w:rFonts w:ascii="Times New Roman" w:hAnsi="Times New Roman" w:cs="Times New Roman"/>
        </w:rPr>
        <w:t xml:space="preserve"> Nonobstant </w:t>
      </w:r>
      <w:r w:rsidR="00240C0A" w:rsidRPr="00F428F6">
        <w:rPr>
          <w:rFonts w:ascii="Times New Roman" w:hAnsi="Times New Roman" w:cs="Times New Roman"/>
        </w:rPr>
        <w:t xml:space="preserve">le prescrit de </w:t>
      </w:r>
      <w:r w:rsidRPr="00F428F6">
        <w:rPr>
          <w:rFonts w:ascii="Times New Roman" w:hAnsi="Times New Roman" w:cs="Times New Roman"/>
        </w:rPr>
        <w:t xml:space="preserve">l’article 3.3. du Code civil. </w:t>
      </w:r>
    </w:p>
  </w:footnote>
  <w:footnote w:id="58">
    <w:p w14:paraId="57E146D7" w14:textId="0ED79BDB" w:rsidR="00A80EFF" w:rsidRPr="00F428F6" w:rsidRDefault="00A80EFF" w:rsidP="00F428F6">
      <w:pPr>
        <w:pStyle w:val="Notedebasdepage"/>
        <w:jc w:val="both"/>
        <w:rPr>
          <w:rFonts w:ascii="Times New Roman" w:hAnsi="Times New Roman" w:cs="Times New Roman"/>
        </w:rPr>
      </w:pPr>
      <w:r w:rsidRPr="00F428F6">
        <w:rPr>
          <w:rStyle w:val="Appelnotedebasdep"/>
          <w:rFonts w:ascii="Times New Roman" w:hAnsi="Times New Roman" w:cs="Times New Roman"/>
        </w:rPr>
        <w:footnoteRef/>
      </w:r>
      <w:r w:rsidRPr="00F428F6">
        <w:rPr>
          <w:rFonts w:ascii="Times New Roman" w:hAnsi="Times New Roman" w:cs="Times New Roman"/>
        </w:rPr>
        <w:t xml:space="preserve"> Sur ce point, </w:t>
      </w:r>
      <w:proofErr w:type="spellStart"/>
      <w:r w:rsidRPr="00F428F6">
        <w:rPr>
          <w:rFonts w:ascii="Times New Roman" w:hAnsi="Times New Roman" w:cs="Times New Roman"/>
        </w:rPr>
        <w:t>voy</w:t>
      </w:r>
      <w:proofErr w:type="spellEnd"/>
      <w:r w:rsidRPr="00F428F6">
        <w:rPr>
          <w:rFonts w:ascii="Times New Roman" w:hAnsi="Times New Roman" w:cs="Times New Roman"/>
        </w:rPr>
        <w:t>. notamment Fl. GEORGE et X. THUN</w:t>
      </w:r>
      <w:r w:rsidR="00240C0A" w:rsidRPr="00F428F6">
        <w:rPr>
          <w:rFonts w:ascii="Times New Roman" w:hAnsi="Times New Roman" w:cs="Times New Roman"/>
        </w:rPr>
        <w:t>I</w:t>
      </w:r>
      <w:r w:rsidRPr="00F428F6">
        <w:rPr>
          <w:rFonts w:ascii="Times New Roman" w:hAnsi="Times New Roman" w:cs="Times New Roman"/>
        </w:rPr>
        <w:t xml:space="preserve">S, </w:t>
      </w:r>
      <w:r w:rsidR="00240C0A" w:rsidRPr="00F428F6">
        <w:rPr>
          <w:rFonts w:ascii="Times New Roman" w:hAnsi="Times New Roman" w:cs="Times New Roman"/>
        </w:rPr>
        <w:t>« </w:t>
      </w:r>
      <w:r w:rsidRPr="00F428F6">
        <w:rPr>
          <w:rFonts w:ascii="Times New Roman" w:hAnsi="Times New Roman" w:cs="Times New Roman"/>
        </w:rPr>
        <w:t xml:space="preserve">La subrogation : un mécanisme hybride, une institution polymorphe », </w:t>
      </w:r>
      <w:r w:rsidRPr="00F428F6">
        <w:rPr>
          <w:rFonts w:ascii="Times New Roman" w:hAnsi="Times New Roman" w:cs="Times New Roman"/>
          <w:i/>
          <w:iCs/>
        </w:rPr>
        <w:t>op.cit</w:t>
      </w:r>
      <w:r w:rsidRPr="00F428F6">
        <w:rPr>
          <w:rFonts w:ascii="Times New Roman" w:hAnsi="Times New Roman" w:cs="Times New Roman"/>
        </w:rPr>
        <w:t xml:space="preserve">., pp. 34 et s. </w:t>
      </w:r>
    </w:p>
  </w:footnote>
  <w:footnote w:id="59">
    <w:p w14:paraId="08077EFA" w14:textId="792364BC" w:rsidR="003B6F29" w:rsidRPr="00F428F6" w:rsidRDefault="003B6F29" w:rsidP="00F428F6">
      <w:pPr>
        <w:pStyle w:val="Notedebasdepage"/>
        <w:jc w:val="both"/>
        <w:rPr>
          <w:rFonts w:ascii="Times New Roman" w:hAnsi="Times New Roman" w:cs="Times New Roman"/>
          <w:lang w:val="fr-FR"/>
        </w:rPr>
      </w:pPr>
      <w:r w:rsidRPr="00F428F6">
        <w:rPr>
          <w:rStyle w:val="Appelnotedebasdep"/>
          <w:rFonts w:ascii="Times New Roman" w:hAnsi="Times New Roman" w:cs="Times New Roman"/>
        </w:rPr>
        <w:footnoteRef/>
      </w:r>
      <w:r w:rsidRPr="00F428F6">
        <w:rPr>
          <w:rFonts w:ascii="Times New Roman" w:hAnsi="Times New Roman" w:cs="Times New Roman"/>
        </w:rPr>
        <w:t xml:space="preserve"> </w:t>
      </w:r>
      <w:r w:rsidRPr="00F428F6">
        <w:rPr>
          <w:rFonts w:ascii="Times New Roman" w:hAnsi="Times New Roman" w:cs="Times New Roman"/>
          <w:lang w:val="fr-FR"/>
        </w:rPr>
        <w:t xml:space="preserve">Dans l’hypothèse d’une immobilisation par incorporation dès lors que l’immobilisation par destination suppose que l’immeuble et le meuble soient la propriété de la même personne (P. LECOCQ, </w:t>
      </w:r>
      <w:r w:rsidRPr="00F428F6">
        <w:rPr>
          <w:rFonts w:ascii="Times New Roman" w:hAnsi="Times New Roman" w:cs="Times New Roman"/>
          <w:i/>
          <w:iCs/>
          <w:lang w:val="fr-FR"/>
        </w:rPr>
        <w:t>Manuel de droit des biens</w:t>
      </w:r>
      <w:r w:rsidRPr="00F428F6">
        <w:rPr>
          <w:rFonts w:ascii="Times New Roman" w:hAnsi="Times New Roman" w:cs="Times New Roman"/>
          <w:lang w:val="fr-FR"/>
        </w:rPr>
        <w:t>, t. 1</w:t>
      </w:r>
      <w:r w:rsidR="00240C0A" w:rsidRPr="00F428F6">
        <w:rPr>
          <w:rFonts w:ascii="Times New Roman" w:hAnsi="Times New Roman" w:cs="Times New Roman"/>
          <w:lang w:val="fr-FR"/>
        </w:rPr>
        <w:t xml:space="preserve"> : </w:t>
      </w:r>
      <w:r w:rsidRPr="00F428F6">
        <w:rPr>
          <w:rFonts w:ascii="Times New Roman" w:hAnsi="Times New Roman" w:cs="Times New Roman"/>
          <w:i/>
          <w:iCs/>
          <w:lang w:val="fr-FR"/>
        </w:rPr>
        <w:t>Biens et propriété</w:t>
      </w:r>
      <w:r w:rsidRPr="00F428F6">
        <w:rPr>
          <w:rFonts w:ascii="Times New Roman" w:hAnsi="Times New Roman" w:cs="Times New Roman"/>
          <w:lang w:val="fr-FR"/>
        </w:rPr>
        <w:t>, Bruxelles, Larcier, 2012, p. 69). Le constat n’a pas changé depuis l’entrée en vigueur du livre 3 du Code civil</w:t>
      </w:r>
      <w:r w:rsidR="00240C0A" w:rsidRPr="00F428F6">
        <w:rPr>
          <w:rFonts w:ascii="Times New Roman" w:hAnsi="Times New Roman" w:cs="Times New Roman"/>
          <w:lang w:val="fr-FR"/>
        </w:rPr>
        <w:t xml:space="preserve"> (C. ROUSSIEAU, « Titre 2. Classifications des biens », in P. LECOCQ et al. (</w:t>
      </w:r>
      <w:proofErr w:type="spellStart"/>
      <w:r w:rsidR="00240C0A" w:rsidRPr="00F428F6">
        <w:rPr>
          <w:rFonts w:ascii="Times New Roman" w:hAnsi="Times New Roman" w:cs="Times New Roman"/>
          <w:lang w:val="fr-FR"/>
        </w:rPr>
        <w:t>dir</w:t>
      </w:r>
      <w:proofErr w:type="spellEnd"/>
      <w:r w:rsidR="00240C0A" w:rsidRPr="00F428F6">
        <w:rPr>
          <w:rFonts w:ascii="Times New Roman" w:hAnsi="Times New Roman" w:cs="Times New Roman"/>
          <w:lang w:val="fr-FR"/>
        </w:rPr>
        <w:t xml:space="preserve">.), </w:t>
      </w:r>
      <w:r w:rsidR="00240C0A" w:rsidRPr="00F428F6">
        <w:rPr>
          <w:rFonts w:ascii="Times New Roman" w:hAnsi="Times New Roman" w:cs="Times New Roman"/>
          <w:i/>
          <w:iCs/>
          <w:lang w:val="fr-FR"/>
        </w:rPr>
        <w:t>Le nouveau droit des biens</w:t>
      </w:r>
      <w:r w:rsidR="00240C0A" w:rsidRPr="00F428F6">
        <w:rPr>
          <w:rFonts w:ascii="Times New Roman" w:hAnsi="Times New Roman" w:cs="Times New Roman"/>
          <w:lang w:val="fr-FR"/>
        </w:rPr>
        <w:t xml:space="preserve">, Larcier, </w:t>
      </w:r>
      <w:r w:rsidR="008926C4" w:rsidRPr="00F428F6">
        <w:rPr>
          <w:rFonts w:ascii="Times New Roman" w:hAnsi="Times New Roman" w:cs="Times New Roman"/>
          <w:lang w:val="fr-FR"/>
        </w:rPr>
        <w:t xml:space="preserve">2021, </w:t>
      </w:r>
      <w:r w:rsidR="00240C0A" w:rsidRPr="00F428F6">
        <w:rPr>
          <w:rFonts w:ascii="Times New Roman" w:hAnsi="Times New Roman" w:cs="Times New Roman"/>
          <w:lang w:val="fr-FR"/>
        </w:rPr>
        <w:t>p. 81</w:t>
      </w:r>
      <w:r w:rsidR="008926C4" w:rsidRPr="00F428F6">
        <w:rPr>
          <w:rFonts w:ascii="Times New Roman" w:hAnsi="Times New Roman" w:cs="Times New Roman"/>
          <w:lang w:val="fr-FR"/>
        </w:rPr>
        <w:t xml:space="preserve">). </w:t>
      </w:r>
    </w:p>
  </w:footnote>
  <w:footnote w:id="60">
    <w:p w14:paraId="552DD919" w14:textId="1F9799F9" w:rsidR="00350CDE" w:rsidRPr="00F428F6" w:rsidRDefault="00350CDE" w:rsidP="00F428F6">
      <w:pPr>
        <w:pStyle w:val="Notedebasdepage"/>
        <w:jc w:val="both"/>
        <w:rPr>
          <w:rFonts w:ascii="Times New Roman" w:hAnsi="Times New Roman" w:cs="Times New Roman"/>
        </w:rPr>
      </w:pPr>
      <w:r w:rsidRPr="00F428F6">
        <w:rPr>
          <w:rStyle w:val="Appelnotedebasdep"/>
          <w:rFonts w:ascii="Times New Roman" w:hAnsi="Times New Roman" w:cs="Times New Roman"/>
        </w:rPr>
        <w:footnoteRef/>
      </w:r>
      <w:r w:rsidRPr="00CB4520">
        <w:rPr>
          <w:rFonts w:ascii="Times New Roman" w:hAnsi="Times New Roman" w:cs="Times New Roman"/>
          <w:lang w:val="nl-BE"/>
        </w:rPr>
        <w:t xml:space="preserve"> M. THIELENS, « Rol </w:t>
      </w:r>
      <w:r w:rsidR="003B6F29" w:rsidRPr="00CB4520">
        <w:rPr>
          <w:rFonts w:ascii="Times New Roman" w:hAnsi="Times New Roman" w:cs="Times New Roman"/>
          <w:lang w:val="nl-BE"/>
        </w:rPr>
        <w:t>van</w:t>
      </w:r>
      <w:r w:rsidRPr="00CB4520">
        <w:rPr>
          <w:rFonts w:ascii="Times New Roman" w:hAnsi="Times New Roman" w:cs="Times New Roman"/>
          <w:lang w:val="nl-BE"/>
        </w:rPr>
        <w:t xml:space="preserve"> het eigendomsvoorbehoud in faillissementen. Het eigendomsvoorbehoud is dood, lang leven het eigendomsvoorbehoud”, </w:t>
      </w:r>
      <w:r w:rsidRPr="00CB4520">
        <w:rPr>
          <w:rFonts w:ascii="Times New Roman" w:hAnsi="Times New Roman" w:cs="Times New Roman"/>
          <w:i/>
          <w:iCs/>
          <w:lang w:val="nl-BE"/>
        </w:rPr>
        <w:t>Jura. Falc</w:t>
      </w:r>
      <w:r w:rsidRPr="00CB4520">
        <w:rPr>
          <w:rFonts w:ascii="Times New Roman" w:hAnsi="Times New Roman" w:cs="Times New Roman"/>
          <w:lang w:val="nl-BE"/>
        </w:rPr>
        <w:t xml:space="preserve">., 2016, p. 239 ; en ce sens : Doc. </w:t>
      </w:r>
      <w:proofErr w:type="spellStart"/>
      <w:r w:rsidRPr="00F428F6">
        <w:rPr>
          <w:rFonts w:ascii="Times New Roman" w:hAnsi="Times New Roman" w:cs="Times New Roman"/>
        </w:rPr>
        <w:t>Parl</w:t>
      </w:r>
      <w:proofErr w:type="spellEnd"/>
      <w:r w:rsidRPr="00F428F6">
        <w:rPr>
          <w:rFonts w:ascii="Times New Roman" w:hAnsi="Times New Roman" w:cs="Times New Roman"/>
        </w:rPr>
        <w:t xml:space="preserve">. Ch. </w:t>
      </w:r>
      <w:proofErr w:type="spellStart"/>
      <w:r w:rsidRPr="00F428F6">
        <w:rPr>
          <w:rFonts w:ascii="Times New Roman" w:hAnsi="Times New Roman" w:cs="Times New Roman"/>
        </w:rPr>
        <w:t>Repr</w:t>
      </w:r>
      <w:proofErr w:type="spellEnd"/>
      <w:r w:rsidRPr="00F428F6">
        <w:rPr>
          <w:rFonts w:ascii="Times New Roman" w:hAnsi="Times New Roman" w:cs="Times New Roman"/>
        </w:rPr>
        <w:t>., 2012-2013, n°53-2463/1, p. 31, qui se réfèrent au dépôt de la facture du vendeur impayé au greffe, qui n’existe pourtant plus. Selon C. STANDAERT et E. VANHOVE, « </w:t>
      </w:r>
      <w:r w:rsidRPr="00F428F6">
        <w:rPr>
          <w:rFonts w:ascii="Times New Roman" w:hAnsi="Times New Roman" w:cs="Times New Roman"/>
          <w:i/>
          <w:iCs/>
        </w:rPr>
        <w:t>en cas de conflit avec un autre créancier, par exemple hypothécaire, le créancier réservataire sera préféré. Il faut toutefois que la clause ait été enregistrée dans le registre des gages, au plus tard au moment de l’immobilisation</w:t>
      </w:r>
      <w:r w:rsidRPr="00F428F6">
        <w:rPr>
          <w:rFonts w:ascii="Times New Roman" w:hAnsi="Times New Roman" w:cs="Times New Roman"/>
        </w:rPr>
        <w:t xml:space="preserve"> » (C. STANDAERT et E. VANHOVE, « Sûretés réelles mobilières : rappel des principes et jurisprudence », </w:t>
      </w:r>
      <w:r w:rsidR="008926C4" w:rsidRPr="00F428F6">
        <w:rPr>
          <w:rFonts w:ascii="Times New Roman" w:hAnsi="Times New Roman" w:cs="Times New Roman"/>
          <w:i/>
          <w:iCs/>
        </w:rPr>
        <w:t>op.cit</w:t>
      </w:r>
      <w:r w:rsidR="008926C4" w:rsidRPr="00F428F6">
        <w:rPr>
          <w:rFonts w:ascii="Times New Roman" w:hAnsi="Times New Roman" w:cs="Times New Roman"/>
        </w:rPr>
        <w:t xml:space="preserve">., pp. 7 et s.). </w:t>
      </w:r>
    </w:p>
  </w:footnote>
  <w:footnote w:id="61">
    <w:p w14:paraId="63D968EB" w14:textId="52C959F8" w:rsidR="00640238" w:rsidRPr="00CB4520" w:rsidRDefault="00640238" w:rsidP="00F428F6">
      <w:pPr>
        <w:pStyle w:val="Notedebasdepage"/>
        <w:jc w:val="both"/>
        <w:rPr>
          <w:rFonts w:ascii="Times New Roman" w:hAnsi="Times New Roman" w:cs="Times New Roman"/>
          <w:lang w:val="nl-BE"/>
        </w:rPr>
      </w:pPr>
      <w:r w:rsidRPr="00F428F6">
        <w:rPr>
          <w:rStyle w:val="Appelnotedebasdep"/>
          <w:rFonts w:ascii="Times New Roman" w:hAnsi="Times New Roman" w:cs="Times New Roman"/>
        </w:rPr>
        <w:footnoteRef/>
      </w:r>
      <w:r w:rsidRPr="00CB4520">
        <w:rPr>
          <w:rFonts w:ascii="Times New Roman" w:hAnsi="Times New Roman" w:cs="Times New Roman"/>
          <w:lang w:val="nl-BE"/>
        </w:rPr>
        <w:t xml:space="preserve"> C. ENGELS, « De pandwet en de notariële praktijk », </w:t>
      </w:r>
      <w:r w:rsidRPr="00CB4520">
        <w:rPr>
          <w:rFonts w:ascii="Times New Roman" w:hAnsi="Times New Roman" w:cs="Times New Roman"/>
          <w:i/>
          <w:iCs/>
          <w:lang w:val="nl-BE"/>
        </w:rPr>
        <w:t>T. Not</w:t>
      </w:r>
      <w:r w:rsidRPr="00CB4520">
        <w:rPr>
          <w:rFonts w:ascii="Times New Roman" w:hAnsi="Times New Roman" w:cs="Times New Roman"/>
          <w:lang w:val="nl-BE"/>
        </w:rPr>
        <w:t xml:space="preserve">., 2018, p. 730. </w:t>
      </w:r>
    </w:p>
  </w:footnote>
  <w:footnote w:id="62">
    <w:p w14:paraId="47A40A2C" w14:textId="624534E1" w:rsidR="00640238" w:rsidRPr="00F428F6" w:rsidRDefault="00640238" w:rsidP="00F428F6">
      <w:pPr>
        <w:pStyle w:val="Notedebasdepage"/>
        <w:jc w:val="both"/>
        <w:rPr>
          <w:rFonts w:ascii="Times New Roman" w:hAnsi="Times New Roman" w:cs="Times New Roman"/>
        </w:rPr>
      </w:pPr>
      <w:r w:rsidRPr="00F428F6">
        <w:rPr>
          <w:rStyle w:val="Appelnotedebasdep"/>
          <w:rFonts w:ascii="Times New Roman" w:hAnsi="Times New Roman" w:cs="Times New Roman"/>
        </w:rPr>
        <w:footnoteRef/>
      </w:r>
      <w:r w:rsidRPr="00F428F6">
        <w:rPr>
          <w:rFonts w:ascii="Times New Roman" w:hAnsi="Times New Roman" w:cs="Times New Roman"/>
        </w:rPr>
        <w:t xml:space="preserve"> Sous l’optique d’un enregistrement de la clause permis postérieurement à l’immobilisation du bien grevé de la sûreté, </w:t>
      </w:r>
      <w:r w:rsidR="003B6F29" w:rsidRPr="00F428F6">
        <w:rPr>
          <w:rFonts w:ascii="Times New Roman" w:hAnsi="Times New Roman" w:cs="Times New Roman"/>
        </w:rPr>
        <w:t>contrairement à ce qu</w:t>
      </w:r>
      <w:r w:rsidR="008926C4" w:rsidRPr="00F428F6">
        <w:rPr>
          <w:rFonts w:ascii="Times New Roman" w:hAnsi="Times New Roman" w:cs="Times New Roman"/>
        </w:rPr>
        <w:t>’</w:t>
      </w:r>
      <w:r w:rsidR="00521316" w:rsidRPr="00F428F6">
        <w:rPr>
          <w:rFonts w:ascii="Times New Roman" w:hAnsi="Times New Roman" w:cs="Times New Roman"/>
        </w:rPr>
        <w:t>a décidé</w:t>
      </w:r>
      <w:r w:rsidR="003B6F29" w:rsidRPr="00F428F6">
        <w:rPr>
          <w:rFonts w:ascii="Times New Roman" w:hAnsi="Times New Roman" w:cs="Times New Roman"/>
        </w:rPr>
        <w:t xml:space="preserve"> le tribunal civil de Flandre orientale dans une décision du 12 juillet 2019 quelque peu particulière (</w:t>
      </w:r>
      <w:proofErr w:type="spellStart"/>
      <w:r w:rsidR="003B6F29" w:rsidRPr="00F428F6">
        <w:rPr>
          <w:rFonts w:ascii="Times New Roman" w:hAnsi="Times New Roman" w:cs="Times New Roman"/>
        </w:rPr>
        <w:t>Civ</w:t>
      </w:r>
      <w:proofErr w:type="spellEnd"/>
      <w:r w:rsidR="003B6F29" w:rsidRPr="00F428F6">
        <w:rPr>
          <w:rFonts w:ascii="Times New Roman" w:hAnsi="Times New Roman" w:cs="Times New Roman"/>
        </w:rPr>
        <w:t xml:space="preserve">. Flandre orientale, 12 juillet 2019, </w:t>
      </w:r>
      <w:r w:rsidR="003B6F29" w:rsidRPr="00F428F6">
        <w:rPr>
          <w:rFonts w:ascii="Times New Roman" w:hAnsi="Times New Roman" w:cs="Times New Roman"/>
          <w:i/>
          <w:iCs/>
        </w:rPr>
        <w:t>T.I.B.R</w:t>
      </w:r>
      <w:r w:rsidR="003B6F29" w:rsidRPr="00F428F6">
        <w:rPr>
          <w:rFonts w:ascii="Times New Roman" w:hAnsi="Times New Roman" w:cs="Times New Roman"/>
        </w:rPr>
        <w:t>., 2019, p. 69</w:t>
      </w:r>
      <w:r w:rsidR="008926C4" w:rsidRPr="00F428F6">
        <w:rPr>
          <w:rFonts w:ascii="Times New Roman" w:hAnsi="Times New Roman" w:cs="Times New Roman"/>
        </w:rPr>
        <w:t xml:space="preserve">). </w:t>
      </w:r>
    </w:p>
  </w:footnote>
  <w:footnote w:id="63">
    <w:p w14:paraId="69B08817" w14:textId="69590E70" w:rsidR="00640238" w:rsidRPr="00F428F6" w:rsidRDefault="00640238" w:rsidP="00F428F6">
      <w:pPr>
        <w:pStyle w:val="Notedebasdepage"/>
        <w:jc w:val="both"/>
        <w:rPr>
          <w:rFonts w:ascii="Times New Roman" w:hAnsi="Times New Roman" w:cs="Times New Roman"/>
        </w:rPr>
      </w:pPr>
      <w:r w:rsidRPr="00F428F6">
        <w:rPr>
          <w:rStyle w:val="Appelnotedebasdep"/>
          <w:rFonts w:ascii="Times New Roman" w:hAnsi="Times New Roman" w:cs="Times New Roman"/>
        </w:rPr>
        <w:footnoteRef/>
      </w:r>
      <w:r w:rsidRPr="00F428F6">
        <w:rPr>
          <w:rFonts w:ascii="Times New Roman" w:hAnsi="Times New Roman" w:cs="Times New Roman"/>
        </w:rPr>
        <w:t xml:space="preserve"> V. FABRY, « Quel rang pour le créancier réservataire ? Le point sur les controverses à la suite de la réforme des sûretés mobilières », </w:t>
      </w:r>
      <w:r w:rsidR="00FF0D96" w:rsidRPr="00F428F6">
        <w:rPr>
          <w:rFonts w:ascii="Times New Roman" w:hAnsi="Times New Roman" w:cs="Times New Roman"/>
        </w:rPr>
        <w:t xml:space="preserve">in </w:t>
      </w:r>
      <w:r w:rsidR="00FF0D96" w:rsidRPr="00F428F6">
        <w:rPr>
          <w:rFonts w:ascii="Times New Roman" w:hAnsi="Times New Roman" w:cs="Times New Roman"/>
          <w:i/>
          <w:iCs/>
        </w:rPr>
        <w:t>Privilèges et hypothèques</w:t>
      </w:r>
      <w:r w:rsidR="00FF0D96" w:rsidRPr="00F428F6">
        <w:rPr>
          <w:rFonts w:ascii="Times New Roman" w:hAnsi="Times New Roman" w:cs="Times New Roman"/>
        </w:rPr>
        <w:t xml:space="preserve">, Wolters Kluwer, </w:t>
      </w:r>
      <w:proofErr w:type="spellStart"/>
      <w:r w:rsidR="008926C4" w:rsidRPr="00F428F6">
        <w:rPr>
          <w:rFonts w:ascii="Times New Roman" w:hAnsi="Times New Roman" w:cs="Times New Roman"/>
        </w:rPr>
        <w:t>feuill.mob.suppl</w:t>
      </w:r>
      <w:proofErr w:type="spellEnd"/>
      <w:r w:rsidR="008926C4" w:rsidRPr="00F428F6">
        <w:rPr>
          <w:rFonts w:ascii="Times New Roman" w:hAnsi="Times New Roman" w:cs="Times New Roman"/>
        </w:rPr>
        <w:t xml:space="preserve">. </w:t>
      </w:r>
      <w:r w:rsidR="00FF0D96" w:rsidRPr="00F428F6">
        <w:rPr>
          <w:rFonts w:ascii="Times New Roman" w:hAnsi="Times New Roman" w:cs="Times New Roman"/>
        </w:rPr>
        <w:t xml:space="preserve">2023, p. 89. </w:t>
      </w:r>
      <w:proofErr w:type="spellStart"/>
      <w:r w:rsidR="00FF0D96" w:rsidRPr="00F428F6">
        <w:rPr>
          <w:rFonts w:ascii="Times New Roman" w:hAnsi="Times New Roman" w:cs="Times New Roman"/>
        </w:rPr>
        <w:t>Voy</w:t>
      </w:r>
      <w:proofErr w:type="spellEnd"/>
      <w:r w:rsidR="00FF0D96" w:rsidRPr="00F428F6">
        <w:rPr>
          <w:rFonts w:ascii="Times New Roman" w:hAnsi="Times New Roman" w:cs="Times New Roman"/>
        </w:rPr>
        <w:t xml:space="preserve">. encore, du même auteur : « La propriété réservée : la reine des sûretés ? De quelques conflits de rang </w:t>
      </w:r>
      <w:r w:rsidR="00814E1B" w:rsidRPr="00F428F6">
        <w:rPr>
          <w:rFonts w:ascii="Times New Roman" w:hAnsi="Times New Roman" w:cs="Times New Roman"/>
        </w:rPr>
        <w:t xml:space="preserve">avec le créancier réservataire », </w:t>
      </w:r>
      <w:proofErr w:type="spellStart"/>
      <w:r w:rsidR="00814E1B" w:rsidRPr="00F428F6">
        <w:rPr>
          <w:rFonts w:ascii="Times New Roman" w:hAnsi="Times New Roman" w:cs="Times New Roman"/>
          <w:i/>
          <w:iCs/>
        </w:rPr>
        <w:t>Rev</w:t>
      </w:r>
      <w:proofErr w:type="spellEnd"/>
      <w:r w:rsidR="00814E1B" w:rsidRPr="00F428F6">
        <w:rPr>
          <w:rFonts w:ascii="Times New Roman" w:hAnsi="Times New Roman" w:cs="Times New Roman"/>
          <w:i/>
          <w:iCs/>
        </w:rPr>
        <w:t xml:space="preserve">. Fac. Dr. </w:t>
      </w:r>
      <w:proofErr w:type="spellStart"/>
      <w:r w:rsidR="00814E1B" w:rsidRPr="00F428F6">
        <w:rPr>
          <w:rFonts w:ascii="Times New Roman" w:hAnsi="Times New Roman" w:cs="Times New Roman"/>
          <w:i/>
          <w:iCs/>
        </w:rPr>
        <w:t>ULiège</w:t>
      </w:r>
      <w:proofErr w:type="spellEnd"/>
      <w:r w:rsidR="00814E1B" w:rsidRPr="00F428F6">
        <w:rPr>
          <w:rFonts w:ascii="Times New Roman" w:hAnsi="Times New Roman" w:cs="Times New Roman"/>
        </w:rPr>
        <w:t xml:space="preserve">, 2022, pp. 33 et s. Pour un aperçu de la jurisprudence </w:t>
      </w:r>
      <w:r w:rsidR="008926C4" w:rsidRPr="00F428F6">
        <w:rPr>
          <w:rFonts w:ascii="Times New Roman" w:hAnsi="Times New Roman" w:cs="Times New Roman"/>
        </w:rPr>
        <w:t>relative à</w:t>
      </w:r>
      <w:r w:rsidR="00814E1B" w:rsidRPr="00F428F6">
        <w:rPr>
          <w:rFonts w:ascii="Times New Roman" w:hAnsi="Times New Roman" w:cs="Times New Roman"/>
        </w:rPr>
        <w:t xml:space="preserve"> cette sûre</w:t>
      </w:r>
      <w:r w:rsidR="008926C4" w:rsidRPr="00F428F6">
        <w:rPr>
          <w:rFonts w:ascii="Times New Roman" w:hAnsi="Times New Roman" w:cs="Times New Roman"/>
        </w:rPr>
        <w:t>té</w:t>
      </w:r>
      <w:r w:rsidR="00814E1B" w:rsidRPr="00F428F6">
        <w:rPr>
          <w:rFonts w:ascii="Times New Roman" w:hAnsi="Times New Roman" w:cs="Times New Roman"/>
        </w:rPr>
        <w:t xml:space="preserve">, </w:t>
      </w:r>
      <w:proofErr w:type="spellStart"/>
      <w:r w:rsidR="00814E1B" w:rsidRPr="00F428F6">
        <w:rPr>
          <w:rFonts w:ascii="Times New Roman" w:hAnsi="Times New Roman" w:cs="Times New Roman"/>
        </w:rPr>
        <w:t>voy</w:t>
      </w:r>
      <w:proofErr w:type="spellEnd"/>
      <w:r w:rsidR="00814E1B" w:rsidRPr="00F428F6">
        <w:rPr>
          <w:rFonts w:ascii="Times New Roman" w:hAnsi="Times New Roman" w:cs="Times New Roman"/>
        </w:rPr>
        <w:t>. de façon générale : J. BOILEAU, Fr. GEORGES, M. MOREAUX et M. PASSANISI, « Développements jurisprudentiels récents en matière de garanties de paiement »</w:t>
      </w:r>
      <w:r w:rsidR="008926C4" w:rsidRPr="00F428F6">
        <w:rPr>
          <w:rFonts w:ascii="Times New Roman" w:hAnsi="Times New Roman" w:cs="Times New Roman"/>
        </w:rPr>
        <w:t xml:space="preserve">, </w:t>
      </w:r>
      <w:r w:rsidR="008926C4" w:rsidRPr="00F428F6">
        <w:rPr>
          <w:rFonts w:ascii="Times New Roman" w:hAnsi="Times New Roman" w:cs="Times New Roman"/>
          <w:i/>
          <w:iCs/>
        </w:rPr>
        <w:t>op.cit</w:t>
      </w:r>
      <w:r w:rsidR="008926C4" w:rsidRPr="00F428F6">
        <w:rPr>
          <w:rFonts w:ascii="Times New Roman" w:hAnsi="Times New Roman" w:cs="Times New Roman"/>
        </w:rPr>
        <w:t xml:space="preserve">., pp. 324 et s. ainsi que </w:t>
      </w:r>
      <w:r w:rsidR="00814E1B" w:rsidRPr="00F428F6">
        <w:rPr>
          <w:rFonts w:ascii="Times New Roman" w:hAnsi="Times New Roman" w:cs="Times New Roman"/>
        </w:rPr>
        <w:t xml:space="preserve">C. STANDAERT et E. VANHOVE, « Suretés réelles mobilières : rappel des principes et jurisprudence », </w:t>
      </w:r>
      <w:r w:rsidR="00814E1B" w:rsidRPr="00F428F6">
        <w:rPr>
          <w:rFonts w:ascii="Times New Roman" w:hAnsi="Times New Roman" w:cs="Times New Roman"/>
          <w:i/>
          <w:iCs/>
        </w:rPr>
        <w:t>op.cit</w:t>
      </w:r>
      <w:r w:rsidR="00814E1B" w:rsidRPr="00F428F6">
        <w:rPr>
          <w:rFonts w:ascii="Times New Roman" w:hAnsi="Times New Roman" w:cs="Times New Roman"/>
        </w:rPr>
        <w:t xml:space="preserve">., pp. 33 et s. </w:t>
      </w:r>
      <w:proofErr w:type="spellStart"/>
      <w:r w:rsidRPr="00F428F6">
        <w:rPr>
          <w:rFonts w:ascii="Times New Roman" w:hAnsi="Times New Roman" w:cs="Times New Roman"/>
        </w:rPr>
        <w:t>Voy</w:t>
      </w:r>
      <w:proofErr w:type="spellEnd"/>
      <w:r w:rsidRPr="00F428F6">
        <w:rPr>
          <w:rFonts w:ascii="Times New Roman" w:hAnsi="Times New Roman" w:cs="Times New Roman"/>
        </w:rPr>
        <w:t xml:space="preserve">. encore, sur l’immobilisation du bien réservé : E. VANHOVE, « La clause de réserve de propriété dans le livre 3 du Code civil », in </w:t>
      </w:r>
      <w:r w:rsidRPr="00F428F6">
        <w:rPr>
          <w:rFonts w:ascii="Times New Roman" w:hAnsi="Times New Roman" w:cs="Times New Roman"/>
          <w:i/>
          <w:iCs/>
        </w:rPr>
        <w:t>Privilèges et hypothèques</w:t>
      </w:r>
      <w:r w:rsidRPr="00F428F6">
        <w:rPr>
          <w:rFonts w:ascii="Times New Roman" w:hAnsi="Times New Roman" w:cs="Times New Roman"/>
        </w:rPr>
        <w:t xml:space="preserve">, Wolters Kluwer, </w:t>
      </w:r>
      <w:proofErr w:type="spellStart"/>
      <w:r w:rsidR="008926C4" w:rsidRPr="00F428F6">
        <w:rPr>
          <w:rFonts w:ascii="Times New Roman" w:hAnsi="Times New Roman" w:cs="Times New Roman"/>
        </w:rPr>
        <w:t>feuill.mob.suppl</w:t>
      </w:r>
      <w:proofErr w:type="spellEnd"/>
      <w:r w:rsidR="008926C4" w:rsidRPr="00F428F6">
        <w:rPr>
          <w:rFonts w:ascii="Times New Roman" w:hAnsi="Times New Roman" w:cs="Times New Roman"/>
        </w:rPr>
        <w:t xml:space="preserve">. </w:t>
      </w:r>
      <w:r w:rsidRPr="00F428F6">
        <w:rPr>
          <w:rFonts w:ascii="Times New Roman" w:hAnsi="Times New Roman" w:cs="Times New Roman"/>
        </w:rPr>
        <w:t xml:space="preserve">2023, pp. 55 et s. </w:t>
      </w:r>
    </w:p>
  </w:footnote>
  <w:footnote w:id="64">
    <w:p w14:paraId="2B1483DD" w14:textId="74C58CF6" w:rsidR="00DA26AD" w:rsidRPr="00F428F6" w:rsidRDefault="00DA26AD" w:rsidP="00F428F6">
      <w:pPr>
        <w:pStyle w:val="Notedebasdepage"/>
        <w:jc w:val="both"/>
        <w:rPr>
          <w:rFonts w:ascii="Times New Roman" w:hAnsi="Times New Roman" w:cs="Times New Roman"/>
        </w:rPr>
      </w:pPr>
      <w:r w:rsidRPr="00F428F6">
        <w:rPr>
          <w:rStyle w:val="Appelnotedebasdep"/>
          <w:rFonts w:ascii="Times New Roman" w:hAnsi="Times New Roman" w:cs="Times New Roman"/>
        </w:rPr>
        <w:footnoteRef/>
      </w:r>
      <w:r w:rsidRPr="00F428F6">
        <w:rPr>
          <w:rFonts w:ascii="Times New Roman" w:hAnsi="Times New Roman" w:cs="Times New Roman"/>
        </w:rPr>
        <w:t xml:space="preserve"> Sur l’hypothèque légale du </w:t>
      </w:r>
      <w:r w:rsidR="00521316" w:rsidRPr="00F428F6">
        <w:rPr>
          <w:rFonts w:ascii="Times New Roman" w:hAnsi="Times New Roman" w:cs="Times New Roman"/>
        </w:rPr>
        <w:t>T</w:t>
      </w:r>
      <w:r w:rsidRPr="00F428F6">
        <w:rPr>
          <w:rFonts w:ascii="Times New Roman" w:hAnsi="Times New Roman" w:cs="Times New Roman"/>
        </w:rPr>
        <w:t xml:space="preserve">résor et, de façon plus générale, sur le recouvrement des créances fiscales et non fiscales, </w:t>
      </w:r>
      <w:proofErr w:type="spellStart"/>
      <w:r w:rsidRPr="00F428F6">
        <w:rPr>
          <w:rFonts w:ascii="Times New Roman" w:hAnsi="Times New Roman" w:cs="Times New Roman"/>
        </w:rPr>
        <w:t>voy</w:t>
      </w:r>
      <w:proofErr w:type="spellEnd"/>
      <w:r w:rsidRPr="00F428F6">
        <w:rPr>
          <w:rFonts w:ascii="Times New Roman" w:hAnsi="Times New Roman" w:cs="Times New Roman"/>
        </w:rPr>
        <w:t xml:space="preserve">. N. PIROTTE et T. LAUWERS, </w:t>
      </w:r>
      <w:r w:rsidRPr="00F428F6">
        <w:rPr>
          <w:rFonts w:ascii="Times New Roman" w:hAnsi="Times New Roman" w:cs="Times New Roman"/>
          <w:i/>
          <w:iCs/>
        </w:rPr>
        <w:t>Le Code du recouvrement amiable et forcé des créances fiscales et non fiscales. Premier commentaire et droit comparé dans les trois Régions</w:t>
      </w:r>
      <w:r w:rsidRPr="00F428F6">
        <w:rPr>
          <w:rFonts w:ascii="Times New Roman" w:hAnsi="Times New Roman" w:cs="Times New Roman"/>
        </w:rPr>
        <w:t xml:space="preserve">, Larcier, 2020, </w:t>
      </w:r>
      <w:proofErr w:type="spellStart"/>
      <w:r w:rsidRPr="00F428F6">
        <w:rPr>
          <w:rFonts w:ascii="Times New Roman" w:hAnsi="Times New Roman" w:cs="Times New Roman"/>
        </w:rPr>
        <w:t>spéc</w:t>
      </w:r>
      <w:proofErr w:type="spellEnd"/>
      <w:r w:rsidRPr="00F428F6">
        <w:rPr>
          <w:rFonts w:ascii="Times New Roman" w:hAnsi="Times New Roman" w:cs="Times New Roman"/>
        </w:rPr>
        <w:t xml:space="preserve">. pp. 151 et s. </w:t>
      </w:r>
      <w:proofErr w:type="spellStart"/>
      <w:r w:rsidR="00A3542A" w:rsidRPr="00F428F6">
        <w:rPr>
          <w:rFonts w:ascii="Times New Roman" w:hAnsi="Times New Roman" w:cs="Times New Roman"/>
        </w:rPr>
        <w:t>Voy</w:t>
      </w:r>
      <w:proofErr w:type="spellEnd"/>
      <w:r w:rsidR="00A3542A" w:rsidRPr="00F428F6">
        <w:rPr>
          <w:rFonts w:ascii="Times New Roman" w:hAnsi="Times New Roman" w:cs="Times New Roman"/>
        </w:rPr>
        <w:t xml:space="preserve">. encore, B. VAN VLIERDEN, C. VAN HOUTE et S. GATSOS, « Recouvrement des dettes fiscales fédérales », in </w:t>
      </w:r>
      <w:r w:rsidR="00A3542A" w:rsidRPr="00F428F6">
        <w:rPr>
          <w:rFonts w:ascii="Times New Roman" w:hAnsi="Times New Roman" w:cs="Times New Roman"/>
          <w:i/>
          <w:iCs/>
        </w:rPr>
        <w:t>Tiberghien – Manuel de droit fiscal,</w:t>
      </w:r>
      <w:r w:rsidR="00A3542A" w:rsidRPr="00F428F6">
        <w:rPr>
          <w:rFonts w:ascii="Times New Roman" w:hAnsi="Times New Roman" w:cs="Times New Roman"/>
        </w:rPr>
        <w:t xml:space="preserve"> 2022-2023, pp. 1361 et s. </w:t>
      </w:r>
    </w:p>
  </w:footnote>
  <w:footnote w:id="65">
    <w:p w14:paraId="7C4F0082" w14:textId="3D0DA8B9" w:rsidR="00C90912" w:rsidRPr="00F428F6" w:rsidRDefault="00C90912" w:rsidP="00F428F6">
      <w:pPr>
        <w:pStyle w:val="Notedebasdepage"/>
        <w:jc w:val="both"/>
        <w:rPr>
          <w:rFonts w:ascii="Times New Roman" w:hAnsi="Times New Roman" w:cs="Times New Roman"/>
        </w:rPr>
      </w:pPr>
      <w:r w:rsidRPr="00F428F6">
        <w:rPr>
          <w:rStyle w:val="Appelnotedebasdep"/>
          <w:rFonts w:ascii="Times New Roman" w:hAnsi="Times New Roman" w:cs="Times New Roman"/>
        </w:rPr>
        <w:footnoteRef/>
      </w:r>
      <w:r w:rsidRPr="00F428F6">
        <w:rPr>
          <w:rFonts w:ascii="Times New Roman" w:hAnsi="Times New Roman" w:cs="Times New Roman"/>
        </w:rPr>
        <w:t xml:space="preserve"> En matière de droits de succession, </w:t>
      </w:r>
      <w:r w:rsidR="008926C4" w:rsidRPr="00F428F6">
        <w:rPr>
          <w:rFonts w:ascii="Times New Roman" w:hAnsi="Times New Roman" w:cs="Times New Roman"/>
        </w:rPr>
        <w:t>il s’agit de se référer à</w:t>
      </w:r>
      <w:r w:rsidRPr="00F428F6">
        <w:rPr>
          <w:rFonts w:ascii="Times New Roman" w:hAnsi="Times New Roman" w:cs="Times New Roman"/>
        </w:rPr>
        <w:t xml:space="preserve"> l’article 84 du Code des droits de succession. Cette hypothèque a pour assiette, « </w:t>
      </w:r>
      <w:r w:rsidRPr="00F428F6">
        <w:rPr>
          <w:rFonts w:ascii="Times New Roman" w:hAnsi="Times New Roman" w:cs="Times New Roman"/>
          <w:i/>
          <w:iCs/>
        </w:rPr>
        <w:t>les biens susceptibles d’hypothèque délaissés par le défunt dans le royaume</w:t>
      </w:r>
      <w:r w:rsidRPr="00F428F6">
        <w:rPr>
          <w:rFonts w:ascii="Times New Roman" w:hAnsi="Times New Roman" w:cs="Times New Roman"/>
        </w:rPr>
        <w:t xml:space="preserve"> » et présente la particularité d’être occulte. </w:t>
      </w:r>
    </w:p>
  </w:footnote>
  <w:footnote w:id="66">
    <w:p w14:paraId="4F03E537" w14:textId="77777777" w:rsidR="00804086" w:rsidRPr="00F428F6" w:rsidRDefault="00804086" w:rsidP="00F428F6">
      <w:pPr>
        <w:pStyle w:val="Notedebasdepage"/>
        <w:jc w:val="both"/>
        <w:rPr>
          <w:rFonts w:ascii="Times New Roman" w:hAnsi="Times New Roman" w:cs="Times New Roman"/>
        </w:rPr>
      </w:pPr>
      <w:r w:rsidRPr="00F428F6">
        <w:rPr>
          <w:rStyle w:val="Appelnotedebasdep"/>
          <w:rFonts w:ascii="Times New Roman" w:hAnsi="Times New Roman" w:cs="Times New Roman"/>
        </w:rPr>
        <w:footnoteRef/>
      </w:r>
      <w:r w:rsidRPr="00F428F6">
        <w:rPr>
          <w:rFonts w:ascii="Times New Roman" w:hAnsi="Times New Roman" w:cs="Times New Roman"/>
        </w:rPr>
        <w:t xml:space="preserve"> A. VAN HIMST, « Des hypothèques légales », in </w:t>
      </w:r>
      <w:r w:rsidRPr="00F428F6">
        <w:rPr>
          <w:rFonts w:ascii="Times New Roman" w:hAnsi="Times New Roman" w:cs="Times New Roman"/>
          <w:i/>
          <w:iCs/>
        </w:rPr>
        <w:t>Privilèges et hypothèques</w:t>
      </w:r>
      <w:r w:rsidRPr="00F428F6">
        <w:rPr>
          <w:rFonts w:ascii="Times New Roman" w:hAnsi="Times New Roman" w:cs="Times New Roman"/>
        </w:rPr>
        <w:t xml:space="preserve">, Wolters Kluwer, </w:t>
      </w:r>
      <w:proofErr w:type="spellStart"/>
      <w:r w:rsidRPr="00F428F6">
        <w:rPr>
          <w:rFonts w:ascii="Times New Roman" w:hAnsi="Times New Roman" w:cs="Times New Roman"/>
        </w:rPr>
        <w:t>feuill</w:t>
      </w:r>
      <w:proofErr w:type="spellEnd"/>
      <w:r w:rsidRPr="00F428F6">
        <w:rPr>
          <w:rFonts w:ascii="Times New Roman" w:hAnsi="Times New Roman" w:cs="Times New Roman"/>
        </w:rPr>
        <w:t xml:space="preserve">. mob. suppl. 2019, pp. 28 et 29. Sur l’hypothèque légale, </w:t>
      </w:r>
      <w:proofErr w:type="spellStart"/>
      <w:r w:rsidRPr="00F428F6">
        <w:rPr>
          <w:rFonts w:ascii="Times New Roman" w:hAnsi="Times New Roman" w:cs="Times New Roman"/>
        </w:rPr>
        <w:t>voy</w:t>
      </w:r>
      <w:proofErr w:type="spellEnd"/>
      <w:r w:rsidRPr="00F428F6">
        <w:rPr>
          <w:rFonts w:ascii="Times New Roman" w:hAnsi="Times New Roman" w:cs="Times New Roman"/>
        </w:rPr>
        <w:t>. encore F. HEREMANS, « Les hypothèques – Notions fondamentales », in Th. HÜRNER (</w:t>
      </w:r>
      <w:proofErr w:type="spellStart"/>
      <w:r w:rsidRPr="00F428F6">
        <w:rPr>
          <w:rFonts w:ascii="Times New Roman" w:hAnsi="Times New Roman" w:cs="Times New Roman"/>
        </w:rPr>
        <w:t>dir</w:t>
      </w:r>
      <w:proofErr w:type="spellEnd"/>
      <w:r w:rsidRPr="00F428F6">
        <w:rPr>
          <w:rFonts w:ascii="Times New Roman" w:hAnsi="Times New Roman" w:cs="Times New Roman"/>
        </w:rPr>
        <w:t xml:space="preserve">), </w:t>
      </w:r>
      <w:r w:rsidRPr="00F428F6">
        <w:rPr>
          <w:rFonts w:ascii="Times New Roman" w:hAnsi="Times New Roman" w:cs="Times New Roman"/>
          <w:i/>
          <w:iCs/>
        </w:rPr>
        <w:t>Manuel des sûretés et des privilèges</w:t>
      </w:r>
      <w:r w:rsidRPr="00F428F6">
        <w:rPr>
          <w:rFonts w:ascii="Times New Roman" w:hAnsi="Times New Roman" w:cs="Times New Roman"/>
        </w:rPr>
        <w:t xml:space="preserve">, Wolters Kluwer, 2020, p. 225. </w:t>
      </w:r>
    </w:p>
  </w:footnote>
  <w:footnote w:id="67">
    <w:p w14:paraId="637D5A93" w14:textId="08AD9615" w:rsidR="00804086" w:rsidRPr="00F428F6" w:rsidRDefault="00804086" w:rsidP="00F428F6">
      <w:pPr>
        <w:pStyle w:val="Notedebasdepage"/>
        <w:jc w:val="both"/>
        <w:rPr>
          <w:rFonts w:ascii="Times New Roman" w:hAnsi="Times New Roman" w:cs="Times New Roman"/>
        </w:rPr>
      </w:pPr>
      <w:r w:rsidRPr="00F428F6">
        <w:rPr>
          <w:rStyle w:val="Appelnotedebasdep"/>
          <w:rFonts w:ascii="Times New Roman" w:hAnsi="Times New Roman" w:cs="Times New Roman"/>
        </w:rPr>
        <w:footnoteRef/>
      </w:r>
      <w:r w:rsidRPr="00F428F6">
        <w:rPr>
          <w:rFonts w:ascii="Times New Roman" w:hAnsi="Times New Roman" w:cs="Times New Roman"/>
        </w:rPr>
        <w:t xml:space="preserve"> Récemment, le juge des saisies de Tournai a décidé qu’une cotisation subsidiaire présentée au juge du fond mais non encore validée par ce dernier ne constitue pas un titre exécutoire qui emporte la possibilité d’inscrire une hypothèque légale au profit de l’administration en vertu de l’article 31 du C.R.A.F. (</w:t>
      </w:r>
      <w:proofErr w:type="spellStart"/>
      <w:r w:rsidRPr="00F428F6">
        <w:rPr>
          <w:rFonts w:ascii="Times New Roman" w:hAnsi="Times New Roman" w:cs="Times New Roman"/>
        </w:rPr>
        <w:t>Civ</w:t>
      </w:r>
      <w:proofErr w:type="spellEnd"/>
      <w:r w:rsidRPr="00F428F6">
        <w:rPr>
          <w:rFonts w:ascii="Times New Roman" w:hAnsi="Times New Roman" w:cs="Times New Roman"/>
        </w:rPr>
        <w:t xml:space="preserve">. Hainaut, div. Tournai (sais.), 24 juin 2022, </w:t>
      </w:r>
      <w:hyperlink r:id="rId4" w:history="1">
        <w:r w:rsidRPr="00F428F6">
          <w:rPr>
            <w:rStyle w:val="Lienhypertexte"/>
            <w:rFonts w:ascii="Times New Roman" w:hAnsi="Times New Roman" w:cs="Times New Roman"/>
          </w:rPr>
          <w:t>www.monkey.be</w:t>
        </w:r>
      </w:hyperlink>
      <w:r w:rsidRPr="00F428F6">
        <w:rPr>
          <w:rFonts w:ascii="Times New Roman" w:hAnsi="Times New Roman" w:cs="Times New Roman"/>
        </w:rPr>
        <w:t xml:space="preserve">.) </w:t>
      </w:r>
    </w:p>
  </w:footnote>
  <w:footnote w:id="68">
    <w:p w14:paraId="6AB9F942" w14:textId="23BBE493" w:rsidR="00380C94" w:rsidRPr="00F428F6" w:rsidRDefault="00380C94" w:rsidP="00F428F6">
      <w:pPr>
        <w:pStyle w:val="Notedebasdepage"/>
        <w:jc w:val="both"/>
        <w:rPr>
          <w:rFonts w:ascii="Times New Roman" w:hAnsi="Times New Roman" w:cs="Times New Roman"/>
        </w:rPr>
      </w:pPr>
      <w:r w:rsidRPr="00F428F6">
        <w:rPr>
          <w:rStyle w:val="Appelnotedebasdep"/>
          <w:rFonts w:ascii="Times New Roman" w:hAnsi="Times New Roman" w:cs="Times New Roman"/>
        </w:rPr>
        <w:footnoteRef/>
      </w:r>
      <w:r w:rsidRPr="00F428F6">
        <w:rPr>
          <w:rFonts w:ascii="Times New Roman" w:hAnsi="Times New Roman" w:cs="Times New Roman"/>
        </w:rPr>
        <w:t xml:space="preserve"> L’article 19 </w:t>
      </w:r>
      <w:r w:rsidRPr="00F428F6">
        <w:rPr>
          <w:rFonts w:ascii="Times New Roman" w:hAnsi="Times New Roman" w:cs="Times New Roman"/>
          <w:i/>
          <w:iCs/>
        </w:rPr>
        <w:t>in fine</w:t>
      </w:r>
      <w:r w:rsidRPr="00F428F6">
        <w:rPr>
          <w:rFonts w:ascii="Times New Roman" w:hAnsi="Times New Roman" w:cs="Times New Roman"/>
        </w:rPr>
        <w:t xml:space="preserve"> de la loi hypothécaire dispose en effet que « </w:t>
      </w:r>
      <w:r w:rsidRPr="00F428F6">
        <w:rPr>
          <w:rFonts w:ascii="Times New Roman" w:hAnsi="Times New Roman" w:cs="Times New Roman"/>
          <w:i/>
          <w:iCs/>
        </w:rPr>
        <w:t>lorsque la valeur des immeubles n’a pas été absorbée par les créances privilégiées ou hypothécaires, la portion du prix qui reste due est affectée de préférence au paiement des créances énoncées au présent article</w:t>
      </w:r>
      <w:r w:rsidRPr="00F428F6">
        <w:rPr>
          <w:rFonts w:ascii="Times New Roman" w:hAnsi="Times New Roman" w:cs="Times New Roman"/>
        </w:rPr>
        <w:t xml:space="preserve"> ». </w:t>
      </w:r>
    </w:p>
  </w:footnote>
  <w:footnote w:id="69">
    <w:p w14:paraId="2A6C1C8E" w14:textId="4A92E4E9" w:rsidR="00A3542A" w:rsidRPr="00F428F6" w:rsidRDefault="00A3542A" w:rsidP="00F428F6">
      <w:pPr>
        <w:pStyle w:val="Notedebasdepage"/>
        <w:jc w:val="both"/>
        <w:rPr>
          <w:rFonts w:ascii="Times New Roman" w:hAnsi="Times New Roman" w:cs="Times New Roman"/>
        </w:rPr>
      </w:pPr>
      <w:r w:rsidRPr="00F428F6">
        <w:rPr>
          <w:rStyle w:val="Appelnotedebasdep"/>
          <w:rFonts w:ascii="Times New Roman" w:hAnsi="Times New Roman" w:cs="Times New Roman"/>
        </w:rPr>
        <w:footnoteRef/>
      </w:r>
      <w:r w:rsidRPr="00F428F6">
        <w:rPr>
          <w:rFonts w:ascii="Times New Roman" w:hAnsi="Times New Roman" w:cs="Times New Roman"/>
        </w:rPr>
        <w:t xml:space="preserve"> </w:t>
      </w:r>
      <w:proofErr w:type="spellStart"/>
      <w:r w:rsidRPr="00F428F6">
        <w:rPr>
          <w:rFonts w:ascii="Times New Roman" w:hAnsi="Times New Roman" w:cs="Times New Roman"/>
        </w:rPr>
        <w:t>Civ</w:t>
      </w:r>
      <w:proofErr w:type="spellEnd"/>
      <w:r w:rsidRPr="00F428F6">
        <w:rPr>
          <w:rFonts w:ascii="Times New Roman" w:hAnsi="Times New Roman" w:cs="Times New Roman"/>
        </w:rPr>
        <w:t xml:space="preserve">. Bruxelles (sais.), 4 février 2021, </w:t>
      </w:r>
      <w:hyperlink r:id="rId5" w:history="1">
        <w:r w:rsidRPr="00F428F6">
          <w:rPr>
            <w:rStyle w:val="Lienhypertexte"/>
            <w:rFonts w:ascii="Times New Roman" w:hAnsi="Times New Roman" w:cs="Times New Roman"/>
          </w:rPr>
          <w:t>www.fisconet.be</w:t>
        </w:r>
      </w:hyperlink>
      <w:r w:rsidRPr="00F428F6">
        <w:rPr>
          <w:rFonts w:ascii="Times New Roman" w:hAnsi="Times New Roman" w:cs="Times New Roman"/>
        </w:rPr>
        <w:t xml:space="preserve">, le juge des saisies rectifie par ailleurs le procès-verbal d’ordre dressé par le notaire nommé dès lors que ce dernier n’avait pas limité la créance garantie de l’association aux seuls exercices en cours et précédent.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31821"/>
    <w:multiLevelType w:val="hybridMultilevel"/>
    <w:tmpl w:val="736A42C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75E209D"/>
    <w:multiLevelType w:val="hybridMultilevel"/>
    <w:tmpl w:val="D3388C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4F378E"/>
    <w:multiLevelType w:val="hybridMultilevel"/>
    <w:tmpl w:val="5E4267F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A490976"/>
    <w:multiLevelType w:val="hybridMultilevel"/>
    <w:tmpl w:val="A03206C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1DD4D7D"/>
    <w:multiLevelType w:val="hybridMultilevel"/>
    <w:tmpl w:val="2EE68F6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F5A4374"/>
    <w:multiLevelType w:val="hybridMultilevel"/>
    <w:tmpl w:val="D3388C5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04324AB"/>
    <w:multiLevelType w:val="hybridMultilevel"/>
    <w:tmpl w:val="F65CEB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C0247CF"/>
    <w:multiLevelType w:val="hybridMultilevel"/>
    <w:tmpl w:val="F8C4102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CBF1F6A"/>
    <w:multiLevelType w:val="hybridMultilevel"/>
    <w:tmpl w:val="8DFEF07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F78315C"/>
    <w:multiLevelType w:val="hybridMultilevel"/>
    <w:tmpl w:val="03FC301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49C47EF"/>
    <w:multiLevelType w:val="hybridMultilevel"/>
    <w:tmpl w:val="F7DAF2D0"/>
    <w:lvl w:ilvl="0" w:tplc="F40AD702">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16cid:durableId="467014511">
    <w:abstractNumId w:val="2"/>
  </w:num>
  <w:num w:numId="2" w16cid:durableId="923730204">
    <w:abstractNumId w:val="0"/>
  </w:num>
  <w:num w:numId="3" w16cid:durableId="175927297">
    <w:abstractNumId w:val="5"/>
  </w:num>
  <w:num w:numId="4" w16cid:durableId="759914033">
    <w:abstractNumId w:val="4"/>
  </w:num>
  <w:num w:numId="5" w16cid:durableId="899634765">
    <w:abstractNumId w:val="6"/>
  </w:num>
  <w:num w:numId="6" w16cid:durableId="2109887085">
    <w:abstractNumId w:val="1"/>
  </w:num>
  <w:num w:numId="7" w16cid:durableId="1467234687">
    <w:abstractNumId w:val="3"/>
  </w:num>
  <w:num w:numId="8" w16cid:durableId="436214719">
    <w:abstractNumId w:val="10"/>
  </w:num>
  <w:num w:numId="9" w16cid:durableId="1722443266">
    <w:abstractNumId w:val="7"/>
  </w:num>
  <w:num w:numId="10" w16cid:durableId="470250128">
    <w:abstractNumId w:val="9"/>
  </w:num>
  <w:num w:numId="11" w16cid:durableId="7325874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B89"/>
    <w:rsid w:val="0001278A"/>
    <w:rsid w:val="00014391"/>
    <w:rsid w:val="00017D0D"/>
    <w:rsid w:val="000212A0"/>
    <w:rsid w:val="00031E29"/>
    <w:rsid w:val="000333C3"/>
    <w:rsid w:val="00044407"/>
    <w:rsid w:val="0005119F"/>
    <w:rsid w:val="00051BF9"/>
    <w:rsid w:val="00054E7E"/>
    <w:rsid w:val="00067CE4"/>
    <w:rsid w:val="0008199E"/>
    <w:rsid w:val="00082579"/>
    <w:rsid w:val="00092D95"/>
    <w:rsid w:val="000A3D1A"/>
    <w:rsid w:val="000D3EAA"/>
    <w:rsid w:val="000D7E52"/>
    <w:rsid w:val="000E2B20"/>
    <w:rsid w:val="000E3058"/>
    <w:rsid w:val="0010298B"/>
    <w:rsid w:val="00111D01"/>
    <w:rsid w:val="00122DCD"/>
    <w:rsid w:val="001241CA"/>
    <w:rsid w:val="00133217"/>
    <w:rsid w:val="0013645E"/>
    <w:rsid w:val="00140F30"/>
    <w:rsid w:val="00143C87"/>
    <w:rsid w:val="00144C67"/>
    <w:rsid w:val="00146113"/>
    <w:rsid w:val="0014791A"/>
    <w:rsid w:val="00163568"/>
    <w:rsid w:val="00165AA1"/>
    <w:rsid w:val="0018001A"/>
    <w:rsid w:val="00181036"/>
    <w:rsid w:val="001837B4"/>
    <w:rsid w:val="001868A9"/>
    <w:rsid w:val="001914C7"/>
    <w:rsid w:val="001B48F9"/>
    <w:rsid w:val="001B7C91"/>
    <w:rsid w:val="001C5DF0"/>
    <w:rsid w:val="001D1CBA"/>
    <w:rsid w:val="001D1D06"/>
    <w:rsid w:val="001D49FD"/>
    <w:rsid w:val="001F250A"/>
    <w:rsid w:val="001F68F5"/>
    <w:rsid w:val="0020581F"/>
    <w:rsid w:val="00206635"/>
    <w:rsid w:val="0020765F"/>
    <w:rsid w:val="00221CA4"/>
    <w:rsid w:val="00240C0A"/>
    <w:rsid w:val="002441A6"/>
    <w:rsid w:val="00246159"/>
    <w:rsid w:val="0025157D"/>
    <w:rsid w:val="00253ABF"/>
    <w:rsid w:val="00255DDA"/>
    <w:rsid w:val="00265A29"/>
    <w:rsid w:val="00270FCD"/>
    <w:rsid w:val="00272A9D"/>
    <w:rsid w:val="002738FC"/>
    <w:rsid w:val="00282B1C"/>
    <w:rsid w:val="00290DDF"/>
    <w:rsid w:val="0029447B"/>
    <w:rsid w:val="002A4C38"/>
    <w:rsid w:val="002B1BBE"/>
    <w:rsid w:val="002C01AF"/>
    <w:rsid w:val="002E15EF"/>
    <w:rsid w:val="002E4462"/>
    <w:rsid w:val="002F359C"/>
    <w:rsid w:val="00320E7D"/>
    <w:rsid w:val="00326A89"/>
    <w:rsid w:val="00350CDE"/>
    <w:rsid w:val="00354B67"/>
    <w:rsid w:val="00372A3E"/>
    <w:rsid w:val="00372B79"/>
    <w:rsid w:val="00380C94"/>
    <w:rsid w:val="00387881"/>
    <w:rsid w:val="00391A8C"/>
    <w:rsid w:val="003A5493"/>
    <w:rsid w:val="003A6CDC"/>
    <w:rsid w:val="003A7324"/>
    <w:rsid w:val="003B6F29"/>
    <w:rsid w:val="003B77FD"/>
    <w:rsid w:val="003C5D19"/>
    <w:rsid w:val="003C7259"/>
    <w:rsid w:val="003E0BE8"/>
    <w:rsid w:val="003E2392"/>
    <w:rsid w:val="0040077A"/>
    <w:rsid w:val="00403A7D"/>
    <w:rsid w:val="0040408E"/>
    <w:rsid w:val="004046CF"/>
    <w:rsid w:val="00411976"/>
    <w:rsid w:val="00416FAF"/>
    <w:rsid w:val="00420ADD"/>
    <w:rsid w:val="00420AF8"/>
    <w:rsid w:val="0042468C"/>
    <w:rsid w:val="00426925"/>
    <w:rsid w:val="00433202"/>
    <w:rsid w:val="00443074"/>
    <w:rsid w:val="00455A62"/>
    <w:rsid w:val="00455FC7"/>
    <w:rsid w:val="00456EA6"/>
    <w:rsid w:val="00470E89"/>
    <w:rsid w:val="00470FD4"/>
    <w:rsid w:val="00476C87"/>
    <w:rsid w:val="0047770E"/>
    <w:rsid w:val="00485AF7"/>
    <w:rsid w:val="00497AF3"/>
    <w:rsid w:val="004A2173"/>
    <w:rsid w:val="004A54A6"/>
    <w:rsid w:val="004B430C"/>
    <w:rsid w:val="004B6E74"/>
    <w:rsid w:val="004B7927"/>
    <w:rsid w:val="004D143E"/>
    <w:rsid w:val="005018C5"/>
    <w:rsid w:val="005038B7"/>
    <w:rsid w:val="005109C3"/>
    <w:rsid w:val="00517194"/>
    <w:rsid w:val="00521316"/>
    <w:rsid w:val="00522A55"/>
    <w:rsid w:val="00550C7E"/>
    <w:rsid w:val="00551E9F"/>
    <w:rsid w:val="00577DD2"/>
    <w:rsid w:val="00577EFE"/>
    <w:rsid w:val="005922E2"/>
    <w:rsid w:val="005B2CAE"/>
    <w:rsid w:val="005B2E81"/>
    <w:rsid w:val="005B6F47"/>
    <w:rsid w:val="005C4C42"/>
    <w:rsid w:val="005C59D3"/>
    <w:rsid w:val="005D3B98"/>
    <w:rsid w:val="005D5668"/>
    <w:rsid w:val="005D75B7"/>
    <w:rsid w:val="005E3F18"/>
    <w:rsid w:val="0060011A"/>
    <w:rsid w:val="006126DE"/>
    <w:rsid w:val="006178A1"/>
    <w:rsid w:val="00621190"/>
    <w:rsid w:val="0063221E"/>
    <w:rsid w:val="00635C4F"/>
    <w:rsid w:val="00636F25"/>
    <w:rsid w:val="00640238"/>
    <w:rsid w:val="00647584"/>
    <w:rsid w:val="006532C4"/>
    <w:rsid w:val="00653837"/>
    <w:rsid w:val="0066694B"/>
    <w:rsid w:val="00666AB9"/>
    <w:rsid w:val="00667236"/>
    <w:rsid w:val="00667590"/>
    <w:rsid w:val="00667AC4"/>
    <w:rsid w:val="006A5A1D"/>
    <w:rsid w:val="006A6DC3"/>
    <w:rsid w:val="006C73DA"/>
    <w:rsid w:val="006D0556"/>
    <w:rsid w:val="006F1A6E"/>
    <w:rsid w:val="006F5DBA"/>
    <w:rsid w:val="006F7C3A"/>
    <w:rsid w:val="00703460"/>
    <w:rsid w:val="00704D7E"/>
    <w:rsid w:val="007066F2"/>
    <w:rsid w:val="0071051A"/>
    <w:rsid w:val="00715915"/>
    <w:rsid w:val="00720DCD"/>
    <w:rsid w:val="00733F68"/>
    <w:rsid w:val="00746EC6"/>
    <w:rsid w:val="00750BD8"/>
    <w:rsid w:val="00754A4F"/>
    <w:rsid w:val="00774981"/>
    <w:rsid w:val="00775C29"/>
    <w:rsid w:val="00785ACA"/>
    <w:rsid w:val="007959AD"/>
    <w:rsid w:val="007B3A3B"/>
    <w:rsid w:val="007B3AF6"/>
    <w:rsid w:val="007C02D3"/>
    <w:rsid w:val="007C168B"/>
    <w:rsid w:val="007D4DB5"/>
    <w:rsid w:val="007D60B2"/>
    <w:rsid w:val="007D7989"/>
    <w:rsid w:val="007E63E7"/>
    <w:rsid w:val="00804086"/>
    <w:rsid w:val="00805474"/>
    <w:rsid w:val="00806A36"/>
    <w:rsid w:val="00814522"/>
    <w:rsid w:val="00814E1B"/>
    <w:rsid w:val="00831CB7"/>
    <w:rsid w:val="00857ECE"/>
    <w:rsid w:val="00865878"/>
    <w:rsid w:val="008663CE"/>
    <w:rsid w:val="008710D5"/>
    <w:rsid w:val="008743D6"/>
    <w:rsid w:val="00874EE4"/>
    <w:rsid w:val="00875E55"/>
    <w:rsid w:val="00882F15"/>
    <w:rsid w:val="008926C4"/>
    <w:rsid w:val="00896837"/>
    <w:rsid w:val="008A1173"/>
    <w:rsid w:val="008A6E6F"/>
    <w:rsid w:val="008B0461"/>
    <w:rsid w:val="008B491C"/>
    <w:rsid w:val="008C4739"/>
    <w:rsid w:val="008D0191"/>
    <w:rsid w:val="008D0E0B"/>
    <w:rsid w:val="008D5E06"/>
    <w:rsid w:val="008E6E44"/>
    <w:rsid w:val="008F5791"/>
    <w:rsid w:val="009022BF"/>
    <w:rsid w:val="00911B74"/>
    <w:rsid w:val="00921A7D"/>
    <w:rsid w:val="009338DF"/>
    <w:rsid w:val="00933E08"/>
    <w:rsid w:val="0093678F"/>
    <w:rsid w:val="00944BDB"/>
    <w:rsid w:val="00947341"/>
    <w:rsid w:val="00961877"/>
    <w:rsid w:val="00983DD0"/>
    <w:rsid w:val="009A09DF"/>
    <w:rsid w:val="009A4565"/>
    <w:rsid w:val="009C54BB"/>
    <w:rsid w:val="009D1F4F"/>
    <w:rsid w:val="009F19D7"/>
    <w:rsid w:val="00A056D9"/>
    <w:rsid w:val="00A06FD7"/>
    <w:rsid w:val="00A1232B"/>
    <w:rsid w:val="00A207DA"/>
    <w:rsid w:val="00A231A9"/>
    <w:rsid w:val="00A24817"/>
    <w:rsid w:val="00A2786B"/>
    <w:rsid w:val="00A30192"/>
    <w:rsid w:val="00A3038A"/>
    <w:rsid w:val="00A343D3"/>
    <w:rsid w:val="00A34E02"/>
    <w:rsid w:val="00A3542A"/>
    <w:rsid w:val="00A45A47"/>
    <w:rsid w:val="00A5144D"/>
    <w:rsid w:val="00A57F02"/>
    <w:rsid w:val="00A57FBF"/>
    <w:rsid w:val="00A609FC"/>
    <w:rsid w:val="00A65280"/>
    <w:rsid w:val="00A740ED"/>
    <w:rsid w:val="00A74264"/>
    <w:rsid w:val="00A802BB"/>
    <w:rsid w:val="00A803F3"/>
    <w:rsid w:val="00A80EFF"/>
    <w:rsid w:val="00A86DB8"/>
    <w:rsid w:val="00A86DC7"/>
    <w:rsid w:val="00A95AB7"/>
    <w:rsid w:val="00AA02A9"/>
    <w:rsid w:val="00AB34B8"/>
    <w:rsid w:val="00AB5DA2"/>
    <w:rsid w:val="00AC115D"/>
    <w:rsid w:val="00AC430A"/>
    <w:rsid w:val="00AD1A46"/>
    <w:rsid w:val="00AF04F9"/>
    <w:rsid w:val="00AF26D0"/>
    <w:rsid w:val="00AF6620"/>
    <w:rsid w:val="00B12AF4"/>
    <w:rsid w:val="00B133A7"/>
    <w:rsid w:val="00B23D40"/>
    <w:rsid w:val="00B3329D"/>
    <w:rsid w:val="00B366A6"/>
    <w:rsid w:val="00B52FA6"/>
    <w:rsid w:val="00B55367"/>
    <w:rsid w:val="00B63EBE"/>
    <w:rsid w:val="00B70871"/>
    <w:rsid w:val="00B7122C"/>
    <w:rsid w:val="00B82462"/>
    <w:rsid w:val="00BA45E1"/>
    <w:rsid w:val="00BC0692"/>
    <w:rsid w:val="00BC23FF"/>
    <w:rsid w:val="00BC28C5"/>
    <w:rsid w:val="00BD0A2E"/>
    <w:rsid w:val="00BD66AD"/>
    <w:rsid w:val="00BF2B55"/>
    <w:rsid w:val="00BF50AC"/>
    <w:rsid w:val="00BF5117"/>
    <w:rsid w:val="00C1351C"/>
    <w:rsid w:val="00C13569"/>
    <w:rsid w:val="00C14969"/>
    <w:rsid w:val="00C25819"/>
    <w:rsid w:val="00C26013"/>
    <w:rsid w:val="00C33763"/>
    <w:rsid w:val="00C353C0"/>
    <w:rsid w:val="00C4221A"/>
    <w:rsid w:val="00C570E7"/>
    <w:rsid w:val="00C74DD0"/>
    <w:rsid w:val="00C75445"/>
    <w:rsid w:val="00C836CD"/>
    <w:rsid w:val="00C90912"/>
    <w:rsid w:val="00CA3A41"/>
    <w:rsid w:val="00CA4758"/>
    <w:rsid w:val="00CB21B3"/>
    <w:rsid w:val="00CB4520"/>
    <w:rsid w:val="00CD08C8"/>
    <w:rsid w:val="00CE07C7"/>
    <w:rsid w:val="00CF4BBF"/>
    <w:rsid w:val="00CF6317"/>
    <w:rsid w:val="00D12AD7"/>
    <w:rsid w:val="00D140E0"/>
    <w:rsid w:val="00D14B8C"/>
    <w:rsid w:val="00D25E23"/>
    <w:rsid w:val="00D26603"/>
    <w:rsid w:val="00D2708A"/>
    <w:rsid w:val="00D540F9"/>
    <w:rsid w:val="00D6414C"/>
    <w:rsid w:val="00D646E2"/>
    <w:rsid w:val="00D66B89"/>
    <w:rsid w:val="00D67D42"/>
    <w:rsid w:val="00D73FCD"/>
    <w:rsid w:val="00D83CED"/>
    <w:rsid w:val="00D872A3"/>
    <w:rsid w:val="00D90886"/>
    <w:rsid w:val="00DA0B3E"/>
    <w:rsid w:val="00DA26AD"/>
    <w:rsid w:val="00DC6A18"/>
    <w:rsid w:val="00DC7655"/>
    <w:rsid w:val="00DC7F0D"/>
    <w:rsid w:val="00DD39DB"/>
    <w:rsid w:val="00DD4730"/>
    <w:rsid w:val="00DE16AE"/>
    <w:rsid w:val="00DE31FD"/>
    <w:rsid w:val="00E023B8"/>
    <w:rsid w:val="00E05BC3"/>
    <w:rsid w:val="00E156D3"/>
    <w:rsid w:val="00E3136E"/>
    <w:rsid w:val="00E32DDC"/>
    <w:rsid w:val="00E3325F"/>
    <w:rsid w:val="00E36A76"/>
    <w:rsid w:val="00E37021"/>
    <w:rsid w:val="00E43ADB"/>
    <w:rsid w:val="00E55327"/>
    <w:rsid w:val="00E659FE"/>
    <w:rsid w:val="00E66AF7"/>
    <w:rsid w:val="00E677E7"/>
    <w:rsid w:val="00E707B1"/>
    <w:rsid w:val="00E74283"/>
    <w:rsid w:val="00E82E49"/>
    <w:rsid w:val="00E859A4"/>
    <w:rsid w:val="00E903DA"/>
    <w:rsid w:val="00E94DAE"/>
    <w:rsid w:val="00E95B67"/>
    <w:rsid w:val="00EA4D81"/>
    <w:rsid w:val="00EC0356"/>
    <w:rsid w:val="00EC34E9"/>
    <w:rsid w:val="00EC4F60"/>
    <w:rsid w:val="00ED537E"/>
    <w:rsid w:val="00EE0F36"/>
    <w:rsid w:val="00EF23AE"/>
    <w:rsid w:val="00EF2CE6"/>
    <w:rsid w:val="00EF6DE5"/>
    <w:rsid w:val="00F07AF8"/>
    <w:rsid w:val="00F1366F"/>
    <w:rsid w:val="00F15343"/>
    <w:rsid w:val="00F22138"/>
    <w:rsid w:val="00F30CEC"/>
    <w:rsid w:val="00F34720"/>
    <w:rsid w:val="00F379CA"/>
    <w:rsid w:val="00F428F6"/>
    <w:rsid w:val="00F437BF"/>
    <w:rsid w:val="00F443FB"/>
    <w:rsid w:val="00F66B56"/>
    <w:rsid w:val="00F67CCD"/>
    <w:rsid w:val="00F759F0"/>
    <w:rsid w:val="00F83D3C"/>
    <w:rsid w:val="00F956A9"/>
    <w:rsid w:val="00F9570E"/>
    <w:rsid w:val="00FA25B6"/>
    <w:rsid w:val="00FA49E5"/>
    <w:rsid w:val="00FA5CC4"/>
    <w:rsid w:val="00FD5D0C"/>
    <w:rsid w:val="00FE3BC3"/>
    <w:rsid w:val="00FE4F0F"/>
    <w:rsid w:val="00FF0D9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E744A"/>
  <w15:chartTrackingRefBased/>
  <w15:docId w15:val="{8F418B30-42C2-3A42-A4BF-5CA5A710E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521316"/>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D66B89"/>
    <w:rPr>
      <w:sz w:val="20"/>
      <w:szCs w:val="20"/>
    </w:rPr>
  </w:style>
  <w:style w:type="character" w:customStyle="1" w:styleId="NotedebasdepageCar">
    <w:name w:val="Note de bas de page Car"/>
    <w:basedOn w:val="Policepardfaut"/>
    <w:link w:val="Notedebasdepage"/>
    <w:uiPriority w:val="99"/>
    <w:semiHidden/>
    <w:rsid w:val="00D66B89"/>
    <w:rPr>
      <w:sz w:val="20"/>
      <w:szCs w:val="20"/>
    </w:rPr>
  </w:style>
  <w:style w:type="character" w:styleId="Appelnotedebasdep">
    <w:name w:val="footnote reference"/>
    <w:basedOn w:val="Policepardfaut"/>
    <w:uiPriority w:val="99"/>
    <w:semiHidden/>
    <w:unhideWhenUsed/>
    <w:rsid w:val="00D66B89"/>
    <w:rPr>
      <w:vertAlign w:val="superscript"/>
    </w:rPr>
  </w:style>
  <w:style w:type="paragraph" w:styleId="Paragraphedeliste">
    <w:name w:val="List Paragraph"/>
    <w:basedOn w:val="Normal"/>
    <w:uiPriority w:val="34"/>
    <w:qFormat/>
    <w:rsid w:val="0018001A"/>
    <w:pPr>
      <w:ind w:left="720"/>
      <w:contextualSpacing/>
    </w:pPr>
  </w:style>
  <w:style w:type="character" w:styleId="Lienhypertexte">
    <w:name w:val="Hyperlink"/>
    <w:basedOn w:val="Policepardfaut"/>
    <w:uiPriority w:val="99"/>
    <w:unhideWhenUsed/>
    <w:rsid w:val="00703460"/>
    <w:rPr>
      <w:color w:val="0563C1" w:themeColor="hyperlink"/>
      <w:u w:val="single"/>
    </w:rPr>
  </w:style>
  <w:style w:type="character" w:styleId="Mentionnonrsolue">
    <w:name w:val="Unresolved Mention"/>
    <w:basedOn w:val="Policepardfaut"/>
    <w:uiPriority w:val="99"/>
    <w:semiHidden/>
    <w:unhideWhenUsed/>
    <w:rsid w:val="00703460"/>
    <w:rPr>
      <w:color w:val="605E5C"/>
      <w:shd w:val="clear" w:color="auto" w:fill="E1DFDD"/>
    </w:rPr>
  </w:style>
  <w:style w:type="paragraph" w:styleId="En-tte">
    <w:name w:val="header"/>
    <w:basedOn w:val="Normal"/>
    <w:link w:val="En-tteCar"/>
    <w:uiPriority w:val="99"/>
    <w:unhideWhenUsed/>
    <w:rsid w:val="006A5A1D"/>
    <w:pPr>
      <w:tabs>
        <w:tab w:val="center" w:pos="4536"/>
        <w:tab w:val="right" w:pos="9072"/>
      </w:tabs>
    </w:pPr>
  </w:style>
  <w:style w:type="character" w:customStyle="1" w:styleId="En-tteCar">
    <w:name w:val="En-tête Car"/>
    <w:basedOn w:val="Policepardfaut"/>
    <w:link w:val="En-tte"/>
    <w:uiPriority w:val="99"/>
    <w:rsid w:val="006A5A1D"/>
  </w:style>
  <w:style w:type="paragraph" w:styleId="Pieddepage">
    <w:name w:val="footer"/>
    <w:basedOn w:val="Normal"/>
    <w:link w:val="PieddepageCar"/>
    <w:uiPriority w:val="99"/>
    <w:unhideWhenUsed/>
    <w:rsid w:val="006A5A1D"/>
    <w:pPr>
      <w:tabs>
        <w:tab w:val="center" w:pos="4536"/>
        <w:tab w:val="right" w:pos="9072"/>
      </w:tabs>
    </w:pPr>
  </w:style>
  <w:style w:type="character" w:customStyle="1" w:styleId="PieddepageCar">
    <w:name w:val="Pied de page Car"/>
    <w:basedOn w:val="Policepardfaut"/>
    <w:link w:val="Pieddepage"/>
    <w:uiPriority w:val="99"/>
    <w:rsid w:val="006A5A1D"/>
  </w:style>
  <w:style w:type="character" w:styleId="Numrodepage">
    <w:name w:val="page number"/>
    <w:basedOn w:val="Policepardfaut"/>
    <w:uiPriority w:val="99"/>
    <w:semiHidden/>
    <w:unhideWhenUsed/>
    <w:rsid w:val="00D73FCD"/>
  </w:style>
  <w:style w:type="character" w:customStyle="1" w:styleId="Titre1Car">
    <w:name w:val="Titre 1 Car"/>
    <w:basedOn w:val="Policepardfaut"/>
    <w:link w:val="Titre1"/>
    <w:uiPriority w:val="9"/>
    <w:rsid w:val="00521316"/>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unhideWhenUsed/>
    <w:rsid w:val="00F428F6"/>
    <w:pPr>
      <w:spacing w:before="100" w:beforeAutospacing="1" w:after="100" w:afterAutospacing="1"/>
    </w:pPr>
    <w:rPr>
      <w:rFonts w:ascii="Times New Roman" w:eastAsia="Times New Roman" w:hAnsi="Times New Roman" w:cs="Times New Roman"/>
      <w:lang w:eastAsia="fr-FR"/>
    </w:rPr>
  </w:style>
  <w:style w:type="paragraph" w:styleId="Rvision">
    <w:name w:val="Revision"/>
    <w:hidden/>
    <w:uiPriority w:val="99"/>
    <w:semiHidden/>
    <w:rsid w:val="00831CB7"/>
  </w:style>
  <w:style w:type="character" w:styleId="Marquedecommentaire">
    <w:name w:val="annotation reference"/>
    <w:basedOn w:val="Policepardfaut"/>
    <w:uiPriority w:val="99"/>
    <w:semiHidden/>
    <w:unhideWhenUsed/>
    <w:rsid w:val="005E3F18"/>
    <w:rPr>
      <w:sz w:val="16"/>
      <w:szCs w:val="16"/>
    </w:rPr>
  </w:style>
  <w:style w:type="paragraph" w:styleId="Commentaire">
    <w:name w:val="annotation text"/>
    <w:basedOn w:val="Normal"/>
    <w:link w:val="CommentaireCar"/>
    <w:uiPriority w:val="99"/>
    <w:unhideWhenUsed/>
    <w:rsid w:val="005E3F18"/>
    <w:rPr>
      <w:sz w:val="20"/>
      <w:szCs w:val="20"/>
    </w:rPr>
  </w:style>
  <w:style w:type="character" w:customStyle="1" w:styleId="CommentaireCar">
    <w:name w:val="Commentaire Car"/>
    <w:basedOn w:val="Policepardfaut"/>
    <w:link w:val="Commentaire"/>
    <w:uiPriority w:val="99"/>
    <w:rsid w:val="005E3F18"/>
    <w:rPr>
      <w:sz w:val="20"/>
      <w:szCs w:val="20"/>
    </w:rPr>
  </w:style>
  <w:style w:type="paragraph" w:styleId="Objetducommentaire">
    <w:name w:val="annotation subject"/>
    <w:basedOn w:val="Commentaire"/>
    <w:next w:val="Commentaire"/>
    <w:link w:val="ObjetducommentaireCar"/>
    <w:uiPriority w:val="99"/>
    <w:semiHidden/>
    <w:unhideWhenUsed/>
    <w:rsid w:val="005E3F18"/>
    <w:rPr>
      <w:b/>
      <w:bCs/>
    </w:rPr>
  </w:style>
  <w:style w:type="character" w:customStyle="1" w:styleId="ObjetducommentaireCar">
    <w:name w:val="Objet du commentaire Car"/>
    <w:basedOn w:val="CommentaireCar"/>
    <w:link w:val="Objetducommentaire"/>
    <w:uiPriority w:val="99"/>
    <w:semiHidden/>
    <w:rsid w:val="005E3F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983148">
      <w:bodyDiv w:val="1"/>
      <w:marLeft w:val="0"/>
      <w:marRight w:val="0"/>
      <w:marTop w:val="0"/>
      <w:marBottom w:val="0"/>
      <w:divBdr>
        <w:top w:val="none" w:sz="0" w:space="0" w:color="auto"/>
        <w:left w:val="none" w:sz="0" w:space="0" w:color="auto"/>
        <w:bottom w:val="none" w:sz="0" w:space="0" w:color="auto"/>
        <w:right w:val="none" w:sz="0" w:space="0" w:color="auto"/>
      </w:divBdr>
    </w:div>
    <w:div w:id="1318999964">
      <w:bodyDiv w:val="1"/>
      <w:marLeft w:val="0"/>
      <w:marRight w:val="0"/>
      <w:marTop w:val="0"/>
      <w:marBottom w:val="0"/>
      <w:divBdr>
        <w:top w:val="none" w:sz="0" w:space="0" w:color="auto"/>
        <w:left w:val="none" w:sz="0" w:space="0" w:color="auto"/>
        <w:bottom w:val="none" w:sz="0" w:space="0" w:color="auto"/>
        <w:right w:val="none" w:sz="0" w:space="0" w:color="auto"/>
      </w:divBdr>
    </w:div>
    <w:div w:id="1395200421">
      <w:bodyDiv w:val="1"/>
      <w:marLeft w:val="0"/>
      <w:marRight w:val="0"/>
      <w:marTop w:val="0"/>
      <w:marBottom w:val="0"/>
      <w:divBdr>
        <w:top w:val="none" w:sz="0" w:space="0" w:color="auto"/>
        <w:left w:val="none" w:sz="0" w:space="0" w:color="auto"/>
        <w:bottom w:val="none" w:sz="0" w:space="0" w:color="auto"/>
        <w:right w:val="none" w:sz="0" w:space="0" w:color="auto"/>
      </w:divBdr>
      <w:divsChild>
        <w:div w:id="73551703">
          <w:marLeft w:val="0"/>
          <w:marRight w:val="0"/>
          <w:marTop w:val="0"/>
          <w:marBottom w:val="0"/>
          <w:divBdr>
            <w:top w:val="none" w:sz="0" w:space="0" w:color="auto"/>
            <w:left w:val="none" w:sz="0" w:space="0" w:color="auto"/>
            <w:bottom w:val="none" w:sz="0" w:space="0" w:color="auto"/>
            <w:right w:val="none" w:sz="0" w:space="0" w:color="auto"/>
          </w:divBdr>
          <w:divsChild>
            <w:div w:id="309140609">
              <w:marLeft w:val="0"/>
              <w:marRight w:val="0"/>
              <w:marTop w:val="0"/>
              <w:marBottom w:val="0"/>
              <w:divBdr>
                <w:top w:val="none" w:sz="0" w:space="0" w:color="auto"/>
                <w:left w:val="none" w:sz="0" w:space="0" w:color="auto"/>
                <w:bottom w:val="none" w:sz="0" w:space="0" w:color="auto"/>
                <w:right w:val="none" w:sz="0" w:space="0" w:color="auto"/>
              </w:divBdr>
              <w:divsChild>
                <w:div w:id="207388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110838">
      <w:bodyDiv w:val="1"/>
      <w:marLeft w:val="0"/>
      <w:marRight w:val="0"/>
      <w:marTop w:val="0"/>
      <w:marBottom w:val="0"/>
      <w:divBdr>
        <w:top w:val="none" w:sz="0" w:space="0" w:color="auto"/>
        <w:left w:val="none" w:sz="0" w:space="0" w:color="auto"/>
        <w:bottom w:val="none" w:sz="0" w:space="0" w:color="auto"/>
        <w:right w:val="none" w:sz="0" w:space="0" w:color="auto"/>
      </w:divBdr>
      <w:divsChild>
        <w:div w:id="1055161365">
          <w:marLeft w:val="0"/>
          <w:marRight w:val="0"/>
          <w:marTop w:val="0"/>
          <w:marBottom w:val="0"/>
          <w:divBdr>
            <w:top w:val="none" w:sz="0" w:space="0" w:color="auto"/>
            <w:left w:val="none" w:sz="0" w:space="0" w:color="auto"/>
            <w:bottom w:val="none" w:sz="0" w:space="0" w:color="auto"/>
            <w:right w:val="none" w:sz="0" w:space="0" w:color="auto"/>
          </w:divBdr>
          <w:divsChild>
            <w:div w:id="843319455">
              <w:marLeft w:val="0"/>
              <w:marRight w:val="0"/>
              <w:marTop w:val="0"/>
              <w:marBottom w:val="0"/>
              <w:divBdr>
                <w:top w:val="none" w:sz="0" w:space="0" w:color="auto"/>
                <w:left w:val="none" w:sz="0" w:space="0" w:color="auto"/>
                <w:bottom w:val="none" w:sz="0" w:space="0" w:color="auto"/>
                <w:right w:val="none" w:sz="0" w:space="0" w:color="auto"/>
              </w:divBdr>
              <w:divsChild>
                <w:div w:id="162642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juportal" TargetMode="External"/><Relationship Id="rId2" Type="http://schemas.openxmlformats.org/officeDocument/2006/relationships/hyperlink" Target="http://www.juportal" TargetMode="External"/><Relationship Id="rId1" Type="http://schemas.openxmlformats.org/officeDocument/2006/relationships/hyperlink" Target="http://www.juportal.be" TargetMode="External"/><Relationship Id="rId5" Type="http://schemas.openxmlformats.org/officeDocument/2006/relationships/hyperlink" Target="http://www.fisconet.be" TargetMode="External"/><Relationship Id="rId4" Type="http://schemas.openxmlformats.org/officeDocument/2006/relationships/hyperlink" Target="http://www.monkey.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41462-B1B5-9142-AA44-E1CD81D09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15</Pages>
  <Words>4080</Words>
  <Characters>22444</Characters>
  <Application>Microsoft Office Word</Application>
  <DocSecurity>0</DocSecurity>
  <Lines>187</Lines>
  <Paragraphs>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Boileau Jean</dc:creator>
  <cp:keywords/>
  <dc:description/>
  <cp:lastModifiedBy>Jean Boileau</cp:lastModifiedBy>
  <cp:revision>75</cp:revision>
  <cp:lastPrinted>2024-01-05T10:42:00Z</cp:lastPrinted>
  <dcterms:created xsi:type="dcterms:W3CDTF">2024-01-05T10:42:00Z</dcterms:created>
  <dcterms:modified xsi:type="dcterms:W3CDTF">2024-01-24T11:00:00Z</dcterms:modified>
</cp:coreProperties>
</file>