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0949273C" w:rsidR="005A1512" w:rsidRPr="00F440B0" w:rsidRDefault="00C83D17" w:rsidP="00FA32E5">
      <w:pPr>
        <w:spacing w:before="76"/>
        <w:ind w:right="14"/>
        <w:jc w:val="both"/>
        <w:rPr>
          <w:rFonts w:ascii="Times New Roman" w:hAnsi="Times New Roman"/>
          <w:sz w:val="14"/>
        </w:rPr>
      </w:pPr>
      <w:r w:rsidRPr="00C83D17">
        <w:rPr>
          <w:rFonts w:cstheme="minorHAnsi"/>
          <w:w w:val="110"/>
          <w:sz w:val="36"/>
          <w:szCs w:val="32"/>
        </w:rPr>
        <w:t>Vacuum-assisted and multi-cumulative trapping in headspace solid-phase microextraction combined with comprehensive multidimensional chromatography-mass spectrometry for profiling virgin olive oil aroma</w:t>
      </w:r>
    </w:p>
    <w:p w14:paraId="4C5A030F" w14:textId="77777777" w:rsidR="00763248" w:rsidRPr="00763248" w:rsidRDefault="00763248" w:rsidP="00FA32E5">
      <w:pPr>
        <w:spacing w:before="76"/>
        <w:ind w:right="14"/>
        <w:jc w:val="both"/>
        <w:rPr>
          <w:rFonts w:cstheme="minorHAnsi"/>
          <w:sz w:val="20"/>
          <w:szCs w:val="32"/>
        </w:rPr>
      </w:pPr>
    </w:p>
    <w:p w14:paraId="4415C8D8" w14:textId="7518D2C2" w:rsidR="00C83D17" w:rsidRDefault="00C83D17" w:rsidP="00371939">
      <w:pPr>
        <w:pStyle w:val="Corpsdetexte"/>
        <w:spacing w:before="2"/>
        <w:ind w:left="0"/>
        <w:rPr>
          <w:rFonts w:asciiTheme="minorHAnsi" w:hAnsiTheme="minorHAnsi" w:cstheme="minorHAnsi"/>
          <w:sz w:val="22"/>
          <w:szCs w:val="22"/>
        </w:rPr>
      </w:pPr>
      <w:r w:rsidRPr="00C83D17">
        <w:rPr>
          <w:rFonts w:asciiTheme="minorHAnsi" w:hAnsiTheme="minorHAnsi" w:cstheme="minorHAnsi"/>
          <w:sz w:val="22"/>
          <w:szCs w:val="22"/>
        </w:rPr>
        <w:t xml:space="preserve">Steven Mascrez </w:t>
      </w:r>
      <w:r w:rsidRPr="00C83D17">
        <w:rPr>
          <w:rFonts w:asciiTheme="minorHAnsi" w:hAnsiTheme="minorHAnsi" w:cstheme="minorHAnsi"/>
          <w:sz w:val="22"/>
          <w:szCs w:val="22"/>
          <w:vertAlign w:val="superscript"/>
        </w:rPr>
        <w:t>a</w:t>
      </w:r>
      <w:r w:rsidRPr="00C83D17">
        <w:rPr>
          <w:rFonts w:asciiTheme="minorHAnsi" w:hAnsiTheme="minorHAnsi" w:cstheme="minorHAnsi"/>
          <w:sz w:val="22"/>
          <w:szCs w:val="22"/>
        </w:rPr>
        <w:t xml:space="preserve">, Juan Aspromonte </w:t>
      </w:r>
      <w:r w:rsidRPr="00C83D17">
        <w:rPr>
          <w:rFonts w:asciiTheme="minorHAnsi" w:hAnsiTheme="minorHAnsi" w:cstheme="minorHAnsi"/>
          <w:sz w:val="22"/>
          <w:szCs w:val="22"/>
          <w:vertAlign w:val="superscript"/>
        </w:rPr>
        <w:t>b</w:t>
      </w:r>
      <w:r w:rsidRPr="00C83D17">
        <w:rPr>
          <w:rFonts w:asciiTheme="minorHAnsi" w:hAnsiTheme="minorHAnsi" w:cstheme="minorHAnsi"/>
          <w:sz w:val="22"/>
          <w:szCs w:val="22"/>
        </w:rPr>
        <w:t xml:space="preserve">, Natasha Damiana Spadafora </w:t>
      </w:r>
      <w:r w:rsidRPr="00C83D17">
        <w:rPr>
          <w:rFonts w:asciiTheme="minorHAnsi" w:hAnsiTheme="minorHAnsi" w:cstheme="minorHAnsi"/>
          <w:sz w:val="22"/>
          <w:szCs w:val="22"/>
          <w:vertAlign w:val="superscript"/>
        </w:rPr>
        <w:t>c</w:t>
      </w:r>
      <w:r w:rsidRPr="00C83D17">
        <w:rPr>
          <w:rFonts w:asciiTheme="minorHAnsi" w:hAnsiTheme="minorHAnsi" w:cstheme="minorHAnsi"/>
          <w:sz w:val="22"/>
          <w:szCs w:val="22"/>
        </w:rPr>
        <w:t xml:space="preserve">, Giorgia Purcaro </w:t>
      </w:r>
      <w:proofErr w:type="gramStart"/>
      <w:r w:rsidRPr="00C83D17">
        <w:rPr>
          <w:rFonts w:asciiTheme="minorHAnsi" w:hAnsiTheme="minorHAnsi" w:cstheme="minorHAnsi"/>
          <w:sz w:val="22"/>
          <w:szCs w:val="22"/>
          <w:vertAlign w:val="superscript"/>
        </w:rPr>
        <w:t>a,*</w:t>
      </w:r>
      <w:proofErr w:type="gramEnd"/>
      <w:r w:rsidRPr="00C83D17">
        <w:rPr>
          <w:rFonts w:asciiTheme="minorHAnsi" w:hAnsiTheme="minorHAnsi" w:cstheme="minorHAnsi"/>
          <w:sz w:val="22"/>
          <w:szCs w:val="22"/>
        </w:rPr>
        <w:t xml:space="preserve"> </w:t>
      </w:r>
    </w:p>
    <w:p w14:paraId="4B1477C6" w14:textId="77777777" w:rsidR="00C83D17" w:rsidRDefault="00C83D17" w:rsidP="00371939">
      <w:pPr>
        <w:pStyle w:val="Corpsdetexte"/>
        <w:spacing w:before="2"/>
        <w:ind w:left="0"/>
        <w:rPr>
          <w:rFonts w:asciiTheme="minorHAnsi" w:hAnsiTheme="minorHAnsi" w:cstheme="minorHAnsi"/>
          <w:sz w:val="22"/>
          <w:szCs w:val="22"/>
        </w:rPr>
      </w:pPr>
    </w:p>
    <w:p w14:paraId="69D66315" w14:textId="491AF4FE" w:rsidR="00C83D17" w:rsidRDefault="00C83D17" w:rsidP="00C83D17">
      <w:pPr>
        <w:pStyle w:val="Corpsdetexte"/>
        <w:numPr>
          <w:ilvl w:val="0"/>
          <w:numId w:val="5"/>
        </w:numPr>
        <w:spacing w:before="2"/>
        <w:rPr>
          <w:rFonts w:asciiTheme="minorHAnsi" w:hAnsiTheme="minorHAnsi" w:cstheme="minorHAnsi"/>
          <w:sz w:val="22"/>
          <w:szCs w:val="22"/>
        </w:rPr>
      </w:pPr>
      <w:r w:rsidRPr="00C83D17">
        <w:rPr>
          <w:rFonts w:asciiTheme="minorHAnsi" w:hAnsiTheme="minorHAnsi" w:cstheme="minorHAnsi"/>
          <w:sz w:val="22"/>
          <w:szCs w:val="22"/>
        </w:rPr>
        <w:t xml:space="preserve"> Gembloux </w:t>
      </w:r>
      <w:proofErr w:type="spellStart"/>
      <w:r w:rsidRPr="00C83D17">
        <w:rPr>
          <w:rFonts w:asciiTheme="minorHAnsi" w:hAnsiTheme="minorHAnsi" w:cstheme="minorHAnsi"/>
          <w:sz w:val="22"/>
          <w:szCs w:val="22"/>
        </w:rPr>
        <w:t>Agro</w:t>
      </w:r>
      <w:proofErr w:type="spellEnd"/>
      <w:r w:rsidRPr="00C83D17">
        <w:rPr>
          <w:rFonts w:asciiTheme="minorHAnsi" w:hAnsiTheme="minorHAnsi" w:cstheme="minorHAnsi"/>
          <w:sz w:val="22"/>
          <w:szCs w:val="22"/>
        </w:rPr>
        <w:t>-Bio Tech, University of Li</w:t>
      </w:r>
      <w:r>
        <w:rPr>
          <w:rFonts w:asciiTheme="minorHAnsi" w:hAnsiTheme="minorHAnsi" w:cstheme="minorHAnsi"/>
          <w:sz w:val="22"/>
          <w:szCs w:val="22"/>
        </w:rPr>
        <w:t>è</w:t>
      </w:r>
      <w:r w:rsidRPr="00C83D17">
        <w:rPr>
          <w:rFonts w:asciiTheme="minorHAnsi" w:hAnsiTheme="minorHAnsi" w:cstheme="minorHAnsi"/>
          <w:sz w:val="22"/>
          <w:szCs w:val="22"/>
        </w:rPr>
        <w:t xml:space="preserve">ge, Passage des </w:t>
      </w:r>
      <w:proofErr w:type="spellStart"/>
      <w:r w:rsidRPr="00C83D17">
        <w:rPr>
          <w:rFonts w:asciiTheme="minorHAnsi" w:hAnsiTheme="minorHAnsi" w:cstheme="minorHAnsi"/>
          <w:sz w:val="22"/>
          <w:szCs w:val="22"/>
        </w:rPr>
        <w:t>D</w:t>
      </w:r>
      <w:r>
        <w:rPr>
          <w:rFonts w:asciiTheme="minorHAnsi" w:hAnsiTheme="minorHAnsi" w:cstheme="minorHAnsi"/>
          <w:sz w:val="22"/>
          <w:szCs w:val="22"/>
        </w:rPr>
        <w:t>é</w:t>
      </w:r>
      <w:r w:rsidRPr="00C83D17">
        <w:rPr>
          <w:rFonts w:asciiTheme="minorHAnsi" w:hAnsiTheme="minorHAnsi" w:cstheme="minorHAnsi"/>
          <w:sz w:val="22"/>
          <w:szCs w:val="22"/>
        </w:rPr>
        <w:t>port</w:t>
      </w:r>
      <w:r>
        <w:rPr>
          <w:rFonts w:asciiTheme="minorHAnsi" w:hAnsiTheme="minorHAnsi" w:cstheme="minorHAnsi"/>
          <w:sz w:val="22"/>
          <w:szCs w:val="22"/>
        </w:rPr>
        <w:t>é</w:t>
      </w:r>
      <w:r w:rsidRPr="00C83D17">
        <w:rPr>
          <w:rFonts w:asciiTheme="minorHAnsi" w:hAnsiTheme="minorHAnsi" w:cstheme="minorHAnsi"/>
          <w:sz w:val="22"/>
          <w:szCs w:val="22"/>
        </w:rPr>
        <w:t>s</w:t>
      </w:r>
      <w:proofErr w:type="spellEnd"/>
      <w:r w:rsidRPr="00C83D17">
        <w:rPr>
          <w:rFonts w:asciiTheme="minorHAnsi" w:hAnsiTheme="minorHAnsi" w:cstheme="minorHAnsi"/>
          <w:sz w:val="22"/>
          <w:szCs w:val="22"/>
        </w:rPr>
        <w:t xml:space="preserve">, 2, B-5030 Gembloux, Belgium </w:t>
      </w:r>
    </w:p>
    <w:p w14:paraId="489D2CE2" w14:textId="2EAEBE19" w:rsidR="00C83D17" w:rsidRPr="00C83D17" w:rsidRDefault="00C83D17" w:rsidP="00C83D17">
      <w:pPr>
        <w:pStyle w:val="Corpsdetexte"/>
        <w:numPr>
          <w:ilvl w:val="0"/>
          <w:numId w:val="5"/>
        </w:numPr>
        <w:spacing w:before="2"/>
        <w:rPr>
          <w:rFonts w:asciiTheme="minorHAnsi" w:hAnsiTheme="minorHAnsi" w:cstheme="minorHAnsi"/>
          <w:sz w:val="22"/>
          <w:szCs w:val="22"/>
          <w:lang w:val="fr-BE"/>
        </w:rPr>
      </w:pPr>
      <w:proofErr w:type="spellStart"/>
      <w:r w:rsidRPr="00C83D17">
        <w:rPr>
          <w:rFonts w:asciiTheme="minorHAnsi" w:hAnsiTheme="minorHAnsi" w:cstheme="minorHAnsi"/>
          <w:sz w:val="22"/>
          <w:szCs w:val="22"/>
          <w:lang w:val="fr-BE"/>
        </w:rPr>
        <w:t>Laboratorio</w:t>
      </w:r>
      <w:proofErr w:type="spellEnd"/>
      <w:r w:rsidRPr="00C83D17">
        <w:rPr>
          <w:rFonts w:asciiTheme="minorHAnsi" w:hAnsiTheme="minorHAnsi" w:cstheme="minorHAnsi"/>
          <w:sz w:val="22"/>
          <w:szCs w:val="22"/>
          <w:lang w:val="fr-BE"/>
        </w:rPr>
        <w:t xml:space="preserve"> de </w:t>
      </w:r>
      <w:proofErr w:type="spellStart"/>
      <w:r w:rsidRPr="00C83D17">
        <w:rPr>
          <w:rFonts w:asciiTheme="minorHAnsi" w:hAnsiTheme="minorHAnsi" w:cstheme="minorHAnsi"/>
          <w:sz w:val="22"/>
          <w:szCs w:val="22"/>
          <w:lang w:val="fr-BE"/>
        </w:rPr>
        <w:t>Investiga</w:t>
      </w:r>
      <w:r>
        <w:rPr>
          <w:rFonts w:asciiTheme="minorHAnsi" w:hAnsiTheme="minorHAnsi" w:cstheme="minorHAnsi"/>
          <w:sz w:val="22"/>
          <w:szCs w:val="22"/>
          <w:lang w:val="fr-BE"/>
        </w:rPr>
        <w:t>ci</w:t>
      </w:r>
      <w:r w:rsidRPr="00C83D17">
        <w:rPr>
          <w:rFonts w:asciiTheme="minorHAnsi" w:hAnsiTheme="minorHAnsi" w:cstheme="minorHAnsi"/>
          <w:sz w:val="22"/>
          <w:szCs w:val="22"/>
          <w:lang w:val="fr-BE"/>
        </w:rPr>
        <w:t>ó</w:t>
      </w:r>
      <w:r w:rsidRPr="00C83D17">
        <w:rPr>
          <w:rFonts w:asciiTheme="minorHAnsi" w:hAnsiTheme="minorHAnsi" w:cstheme="minorHAnsi"/>
          <w:sz w:val="22"/>
          <w:szCs w:val="22"/>
          <w:lang w:val="fr-BE"/>
        </w:rPr>
        <w:t>n</w:t>
      </w:r>
      <w:proofErr w:type="spellEnd"/>
      <w:r w:rsidRPr="00C83D17">
        <w:rPr>
          <w:rFonts w:asciiTheme="minorHAnsi" w:hAnsiTheme="minorHAnsi" w:cstheme="minorHAnsi"/>
          <w:sz w:val="22"/>
          <w:szCs w:val="22"/>
          <w:lang w:val="fr-BE"/>
        </w:rPr>
        <w:t xml:space="preserve"> y </w:t>
      </w:r>
      <w:proofErr w:type="spellStart"/>
      <w:r w:rsidRPr="00C83D17">
        <w:rPr>
          <w:rFonts w:asciiTheme="minorHAnsi" w:hAnsiTheme="minorHAnsi" w:cstheme="minorHAnsi"/>
          <w:sz w:val="22"/>
          <w:szCs w:val="22"/>
          <w:lang w:val="fr-BE"/>
        </w:rPr>
        <w:t>Desarrollo</w:t>
      </w:r>
      <w:proofErr w:type="spellEnd"/>
      <w:r w:rsidRPr="00C83D17">
        <w:rPr>
          <w:rFonts w:asciiTheme="minorHAnsi" w:hAnsiTheme="minorHAnsi" w:cstheme="minorHAnsi"/>
          <w:sz w:val="22"/>
          <w:szCs w:val="22"/>
          <w:lang w:val="fr-BE"/>
        </w:rPr>
        <w:t xml:space="preserve"> de </w:t>
      </w:r>
      <w:proofErr w:type="spellStart"/>
      <w:r w:rsidRPr="00C83D17">
        <w:rPr>
          <w:rFonts w:asciiTheme="minorHAnsi" w:hAnsiTheme="minorHAnsi" w:cstheme="minorHAnsi"/>
          <w:sz w:val="22"/>
          <w:szCs w:val="22"/>
          <w:lang w:val="fr-BE"/>
        </w:rPr>
        <w:t>M</w:t>
      </w:r>
      <w:r>
        <w:rPr>
          <w:rFonts w:asciiTheme="minorHAnsi" w:hAnsiTheme="minorHAnsi" w:cstheme="minorHAnsi"/>
          <w:sz w:val="22"/>
          <w:szCs w:val="22"/>
          <w:lang w:val="fr-BE"/>
        </w:rPr>
        <w:t>é</w:t>
      </w:r>
      <w:r w:rsidRPr="00C83D17">
        <w:rPr>
          <w:rFonts w:asciiTheme="minorHAnsi" w:hAnsiTheme="minorHAnsi" w:cstheme="minorHAnsi"/>
          <w:sz w:val="22"/>
          <w:szCs w:val="22"/>
          <w:lang w:val="fr-BE"/>
        </w:rPr>
        <w:t>todos</w:t>
      </w:r>
      <w:proofErr w:type="spellEnd"/>
      <w:r w:rsidRPr="00C83D17">
        <w:rPr>
          <w:rFonts w:asciiTheme="minorHAnsi" w:hAnsiTheme="minorHAnsi" w:cstheme="minorHAnsi"/>
          <w:sz w:val="22"/>
          <w:szCs w:val="22"/>
          <w:lang w:val="fr-BE"/>
        </w:rPr>
        <w:t xml:space="preserve"> </w:t>
      </w:r>
      <w:proofErr w:type="spellStart"/>
      <w:r w:rsidRPr="00C83D17">
        <w:rPr>
          <w:rFonts w:asciiTheme="minorHAnsi" w:hAnsiTheme="minorHAnsi" w:cstheme="minorHAnsi"/>
          <w:sz w:val="22"/>
          <w:szCs w:val="22"/>
          <w:lang w:val="fr-BE"/>
        </w:rPr>
        <w:t>Analíticos</w:t>
      </w:r>
      <w:proofErr w:type="spellEnd"/>
      <w:r w:rsidRPr="00C83D17">
        <w:rPr>
          <w:rFonts w:asciiTheme="minorHAnsi" w:hAnsiTheme="minorHAnsi" w:cstheme="minorHAnsi"/>
          <w:sz w:val="22"/>
          <w:szCs w:val="22"/>
          <w:lang w:val="fr-BE"/>
        </w:rPr>
        <w:t xml:space="preserve">, LIDMA, </w:t>
      </w:r>
      <w:proofErr w:type="spellStart"/>
      <w:r w:rsidRPr="00C83D17">
        <w:rPr>
          <w:rFonts w:asciiTheme="minorHAnsi" w:hAnsiTheme="minorHAnsi" w:cstheme="minorHAnsi"/>
          <w:sz w:val="22"/>
          <w:szCs w:val="22"/>
          <w:lang w:val="fr-BE"/>
        </w:rPr>
        <w:t>Facultad</w:t>
      </w:r>
      <w:proofErr w:type="spellEnd"/>
      <w:r w:rsidRPr="00C83D17">
        <w:rPr>
          <w:rFonts w:asciiTheme="minorHAnsi" w:hAnsiTheme="minorHAnsi" w:cstheme="minorHAnsi"/>
          <w:sz w:val="22"/>
          <w:szCs w:val="22"/>
          <w:lang w:val="fr-BE"/>
        </w:rPr>
        <w:t xml:space="preserve"> de </w:t>
      </w:r>
      <w:proofErr w:type="spellStart"/>
      <w:r w:rsidRPr="00C83D17">
        <w:rPr>
          <w:rFonts w:asciiTheme="minorHAnsi" w:hAnsiTheme="minorHAnsi" w:cstheme="minorHAnsi"/>
          <w:sz w:val="22"/>
          <w:szCs w:val="22"/>
          <w:lang w:val="fr-BE"/>
        </w:rPr>
        <w:t>Ciencias</w:t>
      </w:r>
      <w:proofErr w:type="spellEnd"/>
      <w:r w:rsidRPr="00C83D17">
        <w:rPr>
          <w:rFonts w:asciiTheme="minorHAnsi" w:hAnsiTheme="minorHAnsi" w:cstheme="minorHAnsi"/>
          <w:sz w:val="22"/>
          <w:szCs w:val="22"/>
          <w:lang w:val="fr-BE"/>
        </w:rPr>
        <w:t xml:space="preserve"> </w:t>
      </w:r>
      <w:proofErr w:type="spellStart"/>
      <w:r w:rsidRPr="00C83D17">
        <w:rPr>
          <w:rFonts w:asciiTheme="minorHAnsi" w:hAnsiTheme="minorHAnsi" w:cstheme="minorHAnsi"/>
          <w:sz w:val="22"/>
          <w:szCs w:val="22"/>
          <w:lang w:val="fr-BE"/>
        </w:rPr>
        <w:t>Exactas</w:t>
      </w:r>
      <w:proofErr w:type="spellEnd"/>
      <w:r w:rsidRPr="00C83D17">
        <w:rPr>
          <w:rFonts w:asciiTheme="minorHAnsi" w:hAnsiTheme="minorHAnsi" w:cstheme="minorHAnsi"/>
          <w:sz w:val="22"/>
          <w:szCs w:val="22"/>
          <w:lang w:val="fr-BE"/>
        </w:rPr>
        <w:t xml:space="preserve"> (</w:t>
      </w:r>
      <w:proofErr w:type="spellStart"/>
      <w:r w:rsidRPr="00C83D17">
        <w:rPr>
          <w:rFonts w:asciiTheme="minorHAnsi" w:hAnsiTheme="minorHAnsi" w:cstheme="minorHAnsi"/>
          <w:sz w:val="22"/>
          <w:szCs w:val="22"/>
          <w:lang w:val="fr-BE"/>
        </w:rPr>
        <w:t>Universidad</w:t>
      </w:r>
      <w:proofErr w:type="spellEnd"/>
      <w:r w:rsidRPr="00C83D17">
        <w:rPr>
          <w:rFonts w:asciiTheme="minorHAnsi" w:hAnsiTheme="minorHAnsi" w:cstheme="minorHAnsi"/>
          <w:sz w:val="22"/>
          <w:szCs w:val="22"/>
          <w:lang w:val="fr-BE"/>
        </w:rPr>
        <w:t xml:space="preserve"> </w:t>
      </w:r>
      <w:proofErr w:type="spellStart"/>
      <w:r w:rsidRPr="00C83D17">
        <w:rPr>
          <w:rFonts w:asciiTheme="minorHAnsi" w:hAnsiTheme="minorHAnsi" w:cstheme="minorHAnsi"/>
          <w:sz w:val="22"/>
          <w:szCs w:val="22"/>
          <w:lang w:val="fr-BE"/>
        </w:rPr>
        <w:t>Nacional</w:t>
      </w:r>
      <w:proofErr w:type="spellEnd"/>
      <w:r w:rsidRPr="00C83D17">
        <w:rPr>
          <w:rFonts w:asciiTheme="minorHAnsi" w:hAnsiTheme="minorHAnsi" w:cstheme="minorHAnsi"/>
          <w:sz w:val="22"/>
          <w:szCs w:val="22"/>
          <w:lang w:val="fr-BE"/>
        </w:rPr>
        <w:t xml:space="preserve"> de La </w:t>
      </w:r>
      <w:proofErr w:type="spellStart"/>
      <w:r w:rsidRPr="00C83D17">
        <w:rPr>
          <w:rFonts w:asciiTheme="minorHAnsi" w:hAnsiTheme="minorHAnsi" w:cstheme="minorHAnsi"/>
          <w:sz w:val="22"/>
          <w:szCs w:val="22"/>
          <w:lang w:val="fr-BE"/>
        </w:rPr>
        <w:t>Plata</w:t>
      </w:r>
      <w:proofErr w:type="spellEnd"/>
      <w:r w:rsidRPr="00C83D17">
        <w:rPr>
          <w:rFonts w:asciiTheme="minorHAnsi" w:hAnsiTheme="minorHAnsi" w:cstheme="minorHAnsi"/>
          <w:sz w:val="22"/>
          <w:szCs w:val="22"/>
          <w:lang w:val="fr-BE"/>
        </w:rPr>
        <w:t xml:space="preserve">, CIC-PBA, CONICET), Calle 47 esq. 115, 1900 La </w:t>
      </w:r>
      <w:proofErr w:type="spellStart"/>
      <w:r w:rsidRPr="00C83D17">
        <w:rPr>
          <w:rFonts w:asciiTheme="minorHAnsi" w:hAnsiTheme="minorHAnsi" w:cstheme="minorHAnsi"/>
          <w:sz w:val="22"/>
          <w:szCs w:val="22"/>
          <w:lang w:val="fr-BE"/>
        </w:rPr>
        <w:t>Plata</w:t>
      </w:r>
      <w:proofErr w:type="spellEnd"/>
      <w:r w:rsidRPr="00C83D17">
        <w:rPr>
          <w:rFonts w:asciiTheme="minorHAnsi" w:hAnsiTheme="minorHAnsi" w:cstheme="minorHAnsi"/>
          <w:sz w:val="22"/>
          <w:szCs w:val="22"/>
          <w:lang w:val="fr-BE"/>
        </w:rPr>
        <w:t xml:space="preserve">, Argentina </w:t>
      </w:r>
    </w:p>
    <w:p w14:paraId="636CBE03" w14:textId="135F4315" w:rsidR="00371939" w:rsidRDefault="00C83D17" w:rsidP="00C83D17">
      <w:pPr>
        <w:pStyle w:val="Corpsdetexte"/>
        <w:numPr>
          <w:ilvl w:val="0"/>
          <w:numId w:val="5"/>
        </w:numPr>
        <w:spacing w:before="2"/>
        <w:rPr>
          <w:rFonts w:asciiTheme="minorHAnsi" w:hAnsiTheme="minorHAnsi" w:cstheme="minorHAnsi"/>
          <w:sz w:val="22"/>
          <w:szCs w:val="22"/>
        </w:rPr>
      </w:pPr>
      <w:r w:rsidRPr="00C83D17">
        <w:rPr>
          <w:rFonts w:asciiTheme="minorHAnsi" w:hAnsiTheme="minorHAnsi" w:cstheme="minorHAnsi"/>
          <w:sz w:val="22"/>
          <w:szCs w:val="22"/>
        </w:rPr>
        <w:t>Department of Chemical, Pharmaceutical and Agricultural Sciences, University of Ferrara, 44121, Ferrara, Italy</w:t>
      </w:r>
    </w:p>
    <w:p w14:paraId="22DF44E0" w14:textId="77777777" w:rsidR="00C83D17" w:rsidRPr="00763248" w:rsidRDefault="00C83D17" w:rsidP="00C83D17">
      <w:pPr>
        <w:pStyle w:val="Corpsdetexte"/>
        <w:spacing w:before="2"/>
        <w:ind w:left="72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7B738AB1" w:rsidR="00371939" w:rsidRDefault="00371939" w:rsidP="00371939">
      <w:pPr>
        <w:spacing w:before="44" w:line="276" w:lineRule="auto"/>
        <w:ind w:right="807"/>
        <w:jc w:val="both"/>
        <w:rPr>
          <w:rFonts w:cstheme="minorHAnsi"/>
          <w:spacing w:val="-5"/>
        </w:rPr>
      </w:pPr>
      <w:r w:rsidRPr="00763248">
        <w:rPr>
          <w:rFonts w:cstheme="minorHAnsi"/>
          <w:b/>
          <w:iCs/>
        </w:rPr>
        <w:t>Keywords</w:t>
      </w:r>
      <w:r w:rsidRPr="004235D5">
        <w:rPr>
          <w:b/>
          <w:iCs/>
        </w:rPr>
        <w:t>:</w:t>
      </w:r>
      <w:r w:rsidRPr="004235D5">
        <w:rPr>
          <w:iCs/>
        </w:rPr>
        <w:t xml:space="preserve"> </w:t>
      </w:r>
      <w:r w:rsidR="00C83D17" w:rsidRPr="00C83D17">
        <w:rPr>
          <w:iCs/>
        </w:rPr>
        <w:t>Comprehensive two-dimensional</w:t>
      </w:r>
      <w:r w:rsidR="00C83D17">
        <w:rPr>
          <w:iCs/>
        </w:rPr>
        <w:t xml:space="preserve"> </w:t>
      </w:r>
      <w:r w:rsidR="00C83D17" w:rsidRPr="00C83D17">
        <w:rPr>
          <w:iCs/>
        </w:rPr>
        <w:t>gas chromatography Solid-phase</w:t>
      </w:r>
      <w:r w:rsidR="001C17BF">
        <w:rPr>
          <w:iCs/>
        </w:rPr>
        <w:t xml:space="preserve"> </w:t>
      </w:r>
      <w:r w:rsidR="00C83D17" w:rsidRPr="00C83D17">
        <w:rPr>
          <w:iCs/>
        </w:rPr>
        <w:t xml:space="preserve">microextraction Vacuum-assisted headspace </w:t>
      </w:r>
      <w:proofErr w:type="gramStart"/>
      <w:r w:rsidR="00C83D17" w:rsidRPr="00C83D17">
        <w:rPr>
          <w:iCs/>
        </w:rPr>
        <w:t>Multi-cumulative</w:t>
      </w:r>
      <w:proofErr w:type="gramEnd"/>
      <w:r w:rsidR="00C83D17" w:rsidRPr="00C83D17">
        <w:rPr>
          <w:iCs/>
        </w:rPr>
        <w:t xml:space="preserve"> trapping Virgin olive oil</w:t>
      </w:r>
      <w:r w:rsidR="001C17BF">
        <w:rPr>
          <w:iCs/>
        </w:rPr>
        <w:t xml:space="preserve"> </w:t>
      </w:r>
      <w:r w:rsidR="00C83D17" w:rsidRPr="00C83D17">
        <w:rPr>
          <w:iCs/>
        </w:rPr>
        <w:t>Volatile quality markers</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7F3A1BBE" w14:textId="77777777" w:rsidR="00D47EC6" w:rsidRDefault="00C83D17" w:rsidP="00A256EA">
      <w:pPr>
        <w:widowControl/>
        <w:autoSpaceDE/>
        <w:autoSpaceDN/>
        <w:spacing w:after="120" w:line="276" w:lineRule="auto"/>
        <w:jc w:val="both"/>
        <w:rPr>
          <w:rFonts w:ascii="Calibri" w:eastAsia="Calibri" w:hAnsi="Calibri"/>
          <w:bCs/>
        </w:rPr>
      </w:pPr>
      <w:r w:rsidRPr="00C83D17">
        <w:rPr>
          <w:rFonts w:ascii="Calibri" w:eastAsia="Calibri" w:hAnsi="Calibri"/>
          <w:bCs/>
        </w:rPr>
        <w:t xml:space="preserve">In the present work vacuum (Vac) and multiple cumulative trapping (MCT) headspace solid phase microextraction (HS-SPME) were evaluated as alternative or combined techniques for </w:t>
      </w:r>
      <w:proofErr w:type="gramStart"/>
      <w:r w:rsidRPr="00C83D17">
        <w:rPr>
          <w:rFonts w:ascii="Calibri" w:eastAsia="Calibri" w:hAnsi="Calibri"/>
          <w:bCs/>
        </w:rPr>
        <w:t>the volatile</w:t>
      </w:r>
      <w:proofErr w:type="gramEnd"/>
      <w:r w:rsidRPr="00C83D17">
        <w:rPr>
          <w:rFonts w:ascii="Calibri" w:eastAsia="Calibri" w:hAnsi="Calibri"/>
          <w:bCs/>
        </w:rPr>
        <w:t xml:space="preserve"> profiling. A higher extraction performance for semi-volatiles was shown by all three techniques. Synergic combination of Vac and MCT showed up to </w:t>
      </w:r>
      <w:proofErr w:type="gramStart"/>
      <w:r w:rsidRPr="00C83D17">
        <w:rPr>
          <w:rFonts w:ascii="Calibri" w:eastAsia="Calibri" w:hAnsi="Calibri"/>
          <w:bCs/>
        </w:rPr>
        <w:t>5-times</w:t>
      </w:r>
      <w:proofErr w:type="gramEnd"/>
      <w:r w:rsidRPr="00C83D17">
        <w:rPr>
          <w:rFonts w:ascii="Calibri" w:eastAsia="Calibri" w:hAnsi="Calibri"/>
          <w:bCs/>
        </w:rPr>
        <w:t xml:space="preserve"> extraction power for less volatile compounds. The hyphenation of said techniques with comprehensive two-dimensional gas chromatography (GC × GC) enabled a comprehensive analysis of the </w:t>
      </w:r>
      <w:proofErr w:type="spellStart"/>
      <w:r w:rsidRPr="00C83D17">
        <w:rPr>
          <w:rFonts w:ascii="Calibri" w:eastAsia="Calibri" w:hAnsi="Calibri"/>
          <w:bCs/>
        </w:rPr>
        <w:t>volatilome</w:t>
      </w:r>
      <w:proofErr w:type="spellEnd"/>
      <w:r w:rsidRPr="00C83D17">
        <w:rPr>
          <w:rFonts w:ascii="Calibri" w:eastAsia="Calibri" w:hAnsi="Calibri"/>
          <w:bCs/>
        </w:rPr>
        <w:t>. Firstly, 18 targeted quality markers, previously defined by means of classical HS-SPME, were explored for their ability to classify commercial categories. The applicability of such markers proved to be limited with the alternative sampling techniques. An untargeted approach enables the selection of specific features for each technique showing a better classification capacity of the commercial categories. No misclassifications were observed, except for one extra virgin olive oil classified as virgin olive oil in 3 × 10 min Vac-MCT-HS-SPME.</w:t>
      </w:r>
    </w:p>
    <w:p w14:paraId="1AFD14CE" w14:textId="77777777" w:rsidR="00951EBA" w:rsidRDefault="00951EBA" w:rsidP="00A256EA">
      <w:pPr>
        <w:widowControl/>
        <w:autoSpaceDE/>
        <w:autoSpaceDN/>
        <w:spacing w:after="120" w:line="276" w:lineRule="auto"/>
        <w:jc w:val="both"/>
        <w:rPr>
          <w:rFonts w:ascii="Calibri" w:eastAsia="Calibri" w:hAnsi="Calibri"/>
          <w:bCs/>
        </w:rPr>
      </w:pPr>
    </w:p>
    <w:p w14:paraId="19546CEB" w14:textId="77777777" w:rsidR="00951EBA" w:rsidRDefault="00D47EC6" w:rsidP="00A256EA">
      <w:pPr>
        <w:widowControl/>
        <w:autoSpaceDE/>
        <w:autoSpaceDN/>
        <w:spacing w:after="120" w:line="276" w:lineRule="auto"/>
        <w:jc w:val="both"/>
        <w:rPr>
          <w:rFonts w:ascii="Calibri" w:eastAsia="Calibri" w:hAnsi="Calibri"/>
          <w:bCs/>
          <w:lang w:val="en-GB"/>
        </w:rPr>
      </w:pPr>
      <w:r w:rsidRPr="00D47EC6">
        <w:rPr>
          <w:rFonts w:ascii="Calibri" w:eastAsia="Calibri" w:hAnsi="Calibri"/>
          <w:bCs/>
          <w:noProof/>
          <w:lang w:val="en-GB"/>
        </w:rPr>
        <mc:AlternateContent>
          <mc:Choice Requires="wps">
            <w:drawing>
              <wp:anchor distT="0" distB="0" distL="114300" distR="114300" simplePos="0" relativeHeight="251659264" behindDoc="0" locked="0" layoutInCell="1" allowOverlap="1" wp14:anchorId="0D70D878" wp14:editId="3EC3FFE7">
                <wp:simplePos x="0" y="0"/>
                <wp:positionH relativeFrom="column">
                  <wp:posOffset>-1933</wp:posOffset>
                </wp:positionH>
                <wp:positionV relativeFrom="paragraph">
                  <wp:posOffset>148258</wp:posOffset>
                </wp:positionV>
                <wp:extent cx="921716" cy="7951"/>
                <wp:effectExtent l="0" t="0" r="31115" b="30480"/>
                <wp:wrapNone/>
                <wp:docPr id="784021954" name="Connecteur droit 2"/>
                <wp:cNvGraphicFramePr/>
                <a:graphic xmlns:a="http://schemas.openxmlformats.org/drawingml/2006/main">
                  <a:graphicData uri="http://schemas.microsoft.com/office/word/2010/wordprocessingShape">
                    <wps:wsp>
                      <wps:cNvCnPr/>
                      <wps:spPr>
                        <a:xfrm>
                          <a:off x="0" y="0"/>
                          <a:ext cx="921716"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D86DB"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65pt" to="72.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" strokecolor="black [3040]"/>
            </w:pict>
          </mc:Fallback>
        </mc:AlternateContent>
      </w:r>
    </w:p>
    <w:p w14:paraId="51846BED" w14:textId="057FF7DC" w:rsidR="00371939" w:rsidRPr="00951EBA" w:rsidRDefault="00D47EC6" w:rsidP="00A256EA">
      <w:pPr>
        <w:widowControl/>
        <w:autoSpaceDE/>
        <w:autoSpaceDN/>
        <w:spacing w:after="120" w:line="276" w:lineRule="auto"/>
        <w:jc w:val="both"/>
        <w:rPr>
          <w:rFonts w:ascii="Calibri" w:eastAsia="Calibri" w:hAnsi="Calibri"/>
          <w:bCs/>
          <w:lang w:val="en-GB"/>
        </w:rPr>
      </w:pPr>
      <w:r w:rsidRPr="00D47EC6">
        <w:rPr>
          <w:rFonts w:eastAsia="Calibri" w:cstheme="minorHAnsi"/>
          <w:bCs/>
        </w:rPr>
        <w:t>* Corresponding author. E-mail address: gpurcaro@uliege.be (G. Purcaro)</w:t>
      </w:r>
    </w:p>
    <w:p w14:paraId="5F9A6B5B" w14:textId="77777777" w:rsidR="00D47EC6" w:rsidRDefault="00D47EC6" w:rsidP="004676ED">
      <w:pPr>
        <w:widowControl/>
        <w:autoSpaceDE/>
        <w:autoSpaceDN/>
        <w:spacing w:after="120" w:line="276" w:lineRule="auto"/>
        <w:ind w:firstLine="720"/>
        <w:jc w:val="both"/>
        <w:rPr>
          <w:rFonts w:ascii="Calibri" w:eastAsia="Calibri" w:hAnsi="Calibri"/>
          <w:bCs/>
          <w:lang w:val="en-GB"/>
        </w:rPr>
      </w:pPr>
      <w:r w:rsidRPr="00D47EC6">
        <w:rPr>
          <w:rFonts w:ascii="Calibri" w:eastAsia="Calibri" w:hAnsi="Calibri"/>
          <w:bCs/>
        </w:rPr>
        <w:t xml:space="preserve">E-mail address: </w:t>
      </w:r>
      <w:r w:rsidRPr="00D47EC6">
        <w:rPr>
          <w:rFonts w:ascii="Calibri" w:eastAsia="Calibri" w:hAnsi="Calibri"/>
          <w:bCs/>
          <w:color w:val="4BACC6" w:themeColor="accent5"/>
        </w:rPr>
        <w:t xml:space="preserve">gpurcaro@uliege.be </w:t>
      </w:r>
      <w:r w:rsidRPr="00D47EC6">
        <w:rPr>
          <w:rFonts w:ascii="Calibri" w:eastAsia="Calibri" w:hAnsi="Calibri"/>
          <w:bCs/>
        </w:rPr>
        <w:t>(G. Purcaro)</w:t>
      </w:r>
    </w:p>
    <w:p w14:paraId="454CFFB4" w14:textId="509D17CD" w:rsidR="004676ED" w:rsidRPr="004676ED" w:rsidRDefault="004676ED" w:rsidP="004676ED">
      <w:pPr>
        <w:widowControl/>
        <w:autoSpaceDE/>
        <w:autoSpaceDN/>
        <w:spacing w:after="120" w:line="276" w:lineRule="auto"/>
        <w:jc w:val="both"/>
        <w:rPr>
          <w:rFonts w:ascii="Calibri" w:eastAsia="Calibri" w:hAnsi="Calibri"/>
          <w:bCs/>
          <w:lang w:val="en-GB"/>
        </w:rPr>
        <w:sectPr w:rsidR="004676ED" w:rsidRPr="004676ED" w:rsidSect="000504DE">
          <w:headerReference w:type="default" r:id="rId8"/>
          <w:type w:val="continuous"/>
          <w:pgSz w:w="11910" w:h="15880"/>
          <w:pgMar w:top="1418" w:right="1418" w:bottom="1418" w:left="1418" w:header="720" w:footer="720" w:gutter="0"/>
          <w:cols w:space="720"/>
        </w:sectPr>
      </w:pPr>
    </w:p>
    <w:p w14:paraId="733B4914" w14:textId="36A5DB8E" w:rsidR="000504DE" w:rsidRDefault="00FA32E5" w:rsidP="004676ED">
      <w:pPr>
        <w:pStyle w:val="Titre1"/>
        <w:ind w:left="0"/>
      </w:pPr>
      <w:r w:rsidRPr="00FA32E5">
        <w:lastRenderedPageBreak/>
        <w:t>Introduction</w:t>
      </w:r>
    </w:p>
    <w:p w14:paraId="1C469DB1" w14:textId="77777777" w:rsidR="004676ED" w:rsidRDefault="004676ED" w:rsidP="00FA32E5">
      <w:pPr>
        <w:pStyle w:val="Corpsdetexte"/>
        <w:spacing w:line="273" w:lineRule="auto"/>
        <w:rPr>
          <w:rFonts w:asciiTheme="minorHAnsi" w:hAnsiTheme="minorHAnsi" w:cstheme="minorHAnsi"/>
          <w:sz w:val="22"/>
          <w:szCs w:val="22"/>
        </w:rPr>
      </w:pPr>
    </w:p>
    <w:p w14:paraId="65673216" w14:textId="176304A4" w:rsidR="00EC4C84" w:rsidRDefault="004676ED" w:rsidP="00EC4C84">
      <w:pPr>
        <w:pStyle w:val="Corpsdetexte"/>
        <w:spacing w:line="273" w:lineRule="auto"/>
        <w:ind w:firstLine="677"/>
        <w:rPr>
          <w:rFonts w:asciiTheme="minorHAnsi" w:hAnsiTheme="minorHAnsi" w:cstheme="minorHAnsi"/>
          <w:sz w:val="22"/>
          <w:szCs w:val="22"/>
        </w:rPr>
      </w:pPr>
      <w:r w:rsidRPr="004676ED">
        <w:rPr>
          <w:rFonts w:asciiTheme="minorHAnsi" w:hAnsiTheme="minorHAnsi" w:cstheme="minorHAnsi"/>
          <w:sz w:val="22"/>
          <w:szCs w:val="22"/>
        </w:rPr>
        <w:t xml:space="preserve">In 1990, Arthur and </w:t>
      </w:r>
      <w:proofErr w:type="spellStart"/>
      <w:r w:rsidRPr="004676ED">
        <w:rPr>
          <w:rFonts w:asciiTheme="minorHAnsi" w:hAnsiTheme="minorHAnsi" w:cstheme="minorHAnsi"/>
          <w:sz w:val="22"/>
          <w:szCs w:val="22"/>
        </w:rPr>
        <w:t>Pawliszyn</w:t>
      </w:r>
      <w:proofErr w:type="spellEnd"/>
      <w:r w:rsidRPr="004676ED">
        <w:rPr>
          <w:rFonts w:asciiTheme="minorHAnsi" w:hAnsiTheme="minorHAnsi" w:cstheme="minorHAnsi"/>
          <w:sz w:val="22"/>
          <w:szCs w:val="22"/>
        </w:rPr>
        <w:t xml:space="preserve"> developed a solvent-free sample preparation method known as solid-phase microextraction (SPME) (Arthur &amp; </w:t>
      </w:r>
      <w:proofErr w:type="spellStart"/>
      <w:r w:rsidRPr="004676ED">
        <w:rPr>
          <w:rFonts w:asciiTheme="minorHAnsi" w:hAnsiTheme="minorHAnsi" w:cstheme="minorHAnsi"/>
          <w:sz w:val="22"/>
          <w:szCs w:val="22"/>
        </w:rPr>
        <w:t>Pawliszyn</w:t>
      </w:r>
      <w:proofErr w:type="spellEnd"/>
      <w:r w:rsidRPr="004676ED">
        <w:rPr>
          <w:rFonts w:asciiTheme="minorHAnsi" w:hAnsiTheme="minorHAnsi" w:cstheme="minorHAnsi"/>
          <w:sz w:val="22"/>
          <w:szCs w:val="22"/>
        </w:rPr>
        <w:t xml:space="preserve">, 1990). Since its introduction, it has experienced exponential popularity and rapid diffusion in several fields of application, including pharmaceutical, environmental, and food analysis (Souza-Silva, Gionfriddo, &amp; </w:t>
      </w:r>
      <w:proofErr w:type="spellStart"/>
      <w:r w:rsidRPr="004676ED">
        <w:rPr>
          <w:rFonts w:asciiTheme="minorHAnsi" w:hAnsiTheme="minorHAnsi" w:cstheme="minorHAnsi"/>
          <w:sz w:val="22"/>
          <w:szCs w:val="22"/>
        </w:rPr>
        <w:t>Pawliszyn</w:t>
      </w:r>
      <w:proofErr w:type="spellEnd"/>
      <w:r w:rsidRPr="004676ED">
        <w:rPr>
          <w:rFonts w:asciiTheme="minorHAnsi" w:hAnsiTheme="minorHAnsi" w:cstheme="minorHAnsi"/>
          <w:sz w:val="22"/>
          <w:szCs w:val="22"/>
        </w:rPr>
        <w:t>, 2015; Tranchida, Purcaro, Maimone, &amp; Mondello, 2016; Xu et al., 2016). Thanks to its simplicity for automation, commercial availability of a fair variety of sorbent materials, and null or very limited solvent use, SPME is still one of the most applied miniaturized and green analytical techniques, especially in the analysis of volatiles and semi-volatiles (Badawy, El-</w:t>
      </w:r>
      <w:proofErr w:type="spellStart"/>
      <w:r w:rsidRPr="004676ED">
        <w:rPr>
          <w:rFonts w:asciiTheme="minorHAnsi" w:hAnsiTheme="minorHAnsi" w:cstheme="minorHAnsi"/>
          <w:sz w:val="22"/>
          <w:szCs w:val="22"/>
        </w:rPr>
        <w:t>Nouby</w:t>
      </w:r>
      <w:proofErr w:type="spellEnd"/>
      <w:r w:rsidRPr="004676ED">
        <w:rPr>
          <w:rFonts w:asciiTheme="minorHAnsi" w:hAnsiTheme="minorHAnsi" w:cstheme="minorHAnsi"/>
          <w:sz w:val="22"/>
          <w:szCs w:val="22"/>
        </w:rPr>
        <w:t>, Kimani, Lim, &amp; Rabea, 2022). Among the various formats and extraction modes, fiber and headspace (HS) extraction are still the most employed as robust and reliable methods to preconcentrate semi-volatile and volatile analytes (</w:t>
      </w:r>
      <w:proofErr w:type="spellStart"/>
      <w:r w:rsidRPr="004676ED">
        <w:rPr>
          <w:rFonts w:asciiTheme="minorHAnsi" w:hAnsiTheme="minorHAnsi" w:cstheme="minorHAnsi"/>
          <w:sz w:val="22"/>
          <w:szCs w:val="22"/>
        </w:rPr>
        <w:t>Lancioni</w:t>
      </w:r>
      <w:proofErr w:type="spellEnd"/>
      <w:r w:rsidRPr="004676ED">
        <w:rPr>
          <w:rFonts w:asciiTheme="minorHAnsi" w:hAnsiTheme="minorHAnsi" w:cstheme="minorHAnsi"/>
          <w:sz w:val="22"/>
          <w:szCs w:val="22"/>
        </w:rPr>
        <w:t xml:space="preserve">, Castells, Candal, &amp; Tascon, 2022). </w:t>
      </w:r>
      <w:proofErr w:type="gramStart"/>
      <w:r w:rsidRPr="004676ED">
        <w:rPr>
          <w:rFonts w:asciiTheme="minorHAnsi" w:hAnsiTheme="minorHAnsi" w:cstheme="minorHAnsi"/>
          <w:sz w:val="22"/>
          <w:szCs w:val="22"/>
        </w:rPr>
        <w:t>In particular, SPME</w:t>
      </w:r>
      <w:proofErr w:type="gramEnd"/>
      <w:r w:rsidRPr="004676ED">
        <w:rPr>
          <w:rFonts w:asciiTheme="minorHAnsi" w:hAnsiTheme="minorHAnsi" w:cstheme="minorHAnsi"/>
          <w:sz w:val="22"/>
          <w:szCs w:val="22"/>
        </w:rPr>
        <w:t xml:space="preserve"> has found wide application in untargeted metabolomics studies, being highly suitable to be coupled with powerful chromatographic</w:t>
      </w:r>
      <w:r>
        <w:rPr>
          <w:rFonts w:asciiTheme="minorHAnsi" w:hAnsiTheme="minorHAnsi" w:cstheme="minorHAnsi"/>
          <w:sz w:val="22"/>
          <w:szCs w:val="22"/>
        </w:rPr>
        <w:t xml:space="preserve"> </w:t>
      </w:r>
      <w:r w:rsidRPr="004676ED">
        <w:rPr>
          <w:rFonts w:asciiTheme="minorHAnsi" w:hAnsiTheme="minorHAnsi" w:cstheme="minorHAnsi"/>
          <w:sz w:val="22"/>
          <w:szCs w:val="22"/>
        </w:rPr>
        <w:t>techniques such as comprehensive two-dimensional gas chromatography (GC × GC) coupled with mass spectrometry (MS). This technique can provide highly specific chromatographic fingerprints from which different levels of information can be extracted thanks to dedicated data handling. GC × GC allows for enhanced characterization of the broad range of compounds extracted using SPME. Nevertheless, the coverage of compounds in untargeted studies is determined by a compromise between sensitivity and sample throughput. Indeed, sensitivity is maximized when the extraction is performed under equilibrium conditions. However, attaining equilibrium can range from a few minutes to several hours, depending on the nature of the sample. Nevertheless, it should be noted that longer extraction times may hinder the extraction of some compounds due to the displacement effects (</w:t>
      </w:r>
      <w:proofErr w:type="spellStart"/>
      <w:r w:rsidRPr="004676ED">
        <w:rPr>
          <w:rFonts w:asciiTheme="minorHAnsi" w:hAnsiTheme="minorHAnsi" w:cstheme="minorHAnsi"/>
          <w:sz w:val="22"/>
          <w:szCs w:val="22"/>
        </w:rPr>
        <w:t>Goreck</w:t>
      </w:r>
      <w:r w:rsidR="00E00404">
        <w:rPr>
          <w:rFonts w:asciiTheme="minorHAnsi" w:hAnsiTheme="minorHAnsi" w:cstheme="minorHAnsi"/>
          <w:sz w:val="22"/>
          <w:szCs w:val="22"/>
        </w:rPr>
        <w:t>í</w:t>
      </w:r>
      <w:proofErr w:type="spellEnd"/>
      <w:r w:rsidRPr="004676ED">
        <w:rPr>
          <w:rFonts w:asciiTheme="minorHAnsi" w:hAnsiTheme="minorHAnsi" w:cstheme="minorHAnsi"/>
          <w:sz w:val="22"/>
          <w:szCs w:val="22"/>
        </w:rPr>
        <w:t xml:space="preserve"> &amp; </w:t>
      </w:r>
      <w:proofErr w:type="spellStart"/>
      <w:r w:rsidRPr="004676ED">
        <w:rPr>
          <w:rFonts w:asciiTheme="minorHAnsi" w:hAnsiTheme="minorHAnsi" w:cstheme="minorHAnsi"/>
          <w:sz w:val="22"/>
          <w:szCs w:val="22"/>
        </w:rPr>
        <w:t>Pawliszyn</w:t>
      </w:r>
      <w:proofErr w:type="spellEnd"/>
      <w:r w:rsidRPr="004676ED">
        <w:rPr>
          <w:rFonts w:asciiTheme="minorHAnsi" w:hAnsiTheme="minorHAnsi" w:cstheme="minorHAnsi"/>
          <w:sz w:val="22"/>
          <w:szCs w:val="22"/>
        </w:rPr>
        <w:t xml:space="preserve">, 1997; Trujillo-Rodríguez et al., 2017). Either when equilibrium is not reached or when displacement effects take place, the less volatile compounds are released from the fiber, thus limiting the coverage range of the extraction. </w:t>
      </w:r>
    </w:p>
    <w:p w14:paraId="0CADF9E9" w14:textId="373A0ADB" w:rsidR="00EC4C84" w:rsidRDefault="004676ED" w:rsidP="00EC4C84">
      <w:pPr>
        <w:pStyle w:val="Corpsdetexte"/>
        <w:spacing w:line="273" w:lineRule="auto"/>
        <w:ind w:firstLine="677"/>
        <w:rPr>
          <w:rFonts w:asciiTheme="minorHAnsi" w:hAnsiTheme="minorHAnsi" w:cstheme="minorHAnsi"/>
          <w:sz w:val="22"/>
          <w:szCs w:val="22"/>
        </w:rPr>
      </w:pPr>
      <w:r w:rsidRPr="004676ED">
        <w:rPr>
          <w:rFonts w:asciiTheme="minorHAnsi" w:hAnsiTheme="minorHAnsi" w:cstheme="minorHAnsi"/>
          <w:sz w:val="22"/>
          <w:szCs w:val="22"/>
        </w:rPr>
        <w:t>Temperature and stirring have been the most exploited parameters to improve the extraction capacity in SPME. However, other alternatives to</w:t>
      </w:r>
      <w:r w:rsidR="00EC4C84">
        <w:rPr>
          <w:rFonts w:asciiTheme="minorHAnsi" w:hAnsiTheme="minorHAnsi" w:cstheme="minorHAnsi"/>
          <w:sz w:val="22"/>
          <w:szCs w:val="22"/>
        </w:rPr>
        <w:t xml:space="preserve"> </w:t>
      </w:r>
      <w:r w:rsidR="00EC4C84" w:rsidRPr="00EC4C84">
        <w:rPr>
          <w:rFonts w:asciiTheme="minorHAnsi" w:hAnsiTheme="minorHAnsi" w:cstheme="minorHAnsi"/>
          <w:sz w:val="22"/>
          <w:szCs w:val="22"/>
        </w:rPr>
        <w:t xml:space="preserve">accelerate the extraction kinetics and increase the yield of less volatile compounds have been investigated more recently; namely, </w:t>
      </w:r>
      <w:proofErr w:type="spellStart"/>
      <w:r w:rsidR="00EC4C84" w:rsidRPr="00EC4C84">
        <w:rPr>
          <w:rFonts w:asciiTheme="minorHAnsi" w:hAnsiTheme="minorHAnsi" w:cstheme="minorHAnsi"/>
          <w:sz w:val="22"/>
          <w:szCs w:val="22"/>
        </w:rPr>
        <w:t>vacuumassisted</w:t>
      </w:r>
      <w:proofErr w:type="spellEnd"/>
      <w:r w:rsidR="00EC4C84" w:rsidRPr="00EC4C84">
        <w:rPr>
          <w:rFonts w:asciiTheme="minorHAnsi" w:hAnsiTheme="minorHAnsi" w:cstheme="minorHAnsi"/>
          <w:sz w:val="22"/>
          <w:szCs w:val="22"/>
        </w:rPr>
        <w:t xml:space="preserve"> (Vac-) and multi-cumulative trapping (MCT) HS. The former, consisting </w:t>
      </w:r>
      <w:proofErr w:type="gramStart"/>
      <w:r w:rsidR="00EC4C84" w:rsidRPr="00EC4C84">
        <w:rPr>
          <w:rFonts w:asciiTheme="minorHAnsi" w:hAnsiTheme="minorHAnsi" w:cstheme="minorHAnsi"/>
          <w:sz w:val="22"/>
          <w:szCs w:val="22"/>
        </w:rPr>
        <w:t>in</w:t>
      </w:r>
      <w:proofErr w:type="gramEnd"/>
      <w:r w:rsidR="00EC4C84" w:rsidRPr="00EC4C84">
        <w:rPr>
          <w:rFonts w:asciiTheme="minorHAnsi" w:hAnsiTheme="minorHAnsi" w:cstheme="minorHAnsi"/>
          <w:sz w:val="22"/>
          <w:szCs w:val="22"/>
        </w:rPr>
        <w:t xml:space="preserve"> evacuating the air from the vial before exposing the SPME fiber, was introduced by Brunton et al. in 2001 (Brunton, Cronin, &amp; Monahan, 2001) and systematically investigated since 2012 by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et al.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2017;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Yiantzi, Sanchez-Prado, &amp; Kalogerakis, 2012; </w:t>
      </w:r>
      <w:proofErr w:type="spellStart"/>
      <w:r w:rsidR="00EC4C84" w:rsidRPr="00EC4C84">
        <w:rPr>
          <w:rFonts w:asciiTheme="minorHAnsi" w:hAnsiTheme="minorHAnsi" w:cstheme="minorHAnsi"/>
          <w:sz w:val="22"/>
          <w:szCs w:val="22"/>
        </w:rPr>
        <w:t>Solomou</w:t>
      </w:r>
      <w:proofErr w:type="spellEnd"/>
      <w:r w:rsidR="00EC4C84" w:rsidRPr="00EC4C84">
        <w:rPr>
          <w:rFonts w:asciiTheme="minorHAnsi" w:hAnsiTheme="minorHAnsi" w:cstheme="minorHAnsi"/>
          <w:sz w:val="22"/>
          <w:szCs w:val="22"/>
        </w:rPr>
        <w:t xml:space="preserve">, </w:t>
      </w:r>
      <w:proofErr w:type="spellStart"/>
      <w:r w:rsidR="00EC4C84" w:rsidRPr="00EC4C84">
        <w:rPr>
          <w:rFonts w:asciiTheme="minorHAnsi" w:hAnsiTheme="minorHAnsi" w:cstheme="minorHAnsi"/>
          <w:sz w:val="22"/>
          <w:szCs w:val="22"/>
        </w:rPr>
        <w:t>Bicchi</w:t>
      </w:r>
      <w:proofErr w:type="spellEnd"/>
      <w:r w:rsidR="00EC4C84" w:rsidRPr="00EC4C84">
        <w:rPr>
          <w:rFonts w:asciiTheme="minorHAnsi" w:hAnsiTheme="minorHAnsi" w:cstheme="minorHAnsi"/>
          <w:sz w:val="22"/>
          <w:szCs w:val="22"/>
        </w:rPr>
        <w:t xml:space="preserve">, </w:t>
      </w:r>
      <w:proofErr w:type="spellStart"/>
      <w:r w:rsidR="00EC4C84" w:rsidRPr="00EC4C84">
        <w:rPr>
          <w:rFonts w:asciiTheme="minorHAnsi" w:hAnsiTheme="minorHAnsi" w:cstheme="minorHAnsi"/>
          <w:sz w:val="22"/>
          <w:szCs w:val="22"/>
        </w:rPr>
        <w:t>Sgorbini</w:t>
      </w:r>
      <w:proofErr w:type="spellEnd"/>
      <w:r w:rsidR="00EC4C84" w:rsidRPr="00EC4C84">
        <w:rPr>
          <w:rFonts w:asciiTheme="minorHAnsi" w:hAnsiTheme="minorHAnsi" w:cstheme="minorHAnsi"/>
          <w:sz w:val="22"/>
          <w:szCs w:val="22"/>
        </w:rPr>
        <w:t xml:space="preserve">, &amp;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2020). Vac-HS-SPME has proven an outstanding effect in enhancing the kinetics of extraction at milder temperatures. Since 2012, Vac-HS-SPME has been effectively used with a variety of samples, both liquid and solid (</w:t>
      </w:r>
      <w:proofErr w:type="spellStart"/>
      <w:r w:rsidR="00EC4C84" w:rsidRPr="00EC4C84">
        <w:rPr>
          <w:rFonts w:asciiTheme="minorHAnsi" w:hAnsiTheme="minorHAnsi" w:cstheme="minorHAnsi"/>
          <w:sz w:val="22"/>
          <w:szCs w:val="22"/>
        </w:rPr>
        <w:t>Mascrez</w:t>
      </w:r>
      <w:proofErr w:type="spellEnd"/>
      <w:r w:rsidR="00EC4C84" w:rsidRPr="00EC4C84">
        <w:rPr>
          <w:rFonts w:asciiTheme="minorHAnsi" w:hAnsiTheme="minorHAnsi" w:cstheme="minorHAnsi"/>
          <w:sz w:val="22"/>
          <w:szCs w:val="22"/>
        </w:rPr>
        <w:t xml:space="preserve">, Psillakis, &amp; Purcaro, 2020;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w:t>
      </w:r>
      <w:proofErr w:type="spellStart"/>
      <w:r w:rsidR="00EC4C84" w:rsidRPr="00EC4C84">
        <w:rPr>
          <w:rFonts w:asciiTheme="minorHAnsi" w:hAnsiTheme="minorHAnsi" w:cstheme="minorHAnsi"/>
          <w:sz w:val="22"/>
          <w:szCs w:val="22"/>
        </w:rPr>
        <w:t>Koutela</w:t>
      </w:r>
      <w:proofErr w:type="spellEnd"/>
      <w:r w:rsidR="00EC4C84" w:rsidRPr="00EC4C84">
        <w:rPr>
          <w:rFonts w:asciiTheme="minorHAnsi" w:hAnsiTheme="minorHAnsi" w:cstheme="minorHAnsi"/>
          <w:sz w:val="22"/>
          <w:szCs w:val="22"/>
        </w:rPr>
        <w:t xml:space="preserve">, &amp; Colussi, 2019;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Yiantzi, &amp; Kalogerakis, 2013; </w:t>
      </w:r>
      <w:proofErr w:type="spellStart"/>
      <w:r w:rsidR="00EC4C84" w:rsidRPr="00EC4C84">
        <w:rPr>
          <w:rFonts w:asciiTheme="minorHAnsi" w:hAnsiTheme="minorHAnsi" w:cstheme="minorHAnsi"/>
          <w:sz w:val="22"/>
          <w:szCs w:val="22"/>
        </w:rPr>
        <w:t>Vakinti</w:t>
      </w:r>
      <w:proofErr w:type="spellEnd"/>
      <w:r w:rsidR="00EC4C84" w:rsidRPr="00EC4C84">
        <w:rPr>
          <w:rFonts w:asciiTheme="minorHAnsi" w:hAnsiTheme="minorHAnsi" w:cstheme="minorHAnsi"/>
          <w:sz w:val="22"/>
          <w:szCs w:val="22"/>
        </w:rPr>
        <w:t>, Mela, Fern</w:t>
      </w:r>
      <w:r w:rsidR="00E00404">
        <w:rPr>
          <w:rFonts w:ascii="Avenir Next LT Pro" w:hAnsi="Avenir Next LT Pro" w:cstheme="minorHAnsi"/>
          <w:sz w:val="22"/>
          <w:szCs w:val="22"/>
        </w:rPr>
        <w:t>á</w:t>
      </w:r>
      <w:r w:rsidR="00EC4C84" w:rsidRPr="00EC4C84">
        <w:rPr>
          <w:rFonts w:asciiTheme="minorHAnsi" w:hAnsiTheme="minorHAnsi" w:cstheme="minorHAnsi"/>
          <w:sz w:val="22"/>
          <w:szCs w:val="22"/>
        </w:rPr>
        <w:t xml:space="preserve">ndez, &amp;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2019; </w:t>
      </w:r>
      <w:proofErr w:type="spellStart"/>
      <w:r w:rsidR="00EC4C84" w:rsidRPr="00EC4C84">
        <w:rPr>
          <w:rFonts w:asciiTheme="minorHAnsi" w:hAnsiTheme="minorHAnsi" w:cstheme="minorHAnsi"/>
          <w:sz w:val="22"/>
          <w:szCs w:val="22"/>
        </w:rPr>
        <w:t>Yiantzi</w:t>
      </w:r>
      <w:proofErr w:type="spellEnd"/>
      <w:r w:rsidR="00EC4C84" w:rsidRPr="00EC4C84">
        <w:rPr>
          <w:rFonts w:asciiTheme="minorHAnsi" w:hAnsiTheme="minorHAnsi" w:cstheme="minorHAnsi"/>
          <w:sz w:val="22"/>
          <w:szCs w:val="22"/>
        </w:rPr>
        <w:t xml:space="preserve">, Kalogerakis, &amp; </w:t>
      </w:r>
      <w:proofErr w:type="spellStart"/>
      <w:r w:rsidR="00EC4C84" w:rsidRPr="00EC4C84">
        <w:rPr>
          <w:rFonts w:asciiTheme="minorHAnsi" w:hAnsiTheme="minorHAnsi" w:cstheme="minorHAnsi"/>
          <w:sz w:val="22"/>
          <w:szCs w:val="22"/>
        </w:rPr>
        <w:t>Psillakis</w:t>
      </w:r>
      <w:proofErr w:type="spellEnd"/>
      <w:r w:rsidR="00EC4C84" w:rsidRPr="00EC4C84">
        <w:rPr>
          <w:rFonts w:asciiTheme="minorHAnsi" w:hAnsiTheme="minorHAnsi" w:cstheme="minorHAnsi"/>
          <w:sz w:val="22"/>
          <w:szCs w:val="22"/>
        </w:rPr>
        <w:t xml:space="preserve">, 2015, 2016). </w:t>
      </w:r>
      <w:proofErr w:type="gramStart"/>
      <w:r w:rsidR="00EC4C84" w:rsidRPr="00EC4C84">
        <w:rPr>
          <w:rFonts w:asciiTheme="minorHAnsi" w:hAnsiTheme="minorHAnsi" w:cstheme="minorHAnsi"/>
          <w:sz w:val="22"/>
          <w:szCs w:val="22"/>
        </w:rPr>
        <w:t>In particular, we</w:t>
      </w:r>
      <w:proofErr w:type="gramEnd"/>
      <w:r w:rsidR="00EC4C84" w:rsidRPr="00EC4C84">
        <w:rPr>
          <w:rFonts w:asciiTheme="minorHAnsi" w:hAnsiTheme="minorHAnsi" w:cstheme="minorHAnsi"/>
          <w:sz w:val="22"/>
          <w:szCs w:val="22"/>
        </w:rPr>
        <w:t xml:space="preserve"> investigated its effect </w:t>
      </w:r>
      <w:proofErr w:type="gramStart"/>
      <w:r w:rsidR="00EC4C84" w:rsidRPr="00EC4C84">
        <w:rPr>
          <w:rFonts w:asciiTheme="minorHAnsi" w:hAnsiTheme="minorHAnsi" w:cstheme="minorHAnsi"/>
          <w:sz w:val="22"/>
          <w:szCs w:val="22"/>
        </w:rPr>
        <w:t>in</w:t>
      </w:r>
      <w:proofErr w:type="gramEnd"/>
      <w:r w:rsidR="00EC4C84" w:rsidRPr="00EC4C84">
        <w:rPr>
          <w:rFonts w:asciiTheme="minorHAnsi" w:hAnsiTheme="minorHAnsi" w:cstheme="minorHAnsi"/>
          <w:sz w:val="22"/>
          <w:szCs w:val="22"/>
        </w:rPr>
        <w:t xml:space="preserve"> the extraction from fat samples (i.e., virgin olive oil) for the first time, proving an increment up to almost 10-fold (i.e., for α-</w:t>
      </w:r>
      <w:proofErr w:type="spellStart"/>
      <w:r w:rsidR="00EC4C84" w:rsidRPr="00EC4C84">
        <w:rPr>
          <w:rFonts w:asciiTheme="minorHAnsi" w:hAnsiTheme="minorHAnsi" w:cstheme="minorHAnsi"/>
          <w:sz w:val="22"/>
          <w:szCs w:val="22"/>
        </w:rPr>
        <w:t>farnesene</w:t>
      </w:r>
      <w:proofErr w:type="spellEnd"/>
      <w:r w:rsidR="00EC4C84" w:rsidRPr="00EC4C84">
        <w:rPr>
          <w:rFonts w:asciiTheme="minorHAnsi" w:hAnsiTheme="minorHAnsi" w:cstheme="minorHAnsi"/>
          <w:sz w:val="22"/>
          <w:szCs w:val="22"/>
        </w:rPr>
        <w:t xml:space="preserve">) on the less volatile compounds. Moreover, a synergic effect with temperature that </w:t>
      </w:r>
      <w:r w:rsidR="00EC4C84" w:rsidRPr="00EC4C84">
        <w:rPr>
          <w:rFonts w:asciiTheme="minorHAnsi" w:hAnsiTheme="minorHAnsi" w:cstheme="minorHAnsi"/>
          <w:sz w:val="22"/>
          <w:szCs w:val="22"/>
        </w:rPr>
        <w:lastRenderedPageBreak/>
        <w:t>reduced the sample’s viscosity and favored the HS replenishment after the rapid depletion of the most volatile into the fiber was proven (</w:t>
      </w:r>
      <w:proofErr w:type="spellStart"/>
      <w:r w:rsidR="00EC4C84" w:rsidRPr="00EC4C84">
        <w:rPr>
          <w:rFonts w:asciiTheme="minorHAnsi" w:hAnsiTheme="minorHAnsi" w:cstheme="minorHAnsi"/>
          <w:sz w:val="22"/>
          <w:szCs w:val="22"/>
        </w:rPr>
        <w:t>Mascrez</w:t>
      </w:r>
      <w:proofErr w:type="spellEnd"/>
      <w:r w:rsidR="00EC4C84" w:rsidRPr="00EC4C84">
        <w:rPr>
          <w:rFonts w:asciiTheme="minorHAnsi" w:hAnsiTheme="minorHAnsi" w:cstheme="minorHAnsi"/>
          <w:sz w:val="22"/>
          <w:szCs w:val="22"/>
        </w:rPr>
        <w:t xml:space="preserve"> et al., 2020). </w:t>
      </w:r>
    </w:p>
    <w:p w14:paraId="51B22216" w14:textId="0C5AA664" w:rsidR="005A1512" w:rsidRDefault="00EC4C84" w:rsidP="00EC4C84">
      <w:pPr>
        <w:pStyle w:val="Corpsdetexte"/>
        <w:spacing w:line="273" w:lineRule="auto"/>
        <w:ind w:firstLine="677"/>
        <w:rPr>
          <w:rFonts w:asciiTheme="minorHAnsi" w:hAnsiTheme="minorHAnsi" w:cstheme="minorHAnsi"/>
          <w:sz w:val="22"/>
          <w:szCs w:val="22"/>
        </w:rPr>
      </w:pPr>
      <w:r w:rsidRPr="00EC4C84">
        <w:rPr>
          <w:rFonts w:asciiTheme="minorHAnsi" w:hAnsiTheme="minorHAnsi" w:cstheme="minorHAnsi"/>
          <w:sz w:val="22"/>
          <w:szCs w:val="22"/>
        </w:rPr>
        <w:t xml:space="preserve">Alternatively, MCT-HS-SPME has shown </w:t>
      </w:r>
      <w:proofErr w:type="gramStart"/>
      <w:r w:rsidRPr="00EC4C84">
        <w:rPr>
          <w:rFonts w:asciiTheme="minorHAnsi" w:hAnsiTheme="minorHAnsi" w:cstheme="minorHAnsi"/>
          <w:sz w:val="22"/>
          <w:szCs w:val="22"/>
        </w:rPr>
        <w:t>a</w:t>
      </w:r>
      <w:r>
        <w:rPr>
          <w:rFonts w:asciiTheme="minorHAnsi" w:hAnsiTheme="minorHAnsi" w:cstheme="minorHAnsi"/>
          <w:sz w:val="22"/>
          <w:szCs w:val="22"/>
        </w:rPr>
        <w:t xml:space="preserve"> </w:t>
      </w:r>
      <w:r w:rsidRPr="00EC4C84">
        <w:rPr>
          <w:rFonts w:asciiTheme="minorHAnsi" w:hAnsiTheme="minorHAnsi" w:cstheme="minorHAnsi"/>
          <w:sz w:val="22"/>
          <w:szCs w:val="22"/>
        </w:rPr>
        <w:t>similar</w:t>
      </w:r>
      <w:proofErr w:type="gramEnd"/>
      <w:r w:rsidRPr="00EC4C84">
        <w:rPr>
          <w:rFonts w:asciiTheme="minorHAnsi" w:hAnsiTheme="minorHAnsi" w:cstheme="minorHAnsi"/>
          <w:sz w:val="22"/>
          <w:szCs w:val="22"/>
        </w:rPr>
        <w:t xml:space="preserve"> </w:t>
      </w:r>
      <w:proofErr w:type="spellStart"/>
      <w:r w:rsidRPr="00EC4C84">
        <w:rPr>
          <w:rFonts w:asciiTheme="minorHAnsi" w:hAnsiTheme="minorHAnsi" w:cstheme="minorHAnsi"/>
          <w:sz w:val="22"/>
          <w:szCs w:val="22"/>
        </w:rPr>
        <w:t>behaviour</w:t>
      </w:r>
      <w:proofErr w:type="spellEnd"/>
      <w:r w:rsidRPr="00EC4C84">
        <w:rPr>
          <w:rFonts w:asciiTheme="minorHAnsi" w:hAnsiTheme="minorHAnsi" w:cstheme="minorHAnsi"/>
          <w:sz w:val="22"/>
          <w:szCs w:val="22"/>
        </w:rPr>
        <w:t xml:space="preserve"> towards the enrichment of the less volatile analytes when multiple extractions are performed from the same vial (</w:t>
      </w:r>
      <w:proofErr w:type="spellStart"/>
      <w:r w:rsidRPr="00EC4C84">
        <w:rPr>
          <w:rFonts w:asciiTheme="minorHAnsi" w:hAnsiTheme="minorHAnsi" w:cstheme="minorHAnsi"/>
          <w:sz w:val="22"/>
          <w:szCs w:val="22"/>
        </w:rPr>
        <w:t>Mascrez</w:t>
      </w:r>
      <w:proofErr w:type="spellEnd"/>
      <w:r w:rsidRPr="00EC4C84">
        <w:rPr>
          <w:rFonts w:asciiTheme="minorHAnsi" w:hAnsiTheme="minorHAnsi" w:cstheme="minorHAnsi"/>
          <w:sz w:val="22"/>
          <w:szCs w:val="22"/>
        </w:rPr>
        <w:t xml:space="preserve"> &amp; Purcaro, 2020b, 2020a; Spadafora, </w:t>
      </w:r>
      <w:proofErr w:type="spellStart"/>
      <w:r w:rsidRPr="00EC4C84">
        <w:rPr>
          <w:rFonts w:asciiTheme="minorHAnsi" w:hAnsiTheme="minorHAnsi" w:cstheme="minorHAnsi"/>
          <w:sz w:val="22"/>
          <w:szCs w:val="22"/>
        </w:rPr>
        <w:t>Mascrez</w:t>
      </w:r>
      <w:proofErr w:type="spellEnd"/>
      <w:r w:rsidRPr="00EC4C84">
        <w:rPr>
          <w:rFonts w:asciiTheme="minorHAnsi" w:hAnsiTheme="minorHAnsi" w:cstheme="minorHAnsi"/>
          <w:sz w:val="22"/>
          <w:szCs w:val="22"/>
        </w:rPr>
        <w:t xml:space="preserve">, McGregor, &amp; Purcaro, 2022). This technique consists in extracting multiple times from the HS of the same vial, desorbing the fiber each time in the injector, and trapping the compounds in a cold trap located between the injector and the analytical column. Once the defined number of </w:t>
      </w:r>
      <w:proofErr w:type="gramStart"/>
      <w:r w:rsidRPr="00EC4C84">
        <w:rPr>
          <w:rFonts w:asciiTheme="minorHAnsi" w:hAnsiTheme="minorHAnsi" w:cstheme="minorHAnsi"/>
          <w:sz w:val="22"/>
          <w:szCs w:val="22"/>
        </w:rPr>
        <w:t>extraction</w:t>
      </w:r>
      <w:proofErr w:type="gramEnd"/>
      <w:r w:rsidRPr="00EC4C84">
        <w:rPr>
          <w:rFonts w:asciiTheme="minorHAnsi" w:hAnsiTheme="minorHAnsi" w:cstheme="minorHAnsi"/>
          <w:sz w:val="22"/>
          <w:szCs w:val="22"/>
        </w:rPr>
        <w:t xml:space="preserve"> is completed, the cold trap is heated up and the trapped compounds transferred into the chromatographic column. The repeated extraction depletes the HS from the most volatile compounds, reducing displacement and favoring the mass transfer of the less volatile ones into the HS. The analytes extracted with the fiber are repeatedly trapped in a cold trap before thermal </w:t>
      </w:r>
      <w:proofErr w:type="gramStart"/>
      <w:r w:rsidRPr="00EC4C84">
        <w:rPr>
          <w:rFonts w:asciiTheme="minorHAnsi" w:hAnsiTheme="minorHAnsi" w:cstheme="minorHAnsi"/>
          <w:sz w:val="22"/>
          <w:szCs w:val="22"/>
        </w:rPr>
        <w:t>desorption</w:t>
      </w:r>
      <w:proofErr w:type="gramEnd"/>
      <w:r w:rsidRPr="00EC4C84">
        <w:rPr>
          <w:rFonts w:asciiTheme="minorHAnsi" w:hAnsiTheme="minorHAnsi" w:cstheme="minorHAnsi"/>
          <w:sz w:val="22"/>
          <w:szCs w:val="22"/>
        </w:rPr>
        <w:t xml:space="preserve"> into the GC system in a single run. In their initial studies, </w:t>
      </w:r>
      <w:proofErr w:type="spellStart"/>
      <w:r w:rsidRPr="00EC4C84">
        <w:rPr>
          <w:rFonts w:asciiTheme="minorHAnsi" w:hAnsiTheme="minorHAnsi" w:cstheme="minorHAnsi"/>
          <w:sz w:val="22"/>
          <w:szCs w:val="22"/>
        </w:rPr>
        <w:t>Mascrez</w:t>
      </w:r>
      <w:proofErr w:type="spellEnd"/>
      <w:r w:rsidRPr="00EC4C84">
        <w:rPr>
          <w:rFonts w:asciiTheme="minorHAnsi" w:hAnsiTheme="minorHAnsi" w:cstheme="minorHAnsi"/>
          <w:sz w:val="22"/>
          <w:szCs w:val="22"/>
        </w:rPr>
        <w:t xml:space="preserve"> et al. (</w:t>
      </w:r>
      <w:proofErr w:type="spellStart"/>
      <w:r w:rsidRPr="00EC4C84">
        <w:rPr>
          <w:rFonts w:asciiTheme="minorHAnsi" w:hAnsiTheme="minorHAnsi" w:cstheme="minorHAnsi"/>
          <w:sz w:val="22"/>
          <w:szCs w:val="22"/>
        </w:rPr>
        <w:t>Mascrez</w:t>
      </w:r>
      <w:proofErr w:type="spellEnd"/>
      <w:r w:rsidRPr="00EC4C84">
        <w:rPr>
          <w:rFonts w:asciiTheme="minorHAnsi" w:hAnsiTheme="minorHAnsi" w:cstheme="minorHAnsi"/>
          <w:sz w:val="22"/>
          <w:szCs w:val="22"/>
        </w:rPr>
        <w:t xml:space="preserve"> &amp; Purcaro, 2020b, 2020a; Spadafora et al., 2022) showed that using MCT increased the extraction yield of SPME at a given absolute time (i.e., 3 extractions of 10 min each vs a single 30 min extraction) by a factor of 1 to 3.5. It was also shown how the number of repeated extractions is an important parameter to be optimized </w:t>
      </w:r>
      <w:proofErr w:type="gramStart"/>
      <w:r w:rsidRPr="00EC4C84">
        <w:rPr>
          <w:rFonts w:asciiTheme="minorHAnsi" w:hAnsiTheme="minorHAnsi" w:cstheme="minorHAnsi"/>
          <w:sz w:val="22"/>
          <w:szCs w:val="22"/>
        </w:rPr>
        <w:t>in order to</w:t>
      </w:r>
      <w:proofErr w:type="gramEnd"/>
      <w:r w:rsidRPr="00EC4C84">
        <w:rPr>
          <w:rFonts w:asciiTheme="minorHAnsi" w:hAnsiTheme="minorHAnsi" w:cstheme="minorHAnsi"/>
          <w:sz w:val="22"/>
          <w:szCs w:val="22"/>
        </w:rPr>
        <w:t xml:space="preserve"> maximize the discrimination among commercial categories in a cross-sample comparison study of virgin olive oil quality (</w:t>
      </w:r>
      <w:proofErr w:type="spellStart"/>
      <w:r w:rsidRPr="00EC4C84">
        <w:rPr>
          <w:rFonts w:asciiTheme="minorHAnsi" w:hAnsiTheme="minorHAnsi" w:cstheme="minorHAnsi"/>
          <w:sz w:val="22"/>
          <w:szCs w:val="22"/>
        </w:rPr>
        <w:t>Mascrez</w:t>
      </w:r>
      <w:proofErr w:type="spellEnd"/>
      <w:r w:rsidRPr="00EC4C84">
        <w:rPr>
          <w:rFonts w:asciiTheme="minorHAnsi" w:hAnsiTheme="minorHAnsi" w:cstheme="minorHAnsi"/>
          <w:sz w:val="22"/>
          <w:szCs w:val="22"/>
        </w:rPr>
        <w:t xml:space="preserve"> &amp; Purcaro, 2020a). Moreover, the enhanced extraction yield led to the ability to use the same virgin olive oil study of volatiles to answer multiple questions related to both quality (i.e., discrimination into commercial categories) and authenticity (i.e., geographical origin) (Spadafora et al., 2022).</w:t>
      </w:r>
    </w:p>
    <w:p w14:paraId="3B36674D" w14:textId="4D0F4EFF" w:rsidR="00EC4C84" w:rsidRDefault="00EC4C84" w:rsidP="00EC4C84">
      <w:pPr>
        <w:pStyle w:val="Corpsdetexte"/>
        <w:spacing w:line="273" w:lineRule="auto"/>
        <w:ind w:firstLine="677"/>
        <w:rPr>
          <w:rFonts w:asciiTheme="minorHAnsi" w:hAnsiTheme="minorHAnsi" w:cstheme="minorHAnsi"/>
          <w:sz w:val="22"/>
          <w:szCs w:val="22"/>
        </w:rPr>
      </w:pPr>
      <w:r w:rsidRPr="00EC4C84">
        <w:rPr>
          <w:rFonts w:asciiTheme="minorHAnsi" w:hAnsiTheme="minorHAnsi" w:cstheme="minorHAnsi"/>
          <w:sz w:val="22"/>
          <w:szCs w:val="22"/>
        </w:rPr>
        <w:t xml:space="preserve">The aim of the present paper is to compare Vac-HS-SPME and MCTHS-SPME approaches and to investigate the possible synergic effect derived by the combined application of Vac-MCT-HS-SPME. The data were all acquired by exploiting the enhanced separation provided by a reversed fill/flush flow modulated GC × GC. These methods were applied to virgin olive oil samples of different commercial categories and geographical origins. The extraction responses of the studied methods were evaluated, focusing on specific quality markers highlighted by previous studies (Aparicio-Ruiz, García-Gonzalez, ´ Morales, Lobo-Prieto, &amp; Romero, 2018; Barbieri et al., 2020; Casadei et al., 2021; Cecchi et al., 2019; Fortini, Migliorini, Cherubini, Cecchi, &amp; </w:t>
      </w:r>
      <w:proofErr w:type="spellStart"/>
      <w:r w:rsidRPr="00EC4C84">
        <w:rPr>
          <w:rFonts w:asciiTheme="minorHAnsi" w:hAnsiTheme="minorHAnsi" w:cstheme="minorHAnsi"/>
          <w:sz w:val="22"/>
          <w:szCs w:val="22"/>
        </w:rPr>
        <w:t>Calamai</w:t>
      </w:r>
      <w:proofErr w:type="spellEnd"/>
      <w:r w:rsidRPr="00EC4C84">
        <w:rPr>
          <w:rFonts w:asciiTheme="minorHAnsi" w:hAnsiTheme="minorHAnsi" w:cstheme="minorHAnsi"/>
          <w:sz w:val="22"/>
          <w:szCs w:val="22"/>
        </w:rPr>
        <w:t>, 2017; Quintanilla-Casas, Bertin, et al., 2020; Quintanilla-Casas, Marin, et al., 2020; Valli et al., 2020), particularly in the context of the OLEUM European project (Horizon 2020; Grant Agreement No. 635690). The cross-sample discrimination ability was evaluated using the 18 markers validated by an inter-laboratory collaborative trial within the OLEUM Project (Casadei et al., 2021), and independently by performing data reduction and selecting the most significant features using random forest (RF).</w:t>
      </w:r>
    </w:p>
    <w:p w14:paraId="09E8C179" w14:textId="77777777" w:rsidR="005A1512" w:rsidRPr="00763248" w:rsidRDefault="005A1512" w:rsidP="00FA32E5">
      <w:pPr>
        <w:pStyle w:val="Corpsdetexte"/>
        <w:spacing w:before="25"/>
        <w:ind w:left="0"/>
        <w:rPr>
          <w:rFonts w:asciiTheme="minorHAnsi" w:hAnsiTheme="minorHAnsi" w:cstheme="minorHAnsi"/>
          <w:sz w:val="22"/>
          <w:szCs w:val="22"/>
        </w:rPr>
      </w:pPr>
    </w:p>
    <w:p w14:paraId="4152F475" w14:textId="77777777" w:rsidR="005A1512" w:rsidRPr="004C2B62" w:rsidRDefault="00000000" w:rsidP="004C2B62">
      <w:pPr>
        <w:pStyle w:val="Titre1"/>
      </w:pPr>
      <w:bookmarkStart w:id="0" w:name="2_Materials_and_methods"/>
      <w:bookmarkEnd w:id="0"/>
      <w:r w:rsidRPr="004C2B62">
        <w:t>Materials and methods</w:t>
      </w:r>
    </w:p>
    <w:p w14:paraId="2678FA82" w14:textId="77777777" w:rsidR="005A1512" w:rsidRPr="00763248" w:rsidRDefault="005A1512" w:rsidP="00FA32E5">
      <w:pPr>
        <w:pStyle w:val="Corpsdetexte"/>
        <w:spacing w:before="50"/>
        <w:ind w:left="0"/>
        <w:rPr>
          <w:rFonts w:asciiTheme="minorHAnsi" w:hAnsiTheme="minorHAnsi" w:cstheme="minorHAnsi"/>
          <w:b/>
          <w:sz w:val="22"/>
          <w:szCs w:val="22"/>
        </w:rPr>
      </w:pPr>
    </w:p>
    <w:p w14:paraId="48BC253E" w14:textId="210E6424" w:rsidR="005A1512" w:rsidRDefault="004C2B62" w:rsidP="0043308D">
      <w:pPr>
        <w:pStyle w:val="Titre2"/>
        <w:jc w:val="both"/>
      </w:pPr>
      <w:bookmarkStart w:id="1" w:name="2.1_Chemicals"/>
      <w:bookmarkEnd w:id="1"/>
      <w:r w:rsidRPr="00A5150C">
        <w:t>CHEMICALS</w:t>
      </w:r>
      <w:r w:rsidR="00E00404">
        <w:t xml:space="preserve"> AND REAGENTS</w:t>
      </w:r>
    </w:p>
    <w:p w14:paraId="5812B275" w14:textId="77777777" w:rsidR="00E00404" w:rsidRDefault="00E00404" w:rsidP="0043308D">
      <w:pPr>
        <w:jc w:val="both"/>
      </w:pPr>
    </w:p>
    <w:p w14:paraId="54A3E45F" w14:textId="25841B29" w:rsidR="00E00404" w:rsidRPr="00E00404" w:rsidRDefault="00E00404" w:rsidP="0043308D">
      <w:pPr>
        <w:ind w:firstLine="720"/>
        <w:jc w:val="both"/>
      </w:pPr>
      <w:r w:rsidRPr="00E00404">
        <w:t>A normal alkane (C7-C30) mixture (</w:t>
      </w:r>
      <w:proofErr w:type="spellStart"/>
      <w:r w:rsidRPr="00E00404">
        <w:t>MilliporeSigma</w:t>
      </w:r>
      <w:proofErr w:type="spellEnd"/>
      <w:r w:rsidRPr="00E00404">
        <w:t xml:space="preserve">®, USA) was used to calculate the linear </w:t>
      </w:r>
      <w:r w:rsidRPr="00E00404">
        <w:lastRenderedPageBreak/>
        <w:t>retention index (LRI) and confirm peak identity. The 1 cm length fiber coated with divinylbenzene/</w:t>
      </w:r>
      <w:proofErr w:type="spellStart"/>
      <w:r w:rsidRPr="00E00404">
        <w:t>carboxen</w:t>
      </w:r>
      <w:proofErr w:type="spellEnd"/>
      <w:r w:rsidRPr="00E00404">
        <w:t xml:space="preserve">/polydimethylsiloxane (DVB/CAR/PDMS) was kindly provided by </w:t>
      </w:r>
      <w:proofErr w:type="spellStart"/>
      <w:r w:rsidRPr="00E00404">
        <w:t>MilliporeSigma</w:t>
      </w:r>
      <w:proofErr w:type="spellEnd"/>
      <w:r w:rsidRPr="00E00404">
        <w:t>® (Bellefonte, USA).</w:t>
      </w:r>
    </w:p>
    <w:p w14:paraId="63772554" w14:textId="77777777" w:rsidR="005A1512" w:rsidRPr="00763248" w:rsidRDefault="005A1512" w:rsidP="0043308D">
      <w:pPr>
        <w:pStyle w:val="Corpsdetexte"/>
        <w:spacing w:before="61"/>
        <w:ind w:left="0"/>
        <w:rPr>
          <w:rFonts w:asciiTheme="minorHAnsi" w:hAnsiTheme="minorHAnsi" w:cstheme="minorHAnsi"/>
          <w:sz w:val="22"/>
          <w:szCs w:val="22"/>
        </w:rPr>
      </w:pPr>
    </w:p>
    <w:p w14:paraId="6CE0046B" w14:textId="7DA688AE" w:rsidR="005A1512" w:rsidRDefault="00E00404" w:rsidP="0043308D">
      <w:pPr>
        <w:pStyle w:val="Titre2"/>
        <w:jc w:val="both"/>
      </w:pPr>
      <w:bookmarkStart w:id="2" w:name="2.2_Samples_and_sample_preparation"/>
      <w:bookmarkEnd w:id="2"/>
      <w:r>
        <w:t xml:space="preserve">VIRGIN OLIVE OIL </w:t>
      </w:r>
      <w:r w:rsidR="00552603">
        <w:t xml:space="preserve">SAMPLES </w:t>
      </w:r>
    </w:p>
    <w:p w14:paraId="3DA15148" w14:textId="77777777" w:rsidR="00E00404" w:rsidRDefault="00E00404" w:rsidP="0043308D">
      <w:pPr>
        <w:jc w:val="both"/>
      </w:pPr>
    </w:p>
    <w:p w14:paraId="2632DC21" w14:textId="77777777" w:rsidR="00E00404" w:rsidRDefault="00E00404" w:rsidP="0043308D">
      <w:pPr>
        <w:ind w:firstLine="720"/>
        <w:jc w:val="both"/>
      </w:pPr>
      <w:r w:rsidRPr="00E00404">
        <w:t xml:space="preserve">Twenty-four samples of olive oil belonging to different commercial categories, namely 11 extra-virgin (EVO), 8 virgin (VO), and 5 </w:t>
      </w:r>
      <w:proofErr w:type="spellStart"/>
      <w:r w:rsidRPr="00E00404">
        <w:t>lampante</w:t>
      </w:r>
      <w:proofErr w:type="spellEnd"/>
      <w:r w:rsidRPr="00E00404">
        <w:t xml:space="preserve"> (LO) olive oils, were kindly provided by </w:t>
      </w:r>
      <w:proofErr w:type="spellStart"/>
      <w:r w:rsidRPr="00E00404">
        <w:t>Carapelli</w:t>
      </w:r>
      <w:proofErr w:type="spellEnd"/>
      <w:r w:rsidRPr="00E00404">
        <w:t xml:space="preserve"> Firenze </w:t>
      </w:r>
      <w:proofErr w:type="spellStart"/>
      <w:r w:rsidRPr="00E00404">
        <w:t>SpA</w:t>
      </w:r>
      <w:proofErr w:type="spellEnd"/>
      <w:r w:rsidRPr="00E00404">
        <w:t xml:space="preserve"> - Italy (Deoleo group). The samples were of verified geographical origin and the sensory evaluation, carried out according to the International Olive Council protocol (IOC, 2018), was also provided by the </w:t>
      </w:r>
      <w:proofErr w:type="spellStart"/>
      <w:r w:rsidRPr="00E00404">
        <w:t>Carapelli</w:t>
      </w:r>
      <w:proofErr w:type="spellEnd"/>
      <w:r w:rsidRPr="00E00404">
        <w:t xml:space="preserve"> Firenze </w:t>
      </w:r>
      <w:proofErr w:type="spellStart"/>
      <w:r w:rsidRPr="00E00404">
        <w:t>SpA</w:t>
      </w:r>
      <w:proofErr w:type="spellEnd"/>
      <w:r w:rsidRPr="00E00404">
        <w:t xml:space="preserve">. The trained sensory panel is officially recognized at the European level and listed by the Italian Ministry of Agriculture, Food Sovereignty and Forestry (Supplementary Material Table S1). </w:t>
      </w:r>
    </w:p>
    <w:p w14:paraId="6142AEDE" w14:textId="1FBCB9DB" w:rsidR="00E00404" w:rsidRPr="00E00404" w:rsidRDefault="00E00404" w:rsidP="0043308D">
      <w:pPr>
        <w:ind w:firstLine="720"/>
        <w:jc w:val="both"/>
      </w:pPr>
      <w:r w:rsidRPr="00E00404">
        <w:t xml:space="preserve">A VO sample (VO-03) was used for </w:t>
      </w:r>
      <w:proofErr w:type="gramStart"/>
      <w:r w:rsidRPr="00E00404">
        <w:t>the preliminary</w:t>
      </w:r>
      <w:proofErr w:type="gramEnd"/>
      <w:r w:rsidRPr="00E00404">
        <w:t xml:space="preserve"> verifications and methods comparison.</w:t>
      </w:r>
    </w:p>
    <w:p w14:paraId="5968AABC" w14:textId="77777777" w:rsidR="00E00404" w:rsidRDefault="00E00404" w:rsidP="0043308D">
      <w:pPr>
        <w:jc w:val="both"/>
      </w:pPr>
    </w:p>
    <w:p w14:paraId="69167534" w14:textId="799E48F5" w:rsidR="005A1512" w:rsidRDefault="00E00404" w:rsidP="0043308D">
      <w:pPr>
        <w:pStyle w:val="Titre2"/>
        <w:jc w:val="both"/>
      </w:pPr>
      <w:r>
        <w:t xml:space="preserve">HS-SPME PROCEDURES </w:t>
      </w:r>
    </w:p>
    <w:p w14:paraId="6F3B2BCD" w14:textId="77777777" w:rsidR="00AA215B" w:rsidRDefault="00AA215B" w:rsidP="0043308D">
      <w:pPr>
        <w:jc w:val="both"/>
      </w:pPr>
    </w:p>
    <w:p w14:paraId="1C9043F2" w14:textId="77777777" w:rsidR="00AA215B" w:rsidRDefault="00AA215B" w:rsidP="0043308D">
      <w:pPr>
        <w:ind w:firstLine="720"/>
        <w:jc w:val="both"/>
      </w:pPr>
      <w:r w:rsidRPr="00AA215B">
        <w:t xml:space="preserve">All the SPME extractions were performed using a Centri® sample extraction and enrichment platform (Markes International Ltd, Bridgend, UK) equipped with a general-purpose trap (U-T12ME-2S, Markes International, general-purpose in the C4-C32 volatile range). The DVB/CAR/PDMS SPME fiber was used. It was conditioned before the first use, as suggested by the manufacturer. A blank analysis was performed at the start of the sampling batch and at different points during sequences, ensuring the absence of carry-over. Extractions in Vac-HS-SPME, MCT-HS-SPME, or the combined Vac-MCT-HS-SPME were performed as described below and in triplicate for each of the procedures for comparison purposes. While in all cases, the fiber was thermally desorbed at 250 ◦C for 2 min. The trap (U-T12ME-2S) was cooled at 0 ◦C during the </w:t>
      </w:r>
      <w:proofErr w:type="gramStart"/>
      <w:r w:rsidRPr="00AA215B">
        <w:t>desorption</w:t>
      </w:r>
      <w:proofErr w:type="gramEnd"/>
      <w:r w:rsidRPr="00AA215B">
        <w:t xml:space="preserve"> of the fiber in the injector. Then, 2 min of purge at 50 mL/min were performed before heating the trap at 300 ◦C (hold 5 min). A 1:5 split was set on the trap to facilitate the transfer of analytes into the head of the GC column in a narrow chromatographic band. </w:t>
      </w:r>
    </w:p>
    <w:p w14:paraId="0E841115" w14:textId="5E848286" w:rsidR="00AA215B" w:rsidRDefault="00AA215B" w:rsidP="0043308D">
      <w:pPr>
        <w:ind w:firstLine="720"/>
        <w:jc w:val="both"/>
      </w:pPr>
      <w:r w:rsidRPr="00AA215B">
        <w:t>Quantities of 0.1 g of oil were weighed in 20 mL screw top vials. Metallic caps with a central hole and polytetrafluoroethylene (PTFE)/ silicone septa (</w:t>
      </w:r>
      <w:proofErr w:type="spellStart"/>
      <w:r w:rsidRPr="00AA215B">
        <w:t>Restek</w:t>
      </w:r>
      <w:proofErr w:type="spellEnd"/>
      <w:r w:rsidRPr="00AA215B">
        <w:t>, Bellefonte, USA) were used for MCT-HS-SPME and regular HS-SPME. In the case of Vac-HS-SPME and Vac-HS-SPME the custom-made cap, designed and constructed at the Laboratory of Aquatic Chemistry (School of Environmental Engineering, Technical University of Crete) was used. The latter cap was equipped with cylindrical Thermogreen®LB-1 septum (</w:t>
      </w:r>
      <w:proofErr w:type="spellStart"/>
      <w:r w:rsidRPr="00AA215B">
        <w:t>Supelco</w:t>
      </w:r>
      <w:proofErr w:type="spellEnd"/>
      <w:r w:rsidRPr="00AA215B">
        <w:t>) with half-hole (6 mm diameter × 9 mm length) and could fit 20 mL screw top vials (</w:t>
      </w:r>
      <w:proofErr w:type="spellStart"/>
      <w:r w:rsidRPr="00AA215B">
        <w:t>Restek</w:t>
      </w:r>
      <w:proofErr w:type="spellEnd"/>
      <w:r w:rsidRPr="00AA215B">
        <w:t xml:space="preserve">). These caps used to perform Vac-HS-SPME are now commercially available at </w:t>
      </w:r>
      <w:proofErr w:type="spellStart"/>
      <w:r w:rsidRPr="00AA215B">
        <w:t>ExtraTECH</w:t>
      </w:r>
      <w:proofErr w:type="spellEnd"/>
      <w:r w:rsidRPr="00AA215B">
        <w:t xml:space="preserve"> Analytical Solutions (Khania, Grece).</w:t>
      </w:r>
    </w:p>
    <w:p w14:paraId="5E19390F" w14:textId="77777777" w:rsidR="00AA215B" w:rsidRPr="00AA215B" w:rsidRDefault="00AA215B" w:rsidP="0043308D">
      <w:pPr>
        <w:jc w:val="both"/>
      </w:pPr>
    </w:p>
    <w:p w14:paraId="3A835ADF" w14:textId="3B5A6627" w:rsidR="005A1512" w:rsidRDefault="00E00404" w:rsidP="0043308D">
      <w:pPr>
        <w:pStyle w:val="Titre3"/>
        <w:jc w:val="both"/>
      </w:pPr>
      <w:bookmarkStart w:id="3" w:name="2.2.1_Samples"/>
      <w:bookmarkEnd w:id="3"/>
      <w:r>
        <w:t>MCT-HS-SPME PROCEDURE</w:t>
      </w:r>
    </w:p>
    <w:p w14:paraId="265597E1" w14:textId="77777777" w:rsidR="00DE4915" w:rsidRDefault="00DE4915" w:rsidP="0043308D">
      <w:pPr>
        <w:jc w:val="both"/>
      </w:pPr>
    </w:p>
    <w:p w14:paraId="2DC2B24A" w14:textId="1693FEEE" w:rsidR="00DE4915" w:rsidRPr="00DE4915" w:rsidRDefault="00DE4915" w:rsidP="0043308D">
      <w:pPr>
        <w:jc w:val="both"/>
      </w:pPr>
      <w:r>
        <w:tab/>
      </w:r>
      <w:r w:rsidRPr="00DE4915">
        <w:t>The extraction was performed according to the optimized conditions reported in the previous study (</w:t>
      </w:r>
      <w:proofErr w:type="spellStart"/>
      <w:r w:rsidRPr="00DE4915">
        <w:t>Mascrez</w:t>
      </w:r>
      <w:proofErr w:type="spellEnd"/>
      <w:r w:rsidRPr="00DE4915">
        <w:t xml:space="preserve"> &amp; Purcaro, 2020a; Spadafora et al., 2022). Briefly, 3-times 10-min cumulative extractions were performed at 43 ◦C, setting a 5 min equilibration time between extractions at the same temperature. This condition is also called 3 × 10 min-MCTHS-SPME later in the text.</w:t>
      </w:r>
    </w:p>
    <w:p w14:paraId="5C41F128" w14:textId="022658C0" w:rsidR="005A1512" w:rsidRDefault="00E00404" w:rsidP="0043308D">
      <w:pPr>
        <w:pStyle w:val="Titre3"/>
        <w:jc w:val="both"/>
        <w:rPr>
          <w:spacing w:val="-2"/>
        </w:rPr>
      </w:pPr>
      <w:bookmarkStart w:id="4" w:name="2.2.2_Deep_eutectic_solvent_preparation"/>
      <w:bookmarkEnd w:id="4"/>
      <w:r>
        <w:lastRenderedPageBreak/>
        <w:t>Vac-HS-SPME PROCEDURE</w:t>
      </w:r>
    </w:p>
    <w:p w14:paraId="21672AFA" w14:textId="77777777" w:rsidR="001C17BF" w:rsidRDefault="001C17BF" w:rsidP="0043308D">
      <w:pPr>
        <w:pStyle w:val="Corpsdetexte"/>
        <w:spacing w:before="25" w:line="276" w:lineRule="auto"/>
        <w:ind w:left="0" w:right="42"/>
        <w:rPr>
          <w:rFonts w:asciiTheme="minorHAnsi" w:hAnsiTheme="minorHAnsi" w:cstheme="minorHAnsi"/>
          <w:spacing w:val="-4"/>
          <w:w w:val="110"/>
          <w:sz w:val="22"/>
          <w:szCs w:val="22"/>
        </w:rPr>
      </w:pPr>
    </w:p>
    <w:p w14:paraId="755A018F" w14:textId="1B6A9B20" w:rsidR="004F52B0" w:rsidRPr="001C17BF" w:rsidRDefault="001C17BF" w:rsidP="00953C41">
      <w:pPr>
        <w:pStyle w:val="Corpsdetexte"/>
        <w:spacing w:before="25"/>
        <w:ind w:left="0" w:right="42" w:firstLine="720"/>
        <w:rPr>
          <w:rFonts w:asciiTheme="minorHAnsi" w:hAnsiTheme="minorHAnsi" w:cstheme="minorHAnsi"/>
          <w:spacing w:val="-4"/>
          <w:w w:val="110"/>
          <w:sz w:val="22"/>
          <w:szCs w:val="22"/>
        </w:rPr>
      </w:pPr>
      <w:r w:rsidRPr="001C17BF">
        <w:rPr>
          <w:rFonts w:asciiTheme="minorHAnsi" w:hAnsiTheme="minorHAnsi" w:cstheme="minorHAnsi"/>
          <w:spacing w:val="-4"/>
          <w:w w:val="110"/>
          <w:sz w:val="22"/>
          <w:szCs w:val="22"/>
        </w:rPr>
        <w:t xml:space="preserve">The air inside the sampling device was evacuated for 1 min using a MD4C diaphragm pump (7 mbar = 0.007 atm final vacuum without gas ballast) manufactured by </w:t>
      </w:r>
      <w:proofErr w:type="spellStart"/>
      <w:r w:rsidRPr="001C17BF">
        <w:rPr>
          <w:rFonts w:asciiTheme="minorHAnsi" w:hAnsiTheme="minorHAnsi" w:cstheme="minorHAnsi"/>
          <w:spacing w:val="-4"/>
          <w:w w:val="110"/>
          <w:sz w:val="22"/>
          <w:szCs w:val="22"/>
        </w:rPr>
        <w:t>Vacuubran</w:t>
      </w:r>
      <w:proofErr w:type="spellEnd"/>
      <w:r w:rsidRPr="001C17BF">
        <w:rPr>
          <w:rFonts w:asciiTheme="minorHAnsi" w:hAnsiTheme="minorHAnsi" w:cstheme="minorHAnsi"/>
          <w:spacing w:val="-4"/>
          <w:w w:val="110"/>
          <w:sz w:val="22"/>
          <w:szCs w:val="22"/>
        </w:rPr>
        <w:t xml:space="preserve"> GmbH &amp; Co. KZ (</w:t>
      </w:r>
      <w:proofErr w:type="spellStart"/>
      <w:r w:rsidRPr="001C17BF">
        <w:rPr>
          <w:rFonts w:asciiTheme="minorHAnsi" w:hAnsiTheme="minorHAnsi" w:cstheme="minorHAnsi"/>
          <w:spacing w:val="-4"/>
          <w:w w:val="110"/>
          <w:sz w:val="22"/>
          <w:szCs w:val="22"/>
        </w:rPr>
        <w:t>Werthem</w:t>
      </w:r>
      <w:proofErr w:type="spellEnd"/>
      <w:r w:rsidRPr="001C17BF">
        <w:rPr>
          <w:rFonts w:asciiTheme="minorHAnsi" w:hAnsiTheme="minorHAnsi" w:cstheme="minorHAnsi"/>
          <w:spacing w:val="-4"/>
          <w:w w:val="110"/>
          <w:sz w:val="22"/>
          <w:szCs w:val="22"/>
        </w:rPr>
        <w:t>, Germany) before introducing the oil sample. Gastight syringe was used to introduce 0.1 g of virgin olive oil into the vial. A two-variable (k = 2) inscribed rotatable (α = 1/</w:t>
      </w:r>
      <m:oMath>
        <m:rad>
          <m:radPr>
            <m:degHide m:val="1"/>
            <m:ctrlPr>
              <w:rPr>
                <w:rFonts w:ascii="Cambria Math" w:hAnsi="Cambria Math" w:cstheme="minorHAnsi"/>
                <w:i/>
                <w:spacing w:val="-4"/>
                <w:w w:val="110"/>
                <w:sz w:val="22"/>
                <w:szCs w:val="22"/>
              </w:rPr>
            </m:ctrlPr>
          </m:radPr>
          <m:deg/>
          <m:e>
            <m:r>
              <w:rPr>
                <w:rFonts w:ascii="Cambria Math" w:hAnsi="Cambria Math" w:cstheme="minorHAnsi"/>
                <w:spacing w:val="-4"/>
                <w:w w:val="110"/>
                <w:sz w:val="22"/>
                <w:szCs w:val="22"/>
              </w:rPr>
              <m:t>k</m:t>
            </m:r>
          </m:e>
        </m:rad>
      </m:oMath>
      <w:r w:rsidRPr="001C17BF">
        <w:rPr>
          <w:rFonts w:asciiTheme="minorHAnsi" w:hAnsiTheme="minorHAnsi" w:cstheme="minorHAnsi"/>
          <w:spacing w:val="-4"/>
          <w:w w:val="110"/>
          <w:sz w:val="22"/>
          <w:szCs w:val="22"/>
        </w:rPr>
        <w:t xml:space="preserve"> ) central composite design (CCD) was used to verify the conditions previously optimized (Mascrez et al., 2020), where 1.5 g instead of 0.1 g of oil sample was used. The final conditions were set at 43 ◦C for 30 min of extraction. This condition is also called 1 × 30 min-Vac-HS-SPME later in the text.</w:t>
      </w:r>
    </w:p>
    <w:p w14:paraId="2ABE838A" w14:textId="77777777" w:rsidR="00DE4915" w:rsidRDefault="00DE4915" w:rsidP="0043308D">
      <w:pPr>
        <w:pStyle w:val="Corpsdetexte"/>
        <w:spacing w:before="25" w:line="276" w:lineRule="auto"/>
        <w:ind w:left="0" w:right="42"/>
        <w:rPr>
          <w:rFonts w:asciiTheme="minorHAnsi" w:hAnsiTheme="minorHAnsi" w:cstheme="minorHAnsi"/>
          <w:spacing w:val="-4"/>
          <w:w w:val="110"/>
          <w:sz w:val="22"/>
          <w:szCs w:val="22"/>
        </w:rPr>
      </w:pPr>
    </w:p>
    <w:p w14:paraId="03B621DD" w14:textId="778BAE83" w:rsidR="004F52B0" w:rsidRDefault="00E00404" w:rsidP="0043308D">
      <w:pPr>
        <w:pStyle w:val="Titre3"/>
        <w:jc w:val="both"/>
      </w:pPr>
      <w:r>
        <w:t>Vac-MCT-HS-SPME PROCEDURE</w:t>
      </w:r>
      <w:r w:rsidR="004F52B0">
        <w:tab/>
      </w:r>
    </w:p>
    <w:p w14:paraId="2BAD06D2" w14:textId="77777777" w:rsidR="00552603" w:rsidRDefault="00552603" w:rsidP="0043308D">
      <w:pPr>
        <w:jc w:val="both"/>
      </w:pPr>
    </w:p>
    <w:p w14:paraId="70754331" w14:textId="5313E7C8" w:rsidR="00552603" w:rsidRDefault="0045381A" w:rsidP="0043308D">
      <w:pPr>
        <w:jc w:val="both"/>
      </w:pPr>
      <w:r>
        <w:tab/>
      </w:r>
      <w:r w:rsidRPr="0045381A">
        <w:t>After verification that the vials under vacuum were still sealed after repeated extraction, 3-times 10-min and 2-times 15-min cumulative extractions were performed at 43 ◦C, setting a 5 min equilibration time between extractions at the same temperature, as done in the atmospheric</w:t>
      </w:r>
      <w:r w:rsidR="0043308D">
        <w:t xml:space="preserve"> </w:t>
      </w:r>
      <w:r w:rsidRPr="0045381A">
        <w:t>pressure MCT-HS-SPME procedure. This condition is also called 3 × 10 min-Vac-MCT-HS-SPME later in the text.</w:t>
      </w:r>
    </w:p>
    <w:p w14:paraId="50601E40" w14:textId="77777777" w:rsidR="00552603" w:rsidRDefault="00552603" w:rsidP="00552603"/>
    <w:p w14:paraId="714F09AE" w14:textId="6C02D28E" w:rsidR="00552603" w:rsidRDefault="00E00404" w:rsidP="00552603">
      <w:pPr>
        <w:pStyle w:val="Titre2"/>
        <w:rPr>
          <w:spacing w:val="-2"/>
        </w:rPr>
      </w:pPr>
      <w:r>
        <w:t>GC x GC-</w:t>
      </w:r>
      <w:proofErr w:type="spellStart"/>
      <w:r>
        <w:t>qMS</w:t>
      </w:r>
      <w:proofErr w:type="spellEnd"/>
      <w:r>
        <w:t xml:space="preserve"> ANALYSIS</w:t>
      </w:r>
    </w:p>
    <w:p w14:paraId="4A35EA76" w14:textId="77777777" w:rsidR="00552603" w:rsidRDefault="00552603" w:rsidP="00552603"/>
    <w:p w14:paraId="5F084719" w14:textId="77777777" w:rsidR="005665C8" w:rsidRDefault="005665C8" w:rsidP="005665C8">
      <w:pPr>
        <w:jc w:val="both"/>
      </w:pPr>
      <w:r>
        <w:tab/>
      </w:r>
      <w:r w:rsidRPr="005665C8">
        <w:t>A Shimadzu GCMS-TQ8050 NX (Kyoto, Japan) was used for all analyses. The system was equipped with a reverse fill/flush (RFF) INSIGHT flow modulator (</w:t>
      </w:r>
      <w:proofErr w:type="spellStart"/>
      <w:r w:rsidRPr="005665C8">
        <w:t>SepSolve</w:t>
      </w:r>
      <w:proofErr w:type="spellEnd"/>
      <w:r w:rsidRPr="005665C8">
        <w:t xml:space="preserve"> Analytical Ltd., Peterborough, UK). An apolar Rxi-5 </w:t>
      </w:r>
      <w:proofErr w:type="spellStart"/>
      <w:r w:rsidRPr="005665C8">
        <w:t>ms</w:t>
      </w:r>
      <w:proofErr w:type="spellEnd"/>
      <w:r w:rsidRPr="005665C8">
        <w:t xml:space="preserve"> column (20 m × 0.18 mm × 0.18 </w:t>
      </w:r>
      <w:proofErr w:type="spellStart"/>
      <w:r w:rsidRPr="005665C8">
        <w:t>μm</w:t>
      </w:r>
      <w:proofErr w:type="spellEnd"/>
      <w:r w:rsidRPr="005665C8">
        <w:t xml:space="preserve">) was used in the first dimension. A mid-apolar SLB-50 </w:t>
      </w:r>
      <w:proofErr w:type="spellStart"/>
      <w:r w:rsidRPr="005665C8">
        <w:t>ms</w:t>
      </w:r>
      <w:proofErr w:type="spellEnd"/>
      <w:r w:rsidRPr="005665C8">
        <w:t xml:space="preserve"> custom column segment (3 m × 0.25 mm × 0.25 </w:t>
      </w:r>
      <w:proofErr w:type="spellStart"/>
      <w:r w:rsidRPr="005665C8">
        <w:t>μm</w:t>
      </w:r>
      <w:proofErr w:type="spellEnd"/>
      <w:r w:rsidRPr="005665C8">
        <w:t xml:space="preserve">) was used in the second dimension. The flow rates were 0.6 mL/min in the first dimension and 16 mL/min in the second one. The second-dimension flow was then split using a passive splitter connected to the MS through a capillary of 1.1 m × 0.18 mm and 0.2 mm × 0.25 mm </w:t>
      </w:r>
      <w:proofErr w:type="spellStart"/>
      <w:r w:rsidRPr="005665C8">
        <w:t>i.d.</w:t>
      </w:r>
      <w:proofErr w:type="spellEnd"/>
      <w:r w:rsidRPr="005665C8">
        <w:t xml:space="preserve"> and to the VUV detector through a 20 cm x 0.25 mm </w:t>
      </w:r>
      <w:proofErr w:type="spellStart"/>
      <w:r w:rsidRPr="005665C8">
        <w:t>i.d.</w:t>
      </w:r>
      <w:proofErr w:type="spellEnd"/>
      <w:r w:rsidRPr="005665C8">
        <w:t xml:space="preserve"> (data not used here). The auxiliary bleed line (two fragments of 1 m × 0.1 mm each with an auxiliary flow controller in the middle) flow was 0.6 mL/min. The loop dimensions were 0.53 mm </w:t>
      </w:r>
      <w:proofErr w:type="spellStart"/>
      <w:r w:rsidRPr="005665C8">
        <w:t>i.d.</w:t>
      </w:r>
      <w:proofErr w:type="spellEnd"/>
      <w:r w:rsidRPr="005665C8">
        <w:t xml:space="preserve"> × 22.6 mm, resulting in a loop volume of 50 </w:t>
      </w:r>
      <w:proofErr w:type="spellStart"/>
      <w:r w:rsidRPr="005665C8">
        <w:t>μL</w:t>
      </w:r>
      <w:proofErr w:type="spellEnd"/>
      <w:r w:rsidRPr="005665C8">
        <w:t xml:space="preserve">. The modulation period (PM) was 2.7 s, with 150 </w:t>
      </w:r>
      <w:proofErr w:type="spellStart"/>
      <w:r w:rsidRPr="005665C8">
        <w:t>ms</w:t>
      </w:r>
      <w:proofErr w:type="spellEnd"/>
      <w:r w:rsidRPr="005665C8">
        <w:t xml:space="preserve"> of flush time, which was held constant throughout the entire duration of the run. The GC oven was set at 35 ◦C and held for 3 min. Then, the temperature </w:t>
      </w:r>
      <w:proofErr w:type="gramStart"/>
      <w:r w:rsidRPr="005665C8">
        <w:t>was increased</w:t>
      </w:r>
      <w:proofErr w:type="gramEnd"/>
      <w:r w:rsidRPr="005665C8">
        <w:t xml:space="preserve"> to 280 ◦C at a rate of 5 ◦C/ min, and held for 1 min, resulting in a total run of 53 min. The transfer line and the ion source temperature were maintained at 250 ◦C and 200 ◦C, respectively. The ionization was realized in electronic impact (EI) at 70 eV. The </w:t>
      </w:r>
      <w:proofErr w:type="spellStart"/>
      <w:r w:rsidRPr="005665C8">
        <w:t>qMS</w:t>
      </w:r>
      <w:proofErr w:type="spellEnd"/>
      <w:r w:rsidRPr="005665C8">
        <w:t xml:space="preserve"> was operated in scan mode with a data acquisition rate of 50 Hz for the mass range of 35–350 m/z. </w:t>
      </w:r>
    </w:p>
    <w:p w14:paraId="7B37B60C" w14:textId="14E2E217" w:rsidR="00552603" w:rsidRDefault="005665C8" w:rsidP="005665C8">
      <w:pPr>
        <w:ind w:firstLine="720"/>
        <w:jc w:val="both"/>
      </w:pPr>
      <w:r w:rsidRPr="005665C8">
        <w:t>Data acquisition was performed using GCMS solution v4.50 (Shimadzu). Raw data files were converted to “.</w:t>
      </w:r>
      <w:proofErr w:type="spellStart"/>
      <w:r w:rsidRPr="005665C8">
        <w:t>cdf</w:t>
      </w:r>
      <w:proofErr w:type="spellEnd"/>
      <w:r w:rsidRPr="005665C8">
        <w:t xml:space="preserve">” files and imported into </w:t>
      </w:r>
      <w:proofErr w:type="spellStart"/>
      <w:r w:rsidRPr="005665C8">
        <w:t>ChromSpace</w:t>
      </w:r>
      <w:proofErr w:type="spellEnd"/>
      <w:r w:rsidRPr="005665C8">
        <w:t xml:space="preserve"> software v 2.1.7. NIST17 and FFNSC 3.0 MS commercial libraries were used for identification. Putative identification was based on the combination of the MS similarity (≥ 80 %) and confirmed using experimental linear retention index (LRI) within a ± 15 range.</w:t>
      </w:r>
    </w:p>
    <w:p w14:paraId="4D92B4B7" w14:textId="77777777" w:rsidR="003E78F0" w:rsidRDefault="003E78F0" w:rsidP="00552603"/>
    <w:p w14:paraId="3261C061" w14:textId="18743736" w:rsidR="00C3361E" w:rsidRDefault="00E00404" w:rsidP="000F4F69">
      <w:pPr>
        <w:pStyle w:val="Titre2"/>
      </w:pPr>
      <w:r>
        <w:lastRenderedPageBreak/>
        <w:t>DATA ELABORATION AND STATISTICAL ANALYSIS</w:t>
      </w:r>
    </w:p>
    <w:p w14:paraId="562E8FE9" w14:textId="77777777" w:rsidR="00E00404" w:rsidRDefault="00E00404" w:rsidP="00E00404"/>
    <w:p w14:paraId="73560051" w14:textId="77777777" w:rsidR="005665C8" w:rsidRDefault="005665C8" w:rsidP="005665C8">
      <w:pPr>
        <w:ind w:firstLine="720"/>
        <w:jc w:val="both"/>
      </w:pPr>
      <w:r w:rsidRPr="005665C8">
        <w:t xml:space="preserve">Chromatograms were aligned to one user-selected reference chromatogram in </w:t>
      </w:r>
      <w:proofErr w:type="spellStart"/>
      <w:r w:rsidRPr="005665C8">
        <w:t>ChromSpace</w:t>
      </w:r>
      <w:proofErr w:type="spellEnd"/>
      <w:r w:rsidRPr="005665C8">
        <w:t xml:space="preserve"> software (</w:t>
      </w:r>
      <w:proofErr w:type="spellStart"/>
      <w:r w:rsidRPr="005665C8">
        <w:t>SepSolve</w:t>
      </w:r>
      <w:proofErr w:type="spellEnd"/>
      <w:r w:rsidRPr="005665C8">
        <w:t xml:space="preserve"> Analytical). The alignment algorithm was used to overcome possible retention time drifts across the dataset. The algorithm used the available spectral information to align each chromatogram in the dataset to a single “reference” chromatogram. No further data pre-treatment was required for alignment. </w:t>
      </w:r>
    </w:p>
    <w:p w14:paraId="368F3C3F" w14:textId="77777777" w:rsidR="005665C8" w:rsidRDefault="005665C8" w:rsidP="005665C8">
      <w:pPr>
        <w:ind w:firstLine="720"/>
        <w:jc w:val="both"/>
      </w:pPr>
      <w:r w:rsidRPr="005665C8">
        <w:t>The compounds identified as volatile quality markers in the European Project OLEUM were selected to evaluate their discrimination ability (Casadei et al., 2021). The list of compounds is reported in Table S2. A sub-group of these compounds covering a broad volatility and polarity range was used to directly compare the different sampling conditions investigated (in italic in Table S2), plus α-</w:t>
      </w:r>
      <w:proofErr w:type="spellStart"/>
      <w:r w:rsidRPr="005665C8">
        <w:t>farnesene</w:t>
      </w:r>
      <w:proofErr w:type="spellEnd"/>
      <w:r w:rsidRPr="005665C8">
        <w:t xml:space="preserve">. </w:t>
      </w:r>
    </w:p>
    <w:p w14:paraId="1C080B82" w14:textId="2BFB7BD9" w:rsidR="005665C8" w:rsidRDefault="005665C8" w:rsidP="005665C8">
      <w:pPr>
        <w:ind w:firstLine="720"/>
        <w:jc w:val="both"/>
      </w:pPr>
      <w:r w:rsidRPr="005665C8">
        <w:t>The data matrices with 18 markers were normalized (using z-score normalization) and log-transformed. A 75 % frequency of observation</w:t>
      </w:r>
      <w:r>
        <w:t xml:space="preserve"> </w:t>
      </w:r>
      <w:r w:rsidRPr="005665C8">
        <w:t>within a group cutoff was applied before performing a hierarchical cluster analysis based on the complete distance of Pearson correlation.</w:t>
      </w:r>
    </w:p>
    <w:p w14:paraId="67D0B962" w14:textId="77777777" w:rsidR="005665C8" w:rsidRPr="00E00404" w:rsidRDefault="005665C8" w:rsidP="005665C8">
      <w:pPr>
        <w:jc w:val="both"/>
      </w:pPr>
    </w:p>
    <w:p w14:paraId="1357B8D7" w14:textId="79CFC80A" w:rsidR="00E00404" w:rsidRDefault="00E00404" w:rsidP="005665C8">
      <w:pPr>
        <w:pStyle w:val="Titre3"/>
        <w:jc w:val="both"/>
      </w:pPr>
      <w:r>
        <w:t>UNTARGETED TILE-BASED APPROACH FOR CROSS-SAMPLE COMPARISON</w:t>
      </w:r>
    </w:p>
    <w:p w14:paraId="4C9C0E43" w14:textId="77777777" w:rsidR="00E00404" w:rsidRDefault="00E00404" w:rsidP="005665C8">
      <w:pPr>
        <w:jc w:val="both"/>
      </w:pPr>
    </w:p>
    <w:p w14:paraId="50426510" w14:textId="77777777" w:rsidR="005665C8" w:rsidRDefault="005665C8" w:rsidP="005665C8">
      <w:pPr>
        <w:ind w:firstLine="720"/>
        <w:jc w:val="both"/>
      </w:pPr>
      <w:r w:rsidRPr="005665C8">
        <w:t xml:space="preserve">A tile-based approach was applied to the aligned chromatograms to enable the raw data to be imported into the chemometrics platform directly without applying any preprocessing methods. Each chromatogram was divided into small sections or “tiles” (in this case, 13.5 s in the first dimension (equivalent to 4 modulations) and 0.9 s in the second dimension (equivalent to 1/3 of a modulation) with a 20 % overlap). The signal for every m/z channel was summed for each tile for comparison across every chromatogram in the dataset. This resulted in thousands of analytical features labelled according to the retention time of the tile they </w:t>
      </w:r>
      <w:proofErr w:type="gramStart"/>
      <w:r w:rsidRPr="005665C8">
        <w:t>were located in</w:t>
      </w:r>
      <w:proofErr w:type="gramEnd"/>
      <w:r w:rsidRPr="005665C8">
        <w:t xml:space="preserve"> and the specific m/z channel. The data matrix was then cleaned from artifacts, such as siloxanes, through careful comparison with blank samples. An intensity cutoff was applied to eliminate the noise generated by very low m/z signals and a frequency of observation within a group of 75 % was applied prior to further statistical elaboration. </w:t>
      </w:r>
    </w:p>
    <w:p w14:paraId="16548D00" w14:textId="77777777" w:rsidR="005665C8" w:rsidRDefault="005665C8" w:rsidP="005665C8">
      <w:pPr>
        <w:ind w:firstLine="720"/>
        <w:jc w:val="both"/>
      </w:pPr>
      <w:r w:rsidRPr="005665C8">
        <w:t xml:space="preserve">The data matrix resulting from the virgin olive oil samples analysis was first </w:t>
      </w:r>
      <w:proofErr w:type="spellStart"/>
      <w:r w:rsidRPr="005665C8">
        <w:t>normalised</w:t>
      </w:r>
      <w:proofErr w:type="spellEnd"/>
      <w:r w:rsidRPr="005665C8">
        <w:t xml:space="preserve"> using probabilistic quotient normalization (PQN) based on the median. Then, the data underwent a log10 transformation. Data reduction was then performed using the proprietary feature selection algorithm in </w:t>
      </w:r>
      <w:proofErr w:type="spellStart"/>
      <w:r w:rsidRPr="005665C8">
        <w:t>ChromCompare</w:t>
      </w:r>
      <w:proofErr w:type="spellEnd"/>
      <w:r w:rsidRPr="005665C8">
        <w:t xml:space="preserve"> + software (</w:t>
      </w:r>
      <w:proofErr w:type="spellStart"/>
      <w:r w:rsidRPr="005665C8">
        <w:t>SepSolve</w:t>
      </w:r>
      <w:proofErr w:type="spellEnd"/>
      <w:r w:rsidRPr="005665C8">
        <w:t xml:space="preserve"> Analytical). The algorithm uses a multivariate method to consider the covariance between features. This enabled the top 100 most significant differentiators of the known sample classes (i.e., EVO, VO, and LO) to be found. The tile-based software allows data reduction and preliminary statistical evaluation to be performed independently from identifying each feature, significantly simplifying the overall workflow of data elaboration. However, each feature is correlated with a specific tile. Thus, the retention time and m/z information are retained, allowing identification of the most significantly contributing peaks from the original chromatogram. Nevertheless, the number of features still outweighed the number of samples. Therefore, a machine learning algorithm, namely RF, was applied to build models and select the most discriminatory core features. Visualization of the results was done using principal component analysis (PCA) using </w:t>
      </w:r>
      <w:proofErr w:type="spellStart"/>
      <w:r w:rsidRPr="005665C8">
        <w:t>MetaboAnalyst</w:t>
      </w:r>
      <w:proofErr w:type="spellEnd"/>
      <w:r w:rsidRPr="005665C8">
        <w:t xml:space="preserve"> 5.0 (Pang et al., 2021) and a hierarchical cluster analysis (HCA) based on the complete distance of Pearson correlation using Morpheus® (https://soft ware.broadinstitute.org/</w:t>
      </w:r>
      <w:proofErr w:type="spellStart"/>
      <w:r w:rsidRPr="005665C8">
        <w:t>morpheus</w:t>
      </w:r>
      <w:proofErr w:type="spellEnd"/>
      <w:r w:rsidRPr="005665C8">
        <w:t xml:space="preserve">/). </w:t>
      </w:r>
    </w:p>
    <w:p w14:paraId="29724D5B" w14:textId="1E2BEDF5" w:rsidR="00E00404" w:rsidRPr="00E00404" w:rsidRDefault="005665C8" w:rsidP="005665C8">
      <w:pPr>
        <w:ind w:firstLine="720"/>
        <w:jc w:val="both"/>
      </w:pPr>
      <w:r w:rsidRPr="005665C8">
        <w:lastRenderedPageBreak/>
        <w:t>The remaining elaborations were performed using Excel® (Microsoft Office, version 2016).</w:t>
      </w:r>
    </w:p>
    <w:p w14:paraId="7D880FB2" w14:textId="77777777" w:rsidR="000F4F69" w:rsidRDefault="000F4F69" w:rsidP="000F4F69"/>
    <w:p w14:paraId="0CCA7EA5" w14:textId="77777777" w:rsidR="000F4F69" w:rsidRDefault="000F4F69" w:rsidP="000F4F69"/>
    <w:p w14:paraId="4F69378A" w14:textId="77777777" w:rsidR="000F4F69" w:rsidRPr="00F74DD5" w:rsidRDefault="000F4F69" w:rsidP="000F4F69">
      <w:pPr>
        <w:pStyle w:val="Titre1"/>
        <w:ind w:left="0"/>
      </w:pPr>
      <w:r w:rsidRPr="00F74DD5">
        <w:t>Results and discussion</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7F59AADE" w14:textId="6F7D84FF" w:rsidR="000F4F69" w:rsidRPr="00763248" w:rsidRDefault="005665C8" w:rsidP="000F4F69">
      <w:pPr>
        <w:pStyle w:val="Titre2"/>
      </w:pPr>
      <w:bookmarkStart w:id="5" w:name="3.1_Optimization_of_extraction_procedure"/>
      <w:bookmarkEnd w:id="5"/>
      <w:r>
        <w:t>CONDITIONS VERIFICATIONS</w:t>
      </w:r>
      <w:r w:rsidR="000F4F69">
        <w:t xml:space="preserve"> </w:t>
      </w:r>
    </w:p>
    <w:p w14:paraId="2DFD0FD8" w14:textId="77777777" w:rsidR="000F4F69" w:rsidRPr="00763248" w:rsidRDefault="000F4F69" w:rsidP="000F4F69">
      <w:pPr>
        <w:pStyle w:val="Corpsdetexte"/>
        <w:spacing w:before="51"/>
        <w:ind w:left="0"/>
        <w:rPr>
          <w:rFonts w:asciiTheme="minorHAnsi" w:hAnsiTheme="minorHAnsi" w:cstheme="minorHAnsi"/>
          <w:i/>
          <w:sz w:val="22"/>
          <w:szCs w:val="22"/>
        </w:rPr>
      </w:pPr>
    </w:p>
    <w:p w14:paraId="24D0A0C1" w14:textId="77777777" w:rsidR="005665C8" w:rsidRDefault="005665C8" w:rsidP="005665C8">
      <w:pPr>
        <w:pStyle w:val="Corpsdetexte"/>
        <w:spacing w:before="118"/>
        <w:ind w:left="0" w:firstLine="720"/>
        <w:rPr>
          <w:rFonts w:asciiTheme="minorHAnsi" w:hAnsiTheme="minorHAnsi" w:cstheme="minorHAnsi"/>
          <w:sz w:val="22"/>
          <w:szCs w:val="22"/>
        </w:rPr>
      </w:pPr>
      <w:r w:rsidRPr="005665C8">
        <w:rPr>
          <w:rFonts w:asciiTheme="minorHAnsi" w:hAnsiTheme="minorHAnsi" w:cstheme="minorHAnsi"/>
          <w:sz w:val="22"/>
          <w:szCs w:val="22"/>
        </w:rPr>
        <w:t xml:space="preserve">To implement Vac-MCT-HS-SPME, the applied vacuum (7 mbar) must remain stable after repeated extractions from the same vial. To verify this, the pressure was measured after three extractions. No changes were observed, proving that the septum was properly resealing the vial after each extraction (Supplementary Figure S1). </w:t>
      </w:r>
    </w:p>
    <w:p w14:paraId="60559B6C" w14:textId="497EE980" w:rsidR="000F4F69" w:rsidRDefault="005665C8" w:rsidP="005665C8">
      <w:pPr>
        <w:pStyle w:val="Corpsdetexte"/>
        <w:spacing w:before="118"/>
        <w:ind w:left="0" w:firstLine="720"/>
        <w:rPr>
          <w:rFonts w:asciiTheme="minorHAnsi" w:hAnsiTheme="minorHAnsi" w:cstheme="minorHAnsi"/>
          <w:sz w:val="22"/>
          <w:szCs w:val="22"/>
        </w:rPr>
      </w:pPr>
      <w:r w:rsidRPr="005665C8">
        <w:rPr>
          <w:rFonts w:asciiTheme="minorHAnsi" w:hAnsiTheme="minorHAnsi" w:cstheme="minorHAnsi"/>
          <w:sz w:val="22"/>
          <w:szCs w:val="22"/>
        </w:rPr>
        <w:t>Preliminary tests showed that using vacuum conditions with 1.5 g of a sample, as in (</w:t>
      </w:r>
      <w:proofErr w:type="spellStart"/>
      <w:r w:rsidRPr="005665C8">
        <w:rPr>
          <w:rFonts w:asciiTheme="minorHAnsi" w:hAnsiTheme="minorHAnsi" w:cstheme="minorHAnsi"/>
          <w:sz w:val="22"/>
          <w:szCs w:val="22"/>
        </w:rPr>
        <w:t>Mascrez</w:t>
      </w:r>
      <w:proofErr w:type="spellEnd"/>
      <w:r w:rsidRPr="005665C8">
        <w:rPr>
          <w:rFonts w:asciiTheme="minorHAnsi" w:hAnsiTheme="minorHAnsi" w:cstheme="minorHAnsi"/>
          <w:sz w:val="22"/>
          <w:szCs w:val="22"/>
        </w:rPr>
        <w:t xml:space="preserve"> et al., 2020) caused a severe overload of the cryogenic trap in this analytical platform. Moreover, our previous studies on the use of MCT-HS-SPME (</w:t>
      </w:r>
      <w:proofErr w:type="spellStart"/>
      <w:r w:rsidRPr="005665C8">
        <w:rPr>
          <w:rFonts w:asciiTheme="minorHAnsi" w:hAnsiTheme="minorHAnsi" w:cstheme="minorHAnsi"/>
          <w:sz w:val="22"/>
          <w:szCs w:val="22"/>
        </w:rPr>
        <w:t>Mascrez</w:t>
      </w:r>
      <w:proofErr w:type="spellEnd"/>
      <w:r w:rsidRPr="005665C8">
        <w:rPr>
          <w:rFonts w:asciiTheme="minorHAnsi" w:hAnsiTheme="minorHAnsi" w:cstheme="minorHAnsi"/>
          <w:sz w:val="22"/>
          <w:szCs w:val="22"/>
        </w:rPr>
        <w:t xml:space="preserve"> &amp; Purcaro, 2020b, 2020a) showed that the typical oil sample amount reported in the literature (</w:t>
      </w:r>
      <w:proofErr w:type="spellStart"/>
      <w:r w:rsidRPr="005665C8">
        <w:rPr>
          <w:rFonts w:asciiTheme="minorHAnsi" w:hAnsiTheme="minorHAnsi" w:cstheme="minorHAnsi"/>
          <w:sz w:val="22"/>
          <w:szCs w:val="22"/>
        </w:rPr>
        <w:t>i</w:t>
      </w:r>
      <w:proofErr w:type="spellEnd"/>
      <w:r w:rsidRPr="005665C8">
        <w:rPr>
          <w:rFonts w:asciiTheme="minorHAnsi" w:hAnsiTheme="minorHAnsi" w:cstheme="minorHAnsi"/>
          <w:sz w:val="22"/>
          <w:szCs w:val="22"/>
        </w:rPr>
        <w:t>. e., 1.5–2.0 g) caused saturation of the HS, affecting the reliability of the observed results in mimicking the volatile distribution in the HS. Therefore, 0.1 g of sample was used to avoid HS saturation under regular conditions. Hence, the adaptation of the method and verification of the linearity conditions of the HS were necessary before further tests. Three repeated extractions of 0.1 g of oil sample were performed, confirming the exponential decrease of the signal and the absence of carry-over after each extraction and after the 3-times cumulative one.</w:t>
      </w:r>
    </w:p>
    <w:p w14:paraId="7659638C" w14:textId="5B12E699" w:rsidR="005665C8" w:rsidRDefault="005665C8" w:rsidP="005665C8">
      <w:pPr>
        <w:pStyle w:val="Corpsdetexte"/>
        <w:spacing w:before="118"/>
        <w:ind w:left="0" w:firstLine="720"/>
        <w:rPr>
          <w:rFonts w:asciiTheme="minorHAnsi" w:hAnsiTheme="minorHAnsi" w:cstheme="minorHAnsi"/>
          <w:sz w:val="22"/>
          <w:szCs w:val="22"/>
        </w:rPr>
      </w:pPr>
      <w:r w:rsidRPr="005665C8">
        <w:rPr>
          <w:rFonts w:asciiTheme="minorHAnsi" w:hAnsiTheme="minorHAnsi" w:cstheme="minorHAnsi"/>
          <w:sz w:val="22"/>
          <w:szCs w:val="22"/>
        </w:rPr>
        <w:t>The optimal conditions obtained by (</w:t>
      </w:r>
      <w:proofErr w:type="spellStart"/>
      <w:r w:rsidRPr="005665C8">
        <w:rPr>
          <w:rFonts w:asciiTheme="minorHAnsi" w:hAnsiTheme="minorHAnsi" w:cstheme="minorHAnsi"/>
          <w:sz w:val="22"/>
          <w:szCs w:val="22"/>
        </w:rPr>
        <w:t>Mascrez</w:t>
      </w:r>
      <w:proofErr w:type="spellEnd"/>
      <w:r w:rsidRPr="005665C8">
        <w:rPr>
          <w:rFonts w:asciiTheme="minorHAnsi" w:hAnsiTheme="minorHAnsi" w:cstheme="minorHAnsi"/>
          <w:sz w:val="22"/>
          <w:szCs w:val="22"/>
        </w:rPr>
        <w:t xml:space="preserve"> et al., 2020) using 1.5 g of oil sample had also to be verified for the use of 0.1 g of sample. Considering that the use of Vac-HS-SPME significantly improves the extraction kinetics and that the 1.5 g of sample previously used may have altered the result of the optimization due to a severe overload of the HS, the optimal conditions using 0.1 g (no saturation of the HS) and 1.5 g (saturation of the HS) were verified. For this, a CCD was used in the 5–30 min and 30–55 ◦C ranges. The overall extraction profile was modeled by a response surface of the total summed peak areas (Supplementary Figure S2). The profiles of the response surface were comparable using 0.1 or 1.5 g of sample, showing a maximum response at 30 min and at about 45 ◦C. Therefore, 30 min extraction at 43 ◦C was selected as a working condition, allowing a direct comparison with the results obtained in a previous work (</w:t>
      </w:r>
      <w:proofErr w:type="spellStart"/>
      <w:r w:rsidRPr="005665C8">
        <w:rPr>
          <w:rFonts w:asciiTheme="minorHAnsi" w:hAnsiTheme="minorHAnsi" w:cstheme="minorHAnsi"/>
          <w:sz w:val="22"/>
          <w:szCs w:val="22"/>
        </w:rPr>
        <w:t>Mascrez</w:t>
      </w:r>
      <w:proofErr w:type="spellEnd"/>
      <w:r w:rsidRPr="005665C8">
        <w:rPr>
          <w:rFonts w:asciiTheme="minorHAnsi" w:hAnsiTheme="minorHAnsi" w:cstheme="minorHAnsi"/>
          <w:sz w:val="22"/>
          <w:szCs w:val="22"/>
        </w:rPr>
        <w:t xml:space="preserve"> et al., 2020; Purcaro, Cordero, Liberto, </w:t>
      </w:r>
      <w:proofErr w:type="spellStart"/>
      <w:r w:rsidRPr="005665C8">
        <w:rPr>
          <w:rFonts w:asciiTheme="minorHAnsi" w:hAnsiTheme="minorHAnsi" w:cstheme="minorHAnsi"/>
          <w:sz w:val="22"/>
          <w:szCs w:val="22"/>
        </w:rPr>
        <w:t>Bicchi</w:t>
      </w:r>
      <w:proofErr w:type="spellEnd"/>
      <w:r w:rsidRPr="005665C8">
        <w:rPr>
          <w:rFonts w:asciiTheme="minorHAnsi" w:hAnsiTheme="minorHAnsi" w:cstheme="minorHAnsi"/>
          <w:sz w:val="22"/>
          <w:szCs w:val="22"/>
        </w:rPr>
        <w:t>, &amp; Conte, 2014)</w:t>
      </w:r>
    </w:p>
    <w:p w14:paraId="79E64002" w14:textId="77777777" w:rsidR="005665C8" w:rsidRPr="00763248" w:rsidRDefault="005665C8" w:rsidP="000F4F69">
      <w:pPr>
        <w:pStyle w:val="Corpsdetexte"/>
        <w:spacing w:before="118"/>
        <w:ind w:left="0"/>
        <w:rPr>
          <w:rFonts w:asciiTheme="minorHAnsi" w:hAnsiTheme="minorHAnsi" w:cstheme="minorHAnsi"/>
          <w:sz w:val="22"/>
          <w:szCs w:val="22"/>
        </w:rPr>
      </w:pPr>
    </w:p>
    <w:p w14:paraId="4132B015" w14:textId="464DDECD" w:rsidR="000F4F69" w:rsidRDefault="005665C8" w:rsidP="00FF118A">
      <w:pPr>
        <w:pStyle w:val="Titre2"/>
      </w:pPr>
      <w:r>
        <w:t>COMPARISON OF Vac-HS-SPME, MCT-HS-SPME AND Vac-MCT-HS-SPME</w:t>
      </w:r>
      <w:r w:rsidR="000F4F69">
        <w:t xml:space="preserve"> </w:t>
      </w:r>
    </w:p>
    <w:p w14:paraId="44FB1737" w14:textId="77777777" w:rsidR="00FF118A" w:rsidRDefault="00FF118A" w:rsidP="00FF118A"/>
    <w:p w14:paraId="5FA971A8" w14:textId="77777777" w:rsidR="00AF13AA" w:rsidRDefault="00FF118A" w:rsidP="00AF13AA">
      <w:pPr>
        <w:ind w:firstLine="720"/>
        <w:jc w:val="both"/>
      </w:pPr>
      <w:r w:rsidRPr="00FF118A">
        <w:t xml:space="preserve">Previous optimization of regular pressure MCT-HS-SPME showed that optimal performances for the overall pattern recognition analysis (between virgin olive oil of different commercial categories) were obtained by performing three consecutive extractions of 10 min (Spadafora et al., 2022). This condition also allowed for an interesting comparison between the single 30 min extraction (optimal extraction time according to the CCD) and the overall same extraction time but divided into 3- times 10 min. Theory and previous results showed how MCT-HS-SPME allowed for substantially higher extraction of the less volatile analytes (up to ~3.5-fold more) (Spadafora et al., </w:t>
      </w:r>
      <w:r w:rsidRPr="00FF118A">
        <w:lastRenderedPageBreak/>
        <w:t>2022). Therefore, the same comparison was performed using Vac-HS-SPME (i.e., 1 × 30 min and 3 × 10 min-Vac-MCT- extractions). Moreover, the results were compared with the previously optimized atmospheric pressure 3 × 10 min-MCTHS-SPME. The comparison was performed on a sub-group of the quality markers (indicated in italic in Table S2) according to the OLEUM Project plus α-</w:t>
      </w:r>
      <w:proofErr w:type="spellStart"/>
      <w:r w:rsidRPr="00FF118A">
        <w:t>farnesene</w:t>
      </w:r>
      <w:proofErr w:type="spellEnd"/>
      <w:r w:rsidRPr="00FF118A">
        <w:t>, which previously showed a highly significative gain in extraction using Vac-HS-SPME (</w:t>
      </w:r>
      <w:proofErr w:type="spellStart"/>
      <w:r w:rsidRPr="00FF118A">
        <w:t>Mascrez</w:t>
      </w:r>
      <w:proofErr w:type="spellEnd"/>
      <w:r w:rsidRPr="00FF118A">
        <w:t xml:space="preserve"> et al., 2020). Supplementary Figure S3 shows the comparison of the two-dimensional chromatograms using the different conditions tested for a visual comparison of the performance. Fig. 1 shows the relative comparison versus the 3 × 10 min MCT-HS-SPME condition. Values of 1 indicate similar extraction responses, while values &gt; 1 indicate higher response with the specific</w:t>
      </w:r>
      <w:r>
        <w:t xml:space="preserve"> </w:t>
      </w:r>
      <w:r w:rsidRPr="00FF118A">
        <w:t>extraction condition. As previously observed (</w:t>
      </w:r>
      <w:proofErr w:type="spellStart"/>
      <w:r w:rsidRPr="00FF118A">
        <w:t>Mascrez</w:t>
      </w:r>
      <w:proofErr w:type="spellEnd"/>
      <w:r w:rsidRPr="00FF118A">
        <w:t xml:space="preserve"> et al., 2020), the application of Vac-HS-SPME causes an increase in the variability of the obtained results compared to regular pressure extraction. This was explained considering the high viscosity of edible oil, which hindered the mass transfer in the liquid phase, delaying the diffusion at the interface between liquid and air, and thus, the replenishing of the depleted HS. Additionally, the variability generally increased with the reduced volatility of the targeted compound. Not surprisingly, the repeated extraction caused an additional increment of the variance. The median of the relative standard deviation (RSD) was 11 %, 24 %, and 23 % for MCT-, Vac-MCT-, and Vac- HS-SPME, respectively. Therefore, the use of 2 × 15 min extraction was tested to evaluate a possible reduction of the RSD %, however this was not successful. Indeed, the median RSD was 24 %. Moreover, the recovery increment gain was reduced in comparison to the 3 × 10 min-Vac-MCT-HS-SPME. Therefore, the extraction based on 2 × 15 min-Vac-HS-SPME was not considered for further evaluation since it showed intermediate results between 1 × 30 min-Vac-, and 3 × 10 min-Vac- HS-SPME in terms of response and no improvement in terms of repeatability.</w:t>
      </w:r>
    </w:p>
    <w:p w14:paraId="5B3DC9E9" w14:textId="77777777" w:rsidR="00AF13AA" w:rsidRDefault="00FF118A" w:rsidP="00AF13AA">
      <w:pPr>
        <w:ind w:firstLine="720"/>
        <w:jc w:val="both"/>
      </w:pPr>
      <w:r w:rsidRPr="00FF118A">
        <w:t xml:space="preserve">Interestingly, Vac-HS-SPME and atmospheric pressure MCT-HSSPME show similar extraction responses, </w:t>
      </w:r>
      <w:proofErr w:type="gramStart"/>
      <w:r w:rsidRPr="00FF118A">
        <w:t>being their ratio</w:t>
      </w:r>
      <w:proofErr w:type="gramEnd"/>
      <w:r w:rsidRPr="00FF118A">
        <w:t xml:space="preserve"> slightly below 1 for the most volatile compounds and slightly above 1 for less volatile compounds (max. 1.8 for nonanal). Both MCT- and Vac- HSSPME showed a clear incremental trend towards the less volatile compounds (Fig. 1). The increment in Vac-HS-SPME is also higher for repeated shorter times (3 × 10 min-Vac-MCT-HS-SPME) compared to a single longer extraction (1 × 30 min-Vac-HS-SPME). In the case of VacHS-SPME, only the kinetics of extraction is positively impacted, which means that the longer extraction time (closer to the equilibrium condition for less volatile compounds) reduced the gain compared to atmospheric pressure HS-SPME, tending to null. </w:t>
      </w:r>
    </w:p>
    <w:p w14:paraId="1DBCBCD2" w14:textId="22D1873C" w:rsidR="00FF118A" w:rsidRDefault="00FF118A" w:rsidP="00AF13AA">
      <w:pPr>
        <w:ind w:firstLine="720"/>
        <w:jc w:val="both"/>
      </w:pPr>
      <w:r w:rsidRPr="00FF118A">
        <w:t>On the other hand, MCT-HS-SPME depletes the HS from the most volatile compounds in the first extraction, thus favoring their mass transfer into the HS and, at the same time, reducing the possible displacement effect. These peculiar features also explain why the most volatile compounds (i.e., acetic acid, octane, hexanal) showed a ratio significantly below 1 (i.e., 0.5–0.7) for 1 × 30 min-Vac-HS-SPME. In fact, 3 × 10 min-MCT-HS-SPME logarithmically incremented the amount of the most volatiles, which very rapidly reached the equilibrium, while 1 × 30 min-Vac-HS-SPME can only extract the quantity at (or closer to) the equilibrium condition.</w:t>
      </w:r>
    </w:p>
    <w:p w14:paraId="3751628D" w14:textId="5CC6C29D" w:rsidR="00E74EBF" w:rsidRDefault="00E74EBF" w:rsidP="00AF13AA">
      <w:pPr>
        <w:ind w:firstLine="720"/>
        <w:jc w:val="both"/>
      </w:pPr>
      <w:r w:rsidRPr="00E74EBF">
        <w:rPr>
          <w:noProof/>
        </w:rPr>
        <w:lastRenderedPageBreak/>
        <w:drawing>
          <wp:inline distT="0" distB="0" distL="0" distR="0" wp14:anchorId="4241BDF7" wp14:editId="11BCC038">
            <wp:extent cx="4290500" cy="2250219"/>
            <wp:effectExtent l="0" t="0" r="0" b="0"/>
            <wp:docPr id="7179457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1773" cy="2256131"/>
                    </a:xfrm>
                    <a:prstGeom prst="rect">
                      <a:avLst/>
                    </a:prstGeom>
                    <a:noFill/>
                    <a:ln>
                      <a:noFill/>
                    </a:ln>
                  </pic:spPr>
                </pic:pic>
              </a:graphicData>
            </a:graphic>
          </wp:inline>
        </w:drawing>
      </w:r>
    </w:p>
    <w:p w14:paraId="1B071B65" w14:textId="78B81353" w:rsidR="00E74EBF" w:rsidRPr="00E74EBF" w:rsidRDefault="00E74EBF" w:rsidP="00E74EBF">
      <w:pPr>
        <w:jc w:val="both"/>
        <w:rPr>
          <w:sz w:val="20"/>
          <w:szCs w:val="20"/>
          <w:lang w:val="en-GB"/>
        </w:rPr>
      </w:pPr>
      <w:r w:rsidRPr="00E74EBF">
        <w:rPr>
          <w:b/>
          <w:bCs/>
          <w:sz w:val="20"/>
          <w:szCs w:val="20"/>
          <w:lang w:val="en-GB"/>
        </w:rPr>
        <w:t xml:space="preserve">Fig. 1. </w:t>
      </w:r>
      <w:r w:rsidRPr="00E74EBF">
        <w:rPr>
          <w:sz w:val="20"/>
          <w:szCs w:val="20"/>
          <w:lang w:val="en-GB"/>
        </w:rPr>
        <w:t xml:space="preserve">Change in extraction efficiency for 3 × 10 min-Vac-MCT-, 2 × 15 min Vac-MCT- and 1 × 30 min-Vac- HS-SPME versus 3 × 10 min-MCT-HS-SPME. The red line indicates the value of 1. (For interpretation of the references to </w:t>
      </w:r>
      <w:proofErr w:type="spellStart"/>
      <w:r w:rsidRPr="00E74EBF">
        <w:rPr>
          <w:sz w:val="20"/>
          <w:szCs w:val="20"/>
          <w:lang w:val="en-GB"/>
        </w:rPr>
        <w:t>color</w:t>
      </w:r>
      <w:proofErr w:type="spellEnd"/>
      <w:r w:rsidRPr="00E74EBF">
        <w:rPr>
          <w:sz w:val="20"/>
          <w:szCs w:val="20"/>
          <w:lang w:val="en-GB"/>
        </w:rPr>
        <w:t xml:space="preserve"> in this figure legend, the reader is referred to the web version of this article.)</w:t>
      </w:r>
    </w:p>
    <w:p w14:paraId="32B0B1B5" w14:textId="77777777" w:rsidR="00E74EBF" w:rsidRDefault="00E74EBF" w:rsidP="00AF13AA">
      <w:pPr>
        <w:ind w:firstLine="720"/>
        <w:jc w:val="both"/>
      </w:pPr>
    </w:p>
    <w:p w14:paraId="65C3DEAC" w14:textId="77777777" w:rsidR="003C5DB2" w:rsidRDefault="003C5DB2" w:rsidP="00AF13AA">
      <w:pPr>
        <w:ind w:firstLine="720"/>
        <w:jc w:val="both"/>
      </w:pPr>
      <w:r w:rsidRPr="003C5DB2">
        <w:t>The recovery gain obtained using Vac-MCT-HS-SPME is remarkably higher (particularly for 3 × 10 min-Vac-MCT-HS-SPME), reaching ratios compared to 3 × 10 min HS-SPME above a value of 4 for the less volatile compounds (5.4, and 4.5 for nonanal and α-</w:t>
      </w:r>
      <w:proofErr w:type="spellStart"/>
      <w:r w:rsidRPr="003C5DB2">
        <w:t>farnesene</w:t>
      </w:r>
      <w:proofErr w:type="spellEnd"/>
      <w:r w:rsidRPr="003C5DB2">
        <w:t xml:space="preserve">, respectively). This </w:t>
      </w:r>
      <w:proofErr w:type="spellStart"/>
      <w:r w:rsidRPr="003C5DB2">
        <w:t>behaviour</w:t>
      </w:r>
      <w:proofErr w:type="spellEnd"/>
      <w:r w:rsidRPr="003C5DB2">
        <w:t xml:space="preserve"> is a synergic combination of the effects observed for </w:t>
      </w:r>
      <w:proofErr w:type="spellStart"/>
      <w:r w:rsidRPr="003C5DB2">
        <w:t>Vacand</w:t>
      </w:r>
      <w:proofErr w:type="spellEnd"/>
      <w:r w:rsidRPr="003C5DB2">
        <w:t xml:space="preserve"> MCT- HS-SPME alone. </w:t>
      </w:r>
    </w:p>
    <w:p w14:paraId="1FD0163D" w14:textId="3D5AF709" w:rsidR="003C5DB2" w:rsidRDefault="003C5DB2" w:rsidP="00AF13AA">
      <w:pPr>
        <w:ind w:firstLine="720"/>
        <w:jc w:val="both"/>
      </w:pPr>
      <w:r w:rsidRPr="003C5DB2">
        <w:t>Despite Vac-MCT-HS-SPME showing superior extraction yield, the question of whether the enhanced signal was beneficial to answer more complex questions or if it was only increasing the information noise (as observed for too many repeated MCT-HS-SPME (</w:t>
      </w:r>
      <w:proofErr w:type="spellStart"/>
      <w:r w:rsidRPr="003C5DB2">
        <w:t>Mascrez</w:t>
      </w:r>
      <w:proofErr w:type="spellEnd"/>
      <w:r w:rsidRPr="003C5DB2">
        <w:t xml:space="preserve"> &amp; Purcaro, 2020b)) remained unanswered, and it is addressed in the next section</w:t>
      </w:r>
    </w:p>
    <w:p w14:paraId="2569C140" w14:textId="77777777" w:rsidR="00494F79" w:rsidRDefault="00494F79" w:rsidP="00AF13AA">
      <w:pPr>
        <w:ind w:firstLine="720"/>
        <w:jc w:val="both"/>
      </w:pPr>
    </w:p>
    <w:p w14:paraId="5099E128" w14:textId="4B93C3D8" w:rsidR="000F4F69" w:rsidRDefault="005665C8" w:rsidP="003C5DB2">
      <w:pPr>
        <w:pStyle w:val="Titre2"/>
        <w:jc w:val="both"/>
      </w:pPr>
      <w:r>
        <w:t>CROSS SAMPLE COMPARISON</w:t>
      </w:r>
    </w:p>
    <w:p w14:paraId="1D8607B7" w14:textId="77777777" w:rsidR="005665C8" w:rsidRDefault="005665C8" w:rsidP="003C5DB2">
      <w:pPr>
        <w:jc w:val="both"/>
      </w:pPr>
    </w:p>
    <w:p w14:paraId="4B969EB4" w14:textId="1D25051D" w:rsidR="005665C8" w:rsidRDefault="003C5DB2" w:rsidP="003C5DB2">
      <w:pPr>
        <w:ind w:firstLine="720"/>
        <w:jc w:val="both"/>
      </w:pPr>
      <w:r w:rsidRPr="003C5DB2">
        <w:t xml:space="preserve">A cross-sample comparison based on the pattern recognition technique was carried out to assess the improvement in the overall </w:t>
      </w:r>
      <w:proofErr w:type="gramStart"/>
      <w:r w:rsidRPr="003C5DB2">
        <w:t>information extractable</w:t>
      </w:r>
      <w:proofErr w:type="gramEnd"/>
      <w:r w:rsidRPr="003C5DB2">
        <w:t xml:space="preserve"> using the MCT-HS-SPME with or without vacuum and single Vac-HS-SPME. Twenty-four samples, classified according to their quality (11 EVO, 8 VO, and 5 LO), EVO and VO samples also classified according to their geographical origin, were analyzed using the conditions discussed in section 2.3 (i.e., 3 × 10 min-MCT-, 1 × 30 min-Vac-, and 3 × 10 min-Vac-MCT-HS-SPME). Three datasets were obtained, one for each condition tested, and treated separately, as reported in section 2.5. A first study was performed targeting the quality markers identified and used in the European OLEUM project (Casadei et al., 2021) (and reported in Table S2, excluding </w:t>
      </w:r>
      <w:proofErr w:type="spellStart"/>
      <w:r w:rsidRPr="003C5DB2">
        <w:t>farnesene</w:t>
      </w:r>
      <w:proofErr w:type="spellEnd"/>
      <w:r w:rsidRPr="003C5DB2">
        <w:t>, which does not belong to this set of markers) to evaluate the ability of these compounds to discriminate among commercial categories despite the sampling approach applied. On a second study, the same datasets were treated using random forest to select the most discriminating features among EVO, VO, and LO, and the identified compounds were compared among the different conditions herein tested.</w:t>
      </w:r>
    </w:p>
    <w:p w14:paraId="59AFF761" w14:textId="77777777" w:rsidR="003C5DB2" w:rsidRDefault="003C5DB2" w:rsidP="003C5DB2">
      <w:pPr>
        <w:jc w:val="both"/>
      </w:pPr>
    </w:p>
    <w:p w14:paraId="52737F53" w14:textId="396D1C00" w:rsidR="005665C8" w:rsidRDefault="005665C8" w:rsidP="003C5DB2">
      <w:pPr>
        <w:pStyle w:val="Titre3"/>
        <w:jc w:val="both"/>
      </w:pPr>
      <w:r>
        <w:t>TARGETED CROSS-SAMPLE COMPARISON</w:t>
      </w:r>
    </w:p>
    <w:p w14:paraId="5D0C15CE" w14:textId="77777777" w:rsidR="005665C8" w:rsidRDefault="005665C8" w:rsidP="003C5DB2">
      <w:pPr>
        <w:jc w:val="both"/>
      </w:pPr>
    </w:p>
    <w:p w14:paraId="162961BC" w14:textId="77777777" w:rsidR="003C5DB2" w:rsidRDefault="003C5DB2" w:rsidP="003C5DB2">
      <w:pPr>
        <w:jc w:val="both"/>
      </w:pPr>
      <w:r>
        <w:tab/>
      </w:r>
      <w:r w:rsidRPr="003C5DB2">
        <w:t xml:space="preserve">The 18 compound markers selected according to previous studies (Casadei et al., 2021; </w:t>
      </w:r>
      <w:r w:rsidRPr="003C5DB2">
        <w:lastRenderedPageBreak/>
        <w:t xml:space="preserve">Fortini et al., 2017; Oliver-Pozo, </w:t>
      </w:r>
      <w:proofErr w:type="spellStart"/>
      <w:r w:rsidRPr="003C5DB2">
        <w:t>Trypidis</w:t>
      </w:r>
      <w:proofErr w:type="spellEnd"/>
      <w:r w:rsidRPr="003C5DB2">
        <w:t xml:space="preserve">, Aparicio, Garcia-Gonz ´ ´ </w:t>
      </w:r>
      <w:proofErr w:type="spellStart"/>
      <w:r w:rsidRPr="003C5DB2">
        <w:t>alez</w:t>
      </w:r>
      <w:proofErr w:type="spellEnd"/>
      <w:r w:rsidRPr="003C5DB2">
        <w:t xml:space="preserve">, &amp; Aparicio-Ruiz, 2019) are a reduced number of analytes that have been claimed to satisfactorily discriminate according to the commercial </w:t>
      </w:r>
      <w:proofErr w:type="gramStart"/>
      <w:r w:rsidRPr="003C5DB2">
        <w:t>categories</w:t>
      </w:r>
      <w:proofErr w:type="gramEnd"/>
      <w:r w:rsidRPr="003C5DB2">
        <w:t xml:space="preserve"> classification of virgin olive oils. These 18 compounds were tested in an interlaboratory study among three different laboratories using precisely the same analytical protocol (Casadei et al., 2021). Therefore, the goal herein is to evaluate whether the list of compounds can be confirmed as markers to support the discrimination of virgin olive oil in the commercial categories by changing the analytical protocol. The 18 compounds were identified based on their MS similarity and LRI and integrated through all the samples. The HCA results obtained using these markers in the three different datasets are shown as heatmaps in Fig. 2. </w:t>
      </w:r>
    </w:p>
    <w:p w14:paraId="468501CD" w14:textId="77777777" w:rsidR="001A2BDE" w:rsidRDefault="003C5DB2" w:rsidP="003C5DB2">
      <w:pPr>
        <w:ind w:firstLine="720"/>
        <w:jc w:val="both"/>
      </w:pPr>
      <w:r w:rsidRPr="003C5DB2">
        <w:t xml:space="preserve">It can be seen at first sight that LO was always effectively differentiated from EVO and VO, despite the sampling conditions used. However, at a closer look, VO-08 was misclassified with LO in all the sampling conditions, while when using 3 × 10 min-MCT-HS-SPME also VO-06 and VO-07 were misclassified. Interestingly, the sensory evaluation of VO-08 presented the lowest score for the positive attributes (i.e., fruity, bitter, and pungent), except for VO-06, which had a slightly lower fruity score (i.e., 1.6 vs 1.9) but higher bitter and pungent score (i.e., 1.8 and 2 vs 1.3 and 1.4, respectively). This can be explained by the fact that the use of MCT-HS-SPME (coupled or not with Vac) enhanced the relative extraction of less volatile compounds (such as nonanal and 2Edecenal, etc.), which can be associated with negative attributes (Casadei et al., 2021; Fortini et al., 2017; Oliver-Pozo et al., 2019). This may have caused the misalignment of some VO profiles towards a </w:t>
      </w:r>
      <w:proofErr w:type="spellStart"/>
      <w:r w:rsidRPr="003C5DB2">
        <w:t>clusterization</w:t>
      </w:r>
      <w:proofErr w:type="spellEnd"/>
      <w:r w:rsidRPr="003C5DB2">
        <w:t xml:space="preserve"> into </w:t>
      </w:r>
      <w:proofErr w:type="gramStart"/>
      <w:r w:rsidRPr="003C5DB2">
        <w:t>the LO</w:t>
      </w:r>
      <w:proofErr w:type="gramEnd"/>
      <w:r w:rsidRPr="003C5DB2">
        <w:t xml:space="preserve">. </w:t>
      </w:r>
    </w:p>
    <w:p w14:paraId="0A16E543" w14:textId="77777777" w:rsidR="009644BE" w:rsidRDefault="009644BE" w:rsidP="003C5DB2">
      <w:pPr>
        <w:ind w:firstLine="720"/>
        <w:jc w:val="both"/>
      </w:pPr>
    </w:p>
    <w:p w14:paraId="0A6BE5B5" w14:textId="77777777" w:rsidR="00FD641F" w:rsidRDefault="00FD641F" w:rsidP="003C5DB2">
      <w:pPr>
        <w:ind w:firstLine="720"/>
        <w:jc w:val="both"/>
      </w:pPr>
    </w:p>
    <w:p w14:paraId="13E93A22" w14:textId="79616EB7" w:rsidR="00FD641F" w:rsidRDefault="00FD641F" w:rsidP="003C5DB2">
      <w:pPr>
        <w:ind w:firstLine="720"/>
        <w:jc w:val="both"/>
      </w:pPr>
      <w:r w:rsidRPr="00FD641F">
        <w:rPr>
          <w:noProof/>
        </w:rPr>
        <w:drawing>
          <wp:inline distT="0" distB="0" distL="0" distR="0" wp14:anchorId="64B1547F" wp14:editId="4B906CCA">
            <wp:extent cx="4921857" cy="2938252"/>
            <wp:effectExtent l="0" t="0" r="0" b="0"/>
            <wp:docPr id="15323894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799" cy="2944784"/>
                    </a:xfrm>
                    <a:prstGeom prst="rect">
                      <a:avLst/>
                    </a:prstGeom>
                    <a:noFill/>
                    <a:ln>
                      <a:noFill/>
                    </a:ln>
                  </pic:spPr>
                </pic:pic>
              </a:graphicData>
            </a:graphic>
          </wp:inline>
        </w:drawing>
      </w:r>
    </w:p>
    <w:p w14:paraId="66C57F09" w14:textId="6DB3EC59" w:rsidR="00FD641F" w:rsidRPr="00FD641F" w:rsidRDefault="00FD641F" w:rsidP="00FD641F">
      <w:pPr>
        <w:jc w:val="both"/>
        <w:rPr>
          <w:sz w:val="20"/>
          <w:szCs w:val="20"/>
          <w:lang w:val="en-GB"/>
        </w:rPr>
      </w:pPr>
      <w:r w:rsidRPr="00FD641F">
        <w:rPr>
          <w:b/>
          <w:bCs/>
          <w:sz w:val="20"/>
          <w:szCs w:val="20"/>
          <w:lang w:val="en-GB"/>
        </w:rPr>
        <w:t xml:space="preserve">Fig. 2. </w:t>
      </w:r>
      <w:r w:rsidRPr="00FD641F">
        <w:rPr>
          <w:sz w:val="20"/>
          <w:szCs w:val="20"/>
          <w:lang w:val="en-GB"/>
        </w:rPr>
        <w:t>Heatmaps and hierarchical clustering analysis of virgin olive oil samples using the targeted compounds for A) 3 × 10 min-MCT-; B) 1 × 30 min-Vac-; C) 3 × 10 min-Vac-MCT- HS-SPME.</w:t>
      </w:r>
    </w:p>
    <w:p w14:paraId="2FAF9D6B" w14:textId="77777777" w:rsidR="00FD641F" w:rsidRDefault="00FD641F" w:rsidP="003C5DB2">
      <w:pPr>
        <w:ind w:firstLine="720"/>
        <w:jc w:val="both"/>
      </w:pPr>
    </w:p>
    <w:p w14:paraId="716A761E" w14:textId="77777777" w:rsidR="001A2BDE" w:rsidRDefault="003C5DB2" w:rsidP="003C5DB2">
      <w:pPr>
        <w:ind w:firstLine="720"/>
        <w:jc w:val="both"/>
      </w:pPr>
      <w:r w:rsidRPr="003C5DB2">
        <w:t>Despite some misclassifications, it can be observed in the HCA obtained from the three studied sampling techniques that a general</w:t>
      </w:r>
      <w:r w:rsidR="001A2BDE">
        <w:t xml:space="preserve"> </w:t>
      </w:r>
      <w:r w:rsidR="001A2BDE" w:rsidRPr="001A2BDE">
        <w:t xml:space="preserve">clustering is obtained based on the geographical origin (mainly Spain and Italy; Tunisia was generally </w:t>
      </w:r>
      <w:proofErr w:type="spellStart"/>
      <w:r w:rsidR="001A2BDE" w:rsidRPr="001A2BDE">
        <w:t>clusterized</w:t>
      </w:r>
      <w:proofErr w:type="spellEnd"/>
      <w:r w:rsidR="001A2BDE" w:rsidRPr="001A2BDE">
        <w:t xml:space="preserve"> with Italy, as also observed previously (Spadafora et al., 2022)). For instance, in the 3 × 10 </w:t>
      </w:r>
      <w:proofErr w:type="spellStart"/>
      <w:r w:rsidR="001A2BDE" w:rsidRPr="001A2BDE">
        <w:t>minMCT</w:t>
      </w:r>
      <w:proofErr w:type="spellEnd"/>
      <w:r w:rsidR="001A2BDE" w:rsidRPr="001A2BDE">
        <w:t xml:space="preserve">-HS-SPME condition (Fig. 2a), EVO and </w:t>
      </w:r>
      <w:r w:rsidR="001A2BDE" w:rsidRPr="001A2BDE">
        <w:lastRenderedPageBreak/>
        <w:t xml:space="preserve">VO are clustered separately from the LO (and the 3 VO discussed before). Within the EVO-VO cluster, two main sub-classes can be observed: one cluster with only EVO from Italy and Tunisia, and a second one including EVO and VO separated into two sub-classes; one with all Italian VO and one Spanish EVO, and the other one with all the Spanish EVO and one Spanish VO. Examining the 1 × 30 min-Vac-HS-SPME (Fig. 2b), three main clusters can be observed: one with the LO and the VO-08 sample previously discussed, another cluster with Spanish oils divided into two sub-clusters containing EVO and VO, respectively, and a third cluster divided into three sub-classes, one containing Italian and Tunisian EVO, one with two samples of Spanish EVO and a last one with Italian VO. Finally, looking at the 3 × 10 min-Vac-MCT-HS-SPME condition (Fig. 2c), we can again observe the LO and the VO-08 group well separated, with another cluster containing Spanish oils divided into VO and EVO, and a third cluster with a confused clustering between EVO and VO but with no clear bias towards the geographic origin. </w:t>
      </w:r>
    </w:p>
    <w:p w14:paraId="1EDCD66C" w14:textId="04BA12A8" w:rsidR="005665C8" w:rsidRDefault="001A2BDE" w:rsidP="003C5DB2">
      <w:pPr>
        <w:ind w:firstLine="720"/>
        <w:jc w:val="both"/>
      </w:pPr>
      <w:r w:rsidRPr="001A2BDE">
        <w:t>Besides the technological transformation of olives into oils, the overall volatile signature of virgin olive oils is affected by many additional variables, such as the geographical origin, the botanical cultivars, and the pedoclimatic conditions, among others (</w:t>
      </w:r>
      <w:proofErr w:type="spellStart"/>
      <w:r w:rsidRPr="001A2BDE">
        <w:t>Angerosa</w:t>
      </w:r>
      <w:proofErr w:type="spellEnd"/>
      <w:r w:rsidRPr="001A2BDE">
        <w:t xml:space="preserve">, </w:t>
      </w:r>
      <w:proofErr w:type="spellStart"/>
      <w:r w:rsidRPr="001A2BDE">
        <w:t>Mostallino</w:t>
      </w:r>
      <w:proofErr w:type="spellEnd"/>
      <w:r w:rsidRPr="001A2BDE">
        <w:t xml:space="preserve">, Basti, &amp; Vito, 2000; Greco et al., 2022; Luna, Morales, &amp; Aparicio, 2006). Thus, it is very difficult to differentiate among the contribution of each variable to identify the markers responsible for the commercial category alone. The results reported here suggest that changing the sampling technique may affect the ability of the proposed markers to discriminate between EVO and VO. Furthermore, </w:t>
      </w:r>
      <w:proofErr w:type="gramStart"/>
      <w:r w:rsidRPr="001A2BDE">
        <w:t>the geographical</w:t>
      </w:r>
      <w:proofErr w:type="gramEnd"/>
      <w:r w:rsidRPr="001A2BDE">
        <w:t xml:space="preserve"> origin appears to take major weight over the quality attributes in the statistical analysis.</w:t>
      </w:r>
    </w:p>
    <w:p w14:paraId="38A44413" w14:textId="65FFC0DE" w:rsidR="001A2BDE" w:rsidRDefault="001A2BDE" w:rsidP="003C5DB2">
      <w:pPr>
        <w:ind w:firstLine="720"/>
        <w:jc w:val="both"/>
      </w:pPr>
      <w:r w:rsidRPr="001A2BDE">
        <w:t xml:space="preserve">From the results shown in section 3.1, </w:t>
      </w:r>
      <w:proofErr w:type="gramStart"/>
      <w:r w:rsidRPr="001A2BDE">
        <w:t>it is clear that the</w:t>
      </w:r>
      <w:proofErr w:type="gramEnd"/>
      <w:r w:rsidRPr="001A2BDE">
        <w:t xml:space="preserve"> volatile profile obtained by the proposed sampling techniques differs from the one obtained when defining these markers. Indeed, the extraction of the less volatile compounds is enhanced, possibly explaining the lack of accuracy in the independent discrimination between EVO and VO. Nevertheless, it is not clear whether the different volatile profile acquired better captures the sensory response to the specific compounds in comparison to classical HS-SPME as used to define the targeted markers. Moreover, the general geographical-origin-biased classification using the targeted markers with these proposed sampling conditions may also be caused by the different volatile profile obtained, causing a discrepancy in the clustering capability. However, the selection of the markers may have been somehow affected by the main origins of the samples used to build the model. Furthermore, the clustering accuracy could also be affected by the harvesting year variations and possibly by the pedoclimatic changes, which have been more severe over the last years due to climate changes, maybe causing a general change in the volatile profile expression. Although extremely interesting, addressing these questions is out of the scope of the present work, and the limited number of samples analyzed in this work allows only for a preliminary discussion. Dedicated investigations would be needed to clarify these observations.</w:t>
      </w:r>
    </w:p>
    <w:p w14:paraId="3248A19A" w14:textId="77777777" w:rsidR="005665C8" w:rsidRDefault="005665C8" w:rsidP="003C5DB2">
      <w:pPr>
        <w:jc w:val="both"/>
      </w:pPr>
    </w:p>
    <w:p w14:paraId="0529D41E" w14:textId="12FA532A" w:rsidR="005665C8" w:rsidRPr="005665C8" w:rsidRDefault="005665C8" w:rsidP="003C5DB2">
      <w:pPr>
        <w:pStyle w:val="Titre3"/>
        <w:jc w:val="both"/>
      </w:pPr>
      <w:r>
        <w:t>UNTARGETED CROSS-SAMPLE COMPARISON</w:t>
      </w:r>
    </w:p>
    <w:p w14:paraId="3A5F98F8" w14:textId="53F28EA1" w:rsidR="000F4F69" w:rsidRDefault="001A2BDE" w:rsidP="003C5DB2">
      <w:pPr>
        <w:jc w:val="both"/>
      </w:pPr>
      <w:r>
        <w:tab/>
      </w:r>
    </w:p>
    <w:p w14:paraId="791B1838" w14:textId="77777777" w:rsidR="001A2BDE" w:rsidRDefault="001A2BDE" w:rsidP="003C5DB2">
      <w:pPr>
        <w:jc w:val="both"/>
      </w:pPr>
      <w:r>
        <w:tab/>
      </w:r>
      <w:r w:rsidRPr="001A2BDE">
        <w:t xml:space="preserve">To further investigate the ability of the proposed techniques to capture information-rich chromatographic fingerprints, an untargeted data processing was implemented to extract the significant features for discriminating </w:t>
      </w:r>
      <w:proofErr w:type="gramStart"/>
      <w:r w:rsidRPr="001A2BDE">
        <w:t>among</w:t>
      </w:r>
      <w:proofErr w:type="gramEnd"/>
      <w:r w:rsidRPr="001A2BDE">
        <w:t xml:space="preserve"> the virgin olive oil commercial categories. The sets of samples were further examined within the postprocessing platform using the entire raw data, investigating all the m/ z as different channels. The data matrices were pretreated as described in section 2.5.1. </w:t>
      </w:r>
      <w:proofErr w:type="gramStart"/>
      <w:r w:rsidRPr="001A2BDE">
        <w:t>Similar to</w:t>
      </w:r>
      <w:proofErr w:type="gramEnd"/>
      <w:r w:rsidRPr="001A2BDE">
        <w:t xml:space="preserve"> the targeted approach, a three-cluster model was created based on the three different virgin olive oil qualities, namely EVO, VO, and LO. The 25 most significant features based on </w:t>
      </w:r>
      <w:r w:rsidRPr="001A2BDE">
        <w:lastRenderedPageBreak/>
        <w:t xml:space="preserve">RF selection were </w:t>
      </w:r>
      <w:proofErr w:type="spellStart"/>
      <w:r w:rsidRPr="001A2BDE">
        <w:t>visualised</w:t>
      </w:r>
      <w:proofErr w:type="spellEnd"/>
      <w:r w:rsidRPr="001A2BDE">
        <w:t xml:space="preserve"> in a two-dimensional PCA (PC1 and PC2) for the three</w:t>
      </w:r>
      <w:r>
        <w:t xml:space="preserve"> </w:t>
      </w:r>
      <w:r w:rsidRPr="001A2BDE">
        <w:t xml:space="preserve">tested conditions, as shown in Fig. 3. The out-of-bag (OOB) estimate of error rate was 4.17 % for 3 × 10 min-MCT-HS-SPME and 1 × 30 </w:t>
      </w:r>
      <w:proofErr w:type="spellStart"/>
      <w:r w:rsidRPr="001A2BDE">
        <w:t>minVac</w:t>
      </w:r>
      <w:proofErr w:type="spellEnd"/>
      <w:r w:rsidRPr="001A2BDE">
        <w:t xml:space="preserve">-HS-SPME, while 3 × 10 min-Vac-MCT-HS-SPME showed an OOB estimate of error rate of 8.33 %. According to the confusion matrices derived from RF (Supplementary Table S3), one EVO sample is misclassified with a VO for all three tested conditions. Furthermore, 3 × 10 min-Vac-MCT-HS-SPME shows a further misclassification of a VO sample with an EVO one. All three conditions showed a full discrimination of the LO samples. The list of the overall selected features is reported in Supplementary Table S4. </w:t>
      </w:r>
    </w:p>
    <w:p w14:paraId="1DF0B648" w14:textId="77777777" w:rsidR="001A2BDE" w:rsidRDefault="001A2BDE" w:rsidP="001A2BDE">
      <w:pPr>
        <w:ind w:firstLine="720"/>
        <w:jc w:val="both"/>
      </w:pPr>
      <w:r w:rsidRPr="001A2BDE">
        <w:t xml:space="preserve">Overall, superior discrimination was proven for atmospheric pressure 3 × 10 min HS-SPME compared to the previous results reported in the literature (Spadafora et al., 2022), probably thanks to the superior separation power achieved by using GC × GC compared to </w:t>
      </w:r>
      <w:proofErr w:type="spellStart"/>
      <w:r w:rsidRPr="001A2BDE">
        <w:t>monodimensional</w:t>
      </w:r>
      <w:proofErr w:type="spellEnd"/>
      <w:r w:rsidRPr="001A2BDE">
        <w:t xml:space="preserve"> GC, and thus to the more reliable and efficient blueprint determination using untargeted approaches. From the selected features, 23 compounds were tentatively identified based on the MS similarity match over 80 % and the LRI match with data reported in the commercial libraries used (Supplementary Table S4). Out of the 23 compounds, 6 overlapped with those used for the target analysis (i.e., acetic acid, octane, hexanal, (</w:t>
      </w:r>
      <w:proofErr w:type="gramStart"/>
      <w:r w:rsidRPr="001A2BDE">
        <w:t>E,E</w:t>
      </w:r>
      <w:proofErr w:type="gramEnd"/>
      <w:r w:rsidRPr="001A2BDE">
        <w:t xml:space="preserve">)-2,4-hexadienal, 6- methyl-5-hepten-2-one, nonanal); all of them recalling defects in sensory perception. </w:t>
      </w:r>
    </w:p>
    <w:p w14:paraId="72F437DF" w14:textId="77777777" w:rsidR="001A2BDE" w:rsidRDefault="001A2BDE" w:rsidP="001A2BDE">
      <w:pPr>
        <w:ind w:firstLine="720"/>
        <w:jc w:val="both"/>
      </w:pPr>
      <w:r w:rsidRPr="001A2BDE">
        <w:t xml:space="preserve">Three compounds were identified in all the conditions, namely butanoic acid methyl ester, hexanal, and 2-heptanone. Eight compounds were identified as significant by using 3 × 10 min-MCT-HS-SPME, they are the three compounds in common with all the conditions, 2-octene (in common with 3 × 10 min-Vac-MCT-HS-SPME), nonanoic acid, copaene, and two </w:t>
      </w:r>
      <w:proofErr w:type="gramStart"/>
      <w:r w:rsidRPr="001A2BDE">
        <w:t>unknown</w:t>
      </w:r>
      <w:proofErr w:type="gramEnd"/>
      <w:r w:rsidRPr="001A2BDE">
        <w:t xml:space="preserve">. Using 1 × 30 min Vac-HS-SPME 12 compounds were identified, three in common with the other conditions, 4 in common only with 3 × 10 min Vac-MCT-HS-SPME (i.e., acetic acid, octane, styrene and 6-methyl-5-hepten-2one), and 5 significant only for this condition, namely, 1-methoxyhexane, heptanal, (E,E)-2,4-hexadienal, octanal, and nonanal. Finally, 6 compounds were significant only when using 3 × 10 min-Vac-MCT-HS-SPME, i.e., heptane, butanoic acid methyl ester, 2-penten-1-ol, hexanoic acid methyl ester, an unknown ketone, and an unknown alkane. </w:t>
      </w:r>
    </w:p>
    <w:p w14:paraId="761FBE72" w14:textId="77777777" w:rsidR="001A2BDE" w:rsidRDefault="001A2BDE" w:rsidP="001A2BDE">
      <w:pPr>
        <w:ind w:firstLine="720"/>
        <w:jc w:val="both"/>
      </w:pPr>
      <w:r w:rsidRPr="001A2BDE">
        <w:t xml:space="preserve">The first two PCs reported over 70 % of the total explained variance for the different extraction techniques. Regardless of the conditions, the separation between the three virgin olive oil categories was overweighted by LO because of their high content of compounds related to defects. From a quality viewpoint, it is more critical to support the discrimination between EVO and VO. Therefore, the data were reprocessed by removing LO and performing the same RF procedure for selecting the most significant features and performing a hierarchical cluster analysis, as shown in the heatmaps of Fig. 4. </w:t>
      </w:r>
    </w:p>
    <w:p w14:paraId="6347CB0D" w14:textId="1E1065D7" w:rsidR="001A2BDE" w:rsidRDefault="001A2BDE" w:rsidP="001A2BDE">
      <w:pPr>
        <w:ind w:firstLine="720"/>
        <w:jc w:val="both"/>
      </w:pPr>
      <w:r w:rsidRPr="001A2BDE">
        <w:t>3 × 10 min-MCT-HS-SPME and 1 × 30 min-Vac-HS-SPME showed excellent discrimination between EVO and VO, while a 3 × 10 min-</w:t>
      </w:r>
      <w:proofErr w:type="spellStart"/>
      <w:r w:rsidRPr="001A2BDE">
        <w:t>VacMCT</w:t>
      </w:r>
      <w:proofErr w:type="spellEnd"/>
      <w:r w:rsidRPr="001A2BDE">
        <w:t>-HS-SPME showed a misclassification of one EVO (EVO-05) into the VO cluster. Random forest resulted in an OOB estimate of error rate of 0 % for 3 × 10 min-MCT-HS-SPME and 1 × 30 min-Vac-HS-SPME, while 3 × 10 min-Vac-MCT-HS-SPME showed an OOB estimate of error rate of 5.3 %. The confusion matrices (Supplementary Table S5) derived from RF confirm the misclassification of one EVO with a VO on the 3 × 10 min-Vac-MCT-HS-SPME.</w:t>
      </w:r>
    </w:p>
    <w:p w14:paraId="10DF9929" w14:textId="77777777" w:rsidR="001A2BDE" w:rsidRDefault="001A2BDE" w:rsidP="003C5DB2">
      <w:pPr>
        <w:jc w:val="both"/>
      </w:pPr>
      <w:r>
        <w:tab/>
      </w:r>
      <w:r w:rsidRPr="001A2BDE">
        <w:t xml:space="preserve">In this case, although not as clear as previously reported for the targeted compounds, a certain clustering degree based on the geographical origin can be observed without building an ad hoc model as in the previous work we published (Spadafora et al., 2022). It can be hypothesized that a more powerful classification can be obtained using a higher number of samples and an ad hoc sampling design. </w:t>
      </w:r>
    </w:p>
    <w:p w14:paraId="2A47DCF0" w14:textId="77777777" w:rsidR="00485758" w:rsidRDefault="00485758" w:rsidP="003C5DB2">
      <w:pPr>
        <w:jc w:val="both"/>
      </w:pPr>
    </w:p>
    <w:p w14:paraId="1E70E9AD" w14:textId="2ED424C0" w:rsidR="00485758" w:rsidRDefault="00485758" w:rsidP="003C5DB2">
      <w:pPr>
        <w:jc w:val="both"/>
        <w:rPr>
          <w:lang w:val="en-GB"/>
        </w:rPr>
      </w:pPr>
      <w:r w:rsidRPr="00485758">
        <w:rPr>
          <w:noProof/>
          <w:lang w:val="en-GB"/>
        </w:rPr>
        <w:lastRenderedPageBreak/>
        <w:drawing>
          <wp:inline distT="0" distB="0" distL="0" distR="0" wp14:anchorId="55714F76" wp14:editId="285726F4">
            <wp:extent cx="5761990" cy="6354445"/>
            <wp:effectExtent l="0" t="0" r="0" b="8255"/>
            <wp:docPr id="10341115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90" cy="6354445"/>
                    </a:xfrm>
                    <a:prstGeom prst="rect">
                      <a:avLst/>
                    </a:prstGeom>
                    <a:noFill/>
                    <a:ln>
                      <a:noFill/>
                    </a:ln>
                  </pic:spPr>
                </pic:pic>
              </a:graphicData>
            </a:graphic>
          </wp:inline>
        </w:drawing>
      </w:r>
    </w:p>
    <w:p w14:paraId="2AEE4A89" w14:textId="6E48B358" w:rsidR="00485758" w:rsidRPr="00485758" w:rsidRDefault="00485758" w:rsidP="003C5DB2">
      <w:pPr>
        <w:jc w:val="both"/>
        <w:rPr>
          <w:sz w:val="20"/>
          <w:szCs w:val="20"/>
          <w:lang w:val="en-GB"/>
        </w:rPr>
      </w:pPr>
      <w:r w:rsidRPr="00485758">
        <w:rPr>
          <w:b/>
          <w:bCs/>
          <w:sz w:val="20"/>
          <w:szCs w:val="20"/>
          <w:lang w:val="en-GB"/>
        </w:rPr>
        <w:t xml:space="preserve">Fig. 3. </w:t>
      </w:r>
      <w:r w:rsidRPr="00485758">
        <w:rPr>
          <w:sz w:val="20"/>
          <w:szCs w:val="20"/>
          <w:lang w:val="en-GB"/>
        </w:rPr>
        <w:t>Principal component analyses (PCA) obtained using the top discriminatory features obtained with RF of the entire set of samples by A) 3 × 10 min-MCT-; B) 1 × 30 min-Vac-; C) 3 × 10 min-Vac-MCT- HS-SPME.</w:t>
      </w:r>
    </w:p>
    <w:p w14:paraId="407BDF54" w14:textId="77777777" w:rsidR="00485758" w:rsidRPr="00485758" w:rsidRDefault="00485758" w:rsidP="003C5DB2">
      <w:pPr>
        <w:jc w:val="both"/>
        <w:rPr>
          <w:lang w:val="en-GB"/>
        </w:rPr>
      </w:pPr>
    </w:p>
    <w:p w14:paraId="7D69D0CF" w14:textId="77777777" w:rsidR="001A2BDE" w:rsidRDefault="001A2BDE" w:rsidP="001A2BDE">
      <w:pPr>
        <w:ind w:firstLine="720"/>
        <w:jc w:val="both"/>
      </w:pPr>
      <w:r w:rsidRPr="001A2BDE">
        <w:t xml:space="preserve">Of the overall 13 compounds identified (Table 1), 6 were shared in all the conditions (i.e., ethyl acetate, acetic acid, penten-3-one, 1-hexanol, hexanal, and pentanal), while hexane was discriminatory when using 3 × 10 min-MCT-HS-SPME and 1 × 30 min-Vac-HS-SPME, but not in 3 × 10minVac-MCT-HS-SPME. Two compounds, 2-penten-1ol and 3-methylbutanol, were discriminant only when 3 × 10 min-MCT-HS-SPME was used. Whilst 2-butoxyethanol was discriminant only when using 3 × 10 min-Vac-MCT-HS-SPME, whereas butanoic acid and 1-penten-3-ol showed power of </w:t>
      </w:r>
      <w:r w:rsidRPr="001A2BDE">
        <w:lastRenderedPageBreak/>
        <w:t xml:space="preserve">discrimination in 3 × 10 min-Vac-MCT- and 1 × 30 min-Vac- HS-SPME. Among the selected features, only 5 compounds </w:t>
      </w:r>
      <w:proofErr w:type="gramStart"/>
      <w:r w:rsidRPr="001A2BDE">
        <w:t>were in</w:t>
      </w:r>
      <w:proofErr w:type="gramEnd"/>
      <w:r w:rsidRPr="001A2BDE">
        <w:t xml:space="preserve"> common with the previously targeted compounds: acetic acid, ethyl acetate, 3-methylbutanol, 1-hexanol, and hexanal. It is noteworthy that 1-hexanol is the only compound associated with a fruity attribute</w:t>
      </w:r>
      <w:r>
        <w:t xml:space="preserve"> </w:t>
      </w:r>
      <w:r w:rsidRPr="001A2BDE">
        <w:t>that is in common with the targeted markers in the OLEUM project. Nevertheless, other compounds responsible for positive attributes and derived from the lipoxygenase pathway were selected, namely penten-3- one, 2-penten-1-ol, pentanal, hexanal, 3-pentanone, and 1-penten-3-ol. Compounds related to specific defects were also selected, such as ethyl acetate, acetic acid and 3-methylbutanal for the winery-vinegar defect; pentanal and hexanal responsible for the rancidity perception (depending on their relative concentration), butanoic acid related to the</w:t>
      </w:r>
      <w:r>
        <w:t xml:space="preserve"> </w:t>
      </w:r>
      <w:r w:rsidRPr="001A2BDE">
        <w:t xml:space="preserve">perception of muddy sediment defect (Genovese, Caporaso, &amp; Sacchi, 2021). </w:t>
      </w:r>
    </w:p>
    <w:p w14:paraId="3F0AFE1B" w14:textId="77777777" w:rsidR="002A7F30" w:rsidRDefault="002A7F30" w:rsidP="001A2BDE">
      <w:pPr>
        <w:ind w:firstLine="720"/>
        <w:jc w:val="both"/>
      </w:pPr>
    </w:p>
    <w:p w14:paraId="64B1BEFB" w14:textId="77777777" w:rsidR="009512D2" w:rsidRDefault="009512D2" w:rsidP="001A2BDE">
      <w:pPr>
        <w:ind w:firstLine="720"/>
        <w:jc w:val="both"/>
      </w:pPr>
    </w:p>
    <w:p w14:paraId="795AA199" w14:textId="44A5FF55" w:rsidR="009512D2" w:rsidRDefault="009512D2" w:rsidP="001A2BDE">
      <w:pPr>
        <w:ind w:firstLine="720"/>
        <w:jc w:val="both"/>
      </w:pPr>
      <w:r w:rsidRPr="009512D2">
        <w:rPr>
          <w:noProof/>
        </w:rPr>
        <w:drawing>
          <wp:inline distT="0" distB="0" distL="0" distR="0" wp14:anchorId="0AC2AFC3" wp14:editId="7F2B8D13">
            <wp:extent cx="4900361" cy="3436841"/>
            <wp:effectExtent l="0" t="0" r="0" b="0"/>
            <wp:docPr id="19580506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151" cy="3440200"/>
                    </a:xfrm>
                    <a:prstGeom prst="rect">
                      <a:avLst/>
                    </a:prstGeom>
                    <a:noFill/>
                    <a:ln>
                      <a:noFill/>
                    </a:ln>
                  </pic:spPr>
                </pic:pic>
              </a:graphicData>
            </a:graphic>
          </wp:inline>
        </w:drawing>
      </w:r>
    </w:p>
    <w:p w14:paraId="7E0B5F46" w14:textId="79500605" w:rsidR="009512D2" w:rsidRDefault="009512D2" w:rsidP="009512D2">
      <w:pPr>
        <w:jc w:val="both"/>
        <w:rPr>
          <w:b/>
          <w:bCs/>
          <w:sz w:val="20"/>
          <w:szCs w:val="20"/>
          <w:lang w:val="en-GB"/>
        </w:rPr>
      </w:pPr>
      <w:r w:rsidRPr="009512D2">
        <w:rPr>
          <w:b/>
          <w:bCs/>
          <w:sz w:val="20"/>
          <w:szCs w:val="20"/>
          <w:lang w:val="en-GB"/>
        </w:rPr>
        <w:t xml:space="preserve">Fig. 4. </w:t>
      </w:r>
      <w:r w:rsidRPr="009512D2">
        <w:rPr>
          <w:sz w:val="20"/>
          <w:szCs w:val="20"/>
          <w:lang w:val="en-GB"/>
        </w:rPr>
        <w:t xml:space="preserve">Heatmaps and hierarchical cluster analysis of EVO and VO using RF feature selection </w:t>
      </w:r>
      <w:r w:rsidRPr="009512D2">
        <w:rPr>
          <w:b/>
          <w:bCs/>
          <w:sz w:val="20"/>
          <w:szCs w:val="20"/>
          <w:lang w:val="en-GB"/>
        </w:rPr>
        <w:t>A</w:t>
      </w:r>
      <w:r w:rsidRPr="009512D2">
        <w:rPr>
          <w:sz w:val="20"/>
          <w:szCs w:val="20"/>
          <w:lang w:val="en-GB"/>
        </w:rPr>
        <w:t xml:space="preserve">) 3 × 10 min-MCT-; </w:t>
      </w:r>
      <w:r w:rsidRPr="009512D2">
        <w:rPr>
          <w:b/>
          <w:bCs/>
          <w:sz w:val="20"/>
          <w:szCs w:val="20"/>
          <w:lang w:val="en-GB"/>
        </w:rPr>
        <w:t>B</w:t>
      </w:r>
      <w:r w:rsidRPr="009512D2">
        <w:rPr>
          <w:sz w:val="20"/>
          <w:szCs w:val="20"/>
          <w:lang w:val="en-GB"/>
        </w:rPr>
        <w:t xml:space="preserve">) 1 × 30 min-Vac-; </w:t>
      </w:r>
      <w:r w:rsidRPr="009512D2">
        <w:rPr>
          <w:b/>
          <w:bCs/>
          <w:sz w:val="20"/>
          <w:szCs w:val="20"/>
          <w:lang w:val="en-GB"/>
        </w:rPr>
        <w:t>C</w:t>
      </w:r>
      <w:r w:rsidRPr="009512D2">
        <w:rPr>
          <w:sz w:val="20"/>
          <w:szCs w:val="20"/>
          <w:lang w:val="en-GB"/>
        </w:rPr>
        <w:t>) 3 × 10 min-Vac-MCT-HS-SPME</w:t>
      </w:r>
      <w:r w:rsidRPr="009512D2">
        <w:rPr>
          <w:b/>
          <w:bCs/>
          <w:sz w:val="20"/>
          <w:szCs w:val="20"/>
          <w:lang w:val="en-GB"/>
        </w:rPr>
        <w:t>.</w:t>
      </w:r>
    </w:p>
    <w:p w14:paraId="653BB46D" w14:textId="77777777" w:rsidR="00A0389C" w:rsidRDefault="00A0389C" w:rsidP="009512D2">
      <w:pPr>
        <w:jc w:val="both"/>
        <w:rPr>
          <w:b/>
          <w:bCs/>
          <w:sz w:val="20"/>
          <w:szCs w:val="20"/>
          <w:lang w:val="en-GB"/>
        </w:rPr>
      </w:pPr>
    </w:p>
    <w:p w14:paraId="13D1061F" w14:textId="77777777" w:rsidR="00083A32" w:rsidRDefault="00083A32" w:rsidP="009512D2">
      <w:pPr>
        <w:jc w:val="both"/>
        <w:rPr>
          <w:b/>
          <w:bCs/>
          <w:sz w:val="20"/>
          <w:szCs w:val="20"/>
          <w:lang w:val="en-GB"/>
        </w:rPr>
      </w:pPr>
    </w:p>
    <w:p w14:paraId="77510A3A" w14:textId="77777777" w:rsidR="00083A32" w:rsidRDefault="00083A32" w:rsidP="00083A32">
      <w:pPr>
        <w:ind w:firstLine="720"/>
        <w:jc w:val="both"/>
      </w:pPr>
      <w:r w:rsidRPr="001A2BDE">
        <w:t xml:space="preserve">All the considered compounds are consistent with the discrimination observed and have been reported in the literature as related to the overall description of virgin olive oils, either as positive or as negative attributes. The standing difficulty is to determine a “universal” blueprint, which should be robust despite the analytical technique used, the chemometric algorithm applied, and the set of samples investigated. Only once this goal </w:t>
      </w:r>
      <w:proofErr w:type="gramStart"/>
      <w:r w:rsidRPr="001A2BDE">
        <w:t>will be</w:t>
      </w:r>
      <w:proofErr w:type="gramEnd"/>
      <w:r w:rsidRPr="001A2BDE">
        <w:t xml:space="preserve"> achieved, </w:t>
      </w:r>
      <w:proofErr w:type="gramStart"/>
      <w:r w:rsidRPr="001A2BDE">
        <w:t>it will</w:t>
      </w:r>
      <w:proofErr w:type="gramEnd"/>
      <w:r w:rsidRPr="001A2BDE">
        <w:t xml:space="preserve"> be possible to develop a rapid analytical method able to support the panel test.</w:t>
      </w:r>
    </w:p>
    <w:p w14:paraId="7B024A21" w14:textId="77777777" w:rsidR="00083A32" w:rsidRDefault="00083A32" w:rsidP="00083A32">
      <w:pPr>
        <w:jc w:val="both"/>
      </w:pPr>
    </w:p>
    <w:p w14:paraId="19EA7D8F" w14:textId="77777777" w:rsidR="00030678" w:rsidRPr="00083A32" w:rsidRDefault="00030678" w:rsidP="009512D2">
      <w:pPr>
        <w:jc w:val="both"/>
        <w:rPr>
          <w:b/>
          <w:bCs/>
          <w:sz w:val="20"/>
          <w:szCs w:val="20"/>
        </w:rPr>
      </w:pPr>
    </w:p>
    <w:p w14:paraId="44242E5F" w14:textId="77777777" w:rsidR="00030678" w:rsidRDefault="00030678" w:rsidP="009512D2">
      <w:pPr>
        <w:jc w:val="both"/>
        <w:rPr>
          <w:b/>
          <w:bCs/>
          <w:sz w:val="20"/>
          <w:szCs w:val="20"/>
          <w:lang w:val="en-GB"/>
        </w:rPr>
      </w:pPr>
    </w:p>
    <w:p w14:paraId="19D302D6" w14:textId="77777777" w:rsidR="00C15580" w:rsidRDefault="00C15580" w:rsidP="009512D2">
      <w:pPr>
        <w:jc w:val="both"/>
        <w:rPr>
          <w:b/>
          <w:bCs/>
          <w:sz w:val="20"/>
          <w:szCs w:val="20"/>
          <w:lang w:val="en-GB"/>
        </w:rPr>
      </w:pPr>
    </w:p>
    <w:p w14:paraId="390882FC" w14:textId="25BB3452" w:rsidR="00A0389C" w:rsidRPr="00A0389C" w:rsidRDefault="00A0389C" w:rsidP="009512D2">
      <w:pPr>
        <w:jc w:val="both"/>
        <w:rPr>
          <w:sz w:val="20"/>
          <w:szCs w:val="20"/>
          <w:lang w:val="en-GB"/>
        </w:rPr>
      </w:pPr>
      <w:r>
        <w:rPr>
          <w:b/>
          <w:bCs/>
          <w:sz w:val="20"/>
          <w:szCs w:val="20"/>
          <w:lang w:val="en-GB"/>
        </w:rPr>
        <w:lastRenderedPageBreak/>
        <w:t>Table 1</w:t>
      </w:r>
    </w:p>
    <w:p w14:paraId="2A8F06A6" w14:textId="01CD38CB" w:rsidR="00A0389C" w:rsidRDefault="00A0389C" w:rsidP="009512D2">
      <w:pPr>
        <w:jc w:val="both"/>
        <w:rPr>
          <w:sz w:val="20"/>
          <w:szCs w:val="20"/>
          <w:lang w:val="en-GB"/>
        </w:rPr>
      </w:pPr>
      <w:r w:rsidRPr="00A0389C">
        <w:rPr>
          <w:sz w:val="20"/>
          <w:szCs w:val="20"/>
          <w:lang w:val="en-GB"/>
        </w:rPr>
        <w:t>List of the top discriminatory compounds extrapolated after RF analysis to discriminate between EVO and VO, reported in order of elution, along with the CAS number, their octanol air partition (Koa), linear retention index (</w:t>
      </w:r>
      <w:proofErr w:type="spellStart"/>
      <w:r w:rsidRPr="00A0389C">
        <w:rPr>
          <w:sz w:val="20"/>
          <w:szCs w:val="20"/>
          <w:lang w:val="en-GB"/>
        </w:rPr>
        <w:t>LRIexp</w:t>
      </w:r>
      <w:proofErr w:type="spellEnd"/>
      <w:r w:rsidRPr="00A0389C">
        <w:rPr>
          <w:sz w:val="20"/>
          <w:szCs w:val="20"/>
          <w:lang w:val="en-GB"/>
        </w:rPr>
        <w:t xml:space="preserve">) experimentally calculated and reported in the literature (LRIlib). The different letter on the apex indicates the extraction condition from where they were selected, namely </w:t>
      </w:r>
      <w:r w:rsidRPr="00A0389C">
        <w:rPr>
          <w:b/>
          <w:bCs/>
          <w:sz w:val="20"/>
          <w:szCs w:val="20"/>
          <w:lang w:val="en-GB"/>
        </w:rPr>
        <w:t>a</w:t>
      </w:r>
      <w:r w:rsidRPr="00A0389C">
        <w:rPr>
          <w:sz w:val="20"/>
          <w:szCs w:val="20"/>
          <w:lang w:val="en-GB"/>
        </w:rPr>
        <w:t xml:space="preserve">: 3 × 10 min-MCT-; </w:t>
      </w:r>
      <w:r w:rsidRPr="00A0389C">
        <w:rPr>
          <w:b/>
          <w:bCs/>
          <w:sz w:val="20"/>
          <w:szCs w:val="20"/>
          <w:lang w:val="en-GB"/>
        </w:rPr>
        <w:t>b</w:t>
      </w:r>
      <w:r w:rsidRPr="00A0389C">
        <w:rPr>
          <w:sz w:val="20"/>
          <w:szCs w:val="20"/>
          <w:lang w:val="en-GB"/>
        </w:rPr>
        <w:t xml:space="preserve">: 1 × 30 min-Vac-; </w:t>
      </w:r>
      <w:r w:rsidRPr="00A0389C">
        <w:rPr>
          <w:b/>
          <w:bCs/>
          <w:sz w:val="20"/>
          <w:szCs w:val="20"/>
          <w:lang w:val="en-GB"/>
        </w:rPr>
        <w:t>c</w:t>
      </w:r>
      <w:r w:rsidRPr="00A0389C">
        <w:rPr>
          <w:sz w:val="20"/>
          <w:szCs w:val="20"/>
          <w:lang w:val="en-GB"/>
        </w:rPr>
        <w:t xml:space="preserve">: 3 × 10 min-Vac-MCT- HS-SPME. The </w:t>
      </w:r>
      <w:proofErr w:type="spellStart"/>
      <w:r w:rsidRPr="00A0389C">
        <w:rPr>
          <w:sz w:val="20"/>
          <w:szCs w:val="20"/>
          <w:lang w:val="en-GB"/>
        </w:rPr>
        <w:t>odor</w:t>
      </w:r>
      <w:proofErr w:type="spellEnd"/>
      <w:r w:rsidRPr="00A0389C">
        <w:rPr>
          <w:sz w:val="20"/>
          <w:szCs w:val="20"/>
          <w:lang w:val="en-GB"/>
        </w:rPr>
        <w:t xml:space="preserve"> and taste descriptors are as reported in </w:t>
      </w:r>
      <w:hyperlink r:id="rId13" w:history="1">
        <w:r w:rsidRPr="00EC5E76">
          <w:rPr>
            <w:rStyle w:val="Lienhypertexte"/>
            <w:sz w:val="20"/>
            <w:szCs w:val="20"/>
            <w:lang w:val="en-GB"/>
          </w:rPr>
          <w:t>http://www.thegoodscentscompany.com/</w:t>
        </w:r>
      </w:hyperlink>
      <w:r w:rsidRPr="00A0389C">
        <w:rPr>
          <w:sz w:val="20"/>
          <w:szCs w:val="20"/>
          <w:lang w:val="en-GB"/>
        </w:rPr>
        <w:t>.</w:t>
      </w:r>
      <w:r>
        <w:rPr>
          <w:sz w:val="20"/>
          <w:szCs w:val="20"/>
          <w:lang w:val="en-GB"/>
        </w:rPr>
        <w:t xml:space="preserve"> </w:t>
      </w:r>
    </w:p>
    <w:p w14:paraId="30FD05BD" w14:textId="77777777" w:rsidR="00252687" w:rsidRDefault="00252687" w:rsidP="009512D2">
      <w:pPr>
        <w:jc w:val="both"/>
        <w:rPr>
          <w:sz w:val="20"/>
          <w:szCs w:val="20"/>
          <w:lang w:val="en-GB"/>
        </w:rPr>
      </w:pPr>
    </w:p>
    <w:tbl>
      <w:tblPr>
        <w:tblStyle w:val="Grilledutableau"/>
        <w:tblW w:w="0" w:type="auto"/>
        <w:tblInd w:w="38"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none" w:sz="0" w:space="0" w:color="auto"/>
        </w:tblBorders>
        <w:tblLook w:val="04A0" w:firstRow="1" w:lastRow="0" w:firstColumn="1" w:lastColumn="0" w:noHBand="0" w:noVBand="1"/>
      </w:tblPr>
      <w:tblGrid>
        <w:gridCol w:w="1771"/>
        <w:gridCol w:w="1276"/>
        <w:gridCol w:w="851"/>
        <w:gridCol w:w="850"/>
        <w:gridCol w:w="992"/>
        <w:gridCol w:w="1701"/>
        <w:gridCol w:w="1811"/>
      </w:tblGrid>
      <w:tr w:rsidR="00252687" w14:paraId="5704C507" w14:textId="77777777" w:rsidTr="00030678">
        <w:trPr>
          <w:trHeight w:val="349"/>
        </w:trPr>
        <w:tc>
          <w:tcPr>
            <w:tcW w:w="1771" w:type="dxa"/>
            <w:tcBorders>
              <w:top w:val="single" w:sz="4" w:space="0" w:color="auto"/>
              <w:bottom w:val="single" w:sz="4" w:space="0" w:color="auto"/>
            </w:tcBorders>
          </w:tcPr>
          <w:p w14:paraId="30AE5B84" w14:textId="4CA54683" w:rsidR="00252687" w:rsidRPr="00230DEB" w:rsidRDefault="00252687" w:rsidP="009512D2">
            <w:pPr>
              <w:jc w:val="both"/>
              <w:rPr>
                <w:b/>
                <w:bCs/>
                <w:sz w:val="20"/>
                <w:szCs w:val="20"/>
                <w:lang w:val="en-GB"/>
              </w:rPr>
            </w:pPr>
            <w:r w:rsidRPr="00230DEB">
              <w:rPr>
                <w:b/>
                <w:bCs/>
                <w:sz w:val="20"/>
                <w:szCs w:val="20"/>
                <w:lang w:val="en-GB"/>
              </w:rPr>
              <w:t>Compound</w:t>
            </w:r>
          </w:p>
        </w:tc>
        <w:tc>
          <w:tcPr>
            <w:tcW w:w="1276" w:type="dxa"/>
            <w:tcBorders>
              <w:top w:val="single" w:sz="4" w:space="0" w:color="auto"/>
              <w:bottom w:val="single" w:sz="4" w:space="0" w:color="auto"/>
            </w:tcBorders>
          </w:tcPr>
          <w:p w14:paraId="2BF9B524" w14:textId="7D5D4CAB" w:rsidR="00252687" w:rsidRPr="00230DEB" w:rsidRDefault="00252687" w:rsidP="009512D2">
            <w:pPr>
              <w:jc w:val="both"/>
              <w:rPr>
                <w:b/>
                <w:bCs/>
                <w:sz w:val="20"/>
                <w:szCs w:val="20"/>
                <w:lang w:val="en-GB"/>
              </w:rPr>
            </w:pPr>
            <w:r w:rsidRPr="00230DEB">
              <w:rPr>
                <w:b/>
                <w:bCs/>
                <w:sz w:val="20"/>
                <w:szCs w:val="20"/>
                <w:lang w:val="en-GB"/>
              </w:rPr>
              <w:t>CAS</w:t>
            </w:r>
          </w:p>
        </w:tc>
        <w:tc>
          <w:tcPr>
            <w:tcW w:w="851" w:type="dxa"/>
            <w:tcBorders>
              <w:top w:val="single" w:sz="4" w:space="0" w:color="auto"/>
              <w:bottom w:val="single" w:sz="4" w:space="0" w:color="auto"/>
            </w:tcBorders>
          </w:tcPr>
          <w:p w14:paraId="25A6E5EB" w14:textId="6E7E03E1" w:rsidR="00252687" w:rsidRPr="00230DEB" w:rsidRDefault="00252687" w:rsidP="009512D2">
            <w:pPr>
              <w:jc w:val="both"/>
              <w:rPr>
                <w:b/>
                <w:bCs/>
                <w:sz w:val="20"/>
                <w:szCs w:val="20"/>
                <w:lang w:val="en-GB"/>
              </w:rPr>
            </w:pPr>
            <w:proofErr w:type="spellStart"/>
            <w:r w:rsidRPr="00230DEB">
              <w:rPr>
                <w:b/>
                <w:bCs/>
                <w:sz w:val="20"/>
                <w:szCs w:val="20"/>
                <w:lang w:val="en-GB"/>
              </w:rPr>
              <w:t>LRIexp</w:t>
            </w:r>
            <w:proofErr w:type="spellEnd"/>
          </w:p>
        </w:tc>
        <w:tc>
          <w:tcPr>
            <w:tcW w:w="850" w:type="dxa"/>
            <w:tcBorders>
              <w:top w:val="single" w:sz="4" w:space="0" w:color="auto"/>
              <w:bottom w:val="single" w:sz="4" w:space="0" w:color="auto"/>
            </w:tcBorders>
          </w:tcPr>
          <w:p w14:paraId="0ECF38EC" w14:textId="09CB0D91" w:rsidR="00252687" w:rsidRPr="00230DEB" w:rsidRDefault="00252687" w:rsidP="009512D2">
            <w:pPr>
              <w:jc w:val="both"/>
              <w:rPr>
                <w:b/>
                <w:bCs/>
                <w:sz w:val="20"/>
                <w:szCs w:val="20"/>
                <w:lang w:val="en-GB"/>
              </w:rPr>
            </w:pPr>
            <w:r w:rsidRPr="00230DEB">
              <w:rPr>
                <w:b/>
                <w:bCs/>
                <w:sz w:val="20"/>
                <w:szCs w:val="20"/>
                <w:lang w:val="en-GB"/>
              </w:rPr>
              <w:t>LRI Lib</w:t>
            </w:r>
          </w:p>
        </w:tc>
        <w:tc>
          <w:tcPr>
            <w:tcW w:w="992" w:type="dxa"/>
            <w:tcBorders>
              <w:top w:val="single" w:sz="4" w:space="0" w:color="auto"/>
              <w:bottom w:val="single" w:sz="4" w:space="0" w:color="auto"/>
            </w:tcBorders>
          </w:tcPr>
          <w:p w14:paraId="3EC77353" w14:textId="29BF5E5D" w:rsidR="00252687" w:rsidRPr="00230DEB" w:rsidRDefault="00252687" w:rsidP="009512D2">
            <w:pPr>
              <w:jc w:val="both"/>
              <w:rPr>
                <w:b/>
                <w:bCs/>
                <w:sz w:val="20"/>
                <w:szCs w:val="20"/>
                <w:lang w:val="en-GB"/>
              </w:rPr>
            </w:pPr>
            <w:r w:rsidRPr="00230DEB">
              <w:rPr>
                <w:b/>
                <w:bCs/>
                <w:sz w:val="20"/>
                <w:szCs w:val="20"/>
                <w:lang w:val="en-GB"/>
              </w:rPr>
              <w:t>Log Koa</w:t>
            </w:r>
          </w:p>
        </w:tc>
        <w:tc>
          <w:tcPr>
            <w:tcW w:w="1701" w:type="dxa"/>
            <w:tcBorders>
              <w:top w:val="single" w:sz="4" w:space="0" w:color="auto"/>
              <w:bottom w:val="single" w:sz="4" w:space="0" w:color="auto"/>
            </w:tcBorders>
          </w:tcPr>
          <w:p w14:paraId="04A01CD5" w14:textId="5D958402" w:rsidR="00252687" w:rsidRPr="00230DEB" w:rsidRDefault="00252687" w:rsidP="009512D2">
            <w:pPr>
              <w:jc w:val="both"/>
              <w:rPr>
                <w:b/>
                <w:bCs/>
                <w:sz w:val="20"/>
                <w:szCs w:val="20"/>
                <w:lang w:val="en-GB"/>
              </w:rPr>
            </w:pPr>
            <w:r w:rsidRPr="00230DEB">
              <w:rPr>
                <w:b/>
                <w:bCs/>
                <w:sz w:val="20"/>
                <w:szCs w:val="20"/>
                <w:lang w:val="en-GB"/>
              </w:rPr>
              <w:t>Odor description</w:t>
            </w:r>
          </w:p>
        </w:tc>
        <w:tc>
          <w:tcPr>
            <w:tcW w:w="1811" w:type="dxa"/>
            <w:tcBorders>
              <w:top w:val="single" w:sz="4" w:space="0" w:color="auto"/>
              <w:bottom w:val="single" w:sz="4" w:space="0" w:color="auto"/>
            </w:tcBorders>
          </w:tcPr>
          <w:p w14:paraId="0D7EDD84" w14:textId="5723B334" w:rsidR="00252687" w:rsidRPr="00230DEB" w:rsidRDefault="00252687" w:rsidP="009512D2">
            <w:pPr>
              <w:jc w:val="both"/>
              <w:rPr>
                <w:b/>
                <w:bCs/>
                <w:sz w:val="20"/>
                <w:szCs w:val="20"/>
                <w:lang w:val="en-GB"/>
              </w:rPr>
            </w:pPr>
            <w:r w:rsidRPr="00230DEB">
              <w:rPr>
                <w:b/>
                <w:bCs/>
                <w:sz w:val="20"/>
                <w:szCs w:val="20"/>
                <w:lang w:val="en-GB"/>
              </w:rPr>
              <w:t>Taste description</w:t>
            </w:r>
          </w:p>
        </w:tc>
      </w:tr>
      <w:tr w:rsidR="00252687" w14:paraId="55528EE4" w14:textId="77777777" w:rsidTr="00030678">
        <w:trPr>
          <w:trHeight w:val="381"/>
        </w:trPr>
        <w:tc>
          <w:tcPr>
            <w:tcW w:w="1771" w:type="dxa"/>
            <w:tcBorders>
              <w:top w:val="single" w:sz="4" w:space="0" w:color="auto"/>
            </w:tcBorders>
          </w:tcPr>
          <w:p w14:paraId="6D078099" w14:textId="0E090C48" w:rsidR="00252687" w:rsidRPr="00230DEB" w:rsidRDefault="00E96539" w:rsidP="009512D2">
            <w:pPr>
              <w:jc w:val="both"/>
              <w:rPr>
                <w:sz w:val="18"/>
                <w:szCs w:val="18"/>
                <w:lang w:val="en-GB"/>
              </w:rPr>
            </w:pPr>
            <w:r w:rsidRPr="00230DEB">
              <w:rPr>
                <w:sz w:val="18"/>
                <w:szCs w:val="18"/>
                <w:lang w:val="en-GB"/>
              </w:rPr>
              <w:t>Hexane</w:t>
            </w:r>
            <w:r w:rsidR="001B07D5" w:rsidRPr="00230DEB">
              <w:rPr>
                <w:sz w:val="18"/>
                <w:szCs w:val="18"/>
                <w:lang w:val="en-GB"/>
              </w:rPr>
              <w:t xml:space="preserve"> </w:t>
            </w:r>
            <w:proofErr w:type="gramStart"/>
            <w:r w:rsidR="001B07D5" w:rsidRPr="00230DEB">
              <w:rPr>
                <w:i/>
                <w:iCs/>
                <w:sz w:val="18"/>
                <w:szCs w:val="18"/>
                <w:lang w:val="en-GB"/>
              </w:rPr>
              <w:t>a,b</w:t>
            </w:r>
            <w:proofErr w:type="gramEnd"/>
          </w:p>
        </w:tc>
        <w:tc>
          <w:tcPr>
            <w:tcW w:w="1276" w:type="dxa"/>
            <w:tcBorders>
              <w:top w:val="single" w:sz="4" w:space="0" w:color="auto"/>
            </w:tcBorders>
          </w:tcPr>
          <w:p w14:paraId="53DD4C5E" w14:textId="1F55739A" w:rsidR="00252687" w:rsidRPr="00230DEB" w:rsidRDefault="00E103B4" w:rsidP="009512D2">
            <w:pPr>
              <w:jc w:val="both"/>
              <w:rPr>
                <w:sz w:val="18"/>
                <w:szCs w:val="18"/>
                <w:lang w:val="en-GB"/>
              </w:rPr>
            </w:pPr>
            <w:r w:rsidRPr="00230DEB">
              <w:rPr>
                <w:i/>
                <w:iCs/>
                <w:sz w:val="18"/>
                <w:szCs w:val="18"/>
                <w:lang w:val="en-GB"/>
              </w:rPr>
              <w:t>110</w:t>
            </w:r>
            <w:r w:rsidRPr="00230DEB">
              <w:rPr>
                <w:sz w:val="18"/>
                <w:szCs w:val="18"/>
                <w:lang w:val="en-GB"/>
              </w:rPr>
              <w:t>–</w:t>
            </w:r>
            <w:r w:rsidRPr="00230DEB">
              <w:rPr>
                <w:i/>
                <w:iCs/>
                <w:sz w:val="18"/>
                <w:szCs w:val="18"/>
                <w:lang w:val="en-GB"/>
              </w:rPr>
              <w:t>54-3</w:t>
            </w:r>
          </w:p>
        </w:tc>
        <w:tc>
          <w:tcPr>
            <w:tcW w:w="851" w:type="dxa"/>
            <w:tcBorders>
              <w:top w:val="single" w:sz="4" w:space="0" w:color="auto"/>
            </w:tcBorders>
          </w:tcPr>
          <w:p w14:paraId="6BC78371" w14:textId="28432E42" w:rsidR="009B6439" w:rsidRPr="00230DEB" w:rsidRDefault="009B6439" w:rsidP="009512D2">
            <w:pPr>
              <w:jc w:val="both"/>
              <w:rPr>
                <w:sz w:val="18"/>
                <w:szCs w:val="18"/>
                <w:lang w:val="en-GB"/>
              </w:rPr>
            </w:pPr>
            <w:r w:rsidRPr="00230DEB">
              <w:rPr>
                <w:sz w:val="18"/>
                <w:szCs w:val="18"/>
                <w:lang w:val="en-GB"/>
              </w:rPr>
              <w:t>600</w:t>
            </w:r>
          </w:p>
        </w:tc>
        <w:tc>
          <w:tcPr>
            <w:tcW w:w="850" w:type="dxa"/>
            <w:tcBorders>
              <w:top w:val="single" w:sz="4" w:space="0" w:color="auto"/>
            </w:tcBorders>
          </w:tcPr>
          <w:p w14:paraId="600A8953" w14:textId="6EC75363" w:rsidR="00252687" w:rsidRPr="00230DEB" w:rsidRDefault="009B6439" w:rsidP="009512D2">
            <w:pPr>
              <w:jc w:val="both"/>
              <w:rPr>
                <w:sz w:val="18"/>
                <w:szCs w:val="18"/>
                <w:lang w:val="en-GB"/>
              </w:rPr>
            </w:pPr>
            <w:r w:rsidRPr="00230DEB">
              <w:rPr>
                <w:sz w:val="18"/>
                <w:szCs w:val="18"/>
                <w:lang w:val="en-GB"/>
              </w:rPr>
              <w:t>600</w:t>
            </w:r>
          </w:p>
        </w:tc>
        <w:tc>
          <w:tcPr>
            <w:tcW w:w="992" w:type="dxa"/>
            <w:tcBorders>
              <w:top w:val="single" w:sz="4" w:space="0" w:color="auto"/>
            </w:tcBorders>
          </w:tcPr>
          <w:p w14:paraId="0F4317FC" w14:textId="1CB0EF9C" w:rsidR="00252687" w:rsidRPr="00230DEB" w:rsidRDefault="009B6439" w:rsidP="009512D2">
            <w:pPr>
              <w:jc w:val="both"/>
              <w:rPr>
                <w:sz w:val="18"/>
                <w:szCs w:val="18"/>
                <w:lang w:val="en-GB"/>
              </w:rPr>
            </w:pPr>
            <w:r w:rsidRPr="00230DEB">
              <w:rPr>
                <w:sz w:val="18"/>
                <w:szCs w:val="18"/>
                <w:lang w:val="en-GB"/>
              </w:rPr>
              <w:t>2.033</w:t>
            </w:r>
          </w:p>
        </w:tc>
        <w:tc>
          <w:tcPr>
            <w:tcW w:w="1701" w:type="dxa"/>
            <w:tcBorders>
              <w:top w:val="single" w:sz="4" w:space="0" w:color="auto"/>
            </w:tcBorders>
          </w:tcPr>
          <w:p w14:paraId="1BFBE86E" w14:textId="5FA6F66A" w:rsidR="00252687" w:rsidRPr="00230DEB" w:rsidRDefault="009B6439" w:rsidP="009512D2">
            <w:pPr>
              <w:jc w:val="both"/>
              <w:rPr>
                <w:sz w:val="18"/>
                <w:szCs w:val="18"/>
                <w:lang w:val="en-GB"/>
              </w:rPr>
            </w:pPr>
            <w:proofErr w:type="spellStart"/>
            <w:r w:rsidRPr="00230DEB">
              <w:rPr>
                <w:sz w:val="18"/>
                <w:szCs w:val="18"/>
                <w:lang w:val="en-GB"/>
              </w:rPr>
              <w:t>na</w:t>
            </w:r>
            <w:proofErr w:type="spellEnd"/>
          </w:p>
        </w:tc>
        <w:tc>
          <w:tcPr>
            <w:tcW w:w="1811" w:type="dxa"/>
            <w:tcBorders>
              <w:top w:val="single" w:sz="4" w:space="0" w:color="auto"/>
            </w:tcBorders>
          </w:tcPr>
          <w:p w14:paraId="2A107B2F" w14:textId="235AD526" w:rsidR="00252687" w:rsidRPr="00230DEB" w:rsidRDefault="009B6439" w:rsidP="009512D2">
            <w:pPr>
              <w:jc w:val="both"/>
              <w:rPr>
                <w:sz w:val="18"/>
                <w:szCs w:val="18"/>
                <w:lang w:val="en-GB"/>
              </w:rPr>
            </w:pPr>
            <w:proofErr w:type="spellStart"/>
            <w:r w:rsidRPr="00230DEB">
              <w:rPr>
                <w:sz w:val="18"/>
                <w:szCs w:val="18"/>
                <w:lang w:val="en-GB"/>
              </w:rPr>
              <w:t>na</w:t>
            </w:r>
            <w:proofErr w:type="spellEnd"/>
          </w:p>
        </w:tc>
      </w:tr>
      <w:tr w:rsidR="00252687" w14:paraId="25D6D5E1" w14:textId="77777777" w:rsidTr="00030678">
        <w:trPr>
          <w:trHeight w:val="399"/>
        </w:trPr>
        <w:tc>
          <w:tcPr>
            <w:tcW w:w="1771" w:type="dxa"/>
          </w:tcPr>
          <w:p w14:paraId="5B40B258" w14:textId="59D26AC4" w:rsidR="00252687" w:rsidRPr="00230DEB" w:rsidRDefault="00E96539" w:rsidP="009512D2">
            <w:pPr>
              <w:jc w:val="both"/>
              <w:rPr>
                <w:sz w:val="18"/>
                <w:szCs w:val="18"/>
                <w:lang w:val="en-GB"/>
              </w:rPr>
            </w:pPr>
            <w:r w:rsidRPr="00230DEB">
              <w:rPr>
                <w:i/>
                <w:iCs/>
                <w:sz w:val="18"/>
                <w:szCs w:val="18"/>
                <w:lang w:val="en-GB"/>
              </w:rPr>
              <w:t>Ethyl</w:t>
            </w:r>
            <w:r w:rsidRPr="00230DEB">
              <w:rPr>
                <w:i/>
                <w:iCs/>
                <w:sz w:val="18"/>
                <w:szCs w:val="18"/>
                <w:lang w:val="en-GB"/>
              </w:rPr>
              <w:t xml:space="preserve"> </w:t>
            </w:r>
            <w:r w:rsidRPr="00230DEB">
              <w:rPr>
                <w:i/>
                <w:iCs/>
                <w:sz w:val="18"/>
                <w:szCs w:val="18"/>
                <w:lang w:val="en-GB"/>
              </w:rPr>
              <w:t>acetate</w:t>
            </w:r>
            <w:r w:rsidR="001B07D5" w:rsidRPr="00230DEB">
              <w:rPr>
                <w:i/>
                <w:iCs/>
                <w:sz w:val="18"/>
                <w:szCs w:val="18"/>
                <w:lang w:val="en-GB"/>
              </w:rPr>
              <w:t xml:space="preserve"> </w:t>
            </w:r>
            <w:proofErr w:type="spellStart"/>
            <w:proofErr w:type="gramStart"/>
            <w:r w:rsidR="001B07D5" w:rsidRPr="00230DEB">
              <w:rPr>
                <w:i/>
                <w:iCs/>
                <w:sz w:val="18"/>
                <w:szCs w:val="18"/>
                <w:lang w:val="en-GB"/>
              </w:rPr>
              <w:t>a,b</w:t>
            </w:r>
            <w:proofErr w:type="gramEnd"/>
            <w:r w:rsidR="001B07D5" w:rsidRPr="00230DEB">
              <w:rPr>
                <w:i/>
                <w:iCs/>
                <w:sz w:val="18"/>
                <w:szCs w:val="18"/>
                <w:lang w:val="en-GB"/>
              </w:rPr>
              <w:t>,c</w:t>
            </w:r>
            <w:proofErr w:type="spellEnd"/>
          </w:p>
        </w:tc>
        <w:tc>
          <w:tcPr>
            <w:tcW w:w="1276" w:type="dxa"/>
          </w:tcPr>
          <w:p w14:paraId="5C06BAED" w14:textId="5116075C" w:rsidR="00252687" w:rsidRPr="00230DEB" w:rsidRDefault="00E103B4" w:rsidP="009512D2">
            <w:pPr>
              <w:jc w:val="both"/>
              <w:rPr>
                <w:sz w:val="18"/>
                <w:szCs w:val="18"/>
                <w:lang w:val="en-GB"/>
              </w:rPr>
            </w:pPr>
            <w:r w:rsidRPr="00230DEB">
              <w:rPr>
                <w:i/>
                <w:iCs/>
                <w:sz w:val="18"/>
                <w:szCs w:val="18"/>
                <w:lang w:val="en-GB"/>
              </w:rPr>
              <w:t>141</w:t>
            </w:r>
            <w:r w:rsidRPr="00230DEB">
              <w:rPr>
                <w:sz w:val="18"/>
                <w:szCs w:val="18"/>
                <w:lang w:val="en-GB"/>
              </w:rPr>
              <w:t>–</w:t>
            </w:r>
            <w:r w:rsidRPr="00230DEB">
              <w:rPr>
                <w:i/>
                <w:iCs/>
                <w:sz w:val="18"/>
                <w:szCs w:val="18"/>
                <w:lang w:val="en-GB"/>
              </w:rPr>
              <w:t>78-6</w:t>
            </w:r>
          </w:p>
        </w:tc>
        <w:tc>
          <w:tcPr>
            <w:tcW w:w="851" w:type="dxa"/>
          </w:tcPr>
          <w:p w14:paraId="093DF197" w14:textId="7B66C457" w:rsidR="00252687" w:rsidRPr="00230DEB" w:rsidRDefault="009B6439" w:rsidP="009512D2">
            <w:pPr>
              <w:jc w:val="both"/>
              <w:rPr>
                <w:sz w:val="18"/>
                <w:szCs w:val="18"/>
                <w:lang w:val="en-GB"/>
              </w:rPr>
            </w:pPr>
            <w:r w:rsidRPr="00230DEB">
              <w:rPr>
                <w:sz w:val="18"/>
                <w:szCs w:val="18"/>
                <w:lang w:val="en-GB"/>
              </w:rPr>
              <w:t>605</w:t>
            </w:r>
          </w:p>
        </w:tc>
        <w:tc>
          <w:tcPr>
            <w:tcW w:w="850" w:type="dxa"/>
          </w:tcPr>
          <w:p w14:paraId="2869D904" w14:textId="67DE89EA" w:rsidR="00252687" w:rsidRPr="00230DEB" w:rsidRDefault="009B6439" w:rsidP="009512D2">
            <w:pPr>
              <w:jc w:val="both"/>
              <w:rPr>
                <w:sz w:val="18"/>
                <w:szCs w:val="18"/>
                <w:lang w:val="en-GB"/>
              </w:rPr>
            </w:pPr>
            <w:r w:rsidRPr="00230DEB">
              <w:rPr>
                <w:sz w:val="18"/>
                <w:szCs w:val="18"/>
                <w:lang w:val="en-GB"/>
              </w:rPr>
              <w:t>606</w:t>
            </w:r>
          </w:p>
        </w:tc>
        <w:tc>
          <w:tcPr>
            <w:tcW w:w="992" w:type="dxa"/>
          </w:tcPr>
          <w:p w14:paraId="7FB739E7" w14:textId="3DBF771B" w:rsidR="00252687" w:rsidRPr="00230DEB" w:rsidRDefault="009B6439" w:rsidP="009512D2">
            <w:pPr>
              <w:jc w:val="both"/>
              <w:rPr>
                <w:sz w:val="18"/>
                <w:szCs w:val="18"/>
                <w:lang w:val="en-GB"/>
              </w:rPr>
            </w:pPr>
            <w:r w:rsidRPr="00230DEB">
              <w:rPr>
                <w:sz w:val="18"/>
                <w:szCs w:val="18"/>
                <w:lang w:val="en-GB"/>
              </w:rPr>
              <w:t>2.991</w:t>
            </w:r>
          </w:p>
        </w:tc>
        <w:tc>
          <w:tcPr>
            <w:tcW w:w="1701" w:type="dxa"/>
          </w:tcPr>
          <w:p w14:paraId="33354FC0" w14:textId="66C90BE2" w:rsidR="00252687" w:rsidRPr="00230DEB" w:rsidRDefault="009B6439" w:rsidP="009512D2">
            <w:pPr>
              <w:jc w:val="both"/>
              <w:rPr>
                <w:sz w:val="18"/>
                <w:szCs w:val="18"/>
                <w:lang w:val="en-GB"/>
              </w:rPr>
            </w:pPr>
            <w:r w:rsidRPr="00230DEB">
              <w:rPr>
                <w:i/>
                <w:iCs/>
                <w:sz w:val="18"/>
                <w:szCs w:val="18"/>
                <w:lang w:val="en-GB"/>
              </w:rPr>
              <w:t>ethereal, fruity</w:t>
            </w:r>
          </w:p>
        </w:tc>
        <w:tc>
          <w:tcPr>
            <w:tcW w:w="1811" w:type="dxa"/>
          </w:tcPr>
          <w:p w14:paraId="1F4143E8" w14:textId="49D9C1E1" w:rsidR="00252687" w:rsidRPr="00230DEB" w:rsidRDefault="009B6439" w:rsidP="009512D2">
            <w:pPr>
              <w:jc w:val="both"/>
              <w:rPr>
                <w:sz w:val="18"/>
                <w:szCs w:val="18"/>
                <w:lang w:val="en-GB"/>
              </w:rPr>
            </w:pPr>
            <w:r w:rsidRPr="00230DEB">
              <w:rPr>
                <w:i/>
                <w:iCs/>
                <w:sz w:val="18"/>
                <w:szCs w:val="18"/>
                <w:lang w:val="en-GB"/>
              </w:rPr>
              <w:t>ethereal, fruity</w:t>
            </w:r>
          </w:p>
        </w:tc>
      </w:tr>
      <w:tr w:rsidR="00252687" w14:paraId="6281C339" w14:textId="77777777" w:rsidTr="00030678">
        <w:tc>
          <w:tcPr>
            <w:tcW w:w="1771" w:type="dxa"/>
          </w:tcPr>
          <w:p w14:paraId="3DD7CDDD" w14:textId="2A5FA9F3" w:rsidR="00252687" w:rsidRPr="00230DEB" w:rsidRDefault="00E96539" w:rsidP="009512D2">
            <w:pPr>
              <w:jc w:val="both"/>
              <w:rPr>
                <w:sz w:val="18"/>
                <w:szCs w:val="18"/>
                <w:lang w:val="en-GB"/>
              </w:rPr>
            </w:pPr>
            <w:r w:rsidRPr="00230DEB">
              <w:rPr>
                <w:i/>
                <w:iCs/>
                <w:sz w:val="18"/>
                <w:szCs w:val="18"/>
                <w:lang w:val="en-GB"/>
              </w:rPr>
              <w:t>Acetic acid</w:t>
            </w:r>
            <w:r w:rsidR="001B07D5" w:rsidRPr="00230DEB">
              <w:rPr>
                <w:i/>
                <w:iCs/>
                <w:sz w:val="18"/>
                <w:szCs w:val="18"/>
                <w:lang w:val="en-GB"/>
              </w:rPr>
              <w:t xml:space="preserve"> </w:t>
            </w:r>
            <w:proofErr w:type="spellStart"/>
            <w:proofErr w:type="gramStart"/>
            <w:r w:rsidR="001B07D5" w:rsidRPr="00230DEB">
              <w:rPr>
                <w:i/>
                <w:iCs/>
                <w:sz w:val="18"/>
                <w:szCs w:val="18"/>
                <w:lang w:val="en-GB"/>
              </w:rPr>
              <w:t>a,b</w:t>
            </w:r>
            <w:proofErr w:type="gramEnd"/>
            <w:r w:rsidR="001B07D5" w:rsidRPr="00230DEB">
              <w:rPr>
                <w:i/>
                <w:iCs/>
                <w:sz w:val="18"/>
                <w:szCs w:val="18"/>
                <w:lang w:val="en-GB"/>
              </w:rPr>
              <w:t>,c</w:t>
            </w:r>
            <w:proofErr w:type="spellEnd"/>
          </w:p>
        </w:tc>
        <w:tc>
          <w:tcPr>
            <w:tcW w:w="1276" w:type="dxa"/>
          </w:tcPr>
          <w:p w14:paraId="1B0168CF" w14:textId="304958E2" w:rsidR="00252687" w:rsidRPr="00230DEB" w:rsidRDefault="00E103B4" w:rsidP="009512D2">
            <w:pPr>
              <w:jc w:val="both"/>
              <w:rPr>
                <w:sz w:val="18"/>
                <w:szCs w:val="18"/>
                <w:lang w:val="en-GB"/>
              </w:rPr>
            </w:pPr>
            <w:r w:rsidRPr="00230DEB">
              <w:rPr>
                <w:i/>
                <w:iCs/>
                <w:sz w:val="18"/>
                <w:szCs w:val="18"/>
                <w:lang w:val="en-GB"/>
              </w:rPr>
              <w:t>64</w:t>
            </w:r>
            <w:r w:rsidRPr="00230DEB">
              <w:rPr>
                <w:sz w:val="18"/>
                <w:szCs w:val="18"/>
                <w:lang w:val="en-GB"/>
              </w:rPr>
              <w:t>–</w:t>
            </w:r>
            <w:r w:rsidRPr="00230DEB">
              <w:rPr>
                <w:i/>
                <w:iCs/>
                <w:sz w:val="18"/>
                <w:szCs w:val="18"/>
                <w:lang w:val="en-GB"/>
              </w:rPr>
              <w:t>19-7</w:t>
            </w:r>
          </w:p>
        </w:tc>
        <w:tc>
          <w:tcPr>
            <w:tcW w:w="851" w:type="dxa"/>
          </w:tcPr>
          <w:p w14:paraId="201E98A7" w14:textId="7992EC8B" w:rsidR="00252687" w:rsidRPr="00230DEB" w:rsidRDefault="009B6439" w:rsidP="009512D2">
            <w:pPr>
              <w:jc w:val="both"/>
              <w:rPr>
                <w:sz w:val="18"/>
                <w:szCs w:val="18"/>
                <w:lang w:val="en-GB"/>
              </w:rPr>
            </w:pPr>
            <w:r w:rsidRPr="00230DEB">
              <w:rPr>
                <w:sz w:val="18"/>
                <w:szCs w:val="18"/>
                <w:lang w:val="en-GB"/>
              </w:rPr>
              <w:t>634</w:t>
            </w:r>
          </w:p>
        </w:tc>
        <w:tc>
          <w:tcPr>
            <w:tcW w:w="850" w:type="dxa"/>
          </w:tcPr>
          <w:p w14:paraId="50D31522" w14:textId="1D99BAC7" w:rsidR="00252687" w:rsidRPr="00230DEB" w:rsidRDefault="009B6439" w:rsidP="009512D2">
            <w:pPr>
              <w:jc w:val="both"/>
              <w:rPr>
                <w:sz w:val="18"/>
                <w:szCs w:val="18"/>
                <w:lang w:val="en-GB"/>
              </w:rPr>
            </w:pPr>
            <w:r w:rsidRPr="00230DEB">
              <w:rPr>
                <w:sz w:val="18"/>
                <w:szCs w:val="18"/>
                <w:lang w:val="en-GB"/>
              </w:rPr>
              <w:t>661</w:t>
            </w:r>
          </w:p>
        </w:tc>
        <w:tc>
          <w:tcPr>
            <w:tcW w:w="992" w:type="dxa"/>
          </w:tcPr>
          <w:p w14:paraId="4CDEAAB8" w14:textId="2CEE30E8" w:rsidR="00252687" w:rsidRPr="00230DEB" w:rsidRDefault="009B6439" w:rsidP="009512D2">
            <w:pPr>
              <w:jc w:val="both"/>
              <w:rPr>
                <w:sz w:val="18"/>
                <w:szCs w:val="18"/>
                <w:lang w:val="en-GB"/>
              </w:rPr>
            </w:pPr>
            <w:r w:rsidRPr="00230DEB">
              <w:rPr>
                <w:sz w:val="18"/>
                <w:szCs w:val="18"/>
                <w:lang w:val="en-GB"/>
              </w:rPr>
              <w:t>5.218</w:t>
            </w:r>
          </w:p>
        </w:tc>
        <w:tc>
          <w:tcPr>
            <w:tcW w:w="1701" w:type="dxa"/>
          </w:tcPr>
          <w:p w14:paraId="154827DE" w14:textId="3A087453" w:rsidR="00252687" w:rsidRPr="00230DEB" w:rsidRDefault="009B6439" w:rsidP="009512D2">
            <w:pPr>
              <w:jc w:val="both"/>
              <w:rPr>
                <w:sz w:val="18"/>
                <w:szCs w:val="18"/>
                <w:lang w:val="en-GB"/>
              </w:rPr>
            </w:pPr>
            <w:r w:rsidRPr="00230DEB">
              <w:rPr>
                <w:i/>
                <w:iCs/>
                <w:sz w:val="18"/>
                <w:szCs w:val="18"/>
                <w:lang w:val="en-GB"/>
              </w:rPr>
              <w:t>pungent acidic, dairy-like</w:t>
            </w:r>
          </w:p>
        </w:tc>
        <w:tc>
          <w:tcPr>
            <w:tcW w:w="1811" w:type="dxa"/>
          </w:tcPr>
          <w:p w14:paraId="78B12D05" w14:textId="77777777" w:rsidR="009B6439" w:rsidRPr="00230DEB" w:rsidRDefault="009B6439" w:rsidP="009B6439">
            <w:pPr>
              <w:jc w:val="both"/>
              <w:rPr>
                <w:i/>
                <w:iCs/>
                <w:sz w:val="18"/>
                <w:szCs w:val="18"/>
                <w:lang w:val="en-GB"/>
              </w:rPr>
            </w:pPr>
            <w:r w:rsidRPr="00230DEB">
              <w:rPr>
                <w:i/>
                <w:iCs/>
                <w:sz w:val="18"/>
                <w:szCs w:val="18"/>
                <w:lang w:val="en-GB"/>
              </w:rPr>
              <w:t xml:space="preserve">acidic, dairy, fruity </w:t>
            </w:r>
          </w:p>
          <w:p w14:paraId="0C2E2D05" w14:textId="77777777" w:rsidR="00252687" w:rsidRPr="00230DEB" w:rsidRDefault="00252687" w:rsidP="009512D2">
            <w:pPr>
              <w:jc w:val="both"/>
              <w:rPr>
                <w:sz w:val="18"/>
                <w:szCs w:val="18"/>
                <w:lang w:val="en-GB"/>
              </w:rPr>
            </w:pPr>
          </w:p>
        </w:tc>
      </w:tr>
      <w:tr w:rsidR="00252687" w14:paraId="654B3353" w14:textId="77777777" w:rsidTr="00030678">
        <w:tc>
          <w:tcPr>
            <w:tcW w:w="1771" w:type="dxa"/>
          </w:tcPr>
          <w:p w14:paraId="272B5A91" w14:textId="42284C51" w:rsidR="00252687" w:rsidRPr="00230DEB" w:rsidRDefault="00E96539" w:rsidP="009512D2">
            <w:pPr>
              <w:jc w:val="both"/>
              <w:rPr>
                <w:sz w:val="18"/>
                <w:szCs w:val="18"/>
                <w:lang w:val="en-GB"/>
              </w:rPr>
            </w:pPr>
            <w:r w:rsidRPr="00230DEB">
              <w:rPr>
                <w:i/>
                <w:iCs/>
                <w:sz w:val="18"/>
                <w:szCs w:val="18"/>
                <w:lang w:val="en-GB"/>
              </w:rPr>
              <w:t>Penten-3-one</w:t>
            </w:r>
            <w:r w:rsidR="001B07D5" w:rsidRPr="00230DEB">
              <w:rPr>
                <w:i/>
                <w:iCs/>
                <w:sz w:val="18"/>
                <w:szCs w:val="18"/>
                <w:lang w:val="en-GB"/>
              </w:rPr>
              <w:t xml:space="preserve"> </w:t>
            </w:r>
            <w:proofErr w:type="spellStart"/>
            <w:proofErr w:type="gramStart"/>
            <w:r w:rsidR="001B07D5" w:rsidRPr="00230DEB">
              <w:rPr>
                <w:i/>
                <w:iCs/>
                <w:sz w:val="18"/>
                <w:szCs w:val="18"/>
                <w:lang w:val="en-GB"/>
              </w:rPr>
              <w:t>a,c</w:t>
            </w:r>
            <w:proofErr w:type="spellEnd"/>
            <w:proofErr w:type="gramEnd"/>
          </w:p>
        </w:tc>
        <w:tc>
          <w:tcPr>
            <w:tcW w:w="1276" w:type="dxa"/>
          </w:tcPr>
          <w:p w14:paraId="453E45FE" w14:textId="3D26E4AC" w:rsidR="00252687" w:rsidRPr="00230DEB" w:rsidRDefault="00E103B4" w:rsidP="009512D2">
            <w:pPr>
              <w:jc w:val="both"/>
              <w:rPr>
                <w:sz w:val="18"/>
                <w:szCs w:val="18"/>
                <w:lang w:val="en-GB"/>
              </w:rPr>
            </w:pPr>
            <w:r w:rsidRPr="00230DEB">
              <w:rPr>
                <w:i/>
                <w:iCs/>
                <w:sz w:val="18"/>
                <w:szCs w:val="18"/>
                <w:lang w:val="en-GB"/>
              </w:rPr>
              <w:t>1629</w:t>
            </w:r>
            <w:r w:rsidRPr="00230DEB">
              <w:rPr>
                <w:sz w:val="18"/>
                <w:szCs w:val="18"/>
                <w:lang w:val="en-GB"/>
              </w:rPr>
              <w:t>–</w:t>
            </w:r>
            <w:r w:rsidRPr="00230DEB">
              <w:rPr>
                <w:i/>
                <w:iCs/>
                <w:sz w:val="18"/>
                <w:szCs w:val="18"/>
                <w:lang w:val="en-GB"/>
              </w:rPr>
              <w:t>58-9</w:t>
            </w:r>
          </w:p>
        </w:tc>
        <w:tc>
          <w:tcPr>
            <w:tcW w:w="851" w:type="dxa"/>
          </w:tcPr>
          <w:p w14:paraId="010FE889" w14:textId="54A2E5CA" w:rsidR="00252687" w:rsidRPr="00230DEB" w:rsidRDefault="009B6439" w:rsidP="009512D2">
            <w:pPr>
              <w:jc w:val="both"/>
              <w:rPr>
                <w:sz w:val="18"/>
                <w:szCs w:val="18"/>
                <w:lang w:val="en-GB"/>
              </w:rPr>
            </w:pPr>
            <w:r w:rsidRPr="00230DEB">
              <w:rPr>
                <w:sz w:val="18"/>
                <w:szCs w:val="18"/>
                <w:lang w:val="en-GB"/>
              </w:rPr>
              <w:t>696</w:t>
            </w:r>
          </w:p>
        </w:tc>
        <w:tc>
          <w:tcPr>
            <w:tcW w:w="850" w:type="dxa"/>
          </w:tcPr>
          <w:p w14:paraId="5A587947" w14:textId="5E3B4816" w:rsidR="00252687" w:rsidRPr="00230DEB" w:rsidRDefault="009B6439" w:rsidP="009512D2">
            <w:pPr>
              <w:jc w:val="both"/>
              <w:rPr>
                <w:sz w:val="18"/>
                <w:szCs w:val="18"/>
                <w:lang w:val="en-GB"/>
              </w:rPr>
            </w:pPr>
            <w:r w:rsidRPr="00230DEB">
              <w:rPr>
                <w:sz w:val="18"/>
                <w:szCs w:val="18"/>
                <w:lang w:val="en-GB"/>
              </w:rPr>
              <w:t>677</w:t>
            </w:r>
          </w:p>
        </w:tc>
        <w:tc>
          <w:tcPr>
            <w:tcW w:w="992" w:type="dxa"/>
          </w:tcPr>
          <w:p w14:paraId="0F318AC3" w14:textId="5A68FA5A" w:rsidR="00252687" w:rsidRPr="00230DEB" w:rsidRDefault="009B6439" w:rsidP="009512D2">
            <w:pPr>
              <w:jc w:val="both"/>
              <w:rPr>
                <w:sz w:val="18"/>
                <w:szCs w:val="18"/>
                <w:lang w:val="en-GB"/>
              </w:rPr>
            </w:pPr>
            <w:r w:rsidRPr="00230DEB">
              <w:rPr>
                <w:sz w:val="18"/>
                <w:szCs w:val="18"/>
                <w:lang w:val="en-GB"/>
              </w:rPr>
              <w:t>3.748</w:t>
            </w:r>
          </w:p>
        </w:tc>
        <w:tc>
          <w:tcPr>
            <w:tcW w:w="1701" w:type="dxa"/>
          </w:tcPr>
          <w:p w14:paraId="7AA52457" w14:textId="749405C3" w:rsidR="00252687" w:rsidRPr="00230DEB" w:rsidRDefault="00DD7EB3" w:rsidP="00DD7EB3">
            <w:pPr>
              <w:jc w:val="both"/>
              <w:rPr>
                <w:i/>
                <w:iCs/>
                <w:sz w:val="18"/>
                <w:szCs w:val="18"/>
                <w:lang w:val="en-GB"/>
              </w:rPr>
            </w:pPr>
            <w:r w:rsidRPr="00230DEB">
              <w:rPr>
                <w:i/>
                <w:iCs/>
                <w:sz w:val="18"/>
                <w:szCs w:val="18"/>
                <w:lang w:val="en-GB"/>
              </w:rPr>
              <w:t xml:space="preserve">pungent, peppery, garlic, </w:t>
            </w:r>
            <w:proofErr w:type="spellStart"/>
            <w:r w:rsidRPr="00230DEB">
              <w:rPr>
                <w:i/>
                <w:iCs/>
                <w:sz w:val="18"/>
                <w:szCs w:val="18"/>
                <w:lang w:val="en-GB"/>
              </w:rPr>
              <w:t>etherial</w:t>
            </w:r>
            <w:proofErr w:type="spellEnd"/>
            <w:r w:rsidRPr="00230DEB">
              <w:rPr>
                <w:i/>
                <w:iCs/>
                <w:sz w:val="18"/>
                <w:szCs w:val="18"/>
                <w:lang w:val="en-GB"/>
              </w:rPr>
              <w:t xml:space="preserve"> </w:t>
            </w:r>
          </w:p>
        </w:tc>
        <w:tc>
          <w:tcPr>
            <w:tcW w:w="1811" w:type="dxa"/>
          </w:tcPr>
          <w:p w14:paraId="2C702514" w14:textId="678F6CD0" w:rsidR="00252687" w:rsidRPr="00230DEB" w:rsidRDefault="00E92893" w:rsidP="009512D2">
            <w:pPr>
              <w:jc w:val="both"/>
              <w:rPr>
                <w:sz w:val="18"/>
                <w:szCs w:val="18"/>
                <w:lang w:val="en-GB"/>
              </w:rPr>
            </w:pPr>
            <w:r w:rsidRPr="00230DEB">
              <w:rPr>
                <w:i/>
                <w:iCs/>
                <w:sz w:val="18"/>
                <w:szCs w:val="18"/>
                <w:lang w:val="en-GB"/>
              </w:rPr>
              <w:t>ethereal</w:t>
            </w:r>
          </w:p>
        </w:tc>
      </w:tr>
      <w:tr w:rsidR="00E92893" w14:paraId="42FD44DD" w14:textId="77777777" w:rsidTr="00422BAD">
        <w:trPr>
          <w:trHeight w:val="305"/>
        </w:trPr>
        <w:tc>
          <w:tcPr>
            <w:tcW w:w="1771" w:type="dxa"/>
          </w:tcPr>
          <w:p w14:paraId="10FCE6CC" w14:textId="4926BE03" w:rsidR="00E92893" w:rsidRPr="00230DEB" w:rsidRDefault="00E92893" w:rsidP="00E92893">
            <w:pPr>
              <w:jc w:val="both"/>
              <w:rPr>
                <w:sz w:val="18"/>
                <w:szCs w:val="18"/>
                <w:lang w:val="en-GB"/>
              </w:rPr>
            </w:pPr>
            <w:r w:rsidRPr="00230DEB">
              <w:rPr>
                <w:i/>
                <w:iCs/>
                <w:sz w:val="18"/>
                <w:szCs w:val="18"/>
                <w:lang w:val="en-GB"/>
              </w:rPr>
              <w:t>2-Penten-1-ol</w:t>
            </w:r>
            <w:r w:rsidRPr="00230DEB">
              <w:rPr>
                <w:i/>
                <w:iCs/>
                <w:sz w:val="18"/>
                <w:szCs w:val="18"/>
                <w:lang w:val="en-GB"/>
              </w:rPr>
              <w:t xml:space="preserve"> </w:t>
            </w:r>
            <w:r w:rsidRPr="00230DEB">
              <w:rPr>
                <w:i/>
                <w:iCs/>
                <w:sz w:val="18"/>
                <w:szCs w:val="18"/>
                <w:lang w:val="en-GB"/>
              </w:rPr>
              <w:t>a</w:t>
            </w:r>
          </w:p>
        </w:tc>
        <w:tc>
          <w:tcPr>
            <w:tcW w:w="1276" w:type="dxa"/>
          </w:tcPr>
          <w:p w14:paraId="512EEC50" w14:textId="135BD84A" w:rsidR="00E92893" w:rsidRPr="00230DEB" w:rsidRDefault="00E92893" w:rsidP="00E92893">
            <w:pPr>
              <w:jc w:val="both"/>
              <w:rPr>
                <w:sz w:val="18"/>
                <w:szCs w:val="18"/>
                <w:lang w:val="en-GB"/>
              </w:rPr>
            </w:pPr>
            <w:r w:rsidRPr="00230DEB">
              <w:rPr>
                <w:i/>
                <w:iCs/>
                <w:sz w:val="18"/>
                <w:szCs w:val="18"/>
                <w:lang w:val="en-GB"/>
              </w:rPr>
              <w:t>1576</w:t>
            </w:r>
            <w:r w:rsidRPr="00230DEB">
              <w:rPr>
                <w:sz w:val="18"/>
                <w:szCs w:val="18"/>
                <w:lang w:val="en-GB"/>
              </w:rPr>
              <w:t>–</w:t>
            </w:r>
            <w:r w:rsidRPr="00230DEB">
              <w:rPr>
                <w:i/>
                <w:iCs/>
                <w:sz w:val="18"/>
                <w:szCs w:val="18"/>
                <w:lang w:val="en-GB"/>
              </w:rPr>
              <w:t>95-0</w:t>
            </w:r>
          </w:p>
        </w:tc>
        <w:tc>
          <w:tcPr>
            <w:tcW w:w="851" w:type="dxa"/>
          </w:tcPr>
          <w:p w14:paraId="102C887D" w14:textId="3D2B20E3" w:rsidR="00E92893" w:rsidRPr="00230DEB" w:rsidRDefault="00E92893" w:rsidP="00E92893">
            <w:pPr>
              <w:jc w:val="both"/>
              <w:rPr>
                <w:sz w:val="18"/>
                <w:szCs w:val="18"/>
                <w:lang w:val="en-GB"/>
              </w:rPr>
            </w:pPr>
            <w:r w:rsidRPr="00230DEB">
              <w:rPr>
                <w:sz w:val="18"/>
                <w:szCs w:val="18"/>
                <w:lang w:val="en-GB"/>
              </w:rPr>
              <w:t>778</w:t>
            </w:r>
          </w:p>
        </w:tc>
        <w:tc>
          <w:tcPr>
            <w:tcW w:w="850" w:type="dxa"/>
          </w:tcPr>
          <w:p w14:paraId="177CEB92" w14:textId="731A27BA" w:rsidR="00E92893" w:rsidRPr="00230DEB" w:rsidRDefault="00E92893" w:rsidP="00E92893">
            <w:pPr>
              <w:jc w:val="both"/>
              <w:rPr>
                <w:sz w:val="18"/>
                <w:szCs w:val="18"/>
                <w:lang w:val="en-GB"/>
              </w:rPr>
            </w:pPr>
            <w:r w:rsidRPr="00230DEB">
              <w:rPr>
                <w:sz w:val="18"/>
                <w:szCs w:val="18"/>
                <w:lang w:val="en-GB"/>
              </w:rPr>
              <w:t>769</w:t>
            </w:r>
          </w:p>
        </w:tc>
        <w:tc>
          <w:tcPr>
            <w:tcW w:w="992" w:type="dxa"/>
          </w:tcPr>
          <w:p w14:paraId="2E65F072" w14:textId="2F0EF879" w:rsidR="00E92893" w:rsidRPr="00230DEB" w:rsidRDefault="00E92893" w:rsidP="00E92893">
            <w:pPr>
              <w:jc w:val="both"/>
              <w:rPr>
                <w:sz w:val="18"/>
                <w:szCs w:val="18"/>
                <w:lang w:val="en-GB"/>
              </w:rPr>
            </w:pPr>
            <w:r w:rsidRPr="00230DEB">
              <w:rPr>
                <w:sz w:val="18"/>
                <w:szCs w:val="18"/>
                <w:lang w:val="en-GB"/>
              </w:rPr>
              <w:t>4.44</w:t>
            </w:r>
          </w:p>
        </w:tc>
        <w:tc>
          <w:tcPr>
            <w:tcW w:w="1701" w:type="dxa"/>
          </w:tcPr>
          <w:p w14:paraId="17C605EE" w14:textId="791FF39D" w:rsidR="00E92893" w:rsidRPr="00230DEB" w:rsidRDefault="00E92893" w:rsidP="00E92893">
            <w:pPr>
              <w:jc w:val="both"/>
              <w:rPr>
                <w:sz w:val="18"/>
                <w:szCs w:val="18"/>
                <w:lang w:val="en-GB"/>
              </w:rPr>
            </w:pPr>
            <w:r w:rsidRPr="00230DEB">
              <w:rPr>
                <w:i/>
                <w:iCs/>
                <w:sz w:val="18"/>
                <w:szCs w:val="18"/>
                <w:lang w:val="en-GB"/>
              </w:rPr>
              <w:t>green</w:t>
            </w:r>
          </w:p>
        </w:tc>
        <w:tc>
          <w:tcPr>
            <w:tcW w:w="1811" w:type="dxa"/>
          </w:tcPr>
          <w:p w14:paraId="1C7089A1" w14:textId="77777777" w:rsidR="00E92893" w:rsidRPr="00230DEB" w:rsidRDefault="00E92893" w:rsidP="00E92893">
            <w:pPr>
              <w:jc w:val="both"/>
              <w:rPr>
                <w:i/>
                <w:iCs/>
                <w:sz w:val="18"/>
                <w:szCs w:val="18"/>
                <w:lang w:val="en-GB"/>
              </w:rPr>
            </w:pPr>
            <w:r w:rsidRPr="00230DEB">
              <w:rPr>
                <w:i/>
                <w:iCs/>
                <w:sz w:val="18"/>
                <w:szCs w:val="18"/>
                <w:lang w:val="en-GB"/>
              </w:rPr>
              <w:t xml:space="preserve">green, ethereal </w:t>
            </w:r>
          </w:p>
          <w:p w14:paraId="22DE3E00" w14:textId="77777777" w:rsidR="00E92893" w:rsidRPr="00230DEB" w:rsidRDefault="00E92893" w:rsidP="00E92893">
            <w:pPr>
              <w:jc w:val="both"/>
              <w:rPr>
                <w:sz w:val="18"/>
                <w:szCs w:val="18"/>
                <w:lang w:val="en-GB"/>
              </w:rPr>
            </w:pPr>
          </w:p>
        </w:tc>
      </w:tr>
      <w:tr w:rsidR="00E92893" w14:paraId="2375345F" w14:textId="77777777" w:rsidTr="00230DEB">
        <w:trPr>
          <w:trHeight w:val="484"/>
        </w:trPr>
        <w:tc>
          <w:tcPr>
            <w:tcW w:w="1771" w:type="dxa"/>
          </w:tcPr>
          <w:p w14:paraId="665F808F" w14:textId="060BE21E" w:rsidR="00E92893" w:rsidRPr="00230DEB" w:rsidRDefault="00E92893" w:rsidP="00E92893">
            <w:pPr>
              <w:jc w:val="both"/>
              <w:rPr>
                <w:sz w:val="18"/>
                <w:szCs w:val="18"/>
                <w:lang w:val="en-GB"/>
              </w:rPr>
            </w:pPr>
            <w:r w:rsidRPr="00230DEB">
              <w:rPr>
                <w:i/>
                <w:iCs/>
                <w:sz w:val="18"/>
                <w:szCs w:val="18"/>
                <w:lang w:val="en-GB"/>
              </w:rPr>
              <w:t>Pentanal</w:t>
            </w:r>
            <w:r w:rsidRPr="00230DEB">
              <w:rPr>
                <w:i/>
                <w:iCs/>
                <w:sz w:val="18"/>
                <w:szCs w:val="18"/>
                <w:lang w:val="en-GB"/>
              </w:rPr>
              <w:t xml:space="preserve"> </w:t>
            </w:r>
            <w:proofErr w:type="spellStart"/>
            <w:proofErr w:type="gramStart"/>
            <w:r w:rsidRPr="00230DEB">
              <w:rPr>
                <w:i/>
                <w:iCs/>
                <w:sz w:val="18"/>
                <w:szCs w:val="18"/>
                <w:lang w:val="en-GB"/>
              </w:rPr>
              <w:t>a,b</w:t>
            </w:r>
            <w:proofErr w:type="gramEnd"/>
            <w:r w:rsidRPr="00230DEB">
              <w:rPr>
                <w:i/>
                <w:iCs/>
                <w:sz w:val="18"/>
                <w:szCs w:val="18"/>
                <w:lang w:val="en-GB"/>
              </w:rPr>
              <w:t>,c</w:t>
            </w:r>
            <w:proofErr w:type="spellEnd"/>
          </w:p>
        </w:tc>
        <w:tc>
          <w:tcPr>
            <w:tcW w:w="1276" w:type="dxa"/>
          </w:tcPr>
          <w:p w14:paraId="78D3D832" w14:textId="152AFAE7" w:rsidR="00E92893" w:rsidRPr="00230DEB" w:rsidRDefault="00E92893" w:rsidP="00E92893">
            <w:pPr>
              <w:jc w:val="both"/>
              <w:rPr>
                <w:sz w:val="18"/>
                <w:szCs w:val="18"/>
                <w:lang w:val="en-GB"/>
              </w:rPr>
            </w:pPr>
            <w:r w:rsidRPr="00230DEB">
              <w:rPr>
                <w:i/>
                <w:iCs/>
                <w:sz w:val="18"/>
                <w:szCs w:val="18"/>
                <w:lang w:val="en-GB"/>
              </w:rPr>
              <w:t>110</w:t>
            </w:r>
            <w:r w:rsidRPr="00230DEB">
              <w:rPr>
                <w:sz w:val="18"/>
                <w:szCs w:val="18"/>
                <w:lang w:val="en-GB"/>
              </w:rPr>
              <w:t>–</w:t>
            </w:r>
            <w:r w:rsidRPr="00230DEB">
              <w:rPr>
                <w:i/>
                <w:iCs/>
                <w:sz w:val="18"/>
                <w:szCs w:val="18"/>
                <w:lang w:val="en-GB"/>
              </w:rPr>
              <w:t>62-3</w:t>
            </w:r>
          </w:p>
        </w:tc>
        <w:tc>
          <w:tcPr>
            <w:tcW w:w="851" w:type="dxa"/>
          </w:tcPr>
          <w:p w14:paraId="7219E5BB" w14:textId="52D99637" w:rsidR="00E92893" w:rsidRPr="00230DEB" w:rsidRDefault="00E92893" w:rsidP="00E92893">
            <w:pPr>
              <w:jc w:val="both"/>
              <w:rPr>
                <w:sz w:val="18"/>
                <w:szCs w:val="18"/>
                <w:lang w:val="en-GB"/>
              </w:rPr>
            </w:pPr>
            <w:r w:rsidRPr="00230DEB">
              <w:rPr>
                <w:sz w:val="18"/>
                <w:szCs w:val="18"/>
                <w:lang w:val="en-GB"/>
              </w:rPr>
              <w:t>707</w:t>
            </w:r>
          </w:p>
        </w:tc>
        <w:tc>
          <w:tcPr>
            <w:tcW w:w="850" w:type="dxa"/>
          </w:tcPr>
          <w:p w14:paraId="668F229B" w14:textId="6A3E9733" w:rsidR="00E92893" w:rsidRPr="00230DEB" w:rsidRDefault="00E92893" w:rsidP="00E92893">
            <w:pPr>
              <w:jc w:val="both"/>
              <w:rPr>
                <w:sz w:val="18"/>
                <w:szCs w:val="18"/>
                <w:lang w:val="en-GB"/>
              </w:rPr>
            </w:pPr>
            <w:r w:rsidRPr="00230DEB">
              <w:rPr>
                <w:sz w:val="18"/>
                <w:szCs w:val="18"/>
                <w:lang w:val="en-GB"/>
              </w:rPr>
              <w:t>707</w:t>
            </w:r>
          </w:p>
        </w:tc>
        <w:tc>
          <w:tcPr>
            <w:tcW w:w="992" w:type="dxa"/>
          </w:tcPr>
          <w:p w14:paraId="1C2F6EE6" w14:textId="555DE473" w:rsidR="00E92893" w:rsidRPr="00230DEB" w:rsidRDefault="00E92893" w:rsidP="00E92893">
            <w:pPr>
              <w:jc w:val="both"/>
              <w:rPr>
                <w:sz w:val="18"/>
                <w:szCs w:val="18"/>
                <w:lang w:val="en-GB"/>
              </w:rPr>
            </w:pPr>
            <w:r w:rsidRPr="00230DEB">
              <w:rPr>
                <w:sz w:val="18"/>
                <w:szCs w:val="18"/>
                <w:lang w:val="en-GB"/>
              </w:rPr>
              <w:t>3.531</w:t>
            </w:r>
          </w:p>
        </w:tc>
        <w:tc>
          <w:tcPr>
            <w:tcW w:w="1701" w:type="dxa"/>
          </w:tcPr>
          <w:p w14:paraId="62BE382E" w14:textId="38728EE8" w:rsidR="00E92893" w:rsidRPr="00230DEB" w:rsidRDefault="00E92893" w:rsidP="00E92893">
            <w:pPr>
              <w:jc w:val="both"/>
              <w:rPr>
                <w:sz w:val="18"/>
                <w:szCs w:val="18"/>
                <w:lang w:val="en-GB"/>
              </w:rPr>
            </w:pPr>
            <w:proofErr w:type="spellStart"/>
            <w:r w:rsidRPr="00230DEB">
              <w:rPr>
                <w:i/>
                <w:iCs/>
                <w:sz w:val="18"/>
                <w:szCs w:val="18"/>
                <w:lang w:val="en-GB"/>
              </w:rPr>
              <w:t>fermenty</w:t>
            </w:r>
            <w:proofErr w:type="spellEnd"/>
            <w:r w:rsidRPr="00230DEB">
              <w:rPr>
                <w:i/>
                <w:iCs/>
                <w:sz w:val="18"/>
                <w:szCs w:val="18"/>
                <w:lang w:val="en-GB"/>
              </w:rPr>
              <w:t>, bready, fruity</w:t>
            </w:r>
          </w:p>
        </w:tc>
        <w:tc>
          <w:tcPr>
            <w:tcW w:w="1811" w:type="dxa"/>
          </w:tcPr>
          <w:p w14:paraId="367E399E" w14:textId="685DE12A" w:rsidR="00E92893" w:rsidRPr="00230DEB" w:rsidRDefault="00E92893" w:rsidP="00E92893">
            <w:pPr>
              <w:jc w:val="both"/>
              <w:rPr>
                <w:i/>
                <w:iCs/>
                <w:sz w:val="18"/>
                <w:szCs w:val="18"/>
                <w:lang w:val="en-GB"/>
              </w:rPr>
            </w:pPr>
            <w:r w:rsidRPr="00230DEB">
              <w:rPr>
                <w:i/>
                <w:iCs/>
                <w:sz w:val="18"/>
                <w:szCs w:val="18"/>
                <w:lang w:val="en-GB"/>
              </w:rPr>
              <w:t xml:space="preserve">winey, fermented, bready </w:t>
            </w:r>
          </w:p>
        </w:tc>
      </w:tr>
      <w:tr w:rsidR="00E92893" w14:paraId="08A13203" w14:textId="77777777" w:rsidTr="00422BAD">
        <w:trPr>
          <w:trHeight w:val="489"/>
        </w:trPr>
        <w:tc>
          <w:tcPr>
            <w:tcW w:w="1771" w:type="dxa"/>
          </w:tcPr>
          <w:p w14:paraId="7BB3DE03" w14:textId="6EE7DFA1" w:rsidR="00E92893" w:rsidRPr="00230DEB" w:rsidRDefault="00E92893" w:rsidP="00E92893">
            <w:pPr>
              <w:jc w:val="both"/>
              <w:rPr>
                <w:sz w:val="18"/>
                <w:szCs w:val="18"/>
                <w:lang w:val="en-GB"/>
              </w:rPr>
            </w:pPr>
            <w:r w:rsidRPr="00230DEB">
              <w:rPr>
                <w:i/>
                <w:iCs/>
                <w:sz w:val="18"/>
                <w:szCs w:val="18"/>
                <w:lang w:val="en-GB"/>
              </w:rPr>
              <w:t>3-Methylbutanol</w:t>
            </w:r>
            <w:r w:rsidRPr="00230DEB">
              <w:rPr>
                <w:i/>
                <w:iCs/>
                <w:sz w:val="18"/>
                <w:szCs w:val="18"/>
                <w:lang w:val="en-GB"/>
              </w:rPr>
              <w:t xml:space="preserve"> </w:t>
            </w:r>
            <w:r w:rsidRPr="00230DEB">
              <w:rPr>
                <w:i/>
                <w:iCs/>
                <w:sz w:val="18"/>
                <w:szCs w:val="18"/>
                <w:lang w:val="en-GB"/>
              </w:rPr>
              <w:t>a</w:t>
            </w:r>
          </w:p>
        </w:tc>
        <w:tc>
          <w:tcPr>
            <w:tcW w:w="1276" w:type="dxa"/>
          </w:tcPr>
          <w:p w14:paraId="3E59188B" w14:textId="10E6956D" w:rsidR="00E92893" w:rsidRPr="00230DEB" w:rsidRDefault="00E92893" w:rsidP="00E92893">
            <w:pPr>
              <w:jc w:val="both"/>
              <w:rPr>
                <w:sz w:val="18"/>
                <w:szCs w:val="18"/>
                <w:lang w:val="en-GB"/>
              </w:rPr>
            </w:pPr>
            <w:r w:rsidRPr="00230DEB">
              <w:rPr>
                <w:i/>
                <w:iCs/>
                <w:sz w:val="18"/>
                <w:szCs w:val="18"/>
                <w:lang w:val="en-GB"/>
              </w:rPr>
              <w:t>123</w:t>
            </w:r>
            <w:r w:rsidRPr="00230DEB">
              <w:rPr>
                <w:sz w:val="18"/>
                <w:szCs w:val="18"/>
                <w:lang w:val="en-GB"/>
              </w:rPr>
              <w:t>–</w:t>
            </w:r>
            <w:r w:rsidRPr="00230DEB">
              <w:rPr>
                <w:i/>
                <w:iCs/>
                <w:sz w:val="18"/>
                <w:szCs w:val="18"/>
                <w:lang w:val="en-GB"/>
              </w:rPr>
              <w:t>51-3</w:t>
            </w:r>
          </w:p>
        </w:tc>
        <w:tc>
          <w:tcPr>
            <w:tcW w:w="851" w:type="dxa"/>
          </w:tcPr>
          <w:p w14:paraId="7B0F6548" w14:textId="75EEBC30" w:rsidR="00E92893" w:rsidRPr="00230DEB" w:rsidRDefault="00E92893" w:rsidP="00E92893">
            <w:pPr>
              <w:jc w:val="both"/>
              <w:rPr>
                <w:sz w:val="18"/>
                <w:szCs w:val="18"/>
                <w:lang w:val="en-GB"/>
              </w:rPr>
            </w:pPr>
            <w:r w:rsidRPr="00230DEB">
              <w:rPr>
                <w:sz w:val="18"/>
                <w:szCs w:val="18"/>
                <w:lang w:val="en-GB"/>
              </w:rPr>
              <w:t>743</w:t>
            </w:r>
          </w:p>
        </w:tc>
        <w:tc>
          <w:tcPr>
            <w:tcW w:w="850" w:type="dxa"/>
          </w:tcPr>
          <w:p w14:paraId="18AD84BA" w14:textId="126A73AB" w:rsidR="00E92893" w:rsidRPr="00230DEB" w:rsidRDefault="00E92893" w:rsidP="00E92893">
            <w:pPr>
              <w:jc w:val="both"/>
              <w:rPr>
                <w:sz w:val="18"/>
                <w:szCs w:val="18"/>
                <w:lang w:val="en-GB"/>
              </w:rPr>
            </w:pPr>
            <w:r w:rsidRPr="00230DEB">
              <w:rPr>
                <w:sz w:val="18"/>
                <w:szCs w:val="18"/>
                <w:lang w:val="en-GB"/>
              </w:rPr>
              <w:t>729</w:t>
            </w:r>
          </w:p>
        </w:tc>
        <w:tc>
          <w:tcPr>
            <w:tcW w:w="992" w:type="dxa"/>
          </w:tcPr>
          <w:p w14:paraId="53C999ED" w14:textId="55BD42AF" w:rsidR="00E92893" w:rsidRPr="00230DEB" w:rsidRDefault="00E92893" w:rsidP="00E92893">
            <w:pPr>
              <w:jc w:val="both"/>
              <w:rPr>
                <w:sz w:val="18"/>
                <w:szCs w:val="18"/>
                <w:lang w:val="en-GB"/>
              </w:rPr>
            </w:pPr>
            <w:r w:rsidRPr="00230DEB">
              <w:rPr>
                <w:sz w:val="18"/>
                <w:szCs w:val="18"/>
                <w:lang w:val="en-GB"/>
              </w:rPr>
              <w:t>4.399</w:t>
            </w:r>
          </w:p>
        </w:tc>
        <w:tc>
          <w:tcPr>
            <w:tcW w:w="1701" w:type="dxa"/>
          </w:tcPr>
          <w:p w14:paraId="78230870" w14:textId="7A60C7B6" w:rsidR="00E92893" w:rsidRPr="00230DEB" w:rsidRDefault="00E92893" w:rsidP="00E92893">
            <w:pPr>
              <w:jc w:val="both"/>
              <w:rPr>
                <w:sz w:val="18"/>
                <w:szCs w:val="18"/>
                <w:lang w:val="en-GB"/>
              </w:rPr>
            </w:pPr>
            <w:r w:rsidRPr="00230DEB">
              <w:rPr>
                <w:i/>
                <w:iCs/>
                <w:sz w:val="18"/>
                <w:szCs w:val="18"/>
                <w:lang w:val="en-GB"/>
              </w:rPr>
              <w:t>alcoholic, fusel, pungent</w:t>
            </w:r>
          </w:p>
        </w:tc>
        <w:tc>
          <w:tcPr>
            <w:tcW w:w="1811" w:type="dxa"/>
          </w:tcPr>
          <w:p w14:paraId="7307ADBD" w14:textId="27D99999" w:rsidR="00E92893" w:rsidRPr="00230DEB" w:rsidRDefault="00E92893" w:rsidP="00E92893">
            <w:pPr>
              <w:jc w:val="both"/>
              <w:rPr>
                <w:sz w:val="18"/>
                <w:szCs w:val="18"/>
                <w:lang w:val="en-GB"/>
              </w:rPr>
            </w:pPr>
            <w:r w:rsidRPr="00230DEB">
              <w:rPr>
                <w:sz w:val="18"/>
                <w:szCs w:val="18"/>
                <w:lang w:val="en-GB"/>
              </w:rPr>
              <w:t>f</w:t>
            </w:r>
            <w:r w:rsidRPr="00230DEB">
              <w:rPr>
                <w:i/>
                <w:iCs/>
                <w:sz w:val="18"/>
                <w:szCs w:val="18"/>
                <w:lang w:val="en-GB"/>
              </w:rPr>
              <w:t>usel, fermented, fruity</w:t>
            </w:r>
          </w:p>
        </w:tc>
      </w:tr>
      <w:tr w:rsidR="00E92893" w14:paraId="1C619DF6" w14:textId="77777777" w:rsidTr="00030678">
        <w:tc>
          <w:tcPr>
            <w:tcW w:w="1771" w:type="dxa"/>
          </w:tcPr>
          <w:p w14:paraId="7DFD4254" w14:textId="4FC044F3" w:rsidR="00E92893" w:rsidRPr="00230DEB" w:rsidRDefault="00E92893" w:rsidP="00E92893">
            <w:pPr>
              <w:jc w:val="both"/>
              <w:rPr>
                <w:sz w:val="18"/>
                <w:szCs w:val="18"/>
                <w:lang w:val="en-GB"/>
              </w:rPr>
            </w:pPr>
            <w:r w:rsidRPr="00230DEB">
              <w:rPr>
                <w:i/>
                <w:iCs/>
                <w:sz w:val="18"/>
                <w:szCs w:val="18"/>
                <w:lang w:val="en-GB"/>
              </w:rPr>
              <w:t>Hexanal</w:t>
            </w:r>
            <w:r w:rsidRPr="00230DEB">
              <w:rPr>
                <w:i/>
                <w:iCs/>
                <w:sz w:val="18"/>
                <w:szCs w:val="18"/>
                <w:lang w:val="en-GB"/>
              </w:rPr>
              <w:t xml:space="preserve"> </w:t>
            </w:r>
            <w:proofErr w:type="spellStart"/>
            <w:proofErr w:type="gramStart"/>
            <w:r w:rsidRPr="00230DEB">
              <w:rPr>
                <w:i/>
                <w:iCs/>
                <w:sz w:val="18"/>
                <w:szCs w:val="18"/>
                <w:lang w:val="en-GB"/>
              </w:rPr>
              <w:t>a,b</w:t>
            </w:r>
            <w:proofErr w:type="gramEnd"/>
            <w:r w:rsidRPr="00230DEB">
              <w:rPr>
                <w:i/>
                <w:iCs/>
                <w:sz w:val="18"/>
                <w:szCs w:val="18"/>
                <w:lang w:val="en-GB"/>
              </w:rPr>
              <w:t>,c</w:t>
            </w:r>
            <w:proofErr w:type="spellEnd"/>
          </w:p>
        </w:tc>
        <w:tc>
          <w:tcPr>
            <w:tcW w:w="1276" w:type="dxa"/>
          </w:tcPr>
          <w:p w14:paraId="77E68502" w14:textId="0B52AD50" w:rsidR="00E92893" w:rsidRPr="00230DEB" w:rsidRDefault="00E92893" w:rsidP="00E92893">
            <w:pPr>
              <w:jc w:val="both"/>
              <w:rPr>
                <w:sz w:val="18"/>
                <w:szCs w:val="18"/>
                <w:lang w:val="en-GB"/>
              </w:rPr>
            </w:pPr>
            <w:r w:rsidRPr="00230DEB">
              <w:rPr>
                <w:i/>
                <w:iCs/>
                <w:sz w:val="18"/>
                <w:szCs w:val="18"/>
                <w:lang w:val="en-GB"/>
              </w:rPr>
              <w:t>66</w:t>
            </w:r>
            <w:r w:rsidRPr="00230DEB">
              <w:rPr>
                <w:sz w:val="18"/>
                <w:szCs w:val="18"/>
                <w:lang w:val="en-GB"/>
              </w:rPr>
              <w:t>–</w:t>
            </w:r>
            <w:r w:rsidRPr="00230DEB">
              <w:rPr>
                <w:i/>
                <w:iCs/>
                <w:sz w:val="18"/>
                <w:szCs w:val="18"/>
                <w:lang w:val="en-GB"/>
              </w:rPr>
              <w:t>25-1</w:t>
            </w:r>
          </w:p>
        </w:tc>
        <w:tc>
          <w:tcPr>
            <w:tcW w:w="851" w:type="dxa"/>
          </w:tcPr>
          <w:p w14:paraId="618990BD" w14:textId="2D20AD90" w:rsidR="00E92893" w:rsidRPr="00230DEB" w:rsidRDefault="00E92893" w:rsidP="00E92893">
            <w:pPr>
              <w:jc w:val="both"/>
              <w:rPr>
                <w:sz w:val="18"/>
                <w:szCs w:val="18"/>
                <w:lang w:val="en-GB"/>
              </w:rPr>
            </w:pPr>
            <w:r w:rsidRPr="00230DEB">
              <w:rPr>
                <w:sz w:val="18"/>
                <w:szCs w:val="18"/>
                <w:lang w:val="en-GB"/>
              </w:rPr>
              <w:t>809</w:t>
            </w:r>
          </w:p>
        </w:tc>
        <w:tc>
          <w:tcPr>
            <w:tcW w:w="850" w:type="dxa"/>
          </w:tcPr>
          <w:p w14:paraId="75829BF7" w14:textId="2127D4D0" w:rsidR="00E92893" w:rsidRPr="00230DEB" w:rsidRDefault="00E92893" w:rsidP="00E92893">
            <w:pPr>
              <w:jc w:val="both"/>
              <w:rPr>
                <w:sz w:val="18"/>
                <w:szCs w:val="18"/>
                <w:lang w:val="en-GB"/>
              </w:rPr>
            </w:pPr>
            <w:r w:rsidRPr="00230DEB">
              <w:rPr>
                <w:sz w:val="18"/>
                <w:szCs w:val="18"/>
                <w:lang w:val="en-GB"/>
              </w:rPr>
              <w:t>806</w:t>
            </w:r>
          </w:p>
        </w:tc>
        <w:tc>
          <w:tcPr>
            <w:tcW w:w="992" w:type="dxa"/>
          </w:tcPr>
          <w:p w14:paraId="2EA655DB" w14:textId="072CAB06" w:rsidR="00E92893" w:rsidRPr="00230DEB" w:rsidRDefault="00E92893" w:rsidP="00E92893">
            <w:pPr>
              <w:jc w:val="both"/>
              <w:rPr>
                <w:sz w:val="18"/>
                <w:szCs w:val="18"/>
                <w:lang w:val="en-GB"/>
              </w:rPr>
            </w:pPr>
            <w:r w:rsidRPr="00230DEB">
              <w:rPr>
                <w:sz w:val="18"/>
                <w:szCs w:val="18"/>
                <w:lang w:val="en-GB"/>
              </w:rPr>
              <w:t>3.84</w:t>
            </w:r>
          </w:p>
        </w:tc>
        <w:tc>
          <w:tcPr>
            <w:tcW w:w="1701" w:type="dxa"/>
          </w:tcPr>
          <w:p w14:paraId="3E38879A" w14:textId="1CEC6A5C" w:rsidR="00E92893" w:rsidRPr="00230DEB" w:rsidRDefault="00E92893" w:rsidP="00E92893">
            <w:pPr>
              <w:jc w:val="both"/>
              <w:rPr>
                <w:sz w:val="18"/>
                <w:szCs w:val="18"/>
                <w:lang w:val="en-GB"/>
              </w:rPr>
            </w:pPr>
            <w:r w:rsidRPr="00230DEB">
              <w:rPr>
                <w:i/>
                <w:iCs/>
                <w:sz w:val="18"/>
                <w:szCs w:val="18"/>
                <w:lang w:val="en-GB"/>
              </w:rPr>
              <w:t>fresh, green, fatty, aldehydic, grass</w:t>
            </w:r>
          </w:p>
        </w:tc>
        <w:tc>
          <w:tcPr>
            <w:tcW w:w="1811" w:type="dxa"/>
          </w:tcPr>
          <w:p w14:paraId="19B6FF02" w14:textId="4349F1AD" w:rsidR="00E92893" w:rsidRPr="00230DEB" w:rsidRDefault="00E92893" w:rsidP="00E92893">
            <w:pPr>
              <w:jc w:val="both"/>
              <w:rPr>
                <w:sz w:val="18"/>
                <w:szCs w:val="18"/>
                <w:lang w:val="en-GB"/>
              </w:rPr>
            </w:pPr>
            <w:r w:rsidRPr="00230DEB">
              <w:rPr>
                <w:i/>
                <w:iCs/>
                <w:sz w:val="18"/>
                <w:szCs w:val="18"/>
                <w:lang w:val="en-GB"/>
              </w:rPr>
              <w:t>green, woody, grassy</w:t>
            </w:r>
          </w:p>
        </w:tc>
      </w:tr>
      <w:tr w:rsidR="00E92893" w14:paraId="6532076D" w14:textId="77777777" w:rsidTr="00030678">
        <w:tc>
          <w:tcPr>
            <w:tcW w:w="1771" w:type="dxa"/>
          </w:tcPr>
          <w:p w14:paraId="2D4ED5C0" w14:textId="021D1654" w:rsidR="00E92893" w:rsidRPr="00230DEB" w:rsidRDefault="00E92893" w:rsidP="00E92893">
            <w:pPr>
              <w:jc w:val="both"/>
              <w:rPr>
                <w:i/>
                <w:iCs/>
                <w:sz w:val="18"/>
                <w:szCs w:val="18"/>
                <w:lang w:val="en-GB"/>
              </w:rPr>
            </w:pPr>
            <w:r w:rsidRPr="00230DEB">
              <w:rPr>
                <w:i/>
                <w:iCs/>
                <w:sz w:val="18"/>
                <w:szCs w:val="18"/>
                <w:lang w:val="en-GB"/>
              </w:rPr>
              <w:t>1-Hexanol</w:t>
            </w:r>
            <w:r w:rsidRPr="00230DEB">
              <w:rPr>
                <w:i/>
                <w:iCs/>
                <w:sz w:val="18"/>
                <w:szCs w:val="18"/>
                <w:lang w:val="en-GB"/>
              </w:rPr>
              <w:t xml:space="preserve"> </w:t>
            </w:r>
            <w:proofErr w:type="spellStart"/>
            <w:proofErr w:type="gramStart"/>
            <w:r w:rsidRPr="00230DEB">
              <w:rPr>
                <w:i/>
                <w:iCs/>
                <w:sz w:val="18"/>
                <w:szCs w:val="18"/>
                <w:lang w:val="en-GB"/>
              </w:rPr>
              <w:t>a,b</w:t>
            </w:r>
            <w:proofErr w:type="gramEnd"/>
            <w:r w:rsidRPr="00230DEB">
              <w:rPr>
                <w:i/>
                <w:iCs/>
                <w:sz w:val="18"/>
                <w:szCs w:val="18"/>
                <w:lang w:val="en-GB"/>
              </w:rPr>
              <w:t>,c</w:t>
            </w:r>
            <w:proofErr w:type="spellEnd"/>
          </w:p>
        </w:tc>
        <w:tc>
          <w:tcPr>
            <w:tcW w:w="1276" w:type="dxa"/>
          </w:tcPr>
          <w:p w14:paraId="446B02B0" w14:textId="5DD4FCA8" w:rsidR="00E92893" w:rsidRPr="00230DEB" w:rsidRDefault="00E92893" w:rsidP="00E92893">
            <w:pPr>
              <w:jc w:val="both"/>
              <w:rPr>
                <w:sz w:val="18"/>
                <w:szCs w:val="18"/>
                <w:lang w:val="en-GB"/>
              </w:rPr>
            </w:pPr>
            <w:r w:rsidRPr="00230DEB">
              <w:rPr>
                <w:i/>
                <w:iCs/>
                <w:sz w:val="18"/>
                <w:szCs w:val="18"/>
                <w:lang w:val="en-GB"/>
              </w:rPr>
              <w:t>111</w:t>
            </w:r>
            <w:r w:rsidRPr="00230DEB">
              <w:rPr>
                <w:sz w:val="18"/>
                <w:szCs w:val="18"/>
                <w:lang w:val="en-GB"/>
              </w:rPr>
              <w:t>–</w:t>
            </w:r>
            <w:r w:rsidRPr="00230DEB">
              <w:rPr>
                <w:i/>
                <w:iCs/>
                <w:sz w:val="18"/>
                <w:szCs w:val="18"/>
                <w:lang w:val="en-GB"/>
              </w:rPr>
              <w:t>27-3</w:t>
            </w:r>
          </w:p>
        </w:tc>
        <w:tc>
          <w:tcPr>
            <w:tcW w:w="851" w:type="dxa"/>
          </w:tcPr>
          <w:p w14:paraId="5852EEE8" w14:textId="033953C7" w:rsidR="00E92893" w:rsidRPr="00230DEB" w:rsidRDefault="00E92893" w:rsidP="00E92893">
            <w:pPr>
              <w:jc w:val="both"/>
              <w:rPr>
                <w:sz w:val="18"/>
                <w:szCs w:val="18"/>
                <w:lang w:val="en-GB"/>
              </w:rPr>
            </w:pPr>
            <w:r w:rsidRPr="00230DEB">
              <w:rPr>
                <w:sz w:val="18"/>
                <w:szCs w:val="18"/>
                <w:lang w:val="en-GB"/>
              </w:rPr>
              <w:t>877</w:t>
            </w:r>
          </w:p>
        </w:tc>
        <w:tc>
          <w:tcPr>
            <w:tcW w:w="850" w:type="dxa"/>
          </w:tcPr>
          <w:p w14:paraId="00A41360" w14:textId="5BB6B8AB" w:rsidR="00E92893" w:rsidRPr="00230DEB" w:rsidRDefault="00E92893" w:rsidP="00E92893">
            <w:pPr>
              <w:jc w:val="both"/>
              <w:rPr>
                <w:sz w:val="18"/>
                <w:szCs w:val="18"/>
                <w:lang w:val="en-GB"/>
              </w:rPr>
            </w:pPr>
            <w:r w:rsidRPr="00230DEB">
              <w:rPr>
                <w:sz w:val="18"/>
                <w:szCs w:val="18"/>
                <w:lang w:val="en-GB"/>
              </w:rPr>
              <w:t>867</w:t>
            </w:r>
          </w:p>
        </w:tc>
        <w:tc>
          <w:tcPr>
            <w:tcW w:w="992" w:type="dxa"/>
          </w:tcPr>
          <w:p w14:paraId="3187FC3A" w14:textId="6BEA7BBA" w:rsidR="00E92893" w:rsidRPr="00230DEB" w:rsidRDefault="00E92893" w:rsidP="00E92893">
            <w:pPr>
              <w:jc w:val="both"/>
              <w:rPr>
                <w:sz w:val="18"/>
                <w:szCs w:val="18"/>
                <w:lang w:val="en-GB"/>
              </w:rPr>
            </w:pPr>
            <w:r w:rsidRPr="00230DEB">
              <w:rPr>
                <w:sz w:val="18"/>
                <w:szCs w:val="18"/>
                <w:lang w:val="en-GB"/>
              </w:rPr>
              <w:t>5.185</w:t>
            </w:r>
          </w:p>
        </w:tc>
        <w:tc>
          <w:tcPr>
            <w:tcW w:w="1701" w:type="dxa"/>
          </w:tcPr>
          <w:p w14:paraId="48E4194F" w14:textId="2ADFE987" w:rsidR="00E92893" w:rsidRPr="00230DEB" w:rsidRDefault="00E92893" w:rsidP="00E92893">
            <w:pPr>
              <w:jc w:val="both"/>
              <w:rPr>
                <w:sz w:val="18"/>
                <w:szCs w:val="18"/>
                <w:lang w:val="en-GB"/>
              </w:rPr>
            </w:pPr>
            <w:r w:rsidRPr="00230DEB">
              <w:rPr>
                <w:i/>
                <w:iCs/>
                <w:sz w:val="18"/>
                <w:szCs w:val="18"/>
                <w:lang w:val="en-GB"/>
              </w:rPr>
              <w:t>green, alcoholic, oily</w:t>
            </w:r>
          </w:p>
        </w:tc>
        <w:tc>
          <w:tcPr>
            <w:tcW w:w="1811" w:type="dxa"/>
          </w:tcPr>
          <w:p w14:paraId="3BB2112A" w14:textId="77777777" w:rsidR="00E92893" w:rsidRPr="00230DEB" w:rsidRDefault="00E92893" w:rsidP="00E92893">
            <w:pPr>
              <w:jc w:val="both"/>
              <w:rPr>
                <w:i/>
                <w:iCs/>
                <w:sz w:val="18"/>
                <w:szCs w:val="18"/>
                <w:lang w:val="en-GB"/>
              </w:rPr>
            </w:pPr>
            <w:r w:rsidRPr="00230DEB">
              <w:rPr>
                <w:i/>
                <w:iCs/>
                <w:sz w:val="18"/>
                <w:szCs w:val="18"/>
                <w:lang w:val="en-GB"/>
              </w:rPr>
              <w:t xml:space="preserve">green, fruity, oily </w:t>
            </w:r>
          </w:p>
          <w:p w14:paraId="71ABC1AD" w14:textId="77777777" w:rsidR="00E92893" w:rsidRPr="00230DEB" w:rsidRDefault="00E92893" w:rsidP="00E92893">
            <w:pPr>
              <w:jc w:val="both"/>
              <w:rPr>
                <w:sz w:val="18"/>
                <w:szCs w:val="18"/>
                <w:lang w:val="en-GB"/>
              </w:rPr>
            </w:pPr>
          </w:p>
        </w:tc>
      </w:tr>
      <w:tr w:rsidR="00E92893" w14:paraId="3F786744" w14:textId="77777777" w:rsidTr="00030678">
        <w:tc>
          <w:tcPr>
            <w:tcW w:w="1771" w:type="dxa"/>
          </w:tcPr>
          <w:p w14:paraId="76160DB7" w14:textId="67E44C37" w:rsidR="00E92893" w:rsidRPr="00230DEB" w:rsidRDefault="00E92893" w:rsidP="00E92893">
            <w:pPr>
              <w:jc w:val="both"/>
              <w:rPr>
                <w:i/>
                <w:iCs/>
                <w:sz w:val="18"/>
                <w:szCs w:val="18"/>
                <w:lang w:val="en-GB"/>
              </w:rPr>
            </w:pPr>
            <w:r w:rsidRPr="00230DEB">
              <w:rPr>
                <w:i/>
                <w:iCs/>
                <w:sz w:val="18"/>
                <w:szCs w:val="18"/>
                <w:lang w:val="en-GB"/>
              </w:rPr>
              <w:t>3-Pentanone</w:t>
            </w:r>
            <w:r w:rsidRPr="00230DEB">
              <w:rPr>
                <w:i/>
                <w:iCs/>
                <w:sz w:val="18"/>
                <w:szCs w:val="18"/>
                <w:lang w:val="en-GB"/>
              </w:rPr>
              <w:t xml:space="preserve"> </w:t>
            </w:r>
            <w:r w:rsidRPr="00230DEB">
              <w:rPr>
                <w:i/>
                <w:iCs/>
                <w:sz w:val="18"/>
                <w:szCs w:val="18"/>
                <w:lang w:val="en-GB"/>
              </w:rPr>
              <w:t>b</w:t>
            </w:r>
          </w:p>
        </w:tc>
        <w:tc>
          <w:tcPr>
            <w:tcW w:w="1276" w:type="dxa"/>
          </w:tcPr>
          <w:p w14:paraId="47191067" w14:textId="7FB1F8EC" w:rsidR="00E92893" w:rsidRPr="00230DEB" w:rsidRDefault="00E92893" w:rsidP="00E92893">
            <w:pPr>
              <w:jc w:val="both"/>
              <w:rPr>
                <w:sz w:val="18"/>
                <w:szCs w:val="18"/>
                <w:lang w:val="en-GB"/>
              </w:rPr>
            </w:pPr>
            <w:r w:rsidRPr="00230DEB">
              <w:rPr>
                <w:i/>
                <w:iCs/>
                <w:sz w:val="18"/>
                <w:szCs w:val="18"/>
                <w:lang w:val="en-GB"/>
              </w:rPr>
              <w:t>96</w:t>
            </w:r>
            <w:r w:rsidRPr="00230DEB">
              <w:rPr>
                <w:sz w:val="18"/>
                <w:szCs w:val="18"/>
                <w:lang w:val="en-GB"/>
              </w:rPr>
              <w:t>–</w:t>
            </w:r>
            <w:r w:rsidRPr="00230DEB">
              <w:rPr>
                <w:i/>
                <w:iCs/>
                <w:sz w:val="18"/>
                <w:szCs w:val="18"/>
                <w:lang w:val="en-GB"/>
              </w:rPr>
              <w:t>22-0</w:t>
            </w:r>
          </w:p>
        </w:tc>
        <w:tc>
          <w:tcPr>
            <w:tcW w:w="851" w:type="dxa"/>
          </w:tcPr>
          <w:p w14:paraId="34D794D5" w14:textId="4D758A44" w:rsidR="00E92893" w:rsidRPr="00230DEB" w:rsidRDefault="00E92893" w:rsidP="00E92893">
            <w:pPr>
              <w:jc w:val="both"/>
              <w:rPr>
                <w:sz w:val="18"/>
                <w:szCs w:val="18"/>
                <w:lang w:val="en-GB"/>
              </w:rPr>
            </w:pPr>
            <w:r w:rsidRPr="00230DEB">
              <w:rPr>
                <w:sz w:val="18"/>
                <w:szCs w:val="18"/>
                <w:lang w:val="en-GB"/>
              </w:rPr>
              <w:t>697</w:t>
            </w:r>
          </w:p>
          <w:p w14:paraId="2797210D" w14:textId="0F5F01DC" w:rsidR="00E92893" w:rsidRPr="00230DEB" w:rsidRDefault="00E92893" w:rsidP="00E92893">
            <w:pPr>
              <w:jc w:val="both"/>
              <w:rPr>
                <w:sz w:val="18"/>
                <w:szCs w:val="18"/>
                <w:lang w:val="en-GB"/>
              </w:rPr>
            </w:pPr>
          </w:p>
        </w:tc>
        <w:tc>
          <w:tcPr>
            <w:tcW w:w="850" w:type="dxa"/>
          </w:tcPr>
          <w:p w14:paraId="6BDBBD32" w14:textId="3B0542AB" w:rsidR="00E92893" w:rsidRPr="00230DEB" w:rsidRDefault="00E92893" w:rsidP="00E92893">
            <w:pPr>
              <w:jc w:val="both"/>
              <w:rPr>
                <w:sz w:val="18"/>
                <w:szCs w:val="18"/>
                <w:lang w:val="en-GB"/>
              </w:rPr>
            </w:pPr>
            <w:r w:rsidRPr="00230DEB">
              <w:rPr>
                <w:sz w:val="18"/>
                <w:szCs w:val="18"/>
                <w:lang w:val="en-GB"/>
              </w:rPr>
              <w:t>697</w:t>
            </w:r>
          </w:p>
        </w:tc>
        <w:tc>
          <w:tcPr>
            <w:tcW w:w="992" w:type="dxa"/>
          </w:tcPr>
          <w:p w14:paraId="67F62052" w14:textId="32F8B491" w:rsidR="00E92893" w:rsidRPr="00230DEB" w:rsidRDefault="00E92893" w:rsidP="00E92893">
            <w:pPr>
              <w:jc w:val="both"/>
              <w:rPr>
                <w:sz w:val="18"/>
                <w:szCs w:val="18"/>
                <w:lang w:val="en-GB"/>
              </w:rPr>
            </w:pPr>
            <w:r w:rsidRPr="00230DEB">
              <w:rPr>
                <w:sz w:val="18"/>
                <w:szCs w:val="18"/>
                <w:lang w:val="en-GB"/>
              </w:rPr>
              <w:t>3.43</w:t>
            </w:r>
          </w:p>
        </w:tc>
        <w:tc>
          <w:tcPr>
            <w:tcW w:w="1701" w:type="dxa"/>
          </w:tcPr>
          <w:p w14:paraId="6842DF0D" w14:textId="5922A870" w:rsidR="00E92893" w:rsidRPr="00230DEB" w:rsidRDefault="00E92893" w:rsidP="00E92893">
            <w:pPr>
              <w:jc w:val="both"/>
              <w:rPr>
                <w:sz w:val="18"/>
                <w:szCs w:val="18"/>
                <w:lang w:val="en-GB"/>
              </w:rPr>
            </w:pPr>
            <w:r w:rsidRPr="00230DEB">
              <w:rPr>
                <w:i/>
                <w:iCs/>
                <w:sz w:val="18"/>
                <w:szCs w:val="18"/>
                <w:lang w:val="en-GB"/>
              </w:rPr>
              <w:t>ethereal, fruity</w:t>
            </w:r>
          </w:p>
        </w:tc>
        <w:tc>
          <w:tcPr>
            <w:tcW w:w="1811" w:type="dxa"/>
          </w:tcPr>
          <w:p w14:paraId="6873D9D3" w14:textId="003BA100" w:rsidR="00E92893" w:rsidRPr="00230DEB" w:rsidRDefault="00E92893" w:rsidP="00E92893">
            <w:pPr>
              <w:jc w:val="both"/>
              <w:rPr>
                <w:sz w:val="18"/>
                <w:szCs w:val="18"/>
                <w:lang w:val="en-GB"/>
              </w:rPr>
            </w:pPr>
            <w:proofErr w:type="spellStart"/>
            <w:r w:rsidRPr="00230DEB">
              <w:rPr>
                <w:sz w:val="18"/>
                <w:szCs w:val="18"/>
                <w:lang w:val="en-GB"/>
              </w:rPr>
              <w:t>na</w:t>
            </w:r>
            <w:proofErr w:type="spellEnd"/>
          </w:p>
        </w:tc>
      </w:tr>
      <w:tr w:rsidR="00E92893" w14:paraId="12B0309E" w14:textId="77777777" w:rsidTr="00030678">
        <w:tc>
          <w:tcPr>
            <w:tcW w:w="1771" w:type="dxa"/>
          </w:tcPr>
          <w:p w14:paraId="08D37248" w14:textId="5C1246E1" w:rsidR="00E92893" w:rsidRPr="00230DEB" w:rsidRDefault="00E92893" w:rsidP="00E92893">
            <w:pPr>
              <w:jc w:val="both"/>
              <w:rPr>
                <w:sz w:val="18"/>
                <w:szCs w:val="18"/>
                <w:lang w:val="en-GB"/>
              </w:rPr>
            </w:pPr>
            <w:r w:rsidRPr="00230DEB">
              <w:rPr>
                <w:i/>
                <w:iCs/>
                <w:sz w:val="18"/>
                <w:szCs w:val="18"/>
                <w:lang w:val="en-GB"/>
              </w:rPr>
              <w:t>Butanoic acid</w:t>
            </w:r>
            <w:r w:rsidRPr="00230DEB">
              <w:rPr>
                <w:i/>
                <w:iCs/>
                <w:sz w:val="18"/>
                <w:szCs w:val="18"/>
                <w:lang w:val="en-GB"/>
              </w:rPr>
              <w:t xml:space="preserve"> </w:t>
            </w:r>
            <w:proofErr w:type="spellStart"/>
            <w:proofErr w:type="gramStart"/>
            <w:r w:rsidRPr="00230DEB">
              <w:rPr>
                <w:i/>
                <w:iCs/>
                <w:sz w:val="18"/>
                <w:szCs w:val="18"/>
                <w:lang w:val="en-GB"/>
              </w:rPr>
              <w:t>b,c</w:t>
            </w:r>
            <w:proofErr w:type="spellEnd"/>
            <w:proofErr w:type="gramEnd"/>
          </w:p>
        </w:tc>
        <w:tc>
          <w:tcPr>
            <w:tcW w:w="1276" w:type="dxa"/>
          </w:tcPr>
          <w:p w14:paraId="32D3FBCA" w14:textId="57F4DFAD" w:rsidR="00E92893" w:rsidRPr="00230DEB" w:rsidRDefault="00E92893" w:rsidP="00E92893">
            <w:pPr>
              <w:jc w:val="both"/>
              <w:rPr>
                <w:sz w:val="18"/>
                <w:szCs w:val="18"/>
                <w:lang w:val="en-GB"/>
              </w:rPr>
            </w:pPr>
            <w:r w:rsidRPr="00230DEB">
              <w:rPr>
                <w:i/>
                <w:iCs/>
                <w:sz w:val="18"/>
                <w:szCs w:val="18"/>
                <w:lang w:val="en-GB"/>
              </w:rPr>
              <w:t>107</w:t>
            </w:r>
            <w:r w:rsidRPr="00230DEB">
              <w:rPr>
                <w:sz w:val="18"/>
                <w:szCs w:val="18"/>
                <w:lang w:val="en-GB"/>
              </w:rPr>
              <w:t>–</w:t>
            </w:r>
            <w:r w:rsidRPr="00230DEB">
              <w:rPr>
                <w:i/>
                <w:iCs/>
                <w:sz w:val="18"/>
                <w:szCs w:val="18"/>
                <w:lang w:val="en-GB"/>
              </w:rPr>
              <w:t>92-6</w:t>
            </w:r>
          </w:p>
        </w:tc>
        <w:tc>
          <w:tcPr>
            <w:tcW w:w="851" w:type="dxa"/>
          </w:tcPr>
          <w:p w14:paraId="096F40BD" w14:textId="33D85C16" w:rsidR="00E92893" w:rsidRPr="00230DEB" w:rsidRDefault="00E92893" w:rsidP="00E92893">
            <w:pPr>
              <w:jc w:val="both"/>
              <w:rPr>
                <w:sz w:val="18"/>
                <w:szCs w:val="18"/>
                <w:lang w:val="en-GB"/>
              </w:rPr>
            </w:pPr>
            <w:r w:rsidRPr="00230DEB">
              <w:rPr>
                <w:sz w:val="18"/>
                <w:szCs w:val="18"/>
                <w:lang w:val="en-GB"/>
              </w:rPr>
              <w:t>762</w:t>
            </w:r>
          </w:p>
        </w:tc>
        <w:tc>
          <w:tcPr>
            <w:tcW w:w="850" w:type="dxa"/>
          </w:tcPr>
          <w:p w14:paraId="0C1349A9" w14:textId="143B062D" w:rsidR="00E92893" w:rsidRPr="00230DEB" w:rsidRDefault="00E92893" w:rsidP="00E92893">
            <w:pPr>
              <w:jc w:val="both"/>
              <w:rPr>
                <w:sz w:val="18"/>
                <w:szCs w:val="18"/>
                <w:lang w:val="en-GB"/>
              </w:rPr>
            </w:pPr>
            <w:r w:rsidRPr="00230DEB">
              <w:rPr>
                <w:sz w:val="18"/>
                <w:szCs w:val="18"/>
                <w:lang w:val="en-GB"/>
              </w:rPr>
              <w:t>773</w:t>
            </w:r>
          </w:p>
        </w:tc>
        <w:tc>
          <w:tcPr>
            <w:tcW w:w="992" w:type="dxa"/>
          </w:tcPr>
          <w:p w14:paraId="5AFD984F" w14:textId="5D5317E5" w:rsidR="00E92893" w:rsidRPr="00230DEB" w:rsidRDefault="00E92893" w:rsidP="00E92893">
            <w:pPr>
              <w:jc w:val="both"/>
              <w:rPr>
                <w:sz w:val="18"/>
                <w:szCs w:val="18"/>
                <w:lang w:val="en-GB"/>
              </w:rPr>
            </w:pPr>
            <w:r w:rsidRPr="00230DEB">
              <w:rPr>
                <w:sz w:val="18"/>
                <w:szCs w:val="18"/>
                <w:lang w:val="en-GB"/>
              </w:rPr>
              <w:t>5.45</w:t>
            </w:r>
          </w:p>
        </w:tc>
        <w:tc>
          <w:tcPr>
            <w:tcW w:w="1701" w:type="dxa"/>
          </w:tcPr>
          <w:p w14:paraId="4DC8E637" w14:textId="1D5080DC" w:rsidR="00E92893" w:rsidRPr="00230DEB" w:rsidRDefault="00E92893" w:rsidP="00E92893">
            <w:pPr>
              <w:jc w:val="both"/>
              <w:rPr>
                <w:sz w:val="18"/>
                <w:szCs w:val="18"/>
                <w:lang w:val="en-GB"/>
              </w:rPr>
            </w:pPr>
            <w:r w:rsidRPr="00230DEB">
              <w:rPr>
                <w:i/>
                <w:iCs/>
                <w:sz w:val="18"/>
                <w:szCs w:val="18"/>
                <w:lang w:val="en-GB"/>
              </w:rPr>
              <w:t>acetic, cheesy, fruity</w:t>
            </w:r>
          </w:p>
        </w:tc>
        <w:tc>
          <w:tcPr>
            <w:tcW w:w="1811" w:type="dxa"/>
          </w:tcPr>
          <w:p w14:paraId="0849B98D" w14:textId="77777777" w:rsidR="00E92893" w:rsidRPr="00230DEB" w:rsidRDefault="00E92893" w:rsidP="00E92893">
            <w:pPr>
              <w:jc w:val="both"/>
              <w:rPr>
                <w:i/>
                <w:iCs/>
                <w:sz w:val="18"/>
                <w:szCs w:val="18"/>
                <w:lang w:val="en-GB"/>
              </w:rPr>
            </w:pPr>
            <w:r w:rsidRPr="00230DEB">
              <w:rPr>
                <w:i/>
                <w:iCs/>
                <w:sz w:val="18"/>
                <w:szCs w:val="18"/>
                <w:lang w:val="en-GB"/>
              </w:rPr>
              <w:t xml:space="preserve">fruity, dairy </w:t>
            </w:r>
          </w:p>
          <w:p w14:paraId="2F34ABD1" w14:textId="77777777" w:rsidR="00E92893" w:rsidRPr="00230DEB" w:rsidRDefault="00E92893" w:rsidP="00E92893">
            <w:pPr>
              <w:jc w:val="both"/>
              <w:rPr>
                <w:sz w:val="18"/>
                <w:szCs w:val="18"/>
                <w:lang w:val="en-GB"/>
              </w:rPr>
            </w:pPr>
          </w:p>
        </w:tc>
      </w:tr>
      <w:tr w:rsidR="00E92893" w14:paraId="2EC73C5B" w14:textId="77777777" w:rsidTr="00030678">
        <w:tc>
          <w:tcPr>
            <w:tcW w:w="1771" w:type="dxa"/>
          </w:tcPr>
          <w:p w14:paraId="781ED09E" w14:textId="35C60E41" w:rsidR="00E92893" w:rsidRPr="00230DEB" w:rsidRDefault="00E92893" w:rsidP="00E92893">
            <w:pPr>
              <w:jc w:val="both"/>
              <w:rPr>
                <w:sz w:val="18"/>
                <w:szCs w:val="18"/>
                <w:lang w:val="en-GB"/>
              </w:rPr>
            </w:pPr>
            <w:r w:rsidRPr="00230DEB">
              <w:rPr>
                <w:i/>
                <w:iCs/>
                <w:sz w:val="18"/>
                <w:szCs w:val="18"/>
                <w:lang w:val="en-GB"/>
              </w:rPr>
              <w:t>1-Penten-3-ol</w:t>
            </w:r>
            <w:r w:rsidRPr="00230DEB">
              <w:rPr>
                <w:i/>
                <w:iCs/>
                <w:sz w:val="18"/>
                <w:szCs w:val="18"/>
                <w:lang w:val="en-GB"/>
              </w:rPr>
              <w:t xml:space="preserve"> </w:t>
            </w:r>
            <w:proofErr w:type="spellStart"/>
            <w:proofErr w:type="gramStart"/>
            <w:r w:rsidRPr="00230DEB">
              <w:rPr>
                <w:i/>
                <w:iCs/>
                <w:sz w:val="18"/>
                <w:szCs w:val="18"/>
                <w:lang w:val="en-GB"/>
              </w:rPr>
              <w:t>b,c</w:t>
            </w:r>
            <w:proofErr w:type="spellEnd"/>
            <w:proofErr w:type="gramEnd"/>
          </w:p>
        </w:tc>
        <w:tc>
          <w:tcPr>
            <w:tcW w:w="1276" w:type="dxa"/>
          </w:tcPr>
          <w:p w14:paraId="51362FAA" w14:textId="1B9917C8" w:rsidR="00E92893" w:rsidRPr="00230DEB" w:rsidRDefault="00E92893" w:rsidP="00E92893">
            <w:pPr>
              <w:jc w:val="both"/>
              <w:rPr>
                <w:sz w:val="18"/>
                <w:szCs w:val="18"/>
                <w:lang w:val="en-GB"/>
              </w:rPr>
            </w:pPr>
            <w:r w:rsidRPr="00230DEB">
              <w:rPr>
                <w:i/>
                <w:iCs/>
                <w:sz w:val="18"/>
                <w:szCs w:val="18"/>
                <w:lang w:val="en-GB"/>
              </w:rPr>
              <w:t>616</w:t>
            </w:r>
            <w:r w:rsidRPr="00230DEB">
              <w:rPr>
                <w:sz w:val="18"/>
                <w:szCs w:val="18"/>
                <w:lang w:val="en-GB"/>
              </w:rPr>
              <w:t>–</w:t>
            </w:r>
            <w:r w:rsidRPr="00230DEB">
              <w:rPr>
                <w:i/>
                <w:iCs/>
                <w:sz w:val="18"/>
                <w:szCs w:val="18"/>
                <w:lang w:val="en-GB"/>
              </w:rPr>
              <w:t>25-1</w:t>
            </w:r>
          </w:p>
        </w:tc>
        <w:tc>
          <w:tcPr>
            <w:tcW w:w="851" w:type="dxa"/>
          </w:tcPr>
          <w:p w14:paraId="26CF66C0" w14:textId="261DB76D" w:rsidR="00E92893" w:rsidRPr="00230DEB" w:rsidRDefault="00E92893" w:rsidP="00E92893">
            <w:pPr>
              <w:jc w:val="both"/>
              <w:rPr>
                <w:sz w:val="18"/>
                <w:szCs w:val="18"/>
                <w:lang w:val="en-GB"/>
              </w:rPr>
            </w:pPr>
            <w:r w:rsidRPr="00230DEB">
              <w:rPr>
                <w:sz w:val="18"/>
                <w:szCs w:val="18"/>
                <w:lang w:val="en-GB"/>
              </w:rPr>
              <w:t>692</w:t>
            </w:r>
          </w:p>
        </w:tc>
        <w:tc>
          <w:tcPr>
            <w:tcW w:w="850" w:type="dxa"/>
          </w:tcPr>
          <w:p w14:paraId="7DA58CFE" w14:textId="17244F4B" w:rsidR="00E92893" w:rsidRPr="00230DEB" w:rsidRDefault="00E92893" w:rsidP="00E92893">
            <w:pPr>
              <w:jc w:val="both"/>
              <w:rPr>
                <w:sz w:val="18"/>
                <w:szCs w:val="18"/>
                <w:lang w:val="en-GB"/>
              </w:rPr>
            </w:pPr>
            <w:r w:rsidRPr="00230DEB">
              <w:rPr>
                <w:sz w:val="18"/>
                <w:szCs w:val="18"/>
                <w:lang w:val="en-GB"/>
              </w:rPr>
              <w:t>680</w:t>
            </w:r>
          </w:p>
        </w:tc>
        <w:tc>
          <w:tcPr>
            <w:tcW w:w="992" w:type="dxa"/>
          </w:tcPr>
          <w:p w14:paraId="531EE3C9" w14:textId="6B697EB5" w:rsidR="00E92893" w:rsidRPr="00230DEB" w:rsidRDefault="00E92893" w:rsidP="00E92893">
            <w:pPr>
              <w:jc w:val="both"/>
              <w:rPr>
                <w:sz w:val="18"/>
                <w:szCs w:val="18"/>
                <w:lang w:val="en-GB"/>
              </w:rPr>
            </w:pPr>
            <w:r w:rsidRPr="00230DEB">
              <w:rPr>
                <w:sz w:val="18"/>
                <w:szCs w:val="18"/>
                <w:lang w:val="en-GB"/>
              </w:rPr>
              <w:t>4.514</w:t>
            </w:r>
          </w:p>
        </w:tc>
        <w:tc>
          <w:tcPr>
            <w:tcW w:w="1701" w:type="dxa"/>
          </w:tcPr>
          <w:p w14:paraId="63156511" w14:textId="34969E41" w:rsidR="00E92893" w:rsidRPr="00230DEB" w:rsidRDefault="00E92893" w:rsidP="00E92893">
            <w:pPr>
              <w:jc w:val="both"/>
              <w:rPr>
                <w:sz w:val="18"/>
                <w:szCs w:val="18"/>
                <w:lang w:val="en-GB"/>
              </w:rPr>
            </w:pPr>
            <w:r w:rsidRPr="00230DEB">
              <w:rPr>
                <w:i/>
                <w:iCs/>
                <w:sz w:val="18"/>
                <w:szCs w:val="18"/>
                <w:lang w:val="en-GB"/>
              </w:rPr>
              <w:t>green, radish, fruity</w:t>
            </w:r>
          </w:p>
        </w:tc>
        <w:tc>
          <w:tcPr>
            <w:tcW w:w="1811" w:type="dxa"/>
          </w:tcPr>
          <w:p w14:paraId="0BD08E06" w14:textId="77777777" w:rsidR="00E92893" w:rsidRPr="00230DEB" w:rsidRDefault="00E92893" w:rsidP="00E92893">
            <w:pPr>
              <w:jc w:val="both"/>
              <w:rPr>
                <w:i/>
                <w:iCs/>
                <w:sz w:val="18"/>
                <w:szCs w:val="18"/>
                <w:lang w:val="en-GB"/>
              </w:rPr>
            </w:pPr>
            <w:r w:rsidRPr="00230DEB">
              <w:rPr>
                <w:i/>
                <w:iCs/>
                <w:sz w:val="18"/>
                <w:szCs w:val="18"/>
                <w:lang w:val="en-GB"/>
              </w:rPr>
              <w:t xml:space="preserve">green, fruity </w:t>
            </w:r>
          </w:p>
          <w:p w14:paraId="46D32F37" w14:textId="77777777" w:rsidR="00E92893" w:rsidRPr="00230DEB" w:rsidRDefault="00E92893" w:rsidP="00E92893">
            <w:pPr>
              <w:jc w:val="both"/>
              <w:rPr>
                <w:sz w:val="18"/>
                <w:szCs w:val="18"/>
                <w:lang w:val="en-GB"/>
              </w:rPr>
            </w:pPr>
          </w:p>
        </w:tc>
      </w:tr>
      <w:tr w:rsidR="00E92893" w14:paraId="0BEC96DD" w14:textId="77777777" w:rsidTr="00030678">
        <w:trPr>
          <w:trHeight w:val="364"/>
        </w:trPr>
        <w:tc>
          <w:tcPr>
            <w:tcW w:w="1771" w:type="dxa"/>
            <w:tcBorders>
              <w:bottom w:val="single" w:sz="4" w:space="0" w:color="auto"/>
            </w:tcBorders>
          </w:tcPr>
          <w:p w14:paraId="3D6B08EF" w14:textId="0A7DA6B8" w:rsidR="00E92893" w:rsidRPr="00230DEB" w:rsidRDefault="00E92893" w:rsidP="00E92893">
            <w:pPr>
              <w:jc w:val="both"/>
              <w:rPr>
                <w:sz w:val="18"/>
                <w:szCs w:val="18"/>
                <w:lang w:val="en-GB"/>
              </w:rPr>
            </w:pPr>
            <w:r w:rsidRPr="00230DEB">
              <w:rPr>
                <w:i/>
                <w:iCs/>
                <w:sz w:val="18"/>
                <w:szCs w:val="18"/>
                <w:lang w:val="en-GB"/>
              </w:rPr>
              <w:t>2-Butoxyethanol</w:t>
            </w:r>
            <w:r w:rsidRPr="00230DEB">
              <w:rPr>
                <w:i/>
                <w:iCs/>
                <w:sz w:val="18"/>
                <w:szCs w:val="18"/>
                <w:lang w:val="en-GB"/>
              </w:rPr>
              <w:t xml:space="preserve"> </w:t>
            </w:r>
            <w:r w:rsidRPr="00230DEB">
              <w:rPr>
                <w:i/>
                <w:iCs/>
                <w:sz w:val="18"/>
                <w:szCs w:val="18"/>
                <w:lang w:val="en-GB"/>
              </w:rPr>
              <w:t>c</w:t>
            </w:r>
            <w:r w:rsidRPr="00230DEB">
              <w:rPr>
                <w:i/>
                <w:iCs/>
                <w:sz w:val="18"/>
                <w:szCs w:val="18"/>
                <w:lang w:val="en-GB"/>
              </w:rPr>
              <w:t xml:space="preserve"> </w:t>
            </w:r>
          </w:p>
        </w:tc>
        <w:tc>
          <w:tcPr>
            <w:tcW w:w="1276" w:type="dxa"/>
            <w:tcBorders>
              <w:bottom w:val="single" w:sz="4" w:space="0" w:color="auto"/>
            </w:tcBorders>
          </w:tcPr>
          <w:p w14:paraId="4E428134" w14:textId="5F4DD975" w:rsidR="00E92893" w:rsidRPr="00230DEB" w:rsidRDefault="00E92893" w:rsidP="00E92893">
            <w:pPr>
              <w:jc w:val="both"/>
              <w:rPr>
                <w:sz w:val="18"/>
                <w:szCs w:val="18"/>
                <w:lang w:val="en-GB"/>
              </w:rPr>
            </w:pPr>
            <w:r w:rsidRPr="00230DEB">
              <w:rPr>
                <w:i/>
                <w:iCs/>
                <w:sz w:val="18"/>
                <w:szCs w:val="18"/>
                <w:lang w:val="en-GB"/>
              </w:rPr>
              <w:t>111</w:t>
            </w:r>
            <w:r w:rsidRPr="00230DEB">
              <w:rPr>
                <w:sz w:val="18"/>
                <w:szCs w:val="18"/>
                <w:lang w:val="en-GB"/>
              </w:rPr>
              <w:t>–</w:t>
            </w:r>
            <w:r w:rsidRPr="00230DEB">
              <w:rPr>
                <w:i/>
                <w:iCs/>
                <w:sz w:val="18"/>
                <w:szCs w:val="18"/>
                <w:lang w:val="en-GB"/>
              </w:rPr>
              <w:t>76-2</w:t>
            </w:r>
          </w:p>
        </w:tc>
        <w:tc>
          <w:tcPr>
            <w:tcW w:w="851" w:type="dxa"/>
            <w:tcBorders>
              <w:bottom w:val="single" w:sz="4" w:space="0" w:color="auto"/>
            </w:tcBorders>
          </w:tcPr>
          <w:p w14:paraId="6863938F" w14:textId="5039BDED" w:rsidR="00E92893" w:rsidRPr="00230DEB" w:rsidRDefault="00E92893" w:rsidP="00E92893">
            <w:pPr>
              <w:jc w:val="both"/>
              <w:rPr>
                <w:sz w:val="18"/>
                <w:szCs w:val="18"/>
                <w:lang w:val="en-GB"/>
              </w:rPr>
            </w:pPr>
            <w:r w:rsidRPr="00230DEB">
              <w:rPr>
                <w:sz w:val="18"/>
                <w:szCs w:val="18"/>
                <w:lang w:val="en-GB"/>
              </w:rPr>
              <w:t>927</w:t>
            </w:r>
          </w:p>
        </w:tc>
        <w:tc>
          <w:tcPr>
            <w:tcW w:w="850" w:type="dxa"/>
            <w:tcBorders>
              <w:bottom w:val="single" w:sz="4" w:space="0" w:color="auto"/>
            </w:tcBorders>
          </w:tcPr>
          <w:p w14:paraId="4F20D5D3" w14:textId="3A68B2C2" w:rsidR="00E92893" w:rsidRPr="00230DEB" w:rsidRDefault="00E92893" w:rsidP="00E92893">
            <w:pPr>
              <w:jc w:val="both"/>
              <w:rPr>
                <w:sz w:val="18"/>
                <w:szCs w:val="18"/>
                <w:lang w:val="en-GB"/>
              </w:rPr>
            </w:pPr>
            <w:r w:rsidRPr="00230DEB">
              <w:rPr>
                <w:sz w:val="18"/>
                <w:szCs w:val="18"/>
                <w:lang w:val="en-GB"/>
              </w:rPr>
              <w:t>936</w:t>
            </w:r>
          </w:p>
        </w:tc>
        <w:tc>
          <w:tcPr>
            <w:tcW w:w="992" w:type="dxa"/>
            <w:tcBorders>
              <w:bottom w:val="single" w:sz="4" w:space="0" w:color="auto"/>
            </w:tcBorders>
          </w:tcPr>
          <w:p w14:paraId="39B7E9AD" w14:textId="254C9AE0" w:rsidR="00E92893" w:rsidRPr="00230DEB" w:rsidRDefault="00E92893" w:rsidP="00E92893">
            <w:pPr>
              <w:jc w:val="both"/>
              <w:rPr>
                <w:sz w:val="18"/>
                <w:szCs w:val="18"/>
                <w:lang w:val="en-GB"/>
              </w:rPr>
            </w:pPr>
            <w:r w:rsidRPr="00230DEB">
              <w:rPr>
                <w:sz w:val="18"/>
                <w:szCs w:val="18"/>
                <w:lang w:val="en-GB"/>
              </w:rPr>
              <w:t>5.014</w:t>
            </w:r>
          </w:p>
        </w:tc>
        <w:tc>
          <w:tcPr>
            <w:tcW w:w="1701" w:type="dxa"/>
            <w:tcBorders>
              <w:bottom w:val="single" w:sz="4" w:space="0" w:color="auto"/>
            </w:tcBorders>
          </w:tcPr>
          <w:p w14:paraId="5F8C6C82" w14:textId="6A7B9120" w:rsidR="00E92893" w:rsidRPr="00230DEB" w:rsidRDefault="00E92893" w:rsidP="00E92893">
            <w:pPr>
              <w:jc w:val="both"/>
              <w:rPr>
                <w:sz w:val="18"/>
                <w:szCs w:val="18"/>
                <w:lang w:val="en-GB"/>
              </w:rPr>
            </w:pPr>
            <w:proofErr w:type="spellStart"/>
            <w:r w:rsidRPr="00230DEB">
              <w:rPr>
                <w:sz w:val="18"/>
                <w:szCs w:val="18"/>
                <w:lang w:val="en-GB"/>
              </w:rPr>
              <w:t>na</w:t>
            </w:r>
            <w:proofErr w:type="spellEnd"/>
          </w:p>
        </w:tc>
        <w:tc>
          <w:tcPr>
            <w:tcW w:w="1811" w:type="dxa"/>
            <w:tcBorders>
              <w:bottom w:val="single" w:sz="4" w:space="0" w:color="auto"/>
            </w:tcBorders>
          </w:tcPr>
          <w:p w14:paraId="292BAF30" w14:textId="15CF119C" w:rsidR="00E92893" w:rsidRPr="00230DEB" w:rsidRDefault="00E92893" w:rsidP="00E92893">
            <w:pPr>
              <w:jc w:val="both"/>
              <w:rPr>
                <w:sz w:val="18"/>
                <w:szCs w:val="18"/>
                <w:lang w:val="en-GB"/>
              </w:rPr>
            </w:pPr>
            <w:proofErr w:type="spellStart"/>
            <w:r w:rsidRPr="00230DEB">
              <w:rPr>
                <w:sz w:val="18"/>
                <w:szCs w:val="18"/>
                <w:lang w:val="en-GB"/>
              </w:rPr>
              <w:t>na</w:t>
            </w:r>
            <w:proofErr w:type="spellEnd"/>
          </w:p>
        </w:tc>
      </w:tr>
    </w:tbl>
    <w:p w14:paraId="1067B22C" w14:textId="77777777" w:rsidR="00252687" w:rsidRPr="00A0389C" w:rsidRDefault="00252687" w:rsidP="009512D2">
      <w:pPr>
        <w:jc w:val="both"/>
        <w:rPr>
          <w:sz w:val="20"/>
          <w:szCs w:val="20"/>
          <w:lang w:val="en-GB"/>
        </w:rPr>
      </w:pPr>
    </w:p>
    <w:p w14:paraId="690B3354" w14:textId="22215B9B" w:rsidR="00252687" w:rsidRPr="008334F2" w:rsidRDefault="00252687" w:rsidP="008334F2">
      <w:pPr>
        <w:jc w:val="both"/>
        <w:rPr>
          <w:i/>
          <w:iCs/>
          <w:lang w:val="en-GB"/>
        </w:rPr>
      </w:pPr>
      <w:r w:rsidRPr="00252687">
        <w:rPr>
          <w:i/>
          <w:iCs/>
          <w:lang w:val="en-GB"/>
        </w:rPr>
        <w:t xml:space="preserve">  </w:t>
      </w:r>
    </w:p>
    <w:p w14:paraId="2EEE9A21" w14:textId="58C1F514" w:rsidR="005665C8" w:rsidRDefault="005665C8" w:rsidP="003C5DB2">
      <w:pPr>
        <w:pStyle w:val="Titre2"/>
        <w:jc w:val="both"/>
      </w:pPr>
      <w:r>
        <w:t>EVALUATION OF METHOD GREENESS AND PRACTICALITY</w:t>
      </w:r>
    </w:p>
    <w:p w14:paraId="7A57EB44" w14:textId="77777777" w:rsidR="005665C8" w:rsidRDefault="005665C8" w:rsidP="003C5DB2">
      <w:pPr>
        <w:jc w:val="both"/>
      </w:pPr>
    </w:p>
    <w:p w14:paraId="32179372" w14:textId="01097912" w:rsidR="00AC7302" w:rsidRDefault="00AC7302" w:rsidP="003C5DB2">
      <w:pPr>
        <w:jc w:val="both"/>
      </w:pPr>
      <w:r>
        <w:tab/>
      </w:r>
      <w:r w:rsidRPr="00AC7302">
        <w:t xml:space="preserve">Over the last years the evaluation of any analytical method according to the general principles of green analytical chemistry (Gałuszka, </w:t>
      </w:r>
      <w:proofErr w:type="spellStart"/>
      <w:r w:rsidRPr="00AC7302">
        <w:t>Migaszewski</w:t>
      </w:r>
      <w:proofErr w:type="spellEnd"/>
      <w:r w:rsidRPr="00AC7302">
        <w:t xml:space="preserve">, &amp; </w:t>
      </w:r>
      <w:proofErr w:type="spellStart"/>
      <w:r w:rsidRPr="00AC7302">
        <w:t>Namie´snik</w:t>
      </w:r>
      <w:proofErr w:type="spellEnd"/>
      <w:r w:rsidRPr="00AC7302">
        <w:t>, 2013) has become fundamental and several metrics have been developed for evaluating their performance. Among the metrics proposed, White Analytical Chemistry (WAC) is the most comprehensive one as it considers not only the green aspects of the method, but also the efficiency (red) and the practical/</w:t>
      </w:r>
      <w:proofErr w:type="spellStart"/>
      <w:r w:rsidRPr="00AC7302">
        <w:t>economical</w:t>
      </w:r>
      <w:proofErr w:type="spellEnd"/>
      <w:r w:rsidRPr="00AC7302">
        <w:t xml:space="preserve"> efficiency (blue) of a method (Nowak, Wietecha-</w:t>
      </w:r>
      <w:proofErr w:type="spellStart"/>
      <w:r w:rsidRPr="00AC7302">
        <w:t>Posłuszny</w:t>
      </w:r>
      <w:proofErr w:type="spellEnd"/>
      <w:r w:rsidRPr="00AC7302">
        <w:t xml:space="preserve">, &amp; </w:t>
      </w:r>
      <w:proofErr w:type="spellStart"/>
      <w:r w:rsidRPr="00AC7302">
        <w:t>Pawliszyn</w:t>
      </w:r>
      <w:proofErr w:type="spellEnd"/>
      <w:r w:rsidRPr="00AC7302">
        <w:t>, 2021). The latter has been further extended into the recently introduced blue applicability grade index (BAGI), named “blue” in reference to the WAC metric (</w:t>
      </w:r>
      <w:proofErr w:type="spellStart"/>
      <w:r w:rsidRPr="00AC7302">
        <w:t>Manousi</w:t>
      </w:r>
      <w:proofErr w:type="spellEnd"/>
      <w:r w:rsidRPr="00AC7302">
        <w:t xml:space="preserve">, Wojnowski, </w:t>
      </w:r>
      <w:proofErr w:type="spellStart"/>
      <w:r w:rsidRPr="00AC7302">
        <w:t>Płotka-Wasylka</w:t>
      </w:r>
      <w:proofErr w:type="spellEnd"/>
      <w:r w:rsidRPr="00AC7302">
        <w:t xml:space="preserve">, &amp; </w:t>
      </w:r>
      <w:proofErr w:type="spellStart"/>
      <w:r w:rsidRPr="00AC7302">
        <w:t>Samanidou</w:t>
      </w:r>
      <w:proofErr w:type="spellEnd"/>
      <w:r w:rsidRPr="00AC7302">
        <w:t xml:space="preserve">, 2023). Regarding the green aspects many metrics have been proposed (Locatelli et al., 2023). </w:t>
      </w:r>
      <w:proofErr w:type="spellStart"/>
      <w:r w:rsidRPr="00AC7302">
        <w:t>AGREEprep</w:t>
      </w:r>
      <w:proofErr w:type="spellEnd"/>
      <w:r w:rsidRPr="00AC7302">
        <w:t xml:space="preserve"> calculates the impact of sample preparations giving different scores for sample preparation place (</w:t>
      </w:r>
      <w:proofErr w:type="spellStart"/>
      <w:r w:rsidRPr="00AC7302">
        <w:t>exsitu</w:t>
      </w:r>
      <w:proofErr w:type="spellEnd"/>
      <w:r w:rsidRPr="00AC7302">
        <w:t xml:space="preserve">, in-situ, on-line, or in-line), hazardous materials, their renewability, amount of waste, size of the sample, </w:t>
      </w:r>
      <w:r w:rsidRPr="00AC7302">
        <w:lastRenderedPageBreak/>
        <w:t xml:space="preserve">number of samples prepared per hour, automation, energy consumption, type of instrument for analysis and operator safety (Wojnowski, Tobiszewski, Pena-Pereira, &amp; </w:t>
      </w:r>
      <w:proofErr w:type="spellStart"/>
      <w:r w:rsidRPr="00AC7302">
        <w:t>Psillakis</w:t>
      </w:r>
      <w:proofErr w:type="spellEnd"/>
      <w:r w:rsidRPr="00AC7302">
        <w:t>, 2022).</w:t>
      </w:r>
    </w:p>
    <w:p w14:paraId="4F90991F" w14:textId="77777777" w:rsidR="00AC7302" w:rsidRDefault="00AC7302" w:rsidP="00AC7302">
      <w:pPr>
        <w:jc w:val="both"/>
      </w:pPr>
      <w:r>
        <w:tab/>
      </w:r>
      <w:r w:rsidRPr="00AC7302">
        <w:t xml:space="preserve">In the present work </w:t>
      </w:r>
      <w:proofErr w:type="spellStart"/>
      <w:r w:rsidRPr="00AC7302">
        <w:t>AGREEprep</w:t>
      </w:r>
      <w:proofErr w:type="spellEnd"/>
      <w:r w:rsidRPr="00AC7302">
        <w:t xml:space="preserve"> and BAGI were considered to evaluate the greenness and applicability potential of the methods (i.e., HSSPME, Vac-HS-SPME, MCT-HS-SPME, and Vac-MCT-HS-SPME). Comparative analysis was avoided since all methods fall within the same evaluation parameters. This would have resulted in identical scores in both </w:t>
      </w:r>
      <w:proofErr w:type="spellStart"/>
      <w:r w:rsidRPr="00AC7302">
        <w:t>AGREEprep</w:t>
      </w:r>
      <w:proofErr w:type="spellEnd"/>
      <w:r w:rsidRPr="00AC7302">
        <w:t xml:space="preserve"> and BAGI. The resulting pictograms are reported in Fig. 5.</w:t>
      </w:r>
    </w:p>
    <w:p w14:paraId="09845176" w14:textId="794F2BED" w:rsidR="00AC7302" w:rsidRDefault="00AC7302" w:rsidP="00AC7302">
      <w:pPr>
        <w:jc w:val="both"/>
      </w:pPr>
      <w:r>
        <w:tab/>
      </w:r>
      <w:r w:rsidRPr="00AC7302">
        <w:t xml:space="preserve">Although in the present work the proposed methods were not used for absolute quantification, in the first criterium of the BAGI index (i.e., type of analysis) both quantitative and confirmatory analysis type </w:t>
      </w:r>
      <w:proofErr w:type="gramStart"/>
      <w:r w:rsidRPr="00AC7302">
        <w:t>was</w:t>
      </w:r>
      <w:proofErr w:type="gramEnd"/>
      <w:r w:rsidRPr="00AC7302">
        <w:t xml:space="preserve"> selected as it can be easily implemented. The BAGI index was negatively impacted by the instruments used (Fig. 5b). It is worth </w:t>
      </w:r>
      <w:proofErr w:type="gramStart"/>
      <w:r w:rsidRPr="00AC7302">
        <w:t>mention</w:t>
      </w:r>
      <w:proofErr w:type="gramEnd"/>
      <w:r w:rsidRPr="00AC7302">
        <w:t xml:space="preserve"> that the specific autosampler able to perform the MCT and the GC × GC chromatography equipment are still niche analytical products found in a small number of laboratories. The other parameters in light blue were related to the sample throughput (i.e., “simultaneous sample preparation” and “samples per h”) and the type of sample preparation. For the latter, the maximum is reached when no sample preparation is applied at all. Regarding sample throughput, the proposed method can analyze 2 samples/h (circa 30 min extraction and chromatographic run time). As for the nature of the analysis itself and the automation procedure, it is obviously not possible to </w:t>
      </w:r>
      <w:proofErr w:type="spellStart"/>
      <w:r w:rsidRPr="00AC7302">
        <w:t>analyse</w:t>
      </w:r>
      <w:proofErr w:type="spellEnd"/>
      <w:r w:rsidRPr="00AC7302">
        <w:t xml:space="preserve"> more samples simultaneously. The time required for the sample pretreatment is limited by the GC run. Thus, the throughput is not determined by the sample preparation itself but by the time required by </w:t>
      </w:r>
      <w:proofErr w:type="gramStart"/>
      <w:r w:rsidRPr="00AC7302">
        <w:t>the instrumental</w:t>
      </w:r>
      <w:proofErr w:type="gramEnd"/>
      <w:r w:rsidRPr="00AC7302">
        <w:t xml:space="preserve"> determination. Nevertheless, the samples can be prepared all together, requiring weighing them into the vial (and in the case of the Vac-HS-SPME, to evacuate the air for 1 min) and then leave them in the autosampler to be analyzed. Therefore, </w:t>
      </w:r>
      <w:proofErr w:type="gramStart"/>
      <w:r w:rsidRPr="00AC7302">
        <w:t>in reality, the</w:t>
      </w:r>
      <w:proofErr w:type="gramEnd"/>
      <w:r w:rsidRPr="00AC7302">
        <w:t xml:space="preserve"> operator’s time is very limited. Similarly, the sample throughput over-reduced the results of the </w:t>
      </w:r>
      <w:proofErr w:type="spellStart"/>
      <w:r w:rsidRPr="00AC7302">
        <w:t>AGREEprep</w:t>
      </w:r>
      <w:proofErr w:type="spellEnd"/>
      <w:r w:rsidRPr="00AC7302">
        <w:t xml:space="preserve"> index (parameter 6). The other parameters scoring low (reddish) are the sample preparation placement (parameter 1, ex-situ), and the energy </w:t>
      </w:r>
      <w:proofErr w:type="spellStart"/>
      <w:proofErr w:type="gramStart"/>
      <w:r w:rsidRPr="00AC7302">
        <w:t>consumptionrelated</w:t>
      </w:r>
      <w:proofErr w:type="spellEnd"/>
      <w:proofErr w:type="gramEnd"/>
      <w:r w:rsidRPr="00AC7302">
        <w:t xml:space="preserve"> criteria (i.e., parameters 8 and 9) penalized </w:t>
      </w:r>
      <w:proofErr w:type="gramStart"/>
      <w:r w:rsidRPr="00AC7302">
        <w:t>by the use of</w:t>
      </w:r>
      <w:proofErr w:type="gramEnd"/>
      <w:r w:rsidRPr="00AC7302">
        <w:t xml:space="preserve"> a GCand MS-based technique (Fig. 5a). Despite a few weaknesses, seven of the parameters showed green color for the </w:t>
      </w:r>
      <w:proofErr w:type="spellStart"/>
      <w:r w:rsidRPr="00AC7302">
        <w:t>AGREEprep</w:t>
      </w:r>
      <w:proofErr w:type="spellEnd"/>
      <w:r w:rsidRPr="00AC7302">
        <w:t xml:space="preserve"> index and six were in blue color for the BAGI, and the overall scores were 0.68 and 77.5 for </w:t>
      </w:r>
      <w:proofErr w:type="spellStart"/>
      <w:r w:rsidRPr="00AC7302">
        <w:t>AGREEprep</w:t>
      </w:r>
      <w:proofErr w:type="spellEnd"/>
      <w:r w:rsidRPr="00AC7302">
        <w:t xml:space="preserve"> and BAGI, respectively. Therefore, the proposed methods show greenness and practicality based on the general principles of green analytical chemistry.</w:t>
      </w:r>
    </w:p>
    <w:p w14:paraId="22F24BB2" w14:textId="77777777" w:rsidR="005665C8" w:rsidRPr="005665C8" w:rsidRDefault="005665C8" w:rsidP="003C5DB2">
      <w:pPr>
        <w:jc w:val="both"/>
      </w:pPr>
    </w:p>
    <w:p w14:paraId="007C28FB" w14:textId="77777777" w:rsidR="000F4F69" w:rsidRDefault="000F4F69" w:rsidP="003C5DB2">
      <w:pPr>
        <w:pStyle w:val="Corpsdetexte"/>
        <w:spacing w:before="8" w:line="232" w:lineRule="auto"/>
        <w:ind w:firstLine="239"/>
        <w:rPr>
          <w:rFonts w:asciiTheme="minorHAnsi" w:hAnsiTheme="minorHAnsi" w:cstheme="minorHAnsi"/>
          <w:sz w:val="22"/>
          <w:szCs w:val="22"/>
        </w:rPr>
      </w:pPr>
    </w:p>
    <w:p w14:paraId="363CD237" w14:textId="77777777" w:rsidR="000F4F69" w:rsidRPr="005A517B" w:rsidRDefault="000F4F69" w:rsidP="003C5DB2">
      <w:pPr>
        <w:pStyle w:val="Titre1"/>
        <w:jc w:val="both"/>
      </w:pPr>
      <w:r w:rsidRPr="005A517B">
        <w:t>Conclusion</w:t>
      </w:r>
    </w:p>
    <w:p w14:paraId="56596830" w14:textId="77777777" w:rsidR="000F4F69" w:rsidRPr="00763248" w:rsidRDefault="000F4F69" w:rsidP="003C5DB2">
      <w:pPr>
        <w:pStyle w:val="Corpsdetexte"/>
        <w:spacing w:before="50"/>
        <w:ind w:left="0"/>
        <w:rPr>
          <w:rFonts w:asciiTheme="minorHAnsi" w:hAnsiTheme="minorHAnsi" w:cstheme="minorHAnsi"/>
          <w:b/>
          <w:sz w:val="22"/>
          <w:szCs w:val="22"/>
        </w:rPr>
      </w:pPr>
    </w:p>
    <w:p w14:paraId="3EF1C5C7" w14:textId="77777777" w:rsidR="00AC7302" w:rsidRDefault="00AC7302" w:rsidP="00AC7302">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r w:rsidRPr="00AC7302">
        <w:rPr>
          <w:rFonts w:asciiTheme="minorHAnsi" w:hAnsiTheme="minorHAnsi" w:cstheme="minorHAnsi"/>
          <w:sz w:val="22"/>
          <w:szCs w:val="22"/>
        </w:rPr>
        <w:t xml:space="preserve">The use of Vac-HS-SPME and MCT-HS-SPME were explored as sampling alternatives to classical HS-SPME for the analysis of virgin olive oils. Furthermore, the synergic combination of these two innovative techniques was investigated by the successful implementation of </w:t>
      </w:r>
      <w:proofErr w:type="spellStart"/>
      <w:r w:rsidRPr="00AC7302">
        <w:rPr>
          <w:rFonts w:asciiTheme="minorHAnsi" w:hAnsiTheme="minorHAnsi" w:cstheme="minorHAnsi"/>
          <w:sz w:val="22"/>
          <w:szCs w:val="22"/>
        </w:rPr>
        <w:t>VacMCT</w:t>
      </w:r>
      <w:proofErr w:type="spellEnd"/>
      <w:r w:rsidRPr="00AC7302">
        <w:rPr>
          <w:rFonts w:asciiTheme="minorHAnsi" w:hAnsiTheme="minorHAnsi" w:cstheme="minorHAnsi"/>
          <w:sz w:val="22"/>
          <w:szCs w:val="22"/>
        </w:rPr>
        <w:t xml:space="preserve">-HS-SPME. All the proposed techniques showed a superior extraction of semi-volatiles. The use of GC × GC–MS for the analysis of the extracted analytes contributed to an enhanced separation of the constituents and a better definition of the blueprint. </w:t>
      </w:r>
    </w:p>
    <w:p w14:paraId="2552BA6C" w14:textId="77777777" w:rsidR="00AC7302" w:rsidRDefault="00AC7302" w:rsidP="00AC7302">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r w:rsidRPr="00AC7302">
        <w:rPr>
          <w:rFonts w:asciiTheme="minorHAnsi" w:hAnsiTheme="minorHAnsi" w:cstheme="minorHAnsi"/>
          <w:sz w:val="22"/>
          <w:szCs w:val="22"/>
        </w:rPr>
        <w:t xml:space="preserve">When targeting the analytes that have been previously identified as quality markers and processing the results obtained by each sampling technique, the HCA analysis showed a good discrimination of LO samples, with some justifiable misclassifications due to low-scoring samples. Nevertheless, VO and EVO samples could not be satisfactorily separated. Despite the method applied a geographical origin clustering tendency was observed. Although different hypotheses were </w:t>
      </w:r>
      <w:r w:rsidRPr="00AC7302">
        <w:rPr>
          <w:rFonts w:asciiTheme="minorHAnsi" w:hAnsiTheme="minorHAnsi" w:cstheme="minorHAnsi"/>
          <w:sz w:val="22"/>
          <w:szCs w:val="22"/>
        </w:rPr>
        <w:lastRenderedPageBreak/>
        <w:t xml:space="preserve">presented, they were out of the scope of the present work, and they should be further investigated separately with a significantly higher number of samples. </w:t>
      </w:r>
    </w:p>
    <w:p w14:paraId="35012C2C" w14:textId="77777777" w:rsidR="00AC7302" w:rsidRDefault="00AC7302" w:rsidP="00AC7302">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proofErr w:type="gramStart"/>
      <w:r w:rsidRPr="00AC7302">
        <w:rPr>
          <w:rFonts w:asciiTheme="minorHAnsi" w:hAnsiTheme="minorHAnsi" w:cstheme="minorHAnsi"/>
          <w:sz w:val="22"/>
          <w:szCs w:val="22"/>
        </w:rPr>
        <w:t>In order to</w:t>
      </w:r>
      <w:proofErr w:type="gramEnd"/>
      <w:r w:rsidRPr="00AC7302">
        <w:rPr>
          <w:rFonts w:asciiTheme="minorHAnsi" w:hAnsiTheme="minorHAnsi" w:cstheme="minorHAnsi"/>
          <w:sz w:val="22"/>
          <w:szCs w:val="22"/>
        </w:rPr>
        <w:t xml:space="preserve"> fully explore the classification capability of the proposed sampling techniques, an untargeted analysis of the obtained chromatograms was performed. Different sets of features were selected by RF for each technique, and a better classification of samples by commercial categories was obtained for all techniques, proving the great potential of Vac-, MCT- and Vac-MCT- HS-SPME in combination with GC × GC for a comprehensive analysis of virgin olive oil samples. Nevertheless, it should be noted that the number of samples was limited in this case, and the selected features should be confirmed by examining a much larger variety of virgin olive oils from different geographical origins and harvesting years. </w:t>
      </w:r>
    </w:p>
    <w:p w14:paraId="3EFEE76F" w14:textId="09087625" w:rsidR="000F4F69" w:rsidRDefault="00AC7302" w:rsidP="00AC7302">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r w:rsidRPr="00AC7302">
        <w:rPr>
          <w:rFonts w:asciiTheme="minorHAnsi" w:hAnsiTheme="minorHAnsi" w:cstheme="minorHAnsi"/>
          <w:sz w:val="22"/>
          <w:szCs w:val="22"/>
        </w:rPr>
        <w:t xml:space="preserve">As aforementioned, it is the authors’ opinion that to achieve the goal of supporting the panel test in the classification of EVO and VO, it is vital to select markers able to perform robustly despite the analytical technique applied and the sample set investigated. Finally, using the BAGI and </w:t>
      </w:r>
      <w:proofErr w:type="spellStart"/>
      <w:r w:rsidRPr="00AC7302">
        <w:rPr>
          <w:rFonts w:asciiTheme="minorHAnsi" w:hAnsiTheme="minorHAnsi" w:cstheme="minorHAnsi"/>
          <w:sz w:val="22"/>
          <w:szCs w:val="22"/>
        </w:rPr>
        <w:t>AGREEprep</w:t>
      </w:r>
      <w:proofErr w:type="spellEnd"/>
      <w:r w:rsidRPr="00AC7302">
        <w:rPr>
          <w:rFonts w:asciiTheme="minorHAnsi" w:hAnsiTheme="minorHAnsi" w:cstheme="minorHAnsi"/>
          <w:sz w:val="22"/>
          <w:szCs w:val="22"/>
        </w:rPr>
        <w:t xml:space="preserve"> indices, the ‘greenness’ and </w:t>
      </w:r>
      <w:proofErr w:type="spellStart"/>
      <w:r w:rsidRPr="00AC7302">
        <w:rPr>
          <w:rFonts w:asciiTheme="minorHAnsi" w:hAnsiTheme="minorHAnsi" w:cstheme="minorHAnsi"/>
          <w:sz w:val="22"/>
          <w:szCs w:val="22"/>
        </w:rPr>
        <w:t>praticability</w:t>
      </w:r>
      <w:proofErr w:type="spellEnd"/>
      <w:r w:rsidRPr="00AC7302">
        <w:rPr>
          <w:rFonts w:asciiTheme="minorHAnsi" w:hAnsiTheme="minorHAnsi" w:cstheme="minorHAnsi"/>
          <w:sz w:val="22"/>
          <w:szCs w:val="22"/>
        </w:rPr>
        <w:t xml:space="preserve"> of the methods was assessed with </w:t>
      </w:r>
      <w:proofErr w:type="spellStart"/>
      <w:r w:rsidRPr="00AC7302">
        <w:rPr>
          <w:rFonts w:asciiTheme="minorHAnsi" w:hAnsiTheme="minorHAnsi" w:cstheme="minorHAnsi"/>
          <w:sz w:val="22"/>
          <w:szCs w:val="22"/>
        </w:rPr>
        <w:t>favourable</w:t>
      </w:r>
      <w:proofErr w:type="spellEnd"/>
      <w:r w:rsidRPr="00AC7302">
        <w:rPr>
          <w:rFonts w:asciiTheme="minorHAnsi" w:hAnsiTheme="minorHAnsi" w:cstheme="minorHAnsi"/>
          <w:sz w:val="22"/>
          <w:szCs w:val="22"/>
        </w:rPr>
        <w:t xml:space="preserve"> scores.</w:t>
      </w:r>
    </w:p>
    <w:p w14:paraId="3E43C96A" w14:textId="77777777" w:rsidR="001221AA" w:rsidRDefault="001221AA" w:rsidP="00AC7302">
      <w:pPr>
        <w:pStyle w:val="Corpsdetexte"/>
        <w:spacing w:before="8" w:line="232" w:lineRule="auto"/>
        <w:ind w:left="0"/>
        <w:rPr>
          <w:rFonts w:asciiTheme="minorHAnsi" w:hAnsiTheme="minorHAnsi" w:cstheme="minorHAnsi"/>
          <w:sz w:val="22"/>
          <w:szCs w:val="22"/>
        </w:rPr>
      </w:pPr>
    </w:p>
    <w:p w14:paraId="5BFF8509" w14:textId="77777777" w:rsidR="001221AA" w:rsidRDefault="001221AA" w:rsidP="00AC7302">
      <w:pPr>
        <w:pStyle w:val="Corpsdetexte"/>
        <w:spacing w:before="8" w:line="232" w:lineRule="auto"/>
        <w:ind w:left="0"/>
        <w:rPr>
          <w:rFonts w:asciiTheme="minorHAnsi" w:hAnsiTheme="minorHAnsi" w:cstheme="minorHAnsi"/>
          <w:sz w:val="22"/>
          <w:szCs w:val="22"/>
        </w:rPr>
      </w:pPr>
    </w:p>
    <w:p w14:paraId="29145B65" w14:textId="7B0CC257" w:rsidR="001221AA" w:rsidRDefault="001221AA" w:rsidP="00AC7302">
      <w:pPr>
        <w:pStyle w:val="Corpsdetexte"/>
        <w:spacing w:before="8" w:line="232" w:lineRule="auto"/>
        <w:ind w:left="0"/>
        <w:rPr>
          <w:rFonts w:asciiTheme="minorHAnsi" w:hAnsiTheme="minorHAnsi" w:cstheme="minorHAnsi"/>
          <w:sz w:val="22"/>
          <w:szCs w:val="22"/>
        </w:rPr>
      </w:pPr>
      <w:r w:rsidRPr="001221AA">
        <w:rPr>
          <w:rFonts w:asciiTheme="minorHAnsi" w:hAnsiTheme="minorHAnsi" w:cstheme="minorHAnsi"/>
          <w:noProof/>
          <w:sz w:val="22"/>
          <w:szCs w:val="22"/>
        </w:rPr>
        <w:drawing>
          <wp:inline distT="0" distB="0" distL="0" distR="0" wp14:anchorId="70607FB2" wp14:editId="104AC957">
            <wp:extent cx="5761990" cy="2369820"/>
            <wp:effectExtent l="0" t="0" r="0" b="0"/>
            <wp:docPr id="6178287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2369820"/>
                    </a:xfrm>
                    <a:prstGeom prst="rect">
                      <a:avLst/>
                    </a:prstGeom>
                    <a:noFill/>
                    <a:ln>
                      <a:noFill/>
                    </a:ln>
                  </pic:spPr>
                </pic:pic>
              </a:graphicData>
            </a:graphic>
          </wp:inline>
        </w:drawing>
      </w:r>
    </w:p>
    <w:p w14:paraId="1AD18A62" w14:textId="6CEAB63F" w:rsidR="001221AA" w:rsidRPr="001221AA" w:rsidRDefault="001221AA" w:rsidP="00AC7302">
      <w:pPr>
        <w:pStyle w:val="Corpsdetexte"/>
        <w:spacing w:before="8" w:line="232" w:lineRule="auto"/>
        <w:ind w:left="0"/>
        <w:rPr>
          <w:rFonts w:asciiTheme="minorHAnsi" w:hAnsiTheme="minorHAnsi" w:cstheme="minorHAnsi"/>
          <w:sz w:val="20"/>
          <w:szCs w:val="20"/>
          <w:lang w:val="en-GB"/>
        </w:rPr>
      </w:pPr>
      <w:r w:rsidRPr="001221AA">
        <w:rPr>
          <w:rFonts w:asciiTheme="minorHAnsi" w:hAnsiTheme="minorHAnsi" w:cstheme="minorHAnsi"/>
          <w:b/>
          <w:bCs/>
          <w:sz w:val="20"/>
          <w:szCs w:val="20"/>
          <w:lang w:val="en-GB"/>
        </w:rPr>
        <w:t xml:space="preserve">Fig. 5. </w:t>
      </w:r>
      <w:proofErr w:type="spellStart"/>
      <w:r w:rsidRPr="001221AA">
        <w:rPr>
          <w:rFonts w:asciiTheme="minorHAnsi" w:hAnsiTheme="minorHAnsi" w:cstheme="minorHAnsi"/>
          <w:sz w:val="20"/>
          <w:szCs w:val="20"/>
          <w:lang w:val="en-GB"/>
        </w:rPr>
        <w:t>AGREEPrep</w:t>
      </w:r>
      <w:proofErr w:type="spellEnd"/>
      <w:r w:rsidRPr="001221AA">
        <w:rPr>
          <w:rFonts w:asciiTheme="minorHAnsi" w:hAnsiTheme="minorHAnsi" w:cstheme="minorHAnsi"/>
          <w:sz w:val="20"/>
          <w:szCs w:val="20"/>
          <w:lang w:val="en-GB"/>
        </w:rPr>
        <w:t xml:space="preserve"> (A) and BAGI (B) pictograms with scores obtained for the proposed method.</w:t>
      </w:r>
    </w:p>
    <w:p w14:paraId="452F5C7F" w14:textId="77777777" w:rsidR="001221AA" w:rsidRDefault="001221AA" w:rsidP="00AC7302">
      <w:pPr>
        <w:pStyle w:val="Corpsdetexte"/>
        <w:spacing w:before="8" w:line="232" w:lineRule="auto"/>
        <w:ind w:left="0"/>
        <w:rPr>
          <w:rFonts w:asciiTheme="minorHAnsi" w:hAnsiTheme="minorHAnsi" w:cstheme="minorHAnsi"/>
          <w:sz w:val="22"/>
          <w:szCs w:val="22"/>
        </w:rPr>
      </w:pPr>
    </w:p>
    <w:p w14:paraId="540159AD" w14:textId="77777777" w:rsidR="000F4F69" w:rsidRDefault="000F4F69" w:rsidP="003C5DB2">
      <w:pPr>
        <w:pStyle w:val="Corpsdetexte"/>
        <w:spacing w:before="8" w:line="232" w:lineRule="auto"/>
        <w:ind w:firstLine="239"/>
        <w:rPr>
          <w:rFonts w:asciiTheme="minorHAnsi" w:hAnsiTheme="minorHAnsi" w:cstheme="minorHAnsi"/>
          <w:sz w:val="22"/>
          <w:szCs w:val="22"/>
        </w:rPr>
      </w:pPr>
    </w:p>
    <w:p w14:paraId="52DA1F35" w14:textId="77777777" w:rsidR="000F4F69" w:rsidRPr="004B561E" w:rsidRDefault="000F4F69" w:rsidP="003C5DB2">
      <w:pPr>
        <w:pStyle w:val="Titre1"/>
        <w:jc w:val="both"/>
      </w:pPr>
      <w:proofErr w:type="spellStart"/>
      <w:r w:rsidRPr="004B561E">
        <w:t>CRediT</w:t>
      </w:r>
      <w:proofErr w:type="spellEnd"/>
      <w:r w:rsidRPr="004B561E">
        <w:t xml:space="preserve"> authorship contribution statement</w:t>
      </w:r>
    </w:p>
    <w:p w14:paraId="067C7869" w14:textId="77777777" w:rsidR="000F4F69" w:rsidRDefault="000F4F69" w:rsidP="003C5DB2">
      <w:pPr>
        <w:spacing w:before="65"/>
        <w:ind w:left="43"/>
        <w:jc w:val="both"/>
        <w:rPr>
          <w:rFonts w:cstheme="minorHAnsi"/>
        </w:rPr>
      </w:pPr>
    </w:p>
    <w:p w14:paraId="72A23BB8" w14:textId="77777777" w:rsidR="00AC7302" w:rsidRDefault="00AC7302" w:rsidP="00AC7302">
      <w:pPr>
        <w:spacing w:before="65"/>
        <w:jc w:val="both"/>
        <w:rPr>
          <w:rFonts w:cstheme="minorHAnsi"/>
        </w:rPr>
      </w:pPr>
      <w:r>
        <w:rPr>
          <w:rFonts w:cstheme="minorHAnsi"/>
          <w:b/>
          <w:bCs/>
        </w:rPr>
        <w:tab/>
      </w:r>
      <w:r w:rsidRPr="00AC7302">
        <w:rPr>
          <w:rFonts w:cstheme="minorHAnsi"/>
          <w:b/>
          <w:bCs/>
        </w:rPr>
        <w:t>Steven Mascrez</w:t>
      </w:r>
      <w:r w:rsidRPr="00AC7302">
        <w:rPr>
          <w:rFonts w:cstheme="minorHAnsi"/>
        </w:rPr>
        <w:t xml:space="preserve">: Formal analysis, Investigation, Methodology, Visualization, Writing – original draft, Writing – review &amp; editing. </w:t>
      </w:r>
      <w:r w:rsidRPr="00AC7302">
        <w:rPr>
          <w:rFonts w:cstheme="minorHAnsi"/>
          <w:b/>
          <w:bCs/>
        </w:rPr>
        <w:t>Juan Aspromonte</w:t>
      </w:r>
      <w:r w:rsidRPr="00AC7302">
        <w:rPr>
          <w:rFonts w:cstheme="minorHAnsi"/>
        </w:rPr>
        <w:t xml:space="preserve">: Writing – review &amp; editing. </w:t>
      </w:r>
      <w:r w:rsidRPr="00AC7302">
        <w:rPr>
          <w:rFonts w:cstheme="minorHAnsi"/>
          <w:b/>
          <w:bCs/>
        </w:rPr>
        <w:t xml:space="preserve">Natasha </w:t>
      </w:r>
      <w:r w:rsidR="00220B16">
        <w:rPr>
          <w:rFonts w:cstheme="minorHAnsi"/>
          <w:b/>
          <w:bCs/>
        </w:rPr>
        <w:t xml:space="preserve">Damiana </w:t>
      </w:r>
      <w:r w:rsidR="00220B16" w:rsidRPr="00220B16">
        <w:rPr>
          <w:rFonts w:cstheme="minorHAnsi"/>
          <w:b/>
          <w:bCs/>
        </w:rPr>
        <w:t>Spadafora</w:t>
      </w:r>
      <w:r w:rsidR="00220B16" w:rsidRPr="00220B16">
        <w:rPr>
          <w:rFonts w:cstheme="minorHAnsi"/>
        </w:rPr>
        <w:t>: Formal analysis, Visualization, Writing – review &amp; editing.</w:t>
      </w:r>
      <w:r w:rsidR="00220B16" w:rsidRPr="00220B16">
        <w:rPr>
          <w:rFonts w:cstheme="minorHAnsi"/>
          <w:b/>
          <w:bCs/>
        </w:rPr>
        <w:t xml:space="preserve"> Giorgia Purcaro</w:t>
      </w:r>
      <w:r w:rsidR="00220B16" w:rsidRPr="00220B16">
        <w:rPr>
          <w:rFonts w:cstheme="minorHAnsi"/>
        </w:rPr>
        <w:t>: Conceptualization, Formal analysis, Funding acquisition, Methodology, Project administration, Supervision, Visualization, Writing – original draft, Writing – review &amp; editing.</w:t>
      </w:r>
    </w:p>
    <w:p w14:paraId="5C4D1418" w14:textId="77777777" w:rsidR="00CB04EF" w:rsidRDefault="00CB04EF" w:rsidP="00AC7302">
      <w:pPr>
        <w:spacing w:before="65"/>
        <w:jc w:val="both"/>
        <w:rPr>
          <w:rFonts w:cstheme="minorHAnsi"/>
        </w:rPr>
      </w:pPr>
    </w:p>
    <w:p w14:paraId="2F0B09B5" w14:textId="77777777" w:rsidR="00A03865" w:rsidRDefault="00A03865" w:rsidP="00AC7302">
      <w:pPr>
        <w:spacing w:before="65"/>
        <w:jc w:val="both"/>
        <w:rPr>
          <w:rFonts w:cstheme="minorHAnsi"/>
        </w:rPr>
      </w:pPr>
    </w:p>
    <w:p w14:paraId="14EC1A89" w14:textId="5F79492E" w:rsidR="00A03865" w:rsidRPr="00220B16" w:rsidRDefault="00A03865" w:rsidP="00AC7302">
      <w:pPr>
        <w:spacing w:before="65"/>
        <w:jc w:val="both"/>
        <w:rPr>
          <w:rFonts w:cstheme="minorHAnsi"/>
        </w:rPr>
        <w:sectPr w:rsidR="00A03865" w:rsidRPr="00220B16" w:rsidSect="000F4F69">
          <w:type w:val="continuous"/>
          <w:pgSz w:w="11910" w:h="15880"/>
          <w:pgMar w:top="1418" w:right="1418" w:bottom="1418" w:left="1418" w:header="655" w:footer="544" w:gutter="0"/>
          <w:cols w:space="720"/>
        </w:sectPr>
      </w:pPr>
    </w:p>
    <w:p w14:paraId="58DCDC19" w14:textId="77777777" w:rsidR="00AC7302" w:rsidRDefault="00AC7302" w:rsidP="003C5DB2">
      <w:pPr>
        <w:pStyle w:val="Corpsdetexte"/>
        <w:spacing w:before="8" w:line="232" w:lineRule="auto"/>
        <w:ind w:left="0"/>
        <w:rPr>
          <w:rFonts w:asciiTheme="minorHAnsi" w:hAnsiTheme="minorHAnsi" w:cstheme="minorHAnsi"/>
          <w:sz w:val="22"/>
          <w:szCs w:val="22"/>
        </w:rPr>
      </w:pPr>
    </w:p>
    <w:p w14:paraId="0723FF92" w14:textId="77777777" w:rsidR="000F4F69" w:rsidRPr="00A91B58" w:rsidRDefault="000F4F69" w:rsidP="003C5DB2">
      <w:pPr>
        <w:pStyle w:val="Titre1"/>
        <w:jc w:val="both"/>
      </w:pPr>
      <w:r w:rsidRPr="00A91B58">
        <w:lastRenderedPageBreak/>
        <w:t>Declaration of Competing Interest</w:t>
      </w:r>
    </w:p>
    <w:p w14:paraId="0B1043BB" w14:textId="77777777" w:rsidR="000F4F69" w:rsidRDefault="000F4F69" w:rsidP="003C5DB2">
      <w:pPr>
        <w:pStyle w:val="Corpsdetexte"/>
        <w:spacing w:before="23"/>
        <w:ind w:left="0"/>
        <w:rPr>
          <w:rFonts w:asciiTheme="minorHAnsi" w:hAnsiTheme="minorHAnsi" w:cstheme="minorHAnsi"/>
          <w:sz w:val="22"/>
          <w:szCs w:val="22"/>
        </w:rPr>
      </w:pPr>
    </w:p>
    <w:p w14:paraId="6261F7F3" w14:textId="3A4B0393" w:rsidR="00AC7302" w:rsidRDefault="00AC7302" w:rsidP="00AC7302">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AC7302">
        <w:rPr>
          <w:rFonts w:asciiTheme="minorHAnsi" w:hAnsiTheme="minorHAnsi" w:cstheme="minorHAnsi"/>
          <w:sz w:val="22"/>
          <w:szCs w:val="22"/>
        </w:rPr>
        <w:t>The authors declare that they have no known competing financial</w:t>
      </w:r>
      <w:r>
        <w:rPr>
          <w:rFonts w:asciiTheme="minorHAnsi" w:hAnsiTheme="minorHAnsi" w:cstheme="minorHAnsi"/>
          <w:sz w:val="22"/>
          <w:szCs w:val="22"/>
        </w:rPr>
        <w:t xml:space="preserve"> </w:t>
      </w:r>
      <w:r w:rsidRPr="00AC7302">
        <w:rPr>
          <w:rFonts w:asciiTheme="minorHAnsi" w:hAnsiTheme="minorHAnsi" w:cstheme="minorHAnsi"/>
          <w:sz w:val="22"/>
          <w:szCs w:val="22"/>
        </w:rPr>
        <w:t>interests or personal relationships that could have appeared to influence</w:t>
      </w:r>
      <w:r>
        <w:rPr>
          <w:rFonts w:asciiTheme="minorHAnsi" w:hAnsiTheme="minorHAnsi" w:cstheme="minorHAnsi"/>
          <w:sz w:val="22"/>
          <w:szCs w:val="22"/>
        </w:rPr>
        <w:t xml:space="preserve"> </w:t>
      </w:r>
      <w:r w:rsidRPr="00AC7302">
        <w:rPr>
          <w:rFonts w:asciiTheme="minorHAnsi" w:hAnsiTheme="minorHAnsi" w:cstheme="minorHAnsi"/>
          <w:sz w:val="22"/>
          <w:szCs w:val="22"/>
        </w:rPr>
        <w:t>the work reported in this paper.</w:t>
      </w:r>
    </w:p>
    <w:p w14:paraId="2C797857" w14:textId="77777777" w:rsidR="00AC7302" w:rsidRDefault="00AC7302" w:rsidP="003C5DB2">
      <w:pPr>
        <w:pStyle w:val="Corpsdetexte"/>
        <w:spacing w:before="23"/>
        <w:ind w:left="0"/>
        <w:rPr>
          <w:rFonts w:asciiTheme="minorHAnsi" w:hAnsiTheme="minorHAnsi" w:cstheme="minorHAnsi"/>
          <w:sz w:val="22"/>
          <w:szCs w:val="22"/>
        </w:rPr>
      </w:pPr>
    </w:p>
    <w:p w14:paraId="1FBFF132" w14:textId="77777777" w:rsidR="00225E1D" w:rsidRPr="00A91B58" w:rsidRDefault="00225E1D" w:rsidP="00225E1D">
      <w:pPr>
        <w:pStyle w:val="Titre1"/>
        <w:jc w:val="both"/>
      </w:pPr>
      <w:r w:rsidRPr="00A91B58">
        <w:t>Data availability</w:t>
      </w:r>
    </w:p>
    <w:p w14:paraId="770FCBA2" w14:textId="77777777" w:rsidR="00225E1D" w:rsidRDefault="00225E1D" w:rsidP="003C5DB2">
      <w:pPr>
        <w:pStyle w:val="Corpsdetexte"/>
        <w:spacing w:before="23"/>
        <w:ind w:left="0"/>
        <w:rPr>
          <w:rFonts w:asciiTheme="minorHAnsi" w:hAnsiTheme="minorHAnsi" w:cstheme="minorHAnsi"/>
          <w:sz w:val="22"/>
          <w:szCs w:val="22"/>
        </w:rPr>
      </w:pPr>
    </w:p>
    <w:p w14:paraId="65D7C36A" w14:textId="57CE5A29" w:rsidR="00225E1D" w:rsidRDefault="00225E1D" w:rsidP="00225E1D">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225E1D">
        <w:rPr>
          <w:rFonts w:asciiTheme="minorHAnsi" w:hAnsiTheme="minorHAnsi" w:cstheme="minorHAnsi"/>
          <w:sz w:val="22"/>
          <w:szCs w:val="22"/>
        </w:rPr>
        <w:t>Data will be made available on request.</w:t>
      </w:r>
    </w:p>
    <w:p w14:paraId="15F98069" w14:textId="77777777" w:rsidR="00225E1D" w:rsidRPr="00763248" w:rsidRDefault="00225E1D" w:rsidP="003C5DB2">
      <w:pPr>
        <w:pStyle w:val="Corpsdetexte"/>
        <w:spacing w:before="23"/>
        <w:ind w:left="0"/>
        <w:rPr>
          <w:rFonts w:asciiTheme="minorHAnsi" w:hAnsiTheme="minorHAnsi" w:cstheme="minorHAnsi"/>
          <w:sz w:val="22"/>
          <w:szCs w:val="22"/>
        </w:rPr>
      </w:pPr>
    </w:p>
    <w:p w14:paraId="0A031F8C" w14:textId="77777777" w:rsidR="000F4F69" w:rsidRPr="00A91B58" w:rsidRDefault="000F4F69" w:rsidP="003C5DB2">
      <w:pPr>
        <w:pStyle w:val="Titre1"/>
        <w:jc w:val="both"/>
      </w:pPr>
      <w:bookmarkStart w:id="6" w:name="Acknowledgments"/>
      <w:bookmarkEnd w:id="6"/>
      <w:r w:rsidRPr="00A91B58">
        <w:t>Acknowledgments</w:t>
      </w:r>
    </w:p>
    <w:p w14:paraId="34DE03B2" w14:textId="77777777" w:rsidR="000F4F69" w:rsidRDefault="000F4F69" w:rsidP="003C5DB2">
      <w:pPr>
        <w:pStyle w:val="Corpsdetexte"/>
        <w:spacing w:before="27"/>
        <w:ind w:left="0"/>
        <w:rPr>
          <w:rFonts w:asciiTheme="minorHAnsi" w:hAnsiTheme="minorHAnsi" w:cstheme="minorHAnsi"/>
          <w:sz w:val="22"/>
          <w:szCs w:val="22"/>
        </w:rPr>
      </w:pPr>
    </w:p>
    <w:p w14:paraId="315F77CC" w14:textId="764CAC2A" w:rsidR="00225E1D" w:rsidRDefault="00225E1D" w:rsidP="003C5DB2">
      <w:pPr>
        <w:pStyle w:val="Corpsdetexte"/>
        <w:spacing w:before="27"/>
        <w:ind w:left="0"/>
        <w:rPr>
          <w:rFonts w:asciiTheme="minorHAnsi" w:hAnsiTheme="minorHAnsi" w:cstheme="minorHAnsi"/>
          <w:sz w:val="22"/>
          <w:szCs w:val="22"/>
        </w:rPr>
      </w:pPr>
      <w:r>
        <w:rPr>
          <w:rFonts w:asciiTheme="minorHAnsi" w:hAnsiTheme="minorHAnsi" w:cstheme="minorHAnsi"/>
          <w:sz w:val="22"/>
          <w:szCs w:val="22"/>
        </w:rPr>
        <w:tab/>
      </w:r>
      <w:r w:rsidRPr="00225E1D">
        <w:rPr>
          <w:rFonts w:asciiTheme="minorHAnsi" w:hAnsiTheme="minorHAnsi" w:cstheme="minorHAnsi"/>
          <w:sz w:val="22"/>
          <w:szCs w:val="22"/>
        </w:rPr>
        <w:t xml:space="preserve">The authors thank </w:t>
      </w:r>
      <w:proofErr w:type="spellStart"/>
      <w:r w:rsidRPr="00225E1D">
        <w:rPr>
          <w:rFonts w:asciiTheme="minorHAnsi" w:hAnsiTheme="minorHAnsi" w:cstheme="minorHAnsi"/>
          <w:sz w:val="22"/>
          <w:szCs w:val="22"/>
        </w:rPr>
        <w:t>Supelco</w:t>
      </w:r>
      <w:proofErr w:type="spellEnd"/>
      <w:r w:rsidRPr="00225E1D">
        <w:rPr>
          <w:rFonts w:asciiTheme="minorHAnsi" w:hAnsiTheme="minorHAnsi" w:cstheme="minorHAnsi"/>
          <w:sz w:val="22"/>
          <w:szCs w:val="22"/>
        </w:rPr>
        <w:t xml:space="preserve"> (</w:t>
      </w:r>
      <w:proofErr w:type="spellStart"/>
      <w:r w:rsidRPr="00225E1D">
        <w:rPr>
          <w:rFonts w:asciiTheme="minorHAnsi" w:hAnsiTheme="minorHAnsi" w:cstheme="minorHAnsi"/>
          <w:sz w:val="22"/>
          <w:szCs w:val="22"/>
        </w:rPr>
        <w:t>MilliporeSigma</w:t>
      </w:r>
      <w:proofErr w:type="spellEnd"/>
      <w:r w:rsidRPr="00225E1D">
        <w:rPr>
          <w:rFonts w:asciiTheme="minorHAnsi" w:hAnsiTheme="minorHAnsi" w:cstheme="minorHAnsi"/>
          <w:sz w:val="22"/>
          <w:szCs w:val="22"/>
        </w:rPr>
        <w:t xml:space="preserve">) for providing the SPME fibers, Shimadzu, Markes International, and </w:t>
      </w:r>
      <w:proofErr w:type="spellStart"/>
      <w:r w:rsidRPr="00225E1D">
        <w:rPr>
          <w:rFonts w:asciiTheme="minorHAnsi" w:hAnsiTheme="minorHAnsi" w:cstheme="minorHAnsi"/>
          <w:sz w:val="22"/>
          <w:szCs w:val="22"/>
        </w:rPr>
        <w:t>SepSolve</w:t>
      </w:r>
      <w:proofErr w:type="spellEnd"/>
      <w:r w:rsidRPr="00225E1D">
        <w:rPr>
          <w:rFonts w:asciiTheme="minorHAnsi" w:hAnsiTheme="minorHAnsi" w:cstheme="minorHAnsi"/>
          <w:sz w:val="22"/>
          <w:szCs w:val="22"/>
        </w:rPr>
        <w:t xml:space="preserve"> for their support. This article is based upon work from the Sample Preparation Study Group and Network, supported by the Division of Analytical Chemistry of the European Chemical Society.</w:t>
      </w:r>
    </w:p>
    <w:p w14:paraId="7488BFDC" w14:textId="77777777" w:rsidR="00225E1D" w:rsidRPr="00763248" w:rsidRDefault="00225E1D" w:rsidP="003C5DB2">
      <w:pPr>
        <w:pStyle w:val="Corpsdetexte"/>
        <w:spacing w:before="27"/>
        <w:ind w:left="0"/>
        <w:rPr>
          <w:rFonts w:asciiTheme="minorHAnsi" w:hAnsiTheme="minorHAnsi" w:cstheme="minorHAnsi"/>
          <w:sz w:val="22"/>
          <w:szCs w:val="22"/>
        </w:rPr>
      </w:pPr>
    </w:p>
    <w:p w14:paraId="4440823B" w14:textId="7EB259F6" w:rsidR="000F4F69" w:rsidRPr="00A91B58" w:rsidRDefault="0063185C" w:rsidP="003C5DB2">
      <w:pPr>
        <w:pStyle w:val="Titre1"/>
        <w:jc w:val="both"/>
      </w:pPr>
      <w:bookmarkStart w:id="7" w:name="Supplementary_materials"/>
      <w:bookmarkEnd w:id="7"/>
      <w:r>
        <w:t xml:space="preserve">Appendix A. </w:t>
      </w:r>
      <w:r w:rsidR="000F4F69" w:rsidRPr="00A91B58">
        <w:t>Supplementary materials</w:t>
      </w:r>
    </w:p>
    <w:p w14:paraId="79D0DE9B" w14:textId="77777777" w:rsidR="000F4F69" w:rsidRDefault="000F4F69" w:rsidP="003C5DB2">
      <w:pPr>
        <w:pStyle w:val="Corpsdetexte"/>
        <w:spacing w:before="24"/>
        <w:ind w:left="0"/>
        <w:rPr>
          <w:rFonts w:asciiTheme="minorHAnsi" w:hAnsiTheme="minorHAnsi" w:cstheme="minorHAnsi"/>
          <w:sz w:val="22"/>
          <w:szCs w:val="22"/>
        </w:rPr>
      </w:pPr>
    </w:p>
    <w:p w14:paraId="739E903B" w14:textId="21EB9B93" w:rsidR="0063185C" w:rsidRPr="0063185C" w:rsidRDefault="0063185C" w:rsidP="003C5DB2">
      <w:pPr>
        <w:pStyle w:val="Corpsdetexte"/>
        <w:spacing w:before="24"/>
        <w:ind w:left="0"/>
        <w:rPr>
          <w:rFonts w:asciiTheme="minorHAnsi" w:hAnsiTheme="minorHAnsi" w:cstheme="minorHAnsi"/>
          <w:color w:val="4BACC6" w:themeColor="accent5"/>
          <w:sz w:val="22"/>
          <w:szCs w:val="22"/>
        </w:rPr>
      </w:pPr>
      <w:r>
        <w:rPr>
          <w:rFonts w:asciiTheme="minorHAnsi" w:hAnsiTheme="minorHAnsi" w:cstheme="minorHAnsi"/>
          <w:sz w:val="22"/>
          <w:szCs w:val="22"/>
        </w:rPr>
        <w:tab/>
      </w:r>
      <w:r w:rsidRPr="0063185C">
        <w:rPr>
          <w:rFonts w:asciiTheme="minorHAnsi" w:hAnsiTheme="minorHAnsi" w:cstheme="minorHAnsi"/>
          <w:sz w:val="22"/>
          <w:szCs w:val="22"/>
        </w:rPr>
        <w:t xml:space="preserve">Supplementary data to this article can be found online at </w:t>
      </w:r>
      <w:r w:rsidRPr="0063185C">
        <w:rPr>
          <w:rFonts w:asciiTheme="minorHAnsi" w:hAnsiTheme="minorHAnsi" w:cstheme="minorHAnsi"/>
          <w:color w:val="4BACC6" w:themeColor="accent5"/>
          <w:sz w:val="22"/>
          <w:szCs w:val="22"/>
        </w:rPr>
        <w:t>https://doi. org/10.1016/j.foodchem.202</w:t>
      </w:r>
      <w:r w:rsidRPr="0063185C">
        <w:rPr>
          <w:rFonts w:asciiTheme="minorHAnsi" w:hAnsiTheme="minorHAnsi" w:cstheme="minorHAnsi"/>
          <w:color w:val="4BACC6" w:themeColor="accent5"/>
          <w:sz w:val="22"/>
          <w:szCs w:val="22"/>
        </w:rPr>
        <w:t xml:space="preserve">4 </w:t>
      </w:r>
    </w:p>
    <w:p w14:paraId="534E0D63" w14:textId="77777777" w:rsidR="000F4F69" w:rsidRPr="00763248" w:rsidRDefault="000F4F69" w:rsidP="003C5DB2">
      <w:pPr>
        <w:pStyle w:val="Corpsdetexte"/>
        <w:spacing w:before="50"/>
        <w:ind w:left="0"/>
        <w:rPr>
          <w:rFonts w:asciiTheme="minorHAnsi" w:hAnsiTheme="minorHAnsi" w:cstheme="minorHAnsi"/>
          <w:sz w:val="22"/>
          <w:szCs w:val="22"/>
        </w:rPr>
      </w:pPr>
    </w:p>
    <w:p w14:paraId="53DA68F1" w14:textId="77777777" w:rsidR="000F4F69" w:rsidRDefault="000F4F69" w:rsidP="003C5DB2">
      <w:pPr>
        <w:pStyle w:val="Titre1"/>
        <w:jc w:val="both"/>
      </w:pPr>
      <w:bookmarkStart w:id="8" w:name="References"/>
      <w:bookmarkEnd w:id="8"/>
      <w:r w:rsidRPr="00A91B58">
        <w:t>Reference</w:t>
      </w:r>
      <w:r>
        <w:t>s</w:t>
      </w:r>
    </w:p>
    <w:p w14:paraId="2F8B190D" w14:textId="77777777" w:rsidR="00A464AB" w:rsidRDefault="00A464AB" w:rsidP="00A464AB"/>
    <w:p w14:paraId="03579D8D" w14:textId="77777777" w:rsidR="00765FF3" w:rsidRDefault="00A464AB" w:rsidP="00A464AB">
      <w:pPr>
        <w:jc w:val="both"/>
      </w:pPr>
      <w:proofErr w:type="spellStart"/>
      <w:r w:rsidRPr="00A464AB">
        <w:t>Angerosa</w:t>
      </w:r>
      <w:proofErr w:type="spellEnd"/>
      <w:r w:rsidRPr="00A464AB">
        <w:t xml:space="preserve">, F., </w:t>
      </w:r>
      <w:proofErr w:type="spellStart"/>
      <w:r w:rsidRPr="00A464AB">
        <w:t>Mostallino</w:t>
      </w:r>
      <w:proofErr w:type="spellEnd"/>
      <w:r w:rsidRPr="00A464AB">
        <w:t xml:space="preserve">, R., Basti, C., &amp; Vito, R. (2000). Virgin olive oil </w:t>
      </w:r>
      <w:proofErr w:type="spellStart"/>
      <w:r w:rsidRPr="00A464AB">
        <w:t>odour</w:t>
      </w:r>
      <w:proofErr w:type="spellEnd"/>
      <w:r w:rsidRPr="00A464AB">
        <w:t xml:space="preserve"> notes: Their relationships with volatile compounds from the lipoxygenase pathway and </w:t>
      </w:r>
      <w:proofErr w:type="spellStart"/>
      <w:r w:rsidRPr="00A464AB">
        <w:t>secoiridoid</w:t>
      </w:r>
      <w:proofErr w:type="spellEnd"/>
      <w:r w:rsidRPr="00A464AB">
        <w:t xml:space="preserve"> compounds. Food Chemistry, 68(3), 283–287. https://doi.org/10.1016/ S0308-8146(99)00189-2 </w:t>
      </w:r>
    </w:p>
    <w:p w14:paraId="6B4CC857" w14:textId="77777777" w:rsidR="00765FF3" w:rsidRDefault="00765FF3" w:rsidP="00A464AB">
      <w:pPr>
        <w:jc w:val="both"/>
      </w:pPr>
    </w:p>
    <w:p w14:paraId="72D4DE66" w14:textId="12A3C057" w:rsidR="00765FF3" w:rsidRDefault="00A464AB" w:rsidP="00A464AB">
      <w:pPr>
        <w:jc w:val="both"/>
      </w:pPr>
      <w:r w:rsidRPr="00A464AB">
        <w:t>Aparicio-Ruiz, R., García-Gonz</w:t>
      </w:r>
      <w:r w:rsidR="00146F57">
        <w:rPr>
          <w:rFonts w:ascii="Avenir Next LT Pro" w:hAnsi="Avenir Next LT Pro"/>
        </w:rPr>
        <w:t>á</w:t>
      </w:r>
      <w:r w:rsidRPr="00A464AB">
        <w:t>lez,</w:t>
      </w:r>
      <w:r w:rsidR="00146F57">
        <w:t xml:space="preserve"> </w:t>
      </w:r>
      <w:r w:rsidRPr="00A464AB">
        <w:t xml:space="preserve">D. L., Morales, M. T., Lobo-Prieto, A., &amp; Romero, I. (2018). Comparison of two analytical methods validated for the determination of volatile compounds in virgin olive oil: GC-FID vs GC-MS. </w:t>
      </w:r>
      <w:proofErr w:type="spellStart"/>
      <w:r w:rsidRPr="00A464AB">
        <w:t>Talanta</w:t>
      </w:r>
      <w:proofErr w:type="spellEnd"/>
      <w:r w:rsidRPr="00A464AB">
        <w:t xml:space="preserve">, 187(May), 133–141. </w:t>
      </w:r>
      <w:hyperlink r:id="rId15" w:history="1">
        <w:r w:rsidR="00765FF3" w:rsidRPr="00EC5E76">
          <w:rPr>
            <w:rStyle w:val="Lienhypertexte"/>
          </w:rPr>
          <w:t>https://doi.org/10.1016/j.talanta.2018.05.008</w:t>
        </w:r>
      </w:hyperlink>
      <w:r w:rsidRPr="00A464AB">
        <w:t xml:space="preserve"> </w:t>
      </w:r>
    </w:p>
    <w:p w14:paraId="060D01A7" w14:textId="77777777" w:rsidR="00765FF3" w:rsidRDefault="00765FF3" w:rsidP="00A464AB">
      <w:pPr>
        <w:jc w:val="both"/>
      </w:pPr>
    </w:p>
    <w:p w14:paraId="2AEB3164" w14:textId="77777777" w:rsidR="00765FF3" w:rsidRDefault="00A464AB" w:rsidP="00A464AB">
      <w:pPr>
        <w:jc w:val="both"/>
      </w:pPr>
      <w:r w:rsidRPr="00A464AB">
        <w:t xml:space="preserve">Arthur, C. L., &amp; </w:t>
      </w:r>
      <w:proofErr w:type="spellStart"/>
      <w:r w:rsidRPr="00A464AB">
        <w:t>Pawliszyn</w:t>
      </w:r>
      <w:proofErr w:type="spellEnd"/>
      <w:r w:rsidRPr="00A464AB">
        <w:t xml:space="preserve">, J. (1990). Solid phase microextraction with thermal desorption using fused silica optical fibers. Anal. Chem., 62(19), 2145–2148. https:// doi.org/10.1021/ac00218a019 </w:t>
      </w:r>
    </w:p>
    <w:p w14:paraId="775AE1DD" w14:textId="77777777" w:rsidR="00765FF3" w:rsidRDefault="00765FF3" w:rsidP="00A464AB">
      <w:pPr>
        <w:jc w:val="both"/>
      </w:pPr>
    </w:p>
    <w:p w14:paraId="7FFD2577" w14:textId="51052FDA" w:rsidR="00765FF3" w:rsidRDefault="00A464AB" w:rsidP="00A464AB">
      <w:pPr>
        <w:jc w:val="both"/>
      </w:pPr>
      <w:r w:rsidRPr="00A464AB">
        <w:t>Badawy, M. E. I., El-</w:t>
      </w:r>
      <w:proofErr w:type="spellStart"/>
      <w:r w:rsidRPr="00A464AB">
        <w:t>Nouby</w:t>
      </w:r>
      <w:proofErr w:type="spellEnd"/>
      <w:r w:rsidRPr="00A464AB">
        <w:t xml:space="preserve">, M. A. M., Kimani, P. K., Lim, L. W., &amp; Rabea, E. I. (2022). A review of the modern principles and applications of solid-phase extraction techniques in chromatographic analysis. Analytical Sciences (Vol. 38). Springer Nature Singapore. </w:t>
      </w:r>
      <w:hyperlink r:id="rId16" w:history="1">
        <w:r w:rsidR="00765FF3" w:rsidRPr="00EC5E76">
          <w:rPr>
            <w:rStyle w:val="Lienhypertexte"/>
          </w:rPr>
          <w:t>https://doi.org/10.1007/s44211-022-00190-8</w:t>
        </w:r>
      </w:hyperlink>
      <w:r w:rsidRPr="00A464AB">
        <w:t xml:space="preserve">. </w:t>
      </w:r>
    </w:p>
    <w:p w14:paraId="17A054BB" w14:textId="77777777" w:rsidR="00765FF3" w:rsidRDefault="00765FF3" w:rsidP="00A464AB">
      <w:pPr>
        <w:jc w:val="both"/>
      </w:pPr>
    </w:p>
    <w:p w14:paraId="1A1E8403" w14:textId="77777777" w:rsidR="00765FF3" w:rsidRDefault="00A464AB" w:rsidP="00A464AB">
      <w:pPr>
        <w:jc w:val="both"/>
      </w:pPr>
      <w:r w:rsidRPr="00A464AB">
        <w:t xml:space="preserve">Barbieri, S., </w:t>
      </w:r>
      <w:proofErr w:type="spellStart"/>
      <w:r w:rsidRPr="00A464AB">
        <w:t>Cevoli</w:t>
      </w:r>
      <w:proofErr w:type="spellEnd"/>
      <w:r w:rsidRPr="00A464AB">
        <w:t xml:space="preserve">, C., Bendini, A., Quintanilla-Casas, B., Garcia-Gonzalez, D. L., &amp; Gallina Toschi, T. </w:t>
      </w:r>
      <w:r w:rsidRPr="00A464AB">
        <w:lastRenderedPageBreak/>
        <w:t xml:space="preserve">(2020). Flash gas chromatography in tandem with chemometrics: A rapid screening tool for quality grades of virgin olive oils. Foods, 9(7), 862. https:// doi.org/10.3390/foods9070862 </w:t>
      </w:r>
    </w:p>
    <w:p w14:paraId="67A681F7" w14:textId="77777777" w:rsidR="00765FF3" w:rsidRDefault="00765FF3" w:rsidP="00A464AB">
      <w:pPr>
        <w:jc w:val="both"/>
      </w:pPr>
    </w:p>
    <w:p w14:paraId="76C042C0" w14:textId="18B1E60F" w:rsidR="00765FF3" w:rsidRDefault="00A464AB" w:rsidP="00A464AB">
      <w:pPr>
        <w:jc w:val="both"/>
      </w:pPr>
      <w:proofErr w:type="spellStart"/>
      <w:r w:rsidRPr="00765FF3">
        <w:rPr>
          <w:lang w:val="fr-BE"/>
        </w:rPr>
        <w:t>Brunton</w:t>
      </w:r>
      <w:proofErr w:type="spellEnd"/>
      <w:r w:rsidRPr="00765FF3">
        <w:rPr>
          <w:lang w:val="fr-BE"/>
        </w:rPr>
        <w:t xml:space="preserve">, N. P., Cronin, D. A., &amp; Monahan, F. J. (2001). </w:t>
      </w:r>
      <w:r w:rsidRPr="00A464AB">
        <w:t xml:space="preserve">The effects of temperature and pressure on the performance of </w:t>
      </w:r>
      <w:proofErr w:type="spellStart"/>
      <w:r w:rsidRPr="00A464AB">
        <w:t>Carboxen</w:t>
      </w:r>
      <w:proofErr w:type="spellEnd"/>
      <w:r w:rsidRPr="00A464AB">
        <w:t xml:space="preserve">/PDMS </w:t>
      </w:r>
      <w:proofErr w:type="spellStart"/>
      <w:r w:rsidRPr="00A464AB">
        <w:t>fibres</w:t>
      </w:r>
      <w:proofErr w:type="spellEnd"/>
      <w:r w:rsidRPr="00A464AB">
        <w:t xml:space="preserve"> during solid phase microextraction (SPME) of headspace volatiles from cooked and raw Turkey breast. </w:t>
      </w:r>
      <w:proofErr w:type="spellStart"/>
      <w:r w:rsidRPr="00A464AB">
        <w:t>Flavour</w:t>
      </w:r>
      <w:proofErr w:type="spellEnd"/>
      <w:r w:rsidRPr="00A464AB">
        <w:t xml:space="preserve"> and Fragrance Journal, 16(4), 294–302. </w:t>
      </w:r>
      <w:hyperlink r:id="rId17" w:history="1">
        <w:r w:rsidR="00765FF3" w:rsidRPr="00EC5E76">
          <w:rPr>
            <w:rStyle w:val="Lienhypertexte"/>
          </w:rPr>
          <w:t>https://doi.org/10.1002/ffj.1000</w:t>
        </w:r>
      </w:hyperlink>
      <w:r w:rsidRPr="00A464AB">
        <w:t xml:space="preserve"> </w:t>
      </w:r>
    </w:p>
    <w:p w14:paraId="1C53D995" w14:textId="77777777" w:rsidR="00765FF3" w:rsidRDefault="00765FF3" w:rsidP="00A464AB">
      <w:pPr>
        <w:jc w:val="both"/>
      </w:pPr>
    </w:p>
    <w:p w14:paraId="3A55E56A" w14:textId="4962167D" w:rsidR="00765FF3" w:rsidRDefault="00A464AB" w:rsidP="00A464AB">
      <w:pPr>
        <w:jc w:val="both"/>
      </w:pPr>
      <w:r w:rsidRPr="00A464AB">
        <w:t>Casadei, E., Valli, E., Aparicio-Ruiz, R., Ortiz-Romero, C., García-Gonz</w:t>
      </w:r>
      <w:r w:rsidR="00146F57">
        <w:rPr>
          <w:rFonts w:ascii="Avenir Next LT Pro" w:hAnsi="Avenir Next LT Pro"/>
        </w:rPr>
        <w:t>á</w:t>
      </w:r>
      <w:r w:rsidRPr="00146F57">
        <w:t xml:space="preserve">lez, D. L., Vichi, S., &amp; Toschi, T. G. (2021). </w:t>
      </w:r>
      <w:r w:rsidRPr="00A464AB">
        <w:t xml:space="preserve">Peer inter-laboratory validation study of a harmonized SPME-GC-FID method for the analysis of selected volatile compounds in virgin olive oils. Food Control, 123. </w:t>
      </w:r>
      <w:hyperlink r:id="rId18" w:history="1">
        <w:r w:rsidR="00765FF3" w:rsidRPr="00EC5E76">
          <w:rPr>
            <w:rStyle w:val="Lienhypertexte"/>
          </w:rPr>
          <w:t>https://doi.org/10.1016/j. foodcont.2020.107823</w:t>
        </w:r>
      </w:hyperlink>
      <w:r w:rsidRPr="00A464AB">
        <w:t xml:space="preserve"> </w:t>
      </w:r>
    </w:p>
    <w:p w14:paraId="6FE475E6" w14:textId="77777777" w:rsidR="00765FF3" w:rsidRDefault="00765FF3" w:rsidP="00A464AB">
      <w:pPr>
        <w:jc w:val="both"/>
      </w:pPr>
    </w:p>
    <w:p w14:paraId="1B27FC84" w14:textId="0CF46A74" w:rsidR="00765FF3" w:rsidRPr="00765FF3" w:rsidRDefault="00A464AB" w:rsidP="00A464AB">
      <w:pPr>
        <w:jc w:val="both"/>
        <w:rPr>
          <w:lang w:val="fr-BE"/>
        </w:rPr>
      </w:pPr>
      <w:r w:rsidRPr="00A464AB">
        <w:t xml:space="preserve">Cecchi, L., Migliorini, M., Giambanelli, E., Rossetti, A., Cane, A., Melani, F., &amp; </w:t>
      </w:r>
      <w:proofErr w:type="spellStart"/>
      <w:r w:rsidRPr="00A464AB">
        <w:t>Mulinacci</w:t>
      </w:r>
      <w:proofErr w:type="spellEnd"/>
      <w:r w:rsidRPr="00A464AB">
        <w:t xml:space="preserve">, N. (2019). Headspace solid-phase microextraction-gas </w:t>
      </w:r>
      <w:proofErr w:type="spellStart"/>
      <w:r w:rsidRPr="00A464AB">
        <w:t>chromatographymass</w:t>
      </w:r>
      <w:proofErr w:type="spellEnd"/>
      <w:r w:rsidRPr="00A464AB">
        <w:t xml:space="preserve"> spectrometry quantification of the volatile profile of more than 1200 virgin olive oils for supporting the panel test in their classification: Comparison of different chemometric approaches. Journal of Agricultural and Food Chemistry, 67(32), 9112–9120. </w:t>
      </w:r>
      <w:hyperlink r:id="rId19" w:history="1">
        <w:r w:rsidR="00765FF3" w:rsidRPr="00765FF3">
          <w:rPr>
            <w:rStyle w:val="Lienhypertexte"/>
            <w:lang w:val="fr-BE"/>
          </w:rPr>
          <w:t>https://doi.org/10.1021/acs.jafc.9b03346</w:t>
        </w:r>
      </w:hyperlink>
      <w:r w:rsidRPr="00765FF3">
        <w:rPr>
          <w:lang w:val="fr-BE"/>
        </w:rPr>
        <w:t xml:space="preserve"> </w:t>
      </w:r>
    </w:p>
    <w:p w14:paraId="4C60341D" w14:textId="77777777" w:rsidR="00765FF3" w:rsidRDefault="00765FF3" w:rsidP="00A464AB">
      <w:pPr>
        <w:jc w:val="both"/>
        <w:rPr>
          <w:lang w:val="fr-BE"/>
        </w:rPr>
      </w:pPr>
    </w:p>
    <w:p w14:paraId="4637C39E" w14:textId="0A5B68EC" w:rsidR="00765FF3" w:rsidRDefault="00A464AB" w:rsidP="00A464AB">
      <w:pPr>
        <w:jc w:val="both"/>
      </w:pPr>
      <w:proofErr w:type="spellStart"/>
      <w:r w:rsidRPr="00765FF3">
        <w:rPr>
          <w:lang w:val="fr-BE"/>
        </w:rPr>
        <w:t>Fortini</w:t>
      </w:r>
      <w:proofErr w:type="spellEnd"/>
      <w:r w:rsidRPr="00765FF3">
        <w:rPr>
          <w:lang w:val="fr-BE"/>
        </w:rPr>
        <w:t xml:space="preserve">, M., </w:t>
      </w:r>
      <w:proofErr w:type="spellStart"/>
      <w:r w:rsidRPr="00765FF3">
        <w:rPr>
          <w:lang w:val="fr-BE"/>
        </w:rPr>
        <w:t>Migliorini</w:t>
      </w:r>
      <w:proofErr w:type="spellEnd"/>
      <w:r w:rsidRPr="00765FF3">
        <w:rPr>
          <w:lang w:val="fr-BE"/>
        </w:rPr>
        <w:t xml:space="preserve">, M., Cherubini, C., Cecchi, L., &amp; </w:t>
      </w:r>
      <w:proofErr w:type="spellStart"/>
      <w:r w:rsidRPr="00765FF3">
        <w:rPr>
          <w:lang w:val="fr-BE"/>
        </w:rPr>
        <w:t>Calamai</w:t>
      </w:r>
      <w:proofErr w:type="spellEnd"/>
      <w:r w:rsidRPr="00765FF3">
        <w:rPr>
          <w:lang w:val="fr-BE"/>
        </w:rPr>
        <w:t xml:space="preserve">, L. (2017). </w:t>
      </w:r>
      <w:r w:rsidRPr="00A464AB">
        <w:t xml:space="preserve">Multiple internal standard normalization for improving HS-SPME-GC-MS </w:t>
      </w:r>
      <w:proofErr w:type="gramStart"/>
      <w:r w:rsidRPr="00A464AB">
        <w:t>quantitation</w:t>
      </w:r>
      <w:proofErr w:type="gramEnd"/>
      <w:r w:rsidRPr="00A464AB">
        <w:t xml:space="preserve"> in virgin olive oil volatile organic compounds (VOO-VOCs) profile. </w:t>
      </w:r>
      <w:proofErr w:type="spellStart"/>
      <w:r w:rsidRPr="00A464AB">
        <w:t>Talanta</w:t>
      </w:r>
      <w:proofErr w:type="spellEnd"/>
      <w:r w:rsidRPr="00A464AB">
        <w:t xml:space="preserve">, 165 (December 2016), 641–652. </w:t>
      </w:r>
      <w:hyperlink r:id="rId20" w:history="1">
        <w:r w:rsidR="00765FF3" w:rsidRPr="00EC5E76">
          <w:rPr>
            <w:rStyle w:val="Lienhypertexte"/>
          </w:rPr>
          <w:t>https://doi.org/10.1016/j.talanta.2016.12.082</w:t>
        </w:r>
      </w:hyperlink>
      <w:r w:rsidRPr="00A464AB">
        <w:t xml:space="preserve"> </w:t>
      </w:r>
    </w:p>
    <w:p w14:paraId="7B1466F6" w14:textId="77777777" w:rsidR="00765FF3" w:rsidRDefault="00765FF3" w:rsidP="00A464AB">
      <w:pPr>
        <w:jc w:val="both"/>
      </w:pPr>
    </w:p>
    <w:p w14:paraId="2FF2AB44" w14:textId="30EDEBB9" w:rsidR="00765FF3" w:rsidRDefault="00A464AB" w:rsidP="00A464AB">
      <w:pPr>
        <w:jc w:val="both"/>
      </w:pPr>
      <w:proofErr w:type="spellStart"/>
      <w:r w:rsidRPr="00A464AB">
        <w:t>Gałuszka</w:t>
      </w:r>
      <w:proofErr w:type="spellEnd"/>
      <w:r w:rsidRPr="00A464AB">
        <w:t xml:space="preserve">, A., </w:t>
      </w:r>
      <w:proofErr w:type="spellStart"/>
      <w:r w:rsidRPr="00A464AB">
        <w:t>Migaszewski</w:t>
      </w:r>
      <w:proofErr w:type="spellEnd"/>
      <w:r w:rsidRPr="00A464AB">
        <w:t xml:space="preserve">, Z., &amp; </w:t>
      </w:r>
      <w:proofErr w:type="spellStart"/>
      <w:r w:rsidRPr="00A464AB">
        <w:t>Namie</w:t>
      </w:r>
      <w:r w:rsidR="00146F57">
        <w:rPr>
          <w:rFonts w:cstheme="minorHAnsi"/>
        </w:rPr>
        <w:t>ś</w:t>
      </w:r>
      <w:r w:rsidRPr="00A464AB">
        <w:t>nik</w:t>
      </w:r>
      <w:proofErr w:type="spellEnd"/>
      <w:r w:rsidRPr="00A464AB">
        <w:t xml:space="preserve">, J. (2013). The 12 principles of green analytical chemistry and the SIGNIFICANCE mnemonic of green analytical practices. </w:t>
      </w:r>
      <w:proofErr w:type="spellStart"/>
      <w:r w:rsidRPr="00A464AB">
        <w:t>TrAC</w:t>
      </w:r>
      <w:proofErr w:type="spellEnd"/>
      <w:r w:rsidRPr="00A464AB">
        <w:t xml:space="preserve"> - Trends in Analytical Chemistry, 50, 78–84. </w:t>
      </w:r>
      <w:hyperlink r:id="rId21" w:history="1">
        <w:r w:rsidR="00765FF3" w:rsidRPr="00EC5E76">
          <w:rPr>
            <w:rStyle w:val="Lienhypertexte"/>
          </w:rPr>
          <w:t>https://doi.org/10.1016/j. trac.2013.04.010</w:t>
        </w:r>
      </w:hyperlink>
      <w:r w:rsidRPr="00A464AB">
        <w:t xml:space="preserve"> </w:t>
      </w:r>
    </w:p>
    <w:p w14:paraId="7D4E4EA2" w14:textId="77777777" w:rsidR="00765FF3" w:rsidRDefault="00765FF3" w:rsidP="00A464AB">
      <w:pPr>
        <w:jc w:val="both"/>
      </w:pPr>
    </w:p>
    <w:p w14:paraId="5FC55340" w14:textId="77777777" w:rsidR="00A464AB" w:rsidRDefault="00A464AB" w:rsidP="00A464AB">
      <w:pPr>
        <w:jc w:val="both"/>
      </w:pPr>
      <w:r w:rsidRPr="00A464AB">
        <w:t>Genovese, A., Caporaso, N., &amp; Sacchi, R. (2021). Flavor chemistry of virgin olive oil: An overview. Applied Sciences (Switzerland), 11(4), 1–21. https://doi.org/10.3390/ app11041639</w:t>
      </w:r>
    </w:p>
    <w:p w14:paraId="76779E0D" w14:textId="77777777" w:rsidR="00765FF3" w:rsidRDefault="00765FF3" w:rsidP="00A464AB">
      <w:pPr>
        <w:jc w:val="both"/>
      </w:pPr>
    </w:p>
    <w:p w14:paraId="08AD26DC" w14:textId="206862BD"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G</w:t>
      </w:r>
      <w:r w:rsidR="00146F57" w:rsidRPr="00146F57">
        <w:rPr>
          <w:rFonts w:asciiTheme="minorHAnsi" w:hAnsiTheme="minorHAnsi" w:cstheme="minorHAnsi"/>
          <w:sz w:val="22"/>
          <w:szCs w:val="22"/>
        </w:rPr>
        <w:t>ó</w:t>
      </w:r>
      <w:r w:rsidRPr="00765FF3">
        <w:rPr>
          <w:rFonts w:asciiTheme="minorHAnsi" w:hAnsiTheme="minorHAnsi" w:cstheme="minorHAnsi"/>
          <w:sz w:val="22"/>
          <w:szCs w:val="22"/>
        </w:rPr>
        <w:t xml:space="preserve">recki, T., &amp; </w:t>
      </w:r>
      <w:proofErr w:type="spellStart"/>
      <w:r w:rsidRPr="00765FF3">
        <w:rPr>
          <w:rFonts w:asciiTheme="minorHAnsi" w:hAnsiTheme="minorHAnsi" w:cstheme="minorHAnsi"/>
          <w:sz w:val="22"/>
          <w:szCs w:val="22"/>
        </w:rPr>
        <w:t>Pawliszyn</w:t>
      </w:r>
      <w:proofErr w:type="spellEnd"/>
      <w:r w:rsidRPr="00765FF3">
        <w:rPr>
          <w:rFonts w:asciiTheme="minorHAnsi" w:hAnsiTheme="minorHAnsi" w:cstheme="minorHAnsi"/>
          <w:sz w:val="22"/>
          <w:szCs w:val="22"/>
        </w:rPr>
        <w:t xml:space="preserve">, J. (1997). Effect of sample volume on quantitative analysis by solid-phase </w:t>
      </w:r>
      <w:proofErr w:type="spellStart"/>
      <w:r w:rsidRPr="00765FF3">
        <w:rPr>
          <w:rFonts w:asciiTheme="minorHAnsi" w:hAnsiTheme="minorHAnsi" w:cstheme="minorHAnsi"/>
          <w:sz w:val="22"/>
          <w:szCs w:val="22"/>
        </w:rPr>
        <w:t>MicroextractionPart</w:t>
      </w:r>
      <w:proofErr w:type="spellEnd"/>
      <w:r w:rsidRPr="00765FF3">
        <w:rPr>
          <w:rFonts w:asciiTheme="minorHAnsi" w:hAnsiTheme="minorHAnsi" w:cstheme="minorHAnsi"/>
          <w:sz w:val="22"/>
          <w:szCs w:val="22"/>
        </w:rPr>
        <w:t xml:space="preserve"> 1. Theoretical considerations. The Analyst, 122(10), 1079–1086. </w:t>
      </w:r>
      <w:hyperlink r:id="rId22" w:history="1">
        <w:r w:rsidRPr="00EC5E76">
          <w:rPr>
            <w:rStyle w:val="Lienhypertexte"/>
            <w:rFonts w:asciiTheme="minorHAnsi" w:hAnsiTheme="minorHAnsi" w:cstheme="minorHAnsi"/>
            <w:sz w:val="22"/>
            <w:szCs w:val="22"/>
          </w:rPr>
          <w:t>https://doi.org/10.1039/a701303e</w:t>
        </w:r>
      </w:hyperlink>
      <w:r w:rsidRPr="00765FF3">
        <w:rPr>
          <w:rFonts w:asciiTheme="minorHAnsi" w:hAnsiTheme="minorHAnsi" w:cstheme="minorHAnsi"/>
          <w:sz w:val="22"/>
          <w:szCs w:val="22"/>
        </w:rPr>
        <w:t xml:space="preserve"> </w:t>
      </w:r>
    </w:p>
    <w:p w14:paraId="75B8787F" w14:textId="77777777" w:rsidR="002B1B69" w:rsidRDefault="002B1B69" w:rsidP="002B1B69">
      <w:pPr>
        <w:pStyle w:val="Corpsdetexte"/>
        <w:ind w:left="0"/>
        <w:rPr>
          <w:rFonts w:asciiTheme="minorHAnsi" w:hAnsiTheme="minorHAnsi" w:cstheme="minorHAnsi"/>
          <w:sz w:val="22"/>
          <w:szCs w:val="22"/>
        </w:rPr>
      </w:pPr>
    </w:p>
    <w:p w14:paraId="40F39147"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Greco, M., Spadafora, N., Shine, M., Smith, A., Muto, A., </w:t>
      </w:r>
      <w:proofErr w:type="spellStart"/>
      <w:r w:rsidRPr="00765FF3">
        <w:rPr>
          <w:rFonts w:asciiTheme="minorHAnsi" w:hAnsiTheme="minorHAnsi" w:cstheme="minorHAnsi"/>
          <w:sz w:val="22"/>
          <w:szCs w:val="22"/>
        </w:rPr>
        <w:t>Muzzalupo</w:t>
      </w:r>
      <w:proofErr w:type="spellEnd"/>
      <w:r w:rsidRPr="00765FF3">
        <w:rPr>
          <w:rFonts w:asciiTheme="minorHAnsi" w:hAnsiTheme="minorHAnsi" w:cstheme="minorHAnsi"/>
          <w:sz w:val="22"/>
          <w:szCs w:val="22"/>
        </w:rPr>
        <w:t xml:space="preserve">, I., &amp; Bitonti, M. B. (2022). Identifying volatile and non-volatile organic compounds to discriminate cultivar, growth location, and stage of ripening in olive fruits and oils. Journal of the Science of Food and Agriculture, 102(11), 4500–4513. https://doi.org/10.1002/ jsfa.11805 </w:t>
      </w:r>
    </w:p>
    <w:p w14:paraId="5B19356C" w14:textId="77777777" w:rsidR="002B1B69" w:rsidRDefault="002B1B69" w:rsidP="002B1B69">
      <w:pPr>
        <w:pStyle w:val="Corpsdetexte"/>
        <w:ind w:left="0"/>
        <w:rPr>
          <w:rFonts w:asciiTheme="minorHAnsi" w:hAnsiTheme="minorHAnsi" w:cstheme="minorHAnsi"/>
          <w:sz w:val="22"/>
          <w:szCs w:val="22"/>
        </w:rPr>
      </w:pPr>
    </w:p>
    <w:p w14:paraId="712347E6"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IOC. (2018). Sensory Analysis of Olive Oil - Method for the Organoleptic Assessment of Virgin Olive Oil. International Olive Council, (15). </w:t>
      </w:r>
    </w:p>
    <w:p w14:paraId="718A3052" w14:textId="77777777" w:rsidR="002B1B69" w:rsidRDefault="002B1B69" w:rsidP="002B1B69">
      <w:pPr>
        <w:pStyle w:val="Corpsdetexte"/>
        <w:ind w:left="0"/>
        <w:rPr>
          <w:rFonts w:asciiTheme="minorHAnsi" w:hAnsiTheme="minorHAnsi" w:cstheme="minorHAnsi"/>
          <w:sz w:val="22"/>
          <w:szCs w:val="22"/>
        </w:rPr>
      </w:pPr>
    </w:p>
    <w:p w14:paraId="5D6CBE09" w14:textId="77777777" w:rsidR="002B1B69" w:rsidRPr="002B1B69" w:rsidRDefault="002B1B69" w:rsidP="002B1B69">
      <w:pPr>
        <w:pStyle w:val="Corpsdetexte"/>
        <w:ind w:left="0"/>
        <w:rPr>
          <w:rFonts w:asciiTheme="minorHAnsi" w:hAnsiTheme="minorHAnsi" w:cstheme="minorHAnsi"/>
          <w:sz w:val="22"/>
          <w:szCs w:val="22"/>
          <w:lang w:val="en-GB"/>
        </w:rPr>
      </w:pPr>
      <w:proofErr w:type="spellStart"/>
      <w:r w:rsidRPr="00765FF3">
        <w:rPr>
          <w:rFonts w:asciiTheme="minorHAnsi" w:hAnsiTheme="minorHAnsi" w:cstheme="minorHAnsi"/>
          <w:sz w:val="22"/>
          <w:szCs w:val="22"/>
        </w:rPr>
        <w:t>Lancioni</w:t>
      </w:r>
      <w:proofErr w:type="spellEnd"/>
      <w:r w:rsidRPr="00765FF3">
        <w:rPr>
          <w:rFonts w:asciiTheme="minorHAnsi" w:hAnsiTheme="minorHAnsi" w:cstheme="minorHAnsi"/>
          <w:sz w:val="22"/>
          <w:szCs w:val="22"/>
        </w:rPr>
        <w:t xml:space="preserve">, C., Castells, C., Candal, R., &amp; Tascon, M. (2022). Headspace </w:t>
      </w:r>
      <w:proofErr w:type="gramStart"/>
      <w:r w:rsidRPr="00765FF3">
        <w:rPr>
          <w:rFonts w:asciiTheme="minorHAnsi" w:hAnsiTheme="minorHAnsi" w:cstheme="minorHAnsi"/>
          <w:sz w:val="22"/>
          <w:szCs w:val="22"/>
        </w:rPr>
        <w:t>solid-phase</w:t>
      </w:r>
      <w:proofErr w:type="gramEnd"/>
      <w:r w:rsidRPr="00765FF3">
        <w:rPr>
          <w:rFonts w:asciiTheme="minorHAnsi" w:hAnsiTheme="minorHAnsi" w:cstheme="minorHAnsi"/>
          <w:sz w:val="22"/>
          <w:szCs w:val="22"/>
        </w:rPr>
        <w:t xml:space="preserve"> microextraction: Fundamentals and recent advances. Advances in Sample Preparation, 3(July), Article 100035. </w:t>
      </w:r>
      <w:hyperlink r:id="rId23" w:history="1">
        <w:r w:rsidRPr="002B1B69">
          <w:rPr>
            <w:rStyle w:val="Lienhypertexte"/>
            <w:rFonts w:asciiTheme="minorHAnsi" w:hAnsiTheme="minorHAnsi" w:cstheme="minorHAnsi"/>
            <w:sz w:val="22"/>
            <w:szCs w:val="22"/>
            <w:lang w:val="en-GB"/>
          </w:rPr>
          <w:t>https://doi.org/10.1016/j.sampre.2022.100035</w:t>
        </w:r>
      </w:hyperlink>
      <w:r w:rsidRPr="002B1B69">
        <w:rPr>
          <w:rFonts w:asciiTheme="minorHAnsi" w:hAnsiTheme="minorHAnsi" w:cstheme="minorHAnsi"/>
          <w:sz w:val="22"/>
          <w:szCs w:val="22"/>
          <w:lang w:val="en-GB"/>
        </w:rPr>
        <w:t xml:space="preserve"> </w:t>
      </w:r>
    </w:p>
    <w:p w14:paraId="2FC3500A" w14:textId="77777777" w:rsidR="002B1B69" w:rsidRPr="002B1B69" w:rsidRDefault="002B1B69" w:rsidP="002B1B69">
      <w:pPr>
        <w:pStyle w:val="Corpsdetexte"/>
        <w:ind w:left="0"/>
        <w:rPr>
          <w:rFonts w:asciiTheme="minorHAnsi" w:hAnsiTheme="minorHAnsi" w:cstheme="minorHAnsi"/>
          <w:sz w:val="22"/>
          <w:szCs w:val="22"/>
          <w:lang w:val="en-GB"/>
        </w:rPr>
      </w:pPr>
    </w:p>
    <w:p w14:paraId="72E25144" w14:textId="77777777" w:rsidR="002B1B69" w:rsidRPr="00765FF3" w:rsidRDefault="002B1B69" w:rsidP="002B1B69">
      <w:pPr>
        <w:pStyle w:val="Corpsdetexte"/>
        <w:ind w:left="0"/>
        <w:rPr>
          <w:rFonts w:asciiTheme="minorHAnsi" w:hAnsiTheme="minorHAnsi" w:cstheme="minorHAnsi"/>
          <w:sz w:val="22"/>
          <w:szCs w:val="22"/>
          <w:lang w:val="fr-BE"/>
        </w:rPr>
      </w:pPr>
      <w:r w:rsidRPr="00765FF3">
        <w:rPr>
          <w:rFonts w:asciiTheme="minorHAnsi" w:hAnsiTheme="minorHAnsi" w:cstheme="minorHAnsi"/>
          <w:sz w:val="22"/>
          <w:szCs w:val="22"/>
          <w:lang w:val="fr-BE"/>
        </w:rPr>
        <w:t xml:space="preserve">Locatelli, M., Kabir, A., </w:t>
      </w:r>
      <w:proofErr w:type="spellStart"/>
      <w:r w:rsidRPr="00765FF3">
        <w:rPr>
          <w:rFonts w:asciiTheme="minorHAnsi" w:hAnsiTheme="minorHAnsi" w:cstheme="minorHAnsi"/>
          <w:sz w:val="22"/>
          <w:szCs w:val="22"/>
          <w:lang w:val="fr-BE"/>
        </w:rPr>
        <w:t>Perrucci</w:t>
      </w:r>
      <w:proofErr w:type="spellEnd"/>
      <w:r w:rsidRPr="00765FF3">
        <w:rPr>
          <w:rFonts w:asciiTheme="minorHAnsi" w:hAnsiTheme="minorHAnsi" w:cstheme="minorHAnsi"/>
          <w:sz w:val="22"/>
          <w:szCs w:val="22"/>
          <w:lang w:val="fr-BE"/>
        </w:rPr>
        <w:t xml:space="preserve">, M., </w:t>
      </w:r>
      <w:proofErr w:type="spellStart"/>
      <w:r w:rsidRPr="00765FF3">
        <w:rPr>
          <w:rFonts w:asciiTheme="minorHAnsi" w:hAnsiTheme="minorHAnsi" w:cstheme="minorHAnsi"/>
          <w:sz w:val="22"/>
          <w:szCs w:val="22"/>
          <w:lang w:val="fr-BE"/>
        </w:rPr>
        <w:t>Ulusoy</w:t>
      </w:r>
      <w:proofErr w:type="spellEnd"/>
      <w:r w:rsidRPr="00765FF3">
        <w:rPr>
          <w:rFonts w:asciiTheme="minorHAnsi" w:hAnsiTheme="minorHAnsi" w:cstheme="minorHAnsi"/>
          <w:sz w:val="22"/>
          <w:szCs w:val="22"/>
          <w:lang w:val="fr-BE"/>
        </w:rPr>
        <w:t xml:space="preserve">, S., </w:t>
      </w:r>
      <w:proofErr w:type="spellStart"/>
      <w:r w:rsidRPr="00765FF3">
        <w:rPr>
          <w:rFonts w:asciiTheme="minorHAnsi" w:hAnsiTheme="minorHAnsi" w:cstheme="minorHAnsi"/>
          <w:sz w:val="22"/>
          <w:szCs w:val="22"/>
          <w:lang w:val="fr-BE"/>
        </w:rPr>
        <w:t>Ulusoy</w:t>
      </w:r>
      <w:proofErr w:type="spellEnd"/>
      <w:r w:rsidRPr="00765FF3">
        <w:rPr>
          <w:rFonts w:asciiTheme="minorHAnsi" w:hAnsiTheme="minorHAnsi" w:cstheme="minorHAnsi"/>
          <w:sz w:val="22"/>
          <w:szCs w:val="22"/>
          <w:lang w:val="fr-BE"/>
        </w:rPr>
        <w:t xml:space="preserve">, H. I., &amp; Ali, I. (2023). </w:t>
      </w:r>
      <w:r w:rsidRPr="00765FF3">
        <w:rPr>
          <w:rFonts w:asciiTheme="minorHAnsi" w:hAnsiTheme="minorHAnsi" w:cstheme="minorHAnsi"/>
          <w:sz w:val="22"/>
          <w:szCs w:val="22"/>
        </w:rPr>
        <w:t xml:space="preserve">Green profile tools: </w:t>
      </w:r>
      <w:proofErr w:type="gramStart"/>
      <w:r w:rsidRPr="00765FF3">
        <w:rPr>
          <w:rFonts w:asciiTheme="minorHAnsi" w:hAnsiTheme="minorHAnsi" w:cstheme="minorHAnsi"/>
          <w:sz w:val="22"/>
          <w:szCs w:val="22"/>
        </w:rPr>
        <w:t>Current status</w:t>
      </w:r>
      <w:proofErr w:type="gramEnd"/>
      <w:r w:rsidRPr="00765FF3">
        <w:rPr>
          <w:rFonts w:asciiTheme="minorHAnsi" w:hAnsiTheme="minorHAnsi" w:cstheme="minorHAnsi"/>
          <w:sz w:val="22"/>
          <w:szCs w:val="22"/>
        </w:rPr>
        <w:t xml:space="preserve"> and future perspectives. Advances in Sample Preparation, 6(May), Article 100068. </w:t>
      </w:r>
      <w:hyperlink r:id="rId24" w:history="1">
        <w:r w:rsidRPr="00765FF3">
          <w:rPr>
            <w:rStyle w:val="Lienhypertexte"/>
            <w:rFonts w:asciiTheme="minorHAnsi" w:hAnsiTheme="minorHAnsi" w:cstheme="minorHAnsi"/>
            <w:sz w:val="22"/>
            <w:szCs w:val="22"/>
            <w:lang w:val="fr-BE"/>
          </w:rPr>
          <w:t>https://doi.org/10.1016/j.sampre.2023.100068</w:t>
        </w:r>
      </w:hyperlink>
      <w:r w:rsidRPr="00765FF3">
        <w:rPr>
          <w:rFonts w:asciiTheme="minorHAnsi" w:hAnsiTheme="minorHAnsi" w:cstheme="minorHAnsi"/>
          <w:sz w:val="22"/>
          <w:szCs w:val="22"/>
          <w:lang w:val="fr-BE"/>
        </w:rPr>
        <w:t xml:space="preserve"> </w:t>
      </w:r>
    </w:p>
    <w:p w14:paraId="6F54A266" w14:textId="77777777" w:rsidR="002B1B69" w:rsidRDefault="002B1B69" w:rsidP="002B1B69">
      <w:pPr>
        <w:pStyle w:val="Corpsdetexte"/>
        <w:ind w:left="0"/>
        <w:rPr>
          <w:rFonts w:asciiTheme="minorHAnsi" w:hAnsiTheme="minorHAnsi" w:cstheme="minorHAnsi"/>
          <w:sz w:val="22"/>
          <w:szCs w:val="22"/>
          <w:lang w:val="fr-BE"/>
        </w:rPr>
      </w:pPr>
    </w:p>
    <w:p w14:paraId="1CE71745"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lang w:val="fr-BE"/>
        </w:rPr>
        <w:t xml:space="preserve">Luna, G., Morales, M. T., &amp; </w:t>
      </w:r>
      <w:proofErr w:type="spellStart"/>
      <w:r w:rsidRPr="00765FF3">
        <w:rPr>
          <w:rFonts w:asciiTheme="minorHAnsi" w:hAnsiTheme="minorHAnsi" w:cstheme="minorHAnsi"/>
          <w:sz w:val="22"/>
          <w:szCs w:val="22"/>
          <w:lang w:val="fr-BE"/>
        </w:rPr>
        <w:t>Aparicio</w:t>
      </w:r>
      <w:proofErr w:type="spellEnd"/>
      <w:r w:rsidRPr="00765FF3">
        <w:rPr>
          <w:rFonts w:asciiTheme="minorHAnsi" w:hAnsiTheme="minorHAnsi" w:cstheme="minorHAnsi"/>
          <w:sz w:val="22"/>
          <w:szCs w:val="22"/>
          <w:lang w:val="fr-BE"/>
        </w:rPr>
        <w:t xml:space="preserve">, R. (2006). </w:t>
      </w:r>
      <w:proofErr w:type="spellStart"/>
      <w:r w:rsidRPr="00765FF3">
        <w:rPr>
          <w:rFonts w:asciiTheme="minorHAnsi" w:hAnsiTheme="minorHAnsi" w:cstheme="minorHAnsi"/>
          <w:sz w:val="22"/>
          <w:szCs w:val="22"/>
        </w:rPr>
        <w:t>Characterisation</w:t>
      </w:r>
      <w:proofErr w:type="spellEnd"/>
      <w:r w:rsidRPr="00765FF3">
        <w:rPr>
          <w:rFonts w:asciiTheme="minorHAnsi" w:hAnsiTheme="minorHAnsi" w:cstheme="minorHAnsi"/>
          <w:sz w:val="22"/>
          <w:szCs w:val="22"/>
        </w:rPr>
        <w:t xml:space="preserve"> of 39 varietal virgin olive oils by their volatile compositions. Food Chemistry, 98(2), 243–252. https://doi. org/10.1016/j.foodchem.2005.05.069 </w:t>
      </w:r>
    </w:p>
    <w:p w14:paraId="6874816A" w14:textId="77777777" w:rsidR="002B1B69" w:rsidRDefault="002B1B69" w:rsidP="002B1B69">
      <w:pPr>
        <w:pStyle w:val="Corpsdetexte"/>
        <w:ind w:left="0"/>
        <w:rPr>
          <w:rFonts w:asciiTheme="minorHAnsi" w:hAnsiTheme="minorHAnsi" w:cstheme="minorHAnsi"/>
          <w:sz w:val="22"/>
          <w:szCs w:val="22"/>
        </w:rPr>
      </w:pPr>
    </w:p>
    <w:p w14:paraId="5895A70F" w14:textId="77777777"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rPr>
        <w:t>Manousi</w:t>
      </w:r>
      <w:proofErr w:type="spellEnd"/>
      <w:r w:rsidRPr="00765FF3">
        <w:rPr>
          <w:rFonts w:asciiTheme="minorHAnsi" w:hAnsiTheme="minorHAnsi" w:cstheme="minorHAnsi"/>
          <w:sz w:val="22"/>
          <w:szCs w:val="22"/>
        </w:rPr>
        <w:t xml:space="preserve">, N., Wojnowski, W., </w:t>
      </w:r>
      <w:proofErr w:type="spellStart"/>
      <w:r w:rsidRPr="00765FF3">
        <w:rPr>
          <w:rFonts w:asciiTheme="minorHAnsi" w:hAnsiTheme="minorHAnsi" w:cstheme="minorHAnsi"/>
          <w:sz w:val="22"/>
          <w:szCs w:val="22"/>
        </w:rPr>
        <w:t>Płotka-Wasylka</w:t>
      </w:r>
      <w:proofErr w:type="spellEnd"/>
      <w:r w:rsidRPr="00765FF3">
        <w:rPr>
          <w:rFonts w:asciiTheme="minorHAnsi" w:hAnsiTheme="minorHAnsi" w:cstheme="minorHAnsi"/>
          <w:sz w:val="22"/>
          <w:szCs w:val="22"/>
        </w:rPr>
        <w:t xml:space="preserve">, J., &amp; </w:t>
      </w:r>
      <w:proofErr w:type="spellStart"/>
      <w:r w:rsidRPr="00765FF3">
        <w:rPr>
          <w:rFonts w:asciiTheme="minorHAnsi" w:hAnsiTheme="minorHAnsi" w:cstheme="minorHAnsi"/>
          <w:sz w:val="22"/>
          <w:szCs w:val="22"/>
        </w:rPr>
        <w:t>Samanidou</w:t>
      </w:r>
      <w:proofErr w:type="spellEnd"/>
      <w:r w:rsidRPr="00765FF3">
        <w:rPr>
          <w:rFonts w:asciiTheme="minorHAnsi" w:hAnsiTheme="minorHAnsi" w:cstheme="minorHAnsi"/>
          <w:sz w:val="22"/>
          <w:szCs w:val="22"/>
        </w:rPr>
        <w:t xml:space="preserve">, V. (2023). Blue applicability grade index (BAGI) and software: A new tool for the evaluation of method practicality. Green Chemistry, 25(19), 7598–7604. https://doi.org/10.1039/ d3gc02347h </w:t>
      </w:r>
    </w:p>
    <w:p w14:paraId="0036C557" w14:textId="77777777" w:rsidR="002B1B69" w:rsidRDefault="002B1B69" w:rsidP="002B1B69">
      <w:pPr>
        <w:pStyle w:val="Corpsdetexte"/>
        <w:ind w:left="0"/>
        <w:rPr>
          <w:rFonts w:asciiTheme="minorHAnsi" w:hAnsiTheme="minorHAnsi" w:cstheme="minorHAnsi"/>
          <w:sz w:val="22"/>
          <w:szCs w:val="22"/>
        </w:rPr>
      </w:pPr>
    </w:p>
    <w:p w14:paraId="503D5ABE" w14:textId="77777777"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rPr>
        <w:t>Mascrez</w:t>
      </w:r>
      <w:proofErr w:type="spellEnd"/>
      <w:r w:rsidRPr="00765FF3">
        <w:rPr>
          <w:rFonts w:asciiTheme="minorHAnsi" w:hAnsiTheme="minorHAnsi" w:cstheme="minorHAnsi"/>
          <w:sz w:val="22"/>
          <w:szCs w:val="22"/>
        </w:rPr>
        <w:t xml:space="preserve">, S., Psillakis, E., &amp; Purcaro, G. (2020). A multifaceted investigation on the effect of vacuum on the headspace </w:t>
      </w:r>
      <w:proofErr w:type="gramStart"/>
      <w:r w:rsidRPr="00765FF3">
        <w:rPr>
          <w:rFonts w:asciiTheme="minorHAnsi" w:hAnsiTheme="minorHAnsi" w:cstheme="minorHAnsi"/>
          <w:sz w:val="22"/>
          <w:szCs w:val="22"/>
        </w:rPr>
        <w:t>solid-phase</w:t>
      </w:r>
      <w:proofErr w:type="gramEnd"/>
      <w:r w:rsidRPr="00765FF3">
        <w:rPr>
          <w:rFonts w:asciiTheme="minorHAnsi" w:hAnsiTheme="minorHAnsi" w:cstheme="minorHAnsi"/>
          <w:sz w:val="22"/>
          <w:szCs w:val="22"/>
        </w:rPr>
        <w:t xml:space="preserve"> microextraction of extra-virgin olive oil.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1103, 106–114. </w:t>
      </w:r>
      <w:hyperlink r:id="rId25" w:history="1">
        <w:r w:rsidRPr="00EC5E76">
          <w:rPr>
            <w:rStyle w:val="Lienhypertexte"/>
            <w:rFonts w:asciiTheme="minorHAnsi" w:hAnsiTheme="minorHAnsi" w:cstheme="minorHAnsi"/>
            <w:sz w:val="22"/>
            <w:szCs w:val="22"/>
          </w:rPr>
          <w:t>https://doi.org/10.1016/j.aca.2019.12.053</w:t>
        </w:r>
      </w:hyperlink>
      <w:r w:rsidRPr="00765FF3">
        <w:rPr>
          <w:rFonts w:asciiTheme="minorHAnsi" w:hAnsiTheme="minorHAnsi" w:cstheme="minorHAnsi"/>
          <w:sz w:val="22"/>
          <w:szCs w:val="22"/>
        </w:rPr>
        <w:t xml:space="preserve"> </w:t>
      </w:r>
    </w:p>
    <w:p w14:paraId="5CCF1772" w14:textId="77777777" w:rsidR="002B1B69" w:rsidRDefault="002B1B69" w:rsidP="002B1B69">
      <w:pPr>
        <w:pStyle w:val="Corpsdetexte"/>
        <w:ind w:left="0"/>
        <w:rPr>
          <w:rFonts w:asciiTheme="minorHAnsi" w:hAnsiTheme="minorHAnsi" w:cstheme="minorHAnsi"/>
          <w:sz w:val="22"/>
          <w:szCs w:val="22"/>
        </w:rPr>
      </w:pPr>
    </w:p>
    <w:p w14:paraId="0FC35246" w14:textId="77777777" w:rsidR="002B1B69" w:rsidRPr="002B1B69" w:rsidRDefault="002B1B69" w:rsidP="002B1B69">
      <w:pPr>
        <w:pStyle w:val="Corpsdetexte"/>
        <w:ind w:left="0"/>
        <w:rPr>
          <w:rFonts w:asciiTheme="minorHAnsi" w:hAnsiTheme="minorHAnsi" w:cstheme="minorHAnsi"/>
          <w:sz w:val="22"/>
          <w:szCs w:val="22"/>
          <w:lang w:val="en-GB"/>
        </w:rPr>
      </w:pPr>
      <w:proofErr w:type="spellStart"/>
      <w:r w:rsidRPr="00765FF3">
        <w:rPr>
          <w:rFonts w:asciiTheme="minorHAnsi" w:hAnsiTheme="minorHAnsi" w:cstheme="minorHAnsi"/>
          <w:sz w:val="22"/>
          <w:szCs w:val="22"/>
        </w:rPr>
        <w:t>Mascrez</w:t>
      </w:r>
      <w:proofErr w:type="spellEnd"/>
      <w:r w:rsidRPr="00765FF3">
        <w:rPr>
          <w:rFonts w:asciiTheme="minorHAnsi" w:hAnsiTheme="minorHAnsi" w:cstheme="minorHAnsi"/>
          <w:sz w:val="22"/>
          <w:szCs w:val="22"/>
        </w:rPr>
        <w:t xml:space="preserve">, S., &amp; Purcaro, G. (2020a). Enhancement of volatile profiling using </w:t>
      </w:r>
      <w:proofErr w:type="spellStart"/>
      <w:r w:rsidRPr="00765FF3">
        <w:rPr>
          <w:rFonts w:asciiTheme="minorHAnsi" w:hAnsiTheme="minorHAnsi" w:cstheme="minorHAnsi"/>
          <w:sz w:val="22"/>
          <w:szCs w:val="22"/>
        </w:rPr>
        <w:t>multiplecumulative</w:t>
      </w:r>
      <w:proofErr w:type="spellEnd"/>
      <w:r w:rsidRPr="00765FF3">
        <w:rPr>
          <w:rFonts w:asciiTheme="minorHAnsi" w:hAnsiTheme="minorHAnsi" w:cstheme="minorHAnsi"/>
          <w:sz w:val="22"/>
          <w:szCs w:val="22"/>
        </w:rPr>
        <w:t xml:space="preserve"> trapping </w:t>
      </w:r>
      <w:proofErr w:type="gramStart"/>
      <w:r w:rsidRPr="00765FF3">
        <w:rPr>
          <w:rFonts w:asciiTheme="minorHAnsi" w:hAnsiTheme="minorHAnsi" w:cstheme="minorHAnsi"/>
          <w:sz w:val="22"/>
          <w:szCs w:val="22"/>
        </w:rPr>
        <w:t>solid-phase</w:t>
      </w:r>
      <w:proofErr w:type="gramEnd"/>
      <w:r w:rsidRPr="00765FF3">
        <w:rPr>
          <w:rFonts w:asciiTheme="minorHAnsi" w:hAnsiTheme="minorHAnsi" w:cstheme="minorHAnsi"/>
          <w:sz w:val="22"/>
          <w:szCs w:val="22"/>
        </w:rPr>
        <w:t xml:space="preserve"> microextraction. Consideration </w:t>
      </w:r>
      <w:proofErr w:type="gramStart"/>
      <w:r w:rsidRPr="00765FF3">
        <w:rPr>
          <w:rFonts w:asciiTheme="minorHAnsi" w:hAnsiTheme="minorHAnsi" w:cstheme="minorHAnsi"/>
          <w:sz w:val="22"/>
          <w:szCs w:val="22"/>
        </w:rPr>
        <w:t>on</w:t>
      </w:r>
      <w:proofErr w:type="gramEnd"/>
      <w:r w:rsidRPr="00765FF3">
        <w:rPr>
          <w:rFonts w:asciiTheme="minorHAnsi" w:hAnsiTheme="minorHAnsi" w:cstheme="minorHAnsi"/>
          <w:sz w:val="22"/>
          <w:szCs w:val="22"/>
        </w:rPr>
        <w:t xml:space="preserve"> sample volume.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1122, 89–96. </w:t>
      </w:r>
      <w:hyperlink r:id="rId26" w:history="1">
        <w:r w:rsidRPr="002B1B69">
          <w:rPr>
            <w:rStyle w:val="Lienhypertexte"/>
            <w:rFonts w:asciiTheme="minorHAnsi" w:hAnsiTheme="minorHAnsi" w:cstheme="minorHAnsi"/>
            <w:sz w:val="22"/>
            <w:szCs w:val="22"/>
            <w:lang w:val="en-GB"/>
          </w:rPr>
          <w:t>https://doi.org/10.1016/j.aca.2020.05.007</w:t>
        </w:r>
      </w:hyperlink>
      <w:r w:rsidRPr="002B1B69">
        <w:rPr>
          <w:rFonts w:asciiTheme="minorHAnsi" w:hAnsiTheme="minorHAnsi" w:cstheme="minorHAnsi"/>
          <w:sz w:val="22"/>
          <w:szCs w:val="22"/>
          <w:lang w:val="en-GB"/>
        </w:rPr>
        <w:t xml:space="preserve"> </w:t>
      </w:r>
    </w:p>
    <w:p w14:paraId="53380372" w14:textId="77777777" w:rsidR="002B1B69" w:rsidRPr="002B1B69" w:rsidRDefault="002B1B69" w:rsidP="002B1B69">
      <w:pPr>
        <w:pStyle w:val="Corpsdetexte"/>
        <w:ind w:left="0"/>
        <w:rPr>
          <w:rFonts w:asciiTheme="minorHAnsi" w:hAnsiTheme="minorHAnsi" w:cstheme="minorHAnsi"/>
          <w:sz w:val="22"/>
          <w:szCs w:val="22"/>
          <w:lang w:val="en-GB"/>
        </w:rPr>
      </w:pPr>
    </w:p>
    <w:p w14:paraId="26E91936" w14:textId="77777777" w:rsidR="002B1B69" w:rsidRDefault="002B1B69" w:rsidP="002B1B69">
      <w:pPr>
        <w:pStyle w:val="Corpsdetexte"/>
        <w:ind w:left="0"/>
        <w:rPr>
          <w:rFonts w:asciiTheme="minorHAnsi" w:hAnsiTheme="minorHAnsi" w:cstheme="minorHAnsi"/>
          <w:sz w:val="22"/>
          <w:szCs w:val="22"/>
        </w:rPr>
      </w:pPr>
      <w:proofErr w:type="spellStart"/>
      <w:r w:rsidRPr="002B1B69">
        <w:rPr>
          <w:rFonts w:asciiTheme="minorHAnsi" w:hAnsiTheme="minorHAnsi" w:cstheme="minorHAnsi"/>
          <w:sz w:val="22"/>
          <w:szCs w:val="22"/>
          <w:lang w:val="en-GB"/>
        </w:rPr>
        <w:t>Mascrez</w:t>
      </w:r>
      <w:proofErr w:type="spellEnd"/>
      <w:r w:rsidRPr="002B1B69">
        <w:rPr>
          <w:rFonts w:asciiTheme="minorHAnsi" w:hAnsiTheme="minorHAnsi" w:cstheme="minorHAnsi"/>
          <w:sz w:val="22"/>
          <w:szCs w:val="22"/>
          <w:lang w:val="en-GB"/>
        </w:rPr>
        <w:t xml:space="preserve">, S., &amp; Purcaro, G. (2020b). </w:t>
      </w:r>
      <w:r w:rsidRPr="00765FF3">
        <w:rPr>
          <w:rFonts w:asciiTheme="minorHAnsi" w:hAnsiTheme="minorHAnsi" w:cstheme="minorHAnsi"/>
          <w:sz w:val="22"/>
          <w:szCs w:val="22"/>
        </w:rPr>
        <w:t>Exploring multiple-cumulative solid-phase microextraction for olive oil aroma profiling. Journal of Separation Science, 43, 1934–1941. Nowak, P. M., Wietecha-</w:t>
      </w:r>
      <w:proofErr w:type="spellStart"/>
      <w:r w:rsidRPr="00765FF3">
        <w:rPr>
          <w:rFonts w:asciiTheme="minorHAnsi" w:hAnsiTheme="minorHAnsi" w:cstheme="minorHAnsi"/>
          <w:sz w:val="22"/>
          <w:szCs w:val="22"/>
        </w:rPr>
        <w:t>Posłuszny</w:t>
      </w:r>
      <w:proofErr w:type="spellEnd"/>
      <w:r w:rsidRPr="00765FF3">
        <w:rPr>
          <w:rFonts w:asciiTheme="minorHAnsi" w:hAnsiTheme="minorHAnsi" w:cstheme="minorHAnsi"/>
          <w:sz w:val="22"/>
          <w:szCs w:val="22"/>
        </w:rPr>
        <w:t xml:space="preserve">, R., &amp; </w:t>
      </w:r>
      <w:proofErr w:type="spellStart"/>
      <w:r w:rsidRPr="00765FF3">
        <w:rPr>
          <w:rFonts w:asciiTheme="minorHAnsi" w:hAnsiTheme="minorHAnsi" w:cstheme="minorHAnsi"/>
          <w:sz w:val="22"/>
          <w:szCs w:val="22"/>
        </w:rPr>
        <w:t>Pawliszyn</w:t>
      </w:r>
      <w:proofErr w:type="spellEnd"/>
      <w:r w:rsidRPr="00765FF3">
        <w:rPr>
          <w:rFonts w:asciiTheme="minorHAnsi" w:hAnsiTheme="minorHAnsi" w:cstheme="minorHAnsi"/>
          <w:sz w:val="22"/>
          <w:szCs w:val="22"/>
        </w:rPr>
        <w:t xml:space="preserve">, J. (2021). White analytical chemistry: An approach to reconcile the principles of green analytical chemistry and functionality. </w:t>
      </w:r>
      <w:proofErr w:type="spellStart"/>
      <w:r w:rsidRPr="00765FF3">
        <w:rPr>
          <w:rFonts w:asciiTheme="minorHAnsi" w:hAnsiTheme="minorHAnsi" w:cstheme="minorHAnsi"/>
          <w:sz w:val="22"/>
          <w:szCs w:val="22"/>
        </w:rPr>
        <w:t>TrAC</w:t>
      </w:r>
      <w:proofErr w:type="spellEnd"/>
      <w:r w:rsidRPr="00765FF3">
        <w:rPr>
          <w:rFonts w:asciiTheme="minorHAnsi" w:hAnsiTheme="minorHAnsi" w:cstheme="minorHAnsi"/>
          <w:sz w:val="22"/>
          <w:szCs w:val="22"/>
        </w:rPr>
        <w:t xml:space="preserve"> - Trends in Analytical Chemistry, 138. </w:t>
      </w:r>
      <w:hyperlink r:id="rId27" w:history="1">
        <w:r w:rsidRPr="00EC5E76">
          <w:rPr>
            <w:rStyle w:val="Lienhypertexte"/>
            <w:rFonts w:asciiTheme="minorHAnsi" w:hAnsiTheme="minorHAnsi" w:cstheme="minorHAnsi"/>
            <w:sz w:val="22"/>
            <w:szCs w:val="22"/>
          </w:rPr>
          <w:t>https://doi.org/10.1016/j. trac.2021.116223</w:t>
        </w:r>
      </w:hyperlink>
      <w:r w:rsidRPr="00765FF3">
        <w:rPr>
          <w:rFonts w:asciiTheme="minorHAnsi" w:hAnsiTheme="minorHAnsi" w:cstheme="minorHAnsi"/>
          <w:sz w:val="22"/>
          <w:szCs w:val="22"/>
        </w:rPr>
        <w:t xml:space="preserve"> </w:t>
      </w:r>
    </w:p>
    <w:p w14:paraId="5778FC91" w14:textId="77777777" w:rsidR="002B1B69" w:rsidRDefault="002B1B69" w:rsidP="002B1B69">
      <w:pPr>
        <w:pStyle w:val="Corpsdetexte"/>
        <w:ind w:left="0"/>
        <w:rPr>
          <w:rFonts w:asciiTheme="minorHAnsi" w:hAnsiTheme="minorHAnsi" w:cstheme="minorHAnsi"/>
          <w:sz w:val="22"/>
          <w:szCs w:val="22"/>
        </w:rPr>
      </w:pPr>
    </w:p>
    <w:p w14:paraId="577E193F" w14:textId="509AC30E" w:rsidR="002B1B69" w:rsidRDefault="002B1B69" w:rsidP="002B1B69">
      <w:pPr>
        <w:pStyle w:val="Corpsdetexte"/>
        <w:ind w:left="0"/>
        <w:rPr>
          <w:rFonts w:asciiTheme="minorHAnsi" w:hAnsiTheme="minorHAnsi" w:cstheme="minorHAnsi"/>
          <w:sz w:val="22"/>
          <w:szCs w:val="22"/>
          <w:lang w:val="en-GB"/>
        </w:rPr>
      </w:pPr>
      <w:r w:rsidRPr="00765FF3">
        <w:rPr>
          <w:rFonts w:asciiTheme="minorHAnsi" w:hAnsiTheme="minorHAnsi" w:cstheme="minorHAnsi"/>
          <w:sz w:val="22"/>
          <w:szCs w:val="22"/>
        </w:rPr>
        <w:t>Oliver-Pozo, C., Trypidis, D., Aparicio, R., Garci</w:t>
      </w:r>
      <w:r w:rsidR="00146F57">
        <w:rPr>
          <w:rFonts w:ascii="Avenir Next LT Pro" w:hAnsi="Avenir Next LT Pro" w:cstheme="minorHAnsi"/>
          <w:sz w:val="22"/>
          <w:szCs w:val="22"/>
        </w:rPr>
        <w:t>á</w:t>
      </w:r>
      <w:r w:rsidRPr="00765FF3">
        <w:rPr>
          <w:rFonts w:asciiTheme="minorHAnsi" w:hAnsiTheme="minorHAnsi" w:cstheme="minorHAnsi"/>
          <w:sz w:val="22"/>
          <w:szCs w:val="22"/>
        </w:rPr>
        <w:t>-Gonz</w:t>
      </w:r>
      <w:r w:rsidR="00146F57">
        <w:rPr>
          <w:rFonts w:ascii="Avenir Next LT Pro" w:hAnsi="Avenir Next LT Pro" w:cstheme="minorHAnsi"/>
          <w:sz w:val="22"/>
          <w:szCs w:val="22"/>
        </w:rPr>
        <w:t>á</w:t>
      </w:r>
      <w:r w:rsidRPr="00765FF3">
        <w:rPr>
          <w:rFonts w:asciiTheme="minorHAnsi" w:hAnsiTheme="minorHAnsi" w:cstheme="minorHAnsi"/>
          <w:sz w:val="22"/>
          <w:szCs w:val="22"/>
        </w:rPr>
        <w:t xml:space="preserve">lez, D. L., &amp; Aparicio-Ruiz, R. (2019). Implementing dynamic headspace with SPME sampling of virgin olive oil volatiles: Optimization, quality analytical study, and performance testing. Journal of Agricultural and Food Chemistry, 67(7), 2086–2097. </w:t>
      </w:r>
      <w:hyperlink r:id="rId28" w:history="1">
        <w:r w:rsidRPr="002B1B69">
          <w:rPr>
            <w:rStyle w:val="Lienhypertexte"/>
            <w:rFonts w:asciiTheme="minorHAnsi" w:hAnsiTheme="minorHAnsi" w:cstheme="minorHAnsi"/>
            <w:sz w:val="22"/>
            <w:szCs w:val="22"/>
            <w:lang w:val="en-GB"/>
          </w:rPr>
          <w:t>https://doi.org/10.1021/acs. jafc.9b00477</w:t>
        </w:r>
      </w:hyperlink>
      <w:r w:rsidRPr="002B1B69">
        <w:rPr>
          <w:rFonts w:asciiTheme="minorHAnsi" w:hAnsiTheme="minorHAnsi" w:cstheme="minorHAnsi"/>
          <w:sz w:val="22"/>
          <w:szCs w:val="22"/>
          <w:lang w:val="en-GB"/>
        </w:rPr>
        <w:t xml:space="preserve"> </w:t>
      </w:r>
    </w:p>
    <w:p w14:paraId="313ACCCE" w14:textId="77777777" w:rsidR="00146F57" w:rsidRPr="002B1B69" w:rsidRDefault="00146F57" w:rsidP="002B1B69">
      <w:pPr>
        <w:pStyle w:val="Corpsdetexte"/>
        <w:ind w:left="0"/>
        <w:rPr>
          <w:rFonts w:asciiTheme="minorHAnsi" w:hAnsiTheme="minorHAnsi" w:cstheme="minorHAnsi"/>
          <w:sz w:val="22"/>
          <w:szCs w:val="22"/>
          <w:lang w:val="en-GB"/>
        </w:rPr>
      </w:pPr>
    </w:p>
    <w:p w14:paraId="1B9B662C" w14:textId="77777777"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lang w:val="fr-BE"/>
        </w:rPr>
        <w:t>Pang</w:t>
      </w:r>
      <w:proofErr w:type="spellEnd"/>
      <w:r w:rsidRPr="00765FF3">
        <w:rPr>
          <w:rFonts w:asciiTheme="minorHAnsi" w:hAnsiTheme="minorHAnsi" w:cstheme="minorHAnsi"/>
          <w:sz w:val="22"/>
          <w:szCs w:val="22"/>
          <w:lang w:val="fr-BE"/>
        </w:rPr>
        <w:t xml:space="preserve">, Z., Chong, J., Zhou, G., De Lima Morais, D. A., Chang, L., Barrette, M., &amp; Xia, J. (2021). </w:t>
      </w:r>
      <w:proofErr w:type="spellStart"/>
      <w:r w:rsidRPr="00765FF3">
        <w:rPr>
          <w:rFonts w:asciiTheme="minorHAnsi" w:hAnsiTheme="minorHAnsi" w:cstheme="minorHAnsi"/>
          <w:sz w:val="22"/>
          <w:szCs w:val="22"/>
        </w:rPr>
        <w:t>MetaboAnalyst</w:t>
      </w:r>
      <w:proofErr w:type="spellEnd"/>
      <w:r w:rsidRPr="00765FF3">
        <w:rPr>
          <w:rFonts w:asciiTheme="minorHAnsi" w:hAnsiTheme="minorHAnsi" w:cstheme="minorHAnsi"/>
          <w:sz w:val="22"/>
          <w:szCs w:val="22"/>
        </w:rPr>
        <w:t xml:space="preserve"> 5.0: Narrowing the gap between raw spectra and functional insights. Nucleic Acids Research, 49(W1), W388–W396. https://doi.org/10.1093/ </w:t>
      </w:r>
      <w:proofErr w:type="spellStart"/>
      <w:r w:rsidRPr="00765FF3">
        <w:rPr>
          <w:rFonts w:asciiTheme="minorHAnsi" w:hAnsiTheme="minorHAnsi" w:cstheme="minorHAnsi"/>
          <w:sz w:val="22"/>
          <w:szCs w:val="22"/>
        </w:rPr>
        <w:t>nar</w:t>
      </w:r>
      <w:proofErr w:type="spellEnd"/>
      <w:r w:rsidRPr="00765FF3">
        <w:rPr>
          <w:rFonts w:asciiTheme="minorHAnsi" w:hAnsiTheme="minorHAnsi" w:cstheme="minorHAnsi"/>
          <w:sz w:val="22"/>
          <w:szCs w:val="22"/>
        </w:rPr>
        <w:t xml:space="preserve">/gkab382 </w:t>
      </w:r>
    </w:p>
    <w:p w14:paraId="33AB691F" w14:textId="77777777" w:rsidR="002B1B69" w:rsidRDefault="002B1B69" w:rsidP="002B1B69">
      <w:pPr>
        <w:pStyle w:val="Corpsdetexte"/>
        <w:ind w:left="0"/>
        <w:rPr>
          <w:rFonts w:asciiTheme="minorHAnsi" w:hAnsiTheme="minorHAnsi" w:cstheme="minorHAnsi"/>
          <w:sz w:val="22"/>
          <w:szCs w:val="22"/>
        </w:rPr>
      </w:pPr>
    </w:p>
    <w:p w14:paraId="51EC9A82" w14:textId="77777777"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lang w:val="fr-BE"/>
        </w:rPr>
        <w:t>Psillakis</w:t>
      </w:r>
      <w:proofErr w:type="spellEnd"/>
      <w:r w:rsidRPr="00765FF3">
        <w:rPr>
          <w:rFonts w:asciiTheme="minorHAnsi" w:hAnsiTheme="minorHAnsi" w:cstheme="minorHAnsi"/>
          <w:sz w:val="22"/>
          <w:szCs w:val="22"/>
          <w:lang w:val="fr-BE"/>
        </w:rPr>
        <w:t xml:space="preserve">, E., </w:t>
      </w:r>
      <w:proofErr w:type="spellStart"/>
      <w:r w:rsidRPr="00765FF3">
        <w:rPr>
          <w:rFonts w:asciiTheme="minorHAnsi" w:hAnsiTheme="minorHAnsi" w:cstheme="minorHAnsi"/>
          <w:sz w:val="22"/>
          <w:szCs w:val="22"/>
          <w:lang w:val="fr-BE"/>
        </w:rPr>
        <w:t>Koutela</w:t>
      </w:r>
      <w:proofErr w:type="spellEnd"/>
      <w:r w:rsidRPr="00765FF3">
        <w:rPr>
          <w:rFonts w:asciiTheme="minorHAnsi" w:hAnsiTheme="minorHAnsi" w:cstheme="minorHAnsi"/>
          <w:sz w:val="22"/>
          <w:szCs w:val="22"/>
          <w:lang w:val="fr-BE"/>
        </w:rPr>
        <w:t xml:space="preserve">, N., &amp; </w:t>
      </w:r>
      <w:proofErr w:type="spellStart"/>
      <w:r w:rsidRPr="00765FF3">
        <w:rPr>
          <w:rFonts w:asciiTheme="minorHAnsi" w:hAnsiTheme="minorHAnsi" w:cstheme="minorHAnsi"/>
          <w:sz w:val="22"/>
          <w:szCs w:val="22"/>
          <w:lang w:val="fr-BE"/>
        </w:rPr>
        <w:t>Colussi</w:t>
      </w:r>
      <w:proofErr w:type="spellEnd"/>
      <w:r w:rsidRPr="00765FF3">
        <w:rPr>
          <w:rFonts w:asciiTheme="minorHAnsi" w:hAnsiTheme="minorHAnsi" w:cstheme="minorHAnsi"/>
          <w:sz w:val="22"/>
          <w:szCs w:val="22"/>
          <w:lang w:val="fr-BE"/>
        </w:rPr>
        <w:t xml:space="preserve">, A. J. (2019). </w:t>
      </w:r>
      <w:r w:rsidRPr="00765FF3">
        <w:rPr>
          <w:rFonts w:asciiTheme="minorHAnsi" w:hAnsiTheme="minorHAnsi" w:cstheme="minorHAnsi"/>
          <w:sz w:val="22"/>
          <w:szCs w:val="22"/>
        </w:rPr>
        <w:t xml:space="preserve">Vacuum-assisted headspace single-drop microextraction: Eliminating interfacial gas-phase limitations.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1092, 9–16. Psillakis, E. (2017). Vacuum-assisted headspace solid-phase microextraction: A tutorial review.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986, 12–24. </w:t>
      </w:r>
      <w:hyperlink r:id="rId29" w:history="1">
        <w:r w:rsidRPr="00EC5E76">
          <w:rPr>
            <w:rStyle w:val="Lienhypertexte"/>
            <w:rFonts w:asciiTheme="minorHAnsi" w:hAnsiTheme="minorHAnsi" w:cstheme="minorHAnsi"/>
            <w:sz w:val="22"/>
            <w:szCs w:val="22"/>
          </w:rPr>
          <w:t>https://doi.org/10.1016/j. aca.2017.06.033</w:t>
        </w:r>
      </w:hyperlink>
      <w:r w:rsidRPr="00765FF3">
        <w:rPr>
          <w:rFonts w:asciiTheme="minorHAnsi" w:hAnsiTheme="minorHAnsi" w:cstheme="minorHAnsi"/>
          <w:sz w:val="22"/>
          <w:szCs w:val="22"/>
        </w:rPr>
        <w:t xml:space="preserve"> </w:t>
      </w:r>
    </w:p>
    <w:p w14:paraId="7CF05BAB" w14:textId="77777777" w:rsidR="002B1B69" w:rsidRDefault="002B1B69" w:rsidP="002B1B69">
      <w:pPr>
        <w:pStyle w:val="Corpsdetexte"/>
        <w:ind w:left="0"/>
        <w:rPr>
          <w:rFonts w:asciiTheme="minorHAnsi" w:hAnsiTheme="minorHAnsi" w:cstheme="minorHAnsi"/>
          <w:sz w:val="22"/>
          <w:szCs w:val="22"/>
        </w:rPr>
      </w:pPr>
    </w:p>
    <w:p w14:paraId="2BF9A549"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Psillakis, E., </w:t>
      </w:r>
      <w:proofErr w:type="spellStart"/>
      <w:r w:rsidRPr="00765FF3">
        <w:rPr>
          <w:rFonts w:asciiTheme="minorHAnsi" w:hAnsiTheme="minorHAnsi" w:cstheme="minorHAnsi"/>
          <w:sz w:val="22"/>
          <w:szCs w:val="22"/>
        </w:rPr>
        <w:t>Yiantzi</w:t>
      </w:r>
      <w:proofErr w:type="spellEnd"/>
      <w:r w:rsidRPr="00765FF3">
        <w:rPr>
          <w:rFonts w:asciiTheme="minorHAnsi" w:hAnsiTheme="minorHAnsi" w:cstheme="minorHAnsi"/>
          <w:sz w:val="22"/>
          <w:szCs w:val="22"/>
        </w:rPr>
        <w:t xml:space="preserve">, E., &amp; Kalogerakis, N. (2013). Downsizing vacuum-assisted headspace solid phase microextraction. Journal of Chromatography A, 1300, 119–126. </w:t>
      </w:r>
      <w:hyperlink r:id="rId30" w:history="1">
        <w:r w:rsidRPr="00EC5E76">
          <w:rPr>
            <w:rStyle w:val="Lienhypertexte"/>
            <w:rFonts w:asciiTheme="minorHAnsi" w:hAnsiTheme="minorHAnsi" w:cstheme="minorHAnsi"/>
            <w:sz w:val="22"/>
            <w:szCs w:val="22"/>
          </w:rPr>
          <w:t>https://doi.org/10.1016/j.chroma.2013.02.009</w:t>
        </w:r>
      </w:hyperlink>
      <w:r w:rsidRPr="00765FF3">
        <w:rPr>
          <w:rFonts w:asciiTheme="minorHAnsi" w:hAnsiTheme="minorHAnsi" w:cstheme="minorHAnsi"/>
          <w:sz w:val="22"/>
          <w:szCs w:val="22"/>
        </w:rPr>
        <w:t xml:space="preserve"> </w:t>
      </w:r>
    </w:p>
    <w:p w14:paraId="2346A63B" w14:textId="77777777" w:rsidR="002B1B69" w:rsidRDefault="002B1B69" w:rsidP="002B1B69">
      <w:pPr>
        <w:pStyle w:val="Corpsdetexte"/>
        <w:ind w:left="0"/>
        <w:rPr>
          <w:rFonts w:asciiTheme="minorHAnsi" w:hAnsiTheme="minorHAnsi" w:cstheme="minorHAnsi"/>
          <w:sz w:val="22"/>
          <w:szCs w:val="22"/>
        </w:rPr>
      </w:pPr>
    </w:p>
    <w:p w14:paraId="6863EE90"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Psillakis, E., </w:t>
      </w:r>
      <w:proofErr w:type="spellStart"/>
      <w:r w:rsidRPr="00765FF3">
        <w:rPr>
          <w:rFonts w:asciiTheme="minorHAnsi" w:hAnsiTheme="minorHAnsi" w:cstheme="minorHAnsi"/>
          <w:sz w:val="22"/>
          <w:szCs w:val="22"/>
        </w:rPr>
        <w:t>Yiantzi</w:t>
      </w:r>
      <w:proofErr w:type="spellEnd"/>
      <w:r w:rsidRPr="00765FF3">
        <w:rPr>
          <w:rFonts w:asciiTheme="minorHAnsi" w:hAnsiTheme="minorHAnsi" w:cstheme="minorHAnsi"/>
          <w:sz w:val="22"/>
          <w:szCs w:val="22"/>
        </w:rPr>
        <w:t xml:space="preserve">, E., Sanchez-Prado, L., &amp; Kalogerakis, N. (2012). Vacuum-assisted headspace solid </w:t>
      </w:r>
      <w:r w:rsidRPr="00765FF3">
        <w:rPr>
          <w:rFonts w:asciiTheme="minorHAnsi" w:hAnsiTheme="minorHAnsi" w:cstheme="minorHAnsi"/>
          <w:sz w:val="22"/>
          <w:szCs w:val="22"/>
        </w:rPr>
        <w:lastRenderedPageBreak/>
        <w:t xml:space="preserve">phase microextraction: Improved extraction of </w:t>
      </w:r>
      <w:proofErr w:type="spellStart"/>
      <w:r w:rsidRPr="00765FF3">
        <w:rPr>
          <w:rFonts w:asciiTheme="minorHAnsi" w:hAnsiTheme="minorHAnsi" w:cstheme="minorHAnsi"/>
          <w:sz w:val="22"/>
          <w:szCs w:val="22"/>
        </w:rPr>
        <w:t>semivolatiles</w:t>
      </w:r>
      <w:proofErr w:type="spellEnd"/>
      <w:r w:rsidRPr="00765FF3">
        <w:rPr>
          <w:rFonts w:asciiTheme="minorHAnsi" w:hAnsiTheme="minorHAnsi" w:cstheme="minorHAnsi"/>
          <w:sz w:val="22"/>
          <w:szCs w:val="22"/>
        </w:rPr>
        <w:t xml:space="preserve"> by nonequilibrium headspace sampling under reduced pressure conditions.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742, 30–36. </w:t>
      </w:r>
      <w:hyperlink r:id="rId31" w:history="1">
        <w:r w:rsidRPr="00EC5E76">
          <w:rPr>
            <w:rStyle w:val="Lienhypertexte"/>
            <w:rFonts w:asciiTheme="minorHAnsi" w:hAnsiTheme="minorHAnsi" w:cstheme="minorHAnsi"/>
            <w:sz w:val="22"/>
            <w:szCs w:val="22"/>
          </w:rPr>
          <w:t>https://doi.org/10.1016/j.aca.2012.01.019</w:t>
        </w:r>
      </w:hyperlink>
      <w:r w:rsidRPr="00765FF3">
        <w:rPr>
          <w:rFonts w:asciiTheme="minorHAnsi" w:hAnsiTheme="minorHAnsi" w:cstheme="minorHAnsi"/>
          <w:sz w:val="22"/>
          <w:szCs w:val="22"/>
        </w:rPr>
        <w:t xml:space="preserve"> </w:t>
      </w:r>
    </w:p>
    <w:p w14:paraId="5CC3EEF1" w14:textId="77777777" w:rsidR="002B1B69" w:rsidRDefault="002B1B69" w:rsidP="002B1B69">
      <w:pPr>
        <w:pStyle w:val="Corpsdetexte"/>
        <w:ind w:left="0"/>
        <w:rPr>
          <w:rFonts w:asciiTheme="minorHAnsi" w:hAnsiTheme="minorHAnsi" w:cstheme="minorHAnsi"/>
          <w:sz w:val="22"/>
          <w:szCs w:val="22"/>
        </w:rPr>
      </w:pPr>
    </w:p>
    <w:p w14:paraId="63B26B37"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Purcaro, G., Cordero, C., Liberto, E., </w:t>
      </w:r>
      <w:proofErr w:type="spellStart"/>
      <w:r w:rsidRPr="00765FF3">
        <w:rPr>
          <w:rFonts w:asciiTheme="minorHAnsi" w:hAnsiTheme="minorHAnsi" w:cstheme="minorHAnsi"/>
          <w:sz w:val="22"/>
          <w:szCs w:val="22"/>
        </w:rPr>
        <w:t>Bicchi</w:t>
      </w:r>
      <w:proofErr w:type="spellEnd"/>
      <w:r w:rsidRPr="00765FF3">
        <w:rPr>
          <w:rFonts w:asciiTheme="minorHAnsi" w:hAnsiTheme="minorHAnsi" w:cstheme="minorHAnsi"/>
          <w:sz w:val="22"/>
          <w:szCs w:val="22"/>
        </w:rPr>
        <w:t xml:space="preserve">, C., &amp; Conte, L. S. (2014). Toward a definition of blueprint of virgin olive oil by comprehensive two-dimensional gas chromatography. Journal of Chromatography A, 1334, 101–111. https://doi.org/ 10.1016/j.chroma.2014.01.067 </w:t>
      </w:r>
    </w:p>
    <w:p w14:paraId="4EC80AC0" w14:textId="77777777" w:rsidR="002B1B69" w:rsidRDefault="002B1B69" w:rsidP="002B1B69">
      <w:pPr>
        <w:pStyle w:val="Corpsdetexte"/>
        <w:ind w:left="0"/>
        <w:rPr>
          <w:rFonts w:asciiTheme="minorHAnsi" w:hAnsiTheme="minorHAnsi" w:cstheme="minorHAnsi"/>
          <w:sz w:val="22"/>
          <w:szCs w:val="22"/>
        </w:rPr>
      </w:pPr>
    </w:p>
    <w:p w14:paraId="6B51458F"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Quintanilla-Casas, B., Bertin, S., Leik, K., Bustamante, J., Guardiola, F., Valli, E., &amp; Vichi, S. (2020). Profiling versus fingerprinting analysis of sesquiterpene hydrocarbons for the geographical authentication of extra virgin olive oils. Food Chemistry, 307(September 2019). </w:t>
      </w:r>
      <w:hyperlink r:id="rId32" w:history="1">
        <w:r w:rsidRPr="00EC5E76">
          <w:rPr>
            <w:rStyle w:val="Lienhypertexte"/>
            <w:rFonts w:asciiTheme="minorHAnsi" w:hAnsiTheme="minorHAnsi" w:cstheme="minorHAnsi"/>
            <w:sz w:val="22"/>
            <w:szCs w:val="22"/>
          </w:rPr>
          <w:t>https://doi.org/10.1016/j.foodchem.2019.125556</w:t>
        </w:r>
      </w:hyperlink>
      <w:r w:rsidRPr="00765FF3">
        <w:rPr>
          <w:rFonts w:asciiTheme="minorHAnsi" w:hAnsiTheme="minorHAnsi" w:cstheme="minorHAnsi"/>
          <w:sz w:val="22"/>
          <w:szCs w:val="22"/>
        </w:rPr>
        <w:t xml:space="preserve"> </w:t>
      </w:r>
    </w:p>
    <w:p w14:paraId="27E668AD" w14:textId="77777777" w:rsidR="002B1B69" w:rsidRDefault="002B1B69" w:rsidP="002B1B69">
      <w:pPr>
        <w:pStyle w:val="Corpsdetexte"/>
        <w:ind w:left="0"/>
        <w:rPr>
          <w:rFonts w:asciiTheme="minorHAnsi" w:hAnsiTheme="minorHAnsi" w:cstheme="minorHAnsi"/>
          <w:sz w:val="22"/>
          <w:szCs w:val="22"/>
        </w:rPr>
      </w:pPr>
    </w:p>
    <w:p w14:paraId="4D4A73B6" w14:textId="324C9338" w:rsidR="002B1B69" w:rsidRPr="002B1B69" w:rsidRDefault="002B1B69" w:rsidP="002B1B69">
      <w:pPr>
        <w:pStyle w:val="Corpsdetexte"/>
        <w:ind w:left="0"/>
        <w:rPr>
          <w:rFonts w:asciiTheme="minorHAnsi" w:hAnsiTheme="minorHAnsi" w:cstheme="minorHAnsi"/>
          <w:sz w:val="22"/>
          <w:szCs w:val="22"/>
          <w:lang w:val="en-GB"/>
        </w:rPr>
      </w:pPr>
      <w:r w:rsidRPr="00765FF3">
        <w:rPr>
          <w:rFonts w:asciiTheme="minorHAnsi" w:hAnsiTheme="minorHAnsi" w:cstheme="minorHAnsi"/>
          <w:sz w:val="22"/>
          <w:szCs w:val="22"/>
        </w:rPr>
        <w:t>Quintanilla-Casas, B., Marin, M., Guardiola, F., García-Gonz</w:t>
      </w:r>
      <w:r w:rsidR="003D5EA7">
        <w:rPr>
          <w:rFonts w:ascii="Avenir Next LT Pro" w:hAnsi="Avenir Next LT Pro" w:cstheme="minorHAnsi"/>
          <w:sz w:val="22"/>
          <w:szCs w:val="22"/>
        </w:rPr>
        <w:t>á</w:t>
      </w:r>
      <w:r w:rsidRPr="00765FF3">
        <w:rPr>
          <w:rFonts w:asciiTheme="minorHAnsi" w:hAnsiTheme="minorHAnsi" w:cstheme="minorHAnsi"/>
          <w:sz w:val="22"/>
          <w:szCs w:val="22"/>
        </w:rPr>
        <w:t xml:space="preserve">lez, D. L., Barbieri, S., </w:t>
      </w:r>
      <w:proofErr w:type="spellStart"/>
      <w:r w:rsidRPr="00765FF3">
        <w:rPr>
          <w:rFonts w:asciiTheme="minorHAnsi" w:hAnsiTheme="minorHAnsi" w:cstheme="minorHAnsi"/>
          <w:sz w:val="22"/>
          <w:szCs w:val="22"/>
        </w:rPr>
        <w:t>Bendini</w:t>
      </w:r>
      <w:proofErr w:type="spellEnd"/>
      <w:r w:rsidRPr="00765FF3">
        <w:rPr>
          <w:rFonts w:asciiTheme="minorHAnsi" w:hAnsiTheme="minorHAnsi" w:cstheme="minorHAnsi"/>
          <w:sz w:val="22"/>
          <w:szCs w:val="22"/>
        </w:rPr>
        <w:t xml:space="preserve">, A., &amp; Tres, A. (2020). Supporting the sensory panel to grade virgin olive oils: An in-house-validated screening tool by volatile fingerprinting and chemometrics. Foods, 9(10), 1–14. </w:t>
      </w:r>
      <w:hyperlink r:id="rId33" w:history="1">
        <w:r w:rsidRPr="002B1B69">
          <w:rPr>
            <w:rStyle w:val="Lienhypertexte"/>
            <w:rFonts w:asciiTheme="minorHAnsi" w:hAnsiTheme="minorHAnsi" w:cstheme="minorHAnsi"/>
            <w:sz w:val="22"/>
            <w:szCs w:val="22"/>
            <w:lang w:val="en-GB"/>
          </w:rPr>
          <w:t>https://doi.org/10.3390/foods9101509</w:t>
        </w:r>
      </w:hyperlink>
      <w:r w:rsidRPr="002B1B69">
        <w:rPr>
          <w:rFonts w:asciiTheme="minorHAnsi" w:hAnsiTheme="minorHAnsi" w:cstheme="minorHAnsi"/>
          <w:sz w:val="22"/>
          <w:szCs w:val="22"/>
          <w:lang w:val="en-GB"/>
        </w:rPr>
        <w:t xml:space="preserve"> </w:t>
      </w:r>
    </w:p>
    <w:p w14:paraId="3C45F62B" w14:textId="77777777" w:rsidR="002B1B69" w:rsidRPr="002B1B69" w:rsidRDefault="002B1B69" w:rsidP="002B1B69">
      <w:pPr>
        <w:pStyle w:val="Corpsdetexte"/>
        <w:ind w:left="0"/>
        <w:rPr>
          <w:rFonts w:asciiTheme="minorHAnsi" w:hAnsiTheme="minorHAnsi" w:cstheme="minorHAnsi"/>
          <w:sz w:val="22"/>
          <w:szCs w:val="22"/>
          <w:lang w:val="en-GB"/>
        </w:rPr>
      </w:pPr>
    </w:p>
    <w:p w14:paraId="63019C6C" w14:textId="77777777" w:rsidR="002B1B69" w:rsidRDefault="002B1B69" w:rsidP="002B1B69">
      <w:pPr>
        <w:pStyle w:val="Corpsdetexte"/>
        <w:ind w:left="0"/>
        <w:rPr>
          <w:rFonts w:asciiTheme="minorHAnsi" w:hAnsiTheme="minorHAnsi" w:cstheme="minorHAnsi"/>
          <w:sz w:val="22"/>
          <w:szCs w:val="22"/>
        </w:rPr>
      </w:pPr>
      <w:proofErr w:type="spellStart"/>
      <w:r w:rsidRPr="002B1B69">
        <w:rPr>
          <w:rFonts w:asciiTheme="minorHAnsi" w:hAnsiTheme="minorHAnsi" w:cstheme="minorHAnsi"/>
          <w:sz w:val="22"/>
          <w:szCs w:val="22"/>
          <w:lang w:val="en-GB"/>
        </w:rPr>
        <w:t>Solomou</w:t>
      </w:r>
      <w:proofErr w:type="spellEnd"/>
      <w:r w:rsidRPr="002B1B69">
        <w:rPr>
          <w:rFonts w:asciiTheme="minorHAnsi" w:hAnsiTheme="minorHAnsi" w:cstheme="minorHAnsi"/>
          <w:sz w:val="22"/>
          <w:szCs w:val="22"/>
          <w:lang w:val="en-GB"/>
        </w:rPr>
        <w:t xml:space="preserve">, N., </w:t>
      </w:r>
      <w:proofErr w:type="spellStart"/>
      <w:r w:rsidRPr="002B1B69">
        <w:rPr>
          <w:rFonts w:asciiTheme="minorHAnsi" w:hAnsiTheme="minorHAnsi" w:cstheme="minorHAnsi"/>
          <w:sz w:val="22"/>
          <w:szCs w:val="22"/>
          <w:lang w:val="en-GB"/>
        </w:rPr>
        <w:t>Bicchi</w:t>
      </w:r>
      <w:proofErr w:type="spellEnd"/>
      <w:r w:rsidRPr="002B1B69">
        <w:rPr>
          <w:rFonts w:asciiTheme="minorHAnsi" w:hAnsiTheme="minorHAnsi" w:cstheme="minorHAnsi"/>
          <w:sz w:val="22"/>
          <w:szCs w:val="22"/>
          <w:lang w:val="en-GB"/>
        </w:rPr>
        <w:t xml:space="preserve">, C., </w:t>
      </w:r>
      <w:proofErr w:type="spellStart"/>
      <w:r w:rsidRPr="002B1B69">
        <w:rPr>
          <w:rFonts w:asciiTheme="minorHAnsi" w:hAnsiTheme="minorHAnsi" w:cstheme="minorHAnsi"/>
          <w:sz w:val="22"/>
          <w:szCs w:val="22"/>
          <w:lang w:val="en-GB"/>
        </w:rPr>
        <w:t>Sgorbini</w:t>
      </w:r>
      <w:proofErr w:type="spellEnd"/>
      <w:r w:rsidRPr="002B1B69">
        <w:rPr>
          <w:rFonts w:asciiTheme="minorHAnsi" w:hAnsiTheme="minorHAnsi" w:cstheme="minorHAnsi"/>
          <w:sz w:val="22"/>
          <w:szCs w:val="22"/>
          <w:lang w:val="en-GB"/>
        </w:rPr>
        <w:t xml:space="preserve">, B., &amp; </w:t>
      </w:r>
      <w:proofErr w:type="spellStart"/>
      <w:r w:rsidRPr="002B1B69">
        <w:rPr>
          <w:rFonts w:asciiTheme="minorHAnsi" w:hAnsiTheme="minorHAnsi" w:cstheme="minorHAnsi"/>
          <w:sz w:val="22"/>
          <w:szCs w:val="22"/>
          <w:lang w:val="en-GB"/>
        </w:rPr>
        <w:t>Psillakis</w:t>
      </w:r>
      <w:proofErr w:type="spellEnd"/>
      <w:r w:rsidRPr="002B1B69">
        <w:rPr>
          <w:rFonts w:asciiTheme="minorHAnsi" w:hAnsiTheme="minorHAnsi" w:cstheme="minorHAnsi"/>
          <w:sz w:val="22"/>
          <w:szCs w:val="22"/>
          <w:lang w:val="en-GB"/>
        </w:rPr>
        <w:t xml:space="preserve">, E. (2020). </w:t>
      </w:r>
      <w:r w:rsidRPr="00765FF3">
        <w:rPr>
          <w:rFonts w:asciiTheme="minorHAnsi" w:hAnsiTheme="minorHAnsi" w:cstheme="minorHAnsi"/>
          <w:sz w:val="22"/>
          <w:szCs w:val="22"/>
        </w:rPr>
        <w:t xml:space="preserve">Vacuum-assisted headspace </w:t>
      </w:r>
      <w:proofErr w:type="spellStart"/>
      <w:r w:rsidRPr="00765FF3">
        <w:rPr>
          <w:rFonts w:asciiTheme="minorHAnsi" w:hAnsiTheme="minorHAnsi" w:cstheme="minorHAnsi"/>
          <w:sz w:val="22"/>
          <w:szCs w:val="22"/>
        </w:rPr>
        <w:t>sorptive</w:t>
      </w:r>
      <w:proofErr w:type="spellEnd"/>
      <w:r w:rsidRPr="00765FF3">
        <w:rPr>
          <w:rFonts w:asciiTheme="minorHAnsi" w:hAnsiTheme="minorHAnsi" w:cstheme="minorHAnsi"/>
          <w:sz w:val="22"/>
          <w:szCs w:val="22"/>
        </w:rPr>
        <w:t xml:space="preserve"> extraction: Theoretical considerations and proof-of-concept extraction of polycyclic aromatic hydrocarbons from water samples.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1096, 100–107. https://doi.org/10.1016/j.aca.2019.10.050</w:t>
      </w:r>
    </w:p>
    <w:p w14:paraId="4FDABC0B" w14:textId="77777777" w:rsidR="002B1B69" w:rsidRDefault="002B1B69" w:rsidP="002B1B69">
      <w:pPr>
        <w:pStyle w:val="Corpsdetexte"/>
        <w:ind w:left="0"/>
        <w:rPr>
          <w:rFonts w:asciiTheme="minorHAnsi" w:hAnsiTheme="minorHAnsi" w:cstheme="minorHAnsi"/>
          <w:sz w:val="22"/>
          <w:szCs w:val="22"/>
        </w:rPr>
      </w:pPr>
    </w:p>
    <w:p w14:paraId="156CBF8D" w14:textId="06BDC098"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Souza-Silva, </w:t>
      </w:r>
      <w:r w:rsidR="003D5EA7" w:rsidRPr="003D5EA7">
        <w:rPr>
          <w:rFonts w:asciiTheme="minorHAnsi" w:hAnsiTheme="minorHAnsi" w:cstheme="minorHAnsi"/>
          <w:sz w:val="22"/>
          <w:szCs w:val="22"/>
        </w:rPr>
        <w:t>É</w:t>
      </w:r>
      <w:r w:rsidRPr="00765FF3">
        <w:rPr>
          <w:rFonts w:asciiTheme="minorHAnsi" w:hAnsiTheme="minorHAnsi" w:cstheme="minorHAnsi"/>
          <w:sz w:val="22"/>
          <w:szCs w:val="22"/>
        </w:rPr>
        <w:t xml:space="preserve">. A., Gionfriddo, E., &amp; </w:t>
      </w:r>
      <w:proofErr w:type="spellStart"/>
      <w:r w:rsidRPr="00765FF3">
        <w:rPr>
          <w:rFonts w:asciiTheme="minorHAnsi" w:hAnsiTheme="minorHAnsi" w:cstheme="minorHAnsi"/>
          <w:sz w:val="22"/>
          <w:szCs w:val="22"/>
        </w:rPr>
        <w:t>Pawliszyn</w:t>
      </w:r>
      <w:proofErr w:type="spellEnd"/>
      <w:r w:rsidRPr="00765FF3">
        <w:rPr>
          <w:rFonts w:asciiTheme="minorHAnsi" w:hAnsiTheme="minorHAnsi" w:cstheme="minorHAnsi"/>
          <w:sz w:val="22"/>
          <w:szCs w:val="22"/>
        </w:rPr>
        <w:t xml:space="preserve">, J. (2015). A critical review of the state of the art of </w:t>
      </w:r>
      <w:proofErr w:type="gramStart"/>
      <w:r w:rsidRPr="00765FF3">
        <w:rPr>
          <w:rFonts w:asciiTheme="minorHAnsi" w:hAnsiTheme="minorHAnsi" w:cstheme="minorHAnsi"/>
          <w:sz w:val="22"/>
          <w:szCs w:val="22"/>
        </w:rPr>
        <w:t>solid-phase</w:t>
      </w:r>
      <w:proofErr w:type="gramEnd"/>
      <w:r w:rsidRPr="00765FF3">
        <w:rPr>
          <w:rFonts w:asciiTheme="minorHAnsi" w:hAnsiTheme="minorHAnsi" w:cstheme="minorHAnsi"/>
          <w:sz w:val="22"/>
          <w:szCs w:val="22"/>
        </w:rPr>
        <w:t xml:space="preserve"> microextraction of complex matrices II. Food analysis. </w:t>
      </w:r>
      <w:proofErr w:type="spellStart"/>
      <w:r w:rsidRPr="00765FF3">
        <w:rPr>
          <w:rFonts w:asciiTheme="minorHAnsi" w:hAnsiTheme="minorHAnsi" w:cstheme="minorHAnsi"/>
          <w:sz w:val="22"/>
          <w:szCs w:val="22"/>
        </w:rPr>
        <w:t>TrAC</w:t>
      </w:r>
      <w:proofErr w:type="spellEnd"/>
      <w:r w:rsidRPr="00765FF3">
        <w:rPr>
          <w:rFonts w:asciiTheme="minorHAnsi" w:hAnsiTheme="minorHAnsi" w:cstheme="minorHAnsi"/>
          <w:sz w:val="22"/>
          <w:szCs w:val="22"/>
        </w:rPr>
        <w:t xml:space="preserve"> - Trends in Analytical Chemistry. https://doi.org/10.1016/j.trac.2015.04.018 </w:t>
      </w:r>
    </w:p>
    <w:p w14:paraId="07FD37A1" w14:textId="77777777" w:rsidR="002B1B69" w:rsidRDefault="002B1B69" w:rsidP="002B1B69">
      <w:pPr>
        <w:pStyle w:val="Corpsdetexte"/>
        <w:ind w:left="0"/>
        <w:rPr>
          <w:rFonts w:asciiTheme="minorHAnsi" w:hAnsiTheme="minorHAnsi" w:cstheme="minorHAnsi"/>
          <w:sz w:val="22"/>
          <w:szCs w:val="22"/>
        </w:rPr>
      </w:pPr>
    </w:p>
    <w:p w14:paraId="184BBFD5"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 xml:space="preserve">Spadafora, N. D., </w:t>
      </w:r>
      <w:proofErr w:type="spellStart"/>
      <w:r w:rsidRPr="00765FF3">
        <w:rPr>
          <w:rFonts w:asciiTheme="minorHAnsi" w:hAnsiTheme="minorHAnsi" w:cstheme="minorHAnsi"/>
          <w:sz w:val="22"/>
          <w:szCs w:val="22"/>
        </w:rPr>
        <w:t>Mascrez</w:t>
      </w:r>
      <w:proofErr w:type="spellEnd"/>
      <w:r w:rsidRPr="00765FF3">
        <w:rPr>
          <w:rFonts w:asciiTheme="minorHAnsi" w:hAnsiTheme="minorHAnsi" w:cstheme="minorHAnsi"/>
          <w:sz w:val="22"/>
          <w:szCs w:val="22"/>
        </w:rPr>
        <w:t xml:space="preserve">, S., McGregor, L., &amp; Purcaro, G. (2022). Exploring </w:t>
      </w:r>
      <w:proofErr w:type="spellStart"/>
      <w:r w:rsidRPr="00765FF3">
        <w:rPr>
          <w:rFonts w:asciiTheme="minorHAnsi" w:hAnsiTheme="minorHAnsi" w:cstheme="minorHAnsi"/>
          <w:sz w:val="22"/>
          <w:szCs w:val="22"/>
        </w:rPr>
        <w:t>multiplecumulative</w:t>
      </w:r>
      <w:proofErr w:type="spellEnd"/>
      <w:r w:rsidRPr="00765FF3">
        <w:rPr>
          <w:rFonts w:asciiTheme="minorHAnsi" w:hAnsiTheme="minorHAnsi" w:cstheme="minorHAnsi"/>
          <w:sz w:val="22"/>
          <w:szCs w:val="22"/>
        </w:rPr>
        <w:t xml:space="preserve"> trapping solid-phase microextraction coupled to gas chromatography–mass spectrometry for quality and authenticity assessment of olive oil. Food Chemistry, 383, Article 132438. </w:t>
      </w:r>
      <w:hyperlink r:id="rId34" w:history="1">
        <w:r w:rsidRPr="00EC5E76">
          <w:rPr>
            <w:rStyle w:val="Lienhypertexte"/>
            <w:rFonts w:asciiTheme="minorHAnsi" w:hAnsiTheme="minorHAnsi" w:cstheme="minorHAnsi"/>
            <w:sz w:val="22"/>
            <w:szCs w:val="22"/>
          </w:rPr>
          <w:t>https://doi.org/10.1016/j. foodchem.2022.132438</w:t>
        </w:r>
      </w:hyperlink>
      <w:r w:rsidRPr="00765FF3">
        <w:rPr>
          <w:rFonts w:asciiTheme="minorHAnsi" w:hAnsiTheme="minorHAnsi" w:cstheme="minorHAnsi"/>
          <w:sz w:val="22"/>
          <w:szCs w:val="22"/>
        </w:rPr>
        <w:t xml:space="preserve"> </w:t>
      </w:r>
    </w:p>
    <w:p w14:paraId="2D0B0587" w14:textId="77777777" w:rsidR="002B1B69" w:rsidRDefault="002B1B69" w:rsidP="002B1B69">
      <w:pPr>
        <w:pStyle w:val="Corpsdetexte"/>
        <w:ind w:left="0"/>
        <w:rPr>
          <w:rFonts w:asciiTheme="minorHAnsi" w:hAnsiTheme="minorHAnsi" w:cstheme="minorHAnsi"/>
          <w:sz w:val="22"/>
          <w:szCs w:val="22"/>
        </w:rPr>
      </w:pPr>
    </w:p>
    <w:p w14:paraId="1ADFD9E5" w14:textId="77777777" w:rsidR="002B1B69" w:rsidRDefault="002B1B69" w:rsidP="002B1B69">
      <w:pPr>
        <w:pStyle w:val="Corpsdetexte"/>
        <w:ind w:left="0"/>
        <w:rPr>
          <w:rFonts w:asciiTheme="minorHAnsi" w:hAnsiTheme="minorHAnsi" w:cstheme="minorHAnsi"/>
          <w:sz w:val="22"/>
          <w:szCs w:val="22"/>
        </w:rPr>
      </w:pPr>
      <w:r w:rsidRPr="00765FF3">
        <w:rPr>
          <w:rFonts w:asciiTheme="minorHAnsi" w:hAnsiTheme="minorHAnsi" w:cstheme="minorHAnsi"/>
          <w:sz w:val="22"/>
          <w:szCs w:val="22"/>
        </w:rPr>
        <w:t>Tranchida, P. Q., Purcaro, G., Maimone, M., &amp; Mondello, L. (2016). Impact of comprehensive two-dimensional gas chromatography with mass spectrometry on food analysis. Journal of Separation Science, 39(1), 149–161. https://doi.org/ 10.1002/jssc.201500379</w:t>
      </w:r>
    </w:p>
    <w:p w14:paraId="18B6F578" w14:textId="77777777" w:rsidR="002B1B69" w:rsidRDefault="002B1B69" w:rsidP="002B1B69">
      <w:pPr>
        <w:pStyle w:val="Corpsdetexte"/>
        <w:ind w:left="0"/>
        <w:rPr>
          <w:rFonts w:asciiTheme="minorHAnsi" w:hAnsiTheme="minorHAnsi" w:cstheme="minorHAnsi"/>
          <w:sz w:val="22"/>
          <w:szCs w:val="22"/>
        </w:rPr>
      </w:pPr>
    </w:p>
    <w:p w14:paraId="5FB40FE0" w14:textId="5ADCCB0C" w:rsidR="003D5EA7" w:rsidRDefault="002B1B69" w:rsidP="002B1B69">
      <w:pPr>
        <w:pStyle w:val="Corpsdetexte"/>
        <w:ind w:left="0"/>
        <w:rPr>
          <w:rFonts w:asciiTheme="minorHAnsi" w:hAnsiTheme="minorHAnsi" w:cstheme="minorHAnsi"/>
          <w:sz w:val="22"/>
          <w:szCs w:val="22"/>
          <w:lang w:val="fr-BE"/>
        </w:rPr>
      </w:pPr>
      <w:r w:rsidRPr="00765FF3">
        <w:rPr>
          <w:rFonts w:asciiTheme="minorHAnsi" w:hAnsiTheme="minorHAnsi" w:cstheme="minorHAnsi"/>
          <w:sz w:val="22"/>
          <w:szCs w:val="22"/>
        </w:rPr>
        <w:t xml:space="preserve">Trujillo-Rodríguez, M. J., Pino, V., Psillakis, E., Anderson, J. L., Ayala, J. H., </w:t>
      </w:r>
      <w:proofErr w:type="spellStart"/>
      <w:r w:rsidRPr="00765FF3">
        <w:rPr>
          <w:rFonts w:asciiTheme="minorHAnsi" w:hAnsiTheme="minorHAnsi" w:cstheme="minorHAnsi"/>
          <w:sz w:val="22"/>
          <w:szCs w:val="22"/>
        </w:rPr>
        <w:t>Yiantzi</w:t>
      </w:r>
      <w:proofErr w:type="spellEnd"/>
      <w:r w:rsidRPr="00765FF3">
        <w:rPr>
          <w:rFonts w:asciiTheme="minorHAnsi" w:hAnsiTheme="minorHAnsi" w:cstheme="minorHAnsi"/>
          <w:sz w:val="22"/>
          <w:szCs w:val="22"/>
        </w:rPr>
        <w:t xml:space="preserve">, E., &amp; Afonso, A. M. (2017). Vacuum-assisted headspace-solid phase microextraction for determining volatile free fatty acids and phenols. Investigations on the effect of pressure on competitive adsorption phenomena in a multicomponent system. </w:t>
      </w:r>
      <w:proofErr w:type="spellStart"/>
      <w:r w:rsidRPr="00765FF3">
        <w:rPr>
          <w:rFonts w:asciiTheme="minorHAnsi" w:hAnsiTheme="minorHAnsi" w:cstheme="minorHAnsi"/>
          <w:sz w:val="22"/>
          <w:szCs w:val="22"/>
          <w:lang w:val="fr-BE"/>
        </w:rPr>
        <w:t>Analytica</w:t>
      </w:r>
      <w:proofErr w:type="spellEnd"/>
      <w:r w:rsidRPr="00765FF3">
        <w:rPr>
          <w:rFonts w:asciiTheme="minorHAnsi" w:hAnsiTheme="minorHAnsi" w:cstheme="minorHAnsi"/>
          <w:sz w:val="22"/>
          <w:szCs w:val="22"/>
          <w:lang w:val="fr-BE"/>
        </w:rPr>
        <w:t xml:space="preserve"> </w:t>
      </w:r>
      <w:proofErr w:type="spellStart"/>
      <w:r w:rsidRPr="00765FF3">
        <w:rPr>
          <w:rFonts w:asciiTheme="minorHAnsi" w:hAnsiTheme="minorHAnsi" w:cstheme="minorHAnsi"/>
          <w:sz w:val="22"/>
          <w:szCs w:val="22"/>
          <w:lang w:val="fr-BE"/>
        </w:rPr>
        <w:t>Chimica</w:t>
      </w:r>
      <w:proofErr w:type="spellEnd"/>
      <w:r w:rsidRPr="00765FF3">
        <w:rPr>
          <w:rFonts w:asciiTheme="minorHAnsi" w:hAnsiTheme="minorHAnsi" w:cstheme="minorHAnsi"/>
          <w:sz w:val="22"/>
          <w:szCs w:val="22"/>
          <w:lang w:val="fr-BE"/>
        </w:rPr>
        <w:t xml:space="preserve"> Acta, 962, 41–51.</w:t>
      </w:r>
      <w:r w:rsidR="003D5EA7">
        <w:rPr>
          <w:rFonts w:asciiTheme="minorHAnsi" w:hAnsiTheme="minorHAnsi" w:cstheme="minorHAnsi"/>
          <w:sz w:val="22"/>
          <w:szCs w:val="22"/>
          <w:lang w:val="fr-BE"/>
        </w:rPr>
        <w:t xml:space="preserve"> </w:t>
      </w:r>
      <w:hyperlink r:id="rId35" w:history="1">
        <w:r w:rsidR="003D5EA7" w:rsidRPr="00AF612D">
          <w:rPr>
            <w:rStyle w:val="Lienhypertexte"/>
            <w:rFonts w:asciiTheme="minorHAnsi" w:hAnsiTheme="minorHAnsi" w:cstheme="minorHAnsi"/>
            <w:sz w:val="22"/>
            <w:szCs w:val="22"/>
            <w:lang w:val="fr-BE"/>
          </w:rPr>
          <w:t>https://doi.org/10.1016/j.aca.2017.01.056</w:t>
        </w:r>
      </w:hyperlink>
    </w:p>
    <w:p w14:paraId="49B92892" w14:textId="77777777" w:rsidR="002B1B69" w:rsidRDefault="002B1B69" w:rsidP="002B1B69">
      <w:pPr>
        <w:pStyle w:val="Corpsdetexte"/>
        <w:ind w:left="0"/>
        <w:rPr>
          <w:rFonts w:asciiTheme="minorHAnsi" w:hAnsiTheme="minorHAnsi" w:cstheme="minorHAnsi"/>
          <w:sz w:val="22"/>
          <w:szCs w:val="22"/>
          <w:lang w:val="fr-BE"/>
        </w:rPr>
      </w:pPr>
    </w:p>
    <w:p w14:paraId="5F564F2A" w14:textId="36A7469D"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lang w:val="fr-BE"/>
        </w:rPr>
        <w:t>Vakinti</w:t>
      </w:r>
      <w:proofErr w:type="spellEnd"/>
      <w:r w:rsidRPr="00765FF3">
        <w:rPr>
          <w:rFonts w:asciiTheme="minorHAnsi" w:hAnsiTheme="minorHAnsi" w:cstheme="minorHAnsi"/>
          <w:sz w:val="22"/>
          <w:szCs w:val="22"/>
          <w:lang w:val="fr-BE"/>
        </w:rPr>
        <w:t xml:space="preserve">, M., </w:t>
      </w:r>
      <w:proofErr w:type="spellStart"/>
      <w:r w:rsidRPr="00765FF3">
        <w:rPr>
          <w:rFonts w:asciiTheme="minorHAnsi" w:hAnsiTheme="minorHAnsi" w:cstheme="minorHAnsi"/>
          <w:sz w:val="22"/>
          <w:szCs w:val="22"/>
          <w:lang w:val="fr-BE"/>
        </w:rPr>
        <w:t>Mela</w:t>
      </w:r>
      <w:proofErr w:type="spellEnd"/>
      <w:r w:rsidRPr="00765FF3">
        <w:rPr>
          <w:rFonts w:asciiTheme="minorHAnsi" w:hAnsiTheme="minorHAnsi" w:cstheme="minorHAnsi"/>
          <w:sz w:val="22"/>
          <w:szCs w:val="22"/>
          <w:lang w:val="fr-BE"/>
        </w:rPr>
        <w:t>, S. M., Fern</w:t>
      </w:r>
      <w:r w:rsidR="00442B39">
        <w:rPr>
          <w:rFonts w:ascii="Avenir Next LT Pro" w:hAnsi="Avenir Next LT Pro" w:cstheme="minorHAnsi"/>
          <w:sz w:val="22"/>
          <w:szCs w:val="22"/>
          <w:lang w:val="fr-BE"/>
        </w:rPr>
        <w:t>á</w:t>
      </w:r>
      <w:r w:rsidRPr="00765FF3">
        <w:rPr>
          <w:rFonts w:asciiTheme="minorHAnsi" w:hAnsiTheme="minorHAnsi" w:cstheme="minorHAnsi"/>
          <w:sz w:val="22"/>
          <w:szCs w:val="22"/>
          <w:lang w:val="fr-BE"/>
        </w:rPr>
        <w:t xml:space="preserve">ndez, E., &amp; </w:t>
      </w:r>
      <w:proofErr w:type="spellStart"/>
      <w:r w:rsidRPr="00765FF3">
        <w:rPr>
          <w:rFonts w:asciiTheme="minorHAnsi" w:hAnsiTheme="minorHAnsi" w:cstheme="minorHAnsi"/>
          <w:sz w:val="22"/>
          <w:szCs w:val="22"/>
          <w:lang w:val="fr-BE"/>
        </w:rPr>
        <w:t>Psillakis</w:t>
      </w:r>
      <w:proofErr w:type="spellEnd"/>
      <w:r w:rsidRPr="00765FF3">
        <w:rPr>
          <w:rFonts w:asciiTheme="minorHAnsi" w:hAnsiTheme="minorHAnsi" w:cstheme="minorHAnsi"/>
          <w:sz w:val="22"/>
          <w:szCs w:val="22"/>
          <w:lang w:val="fr-BE"/>
        </w:rPr>
        <w:t xml:space="preserve">, E. (2019). </w:t>
      </w:r>
      <w:r w:rsidRPr="00765FF3">
        <w:rPr>
          <w:rFonts w:asciiTheme="minorHAnsi" w:hAnsiTheme="minorHAnsi" w:cstheme="minorHAnsi"/>
          <w:sz w:val="22"/>
          <w:szCs w:val="22"/>
        </w:rPr>
        <w:t xml:space="preserve">Room temperature and sensitive determination of </w:t>
      </w:r>
      <w:proofErr w:type="spellStart"/>
      <w:r w:rsidRPr="00765FF3">
        <w:rPr>
          <w:rFonts w:asciiTheme="minorHAnsi" w:hAnsiTheme="minorHAnsi" w:cstheme="minorHAnsi"/>
          <w:sz w:val="22"/>
          <w:szCs w:val="22"/>
        </w:rPr>
        <w:t>haloanisoles</w:t>
      </w:r>
      <w:proofErr w:type="spellEnd"/>
      <w:r w:rsidRPr="00765FF3">
        <w:rPr>
          <w:rFonts w:asciiTheme="minorHAnsi" w:hAnsiTheme="minorHAnsi" w:cstheme="minorHAnsi"/>
          <w:sz w:val="22"/>
          <w:szCs w:val="22"/>
        </w:rPr>
        <w:t xml:space="preserve"> in wine using vacuum-assisted headspace solid-phase microextraction. Journal of Chromatography A, 1602, 142–149. https:// doi.org/10.1016/j.chroma.2019.03.047 </w:t>
      </w:r>
    </w:p>
    <w:p w14:paraId="0D27EE34" w14:textId="77777777" w:rsidR="002B1B69" w:rsidRDefault="002B1B69" w:rsidP="002B1B69">
      <w:pPr>
        <w:pStyle w:val="Corpsdetexte"/>
        <w:ind w:left="0"/>
        <w:rPr>
          <w:rFonts w:asciiTheme="minorHAnsi" w:hAnsiTheme="minorHAnsi" w:cstheme="minorHAnsi"/>
          <w:sz w:val="22"/>
          <w:szCs w:val="22"/>
        </w:rPr>
      </w:pPr>
    </w:p>
    <w:p w14:paraId="4FEA029A" w14:textId="77777777" w:rsidR="002B1B69" w:rsidRDefault="002B1B69" w:rsidP="002B1B69">
      <w:pPr>
        <w:pStyle w:val="Corpsdetexte"/>
        <w:ind w:left="0"/>
        <w:rPr>
          <w:rFonts w:asciiTheme="minorHAnsi" w:hAnsiTheme="minorHAnsi" w:cstheme="minorHAnsi"/>
          <w:sz w:val="22"/>
          <w:szCs w:val="22"/>
        </w:rPr>
      </w:pPr>
      <w:r w:rsidRPr="002B1B69">
        <w:rPr>
          <w:rFonts w:asciiTheme="minorHAnsi" w:hAnsiTheme="minorHAnsi" w:cstheme="minorHAnsi"/>
          <w:sz w:val="22"/>
          <w:szCs w:val="22"/>
        </w:rPr>
        <w:lastRenderedPageBreak/>
        <w:t xml:space="preserve">Valli, E., Panni, F., Casadei, E., Barbieri, S., </w:t>
      </w:r>
      <w:proofErr w:type="spellStart"/>
      <w:r w:rsidRPr="002B1B69">
        <w:rPr>
          <w:rFonts w:asciiTheme="minorHAnsi" w:hAnsiTheme="minorHAnsi" w:cstheme="minorHAnsi"/>
          <w:sz w:val="22"/>
          <w:szCs w:val="22"/>
        </w:rPr>
        <w:t>Cevoli</w:t>
      </w:r>
      <w:proofErr w:type="spellEnd"/>
      <w:r w:rsidRPr="002B1B69">
        <w:rPr>
          <w:rFonts w:asciiTheme="minorHAnsi" w:hAnsiTheme="minorHAnsi" w:cstheme="minorHAnsi"/>
          <w:sz w:val="22"/>
          <w:szCs w:val="22"/>
        </w:rPr>
        <w:t xml:space="preserve">, C., Bendini, A., &amp; Toschi, T. G. (2020). </w:t>
      </w:r>
      <w:r w:rsidRPr="00765FF3">
        <w:rPr>
          <w:rFonts w:asciiTheme="minorHAnsi" w:hAnsiTheme="minorHAnsi" w:cstheme="minorHAnsi"/>
          <w:sz w:val="22"/>
          <w:szCs w:val="22"/>
        </w:rPr>
        <w:t xml:space="preserve">An HS-GC-IMS method for the quality classification of virgin olive oils as screening support for the panel test. Foods, 9(5), 1–15. </w:t>
      </w:r>
      <w:hyperlink r:id="rId36" w:history="1">
        <w:r w:rsidRPr="00EC5E76">
          <w:rPr>
            <w:rStyle w:val="Lienhypertexte"/>
            <w:rFonts w:asciiTheme="minorHAnsi" w:hAnsiTheme="minorHAnsi" w:cstheme="minorHAnsi"/>
            <w:sz w:val="22"/>
            <w:szCs w:val="22"/>
          </w:rPr>
          <w:t>https://doi.org/10.3390/foods9050657</w:t>
        </w:r>
      </w:hyperlink>
      <w:r w:rsidRPr="00765FF3">
        <w:rPr>
          <w:rFonts w:asciiTheme="minorHAnsi" w:hAnsiTheme="minorHAnsi" w:cstheme="minorHAnsi"/>
          <w:sz w:val="22"/>
          <w:szCs w:val="22"/>
        </w:rPr>
        <w:t xml:space="preserve"> </w:t>
      </w:r>
    </w:p>
    <w:p w14:paraId="5F72B33F" w14:textId="77777777" w:rsidR="002B1B69" w:rsidRDefault="002B1B69" w:rsidP="002B1B69">
      <w:pPr>
        <w:pStyle w:val="Corpsdetexte"/>
        <w:ind w:left="0"/>
        <w:rPr>
          <w:rFonts w:asciiTheme="minorHAnsi" w:hAnsiTheme="minorHAnsi" w:cstheme="minorHAnsi"/>
          <w:sz w:val="22"/>
          <w:szCs w:val="22"/>
        </w:rPr>
      </w:pPr>
    </w:p>
    <w:p w14:paraId="4E5367E7" w14:textId="77777777" w:rsidR="002B1B69" w:rsidRPr="00765FF3" w:rsidRDefault="002B1B69" w:rsidP="002B1B69">
      <w:pPr>
        <w:pStyle w:val="Corpsdetexte"/>
        <w:ind w:left="0"/>
        <w:rPr>
          <w:rFonts w:asciiTheme="minorHAnsi" w:hAnsiTheme="minorHAnsi" w:cstheme="minorHAnsi"/>
          <w:sz w:val="22"/>
          <w:szCs w:val="22"/>
          <w:lang w:val="de-DE"/>
        </w:rPr>
      </w:pPr>
      <w:r w:rsidRPr="00765FF3">
        <w:rPr>
          <w:rFonts w:asciiTheme="minorHAnsi" w:hAnsiTheme="minorHAnsi" w:cstheme="minorHAnsi"/>
          <w:sz w:val="22"/>
          <w:szCs w:val="22"/>
        </w:rPr>
        <w:t xml:space="preserve">Wojnowski, W., </w:t>
      </w:r>
      <w:proofErr w:type="spellStart"/>
      <w:r w:rsidRPr="00765FF3">
        <w:rPr>
          <w:rFonts w:asciiTheme="minorHAnsi" w:hAnsiTheme="minorHAnsi" w:cstheme="minorHAnsi"/>
          <w:sz w:val="22"/>
          <w:szCs w:val="22"/>
        </w:rPr>
        <w:t>Tobiszewski</w:t>
      </w:r>
      <w:proofErr w:type="spellEnd"/>
      <w:r w:rsidRPr="00765FF3">
        <w:rPr>
          <w:rFonts w:asciiTheme="minorHAnsi" w:hAnsiTheme="minorHAnsi" w:cstheme="minorHAnsi"/>
          <w:sz w:val="22"/>
          <w:szCs w:val="22"/>
        </w:rPr>
        <w:t xml:space="preserve">, M., Pena-Pereira, F., &amp; </w:t>
      </w:r>
      <w:proofErr w:type="spellStart"/>
      <w:r w:rsidRPr="00765FF3">
        <w:rPr>
          <w:rFonts w:asciiTheme="minorHAnsi" w:hAnsiTheme="minorHAnsi" w:cstheme="minorHAnsi"/>
          <w:sz w:val="22"/>
          <w:szCs w:val="22"/>
        </w:rPr>
        <w:t>Psillakis</w:t>
      </w:r>
      <w:proofErr w:type="spellEnd"/>
      <w:r w:rsidRPr="00765FF3">
        <w:rPr>
          <w:rFonts w:asciiTheme="minorHAnsi" w:hAnsiTheme="minorHAnsi" w:cstheme="minorHAnsi"/>
          <w:sz w:val="22"/>
          <w:szCs w:val="22"/>
        </w:rPr>
        <w:t xml:space="preserve">, E. (2022). </w:t>
      </w:r>
      <w:proofErr w:type="spellStart"/>
      <w:r w:rsidRPr="00765FF3">
        <w:rPr>
          <w:rFonts w:asciiTheme="minorHAnsi" w:hAnsiTheme="minorHAnsi" w:cstheme="minorHAnsi"/>
          <w:sz w:val="22"/>
          <w:szCs w:val="22"/>
        </w:rPr>
        <w:t>AGREEprep</w:t>
      </w:r>
      <w:proofErr w:type="spellEnd"/>
      <w:r w:rsidRPr="00765FF3">
        <w:rPr>
          <w:rFonts w:asciiTheme="minorHAnsi" w:hAnsiTheme="minorHAnsi" w:cstheme="minorHAnsi"/>
          <w:sz w:val="22"/>
          <w:szCs w:val="22"/>
        </w:rPr>
        <w:t xml:space="preserve"> – Analytical greenness metric for sample preparation. </w:t>
      </w:r>
      <w:proofErr w:type="spellStart"/>
      <w:r w:rsidRPr="00765FF3">
        <w:rPr>
          <w:rFonts w:asciiTheme="minorHAnsi" w:hAnsiTheme="minorHAnsi" w:cstheme="minorHAnsi"/>
          <w:sz w:val="22"/>
          <w:szCs w:val="22"/>
        </w:rPr>
        <w:t>TrAC</w:t>
      </w:r>
      <w:proofErr w:type="spellEnd"/>
      <w:r w:rsidRPr="00765FF3">
        <w:rPr>
          <w:rFonts w:asciiTheme="minorHAnsi" w:hAnsiTheme="minorHAnsi" w:cstheme="minorHAnsi"/>
          <w:sz w:val="22"/>
          <w:szCs w:val="22"/>
        </w:rPr>
        <w:t xml:space="preserve"> - Trends in Analytical Chemistry, 149, Article 116553. </w:t>
      </w:r>
      <w:hyperlink r:id="rId37" w:history="1">
        <w:r w:rsidRPr="00765FF3">
          <w:rPr>
            <w:rStyle w:val="Lienhypertexte"/>
            <w:rFonts w:asciiTheme="minorHAnsi" w:hAnsiTheme="minorHAnsi" w:cstheme="minorHAnsi"/>
            <w:sz w:val="22"/>
            <w:szCs w:val="22"/>
            <w:lang w:val="de-DE"/>
          </w:rPr>
          <w:t>https://doi.org/10.1016/j.trac.2022.116553</w:t>
        </w:r>
      </w:hyperlink>
      <w:r w:rsidRPr="00765FF3">
        <w:rPr>
          <w:rFonts w:asciiTheme="minorHAnsi" w:hAnsiTheme="minorHAnsi" w:cstheme="minorHAnsi"/>
          <w:sz w:val="22"/>
          <w:szCs w:val="22"/>
          <w:lang w:val="de-DE"/>
        </w:rPr>
        <w:t xml:space="preserve"> </w:t>
      </w:r>
    </w:p>
    <w:p w14:paraId="70C5F7F6" w14:textId="77777777" w:rsidR="002B1B69" w:rsidRDefault="002B1B69" w:rsidP="002B1B69">
      <w:pPr>
        <w:pStyle w:val="Corpsdetexte"/>
        <w:ind w:left="0"/>
        <w:rPr>
          <w:rFonts w:asciiTheme="minorHAnsi" w:hAnsiTheme="minorHAnsi" w:cstheme="minorHAnsi"/>
          <w:sz w:val="22"/>
          <w:szCs w:val="22"/>
          <w:lang w:val="de-DE"/>
        </w:rPr>
      </w:pPr>
    </w:p>
    <w:p w14:paraId="75C6798C" w14:textId="77777777"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lang w:val="de-DE"/>
        </w:rPr>
        <w:t>Xu</w:t>
      </w:r>
      <w:proofErr w:type="spellEnd"/>
      <w:r w:rsidRPr="00765FF3">
        <w:rPr>
          <w:rFonts w:asciiTheme="minorHAnsi" w:hAnsiTheme="minorHAnsi" w:cstheme="minorHAnsi"/>
          <w:sz w:val="22"/>
          <w:szCs w:val="22"/>
          <w:lang w:val="de-DE"/>
        </w:rPr>
        <w:t xml:space="preserve">, C. H., Chen, G. S., </w:t>
      </w:r>
      <w:proofErr w:type="spellStart"/>
      <w:r w:rsidRPr="00765FF3">
        <w:rPr>
          <w:rFonts w:asciiTheme="minorHAnsi" w:hAnsiTheme="minorHAnsi" w:cstheme="minorHAnsi"/>
          <w:sz w:val="22"/>
          <w:szCs w:val="22"/>
          <w:lang w:val="de-DE"/>
        </w:rPr>
        <w:t>Xiong</w:t>
      </w:r>
      <w:proofErr w:type="spellEnd"/>
      <w:r w:rsidRPr="00765FF3">
        <w:rPr>
          <w:rFonts w:asciiTheme="minorHAnsi" w:hAnsiTheme="minorHAnsi" w:cstheme="minorHAnsi"/>
          <w:sz w:val="22"/>
          <w:szCs w:val="22"/>
          <w:lang w:val="de-DE"/>
        </w:rPr>
        <w:t xml:space="preserve">, Z. H., Fan, Y. X., Wang, X. C., &amp; Liu, Y. (2016). </w:t>
      </w:r>
      <w:r w:rsidRPr="00765FF3">
        <w:rPr>
          <w:rFonts w:asciiTheme="minorHAnsi" w:hAnsiTheme="minorHAnsi" w:cstheme="minorHAnsi"/>
          <w:sz w:val="22"/>
          <w:szCs w:val="22"/>
        </w:rPr>
        <w:t xml:space="preserve">Applications of </w:t>
      </w:r>
      <w:proofErr w:type="gramStart"/>
      <w:r w:rsidRPr="00765FF3">
        <w:rPr>
          <w:rFonts w:asciiTheme="minorHAnsi" w:hAnsiTheme="minorHAnsi" w:cstheme="minorHAnsi"/>
          <w:sz w:val="22"/>
          <w:szCs w:val="22"/>
        </w:rPr>
        <w:t>solid-phase</w:t>
      </w:r>
      <w:proofErr w:type="gramEnd"/>
      <w:r w:rsidRPr="00765FF3">
        <w:rPr>
          <w:rFonts w:asciiTheme="minorHAnsi" w:hAnsiTheme="minorHAnsi" w:cstheme="minorHAnsi"/>
          <w:sz w:val="22"/>
          <w:szCs w:val="22"/>
        </w:rPr>
        <w:t xml:space="preserve"> microextraction in food analysis. </w:t>
      </w:r>
      <w:proofErr w:type="spellStart"/>
      <w:r w:rsidRPr="00765FF3">
        <w:rPr>
          <w:rFonts w:asciiTheme="minorHAnsi" w:hAnsiTheme="minorHAnsi" w:cstheme="minorHAnsi"/>
          <w:sz w:val="22"/>
          <w:szCs w:val="22"/>
        </w:rPr>
        <w:t>TrAC</w:t>
      </w:r>
      <w:proofErr w:type="spellEnd"/>
      <w:r w:rsidRPr="00765FF3">
        <w:rPr>
          <w:rFonts w:asciiTheme="minorHAnsi" w:hAnsiTheme="minorHAnsi" w:cstheme="minorHAnsi"/>
          <w:sz w:val="22"/>
          <w:szCs w:val="22"/>
        </w:rPr>
        <w:t xml:space="preserve"> - Trends in Analytical Chemistry, 80, 12–29. </w:t>
      </w:r>
      <w:hyperlink r:id="rId38" w:history="1">
        <w:r w:rsidRPr="00EC5E76">
          <w:rPr>
            <w:rStyle w:val="Lienhypertexte"/>
            <w:rFonts w:asciiTheme="minorHAnsi" w:hAnsiTheme="minorHAnsi" w:cstheme="minorHAnsi"/>
            <w:sz w:val="22"/>
            <w:szCs w:val="22"/>
          </w:rPr>
          <w:t>https://doi.org/10.1016/j.trac.2016.02.022</w:t>
        </w:r>
      </w:hyperlink>
      <w:r w:rsidRPr="00765FF3">
        <w:rPr>
          <w:rFonts w:asciiTheme="minorHAnsi" w:hAnsiTheme="minorHAnsi" w:cstheme="minorHAnsi"/>
          <w:sz w:val="22"/>
          <w:szCs w:val="22"/>
        </w:rPr>
        <w:t xml:space="preserve"> </w:t>
      </w:r>
    </w:p>
    <w:p w14:paraId="5A31E053" w14:textId="77777777" w:rsidR="002B1B69" w:rsidRDefault="002B1B69" w:rsidP="002B1B69">
      <w:pPr>
        <w:pStyle w:val="Corpsdetexte"/>
        <w:ind w:left="0"/>
        <w:rPr>
          <w:rFonts w:asciiTheme="minorHAnsi" w:hAnsiTheme="minorHAnsi" w:cstheme="minorHAnsi"/>
          <w:sz w:val="22"/>
          <w:szCs w:val="22"/>
        </w:rPr>
      </w:pPr>
    </w:p>
    <w:p w14:paraId="4677C2B8" w14:textId="77777777" w:rsidR="002B1B69" w:rsidRDefault="002B1B69" w:rsidP="002B1B69">
      <w:pPr>
        <w:pStyle w:val="Corpsdetexte"/>
        <w:ind w:left="0"/>
        <w:rPr>
          <w:rFonts w:asciiTheme="minorHAnsi" w:hAnsiTheme="minorHAnsi" w:cstheme="minorHAnsi"/>
          <w:sz w:val="22"/>
          <w:szCs w:val="22"/>
        </w:rPr>
      </w:pPr>
      <w:proofErr w:type="spellStart"/>
      <w:r w:rsidRPr="00765FF3">
        <w:rPr>
          <w:rFonts w:asciiTheme="minorHAnsi" w:hAnsiTheme="minorHAnsi" w:cstheme="minorHAnsi"/>
          <w:sz w:val="22"/>
          <w:szCs w:val="22"/>
        </w:rPr>
        <w:t>Yiantzi</w:t>
      </w:r>
      <w:proofErr w:type="spellEnd"/>
      <w:r w:rsidRPr="00765FF3">
        <w:rPr>
          <w:rFonts w:asciiTheme="minorHAnsi" w:hAnsiTheme="minorHAnsi" w:cstheme="minorHAnsi"/>
          <w:sz w:val="22"/>
          <w:szCs w:val="22"/>
        </w:rPr>
        <w:t xml:space="preserve">, E., Kalogerakis, N., &amp; </w:t>
      </w:r>
      <w:proofErr w:type="spellStart"/>
      <w:r w:rsidRPr="00765FF3">
        <w:rPr>
          <w:rFonts w:asciiTheme="minorHAnsi" w:hAnsiTheme="minorHAnsi" w:cstheme="minorHAnsi"/>
          <w:sz w:val="22"/>
          <w:szCs w:val="22"/>
        </w:rPr>
        <w:t>Psillakis</w:t>
      </w:r>
      <w:proofErr w:type="spellEnd"/>
      <w:r w:rsidRPr="00765FF3">
        <w:rPr>
          <w:rFonts w:asciiTheme="minorHAnsi" w:hAnsiTheme="minorHAnsi" w:cstheme="minorHAnsi"/>
          <w:sz w:val="22"/>
          <w:szCs w:val="22"/>
        </w:rPr>
        <w:t xml:space="preserve">, E. (2015). Vacuum-assisted headspace solid phase microextraction of polycyclic aromatic hydrocarbons in solid samples. Analytica </w:t>
      </w:r>
      <w:proofErr w:type="spellStart"/>
      <w:r w:rsidRPr="00765FF3">
        <w:rPr>
          <w:rFonts w:asciiTheme="minorHAnsi" w:hAnsiTheme="minorHAnsi" w:cstheme="minorHAnsi"/>
          <w:sz w:val="22"/>
          <w:szCs w:val="22"/>
        </w:rPr>
        <w:t>Chimica</w:t>
      </w:r>
      <w:proofErr w:type="spellEnd"/>
      <w:r w:rsidRPr="00765FF3">
        <w:rPr>
          <w:rFonts w:asciiTheme="minorHAnsi" w:hAnsiTheme="minorHAnsi" w:cstheme="minorHAnsi"/>
          <w:sz w:val="22"/>
          <w:szCs w:val="22"/>
        </w:rPr>
        <w:t xml:space="preserve"> Acta, 890(May 2014), 108–116. </w:t>
      </w:r>
      <w:hyperlink r:id="rId39" w:history="1">
        <w:r w:rsidRPr="00EC5E76">
          <w:rPr>
            <w:rStyle w:val="Lienhypertexte"/>
            <w:rFonts w:asciiTheme="minorHAnsi" w:hAnsiTheme="minorHAnsi" w:cstheme="minorHAnsi"/>
            <w:sz w:val="22"/>
            <w:szCs w:val="22"/>
          </w:rPr>
          <w:t>https://doi.org/10.1016/j. aca.2015.05.047</w:t>
        </w:r>
      </w:hyperlink>
      <w:r w:rsidRPr="00765FF3">
        <w:rPr>
          <w:rFonts w:asciiTheme="minorHAnsi" w:hAnsiTheme="minorHAnsi" w:cstheme="minorHAnsi"/>
          <w:sz w:val="22"/>
          <w:szCs w:val="22"/>
        </w:rPr>
        <w:t xml:space="preserve"> </w:t>
      </w:r>
    </w:p>
    <w:p w14:paraId="7B75DC44" w14:textId="77777777" w:rsidR="002B1B69" w:rsidRDefault="002B1B69" w:rsidP="002B1B69">
      <w:pPr>
        <w:pStyle w:val="Corpsdetexte"/>
        <w:ind w:left="0"/>
        <w:rPr>
          <w:rFonts w:asciiTheme="minorHAnsi" w:hAnsiTheme="minorHAnsi" w:cstheme="minorHAnsi"/>
          <w:sz w:val="22"/>
          <w:szCs w:val="22"/>
        </w:rPr>
      </w:pPr>
    </w:p>
    <w:p w14:paraId="5BD39C96" w14:textId="73900B38" w:rsidR="002B1B69" w:rsidRDefault="002B1B69" w:rsidP="002B1B69">
      <w:pPr>
        <w:jc w:val="both"/>
      </w:pPr>
      <w:proofErr w:type="spellStart"/>
      <w:r w:rsidRPr="00765FF3">
        <w:rPr>
          <w:rFonts w:cstheme="minorHAnsi"/>
        </w:rPr>
        <w:t>Yiantzi</w:t>
      </w:r>
      <w:proofErr w:type="spellEnd"/>
      <w:r w:rsidRPr="00765FF3">
        <w:rPr>
          <w:rFonts w:cstheme="minorHAnsi"/>
        </w:rPr>
        <w:t xml:space="preserve">, E., Kalogerakis, N., &amp; </w:t>
      </w:r>
      <w:proofErr w:type="spellStart"/>
      <w:r w:rsidRPr="00765FF3">
        <w:rPr>
          <w:rFonts w:cstheme="minorHAnsi"/>
        </w:rPr>
        <w:t>Psillakis</w:t>
      </w:r>
      <w:proofErr w:type="spellEnd"/>
      <w:r w:rsidRPr="00765FF3">
        <w:rPr>
          <w:rFonts w:cstheme="minorHAnsi"/>
        </w:rPr>
        <w:t xml:space="preserve">, E. (2016). Design and testing of a new sampler for simplified vacuum-assisted headspace solid-phase microextraction. Analytica </w:t>
      </w:r>
      <w:proofErr w:type="spellStart"/>
      <w:r w:rsidRPr="00765FF3">
        <w:rPr>
          <w:rFonts w:cstheme="minorHAnsi"/>
        </w:rPr>
        <w:t>Chimica</w:t>
      </w:r>
      <w:proofErr w:type="spellEnd"/>
      <w:r w:rsidRPr="00765FF3">
        <w:rPr>
          <w:rFonts w:cstheme="minorHAnsi"/>
        </w:rPr>
        <w:t xml:space="preserve"> Acta, 927, 46–54. https://doi.org/10.1016/j.aca.2016.05.00</w:t>
      </w:r>
      <w:r>
        <w:rPr>
          <w:rFonts w:cstheme="minorHAnsi"/>
        </w:rPr>
        <w:t>1</w:t>
      </w:r>
    </w:p>
    <w:p w14:paraId="0EF33B30" w14:textId="77777777" w:rsidR="002B1B69" w:rsidRDefault="002B1B69" w:rsidP="00A464AB">
      <w:pPr>
        <w:jc w:val="both"/>
        <w:rPr>
          <w:lang w:val="fr-BE"/>
        </w:rPr>
      </w:pPr>
    </w:p>
    <w:sectPr w:rsidR="002B1B69" w:rsidSect="000504DE">
      <w:footerReference w:type="default" r:id="rId40"/>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3B515" w14:textId="77777777" w:rsidR="00C2483B" w:rsidRDefault="00C2483B">
      <w:r>
        <w:separator/>
      </w:r>
    </w:p>
  </w:endnote>
  <w:endnote w:type="continuationSeparator" w:id="0">
    <w:p w14:paraId="10D4BAD9" w14:textId="77777777" w:rsidR="00C2483B" w:rsidRDefault="00C2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Avenir Next LT Pro">
    <w:charset w:val="00"/>
    <w:family w:val="swiss"/>
    <w:pitch w:val="variable"/>
    <w:sig w:usb0="800000E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7968"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61F72" w14:textId="77777777" w:rsidR="00C2483B" w:rsidRDefault="00C2483B">
      <w:r>
        <w:separator/>
      </w:r>
    </w:p>
  </w:footnote>
  <w:footnote w:type="continuationSeparator" w:id="0">
    <w:p w14:paraId="0DDE7E25" w14:textId="77777777" w:rsidR="00C2483B" w:rsidRDefault="00C24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22BA13DB" w14:textId="462A880A" w:rsidR="00763248" w:rsidRDefault="00763248" w:rsidP="00BF3FAC">
          <w:pPr>
            <w:pStyle w:val="En-tte"/>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00C83D17">
            <w:rPr>
              <w:i/>
              <w:sz w:val="18"/>
              <w:szCs w:val="18"/>
            </w:rPr>
            <w:t>Food Chemistry 442 (2024) 138409</w:t>
          </w:r>
        </w:p>
        <w:p w14:paraId="57988DE7" w14:textId="72EFB883" w:rsidR="00763248" w:rsidRPr="00A44770" w:rsidRDefault="00763248" w:rsidP="00BF3FAC">
          <w:pPr>
            <w:pStyle w:val="En-tte"/>
            <w:rPr>
              <w:i/>
              <w:sz w:val="18"/>
              <w:szCs w:val="18"/>
            </w:rPr>
          </w:pPr>
          <w:proofErr w:type="gramStart"/>
          <w:r w:rsidRPr="00A44770">
            <w:rPr>
              <w:i/>
              <w:sz w:val="18"/>
              <w:szCs w:val="18"/>
            </w:rPr>
            <w:t>DO</w:t>
          </w:r>
          <w:r>
            <w:rPr>
              <w:i/>
              <w:sz w:val="18"/>
              <w:szCs w:val="18"/>
            </w:rPr>
            <w:t xml:space="preserve">I </w:t>
          </w:r>
          <w:r w:rsidRPr="00A44770">
            <w:rPr>
              <w:i/>
              <w:sz w:val="18"/>
              <w:szCs w:val="18"/>
            </w:rPr>
            <w:t>:</w:t>
          </w:r>
          <w:proofErr w:type="gramEnd"/>
          <w:r w:rsidRPr="00737CFB">
            <w:rPr>
              <w:i/>
              <w:sz w:val="18"/>
              <w:szCs w:val="18"/>
            </w:rPr>
            <w:t xml:space="preserve"> </w:t>
          </w:r>
          <w:hyperlink r:id="rId1" w:tgtFrame="_blank" w:history="1">
            <w:r w:rsidR="00C83D17" w:rsidRPr="00C83D17">
              <w:rPr>
                <w:rStyle w:val="Lienhypertexte"/>
                <w:i/>
                <w:color w:val="auto"/>
                <w:sz w:val="18"/>
                <w:szCs w:val="18"/>
                <w:u w:val="none"/>
              </w:rPr>
              <w:t>10.1016/j.foodchem.2024.138409</w:t>
            </w:r>
          </w:hyperlink>
        </w:p>
        <w:p w14:paraId="1288AC7D" w14:textId="785114F6" w:rsidR="00763248" w:rsidRPr="00A44770" w:rsidRDefault="00763248" w:rsidP="00BF3FAC">
          <w:pPr>
            <w:pStyle w:val="En-tte"/>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w:t>
          </w:r>
        </w:p>
      </w:tc>
      <w:tc>
        <w:tcPr>
          <w:tcW w:w="3008" w:type="dxa"/>
        </w:tcPr>
        <w:p w14:paraId="204DFB86" w14:textId="427DBF91" w:rsidR="00763248" w:rsidRDefault="00763248" w:rsidP="00BF3FAC">
          <w:pPr>
            <w:pStyle w:val="En-tte"/>
            <w:jc w:val="right"/>
          </w:pPr>
          <w:r>
            <w:t xml:space="preserve">        </w:t>
          </w:r>
        </w:p>
      </w:tc>
    </w:tr>
  </w:tbl>
  <w:p w14:paraId="28A25B06" w14:textId="6D2B01B4" w:rsidR="00BF3FAC" w:rsidRPr="00BF3FAC" w:rsidRDefault="00763248">
    <w:pPr>
      <w:pStyle w:val="En-tte"/>
      <w:rPr>
        <w:lang w:val="fr-BE"/>
      </w:rPr>
    </w:pPr>
    <w:r>
      <w:rPr>
        <w:noProof/>
      </w:rPr>
      <w:drawing>
        <wp:anchor distT="0" distB="0" distL="114300" distR="114300" simplePos="0" relativeHeight="251650560"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234162638" name="Image 1234162638"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1"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2"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abstractNum w:abstractNumId="4" w15:restartNumberingAfterBreak="0">
    <w:nsid w:val="7F5539A3"/>
    <w:multiLevelType w:val="hybridMultilevel"/>
    <w:tmpl w:val="FA726EA0"/>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179462401">
    <w:abstractNumId w:val="1"/>
  </w:num>
  <w:num w:numId="2" w16cid:durableId="710307178">
    <w:abstractNumId w:val="3"/>
  </w:num>
  <w:num w:numId="3" w16cid:durableId="1140539169">
    <w:abstractNumId w:val="2"/>
  </w:num>
  <w:num w:numId="4" w16cid:durableId="235752367">
    <w:abstractNumId w:val="0"/>
  </w:num>
  <w:num w:numId="5" w16cid:durableId="1788355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26A38"/>
    <w:rsid w:val="00030678"/>
    <w:rsid w:val="00032DB0"/>
    <w:rsid w:val="000504DE"/>
    <w:rsid w:val="00061920"/>
    <w:rsid w:val="00083A32"/>
    <w:rsid w:val="000E0DAA"/>
    <w:rsid w:val="000F4F69"/>
    <w:rsid w:val="001221AA"/>
    <w:rsid w:val="00146F57"/>
    <w:rsid w:val="001A2BDE"/>
    <w:rsid w:val="001B07D5"/>
    <w:rsid w:val="001C17BF"/>
    <w:rsid w:val="001E34F2"/>
    <w:rsid w:val="00220B16"/>
    <w:rsid w:val="00225E1D"/>
    <w:rsid w:val="00230DEB"/>
    <w:rsid w:val="00252687"/>
    <w:rsid w:val="002A7F30"/>
    <w:rsid w:val="002B1B69"/>
    <w:rsid w:val="002B285B"/>
    <w:rsid w:val="002C09BC"/>
    <w:rsid w:val="002F3C05"/>
    <w:rsid w:val="00302444"/>
    <w:rsid w:val="0032341C"/>
    <w:rsid w:val="00334AE4"/>
    <w:rsid w:val="00335744"/>
    <w:rsid w:val="00371939"/>
    <w:rsid w:val="00381B72"/>
    <w:rsid w:val="003C5DB2"/>
    <w:rsid w:val="003D5EA7"/>
    <w:rsid w:val="003D72C8"/>
    <w:rsid w:val="003E78F0"/>
    <w:rsid w:val="004057B4"/>
    <w:rsid w:val="00406476"/>
    <w:rsid w:val="00422BAD"/>
    <w:rsid w:val="0043308D"/>
    <w:rsid w:val="00442B39"/>
    <w:rsid w:val="0045381A"/>
    <w:rsid w:val="004676ED"/>
    <w:rsid w:val="00485758"/>
    <w:rsid w:val="00494F79"/>
    <w:rsid w:val="004B561E"/>
    <w:rsid w:val="004C2B62"/>
    <w:rsid w:val="004D08D6"/>
    <w:rsid w:val="004F52B0"/>
    <w:rsid w:val="00503C35"/>
    <w:rsid w:val="00507725"/>
    <w:rsid w:val="00511E0A"/>
    <w:rsid w:val="00536BB9"/>
    <w:rsid w:val="00552603"/>
    <w:rsid w:val="005665C8"/>
    <w:rsid w:val="00591551"/>
    <w:rsid w:val="005A1512"/>
    <w:rsid w:val="005A517B"/>
    <w:rsid w:val="00603E91"/>
    <w:rsid w:val="0063185C"/>
    <w:rsid w:val="0069257C"/>
    <w:rsid w:val="006A2C3E"/>
    <w:rsid w:val="007159A8"/>
    <w:rsid w:val="00723895"/>
    <w:rsid w:val="00763248"/>
    <w:rsid w:val="00765FF3"/>
    <w:rsid w:val="0077443D"/>
    <w:rsid w:val="007971D0"/>
    <w:rsid w:val="00822E45"/>
    <w:rsid w:val="00831509"/>
    <w:rsid w:val="00831C73"/>
    <w:rsid w:val="008334F2"/>
    <w:rsid w:val="008503D5"/>
    <w:rsid w:val="00873D39"/>
    <w:rsid w:val="00894BC5"/>
    <w:rsid w:val="009512D2"/>
    <w:rsid w:val="00951EBA"/>
    <w:rsid w:val="00953C41"/>
    <w:rsid w:val="009644BE"/>
    <w:rsid w:val="00965108"/>
    <w:rsid w:val="009B6439"/>
    <w:rsid w:val="009C1BCA"/>
    <w:rsid w:val="009D0490"/>
    <w:rsid w:val="00A03865"/>
    <w:rsid w:val="00A0389C"/>
    <w:rsid w:val="00A256EA"/>
    <w:rsid w:val="00A464AB"/>
    <w:rsid w:val="00A5150C"/>
    <w:rsid w:val="00A51D3D"/>
    <w:rsid w:val="00A63C86"/>
    <w:rsid w:val="00A76B5D"/>
    <w:rsid w:val="00A91B58"/>
    <w:rsid w:val="00AA215B"/>
    <w:rsid w:val="00AC7302"/>
    <w:rsid w:val="00AE4947"/>
    <w:rsid w:val="00AF13AA"/>
    <w:rsid w:val="00B23F31"/>
    <w:rsid w:val="00B3411E"/>
    <w:rsid w:val="00BA42A1"/>
    <w:rsid w:val="00BF3FAC"/>
    <w:rsid w:val="00BF5588"/>
    <w:rsid w:val="00C15580"/>
    <w:rsid w:val="00C2483B"/>
    <w:rsid w:val="00C3361E"/>
    <w:rsid w:val="00C83D17"/>
    <w:rsid w:val="00C873B2"/>
    <w:rsid w:val="00C9010A"/>
    <w:rsid w:val="00CB04EF"/>
    <w:rsid w:val="00CB5884"/>
    <w:rsid w:val="00CF3BD6"/>
    <w:rsid w:val="00D04D71"/>
    <w:rsid w:val="00D47EC6"/>
    <w:rsid w:val="00D5064B"/>
    <w:rsid w:val="00DD7EB3"/>
    <w:rsid w:val="00DE4915"/>
    <w:rsid w:val="00E00404"/>
    <w:rsid w:val="00E103B4"/>
    <w:rsid w:val="00E14B3D"/>
    <w:rsid w:val="00E424F3"/>
    <w:rsid w:val="00E57F18"/>
    <w:rsid w:val="00E74EBF"/>
    <w:rsid w:val="00E818BB"/>
    <w:rsid w:val="00E83BDE"/>
    <w:rsid w:val="00E92893"/>
    <w:rsid w:val="00E96539"/>
    <w:rsid w:val="00EB649A"/>
    <w:rsid w:val="00EC0467"/>
    <w:rsid w:val="00EC1E17"/>
    <w:rsid w:val="00EC4C84"/>
    <w:rsid w:val="00EE0910"/>
    <w:rsid w:val="00F1349A"/>
    <w:rsid w:val="00F25512"/>
    <w:rsid w:val="00F27067"/>
    <w:rsid w:val="00F37946"/>
    <w:rsid w:val="00F440B0"/>
    <w:rsid w:val="00F74DD5"/>
    <w:rsid w:val="00F97BAF"/>
    <w:rsid w:val="00FA32E5"/>
    <w:rsid w:val="00FD641F"/>
    <w:rsid w:val="00FF118A"/>
    <w:rsid w:val="00FF2944"/>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link w:val="Titre1Car"/>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 w:type="table" w:styleId="Grilledutableau">
    <w:name w:val="Table Grid"/>
    <w:basedOn w:val="TableauNormal"/>
    <w:uiPriority w:val="39"/>
    <w:rsid w:val="00252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9010A"/>
    <w:rPr>
      <w:rFonts w:eastAsia="Times New Roman" w:cs="Times New Roman"/>
      <w:b/>
      <w:bCs/>
      <w:color w:val="31849B" w:themeColor="accent5" w:themeShade="BF"/>
      <w:sz w:val="36"/>
      <w:szCs w:val="16"/>
    </w:rPr>
  </w:style>
  <w:style w:type="character" w:styleId="Textedelespacerserv">
    <w:name w:val="Placeholder Text"/>
    <w:basedOn w:val="Policepardfaut"/>
    <w:uiPriority w:val="99"/>
    <w:semiHidden/>
    <w:rsid w:val="00032D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hegoodscentscompany.com/" TargetMode="External"/><Relationship Id="rId18" Type="http://schemas.openxmlformats.org/officeDocument/2006/relationships/hyperlink" Target="https://doi.org/10.1016/j.%20foodcont.2020.107823" TargetMode="External"/><Relationship Id="rId26" Type="http://schemas.openxmlformats.org/officeDocument/2006/relationships/hyperlink" Target="https://doi.org/10.1016/j.aca.2020.05.007" TargetMode="External"/><Relationship Id="rId39" Type="http://schemas.openxmlformats.org/officeDocument/2006/relationships/hyperlink" Target="https://doi.org/10.1016/j.%20aca.2015.05.047" TargetMode="External"/><Relationship Id="rId3" Type="http://schemas.openxmlformats.org/officeDocument/2006/relationships/styles" Target="styles.xml"/><Relationship Id="rId21" Type="http://schemas.openxmlformats.org/officeDocument/2006/relationships/hyperlink" Target="https://doi.org/10.1016/j.%20trac.2013.04.010" TargetMode="External"/><Relationship Id="rId34" Type="http://schemas.openxmlformats.org/officeDocument/2006/relationships/hyperlink" Target="https://doi.org/10.1016/j.%20foodchem.2022.132438"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002/ffj.1000" TargetMode="External"/><Relationship Id="rId25" Type="http://schemas.openxmlformats.org/officeDocument/2006/relationships/hyperlink" Target="https://doi.org/10.1016/j.aca.2019.12.053" TargetMode="External"/><Relationship Id="rId33" Type="http://schemas.openxmlformats.org/officeDocument/2006/relationships/hyperlink" Target="https://doi.org/10.3390/foods9101509" TargetMode="External"/><Relationship Id="rId38" Type="http://schemas.openxmlformats.org/officeDocument/2006/relationships/hyperlink" Target="https://doi.org/10.1016/j.trac.2016.02.022" TargetMode="External"/><Relationship Id="rId2" Type="http://schemas.openxmlformats.org/officeDocument/2006/relationships/numbering" Target="numbering.xml"/><Relationship Id="rId16" Type="http://schemas.openxmlformats.org/officeDocument/2006/relationships/hyperlink" Target="https://doi.org/10.1007/s44211-022-00190-8" TargetMode="External"/><Relationship Id="rId20" Type="http://schemas.openxmlformats.org/officeDocument/2006/relationships/hyperlink" Target="https://doi.org/10.1016/j.talanta.2016.12.082" TargetMode="External"/><Relationship Id="rId29" Type="http://schemas.openxmlformats.org/officeDocument/2006/relationships/hyperlink" Target="https://doi.org/10.1016/j.%20aca.2017.06.03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016/j.sampre.2023.100068" TargetMode="External"/><Relationship Id="rId32" Type="http://schemas.openxmlformats.org/officeDocument/2006/relationships/hyperlink" Target="https://doi.org/10.1016/j.foodchem.2019.125556" TargetMode="External"/><Relationship Id="rId37" Type="http://schemas.openxmlformats.org/officeDocument/2006/relationships/hyperlink" Target="https://doi.org/10.1016/j.trac.2022.116553"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j.talanta.2018.05.008" TargetMode="External"/><Relationship Id="rId23" Type="http://schemas.openxmlformats.org/officeDocument/2006/relationships/hyperlink" Target="https://doi.org/10.1016/j.sampre.2022.100035" TargetMode="External"/><Relationship Id="rId28" Type="http://schemas.openxmlformats.org/officeDocument/2006/relationships/hyperlink" Target="https://doi.org/10.1021/acs.%20jafc.9b00477" TargetMode="External"/><Relationship Id="rId36" Type="http://schemas.openxmlformats.org/officeDocument/2006/relationships/hyperlink" Target="https://doi.org/10.3390/foods9050657" TargetMode="External"/><Relationship Id="rId10" Type="http://schemas.openxmlformats.org/officeDocument/2006/relationships/image" Target="media/image3.emf"/><Relationship Id="rId19" Type="http://schemas.openxmlformats.org/officeDocument/2006/relationships/hyperlink" Target="https://doi.org/10.1021/acs.jafc.9b03346" TargetMode="External"/><Relationship Id="rId31" Type="http://schemas.openxmlformats.org/officeDocument/2006/relationships/hyperlink" Target="https://doi.org/10.1016/j.aca.2012.01.01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doi.org/10.1039/a701303e" TargetMode="External"/><Relationship Id="rId27" Type="http://schemas.openxmlformats.org/officeDocument/2006/relationships/hyperlink" Target="https://doi.org/10.1016/j.%20trac.2021.116223" TargetMode="External"/><Relationship Id="rId30" Type="http://schemas.openxmlformats.org/officeDocument/2006/relationships/hyperlink" Target="https://doi.org/10.1016/j.chroma.2013.02.009" TargetMode="External"/><Relationship Id="rId35" Type="http://schemas.openxmlformats.org/officeDocument/2006/relationships/hyperlink" Target="https://doi.org/10.1016/j.aca.2017.01.05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doi.org/10.1016/j.foodchem.2024.138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22</Pages>
  <Words>9687</Words>
  <Characters>53284</Characters>
  <Application>Microsoft Office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62846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124</cp:revision>
  <cp:lastPrinted>2025-07-29T11:01:00Z</cp:lastPrinted>
  <dcterms:created xsi:type="dcterms:W3CDTF">2025-07-29T08:19:00Z</dcterms:created>
  <dcterms:modified xsi:type="dcterms:W3CDTF">2025-08-09T10:40:00Z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